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8B117" w14:textId="77777777" w:rsidR="003457A4" w:rsidRDefault="003457A4"/>
    <w:p w14:paraId="7967F56E" w14:textId="77777777" w:rsidR="00E94FCD" w:rsidRDefault="00E94FCD"/>
    <w:p w14:paraId="2B2FDF86" w14:textId="77777777" w:rsidR="00E94FCD" w:rsidRPr="00E94FCD" w:rsidRDefault="00E94FCD" w:rsidP="00E94FCD">
      <w:pPr>
        <w:rPr>
          <w:rFonts w:asciiTheme="majorBidi" w:hAnsiTheme="majorBidi" w:cstheme="majorBidi"/>
          <w:b/>
          <w:bCs/>
          <w:sz w:val="24"/>
          <w:szCs w:val="24"/>
        </w:rPr>
      </w:pPr>
      <w:r w:rsidRPr="00E94FCD">
        <w:rPr>
          <w:rFonts w:asciiTheme="majorBidi" w:hAnsiTheme="majorBidi" w:cstheme="majorBidi"/>
          <w:b/>
          <w:bCs/>
          <w:sz w:val="24"/>
          <w:szCs w:val="24"/>
        </w:rPr>
        <w:t>Patterns of Peripheral Cytopenia in Hematological Malignancies: A Single-Center Retrospective Study from Aden, Yemen</w:t>
      </w:r>
    </w:p>
    <w:p w14:paraId="134C332C" w14:textId="08F24588" w:rsidR="00E94FCD" w:rsidRPr="00E94FCD" w:rsidRDefault="00E94FCD" w:rsidP="00E94FCD"/>
    <w:p w14:paraId="6D53D275" w14:textId="77777777" w:rsidR="00E94FCD" w:rsidRPr="00E94FCD" w:rsidRDefault="00E94FCD" w:rsidP="00E94FCD">
      <w:pPr>
        <w:rPr>
          <w:b/>
          <w:bCs/>
        </w:rPr>
      </w:pPr>
      <w:r w:rsidRPr="00E94FCD">
        <w:rPr>
          <w:b/>
          <w:bCs/>
        </w:rPr>
        <w:t>Abstract</w:t>
      </w:r>
    </w:p>
    <w:p w14:paraId="43BDCA8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Background:</w:t>
      </w:r>
      <w:r w:rsidRPr="00E94FCD">
        <w:rPr>
          <w:rFonts w:asciiTheme="majorBidi" w:hAnsiTheme="majorBidi" w:cstheme="majorBidi"/>
          <w:sz w:val="24"/>
          <w:szCs w:val="24"/>
        </w:rPr>
        <w:t xml:space="preserve"> Peripheral cytopenias, including anemia, thrombocytopenia,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and pancytopenia, are common findings in patients with hematological malignancies (HMs) and often necessitate bone marrow evaluation for definitive diagnosis. This study aimed to determine the spectrum of HMs and their association with various patterns of peripheral cytopenia at a major oncology center in Aden, Yemen.</w:t>
      </w:r>
    </w:p>
    <w:p w14:paraId="630FE9A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Methods:</w:t>
      </w:r>
      <w:r w:rsidRPr="00E94FCD">
        <w:rPr>
          <w:rFonts w:asciiTheme="majorBidi" w:hAnsiTheme="majorBidi" w:cstheme="majorBidi"/>
          <w:sz w:val="24"/>
          <w:szCs w:val="24"/>
        </w:rPr>
        <w:t> This descriptive, retrospective study included 70 patients diagnosed with HMs at the Hematology Department of the National Oncology Center, Aden, between January 2019 and December 2020. All patients underwent comprehensive assessment including history, physical examination, full blood count, and bone marrow aspiration/biopsy. Data were analyzed using SPSS version 26, with a p-value &lt; 0.05 considered statistically significant.</w:t>
      </w:r>
    </w:p>
    <w:p w14:paraId="748447A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Results:</w:t>
      </w:r>
      <w:r w:rsidRPr="00E94FCD">
        <w:rPr>
          <w:rFonts w:asciiTheme="majorBidi" w:hAnsiTheme="majorBidi" w:cstheme="majorBidi"/>
          <w:sz w:val="24"/>
          <w:szCs w:val="24"/>
        </w:rPr>
        <w:t xml:space="preserve"> Peripheral cytopenia was present in 84.3% (n=59) of HM patients. The median age was 50 years, with a male-to-female ratio of 1.5:1.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was the most common pattern (52.5%), followed by isolated anemia (27.1%), pancytopenia (10.2%), and isolated thrombocytopenia (10.2%). Acute leukemias constituted 61.0% of cases among cytopenic patients, with Acute Lymphoblastic Leukemia (ALL) and Acute Myeloid Leukemia (AML) being the most frequent subtypes. A significant association was found between AML and both pancytopenia (83.3% of </w:t>
      </w:r>
      <w:proofErr w:type="spellStart"/>
      <w:r w:rsidRPr="00E94FCD">
        <w:rPr>
          <w:rFonts w:asciiTheme="majorBidi" w:hAnsiTheme="majorBidi" w:cstheme="majorBidi"/>
          <w:sz w:val="24"/>
          <w:szCs w:val="24"/>
        </w:rPr>
        <w:t>pancytopenic</w:t>
      </w:r>
      <w:proofErr w:type="spellEnd"/>
      <w:r w:rsidRPr="00E94FCD">
        <w:rPr>
          <w:rFonts w:asciiTheme="majorBidi" w:hAnsiTheme="majorBidi" w:cstheme="majorBidi"/>
          <w:sz w:val="24"/>
          <w:szCs w:val="24"/>
        </w:rPr>
        <w:t xml:space="preserve"> cases) and isolated thrombocytopenia (50.0% of isolated thrombocytopenic cases) (p&lt;0.05). Conversely, Multiple Myeloma (MM) was significantly associated with normal peripheral blood counts (36.4% of non-cytopenic cases) (p&lt;0.05). Bone marrow examination in cytopenic patients frequently revealed hypercellularity, decreased erythrocyte precursors, and decreased megakaryocytes, indicative of ineffective hematopoiesis and marrow infiltration.</w:t>
      </w:r>
    </w:p>
    <w:p w14:paraId="11BD6ED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Conclusion:</w:t>
      </w:r>
      <w:r w:rsidRPr="00E94FCD">
        <w:rPr>
          <w:rFonts w:asciiTheme="majorBidi" w:hAnsiTheme="majorBidi" w:cstheme="majorBidi"/>
          <w:sz w:val="24"/>
          <w:szCs w:val="24"/>
        </w:rPr>
        <w:t xml:space="preserve"> Peripheral cytopenia is highly prevalent among HM patients in Aden, with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being the dominant pattern. The strong association between acute leukemias and </w:t>
      </w:r>
      <w:r w:rsidRPr="00E94FCD">
        <w:rPr>
          <w:rFonts w:asciiTheme="majorBidi" w:hAnsiTheme="majorBidi" w:cstheme="majorBidi"/>
          <w:sz w:val="24"/>
          <w:szCs w:val="24"/>
        </w:rPr>
        <w:lastRenderedPageBreak/>
        <w:t>severe cytopenias underscores the aggressive nature and advanced presentation of these malignancies in this population. These findings are crucial for guiding diagnostic strategies and clinical management in resource-limited settings and emphasize the importance of prompt bone marrow examination in patients with unexplained multi-lineage cytopenia.</w:t>
      </w:r>
    </w:p>
    <w:p w14:paraId="2B5114B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Keywords:</w:t>
      </w:r>
      <w:r w:rsidRPr="00E94FCD">
        <w:rPr>
          <w:rFonts w:asciiTheme="majorBidi" w:hAnsiTheme="majorBidi" w:cstheme="majorBidi"/>
          <w:sz w:val="24"/>
          <w:szCs w:val="24"/>
        </w:rPr>
        <w:t xml:space="preserve"> Peripheral </w:t>
      </w:r>
      <w:proofErr w:type="spellStart"/>
      <w:r w:rsidRPr="00E94FCD">
        <w:rPr>
          <w:rFonts w:asciiTheme="majorBidi" w:hAnsiTheme="majorBidi" w:cstheme="majorBidi"/>
          <w:sz w:val="24"/>
          <w:szCs w:val="24"/>
        </w:rPr>
        <w:t>cytopenias</w:t>
      </w:r>
      <w:proofErr w:type="spellEnd"/>
      <w:r w:rsidRPr="00E94FCD">
        <w:rPr>
          <w:rFonts w:asciiTheme="majorBidi" w:hAnsiTheme="majorBidi" w:cstheme="majorBidi"/>
          <w:sz w:val="24"/>
          <w:szCs w:val="24"/>
        </w:rPr>
        <w:t xml:space="preserve">, pancytopenia,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hematological malignancies, acute leukemia, Yemen.</w:t>
      </w:r>
    </w:p>
    <w:p w14:paraId="60950460" w14:textId="51621B17" w:rsidR="00E94FCD" w:rsidRPr="00E94FCD" w:rsidRDefault="00E94FCD" w:rsidP="002816C0">
      <w:pPr>
        <w:spacing w:line="360" w:lineRule="auto"/>
        <w:rPr>
          <w:rFonts w:asciiTheme="majorBidi" w:hAnsiTheme="majorBidi" w:cstheme="majorBidi"/>
          <w:sz w:val="24"/>
          <w:szCs w:val="24"/>
        </w:rPr>
      </w:pPr>
    </w:p>
    <w:p w14:paraId="4FD5CACA"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1. Introduction</w:t>
      </w:r>
    </w:p>
    <w:p w14:paraId="57D18125" w14:textId="5CA4F1A0" w:rsidR="00E94FCD" w:rsidRPr="00E94FCD" w:rsidRDefault="00E94FCD" w:rsidP="007D6324">
      <w:pPr>
        <w:spacing w:line="360" w:lineRule="auto"/>
        <w:rPr>
          <w:rFonts w:asciiTheme="majorBidi" w:hAnsiTheme="majorBidi" w:cstheme="majorBidi"/>
          <w:sz w:val="24"/>
          <w:szCs w:val="24"/>
        </w:rPr>
      </w:pPr>
      <w:r w:rsidRPr="00E94FCD">
        <w:rPr>
          <w:rFonts w:asciiTheme="majorBidi" w:hAnsiTheme="majorBidi" w:cstheme="majorBidi"/>
          <w:sz w:val="24"/>
          <w:szCs w:val="24"/>
        </w:rPr>
        <w:t>Hematological malignancies (HMs) encompass a diverse group of neoplastic disorders originating from hematopoietic and lymphoid tissues, manifesting as leukemias, lymphomas, or myelomas.</w:t>
      </w:r>
      <w:r w:rsidR="00D84D22" w:rsidRPr="00D84D22">
        <w:rPr>
          <w:rFonts w:asciiTheme="majorBidi" w:hAnsiTheme="majorBidi" w:cstheme="majorBidi"/>
          <w:color w:val="C00000"/>
          <w:sz w:val="24"/>
          <w:szCs w:val="24"/>
        </w:rPr>
        <w:t xml:space="preserve"> </w:t>
      </w:r>
      <w:r w:rsidR="00D84D22" w:rsidRPr="00AD1D59">
        <w:rPr>
          <w:rFonts w:asciiTheme="majorBidi" w:hAnsiTheme="majorBidi" w:cstheme="majorBidi"/>
          <w:color w:val="000000" w:themeColor="text1"/>
          <w:sz w:val="24"/>
          <w:szCs w:val="24"/>
        </w:rPr>
        <w:t>(</w:t>
      </w:r>
      <w:r w:rsidR="007D6324" w:rsidRPr="007D6324">
        <w:rPr>
          <w:rFonts w:asciiTheme="majorBidi" w:hAnsiTheme="majorBidi" w:cstheme="majorBidi"/>
          <w:color w:val="000000" w:themeColor="text1"/>
          <w:sz w:val="24"/>
          <w:szCs w:val="24"/>
        </w:rPr>
        <w:t>Jaffe</w:t>
      </w:r>
      <w:r w:rsidR="00D84D22" w:rsidRPr="007D6324">
        <w:rPr>
          <w:rFonts w:asciiTheme="majorBidi" w:hAnsiTheme="majorBidi" w:cstheme="majorBidi"/>
          <w:color w:val="000000" w:themeColor="text1"/>
          <w:sz w:val="24"/>
          <w:szCs w:val="24"/>
        </w:rPr>
        <w:t xml:space="preserve"> et al </w:t>
      </w:r>
      <w:proofErr w:type="gramStart"/>
      <w:r w:rsidR="00D84D22" w:rsidRPr="007D6324">
        <w:rPr>
          <w:rFonts w:asciiTheme="majorBidi" w:hAnsiTheme="majorBidi" w:cstheme="majorBidi"/>
          <w:color w:val="000000" w:themeColor="text1"/>
          <w:sz w:val="24"/>
          <w:szCs w:val="24"/>
        </w:rPr>
        <w:t>20</w:t>
      </w:r>
      <w:r w:rsidR="007D6324" w:rsidRPr="007D6324">
        <w:rPr>
          <w:rFonts w:asciiTheme="majorBidi" w:hAnsiTheme="majorBidi" w:cstheme="majorBidi"/>
          <w:color w:val="000000" w:themeColor="text1"/>
          <w:sz w:val="24"/>
          <w:szCs w:val="24"/>
        </w:rPr>
        <w:t>01</w:t>
      </w:r>
      <w:r w:rsidR="00D84D22" w:rsidRPr="00AD1D59">
        <w:rPr>
          <w:rFonts w:asciiTheme="majorBidi" w:hAnsiTheme="majorBidi" w:cstheme="majorBidi"/>
          <w:color w:val="000000" w:themeColor="text1"/>
          <w:sz w:val="24"/>
          <w:szCs w:val="24"/>
        </w:rPr>
        <w:t>)</w:t>
      </w:r>
      <w:r w:rsidRPr="007D6324">
        <w:rPr>
          <w:rFonts w:asciiTheme="majorBidi" w:hAnsiTheme="majorBidi" w:cstheme="majorBidi"/>
          <w:color w:val="000000" w:themeColor="text1"/>
          <w:sz w:val="24"/>
          <w:szCs w:val="24"/>
        </w:rPr>
        <w:t>¹</w:t>
      </w:r>
      <w:proofErr w:type="gramEnd"/>
      <w:r w:rsidRPr="007D6324">
        <w:rPr>
          <w:rFonts w:asciiTheme="majorBidi" w:hAnsiTheme="majorBidi" w:cstheme="majorBidi"/>
          <w:color w:val="000000" w:themeColor="text1"/>
          <w:sz w:val="24"/>
          <w:szCs w:val="24"/>
        </w:rPr>
        <w:t xml:space="preserve"> </w:t>
      </w:r>
      <w:r w:rsidRPr="00E94FCD">
        <w:rPr>
          <w:rFonts w:asciiTheme="majorBidi" w:hAnsiTheme="majorBidi" w:cstheme="majorBidi"/>
          <w:sz w:val="24"/>
          <w:szCs w:val="24"/>
        </w:rPr>
        <w:t>These diseases often disrupt normal hematopoiesis, leading to a reduction in one or more mature blood cell lines in the peripheral circulation, a condition collectively termed </w:t>
      </w:r>
      <w:r w:rsidRPr="00E94FCD">
        <w:rPr>
          <w:rFonts w:asciiTheme="majorBidi" w:hAnsiTheme="majorBidi" w:cstheme="majorBidi"/>
          <w:b/>
          <w:bCs/>
          <w:sz w:val="24"/>
          <w:szCs w:val="24"/>
        </w:rPr>
        <w:t>peripheral cytopenia</w:t>
      </w:r>
      <w:r w:rsidRPr="00E94FCD">
        <w:rPr>
          <w:rFonts w:asciiTheme="majorBidi" w:hAnsiTheme="majorBidi" w:cstheme="majorBidi"/>
          <w:sz w:val="24"/>
          <w:szCs w:val="24"/>
        </w:rPr>
        <w:t>.</w:t>
      </w:r>
      <w:r w:rsidR="00D84D22" w:rsidRPr="00D84D22">
        <w:rPr>
          <w:rFonts w:asciiTheme="majorBidi" w:hAnsiTheme="majorBidi" w:cstheme="majorBidi"/>
          <w:color w:val="C00000"/>
          <w:sz w:val="24"/>
          <w:szCs w:val="24"/>
        </w:rPr>
        <w:t xml:space="preserve"> </w:t>
      </w:r>
      <w:r w:rsidR="00D84D22" w:rsidRPr="00AD1D59">
        <w:rPr>
          <w:rFonts w:asciiTheme="majorBidi" w:hAnsiTheme="majorBidi" w:cstheme="majorBidi"/>
          <w:color w:val="000000" w:themeColor="text1"/>
          <w:sz w:val="24"/>
          <w:szCs w:val="24"/>
        </w:rPr>
        <w:t>(</w:t>
      </w:r>
      <w:r w:rsidR="007D6324" w:rsidRPr="007D6324">
        <w:rPr>
          <w:rFonts w:asciiTheme="majorBidi" w:hAnsiTheme="majorBidi" w:cstheme="majorBidi"/>
          <w:color w:val="000000" w:themeColor="text1"/>
          <w:sz w:val="24"/>
          <w:szCs w:val="24"/>
        </w:rPr>
        <w:t>Kumar</w:t>
      </w:r>
      <w:r w:rsidR="00D84D22" w:rsidRPr="007D6324">
        <w:rPr>
          <w:rFonts w:asciiTheme="majorBidi" w:hAnsiTheme="majorBidi" w:cstheme="majorBidi"/>
          <w:color w:val="000000" w:themeColor="text1"/>
          <w:sz w:val="24"/>
          <w:szCs w:val="24"/>
        </w:rPr>
        <w:t xml:space="preserve"> et al </w:t>
      </w:r>
      <w:proofErr w:type="gramStart"/>
      <w:r w:rsidR="00D84D22" w:rsidRPr="007D6324">
        <w:rPr>
          <w:rFonts w:asciiTheme="majorBidi" w:hAnsiTheme="majorBidi" w:cstheme="majorBidi"/>
          <w:color w:val="000000" w:themeColor="text1"/>
          <w:sz w:val="24"/>
          <w:szCs w:val="24"/>
        </w:rPr>
        <w:t>2024</w:t>
      </w:r>
      <w:r w:rsidR="00D84D22" w:rsidRPr="00AD1D59">
        <w:rPr>
          <w:rFonts w:asciiTheme="majorBidi" w:hAnsiTheme="majorBidi" w:cstheme="majorBidi"/>
          <w:color w:val="000000" w:themeColor="text1"/>
          <w:sz w:val="24"/>
          <w:szCs w:val="24"/>
        </w:rPr>
        <w:t>)</w:t>
      </w:r>
      <w:r w:rsidRPr="007D6324">
        <w:rPr>
          <w:rFonts w:asciiTheme="majorBidi" w:hAnsiTheme="majorBidi" w:cstheme="majorBidi"/>
          <w:color w:val="000000" w:themeColor="text1"/>
          <w:sz w:val="24"/>
          <w:szCs w:val="24"/>
        </w:rPr>
        <w:t>²</w:t>
      </w:r>
      <w:proofErr w:type="gramEnd"/>
      <w:r w:rsidRPr="007D6324">
        <w:rPr>
          <w:rFonts w:asciiTheme="majorBidi" w:hAnsiTheme="majorBidi" w:cstheme="majorBidi"/>
          <w:color w:val="000000" w:themeColor="text1"/>
          <w:sz w:val="24"/>
          <w:szCs w:val="24"/>
        </w:rPr>
        <w:t xml:space="preserve"> </w:t>
      </w:r>
      <w:r w:rsidRPr="00E94FCD">
        <w:rPr>
          <w:rFonts w:asciiTheme="majorBidi" w:hAnsiTheme="majorBidi" w:cstheme="majorBidi"/>
          <w:sz w:val="24"/>
          <w:szCs w:val="24"/>
        </w:rPr>
        <w:t>Cytopenias can present as isolated deficiencies (anemia, thrombocytopenia, or leukopenia), a reduction in two cell lines (</w:t>
      </w:r>
      <w:proofErr w:type="spellStart"/>
      <w:r w:rsidRPr="00E94FCD">
        <w:rPr>
          <w:rFonts w:asciiTheme="majorBidi" w:hAnsiTheme="majorBidi" w:cstheme="majorBidi"/>
          <w:b/>
          <w:bCs/>
          <w:sz w:val="24"/>
          <w:szCs w:val="24"/>
        </w:rPr>
        <w:t>bicytopenia</w:t>
      </w:r>
      <w:proofErr w:type="spellEnd"/>
      <w:r w:rsidRPr="00E94FCD">
        <w:rPr>
          <w:rFonts w:asciiTheme="majorBidi" w:hAnsiTheme="majorBidi" w:cstheme="majorBidi"/>
          <w:sz w:val="24"/>
          <w:szCs w:val="24"/>
        </w:rPr>
        <w:t>), or a reduction in all three cell lines (</w:t>
      </w:r>
      <w:r w:rsidRPr="00E94FCD">
        <w:rPr>
          <w:rFonts w:asciiTheme="majorBidi" w:hAnsiTheme="majorBidi" w:cstheme="majorBidi"/>
          <w:b/>
          <w:bCs/>
          <w:sz w:val="24"/>
          <w:szCs w:val="24"/>
        </w:rPr>
        <w:t>pancytopenia</w:t>
      </w:r>
      <w:r w:rsidRPr="00E94FCD">
        <w:rPr>
          <w:rFonts w:asciiTheme="majorBidi" w:hAnsiTheme="majorBidi" w:cstheme="majorBidi"/>
          <w:sz w:val="24"/>
          <w:szCs w:val="24"/>
        </w:rPr>
        <w:t>).</w:t>
      </w:r>
      <w:r w:rsidR="00D84D22" w:rsidRPr="00D84D22">
        <w:rPr>
          <w:rFonts w:asciiTheme="majorBidi" w:hAnsiTheme="majorBidi" w:cstheme="majorBidi"/>
          <w:color w:val="C00000"/>
          <w:sz w:val="24"/>
          <w:szCs w:val="24"/>
        </w:rPr>
        <w:t xml:space="preserve"> </w:t>
      </w:r>
      <w:r w:rsidR="00D84D22" w:rsidRPr="00AD1D59">
        <w:rPr>
          <w:rFonts w:asciiTheme="majorBidi" w:hAnsiTheme="majorBidi" w:cstheme="majorBidi"/>
          <w:color w:val="000000" w:themeColor="text1"/>
          <w:sz w:val="24"/>
          <w:szCs w:val="24"/>
        </w:rPr>
        <w:t>(</w:t>
      </w:r>
      <w:r w:rsidR="007D6324" w:rsidRPr="007D6324">
        <w:rPr>
          <w:rFonts w:asciiTheme="majorBidi" w:hAnsiTheme="majorBidi" w:cstheme="majorBidi"/>
          <w:color w:val="000000" w:themeColor="text1"/>
          <w:sz w:val="24"/>
          <w:szCs w:val="24"/>
        </w:rPr>
        <w:t>Murshed</w:t>
      </w:r>
      <w:r w:rsidR="00D84D22" w:rsidRPr="007D6324">
        <w:rPr>
          <w:rFonts w:asciiTheme="majorBidi" w:hAnsiTheme="majorBidi" w:cstheme="majorBidi"/>
          <w:color w:val="000000" w:themeColor="text1"/>
          <w:sz w:val="24"/>
          <w:szCs w:val="24"/>
        </w:rPr>
        <w:t xml:space="preserve"> et al </w:t>
      </w:r>
      <w:proofErr w:type="gramStart"/>
      <w:r w:rsidR="00D84D22" w:rsidRPr="007D6324">
        <w:rPr>
          <w:rFonts w:asciiTheme="majorBidi" w:hAnsiTheme="majorBidi" w:cstheme="majorBidi"/>
          <w:color w:val="000000" w:themeColor="text1"/>
          <w:sz w:val="24"/>
          <w:szCs w:val="24"/>
        </w:rPr>
        <w:t>202</w:t>
      </w:r>
      <w:r w:rsidR="007D6324" w:rsidRPr="007D6324">
        <w:rPr>
          <w:rFonts w:asciiTheme="majorBidi" w:hAnsiTheme="majorBidi" w:cstheme="majorBidi"/>
          <w:color w:val="000000" w:themeColor="text1"/>
          <w:sz w:val="24"/>
          <w:szCs w:val="24"/>
        </w:rPr>
        <w:t>5</w:t>
      </w:r>
      <w:r w:rsidR="00D84D22" w:rsidRPr="00AD1D59">
        <w:rPr>
          <w:rFonts w:asciiTheme="majorBidi" w:hAnsiTheme="majorBidi" w:cstheme="majorBidi"/>
          <w:color w:val="000000" w:themeColor="text1"/>
          <w:sz w:val="24"/>
          <w:szCs w:val="24"/>
        </w:rPr>
        <w:t>)</w:t>
      </w:r>
      <w:r w:rsidRPr="007D6324">
        <w:rPr>
          <w:rFonts w:asciiTheme="majorBidi" w:hAnsiTheme="majorBidi" w:cstheme="majorBidi"/>
          <w:color w:val="000000" w:themeColor="text1"/>
          <w:sz w:val="24"/>
          <w:szCs w:val="24"/>
        </w:rPr>
        <w:t>³</w:t>
      </w:r>
      <w:proofErr w:type="gramEnd"/>
    </w:p>
    <w:p w14:paraId="1B545983" w14:textId="535CA5A2" w:rsidR="00E94FCD" w:rsidRPr="00E94FCD" w:rsidRDefault="00E94FCD" w:rsidP="00D84D22">
      <w:pPr>
        <w:spacing w:line="360" w:lineRule="auto"/>
        <w:rPr>
          <w:rFonts w:asciiTheme="majorBidi" w:hAnsiTheme="majorBidi" w:cstheme="majorBidi"/>
          <w:sz w:val="24"/>
          <w:szCs w:val="24"/>
        </w:rPr>
      </w:pPr>
      <w:r w:rsidRPr="00E94FCD">
        <w:rPr>
          <w:rFonts w:asciiTheme="majorBidi" w:hAnsiTheme="majorBidi" w:cstheme="majorBidi"/>
          <w:sz w:val="24"/>
          <w:szCs w:val="24"/>
        </w:rPr>
        <w:t>The presence of cytopenia is a critical clinical sign, frequently as the initial indicator of underlying bone marrow pathology, including HM.</w:t>
      </w:r>
      <w:r w:rsidR="00D84D22" w:rsidRPr="00D84D22">
        <w:rPr>
          <w:rFonts w:asciiTheme="majorBidi" w:hAnsiTheme="majorBidi" w:cstheme="majorBidi"/>
          <w:color w:val="C00000"/>
          <w:sz w:val="24"/>
          <w:szCs w:val="24"/>
        </w:rPr>
        <w:t xml:space="preserve"> </w:t>
      </w:r>
      <w:r w:rsidR="00D84D22" w:rsidRPr="00AD1D59">
        <w:rPr>
          <w:rFonts w:asciiTheme="majorBidi" w:hAnsiTheme="majorBidi" w:cstheme="majorBidi"/>
          <w:color w:val="000000" w:themeColor="text1"/>
          <w:sz w:val="24"/>
          <w:szCs w:val="24"/>
        </w:rPr>
        <w:t>(</w:t>
      </w:r>
      <w:r w:rsidR="007D6324" w:rsidRPr="007D6324">
        <w:rPr>
          <w:rFonts w:asciiTheme="majorBidi" w:hAnsiTheme="majorBidi" w:cstheme="majorBidi"/>
          <w:color w:val="000000" w:themeColor="text1"/>
          <w:sz w:val="24"/>
          <w:szCs w:val="24"/>
        </w:rPr>
        <w:t>de Almeida</w:t>
      </w:r>
      <w:r w:rsidR="00D84D22" w:rsidRPr="007D6324">
        <w:rPr>
          <w:rFonts w:asciiTheme="majorBidi" w:hAnsiTheme="majorBidi" w:cstheme="majorBidi"/>
          <w:color w:val="000000" w:themeColor="text1"/>
          <w:sz w:val="24"/>
          <w:szCs w:val="24"/>
        </w:rPr>
        <w:t xml:space="preserve"> et al </w:t>
      </w:r>
      <w:proofErr w:type="gramStart"/>
      <w:r w:rsidR="00D84D22" w:rsidRPr="007D6324">
        <w:rPr>
          <w:rFonts w:asciiTheme="majorBidi" w:hAnsiTheme="majorBidi" w:cstheme="majorBidi"/>
          <w:color w:val="000000" w:themeColor="text1"/>
          <w:sz w:val="24"/>
          <w:szCs w:val="24"/>
        </w:rPr>
        <w:t>202</w:t>
      </w:r>
      <w:r w:rsidR="007D6324" w:rsidRPr="007D6324">
        <w:rPr>
          <w:rFonts w:asciiTheme="majorBidi" w:hAnsiTheme="majorBidi" w:cstheme="majorBidi"/>
          <w:color w:val="000000" w:themeColor="text1"/>
          <w:sz w:val="24"/>
          <w:szCs w:val="24"/>
        </w:rPr>
        <w:t>3</w:t>
      </w:r>
      <w:r w:rsidR="00D84D22" w:rsidRPr="00AD1D59">
        <w:rPr>
          <w:rFonts w:asciiTheme="majorBidi" w:hAnsiTheme="majorBidi" w:cstheme="majorBidi"/>
          <w:color w:val="000000" w:themeColor="text1"/>
          <w:sz w:val="24"/>
          <w:szCs w:val="24"/>
        </w:rPr>
        <w:t>)</w:t>
      </w:r>
      <w:r w:rsidRPr="007D6324">
        <w:rPr>
          <w:rFonts w:asciiTheme="majorBidi" w:hAnsiTheme="majorBidi" w:cstheme="majorBidi"/>
          <w:color w:val="000000" w:themeColor="text1"/>
          <w:sz w:val="24"/>
          <w:szCs w:val="24"/>
        </w:rPr>
        <w:t>⁴</w:t>
      </w:r>
      <w:proofErr w:type="gramEnd"/>
      <w:r w:rsidRPr="007D6324">
        <w:rPr>
          <w:rFonts w:asciiTheme="majorBidi" w:hAnsiTheme="majorBidi" w:cstheme="majorBidi"/>
          <w:color w:val="000000" w:themeColor="text1"/>
          <w:sz w:val="24"/>
          <w:szCs w:val="24"/>
        </w:rPr>
        <w:t xml:space="preserve"> </w:t>
      </w:r>
      <w:r w:rsidRPr="00E94FCD">
        <w:rPr>
          <w:rFonts w:asciiTheme="majorBidi" w:hAnsiTheme="majorBidi" w:cstheme="majorBidi"/>
          <w:sz w:val="24"/>
          <w:szCs w:val="24"/>
        </w:rPr>
        <w:t xml:space="preserve">In particular,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are considered serious clinic-hematological entities with a broad differential diagnosis, often pointing towards significant bone marrow suppression or infiltration by malignant cells.</w:t>
      </w:r>
      <w:r w:rsidR="00D84D22" w:rsidRPr="00D84D22">
        <w:rPr>
          <w:rFonts w:asciiTheme="majorBidi" w:hAnsiTheme="majorBidi" w:cstheme="majorBidi"/>
          <w:color w:val="C00000"/>
          <w:sz w:val="24"/>
          <w:szCs w:val="24"/>
        </w:rPr>
        <w:t xml:space="preserve"> </w:t>
      </w:r>
      <w:r w:rsidR="00D84D22" w:rsidRPr="00AD1D59">
        <w:rPr>
          <w:rFonts w:asciiTheme="majorBidi" w:hAnsiTheme="majorBidi" w:cstheme="majorBidi"/>
          <w:color w:val="000000" w:themeColor="text1"/>
          <w:sz w:val="24"/>
          <w:szCs w:val="24"/>
        </w:rPr>
        <w:t>(</w:t>
      </w:r>
      <w:r w:rsidR="00D84D22" w:rsidRPr="00D84D22">
        <w:rPr>
          <w:rFonts w:asciiTheme="majorBidi" w:hAnsiTheme="majorBidi" w:cstheme="majorBidi"/>
          <w:color w:val="000000" w:themeColor="text1"/>
          <w:sz w:val="24"/>
          <w:szCs w:val="24"/>
        </w:rPr>
        <w:t xml:space="preserve">Sharma et al </w:t>
      </w:r>
      <w:proofErr w:type="gramStart"/>
      <w:r w:rsidR="00D84D22" w:rsidRPr="00D84D22">
        <w:rPr>
          <w:rFonts w:asciiTheme="majorBidi" w:hAnsiTheme="majorBidi" w:cstheme="majorBidi"/>
          <w:color w:val="000000" w:themeColor="text1"/>
          <w:sz w:val="24"/>
          <w:szCs w:val="24"/>
        </w:rPr>
        <w:t>2023</w:t>
      </w:r>
      <w:r w:rsidR="00D84D22" w:rsidRPr="00AD1D59">
        <w:rPr>
          <w:rFonts w:asciiTheme="majorBidi" w:hAnsiTheme="majorBidi" w:cstheme="majorBidi"/>
          <w:color w:val="000000" w:themeColor="text1"/>
          <w:sz w:val="24"/>
          <w:szCs w:val="24"/>
        </w:rPr>
        <w:t>)</w:t>
      </w:r>
      <w:r w:rsidRPr="00D84D22">
        <w:rPr>
          <w:rFonts w:asciiTheme="majorBidi" w:hAnsiTheme="majorBidi" w:cstheme="majorBidi"/>
          <w:color w:val="000000" w:themeColor="text1"/>
          <w:sz w:val="24"/>
          <w:szCs w:val="24"/>
        </w:rPr>
        <w:t>⁵</w:t>
      </w:r>
      <w:proofErr w:type="gramEnd"/>
      <w:r w:rsidRPr="00D84D22">
        <w:rPr>
          <w:rFonts w:asciiTheme="majorBidi" w:hAnsiTheme="majorBidi" w:cstheme="majorBidi"/>
          <w:color w:val="000000" w:themeColor="text1"/>
          <w:sz w:val="24"/>
          <w:szCs w:val="24"/>
        </w:rPr>
        <w:t xml:space="preserve"> </w:t>
      </w:r>
      <w:r w:rsidRPr="00E94FCD">
        <w:rPr>
          <w:rFonts w:asciiTheme="majorBidi" w:hAnsiTheme="majorBidi" w:cstheme="majorBidi"/>
          <w:sz w:val="24"/>
          <w:szCs w:val="24"/>
        </w:rPr>
        <w:t>Given the high morbidity and mortality associated with severe cytopenias, especially in settings with limited healthcare resources, understanding the local spectrum of HMs and their specific cytopenic presentations is vital for timely and accurate diagnosis and management.</w:t>
      </w:r>
      <w:r w:rsidR="00D84D22" w:rsidRPr="00D84D22">
        <w:rPr>
          <w:rFonts w:asciiTheme="majorBidi" w:hAnsiTheme="majorBidi" w:cstheme="majorBidi"/>
          <w:sz w:val="24"/>
          <w:szCs w:val="24"/>
        </w:rPr>
        <w:t xml:space="preserve"> </w:t>
      </w:r>
      <w:r w:rsidR="00D84D22" w:rsidRPr="00AD1D59">
        <w:rPr>
          <w:rFonts w:asciiTheme="majorBidi" w:hAnsiTheme="majorBidi" w:cstheme="majorBidi"/>
          <w:color w:val="000000" w:themeColor="text1"/>
          <w:sz w:val="24"/>
          <w:szCs w:val="24"/>
        </w:rPr>
        <w:t>(</w:t>
      </w:r>
      <w:r w:rsidR="00D84D22" w:rsidRPr="007D6324">
        <w:rPr>
          <w:rFonts w:asciiTheme="majorBidi" w:hAnsiTheme="majorBidi" w:cstheme="majorBidi"/>
          <w:color w:val="000000" w:themeColor="text1"/>
          <w:sz w:val="24"/>
          <w:szCs w:val="24"/>
        </w:rPr>
        <w:t xml:space="preserve">Logeshwaran et al </w:t>
      </w:r>
      <w:proofErr w:type="gramStart"/>
      <w:r w:rsidR="00D84D22" w:rsidRPr="007D6324">
        <w:rPr>
          <w:rFonts w:asciiTheme="majorBidi" w:hAnsiTheme="majorBidi" w:cstheme="majorBidi"/>
          <w:color w:val="000000" w:themeColor="text1"/>
          <w:sz w:val="24"/>
          <w:szCs w:val="24"/>
        </w:rPr>
        <w:t>2024</w:t>
      </w:r>
      <w:r w:rsidR="00D84D22" w:rsidRPr="00AD1D59">
        <w:rPr>
          <w:rFonts w:asciiTheme="majorBidi" w:hAnsiTheme="majorBidi" w:cstheme="majorBidi"/>
          <w:color w:val="000000" w:themeColor="text1"/>
          <w:sz w:val="24"/>
          <w:szCs w:val="24"/>
        </w:rPr>
        <w:t>)</w:t>
      </w:r>
      <w:r w:rsidRPr="007D6324">
        <w:rPr>
          <w:rFonts w:asciiTheme="majorBidi" w:hAnsiTheme="majorBidi" w:cstheme="majorBidi"/>
          <w:color w:val="000000" w:themeColor="text1"/>
          <w:sz w:val="24"/>
          <w:szCs w:val="24"/>
        </w:rPr>
        <w:t>⁶</w:t>
      </w:r>
      <w:proofErr w:type="gramEnd"/>
    </w:p>
    <w:p w14:paraId="0DFAADBE" w14:textId="42120811" w:rsidR="00E94FCD" w:rsidRPr="00E94FCD" w:rsidRDefault="00E94FCD" w:rsidP="00D84D22">
      <w:pPr>
        <w:spacing w:line="360" w:lineRule="auto"/>
        <w:rPr>
          <w:rFonts w:asciiTheme="majorBidi" w:hAnsiTheme="majorBidi" w:cstheme="majorBidi"/>
          <w:sz w:val="24"/>
          <w:szCs w:val="24"/>
        </w:rPr>
      </w:pPr>
      <w:r w:rsidRPr="00E94FCD">
        <w:rPr>
          <w:rFonts w:asciiTheme="majorBidi" w:hAnsiTheme="majorBidi" w:cstheme="majorBidi"/>
          <w:sz w:val="24"/>
          <w:szCs w:val="24"/>
        </w:rPr>
        <w:t>The current study focuses on a patient cohort from the National Oncology Center in Aden, Yemen, a region where data on the precise epidemiological and clinical patterns of HMs remain scarce. While previous local studies have indicated a high prevalence of lymphomas</w:t>
      </w:r>
      <w:r w:rsidR="00D84D22">
        <w:rPr>
          <w:rFonts w:asciiTheme="majorBidi" w:hAnsiTheme="majorBidi" w:cstheme="majorBidi"/>
          <w:sz w:val="24"/>
          <w:szCs w:val="24"/>
        </w:rPr>
        <w:t xml:space="preserve"> </w:t>
      </w:r>
      <w:r w:rsidR="00D84D22" w:rsidRPr="00AD1D59">
        <w:rPr>
          <w:rFonts w:asciiTheme="majorBidi" w:hAnsiTheme="majorBidi" w:cstheme="majorBidi"/>
          <w:sz w:val="24"/>
          <w:szCs w:val="24"/>
        </w:rPr>
        <w:t>(</w:t>
      </w:r>
      <w:r w:rsidR="00D84D22" w:rsidRPr="00D84D22">
        <w:rPr>
          <w:rFonts w:asciiTheme="majorBidi" w:hAnsiTheme="majorBidi" w:cstheme="majorBidi"/>
          <w:sz w:val="24"/>
          <w:szCs w:val="24"/>
        </w:rPr>
        <w:t>Al-Nabhi</w:t>
      </w:r>
      <w:r w:rsidR="00D84D22">
        <w:rPr>
          <w:rFonts w:asciiTheme="majorBidi" w:hAnsiTheme="majorBidi" w:cstheme="majorBidi"/>
          <w:sz w:val="24"/>
          <w:szCs w:val="24"/>
        </w:rPr>
        <w:t xml:space="preserve"> et al </w:t>
      </w:r>
      <w:proofErr w:type="gramStart"/>
      <w:r w:rsidR="00D84D22">
        <w:rPr>
          <w:rFonts w:asciiTheme="majorBidi" w:hAnsiTheme="majorBidi" w:cstheme="majorBidi"/>
          <w:sz w:val="24"/>
          <w:szCs w:val="24"/>
        </w:rPr>
        <w:t>2017</w:t>
      </w:r>
      <w:r w:rsidR="00D84D22" w:rsidRPr="00AD1D59">
        <w:rPr>
          <w:rFonts w:asciiTheme="majorBidi" w:hAnsiTheme="majorBidi" w:cstheme="majorBidi"/>
          <w:sz w:val="24"/>
          <w:szCs w:val="24"/>
        </w:rPr>
        <w:t>)</w:t>
      </w:r>
      <w:r w:rsidRPr="00E94FCD">
        <w:rPr>
          <w:rFonts w:asciiTheme="majorBidi" w:hAnsiTheme="majorBidi" w:cstheme="majorBidi"/>
          <w:sz w:val="24"/>
          <w:szCs w:val="24"/>
        </w:rPr>
        <w:t>⁷</w:t>
      </w:r>
      <w:proofErr w:type="gramEnd"/>
      <w:r w:rsidRPr="00E94FCD">
        <w:rPr>
          <w:rFonts w:asciiTheme="majorBidi" w:hAnsiTheme="majorBidi" w:cstheme="majorBidi"/>
          <w:sz w:val="24"/>
          <w:szCs w:val="24"/>
        </w:rPr>
        <w:t xml:space="preserve"> and highlighted the significance of pancytopenia,</w:t>
      </w:r>
      <w:r w:rsidR="007D6324" w:rsidRPr="007D6324">
        <w:rPr>
          <w:rFonts w:asciiTheme="majorBidi" w:hAnsiTheme="majorBidi" w:cstheme="majorBidi"/>
          <w:sz w:val="24"/>
          <w:szCs w:val="24"/>
        </w:rPr>
        <w:t xml:space="preserve"> </w:t>
      </w:r>
      <w:r w:rsidR="007D6324" w:rsidRPr="00AD1D59">
        <w:rPr>
          <w:rFonts w:asciiTheme="majorBidi" w:hAnsiTheme="majorBidi" w:cstheme="majorBidi"/>
          <w:sz w:val="24"/>
          <w:szCs w:val="24"/>
        </w:rPr>
        <w:t>(</w:t>
      </w:r>
      <w:r w:rsidR="007D6324">
        <w:rPr>
          <w:rFonts w:asciiTheme="majorBidi" w:hAnsiTheme="majorBidi" w:cstheme="majorBidi"/>
          <w:sz w:val="24"/>
          <w:szCs w:val="24"/>
        </w:rPr>
        <w:t>Hamid et al 2008</w:t>
      </w:r>
      <w:r w:rsidR="007D6324" w:rsidRPr="00AD1D59">
        <w:rPr>
          <w:rFonts w:asciiTheme="majorBidi" w:hAnsiTheme="majorBidi" w:cstheme="majorBidi"/>
          <w:sz w:val="24"/>
          <w:szCs w:val="24"/>
        </w:rPr>
        <w:t>)</w:t>
      </w:r>
      <w:r w:rsidRPr="00E94FCD">
        <w:rPr>
          <w:rFonts w:asciiTheme="majorBidi" w:hAnsiTheme="majorBidi" w:cstheme="majorBidi"/>
          <w:sz w:val="24"/>
          <w:szCs w:val="24"/>
        </w:rPr>
        <w:t xml:space="preserve">⁸ a comprehensive analysis linking the full spectrum of HMs to specific patterns of peripheral cytopenia is lacking. This research therefore aims to bridge this knowledge gap by providing an </w:t>
      </w:r>
      <w:r w:rsidRPr="00E94FCD">
        <w:rPr>
          <w:rFonts w:asciiTheme="majorBidi" w:hAnsiTheme="majorBidi" w:cstheme="majorBidi"/>
          <w:sz w:val="24"/>
          <w:szCs w:val="24"/>
        </w:rPr>
        <w:lastRenderedPageBreak/>
        <w:t>in-depth analysis of the relationship between HM subtypes and cytopenia patterns. To the best of our knowledge, this is the first study from Aden, Yemen, that comprehensively correlates the complete spectrum of hematological malignancies with specific patterns of peripheral cytopenia. The findings are intended to provide crucial clinical insights for diagnostic triage and inform optimized diagnostic protocols in resource-constrained settings like Yemen.</w:t>
      </w:r>
    </w:p>
    <w:p w14:paraId="64E7F982"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 Methods</w:t>
      </w:r>
    </w:p>
    <w:p w14:paraId="325BE5DD"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2.1. Study Design and Setting</w:t>
      </w:r>
    </w:p>
    <w:p w14:paraId="0A8E2FDF"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This was a descriptive, retrospective study conducted at the Hematology Department of the National Oncology Center in Aden, Yemen. The study period spanned from January 2019 to December 2020.</w:t>
      </w:r>
    </w:p>
    <w:p w14:paraId="0BCF36A9"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2.2. Study Population</w:t>
      </w:r>
    </w:p>
    <w:p w14:paraId="2770B12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 study included a total of 70 patients who were definitively diagnosed with a hematological malignancy based on bone marrow examination and other necessary investigations.</w:t>
      </w:r>
    </w:p>
    <w:p w14:paraId="29493B7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Inclusion criteria</w:t>
      </w:r>
      <w:r w:rsidRPr="00E94FCD">
        <w:rPr>
          <w:rFonts w:asciiTheme="majorBidi" w:hAnsiTheme="majorBidi" w:cstheme="majorBidi"/>
          <w:sz w:val="24"/>
          <w:szCs w:val="24"/>
        </w:rPr>
        <w:t> comprised: 1) age ≥ 15 years; 2) new diagnosis of HM confirmed by bone marrow aspiration/biopsy and WHO criteria; 3) availability of complete medical records including full blood count at diagnosis.</w:t>
      </w:r>
    </w:p>
    <w:p w14:paraId="797B7907"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Exclusion criteria</w:t>
      </w:r>
      <w:r w:rsidRPr="00E94FCD">
        <w:rPr>
          <w:rFonts w:asciiTheme="majorBidi" w:hAnsiTheme="majorBidi" w:cstheme="majorBidi"/>
          <w:sz w:val="24"/>
          <w:szCs w:val="24"/>
        </w:rPr>
        <w:t> were: 1) patients with incomplete diagnostic data; 2) patients with secondary/recurrent malignancies; 3) patients who had received chemotherapy or radiotherapy prior to the diagnostic workup at our center.</w:t>
      </w:r>
    </w:p>
    <w:p w14:paraId="10DF0D36"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2.3. Data Collection and Diagnostic Procedures</w:t>
      </w:r>
    </w:p>
    <w:p w14:paraId="580A9A4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Data were collected from patient records and included demographic information, clinical presentation, and laboratory results. The diagnostic workup for all patients included:</w:t>
      </w:r>
    </w:p>
    <w:p w14:paraId="29CD381D" w14:textId="77777777" w:rsidR="00E94FCD" w:rsidRPr="00E94FCD" w:rsidRDefault="00E94FCD" w:rsidP="002816C0">
      <w:pPr>
        <w:numPr>
          <w:ilvl w:val="0"/>
          <w:numId w:val="1"/>
        </w:numPr>
        <w:spacing w:line="360" w:lineRule="auto"/>
        <w:rPr>
          <w:rFonts w:asciiTheme="majorBidi" w:hAnsiTheme="majorBidi" w:cstheme="majorBidi"/>
          <w:sz w:val="24"/>
          <w:szCs w:val="24"/>
        </w:rPr>
      </w:pPr>
      <w:r w:rsidRPr="00E94FCD">
        <w:rPr>
          <w:rFonts w:asciiTheme="majorBidi" w:hAnsiTheme="majorBidi" w:cstheme="majorBidi"/>
          <w:sz w:val="24"/>
          <w:szCs w:val="24"/>
        </w:rPr>
        <w:t>Detailed history and physical examination.</w:t>
      </w:r>
    </w:p>
    <w:p w14:paraId="40EE6B5B" w14:textId="77777777" w:rsidR="00E94FCD" w:rsidRPr="00E94FCD" w:rsidRDefault="00E94FCD" w:rsidP="002816C0">
      <w:pPr>
        <w:numPr>
          <w:ilvl w:val="0"/>
          <w:numId w:val="1"/>
        </w:numPr>
        <w:spacing w:line="360" w:lineRule="auto"/>
        <w:rPr>
          <w:rFonts w:asciiTheme="majorBidi" w:hAnsiTheme="majorBidi" w:cstheme="majorBidi"/>
          <w:sz w:val="24"/>
          <w:szCs w:val="24"/>
        </w:rPr>
      </w:pPr>
      <w:r w:rsidRPr="00E94FCD">
        <w:rPr>
          <w:rFonts w:asciiTheme="majorBidi" w:hAnsiTheme="majorBidi" w:cstheme="majorBidi"/>
          <w:sz w:val="24"/>
          <w:szCs w:val="24"/>
        </w:rPr>
        <w:t>Full Blood Count (FBC) to assess for peripheral cytopenia.</w:t>
      </w:r>
    </w:p>
    <w:p w14:paraId="15994C17" w14:textId="77777777" w:rsidR="00E94FCD" w:rsidRPr="00E94FCD" w:rsidRDefault="00E94FCD" w:rsidP="002816C0">
      <w:pPr>
        <w:numPr>
          <w:ilvl w:val="0"/>
          <w:numId w:val="1"/>
        </w:numPr>
        <w:spacing w:line="360" w:lineRule="auto"/>
        <w:rPr>
          <w:rFonts w:asciiTheme="majorBidi" w:hAnsiTheme="majorBidi" w:cstheme="majorBidi"/>
          <w:sz w:val="24"/>
          <w:szCs w:val="24"/>
        </w:rPr>
      </w:pPr>
      <w:r w:rsidRPr="00E94FCD">
        <w:rPr>
          <w:rFonts w:asciiTheme="majorBidi" w:hAnsiTheme="majorBidi" w:cstheme="majorBidi"/>
          <w:sz w:val="24"/>
          <w:szCs w:val="24"/>
        </w:rPr>
        <w:t>Bone Marrow Aspiration and Biopsy, which was essential for the diagnosis and classification of HMs according to the World Health Organization (WHO) criteria.</w:t>
      </w:r>
    </w:p>
    <w:p w14:paraId="3508D384" w14:textId="77777777" w:rsidR="00E94FCD" w:rsidRPr="00E94FCD" w:rsidRDefault="00E94FCD" w:rsidP="002816C0">
      <w:pPr>
        <w:numPr>
          <w:ilvl w:val="0"/>
          <w:numId w:val="1"/>
        </w:num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Other complementary tests, such as immunophenotyping, BCR-ABL testing, and radiological/serological tests, were performed as required for specific diagnoses.</w:t>
      </w:r>
    </w:p>
    <w:p w14:paraId="2EA73B88"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2.4. Definitions of Cytopenia</w:t>
      </w:r>
    </w:p>
    <w:p w14:paraId="60A39C4F"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Peripheral cytopenia was defined as a reduction below the normal limit in one or more mature blood cell types.</w:t>
      </w:r>
    </w:p>
    <w:p w14:paraId="7FB05C9C" w14:textId="77777777" w:rsidR="00E94FCD" w:rsidRPr="00E94FCD" w:rsidRDefault="00E94FCD" w:rsidP="002816C0">
      <w:pPr>
        <w:numPr>
          <w:ilvl w:val="0"/>
          <w:numId w:val="2"/>
        </w:numPr>
        <w:spacing w:line="360" w:lineRule="auto"/>
        <w:rPr>
          <w:rFonts w:asciiTheme="majorBidi" w:hAnsiTheme="majorBidi" w:cstheme="majorBidi"/>
          <w:sz w:val="24"/>
          <w:szCs w:val="24"/>
        </w:rPr>
      </w:pPr>
      <w:r w:rsidRPr="00E94FCD">
        <w:rPr>
          <w:rFonts w:asciiTheme="majorBidi" w:hAnsiTheme="majorBidi" w:cstheme="majorBidi"/>
          <w:b/>
          <w:bCs/>
          <w:sz w:val="24"/>
          <w:szCs w:val="24"/>
        </w:rPr>
        <w:t>Anemia:</w:t>
      </w:r>
      <w:r w:rsidRPr="00E94FCD">
        <w:rPr>
          <w:rFonts w:asciiTheme="majorBidi" w:hAnsiTheme="majorBidi" w:cstheme="majorBidi"/>
          <w:sz w:val="24"/>
          <w:szCs w:val="24"/>
        </w:rPr>
        <w:t> Hemoglobin &lt; 10 g/dL.</w:t>
      </w:r>
    </w:p>
    <w:p w14:paraId="2BDDCBAD" w14:textId="77777777" w:rsidR="00E94FCD" w:rsidRPr="00E94FCD" w:rsidRDefault="00E94FCD" w:rsidP="002816C0">
      <w:pPr>
        <w:numPr>
          <w:ilvl w:val="0"/>
          <w:numId w:val="2"/>
        </w:numPr>
        <w:spacing w:line="360" w:lineRule="auto"/>
        <w:rPr>
          <w:rFonts w:asciiTheme="majorBidi" w:hAnsiTheme="majorBidi" w:cstheme="majorBidi"/>
          <w:sz w:val="24"/>
          <w:szCs w:val="24"/>
        </w:rPr>
      </w:pPr>
      <w:r w:rsidRPr="00E94FCD">
        <w:rPr>
          <w:rFonts w:asciiTheme="majorBidi" w:hAnsiTheme="majorBidi" w:cstheme="majorBidi"/>
          <w:b/>
          <w:bCs/>
          <w:sz w:val="24"/>
          <w:szCs w:val="24"/>
        </w:rPr>
        <w:t>Leukopenia:</w:t>
      </w:r>
      <w:r w:rsidRPr="00E94FCD">
        <w:rPr>
          <w:rFonts w:asciiTheme="majorBidi" w:hAnsiTheme="majorBidi" w:cstheme="majorBidi"/>
          <w:sz w:val="24"/>
          <w:szCs w:val="24"/>
        </w:rPr>
        <w:t> Total Leukocyte Count &lt; 3,000/mm³.</w:t>
      </w:r>
    </w:p>
    <w:p w14:paraId="76DB8130" w14:textId="77777777" w:rsidR="00E94FCD" w:rsidRPr="00E94FCD" w:rsidRDefault="00E94FCD" w:rsidP="002816C0">
      <w:pPr>
        <w:numPr>
          <w:ilvl w:val="0"/>
          <w:numId w:val="2"/>
        </w:numPr>
        <w:spacing w:line="360" w:lineRule="auto"/>
        <w:rPr>
          <w:rFonts w:asciiTheme="majorBidi" w:hAnsiTheme="majorBidi" w:cstheme="majorBidi"/>
          <w:sz w:val="24"/>
          <w:szCs w:val="24"/>
        </w:rPr>
      </w:pPr>
      <w:r w:rsidRPr="00E94FCD">
        <w:rPr>
          <w:rFonts w:asciiTheme="majorBidi" w:hAnsiTheme="majorBidi" w:cstheme="majorBidi"/>
          <w:b/>
          <w:bCs/>
          <w:sz w:val="24"/>
          <w:szCs w:val="24"/>
        </w:rPr>
        <w:t>Neutropenia:</w:t>
      </w:r>
      <w:r w:rsidRPr="00E94FCD">
        <w:rPr>
          <w:rFonts w:asciiTheme="majorBidi" w:hAnsiTheme="majorBidi" w:cstheme="majorBidi"/>
          <w:sz w:val="24"/>
          <w:szCs w:val="24"/>
        </w:rPr>
        <w:t> Absolute Neutrophil Count &lt; 1,800/mm³.</w:t>
      </w:r>
    </w:p>
    <w:p w14:paraId="5DF80A5E" w14:textId="77777777" w:rsidR="00E94FCD" w:rsidRPr="00E94FCD" w:rsidRDefault="00E94FCD" w:rsidP="002816C0">
      <w:pPr>
        <w:numPr>
          <w:ilvl w:val="0"/>
          <w:numId w:val="2"/>
        </w:numPr>
        <w:spacing w:line="360" w:lineRule="auto"/>
        <w:rPr>
          <w:rFonts w:asciiTheme="majorBidi" w:hAnsiTheme="majorBidi" w:cstheme="majorBidi"/>
          <w:sz w:val="24"/>
          <w:szCs w:val="24"/>
        </w:rPr>
      </w:pPr>
      <w:r w:rsidRPr="00E94FCD">
        <w:rPr>
          <w:rFonts w:asciiTheme="majorBidi" w:hAnsiTheme="majorBidi" w:cstheme="majorBidi"/>
          <w:b/>
          <w:bCs/>
          <w:sz w:val="24"/>
          <w:szCs w:val="24"/>
        </w:rPr>
        <w:t>Thrombocytopenia:</w:t>
      </w:r>
      <w:r w:rsidRPr="00E94FCD">
        <w:rPr>
          <w:rFonts w:asciiTheme="majorBidi" w:hAnsiTheme="majorBidi" w:cstheme="majorBidi"/>
          <w:sz w:val="24"/>
          <w:szCs w:val="24"/>
        </w:rPr>
        <w:t> Platelet Count &lt; 100,000/mm³.</w:t>
      </w:r>
    </w:p>
    <w:p w14:paraId="0FB2A2C6" w14:textId="77777777" w:rsidR="00E94FCD" w:rsidRPr="00E94FCD" w:rsidRDefault="00E94FCD" w:rsidP="002816C0">
      <w:pPr>
        <w:numPr>
          <w:ilvl w:val="0"/>
          <w:numId w:val="2"/>
        </w:numPr>
        <w:spacing w:line="360" w:lineRule="auto"/>
        <w:rPr>
          <w:rFonts w:asciiTheme="majorBidi" w:hAnsiTheme="majorBidi" w:cstheme="majorBidi"/>
          <w:sz w:val="24"/>
          <w:szCs w:val="24"/>
        </w:rPr>
      </w:pPr>
      <w:proofErr w:type="spellStart"/>
      <w:r w:rsidRPr="00E94FCD">
        <w:rPr>
          <w:rFonts w:asciiTheme="majorBidi" w:hAnsiTheme="majorBidi" w:cstheme="majorBidi"/>
          <w:b/>
          <w:bCs/>
          <w:sz w:val="24"/>
          <w:szCs w:val="24"/>
        </w:rPr>
        <w:t>Bicytopenia</w:t>
      </w:r>
      <w:proofErr w:type="spellEnd"/>
      <w:r w:rsidRPr="00E94FCD">
        <w:rPr>
          <w:rFonts w:asciiTheme="majorBidi" w:hAnsiTheme="majorBidi" w:cstheme="majorBidi"/>
          <w:b/>
          <w:bCs/>
          <w:sz w:val="24"/>
          <w:szCs w:val="24"/>
        </w:rPr>
        <w:t>:</w:t>
      </w:r>
      <w:r w:rsidRPr="00E94FCD">
        <w:rPr>
          <w:rFonts w:asciiTheme="majorBidi" w:hAnsiTheme="majorBidi" w:cstheme="majorBidi"/>
          <w:sz w:val="24"/>
          <w:szCs w:val="24"/>
        </w:rPr>
        <w:t> Reduction in any two cell lines.</w:t>
      </w:r>
    </w:p>
    <w:p w14:paraId="531B4B9D" w14:textId="77777777" w:rsidR="00E94FCD" w:rsidRPr="00E94FCD" w:rsidRDefault="00E94FCD" w:rsidP="002816C0">
      <w:pPr>
        <w:numPr>
          <w:ilvl w:val="0"/>
          <w:numId w:val="2"/>
        </w:numPr>
        <w:spacing w:line="360" w:lineRule="auto"/>
        <w:rPr>
          <w:rFonts w:asciiTheme="majorBidi" w:hAnsiTheme="majorBidi" w:cstheme="majorBidi"/>
          <w:sz w:val="24"/>
          <w:szCs w:val="24"/>
        </w:rPr>
      </w:pPr>
      <w:r w:rsidRPr="00E94FCD">
        <w:rPr>
          <w:rFonts w:asciiTheme="majorBidi" w:hAnsiTheme="majorBidi" w:cstheme="majorBidi"/>
          <w:b/>
          <w:bCs/>
          <w:sz w:val="24"/>
          <w:szCs w:val="24"/>
        </w:rPr>
        <w:t>Pancytopenia:</w:t>
      </w:r>
      <w:r w:rsidRPr="00E94FCD">
        <w:rPr>
          <w:rFonts w:asciiTheme="majorBidi" w:hAnsiTheme="majorBidi" w:cstheme="majorBidi"/>
          <w:sz w:val="24"/>
          <w:szCs w:val="24"/>
        </w:rPr>
        <w:t> Reduction in all three cell lines (red cells, white cells, and platelets).</w:t>
      </w:r>
    </w:p>
    <w:p w14:paraId="59309D07"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2.5. Statistical Analysis</w:t>
      </w:r>
    </w:p>
    <w:p w14:paraId="3904EAF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Data entry and analysis were performed using the Statistical Package for the Social Sciences (SPSS version 26, IBM Corp., Armonk, NY, USA). Descriptive statistics (frequencies, percentages, median) were used to summarize the data. The Chi-square test (or Fisher's exact test for expected cell counts &lt;5) was used to assess the statistical significance of associations between categorical variables, with a p-value of less than 0.05 considered statistically significant.</w:t>
      </w:r>
    </w:p>
    <w:p w14:paraId="7179FC8C"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 Results</w:t>
      </w:r>
    </w:p>
    <w:p w14:paraId="6FDA88EF"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3.1. Patient Demographics and Cytopenia Prevalence</w:t>
      </w:r>
    </w:p>
    <w:p w14:paraId="2DC41F4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 total of 70 patients with HMs were included in the study. The cohort consisted of 42 males (60.0%) and 28 females (40.0%), resulting in a male-to-female ratio of 1.5:1. The age of the patients ranged from 15 to 80 years, with a median age of 50 years.</w:t>
      </w:r>
    </w:p>
    <w:p w14:paraId="57EFBFC7"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Peripheral cytopenia was a highly prevalent finding, observed in </w:t>
      </w:r>
      <w:r w:rsidRPr="00E94FCD">
        <w:rPr>
          <w:rFonts w:asciiTheme="majorBidi" w:hAnsiTheme="majorBidi" w:cstheme="majorBidi"/>
          <w:b/>
          <w:bCs/>
          <w:sz w:val="24"/>
          <w:szCs w:val="24"/>
        </w:rPr>
        <w:t>84.3% (n=59)</w:t>
      </w:r>
      <w:r w:rsidRPr="00E94FCD">
        <w:rPr>
          <w:rFonts w:asciiTheme="majorBidi" w:hAnsiTheme="majorBidi" w:cstheme="majorBidi"/>
          <w:sz w:val="24"/>
          <w:szCs w:val="24"/>
        </w:rPr>
        <w:t> of the patients, while only 15.7% (n=11) had a normal peripheral blood count.</w:t>
      </w:r>
    </w:p>
    <w:p w14:paraId="239D13DB"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3.2. Spectrum of Hematological Malignancies</w:t>
      </w:r>
    </w:p>
    <w:p w14:paraId="5C0F74E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The distribution of HMs diagnosed by bone marrow examination among the entire cohort (n=70) is presented in Table 1.</w:t>
      </w:r>
    </w:p>
    <w:p w14:paraId="580397A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Table 1:</w:t>
      </w:r>
      <w:r w:rsidRPr="00E94FCD">
        <w:rPr>
          <w:rFonts w:asciiTheme="majorBidi" w:hAnsiTheme="majorBidi" w:cstheme="majorBidi"/>
          <w:sz w:val="24"/>
          <w:szCs w:val="24"/>
        </w:rPr>
        <w:t> Frequency of different hematological malignancies in the study cohort.</w:t>
      </w:r>
    </w:p>
    <w:tbl>
      <w:tblPr>
        <w:tblW w:w="11280" w:type="dxa"/>
        <w:tblCellMar>
          <w:top w:w="15" w:type="dxa"/>
          <w:left w:w="15" w:type="dxa"/>
          <w:bottom w:w="15" w:type="dxa"/>
          <w:right w:w="15" w:type="dxa"/>
        </w:tblCellMar>
        <w:tblLook w:val="04A0" w:firstRow="1" w:lastRow="0" w:firstColumn="1" w:lastColumn="0" w:noHBand="0" w:noVBand="1"/>
      </w:tblPr>
      <w:tblGrid>
        <w:gridCol w:w="5992"/>
        <w:gridCol w:w="2387"/>
        <w:gridCol w:w="2901"/>
      </w:tblGrid>
      <w:tr w:rsidR="00E94FCD" w:rsidRPr="00E94FCD" w14:paraId="013A6C4D" w14:textId="77777777">
        <w:trPr>
          <w:tblHeader/>
        </w:trPr>
        <w:tc>
          <w:tcPr>
            <w:tcW w:w="0" w:type="auto"/>
            <w:tcBorders>
              <w:top w:val="nil"/>
            </w:tcBorders>
            <w:tcMar>
              <w:top w:w="150" w:type="dxa"/>
              <w:left w:w="0" w:type="dxa"/>
              <w:bottom w:w="150" w:type="dxa"/>
              <w:right w:w="240" w:type="dxa"/>
            </w:tcMar>
            <w:vAlign w:val="center"/>
            <w:hideMark/>
          </w:tcPr>
          <w:p w14:paraId="1CDED40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Hematological Malignancy</w:t>
            </w:r>
          </w:p>
        </w:tc>
        <w:tc>
          <w:tcPr>
            <w:tcW w:w="0" w:type="auto"/>
            <w:tcBorders>
              <w:top w:val="nil"/>
            </w:tcBorders>
            <w:tcMar>
              <w:top w:w="150" w:type="dxa"/>
              <w:left w:w="240" w:type="dxa"/>
              <w:bottom w:w="150" w:type="dxa"/>
              <w:right w:w="240" w:type="dxa"/>
            </w:tcMar>
            <w:vAlign w:val="center"/>
            <w:hideMark/>
          </w:tcPr>
          <w:p w14:paraId="2B7957B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Number (n)</w:t>
            </w:r>
          </w:p>
        </w:tc>
        <w:tc>
          <w:tcPr>
            <w:tcW w:w="0" w:type="auto"/>
            <w:tcBorders>
              <w:top w:val="nil"/>
            </w:tcBorders>
            <w:tcMar>
              <w:top w:w="150" w:type="dxa"/>
              <w:left w:w="240" w:type="dxa"/>
              <w:bottom w:w="150" w:type="dxa"/>
              <w:right w:w="240" w:type="dxa"/>
            </w:tcMar>
            <w:vAlign w:val="center"/>
            <w:hideMark/>
          </w:tcPr>
          <w:p w14:paraId="6926669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Percentage (%)</w:t>
            </w:r>
          </w:p>
        </w:tc>
      </w:tr>
      <w:tr w:rsidR="00E94FCD" w:rsidRPr="00E94FCD" w14:paraId="7EF67961" w14:textId="77777777">
        <w:tc>
          <w:tcPr>
            <w:tcW w:w="0" w:type="auto"/>
            <w:tcMar>
              <w:top w:w="150" w:type="dxa"/>
              <w:left w:w="0" w:type="dxa"/>
              <w:bottom w:w="150" w:type="dxa"/>
              <w:right w:w="240" w:type="dxa"/>
            </w:tcMar>
            <w:vAlign w:val="center"/>
            <w:hideMark/>
          </w:tcPr>
          <w:p w14:paraId="3959775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Acute Lymphoblastic Leukemia (ALL)</w:t>
            </w:r>
          </w:p>
        </w:tc>
        <w:tc>
          <w:tcPr>
            <w:tcW w:w="0" w:type="auto"/>
            <w:tcMar>
              <w:top w:w="150" w:type="dxa"/>
              <w:left w:w="240" w:type="dxa"/>
              <w:bottom w:w="150" w:type="dxa"/>
              <w:right w:w="240" w:type="dxa"/>
            </w:tcMar>
            <w:vAlign w:val="center"/>
            <w:hideMark/>
          </w:tcPr>
          <w:p w14:paraId="3844861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20</w:t>
            </w:r>
          </w:p>
        </w:tc>
        <w:tc>
          <w:tcPr>
            <w:tcW w:w="0" w:type="auto"/>
            <w:tcMar>
              <w:top w:w="150" w:type="dxa"/>
              <w:left w:w="240" w:type="dxa"/>
              <w:bottom w:w="150" w:type="dxa"/>
              <w:right w:w="0" w:type="dxa"/>
            </w:tcMar>
            <w:vAlign w:val="center"/>
            <w:hideMark/>
          </w:tcPr>
          <w:p w14:paraId="37D845B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28.6</w:t>
            </w:r>
          </w:p>
        </w:tc>
      </w:tr>
      <w:tr w:rsidR="00E94FCD" w:rsidRPr="00E94FCD" w14:paraId="5EA8B3D4" w14:textId="77777777">
        <w:tc>
          <w:tcPr>
            <w:tcW w:w="0" w:type="auto"/>
            <w:tcMar>
              <w:top w:w="150" w:type="dxa"/>
              <w:left w:w="0" w:type="dxa"/>
              <w:bottom w:w="150" w:type="dxa"/>
              <w:right w:w="240" w:type="dxa"/>
            </w:tcMar>
            <w:vAlign w:val="center"/>
            <w:hideMark/>
          </w:tcPr>
          <w:p w14:paraId="509B758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Acute Myeloid Leukemia (AML)</w:t>
            </w:r>
          </w:p>
        </w:tc>
        <w:tc>
          <w:tcPr>
            <w:tcW w:w="0" w:type="auto"/>
            <w:tcMar>
              <w:top w:w="150" w:type="dxa"/>
              <w:left w:w="240" w:type="dxa"/>
              <w:bottom w:w="150" w:type="dxa"/>
              <w:right w:w="240" w:type="dxa"/>
            </w:tcMar>
            <w:vAlign w:val="center"/>
            <w:hideMark/>
          </w:tcPr>
          <w:p w14:paraId="76F8761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17</w:t>
            </w:r>
          </w:p>
        </w:tc>
        <w:tc>
          <w:tcPr>
            <w:tcW w:w="0" w:type="auto"/>
            <w:tcMar>
              <w:top w:w="150" w:type="dxa"/>
              <w:left w:w="240" w:type="dxa"/>
              <w:bottom w:w="150" w:type="dxa"/>
              <w:right w:w="0" w:type="dxa"/>
            </w:tcMar>
            <w:vAlign w:val="center"/>
            <w:hideMark/>
          </w:tcPr>
          <w:p w14:paraId="34D8079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24.3</w:t>
            </w:r>
          </w:p>
        </w:tc>
      </w:tr>
      <w:tr w:rsidR="00E94FCD" w:rsidRPr="00E94FCD" w14:paraId="6D2EB890" w14:textId="77777777">
        <w:tc>
          <w:tcPr>
            <w:tcW w:w="0" w:type="auto"/>
            <w:tcMar>
              <w:top w:w="150" w:type="dxa"/>
              <w:left w:w="0" w:type="dxa"/>
              <w:bottom w:w="150" w:type="dxa"/>
              <w:right w:w="240" w:type="dxa"/>
            </w:tcMar>
            <w:vAlign w:val="center"/>
            <w:hideMark/>
          </w:tcPr>
          <w:p w14:paraId="0907A2C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Non-Hodgkin's Lymphoma (NHL)</w:t>
            </w:r>
          </w:p>
        </w:tc>
        <w:tc>
          <w:tcPr>
            <w:tcW w:w="0" w:type="auto"/>
            <w:tcMar>
              <w:top w:w="150" w:type="dxa"/>
              <w:left w:w="240" w:type="dxa"/>
              <w:bottom w:w="150" w:type="dxa"/>
              <w:right w:w="240" w:type="dxa"/>
            </w:tcMar>
            <w:vAlign w:val="center"/>
            <w:hideMark/>
          </w:tcPr>
          <w:p w14:paraId="04FCB98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9</w:t>
            </w:r>
          </w:p>
        </w:tc>
        <w:tc>
          <w:tcPr>
            <w:tcW w:w="0" w:type="auto"/>
            <w:tcMar>
              <w:top w:w="150" w:type="dxa"/>
              <w:left w:w="240" w:type="dxa"/>
              <w:bottom w:w="150" w:type="dxa"/>
              <w:right w:w="0" w:type="dxa"/>
            </w:tcMar>
            <w:vAlign w:val="center"/>
            <w:hideMark/>
          </w:tcPr>
          <w:p w14:paraId="6E667F4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12.9</w:t>
            </w:r>
          </w:p>
        </w:tc>
      </w:tr>
      <w:tr w:rsidR="00E94FCD" w:rsidRPr="00E94FCD" w14:paraId="604F659D" w14:textId="77777777">
        <w:tc>
          <w:tcPr>
            <w:tcW w:w="0" w:type="auto"/>
            <w:tcMar>
              <w:top w:w="150" w:type="dxa"/>
              <w:left w:w="0" w:type="dxa"/>
              <w:bottom w:w="150" w:type="dxa"/>
              <w:right w:w="240" w:type="dxa"/>
            </w:tcMar>
            <w:vAlign w:val="center"/>
            <w:hideMark/>
          </w:tcPr>
          <w:p w14:paraId="346B557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Multiple Myeloma (MM)</w:t>
            </w:r>
          </w:p>
        </w:tc>
        <w:tc>
          <w:tcPr>
            <w:tcW w:w="0" w:type="auto"/>
            <w:tcMar>
              <w:top w:w="150" w:type="dxa"/>
              <w:left w:w="240" w:type="dxa"/>
              <w:bottom w:w="150" w:type="dxa"/>
              <w:right w:w="240" w:type="dxa"/>
            </w:tcMar>
            <w:vAlign w:val="center"/>
            <w:hideMark/>
          </w:tcPr>
          <w:p w14:paraId="14B97D8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9</w:t>
            </w:r>
          </w:p>
        </w:tc>
        <w:tc>
          <w:tcPr>
            <w:tcW w:w="0" w:type="auto"/>
            <w:tcMar>
              <w:top w:w="150" w:type="dxa"/>
              <w:left w:w="240" w:type="dxa"/>
              <w:bottom w:w="150" w:type="dxa"/>
              <w:right w:w="0" w:type="dxa"/>
            </w:tcMar>
            <w:vAlign w:val="center"/>
            <w:hideMark/>
          </w:tcPr>
          <w:p w14:paraId="2B11AE1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12.9</w:t>
            </w:r>
          </w:p>
        </w:tc>
      </w:tr>
      <w:tr w:rsidR="00E94FCD" w:rsidRPr="00E94FCD" w14:paraId="5F758439" w14:textId="77777777">
        <w:tc>
          <w:tcPr>
            <w:tcW w:w="0" w:type="auto"/>
            <w:tcMar>
              <w:top w:w="150" w:type="dxa"/>
              <w:left w:w="0" w:type="dxa"/>
              <w:bottom w:w="150" w:type="dxa"/>
              <w:right w:w="240" w:type="dxa"/>
            </w:tcMar>
            <w:vAlign w:val="center"/>
            <w:hideMark/>
          </w:tcPr>
          <w:p w14:paraId="60FA350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Chronic Myeloid Leukemia (CML)</w:t>
            </w:r>
          </w:p>
        </w:tc>
        <w:tc>
          <w:tcPr>
            <w:tcW w:w="0" w:type="auto"/>
            <w:tcMar>
              <w:top w:w="150" w:type="dxa"/>
              <w:left w:w="240" w:type="dxa"/>
              <w:bottom w:w="150" w:type="dxa"/>
              <w:right w:w="240" w:type="dxa"/>
            </w:tcMar>
            <w:vAlign w:val="center"/>
            <w:hideMark/>
          </w:tcPr>
          <w:p w14:paraId="79D0B36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w:t>
            </w:r>
          </w:p>
        </w:tc>
        <w:tc>
          <w:tcPr>
            <w:tcW w:w="0" w:type="auto"/>
            <w:tcMar>
              <w:top w:w="150" w:type="dxa"/>
              <w:left w:w="240" w:type="dxa"/>
              <w:bottom w:w="150" w:type="dxa"/>
              <w:right w:w="0" w:type="dxa"/>
            </w:tcMar>
            <w:vAlign w:val="center"/>
            <w:hideMark/>
          </w:tcPr>
          <w:p w14:paraId="567EF47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7.1</w:t>
            </w:r>
          </w:p>
        </w:tc>
      </w:tr>
      <w:tr w:rsidR="00E94FCD" w:rsidRPr="00E94FCD" w14:paraId="5AF14074" w14:textId="77777777">
        <w:tc>
          <w:tcPr>
            <w:tcW w:w="0" w:type="auto"/>
            <w:tcMar>
              <w:top w:w="150" w:type="dxa"/>
              <w:left w:w="0" w:type="dxa"/>
              <w:bottom w:w="150" w:type="dxa"/>
              <w:right w:w="240" w:type="dxa"/>
            </w:tcMar>
            <w:vAlign w:val="center"/>
            <w:hideMark/>
          </w:tcPr>
          <w:p w14:paraId="3A5E566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Chronic Lymphocytic Leukemia (CLL)</w:t>
            </w:r>
          </w:p>
        </w:tc>
        <w:tc>
          <w:tcPr>
            <w:tcW w:w="0" w:type="auto"/>
            <w:tcMar>
              <w:top w:w="150" w:type="dxa"/>
              <w:left w:w="240" w:type="dxa"/>
              <w:bottom w:w="150" w:type="dxa"/>
              <w:right w:w="240" w:type="dxa"/>
            </w:tcMar>
            <w:vAlign w:val="center"/>
            <w:hideMark/>
          </w:tcPr>
          <w:p w14:paraId="5024684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4</w:t>
            </w:r>
          </w:p>
        </w:tc>
        <w:tc>
          <w:tcPr>
            <w:tcW w:w="0" w:type="auto"/>
            <w:tcMar>
              <w:top w:w="150" w:type="dxa"/>
              <w:left w:w="240" w:type="dxa"/>
              <w:bottom w:w="150" w:type="dxa"/>
              <w:right w:w="0" w:type="dxa"/>
            </w:tcMar>
            <w:vAlign w:val="center"/>
            <w:hideMark/>
          </w:tcPr>
          <w:p w14:paraId="1FC16FF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5.7</w:t>
            </w:r>
          </w:p>
        </w:tc>
      </w:tr>
      <w:tr w:rsidR="00E94FCD" w:rsidRPr="00E94FCD" w14:paraId="723CEDFD" w14:textId="77777777">
        <w:tc>
          <w:tcPr>
            <w:tcW w:w="0" w:type="auto"/>
            <w:tcMar>
              <w:top w:w="150" w:type="dxa"/>
              <w:left w:w="0" w:type="dxa"/>
              <w:bottom w:w="150" w:type="dxa"/>
              <w:right w:w="240" w:type="dxa"/>
            </w:tcMar>
            <w:vAlign w:val="center"/>
            <w:hideMark/>
          </w:tcPr>
          <w:p w14:paraId="7442874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Hodgkin's Lymphoma (HL)</w:t>
            </w:r>
          </w:p>
        </w:tc>
        <w:tc>
          <w:tcPr>
            <w:tcW w:w="0" w:type="auto"/>
            <w:tcMar>
              <w:top w:w="150" w:type="dxa"/>
              <w:left w:w="240" w:type="dxa"/>
              <w:bottom w:w="150" w:type="dxa"/>
              <w:right w:w="240" w:type="dxa"/>
            </w:tcMar>
            <w:vAlign w:val="center"/>
            <w:hideMark/>
          </w:tcPr>
          <w:p w14:paraId="374D2A5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4</w:t>
            </w:r>
          </w:p>
        </w:tc>
        <w:tc>
          <w:tcPr>
            <w:tcW w:w="0" w:type="auto"/>
            <w:tcMar>
              <w:top w:w="150" w:type="dxa"/>
              <w:left w:w="240" w:type="dxa"/>
              <w:bottom w:w="150" w:type="dxa"/>
              <w:right w:w="0" w:type="dxa"/>
            </w:tcMar>
            <w:vAlign w:val="center"/>
            <w:hideMark/>
          </w:tcPr>
          <w:p w14:paraId="265DA98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5.7</w:t>
            </w:r>
          </w:p>
        </w:tc>
      </w:tr>
      <w:tr w:rsidR="00E94FCD" w:rsidRPr="00E94FCD" w14:paraId="15127A2F" w14:textId="77777777">
        <w:tc>
          <w:tcPr>
            <w:tcW w:w="0" w:type="auto"/>
            <w:tcMar>
              <w:top w:w="150" w:type="dxa"/>
              <w:left w:w="0" w:type="dxa"/>
              <w:bottom w:w="150" w:type="dxa"/>
              <w:right w:w="240" w:type="dxa"/>
            </w:tcMar>
            <w:vAlign w:val="center"/>
            <w:hideMark/>
          </w:tcPr>
          <w:p w14:paraId="2682F63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Essential Thrombocytosis (ET)</w:t>
            </w:r>
          </w:p>
        </w:tc>
        <w:tc>
          <w:tcPr>
            <w:tcW w:w="0" w:type="auto"/>
            <w:tcMar>
              <w:top w:w="150" w:type="dxa"/>
              <w:left w:w="240" w:type="dxa"/>
              <w:bottom w:w="150" w:type="dxa"/>
              <w:right w:w="240" w:type="dxa"/>
            </w:tcMar>
            <w:vAlign w:val="center"/>
            <w:hideMark/>
          </w:tcPr>
          <w:p w14:paraId="092CD78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w:t>
            </w:r>
          </w:p>
        </w:tc>
        <w:tc>
          <w:tcPr>
            <w:tcW w:w="0" w:type="auto"/>
            <w:tcMar>
              <w:top w:w="150" w:type="dxa"/>
              <w:left w:w="240" w:type="dxa"/>
              <w:bottom w:w="150" w:type="dxa"/>
              <w:right w:w="0" w:type="dxa"/>
            </w:tcMar>
            <w:vAlign w:val="center"/>
            <w:hideMark/>
          </w:tcPr>
          <w:p w14:paraId="1855225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1.4</w:t>
            </w:r>
          </w:p>
        </w:tc>
      </w:tr>
      <w:tr w:rsidR="00E94FCD" w:rsidRPr="00E94FCD" w14:paraId="30B1FEAB" w14:textId="77777777">
        <w:tc>
          <w:tcPr>
            <w:tcW w:w="0" w:type="auto"/>
            <w:tcMar>
              <w:top w:w="150" w:type="dxa"/>
              <w:left w:w="0" w:type="dxa"/>
              <w:bottom w:w="150" w:type="dxa"/>
              <w:right w:w="240" w:type="dxa"/>
            </w:tcMar>
            <w:vAlign w:val="center"/>
            <w:hideMark/>
          </w:tcPr>
          <w:p w14:paraId="00E6211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Myelodysplastic Syndrome (MDS)</w:t>
            </w:r>
          </w:p>
        </w:tc>
        <w:tc>
          <w:tcPr>
            <w:tcW w:w="0" w:type="auto"/>
            <w:tcMar>
              <w:top w:w="150" w:type="dxa"/>
              <w:left w:w="240" w:type="dxa"/>
              <w:bottom w:w="150" w:type="dxa"/>
              <w:right w:w="240" w:type="dxa"/>
            </w:tcMar>
            <w:vAlign w:val="center"/>
            <w:hideMark/>
          </w:tcPr>
          <w:p w14:paraId="1791065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w:t>
            </w:r>
          </w:p>
        </w:tc>
        <w:tc>
          <w:tcPr>
            <w:tcW w:w="0" w:type="auto"/>
            <w:tcMar>
              <w:top w:w="150" w:type="dxa"/>
              <w:left w:w="240" w:type="dxa"/>
              <w:bottom w:w="150" w:type="dxa"/>
              <w:right w:w="0" w:type="dxa"/>
            </w:tcMar>
            <w:vAlign w:val="center"/>
            <w:hideMark/>
          </w:tcPr>
          <w:p w14:paraId="31AC0E6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1.4</w:t>
            </w:r>
          </w:p>
        </w:tc>
      </w:tr>
      <w:tr w:rsidR="00E94FCD" w:rsidRPr="00E94FCD" w14:paraId="0D65E70F" w14:textId="77777777">
        <w:tc>
          <w:tcPr>
            <w:tcW w:w="0" w:type="auto"/>
            <w:tcMar>
              <w:top w:w="150" w:type="dxa"/>
              <w:left w:w="0" w:type="dxa"/>
              <w:bottom w:w="150" w:type="dxa"/>
              <w:right w:w="240" w:type="dxa"/>
            </w:tcMar>
            <w:vAlign w:val="center"/>
            <w:hideMark/>
          </w:tcPr>
          <w:p w14:paraId="3783B582"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Total</w:t>
            </w:r>
          </w:p>
        </w:tc>
        <w:tc>
          <w:tcPr>
            <w:tcW w:w="0" w:type="auto"/>
            <w:tcMar>
              <w:top w:w="150" w:type="dxa"/>
              <w:left w:w="240" w:type="dxa"/>
              <w:bottom w:w="150" w:type="dxa"/>
              <w:right w:w="240" w:type="dxa"/>
            </w:tcMar>
            <w:vAlign w:val="center"/>
            <w:hideMark/>
          </w:tcPr>
          <w:p w14:paraId="52D7141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70</w:t>
            </w:r>
          </w:p>
        </w:tc>
        <w:tc>
          <w:tcPr>
            <w:tcW w:w="0" w:type="auto"/>
            <w:tcMar>
              <w:top w:w="150" w:type="dxa"/>
              <w:left w:w="240" w:type="dxa"/>
              <w:bottom w:w="150" w:type="dxa"/>
              <w:right w:w="0" w:type="dxa"/>
            </w:tcMar>
            <w:vAlign w:val="center"/>
            <w:hideMark/>
          </w:tcPr>
          <w:p w14:paraId="202A2F5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100.0</w:t>
            </w:r>
          </w:p>
        </w:tc>
      </w:tr>
    </w:tbl>
    <w:p w14:paraId="195DD982" w14:textId="31D4E079" w:rsidR="00E94FCD" w:rsidRPr="00E94FCD" w:rsidRDefault="00611F7D" w:rsidP="002816C0">
      <w:p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i">
            <w:drawing>
              <wp:anchor distT="0" distB="0" distL="114300" distR="114300" simplePos="0" relativeHeight="251677696" behindDoc="0" locked="0" layoutInCell="1" allowOverlap="1" wp14:anchorId="4EB443AB" wp14:editId="1BB64F4D">
                <wp:simplePos x="0" y="0"/>
                <wp:positionH relativeFrom="column">
                  <wp:posOffset>-1035586</wp:posOffset>
                </wp:positionH>
                <wp:positionV relativeFrom="paragraph">
                  <wp:posOffset>-2055439</wp:posOffset>
                </wp:positionV>
                <wp:extent cx="360" cy="360"/>
                <wp:effectExtent l="38100" t="38100" r="38100" b="38100"/>
                <wp:wrapNone/>
                <wp:docPr id="1268258719" name="Ink 23"/>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4430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3" o:spid="_x0000_s1026" type="#_x0000_t75" style="position:absolute;margin-left:-82.05pt;margin-top:-162.35pt;width:1.05pt;height:1.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">
                <v:imagedata r:id="rId6"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76672" behindDoc="0" locked="0" layoutInCell="1" allowOverlap="1" wp14:anchorId="4D3FDC4D" wp14:editId="346DB9B9">
                <wp:simplePos x="0" y="0"/>
                <wp:positionH relativeFrom="column">
                  <wp:posOffset>-1033426</wp:posOffset>
                </wp:positionH>
                <wp:positionV relativeFrom="paragraph">
                  <wp:posOffset>-1846279</wp:posOffset>
                </wp:positionV>
                <wp:extent cx="39960" cy="215280"/>
                <wp:effectExtent l="38100" t="38100" r="36830" b="51435"/>
                <wp:wrapNone/>
                <wp:docPr id="1014481581" name="Ink 22"/>
                <wp:cNvGraphicFramePr/>
                <a:graphic xmlns:a="http://schemas.openxmlformats.org/drawingml/2006/main">
                  <a:graphicData uri="http://schemas.microsoft.com/office/word/2010/wordprocessingInk">
                    <w14:contentPart bwMode="auto" r:id="rId7">
                      <w14:nvContentPartPr>
                        <w14:cNvContentPartPr/>
                      </w14:nvContentPartPr>
                      <w14:xfrm>
                        <a:off x="0" y="0"/>
                        <a:ext cx="39960" cy="2152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38F23F" id="Ink 22" o:spid="_x0000_s1026" type="#_x0000_t75" style="position:absolute;margin-left:-81.85pt;margin-top:-145.9pt;width:4.15pt;height:17.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">
                <v:imagedata r:id="rId8"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75648" behindDoc="0" locked="0" layoutInCell="1" allowOverlap="1" wp14:anchorId="45C4A872" wp14:editId="7A03563F">
                <wp:simplePos x="0" y="0"/>
                <wp:positionH relativeFrom="column">
                  <wp:posOffset>-1008586</wp:posOffset>
                </wp:positionH>
                <wp:positionV relativeFrom="paragraph">
                  <wp:posOffset>-1468279</wp:posOffset>
                </wp:positionV>
                <wp:extent cx="14040" cy="45000"/>
                <wp:effectExtent l="38100" t="38100" r="43180" b="50800"/>
                <wp:wrapNone/>
                <wp:docPr id="1240159583" name="Ink 21"/>
                <wp:cNvGraphicFramePr/>
                <a:graphic xmlns:a="http://schemas.openxmlformats.org/drawingml/2006/main">
                  <a:graphicData uri="http://schemas.microsoft.com/office/word/2010/wordprocessingInk">
                    <w14:contentPart bwMode="auto" r:id="rId9">
                      <w14:nvContentPartPr>
                        <w14:cNvContentPartPr/>
                      </w14:nvContentPartPr>
                      <w14:xfrm>
                        <a:off x="0" y="0"/>
                        <a:ext cx="14040" cy="450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50108D" id="Ink 21" o:spid="_x0000_s1026" type="#_x0000_t75" style="position:absolute;margin-left:-79.9pt;margin-top:-116.1pt;width:2.05pt;height:4.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">
                <v:imagedata r:id="rId10"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74624" behindDoc="0" locked="0" layoutInCell="1" allowOverlap="1" wp14:anchorId="4942EF76" wp14:editId="7AD87573">
                <wp:simplePos x="0" y="0"/>
                <wp:positionH relativeFrom="column">
                  <wp:posOffset>-1302346</wp:posOffset>
                </wp:positionH>
                <wp:positionV relativeFrom="paragraph">
                  <wp:posOffset>-1740439</wp:posOffset>
                </wp:positionV>
                <wp:extent cx="360" cy="360"/>
                <wp:effectExtent l="38100" t="38100" r="38100" b="38100"/>
                <wp:wrapNone/>
                <wp:docPr id="591613840" name="Ink 2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40CBB0" id="Ink 20" o:spid="_x0000_s1026" type="#_x0000_t75" style="position:absolute;margin-left:-103.05pt;margin-top:-137.55pt;width:1.05pt;height:1.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cdrK2P8BAADCBQAAEAAAAAAAAAAAAAAAAADTAwAAZHJz&#10;L2luay9pbmsxLnhtbFBLAQItABQABgAIAAAAIQDj0Pr13gAAAA8BAAAPAAAAAAAAAAAAAAAAAAAG&#10;AABkcnMvZG93bnJldi54bWxQSwECLQAUAAYACAAAACEAeRi8nb8AAAAhAQAAGQAAAAAAAAAAAAAA&#10;AAALBwAAZHJzL19yZWxzL2Uyb0RvYy54bWwucmVsc1BLBQYAAAAABgAGAHgBAAABCAAAAAA=&#10;">
                <v:imagedata r:id="rId6"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73600" behindDoc="0" locked="0" layoutInCell="1" allowOverlap="1" wp14:anchorId="5CD9E42D" wp14:editId="0DCA6324">
                <wp:simplePos x="0" y="0"/>
                <wp:positionH relativeFrom="column">
                  <wp:posOffset>-1281826</wp:posOffset>
                </wp:positionH>
                <wp:positionV relativeFrom="paragraph">
                  <wp:posOffset>-1667359</wp:posOffset>
                </wp:positionV>
                <wp:extent cx="360" cy="360"/>
                <wp:effectExtent l="38100" t="38100" r="38100" b="38100"/>
                <wp:wrapNone/>
                <wp:docPr id="65826906" name="Ink 1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17070A" id="Ink 19" o:spid="_x0000_s1026" type="#_x0000_t75" style="position:absolute;margin-left:-101.45pt;margin-top:-131.8pt;width:1.05pt;height:1.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Q7iKVAACAADCBQAAEAAAAAAAAAAAAAAAAADTAwAA&#10;ZHJzL2luay9pbmsxLnhtbFBLAQItABQABgAIAAAAIQB/JCuS4AAAAA8BAAAPAAAAAAAAAAAAAAAA&#10;AAEGAABkcnMvZG93bnJldi54bWxQSwECLQAUAAYACAAAACEAeRi8nb8AAAAhAQAAGQAAAAAAAAAA&#10;AAAAAAAOBwAAZHJzL19yZWxzL2Uyb0RvYy54bWwucmVsc1BLBQYAAAAABgAGAHgBAAAECAAAAAA=&#10;">
                <v:imagedata r:id="rId6"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72576" behindDoc="0" locked="0" layoutInCell="1" allowOverlap="1" wp14:anchorId="5C0D89BE" wp14:editId="4F59CF90">
                <wp:simplePos x="0" y="0"/>
                <wp:positionH relativeFrom="column">
                  <wp:posOffset>-1334386</wp:posOffset>
                </wp:positionH>
                <wp:positionV relativeFrom="paragraph">
                  <wp:posOffset>-1648999</wp:posOffset>
                </wp:positionV>
                <wp:extent cx="53280" cy="155880"/>
                <wp:effectExtent l="38100" t="38100" r="42545" b="34925"/>
                <wp:wrapNone/>
                <wp:docPr id="968200772" name="Ink 18"/>
                <wp:cNvGraphicFramePr/>
                <a:graphic xmlns:a="http://schemas.openxmlformats.org/drawingml/2006/main">
                  <a:graphicData uri="http://schemas.microsoft.com/office/word/2010/wordprocessingInk">
                    <w14:contentPart bwMode="auto" r:id="rId13">
                      <w14:nvContentPartPr>
                        <w14:cNvContentPartPr/>
                      </w14:nvContentPartPr>
                      <w14:xfrm>
                        <a:off x="0" y="0"/>
                        <a:ext cx="53280" cy="1558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5B5D0E" id="Ink 18" o:spid="_x0000_s1026" type="#_x0000_t75" style="position:absolute;margin-left:-105.55pt;margin-top:-130.35pt;width:5.2pt;height:13.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">
                <v:imagedata r:id="rId14"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71552" behindDoc="0" locked="0" layoutInCell="1" allowOverlap="1" wp14:anchorId="7A956C04" wp14:editId="100D6939">
                <wp:simplePos x="0" y="0"/>
                <wp:positionH relativeFrom="column">
                  <wp:posOffset>-1333306</wp:posOffset>
                </wp:positionH>
                <wp:positionV relativeFrom="paragraph">
                  <wp:posOffset>-1463599</wp:posOffset>
                </wp:positionV>
                <wp:extent cx="360" cy="360"/>
                <wp:effectExtent l="38100" t="38100" r="38100" b="38100"/>
                <wp:wrapNone/>
                <wp:docPr id="1288132619" name="Ink 17"/>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1BB6E1" id="Ink 17" o:spid="_x0000_s1026" type="#_x0000_t75" style="position:absolute;margin-left:-105.5pt;margin-top:-115.75pt;width:1.05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">
                <v:imagedata r:id="rId6"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70528" behindDoc="0" locked="0" layoutInCell="1" allowOverlap="1" wp14:anchorId="3BB139AD" wp14:editId="48A5E54D">
                <wp:simplePos x="0" y="0"/>
                <wp:positionH relativeFrom="column">
                  <wp:posOffset>-1370386</wp:posOffset>
                </wp:positionH>
                <wp:positionV relativeFrom="paragraph">
                  <wp:posOffset>-1316719</wp:posOffset>
                </wp:positionV>
                <wp:extent cx="23400" cy="263160"/>
                <wp:effectExtent l="38100" t="38100" r="34290" b="41910"/>
                <wp:wrapNone/>
                <wp:docPr id="2026593738" name="Ink 16"/>
                <wp:cNvGraphicFramePr/>
                <a:graphic xmlns:a="http://schemas.openxmlformats.org/drawingml/2006/main">
                  <a:graphicData uri="http://schemas.microsoft.com/office/word/2010/wordprocessingInk">
                    <w14:contentPart bwMode="auto" r:id="rId16">
                      <w14:nvContentPartPr>
                        <w14:cNvContentPartPr/>
                      </w14:nvContentPartPr>
                      <w14:xfrm>
                        <a:off x="0" y="0"/>
                        <a:ext cx="23400" cy="2631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084CD8" id="Ink 16" o:spid="_x0000_s1026" type="#_x0000_t75" style="position:absolute;margin-left:-108.4pt;margin-top:-104.2pt;width:2.85pt;height:21.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">
                <v:imagedata r:id="rId17"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69504" behindDoc="0" locked="0" layoutInCell="1" allowOverlap="1" wp14:anchorId="0A671483" wp14:editId="3333A3F1">
                <wp:simplePos x="0" y="0"/>
                <wp:positionH relativeFrom="column">
                  <wp:posOffset>-1350226</wp:posOffset>
                </wp:positionH>
                <wp:positionV relativeFrom="paragraph">
                  <wp:posOffset>-1021879</wp:posOffset>
                </wp:positionV>
                <wp:extent cx="360" cy="360"/>
                <wp:effectExtent l="38100" t="38100" r="38100" b="38100"/>
                <wp:wrapNone/>
                <wp:docPr id="1815651848" name="Ink 15"/>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84D438" id="Ink 15" o:spid="_x0000_s1026" type="#_x0000_t75" style="position:absolute;margin-left:-106.8pt;margin-top:-80.95pt;width:1.05pt;height:1.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v0tBhvkBAAC3BQAAEAAAAAAAAAAAAAAAAADTAwAAZHJzL2lu&#10;ay9pbmsxLnhtbFBLAQItABQABgAIAAAAIQBxtNux4QAAAA8BAAAPAAAAAAAAAAAAAAAAAPoFAABk&#10;cnMvZG93bnJldi54bWxQSwECLQAUAAYACAAAACEAeRi8nb8AAAAhAQAAGQAAAAAAAAAAAAAAAAAI&#10;BwAAZHJzL19yZWxzL2Uyb0RvYy54bWwucmVsc1BLBQYAAAAABgAGAHgBAAD+BwAAAAA=&#10;">
                <v:imagedata r:id="rId6"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68480" behindDoc="0" locked="0" layoutInCell="1" allowOverlap="1" wp14:anchorId="52E8BA86" wp14:editId="49AE6A4A">
                <wp:simplePos x="0" y="0"/>
                <wp:positionH relativeFrom="column">
                  <wp:posOffset>-1298386</wp:posOffset>
                </wp:positionH>
                <wp:positionV relativeFrom="paragraph">
                  <wp:posOffset>-2250559</wp:posOffset>
                </wp:positionV>
                <wp:extent cx="18360" cy="1080"/>
                <wp:effectExtent l="38100" t="38100" r="39370" b="37465"/>
                <wp:wrapNone/>
                <wp:docPr id="1123360793" name="Ink 14"/>
                <wp:cNvGraphicFramePr/>
                <a:graphic xmlns:a="http://schemas.openxmlformats.org/drawingml/2006/main">
                  <a:graphicData uri="http://schemas.microsoft.com/office/word/2010/wordprocessingInk">
                    <w14:contentPart bwMode="auto" r:id="rId19">
                      <w14:nvContentPartPr>
                        <w14:cNvContentPartPr/>
                      </w14:nvContentPartPr>
                      <w14:xfrm>
                        <a:off x="0" y="0"/>
                        <a:ext cx="18360" cy="10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A48B5A" id="Ink 14" o:spid="_x0000_s1026" type="#_x0000_t75" style="position:absolute;margin-left:-102.75pt;margin-top:-177.7pt;width:2.45pt;height:1.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">
                <v:imagedata r:id="rId20"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67456" behindDoc="0" locked="0" layoutInCell="1" allowOverlap="1" wp14:anchorId="7567168B" wp14:editId="03B056AB">
                <wp:simplePos x="0" y="0"/>
                <wp:positionH relativeFrom="column">
                  <wp:posOffset>-1296226</wp:posOffset>
                </wp:positionH>
                <wp:positionV relativeFrom="paragraph">
                  <wp:posOffset>-2246239</wp:posOffset>
                </wp:positionV>
                <wp:extent cx="360" cy="12960"/>
                <wp:effectExtent l="38100" t="38100" r="38100" b="44450"/>
                <wp:wrapNone/>
                <wp:docPr id="594334749" name="Ink 13"/>
                <wp:cNvGraphicFramePr/>
                <a:graphic xmlns:a="http://schemas.openxmlformats.org/drawingml/2006/main">
                  <a:graphicData uri="http://schemas.microsoft.com/office/word/2010/wordprocessingInk">
                    <w14:contentPart bwMode="auto" r:id="rId21">
                      <w14:nvContentPartPr>
                        <w14:cNvContentPartPr/>
                      </w14:nvContentPartPr>
                      <w14:xfrm>
                        <a:off x="0" y="0"/>
                        <a:ext cx="360" cy="129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1A050B" id="Ink 13" o:spid="_x0000_s1026" type="#_x0000_t75" style="position:absolute;margin-left:-102.55pt;margin-top:-177.35pt;width:1.05pt;height: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">
                <v:imagedata r:id="rId22"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66432" behindDoc="0" locked="0" layoutInCell="1" allowOverlap="1" wp14:anchorId="6BB461E9" wp14:editId="5AE7835B">
                <wp:simplePos x="0" y="0"/>
                <wp:positionH relativeFrom="column">
                  <wp:posOffset>-1296226</wp:posOffset>
                </wp:positionH>
                <wp:positionV relativeFrom="paragraph">
                  <wp:posOffset>-2184319</wp:posOffset>
                </wp:positionV>
                <wp:extent cx="43560" cy="88920"/>
                <wp:effectExtent l="38100" t="38100" r="52070" b="44450"/>
                <wp:wrapNone/>
                <wp:docPr id="1557622547" name="Ink 12"/>
                <wp:cNvGraphicFramePr/>
                <a:graphic xmlns:a="http://schemas.openxmlformats.org/drawingml/2006/main">
                  <a:graphicData uri="http://schemas.microsoft.com/office/word/2010/wordprocessingInk">
                    <w14:contentPart bwMode="auto" r:id="rId23">
                      <w14:nvContentPartPr>
                        <w14:cNvContentPartPr/>
                      </w14:nvContentPartPr>
                      <w14:xfrm>
                        <a:off x="0" y="0"/>
                        <a:ext cx="43560" cy="889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F3B496" id="Ink 12" o:spid="_x0000_s1026" type="#_x0000_t75" style="position:absolute;margin-left:-102.55pt;margin-top:-172.5pt;width:4.45pt;height:7.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">
                <v:imagedata r:id="rId24"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65408" behindDoc="0" locked="0" layoutInCell="1" allowOverlap="1" wp14:anchorId="60097DB3" wp14:editId="58C443F1">
                <wp:simplePos x="0" y="0"/>
                <wp:positionH relativeFrom="column">
                  <wp:posOffset>-1267066</wp:posOffset>
                </wp:positionH>
                <wp:positionV relativeFrom="paragraph">
                  <wp:posOffset>-2147959</wp:posOffset>
                </wp:positionV>
                <wp:extent cx="26640" cy="11520"/>
                <wp:effectExtent l="38100" t="38100" r="50165" b="45720"/>
                <wp:wrapNone/>
                <wp:docPr id="1896051162" name="Ink 11"/>
                <wp:cNvGraphicFramePr/>
                <a:graphic xmlns:a="http://schemas.openxmlformats.org/drawingml/2006/main">
                  <a:graphicData uri="http://schemas.microsoft.com/office/word/2010/wordprocessingInk">
                    <w14:contentPart bwMode="auto" r:id="rId25">
                      <w14:nvContentPartPr>
                        <w14:cNvContentPartPr/>
                      </w14:nvContentPartPr>
                      <w14:xfrm>
                        <a:off x="0" y="0"/>
                        <a:ext cx="26640" cy="115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162650" id="Ink 11" o:spid="_x0000_s1026" type="#_x0000_t75" style="position:absolute;margin-left:-100.25pt;margin-top:-169.65pt;width:3.1pt;height:1.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">
                <v:imagedata r:id="rId26"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64384" behindDoc="0" locked="0" layoutInCell="1" allowOverlap="1" wp14:anchorId="11A3DEEF" wp14:editId="54810C2C">
                <wp:simplePos x="0" y="0"/>
                <wp:positionH relativeFrom="column">
                  <wp:posOffset>-1259506</wp:posOffset>
                </wp:positionH>
                <wp:positionV relativeFrom="paragraph">
                  <wp:posOffset>-2146879</wp:posOffset>
                </wp:positionV>
                <wp:extent cx="360" cy="360"/>
                <wp:effectExtent l="38100" t="38100" r="38100" b="38100"/>
                <wp:wrapNone/>
                <wp:docPr id="80620523" name="Ink 10"/>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A0B1E9" id="Ink 10" o:spid="_x0000_s1026" type="#_x0000_t75" style="position:absolute;margin-left:-99.65pt;margin-top:-169.5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">
                <v:imagedata r:id="rId6" o:title=""/>
              </v:shape>
            </w:pict>
          </mc:Fallback>
        </mc:AlternateContent>
      </w:r>
      <w:r w:rsidR="00E94FCD" w:rsidRPr="00E94FCD">
        <w:rPr>
          <w:rFonts w:asciiTheme="majorBidi" w:hAnsiTheme="majorBidi" w:cstheme="majorBidi"/>
          <w:sz w:val="24"/>
          <w:szCs w:val="24"/>
        </w:rPr>
        <w:t>Acute leukemias (ALL and AML) were the most frequent diagnostic category, accounting for 52.9% (37/70) of all cases.</w:t>
      </w:r>
    </w:p>
    <w:p w14:paraId="406E0666"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3.3. Patterns of Peripheral Cytopenia</w:t>
      </w:r>
    </w:p>
    <w:p w14:paraId="57F85D6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Among the 59 patients presenting with cytopenia, the distribution of cytopenia patterns was as follows:</w:t>
      </w:r>
    </w:p>
    <w:p w14:paraId="6E243D4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Table 2:</w:t>
      </w:r>
      <w:r w:rsidRPr="00E94FCD">
        <w:rPr>
          <w:rFonts w:asciiTheme="majorBidi" w:hAnsiTheme="majorBidi" w:cstheme="majorBidi"/>
          <w:sz w:val="24"/>
          <w:szCs w:val="24"/>
        </w:rPr>
        <w:t> Distribution of peripheral cytopenia patterns in HM patients (n=59).</w:t>
      </w:r>
    </w:p>
    <w:tbl>
      <w:tblPr>
        <w:tblW w:w="11280" w:type="dxa"/>
        <w:tblCellMar>
          <w:top w:w="15" w:type="dxa"/>
          <w:left w:w="15" w:type="dxa"/>
          <w:bottom w:w="15" w:type="dxa"/>
          <w:right w:w="15" w:type="dxa"/>
        </w:tblCellMar>
        <w:tblLook w:val="04A0" w:firstRow="1" w:lastRow="0" w:firstColumn="1" w:lastColumn="0" w:noHBand="0" w:noVBand="1"/>
      </w:tblPr>
      <w:tblGrid>
        <w:gridCol w:w="5046"/>
        <w:gridCol w:w="2814"/>
        <w:gridCol w:w="3420"/>
      </w:tblGrid>
      <w:tr w:rsidR="00E94FCD" w:rsidRPr="00E94FCD" w14:paraId="05058A42" w14:textId="77777777">
        <w:trPr>
          <w:tblHeader/>
        </w:trPr>
        <w:tc>
          <w:tcPr>
            <w:tcW w:w="0" w:type="auto"/>
            <w:tcBorders>
              <w:top w:val="nil"/>
            </w:tcBorders>
            <w:tcMar>
              <w:top w:w="150" w:type="dxa"/>
              <w:left w:w="0" w:type="dxa"/>
              <w:bottom w:w="150" w:type="dxa"/>
              <w:right w:w="240" w:type="dxa"/>
            </w:tcMar>
            <w:vAlign w:val="center"/>
            <w:hideMark/>
          </w:tcPr>
          <w:p w14:paraId="7F4F356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Type of Cytopenia</w:t>
            </w:r>
          </w:p>
        </w:tc>
        <w:tc>
          <w:tcPr>
            <w:tcW w:w="0" w:type="auto"/>
            <w:tcBorders>
              <w:top w:val="nil"/>
            </w:tcBorders>
            <w:tcMar>
              <w:top w:w="150" w:type="dxa"/>
              <w:left w:w="240" w:type="dxa"/>
              <w:bottom w:w="150" w:type="dxa"/>
              <w:right w:w="240" w:type="dxa"/>
            </w:tcMar>
            <w:vAlign w:val="center"/>
            <w:hideMark/>
          </w:tcPr>
          <w:p w14:paraId="1CC109F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Number (n)</w:t>
            </w:r>
          </w:p>
        </w:tc>
        <w:tc>
          <w:tcPr>
            <w:tcW w:w="0" w:type="auto"/>
            <w:tcBorders>
              <w:top w:val="nil"/>
            </w:tcBorders>
            <w:tcMar>
              <w:top w:w="150" w:type="dxa"/>
              <w:left w:w="240" w:type="dxa"/>
              <w:bottom w:w="150" w:type="dxa"/>
              <w:right w:w="240" w:type="dxa"/>
            </w:tcMar>
            <w:vAlign w:val="center"/>
            <w:hideMark/>
          </w:tcPr>
          <w:p w14:paraId="34A6FB5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Percentage (%)</w:t>
            </w:r>
          </w:p>
        </w:tc>
      </w:tr>
      <w:tr w:rsidR="00E94FCD" w:rsidRPr="00E94FCD" w14:paraId="61C572CA" w14:textId="77777777">
        <w:tc>
          <w:tcPr>
            <w:tcW w:w="0" w:type="auto"/>
            <w:tcMar>
              <w:top w:w="150" w:type="dxa"/>
              <w:left w:w="0" w:type="dxa"/>
              <w:bottom w:w="150" w:type="dxa"/>
              <w:right w:w="240" w:type="dxa"/>
            </w:tcMar>
            <w:vAlign w:val="center"/>
            <w:hideMark/>
          </w:tcPr>
          <w:p w14:paraId="4095C24B" w14:textId="77777777" w:rsidR="00E94FCD" w:rsidRPr="00E94FCD" w:rsidRDefault="00E94FCD" w:rsidP="002816C0">
            <w:pPr>
              <w:spacing w:line="360" w:lineRule="auto"/>
              <w:rPr>
                <w:rFonts w:asciiTheme="majorBidi" w:hAnsiTheme="majorBidi" w:cstheme="majorBidi"/>
                <w:sz w:val="24"/>
                <w:szCs w:val="24"/>
              </w:rPr>
            </w:pPr>
            <w:proofErr w:type="spellStart"/>
            <w:r w:rsidRPr="00E94FCD">
              <w:rPr>
                <w:rFonts w:asciiTheme="majorBidi" w:hAnsiTheme="majorBidi" w:cstheme="majorBidi"/>
                <w:sz w:val="24"/>
                <w:szCs w:val="24"/>
              </w:rPr>
              <w:t>Bicytopenia</w:t>
            </w:r>
            <w:proofErr w:type="spellEnd"/>
          </w:p>
        </w:tc>
        <w:tc>
          <w:tcPr>
            <w:tcW w:w="0" w:type="auto"/>
            <w:tcMar>
              <w:top w:w="150" w:type="dxa"/>
              <w:left w:w="240" w:type="dxa"/>
              <w:bottom w:w="150" w:type="dxa"/>
              <w:right w:w="240" w:type="dxa"/>
            </w:tcMar>
            <w:vAlign w:val="center"/>
            <w:hideMark/>
          </w:tcPr>
          <w:p w14:paraId="4C4B998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31</w:t>
            </w:r>
          </w:p>
        </w:tc>
        <w:tc>
          <w:tcPr>
            <w:tcW w:w="0" w:type="auto"/>
            <w:tcMar>
              <w:top w:w="150" w:type="dxa"/>
              <w:left w:w="240" w:type="dxa"/>
              <w:bottom w:w="150" w:type="dxa"/>
              <w:right w:w="0" w:type="dxa"/>
            </w:tcMar>
            <w:vAlign w:val="center"/>
            <w:hideMark/>
          </w:tcPr>
          <w:p w14:paraId="0B4E9C0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52.5</w:t>
            </w:r>
          </w:p>
        </w:tc>
      </w:tr>
      <w:tr w:rsidR="00E94FCD" w:rsidRPr="00E94FCD" w14:paraId="41ACE4EC" w14:textId="77777777">
        <w:tc>
          <w:tcPr>
            <w:tcW w:w="0" w:type="auto"/>
            <w:tcMar>
              <w:top w:w="150" w:type="dxa"/>
              <w:left w:w="0" w:type="dxa"/>
              <w:bottom w:w="150" w:type="dxa"/>
              <w:right w:w="240" w:type="dxa"/>
            </w:tcMar>
            <w:vAlign w:val="center"/>
            <w:hideMark/>
          </w:tcPr>
          <w:p w14:paraId="6ED1A7F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Isolated Anemia</w:t>
            </w:r>
          </w:p>
        </w:tc>
        <w:tc>
          <w:tcPr>
            <w:tcW w:w="0" w:type="auto"/>
            <w:tcMar>
              <w:top w:w="150" w:type="dxa"/>
              <w:left w:w="240" w:type="dxa"/>
              <w:bottom w:w="150" w:type="dxa"/>
              <w:right w:w="240" w:type="dxa"/>
            </w:tcMar>
            <w:vAlign w:val="center"/>
            <w:hideMark/>
          </w:tcPr>
          <w:p w14:paraId="7C24AC5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16</w:t>
            </w:r>
          </w:p>
        </w:tc>
        <w:tc>
          <w:tcPr>
            <w:tcW w:w="0" w:type="auto"/>
            <w:tcMar>
              <w:top w:w="150" w:type="dxa"/>
              <w:left w:w="240" w:type="dxa"/>
              <w:bottom w:w="150" w:type="dxa"/>
              <w:right w:w="0" w:type="dxa"/>
            </w:tcMar>
            <w:vAlign w:val="center"/>
            <w:hideMark/>
          </w:tcPr>
          <w:p w14:paraId="25F4F6C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27.1</w:t>
            </w:r>
          </w:p>
        </w:tc>
      </w:tr>
      <w:tr w:rsidR="00E94FCD" w:rsidRPr="00E94FCD" w14:paraId="15B4CFED" w14:textId="77777777">
        <w:tc>
          <w:tcPr>
            <w:tcW w:w="0" w:type="auto"/>
            <w:tcMar>
              <w:top w:w="150" w:type="dxa"/>
              <w:left w:w="0" w:type="dxa"/>
              <w:bottom w:w="150" w:type="dxa"/>
              <w:right w:w="240" w:type="dxa"/>
            </w:tcMar>
            <w:vAlign w:val="center"/>
            <w:hideMark/>
          </w:tcPr>
          <w:p w14:paraId="20D7126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Pancytopenia</w:t>
            </w:r>
          </w:p>
        </w:tc>
        <w:tc>
          <w:tcPr>
            <w:tcW w:w="0" w:type="auto"/>
            <w:tcMar>
              <w:top w:w="150" w:type="dxa"/>
              <w:left w:w="240" w:type="dxa"/>
              <w:bottom w:w="150" w:type="dxa"/>
              <w:right w:w="240" w:type="dxa"/>
            </w:tcMar>
            <w:vAlign w:val="center"/>
            <w:hideMark/>
          </w:tcPr>
          <w:p w14:paraId="75E96C4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6</w:t>
            </w:r>
          </w:p>
        </w:tc>
        <w:tc>
          <w:tcPr>
            <w:tcW w:w="0" w:type="auto"/>
            <w:tcMar>
              <w:top w:w="150" w:type="dxa"/>
              <w:left w:w="240" w:type="dxa"/>
              <w:bottom w:w="150" w:type="dxa"/>
              <w:right w:w="0" w:type="dxa"/>
            </w:tcMar>
            <w:vAlign w:val="center"/>
            <w:hideMark/>
          </w:tcPr>
          <w:p w14:paraId="16ECCE5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10.2</w:t>
            </w:r>
          </w:p>
        </w:tc>
      </w:tr>
      <w:tr w:rsidR="00E94FCD" w:rsidRPr="00E94FCD" w14:paraId="6B38F577" w14:textId="77777777">
        <w:tc>
          <w:tcPr>
            <w:tcW w:w="0" w:type="auto"/>
            <w:tcMar>
              <w:top w:w="150" w:type="dxa"/>
              <w:left w:w="0" w:type="dxa"/>
              <w:bottom w:w="150" w:type="dxa"/>
              <w:right w:w="240" w:type="dxa"/>
            </w:tcMar>
            <w:vAlign w:val="center"/>
            <w:hideMark/>
          </w:tcPr>
          <w:p w14:paraId="5499754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Isolated Thrombocytopenia</w:t>
            </w:r>
          </w:p>
        </w:tc>
        <w:tc>
          <w:tcPr>
            <w:tcW w:w="0" w:type="auto"/>
            <w:tcMar>
              <w:top w:w="150" w:type="dxa"/>
              <w:left w:w="240" w:type="dxa"/>
              <w:bottom w:w="150" w:type="dxa"/>
              <w:right w:w="240" w:type="dxa"/>
            </w:tcMar>
            <w:vAlign w:val="center"/>
            <w:hideMark/>
          </w:tcPr>
          <w:p w14:paraId="1E35689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6</w:t>
            </w:r>
          </w:p>
        </w:tc>
        <w:tc>
          <w:tcPr>
            <w:tcW w:w="0" w:type="auto"/>
            <w:tcMar>
              <w:top w:w="150" w:type="dxa"/>
              <w:left w:w="240" w:type="dxa"/>
              <w:bottom w:w="150" w:type="dxa"/>
              <w:right w:w="0" w:type="dxa"/>
            </w:tcMar>
            <w:vAlign w:val="center"/>
            <w:hideMark/>
          </w:tcPr>
          <w:p w14:paraId="01F9E7A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10.2</w:t>
            </w:r>
          </w:p>
        </w:tc>
      </w:tr>
      <w:tr w:rsidR="00E94FCD" w:rsidRPr="00E94FCD" w14:paraId="11625DCC" w14:textId="77777777">
        <w:tc>
          <w:tcPr>
            <w:tcW w:w="0" w:type="auto"/>
            <w:tcMar>
              <w:top w:w="150" w:type="dxa"/>
              <w:left w:w="0" w:type="dxa"/>
              <w:bottom w:w="150" w:type="dxa"/>
              <w:right w:w="240" w:type="dxa"/>
            </w:tcMar>
            <w:vAlign w:val="center"/>
            <w:hideMark/>
          </w:tcPr>
          <w:p w14:paraId="032DC37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Total</w:t>
            </w:r>
          </w:p>
        </w:tc>
        <w:tc>
          <w:tcPr>
            <w:tcW w:w="0" w:type="auto"/>
            <w:tcMar>
              <w:top w:w="150" w:type="dxa"/>
              <w:left w:w="240" w:type="dxa"/>
              <w:bottom w:w="150" w:type="dxa"/>
              <w:right w:w="240" w:type="dxa"/>
            </w:tcMar>
            <w:vAlign w:val="center"/>
            <w:hideMark/>
          </w:tcPr>
          <w:p w14:paraId="0DB109C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59</w:t>
            </w:r>
          </w:p>
        </w:tc>
        <w:tc>
          <w:tcPr>
            <w:tcW w:w="0" w:type="auto"/>
            <w:tcMar>
              <w:top w:w="150" w:type="dxa"/>
              <w:left w:w="240" w:type="dxa"/>
              <w:bottom w:w="150" w:type="dxa"/>
              <w:right w:w="0" w:type="dxa"/>
            </w:tcMar>
            <w:vAlign w:val="center"/>
            <w:hideMark/>
          </w:tcPr>
          <w:p w14:paraId="5BD18ED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100.0</w:t>
            </w:r>
          </w:p>
        </w:tc>
      </w:tr>
    </w:tbl>
    <w:p w14:paraId="05B526B7" w14:textId="77777777" w:rsidR="00E94FCD" w:rsidRPr="00E94FCD" w:rsidRDefault="00E94FCD" w:rsidP="002816C0">
      <w:pPr>
        <w:spacing w:line="360" w:lineRule="auto"/>
        <w:rPr>
          <w:rFonts w:asciiTheme="majorBidi" w:hAnsiTheme="majorBidi" w:cstheme="majorBidi"/>
          <w:sz w:val="24"/>
          <w:szCs w:val="24"/>
        </w:rPr>
      </w:pP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together constituted a significant majority, representing </w:t>
      </w:r>
      <w:r w:rsidRPr="00E94FCD">
        <w:rPr>
          <w:rFonts w:asciiTheme="majorBidi" w:hAnsiTheme="majorBidi" w:cstheme="majorBidi"/>
          <w:b/>
          <w:bCs/>
          <w:sz w:val="24"/>
          <w:szCs w:val="24"/>
        </w:rPr>
        <w:t>62.7%</w:t>
      </w:r>
      <w:r w:rsidRPr="00E94FCD">
        <w:rPr>
          <w:rFonts w:asciiTheme="majorBidi" w:hAnsiTheme="majorBidi" w:cstheme="majorBidi"/>
          <w:sz w:val="24"/>
          <w:szCs w:val="24"/>
        </w:rPr>
        <w:t> of all cytopenic presentations.</w:t>
      </w:r>
    </w:p>
    <w:p w14:paraId="119AF886"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3.4. Association Between HM Subtype and Cytopenia Pattern</w:t>
      </w:r>
    </w:p>
    <w:p w14:paraId="013CEF72"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 relationship between the type of HM and the pattern of cytopenia revealed several key associations (Table 3).</w:t>
      </w:r>
    </w:p>
    <w:p w14:paraId="19BA95D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Table 3:</w:t>
      </w:r>
      <w:r w:rsidRPr="00E94FCD">
        <w:rPr>
          <w:rFonts w:asciiTheme="majorBidi" w:hAnsiTheme="majorBidi" w:cstheme="majorBidi"/>
          <w:sz w:val="24"/>
          <w:szCs w:val="24"/>
        </w:rPr>
        <w:t> Distribution of Cytopenia Patterns Across Hematological Malignancies (Row percentages shown).</w:t>
      </w:r>
    </w:p>
    <w:tbl>
      <w:tblPr>
        <w:tblW w:w="0" w:type="auto"/>
        <w:tblCellMar>
          <w:top w:w="15" w:type="dxa"/>
          <w:left w:w="15" w:type="dxa"/>
          <w:bottom w:w="15" w:type="dxa"/>
          <w:right w:w="15" w:type="dxa"/>
        </w:tblCellMar>
        <w:tblLook w:val="04A0" w:firstRow="1" w:lastRow="0" w:firstColumn="1" w:lastColumn="0" w:noHBand="0" w:noVBand="1"/>
      </w:tblPr>
      <w:tblGrid>
        <w:gridCol w:w="1201"/>
        <w:gridCol w:w="1786"/>
        <w:gridCol w:w="1653"/>
        <w:gridCol w:w="1408"/>
        <w:gridCol w:w="2338"/>
        <w:gridCol w:w="974"/>
      </w:tblGrid>
      <w:tr w:rsidR="00E94FCD" w:rsidRPr="00E94FCD" w14:paraId="74928587" w14:textId="77777777">
        <w:trPr>
          <w:tblHeader/>
        </w:trPr>
        <w:tc>
          <w:tcPr>
            <w:tcW w:w="0" w:type="auto"/>
            <w:tcBorders>
              <w:top w:val="nil"/>
            </w:tcBorders>
            <w:tcMar>
              <w:top w:w="150" w:type="dxa"/>
              <w:left w:w="0" w:type="dxa"/>
              <w:bottom w:w="150" w:type="dxa"/>
              <w:right w:w="240" w:type="dxa"/>
            </w:tcMar>
            <w:vAlign w:val="center"/>
            <w:hideMark/>
          </w:tcPr>
          <w:p w14:paraId="261275F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Diagnosis</w:t>
            </w:r>
          </w:p>
        </w:tc>
        <w:tc>
          <w:tcPr>
            <w:tcW w:w="0" w:type="auto"/>
            <w:tcBorders>
              <w:top w:val="nil"/>
            </w:tcBorders>
            <w:tcMar>
              <w:top w:w="150" w:type="dxa"/>
              <w:left w:w="240" w:type="dxa"/>
              <w:bottom w:w="150" w:type="dxa"/>
              <w:right w:w="240" w:type="dxa"/>
            </w:tcMar>
            <w:vAlign w:val="center"/>
            <w:hideMark/>
          </w:tcPr>
          <w:p w14:paraId="2D44D14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Pancytopenia n (%)</w:t>
            </w:r>
          </w:p>
        </w:tc>
        <w:tc>
          <w:tcPr>
            <w:tcW w:w="0" w:type="auto"/>
            <w:tcBorders>
              <w:top w:val="nil"/>
            </w:tcBorders>
            <w:tcMar>
              <w:top w:w="150" w:type="dxa"/>
              <w:left w:w="240" w:type="dxa"/>
              <w:bottom w:w="150" w:type="dxa"/>
              <w:right w:w="240" w:type="dxa"/>
            </w:tcMar>
            <w:vAlign w:val="center"/>
            <w:hideMark/>
          </w:tcPr>
          <w:p w14:paraId="441C42C7" w14:textId="77777777" w:rsidR="00E94FCD" w:rsidRPr="00E94FCD" w:rsidRDefault="00E94FCD" w:rsidP="002816C0">
            <w:pPr>
              <w:spacing w:line="360" w:lineRule="auto"/>
              <w:rPr>
                <w:rFonts w:asciiTheme="majorBidi" w:hAnsiTheme="majorBidi" w:cstheme="majorBidi"/>
                <w:sz w:val="24"/>
                <w:szCs w:val="24"/>
              </w:rPr>
            </w:pP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n (%)</w:t>
            </w:r>
          </w:p>
        </w:tc>
        <w:tc>
          <w:tcPr>
            <w:tcW w:w="0" w:type="auto"/>
            <w:tcBorders>
              <w:top w:val="nil"/>
            </w:tcBorders>
            <w:tcMar>
              <w:top w:w="150" w:type="dxa"/>
              <w:left w:w="240" w:type="dxa"/>
              <w:bottom w:w="150" w:type="dxa"/>
              <w:right w:w="240" w:type="dxa"/>
            </w:tcMar>
            <w:vAlign w:val="center"/>
            <w:hideMark/>
          </w:tcPr>
          <w:p w14:paraId="0B3AA92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Isolated Anemia n (%)</w:t>
            </w:r>
          </w:p>
        </w:tc>
        <w:tc>
          <w:tcPr>
            <w:tcW w:w="0" w:type="auto"/>
            <w:tcBorders>
              <w:top w:val="nil"/>
            </w:tcBorders>
            <w:tcMar>
              <w:top w:w="150" w:type="dxa"/>
              <w:left w:w="240" w:type="dxa"/>
              <w:bottom w:w="150" w:type="dxa"/>
              <w:right w:w="240" w:type="dxa"/>
            </w:tcMar>
            <w:vAlign w:val="center"/>
            <w:hideMark/>
          </w:tcPr>
          <w:p w14:paraId="6478A2BF"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Isolated Thrombocytopenia n (%)</w:t>
            </w:r>
          </w:p>
        </w:tc>
        <w:tc>
          <w:tcPr>
            <w:tcW w:w="0" w:type="auto"/>
            <w:tcBorders>
              <w:top w:val="nil"/>
            </w:tcBorders>
            <w:tcMar>
              <w:top w:w="150" w:type="dxa"/>
              <w:left w:w="240" w:type="dxa"/>
              <w:bottom w:w="150" w:type="dxa"/>
              <w:right w:w="240" w:type="dxa"/>
            </w:tcMar>
            <w:vAlign w:val="center"/>
            <w:hideMark/>
          </w:tcPr>
          <w:p w14:paraId="0308683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Total n</w:t>
            </w:r>
          </w:p>
        </w:tc>
      </w:tr>
      <w:tr w:rsidR="00E94FCD" w:rsidRPr="00E94FCD" w14:paraId="49E7B693" w14:textId="77777777">
        <w:tc>
          <w:tcPr>
            <w:tcW w:w="0" w:type="auto"/>
            <w:tcMar>
              <w:top w:w="150" w:type="dxa"/>
              <w:left w:w="0" w:type="dxa"/>
              <w:bottom w:w="150" w:type="dxa"/>
              <w:right w:w="240" w:type="dxa"/>
            </w:tcMar>
            <w:vAlign w:val="center"/>
            <w:hideMark/>
          </w:tcPr>
          <w:p w14:paraId="341988C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AML</w:t>
            </w:r>
          </w:p>
        </w:tc>
        <w:tc>
          <w:tcPr>
            <w:tcW w:w="0" w:type="auto"/>
            <w:tcMar>
              <w:top w:w="150" w:type="dxa"/>
              <w:left w:w="240" w:type="dxa"/>
              <w:bottom w:w="150" w:type="dxa"/>
              <w:right w:w="240" w:type="dxa"/>
            </w:tcMar>
            <w:vAlign w:val="center"/>
            <w:hideMark/>
          </w:tcPr>
          <w:p w14:paraId="52A1FB82"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 (29.4%)</w:t>
            </w:r>
          </w:p>
        </w:tc>
        <w:tc>
          <w:tcPr>
            <w:tcW w:w="0" w:type="auto"/>
            <w:tcMar>
              <w:top w:w="150" w:type="dxa"/>
              <w:left w:w="240" w:type="dxa"/>
              <w:bottom w:w="150" w:type="dxa"/>
              <w:right w:w="240" w:type="dxa"/>
            </w:tcMar>
            <w:vAlign w:val="center"/>
            <w:hideMark/>
          </w:tcPr>
          <w:p w14:paraId="2B3A9EA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7 (41.2%)</w:t>
            </w:r>
          </w:p>
        </w:tc>
        <w:tc>
          <w:tcPr>
            <w:tcW w:w="0" w:type="auto"/>
            <w:tcMar>
              <w:top w:w="150" w:type="dxa"/>
              <w:left w:w="240" w:type="dxa"/>
              <w:bottom w:w="150" w:type="dxa"/>
              <w:right w:w="240" w:type="dxa"/>
            </w:tcMar>
            <w:vAlign w:val="center"/>
            <w:hideMark/>
          </w:tcPr>
          <w:p w14:paraId="02E5C3F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 (11.8%)</w:t>
            </w:r>
          </w:p>
        </w:tc>
        <w:tc>
          <w:tcPr>
            <w:tcW w:w="0" w:type="auto"/>
            <w:tcMar>
              <w:top w:w="150" w:type="dxa"/>
              <w:left w:w="240" w:type="dxa"/>
              <w:bottom w:w="150" w:type="dxa"/>
              <w:right w:w="240" w:type="dxa"/>
            </w:tcMar>
            <w:vAlign w:val="center"/>
            <w:hideMark/>
          </w:tcPr>
          <w:p w14:paraId="439AA26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 (17.6%)</w:t>
            </w:r>
          </w:p>
        </w:tc>
        <w:tc>
          <w:tcPr>
            <w:tcW w:w="0" w:type="auto"/>
            <w:tcMar>
              <w:top w:w="150" w:type="dxa"/>
              <w:left w:w="240" w:type="dxa"/>
              <w:bottom w:w="150" w:type="dxa"/>
              <w:right w:w="0" w:type="dxa"/>
            </w:tcMar>
            <w:vAlign w:val="center"/>
            <w:hideMark/>
          </w:tcPr>
          <w:p w14:paraId="1E554FE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17</w:t>
            </w:r>
          </w:p>
        </w:tc>
      </w:tr>
      <w:tr w:rsidR="00E94FCD" w:rsidRPr="00E94FCD" w14:paraId="535AFFD4" w14:textId="77777777">
        <w:tc>
          <w:tcPr>
            <w:tcW w:w="0" w:type="auto"/>
            <w:tcMar>
              <w:top w:w="150" w:type="dxa"/>
              <w:left w:w="0" w:type="dxa"/>
              <w:bottom w:w="150" w:type="dxa"/>
              <w:right w:w="240" w:type="dxa"/>
            </w:tcMar>
            <w:vAlign w:val="center"/>
            <w:hideMark/>
          </w:tcPr>
          <w:p w14:paraId="5953F4D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ALL</w:t>
            </w:r>
          </w:p>
        </w:tc>
        <w:tc>
          <w:tcPr>
            <w:tcW w:w="0" w:type="auto"/>
            <w:tcMar>
              <w:top w:w="150" w:type="dxa"/>
              <w:left w:w="240" w:type="dxa"/>
              <w:bottom w:w="150" w:type="dxa"/>
              <w:right w:w="240" w:type="dxa"/>
            </w:tcMar>
            <w:vAlign w:val="center"/>
            <w:hideMark/>
          </w:tcPr>
          <w:p w14:paraId="04E4312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413F3BC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14 (70.0%)</w:t>
            </w:r>
          </w:p>
        </w:tc>
        <w:tc>
          <w:tcPr>
            <w:tcW w:w="0" w:type="auto"/>
            <w:tcMar>
              <w:top w:w="150" w:type="dxa"/>
              <w:left w:w="240" w:type="dxa"/>
              <w:bottom w:w="150" w:type="dxa"/>
              <w:right w:w="240" w:type="dxa"/>
            </w:tcMar>
            <w:vAlign w:val="center"/>
            <w:hideMark/>
          </w:tcPr>
          <w:p w14:paraId="31E41BA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 (15.0%)</w:t>
            </w:r>
          </w:p>
        </w:tc>
        <w:tc>
          <w:tcPr>
            <w:tcW w:w="0" w:type="auto"/>
            <w:tcMar>
              <w:top w:w="150" w:type="dxa"/>
              <w:left w:w="240" w:type="dxa"/>
              <w:bottom w:w="150" w:type="dxa"/>
              <w:right w:w="240" w:type="dxa"/>
            </w:tcMar>
            <w:vAlign w:val="center"/>
            <w:hideMark/>
          </w:tcPr>
          <w:p w14:paraId="1704B207"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 (15.0%)</w:t>
            </w:r>
          </w:p>
        </w:tc>
        <w:tc>
          <w:tcPr>
            <w:tcW w:w="0" w:type="auto"/>
            <w:tcMar>
              <w:top w:w="150" w:type="dxa"/>
              <w:left w:w="240" w:type="dxa"/>
              <w:bottom w:w="150" w:type="dxa"/>
              <w:right w:w="0" w:type="dxa"/>
            </w:tcMar>
            <w:vAlign w:val="center"/>
            <w:hideMark/>
          </w:tcPr>
          <w:p w14:paraId="2A2E756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20</w:t>
            </w:r>
          </w:p>
        </w:tc>
      </w:tr>
      <w:tr w:rsidR="00E94FCD" w:rsidRPr="00E94FCD" w14:paraId="0FE16B0B" w14:textId="77777777">
        <w:tc>
          <w:tcPr>
            <w:tcW w:w="0" w:type="auto"/>
            <w:tcMar>
              <w:top w:w="150" w:type="dxa"/>
              <w:left w:w="0" w:type="dxa"/>
              <w:bottom w:w="150" w:type="dxa"/>
              <w:right w:w="240" w:type="dxa"/>
            </w:tcMar>
            <w:vAlign w:val="center"/>
            <w:hideMark/>
          </w:tcPr>
          <w:p w14:paraId="65155B2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MDS</w:t>
            </w:r>
          </w:p>
        </w:tc>
        <w:tc>
          <w:tcPr>
            <w:tcW w:w="0" w:type="auto"/>
            <w:tcMar>
              <w:top w:w="150" w:type="dxa"/>
              <w:left w:w="240" w:type="dxa"/>
              <w:bottom w:w="150" w:type="dxa"/>
              <w:right w:w="240" w:type="dxa"/>
            </w:tcMar>
            <w:vAlign w:val="center"/>
            <w:hideMark/>
          </w:tcPr>
          <w:p w14:paraId="7F57D48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(100.0%)</w:t>
            </w:r>
          </w:p>
        </w:tc>
        <w:tc>
          <w:tcPr>
            <w:tcW w:w="0" w:type="auto"/>
            <w:tcMar>
              <w:top w:w="150" w:type="dxa"/>
              <w:left w:w="240" w:type="dxa"/>
              <w:bottom w:w="150" w:type="dxa"/>
              <w:right w:w="240" w:type="dxa"/>
            </w:tcMar>
            <w:vAlign w:val="center"/>
            <w:hideMark/>
          </w:tcPr>
          <w:p w14:paraId="6780BFD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514D817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256D6A1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0" w:type="dxa"/>
            </w:tcMar>
            <w:vAlign w:val="center"/>
            <w:hideMark/>
          </w:tcPr>
          <w:p w14:paraId="718B810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w:t>
            </w:r>
          </w:p>
        </w:tc>
      </w:tr>
      <w:tr w:rsidR="00E94FCD" w:rsidRPr="00E94FCD" w14:paraId="048F0E1C" w14:textId="77777777">
        <w:tc>
          <w:tcPr>
            <w:tcW w:w="0" w:type="auto"/>
            <w:tcMar>
              <w:top w:w="150" w:type="dxa"/>
              <w:left w:w="0" w:type="dxa"/>
              <w:bottom w:w="150" w:type="dxa"/>
              <w:right w:w="240" w:type="dxa"/>
            </w:tcMar>
            <w:vAlign w:val="center"/>
            <w:hideMark/>
          </w:tcPr>
          <w:p w14:paraId="55D450BF"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NHL</w:t>
            </w:r>
          </w:p>
        </w:tc>
        <w:tc>
          <w:tcPr>
            <w:tcW w:w="0" w:type="auto"/>
            <w:tcMar>
              <w:top w:w="150" w:type="dxa"/>
              <w:left w:w="240" w:type="dxa"/>
              <w:bottom w:w="150" w:type="dxa"/>
              <w:right w:w="240" w:type="dxa"/>
            </w:tcMar>
            <w:vAlign w:val="center"/>
            <w:hideMark/>
          </w:tcPr>
          <w:p w14:paraId="4D2AA1B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778B3D7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4 (44.4%)</w:t>
            </w:r>
          </w:p>
        </w:tc>
        <w:tc>
          <w:tcPr>
            <w:tcW w:w="0" w:type="auto"/>
            <w:tcMar>
              <w:top w:w="150" w:type="dxa"/>
              <w:left w:w="240" w:type="dxa"/>
              <w:bottom w:w="150" w:type="dxa"/>
              <w:right w:w="240" w:type="dxa"/>
            </w:tcMar>
            <w:vAlign w:val="center"/>
            <w:hideMark/>
          </w:tcPr>
          <w:p w14:paraId="33C15FA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 (33.3%)</w:t>
            </w:r>
          </w:p>
        </w:tc>
        <w:tc>
          <w:tcPr>
            <w:tcW w:w="0" w:type="auto"/>
            <w:tcMar>
              <w:top w:w="150" w:type="dxa"/>
              <w:left w:w="240" w:type="dxa"/>
              <w:bottom w:w="150" w:type="dxa"/>
              <w:right w:w="240" w:type="dxa"/>
            </w:tcMar>
            <w:vAlign w:val="center"/>
            <w:hideMark/>
          </w:tcPr>
          <w:p w14:paraId="1C7FAC0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 (22.2%)</w:t>
            </w:r>
          </w:p>
        </w:tc>
        <w:tc>
          <w:tcPr>
            <w:tcW w:w="0" w:type="auto"/>
            <w:tcMar>
              <w:top w:w="150" w:type="dxa"/>
              <w:left w:w="240" w:type="dxa"/>
              <w:bottom w:w="150" w:type="dxa"/>
              <w:right w:w="0" w:type="dxa"/>
            </w:tcMar>
            <w:vAlign w:val="center"/>
            <w:hideMark/>
          </w:tcPr>
          <w:p w14:paraId="68F7C6B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9</w:t>
            </w:r>
          </w:p>
        </w:tc>
      </w:tr>
      <w:tr w:rsidR="00E94FCD" w:rsidRPr="00E94FCD" w14:paraId="333B1EB8" w14:textId="77777777">
        <w:tc>
          <w:tcPr>
            <w:tcW w:w="0" w:type="auto"/>
            <w:tcMar>
              <w:top w:w="150" w:type="dxa"/>
              <w:left w:w="0" w:type="dxa"/>
              <w:bottom w:w="150" w:type="dxa"/>
              <w:right w:w="240" w:type="dxa"/>
            </w:tcMar>
            <w:vAlign w:val="center"/>
            <w:hideMark/>
          </w:tcPr>
          <w:p w14:paraId="7F1D016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MM</w:t>
            </w:r>
          </w:p>
        </w:tc>
        <w:tc>
          <w:tcPr>
            <w:tcW w:w="0" w:type="auto"/>
            <w:tcMar>
              <w:top w:w="150" w:type="dxa"/>
              <w:left w:w="240" w:type="dxa"/>
              <w:bottom w:w="150" w:type="dxa"/>
              <w:right w:w="240" w:type="dxa"/>
            </w:tcMar>
            <w:vAlign w:val="center"/>
            <w:hideMark/>
          </w:tcPr>
          <w:p w14:paraId="16CC370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336789D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2620D55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 (55.6%)</w:t>
            </w:r>
          </w:p>
        </w:tc>
        <w:tc>
          <w:tcPr>
            <w:tcW w:w="0" w:type="auto"/>
            <w:tcMar>
              <w:top w:w="150" w:type="dxa"/>
              <w:left w:w="240" w:type="dxa"/>
              <w:bottom w:w="150" w:type="dxa"/>
              <w:right w:w="240" w:type="dxa"/>
            </w:tcMar>
            <w:vAlign w:val="center"/>
            <w:hideMark/>
          </w:tcPr>
          <w:p w14:paraId="54A4BC8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0" w:type="dxa"/>
            </w:tcMar>
            <w:vAlign w:val="center"/>
            <w:hideMark/>
          </w:tcPr>
          <w:p w14:paraId="4EE145AF"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9</w:t>
            </w:r>
          </w:p>
        </w:tc>
      </w:tr>
      <w:tr w:rsidR="00E94FCD" w:rsidRPr="00E94FCD" w14:paraId="3B034130" w14:textId="77777777">
        <w:tc>
          <w:tcPr>
            <w:tcW w:w="0" w:type="auto"/>
            <w:tcMar>
              <w:top w:w="150" w:type="dxa"/>
              <w:left w:w="0" w:type="dxa"/>
              <w:bottom w:w="150" w:type="dxa"/>
              <w:right w:w="240" w:type="dxa"/>
            </w:tcMar>
            <w:vAlign w:val="center"/>
            <w:hideMark/>
          </w:tcPr>
          <w:p w14:paraId="7E16520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CML</w:t>
            </w:r>
          </w:p>
        </w:tc>
        <w:tc>
          <w:tcPr>
            <w:tcW w:w="0" w:type="auto"/>
            <w:tcMar>
              <w:top w:w="150" w:type="dxa"/>
              <w:left w:w="240" w:type="dxa"/>
              <w:bottom w:w="150" w:type="dxa"/>
              <w:right w:w="240" w:type="dxa"/>
            </w:tcMar>
            <w:vAlign w:val="center"/>
            <w:hideMark/>
          </w:tcPr>
          <w:p w14:paraId="3954F66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0B7DF257"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 (60.0%)</w:t>
            </w:r>
          </w:p>
        </w:tc>
        <w:tc>
          <w:tcPr>
            <w:tcW w:w="0" w:type="auto"/>
            <w:tcMar>
              <w:top w:w="150" w:type="dxa"/>
              <w:left w:w="240" w:type="dxa"/>
              <w:bottom w:w="150" w:type="dxa"/>
              <w:right w:w="240" w:type="dxa"/>
            </w:tcMar>
            <w:vAlign w:val="center"/>
            <w:hideMark/>
          </w:tcPr>
          <w:p w14:paraId="79C69F1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(20.0%)</w:t>
            </w:r>
          </w:p>
        </w:tc>
        <w:tc>
          <w:tcPr>
            <w:tcW w:w="0" w:type="auto"/>
            <w:tcMar>
              <w:top w:w="150" w:type="dxa"/>
              <w:left w:w="240" w:type="dxa"/>
              <w:bottom w:w="150" w:type="dxa"/>
              <w:right w:w="240" w:type="dxa"/>
            </w:tcMar>
            <w:vAlign w:val="center"/>
            <w:hideMark/>
          </w:tcPr>
          <w:p w14:paraId="53D1102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(20.0%)</w:t>
            </w:r>
          </w:p>
        </w:tc>
        <w:tc>
          <w:tcPr>
            <w:tcW w:w="0" w:type="auto"/>
            <w:tcMar>
              <w:top w:w="150" w:type="dxa"/>
              <w:left w:w="240" w:type="dxa"/>
              <w:bottom w:w="150" w:type="dxa"/>
              <w:right w:w="0" w:type="dxa"/>
            </w:tcMar>
            <w:vAlign w:val="center"/>
            <w:hideMark/>
          </w:tcPr>
          <w:p w14:paraId="1664FB2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w:t>
            </w:r>
          </w:p>
        </w:tc>
      </w:tr>
      <w:tr w:rsidR="00E94FCD" w:rsidRPr="00E94FCD" w14:paraId="4D185376" w14:textId="77777777">
        <w:tc>
          <w:tcPr>
            <w:tcW w:w="0" w:type="auto"/>
            <w:tcMar>
              <w:top w:w="150" w:type="dxa"/>
              <w:left w:w="0" w:type="dxa"/>
              <w:bottom w:w="150" w:type="dxa"/>
              <w:right w:w="240" w:type="dxa"/>
            </w:tcMar>
            <w:vAlign w:val="center"/>
            <w:hideMark/>
          </w:tcPr>
          <w:p w14:paraId="06E88F4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CLL</w:t>
            </w:r>
          </w:p>
        </w:tc>
        <w:tc>
          <w:tcPr>
            <w:tcW w:w="0" w:type="auto"/>
            <w:tcMar>
              <w:top w:w="150" w:type="dxa"/>
              <w:left w:w="240" w:type="dxa"/>
              <w:bottom w:w="150" w:type="dxa"/>
              <w:right w:w="240" w:type="dxa"/>
            </w:tcMar>
            <w:vAlign w:val="center"/>
            <w:hideMark/>
          </w:tcPr>
          <w:p w14:paraId="22CC68A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16D7F02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 (50.0%)</w:t>
            </w:r>
          </w:p>
        </w:tc>
        <w:tc>
          <w:tcPr>
            <w:tcW w:w="0" w:type="auto"/>
            <w:tcMar>
              <w:top w:w="150" w:type="dxa"/>
              <w:left w:w="240" w:type="dxa"/>
              <w:bottom w:w="150" w:type="dxa"/>
              <w:right w:w="240" w:type="dxa"/>
            </w:tcMar>
            <w:vAlign w:val="center"/>
            <w:hideMark/>
          </w:tcPr>
          <w:p w14:paraId="7524594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(25.0%)</w:t>
            </w:r>
          </w:p>
        </w:tc>
        <w:tc>
          <w:tcPr>
            <w:tcW w:w="0" w:type="auto"/>
            <w:tcMar>
              <w:top w:w="150" w:type="dxa"/>
              <w:left w:w="240" w:type="dxa"/>
              <w:bottom w:w="150" w:type="dxa"/>
              <w:right w:w="240" w:type="dxa"/>
            </w:tcMar>
            <w:vAlign w:val="center"/>
            <w:hideMark/>
          </w:tcPr>
          <w:p w14:paraId="0E81446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(25.0%)</w:t>
            </w:r>
          </w:p>
        </w:tc>
        <w:tc>
          <w:tcPr>
            <w:tcW w:w="0" w:type="auto"/>
            <w:tcMar>
              <w:top w:w="150" w:type="dxa"/>
              <w:left w:w="240" w:type="dxa"/>
              <w:bottom w:w="150" w:type="dxa"/>
              <w:right w:w="0" w:type="dxa"/>
            </w:tcMar>
            <w:vAlign w:val="center"/>
            <w:hideMark/>
          </w:tcPr>
          <w:p w14:paraId="102A981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4</w:t>
            </w:r>
          </w:p>
        </w:tc>
      </w:tr>
      <w:tr w:rsidR="00E94FCD" w:rsidRPr="00E94FCD" w14:paraId="2DCB453F" w14:textId="77777777">
        <w:tc>
          <w:tcPr>
            <w:tcW w:w="0" w:type="auto"/>
            <w:tcMar>
              <w:top w:w="150" w:type="dxa"/>
              <w:left w:w="0" w:type="dxa"/>
              <w:bottom w:w="150" w:type="dxa"/>
              <w:right w:w="240" w:type="dxa"/>
            </w:tcMar>
            <w:vAlign w:val="center"/>
            <w:hideMark/>
          </w:tcPr>
          <w:p w14:paraId="3946B1C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HL</w:t>
            </w:r>
          </w:p>
        </w:tc>
        <w:tc>
          <w:tcPr>
            <w:tcW w:w="0" w:type="auto"/>
            <w:tcMar>
              <w:top w:w="150" w:type="dxa"/>
              <w:left w:w="240" w:type="dxa"/>
              <w:bottom w:w="150" w:type="dxa"/>
              <w:right w:w="240" w:type="dxa"/>
            </w:tcMar>
            <w:vAlign w:val="center"/>
            <w:hideMark/>
          </w:tcPr>
          <w:p w14:paraId="682000C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2ECBB7E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 (50.0%)</w:t>
            </w:r>
          </w:p>
        </w:tc>
        <w:tc>
          <w:tcPr>
            <w:tcW w:w="0" w:type="auto"/>
            <w:tcMar>
              <w:top w:w="150" w:type="dxa"/>
              <w:left w:w="240" w:type="dxa"/>
              <w:bottom w:w="150" w:type="dxa"/>
              <w:right w:w="240" w:type="dxa"/>
            </w:tcMar>
            <w:vAlign w:val="center"/>
            <w:hideMark/>
          </w:tcPr>
          <w:p w14:paraId="585BD7D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 (50.0%)</w:t>
            </w:r>
          </w:p>
        </w:tc>
        <w:tc>
          <w:tcPr>
            <w:tcW w:w="0" w:type="auto"/>
            <w:tcMar>
              <w:top w:w="150" w:type="dxa"/>
              <w:left w:w="240" w:type="dxa"/>
              <w:bottom w:w="150" w:type="dxa"/>
              <w:right w:w="240" w:type="dxa"/>
            </w:tcMar>
            <w:vAlign w:val="center"/>
            <w:hideMark/>
          </w:tcPr>
          <w:p w14:paraId="567322C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0" w:type="dxa"/>
            </w:tcMar>
            <w:vAlign w:val="center"/>
            <w:hideMark/>
          </w:tcPr>
          <w:p w14:paraId="1A0ADCF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4</w:t>
            </w:r>
          </w:p>
        </w:tc>
      </w:tr>
      <w:tr w:rsidR="00E94FCD" w:rsidRPr="00E94FCD" w14:paraId="5BB8DE2E" w14:textId="77777777">
        <w:tc>
          <w:tcPr>
            <w:tcW w:w="0" w:type="auto"/>
            <w:tcMar>
              <w:top w:w="150" w:type="dxa"/>
              <w:left w:w="0" w:type="dxa"/>
              <w:bottom w:w="150" w:type="dxa"/>
              <w:right w:w="240" w:type="dxa"/>
            </w:tcMar>
            <w:vAlign w:val="center"/>
            <w:hideMark/>
          </w:tcPr>
          <w:p w14:paraId="6A2C5C1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ET</w:t>
            </w:r>
          </w:p>
        </w:tc>
        <w:tc>
          <w:tcPr>
            <w:tcW w:w="0" w:type="auto"/>
            <w:tcMar>
              <w:top w:w="150" w:type="dxa"/>
              <w:left w:w="240" w:type="dxa"/>
              <w:bottom w:w="150" w:type="dxa"/>
              <w:right w:w="240" w:type="dxa"/>
            </w:tcMar>
            <w:vAlign w:val="center"/>
            <w:hideMark/>
          </w:tcPr>
          <w:p w14:paraId="42D61F9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2B86F55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737FE73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(100.0%)</w:t>
            </w:r>
          </w:p>
        </w:tc>
        <w:tc>
          <w:tcPr>
            <w:tcW w:w="0" w:type="auto"/>
            <w:tcMar>
              <w:top w:w="150" w:type="dxa"/>
              <w:left w:w="240" w:type="dxa"/>
              <w:bottom w:w="150" w:type="dxa"/>
              <w:right w:w="240" w:type="dxa"/>
            </w:tcMar>
            <w:vAlign w:val="center"/>
            <w:hideMark/>
          </w:tcPr>
          <w:p w14:paraId="0CD73C6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0" w:type="dxa"/>
            </w:tcMar>
            <w:vAlign w:val="center"/>
            <w:hideMark/>
          </w:tcPr>
          <w:p w14:paraId="3834C6B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w:t>
            </w:r>
          </w:p>
        </w:tc>
      </w:tr>
    </w:tbl>
    <w:p w14:paraId="5E307A47" w14:textId="54C19FD6" w:rsidR="00E94FCD" w:rsidRPr="00E94FCD" w:rsidRDefault="00611F7D" w:rsidP="002816C0">
      <w:pPr>
        <w:spacing w:line="360" w:lineRule="auto"/>
        <w:rPr>
          <w:rFonts w:asciiTheme="majorBidi" w:hAnsiTheme="majorBidi" w:cstheme="majorBidi"/>
          <w:sz w:val="24"/>
          <w:szCs w:val="24"/>
        </w:rPr>
      </w:pPr>
      <w:r>
        <w:rPr>
          <w:rFonts w:asciiTheme="majorBidi" w:hAnsiTheme="majorBidi" w:cstheme="majorBidi"/>
          <w:noProof/>
          <w:sz w:val="24"/>
          <w:szCs w:val="24"/>
        </w:rPr>
        <w:lastRenderedPageBreak/>
        <mc:AlternateContent>
          <mc:Choice Requires="wpi">
            <w:drawing>
              <wp:anchor distT="0" distB="0" distL="114300" distR="114300" simplePos="0" relativeHeight="251682816" behindDoc="0" locked="0" layoutInCell="1" allowOverlap="1" wp14:anchorId="65431177" wp14:editId="231DB148">
                <wp:simplePos x="0" y="0"/>
                <wp:positionH relativeFrom="column">
                  <wp:posOffset>-1149346</wp:posOffset>
                </wp:positionH>
                <wp:positionV relativeFrom="paragraph">
                  <wp:posOffset>992920</wp:posOffset>
                </wp:positionV>
                <wp:extent cx="23400" cy="118800"/>
                <wp:effectExtent l="38100" t="38100" r="53340" b="52705"/>
                <wp:wrapNone/>
                <wp:docPr id="1531941574" name="Ink 28"/>
                <wp:cNvGraphicFramePr/>
                <a:graphic xmlns:a="http://schemas.openxmlformats.org/drawingml/2006/main">
                  <a:graphicData uri="http://schemas.microsoft.com/office/word/2010/wordprocessingInk">
                    <w14:contentPart bwMode="auto" r:id="rId28">
                      <w14:nvContentPartPr>
                        <w14:cNvContentPartPr/>
                      </w14:nvContentPartPr>
                      <w14:xfrm>
                        <a:off x="0" y="0"/>
                        <a:ext cx="23400" cy="1188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957D39" id="Ink 28" o:spid="_x0000_s1026" type="#_x0000_t75" style="position:absolute;margin-left:-91pt;margin-top:77.7pt;width:2.85pt;height:10.3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">
                <v:imagedata r:id="rId29"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81792" behindDoc="0" locked="0" layoutInCell="1" allowOverlap="1" wp14:anchorId="4744486C" wp14:editId="45EE2BD4">
                <wp:simplePos x="0" y="0"/>
                <wp:positionH relativeFrom="column">
                  <wp:posOffset>-1149346</wp:posOffset>
                </wp:positionH>
                <wp:positionV relativeFrom="paragraph">
                  <wp:posOffset>1163560</wp:posOffset>
                </wp:positionV>
                <wp:extent cx="3240" cy="113400"/>
                <wp:effectExtent l="38100" t="38100" r="34925" b="39370"/>
                <wp:wrapNone/>
                <wp:docPr id="501163222" name="Ink 27"/>
                <wp:cNvGraphicFramePr/>
                <a:graphic xmlns:a="http://schemas.openxmlformats.org/drawingml/2006/main">
                  <a:graphicData uri="http://schemas.microsoft.com/office/word/2010/wordprocessingInk">
                    <w14:contentPart bwMode="auto" r:id="rId30">
                      <w14:nvContentPartPr>
                        <w14:cNvContentPartPr/>
                      </w14:nvContentPartPr>
                      <w14:xfrm>
                        <a:off x="0" y="0"/>
                        <a:ext cx="3240" cy="1134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A69C1D" id="Ink 27" o:spid="_x0000_s1026" type="#_x0000_t75" style="position:absolute;margin-left:-91pt;margin-top:91.1pt;width:1.2pt;height:9.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">
                <v:imagedata r:id="rId31" o:title=""/>
              </v:shape>
            </w:pict>
          </mc:Fallback>
        </mc:AlternateContent>
      </w:r>
      <w:r w:rsidR="00E94FCD" w:rsidRPr="00E94FCD">
        <w:rPr>
          <w:rFonts w:asciiTheme="majorBidi" w:hAnsiTheme="majorBidi" w:cstheme="majorBidi"/>
          <w:sz w:val="24"/>
          <w:szCs w:val="24"/>
        </w:rPr>
        <w:t xml:space="preserve">*Statistical Analysis Note: The Chi-square test (or Fisher's exact test where applicable) was used to assess associations. A statistically significant association was found between AML and the overall distribution of cytopenia patterns (p=0.005). For other diagnostic categories, the small sample sizes preclude robust statistical comparisons; the table presents descriptive frequencies and row percentages for clinical </w:t>
      </w:r>
      <w:proofErr w:type="gramStart"/>
      <w:r w:rsidR="00E94FCD" w:rsidRPr="00E94FCD">
        <w:rPr>
          <w:rFonts w:asciiTheme="majorBidi" w:hAnsiTheme="majorBidi" w:cstheme="majorBidi"/>
          <w:sz w:val="24"/>
          <w:szCs w:val="24"/>
        </w:rPr>
        <w:t>reference.*</w:t>
      </w:r>
      <w:proofErr w:type="gramEnd"/>
    </w:p>
    <w:p w14:paraId="04CFE165" w14:textId="65A7242E" w:rsidR="00E94FCD" w:rsidRPr="00E94FCD" w:rsidRDefault="00611F7D" w:rsidP="002816C0">
      <w:pPr>
        <w:numPr>
          <w:ilvl w:val="0"/>
          <w:numId w:val="3"/>
        </w:numPr>
        <w:spacing w:line="360" w:lineRule="auto"/>
        <w:rPr>
          <w:rFonts w:asciiTheme="majorBidi" w:hAnsiTheme="majorBidi" w:cstheme="majorBidi"/>
          <w:sz w:val="24"/>
          <w:szCs w:val="24"/>
        </w:rPr>
      </w:pPr>
      <w:r>
        <w:rPr>
          <w:rFonts w:asciiTheme="majorBidi" w:hAnsiTheme="majorBidi" w:cstheme="majorBidi"/>
          <w:b/>
          <w:bCs/>
          <w:noProof/>
          <w:sz w:val="24"/>
          <w:szCs w:val="24"/>
        </w:rPr>
        <mc:AlternateContent>
          <mc:Choice Requires="wpi">
            <w:drawing>
              <wp:anchor distT="0" distB="0" distL="114300" distR="114300" simplePos="0" relativeHeight="251680768" behindDoc="0" locked="0" layoutInCell="1" allowOverlap="1" wp14:anchorId="5823DF23" wp14:editId="28FA24AD">
                <wp:simplePos x="0" y="0"/>
                <wp:positionH relativeFrom="column">
                  <wp:posOffset>-1152226</wp:posOffset>
                </wp:positionH>
                <wp:positionV relativeFrom="paragraph">
                  <wp:posOffset>-86530</wp:posOffset>
                </wp:positionV>
                <wp:extent cx="3600" cy="230760"/>
                <wp:effectExtent l="38100" t="38100" r="34925" b="36195"/>
                <wp:wrapNone/>
                <wp:docPr id="1943803498" name="Ink 26"/>
                <wp:cNvGraphicFramePr/>
                <a:graphic xmlns:a="http://schemas.openxmlformats.org/drawingml/2006/main">
                  <a:graphicData uri="http://schemas.microsoft.com/office/word/2010/wordprocessingInk">
                    <w14:contentPart bwMode="auto" r:id="rId32">
                      <w14:nvContentPartPr>
                        <w14:cNvContentPartPr/>
                      </w14:nvContentPartPr>
                      <w14:xfrm>
                        <a:off x="0" y="0"/>
                        <a:ext cx="3600" cy="2307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78EEB5" id="Ink 26" o:spid="_x0000_s1026" type="#_x0000_t75" style="position:absolute;margin-left:-91.25pt;margin-top:-7.3pt;width:1.3pt;height:19.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">
                <v:imagedata r:id="rId33" o:title=""/>
              </v:shape>
            </w:pict>
          </mc:Fallback>
        </mc:AlternateContent>
      </w:r>
      <w:r>
        <w:rPr>
          <w:rFonts w:asciiTheme="majorBidi" w:hAnsiTheme="majorBidi" w:cstheme="majorBidi"/>
          <w:b/>
          <w:bCs/>
          <w:noProof/>
          <w:sz w:val="24"/>
          <w:szCs w:val="24"/>
        </w:rPr>
        <mc:AlternateContent>
          <mc:Choice Requires="wpi">
            <w:drawing>
              <wp:anchor distT="0" distB="0" distL="114300" distR="114300" simplePos="0" relativeHeight="251679744" behindDoc="0" locked="0" layoutInCell="1" allowOverlap="1" wp14:anchorId="6A9B81C7" wp14:editId="638CE80C">
                <wp:simplePos x="0" y="0"/>
                <wp:positionH relativeFrom="column">
                  <wp:posOffset>-1148986</wp:posOffset>
                </wp:positionH>
                <wp:positionV relativeFrom="paragraph">
                  <wp:posOffset>232070</wp:posOffset>
                </wp:positionV>
                <wp:extent cx="1440" cy="43920"/>
                <wp:effectExtent l="38100" t="38100" r="36830" b="51435"/>
                <wp:wrapNone/>
                <wp:docPr id="958165508" name="Ink 25"/>
                <wp:cNvGraphicFramePr/>
                <a:graphic xmlns:a="http://schemas.openxmlformats.org/drawingml/2006/main">
                  <a:graphicData uri="http://schemas.microsoft.com/office/word/2010/wordprocessingInk">
                    <w14:contentPart bwMode="auto" r:id="rId34">
                      <w14:nvContentPartPr>
                        <w14:cNvContentPartPr/>
                      </w14:nvContentPartPr>
                      <w14:xfrm>
                        <a:off x="0" y="0"/>
                        <a:ext cx="1440" cy="439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94338E" id="Ink 25" o:spid="_x0000_s1026" type="#_x0000_t75" style="position:absolute;margin-left:-90.95pt;margin-top:17.75pt;width:1.1pt;height:4.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">
                <v:imagedata r:id="rId35" o:title=""/>
              </v:shape>
            </w:pict>
          </mc:Fallback>
        </mc:AlternateContent>
      </w:r>
      <w:r>
        <w:rPr>
          <w:rFonts w:asciiTheme="majorBidi" w:hAnsiTheme="majorBidi" w:cstheme="majorBidi"/>
          <w:b/>
          <w:bCs/>
          <w:noProof/>
          <w:sz w:val="24"/>
          <w:szCs w:val="24"/>
        </w:rPr>
        <mc:AlternateContent>
          <mc:Choice Requires="wpi">
            <w:drawing>
              <wp:anchor distT="0" distB="0" distL="114300" distR="114300" simplePos="0" relativeHeight="251678720" behindDoc="0" locked="0" layoutInCell="1" allowOverlap="1" wp14:anchorId="25F8FF46" wp14:editId="62239979">
                <wp:simplePos x="0" y="0"/>
                <wp:positionH relativeFrom="column">
                  <wp:posOffset>-1152586</wp:posOffset>
                </wp:positionH>
                <wp:positionV relativeFrom="paragraph">
                  <wp:posOffset>369950</wp:posOffset>
                </wp:positionV>
                <wp:extent cx="16920" cy="188640"/>
                <wp:effectExtent l="38100" t="38100" r="40640" b="40005"/>
                <wp:wrapNone/>
                <wp:docPr id="644895919" name="Ink 24"/>
                <wp:cNvGraphicFramePr/>
                <a:graphic xmlns:a="http://schemas.openxmlformats.org/drawingml/2006/main">
                  <a:graphicData uri="http://schemas.microsoft.com/office/word/2010/wordprocessingInk">
                    <w14:contentPart bwMode="auto" r:id="rId36">
                      <w14:nvContentPartPr>
                        <w14:cNvContentPartPr/>
                      </w14:nvContentPartPr>
                      <w14:xfrm>
                        <a:off x="0" y="0"/>
                        <a:ext cx="16920" cy="1886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54C904" id="Ink 24" o:spid="_x0000_s1026" type="#_x0000_t75" style="position:absolute;margin-left:-91.25pt;margin-top:28.65pt;width:2.35pt;height:15.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">
                <v:imagedata r:id="rId37" o:title=""/>
              </v:shape>
            </w:pict>
          </mc:Fallback>
        </mc:AlternateContent>
      </w:r>
      <w:r w:rsidR="00E94FCD" w:rsidRPr="00E94FCD">
        <w:rPr>
          <w:rFonts w:asciiTheme="majorBidi" w:hAnsiTheme="majorBidi" w:cstheme="majorBidi"/>
          <w:b/>
          <w:bCs/>
          <w:sz w:val="24"/>
          <w:szCs w:val="24"/>
        </w:rPr>
        <w:t>Acute Myeloid Leukemia (AML)</w:t>
      </w:r>
      <w:r w:rsidR="00E94FCD" w:rsidRPr="00E94FCD">
        <w:rPr>
          <w:rFonts w:asciiTheme="majorBidi" w:hAnsiTheme="majorBidi" w:cstheme="majorBidi"/>
          <w:sz w:val="24"/>
          <w:szCs w:val="24"/>
        </w:rPr>
        <w:t xml:space="preserve"> showed a statistically significant association with both pancytopenia and isolated thrombocytopenia. AML accounted for 83.3% of all </w:t>
      </w:r>
      <w:proofErr w:type="spellStart"/>
      <w:r w:rsidR="00E94FCD" w:rsidRPr="00E94FCD">
        <w:rPr>
          <w:rFonts w:asciiTheme="majorBidi" w:hAnsiTheme="majorBidi" w:cstheme="majorBidi"/>
          <w:sz w:val="24"/>
          <w:szCs w:val="24"/>
        </w:rPr>
        <w:t>pancytopenic</w:t>
      </w:r>
      <w:proofErr w:type="spellEnd"/>
      <w:r w:rsidR="00E94FCD" w:rsidRPr="00E94FCD">
        <w:rPr>
          <w:rFonts w:asciiTheme="majorBidi" w:hAnsiTheme="majorBidi" w:cstheme="majorBidi"/>
          <w:sz w:val="24"/>
          <w:szCs w:val="24"/>
        </w:rPr>
        <w:t xml:space="preserve"> cases.</w:t>
      </w:r>
    </w:p>
    <w:p w14:paraId="36068CE0" w14:textId="77777777" w:rsidR="00E94FCD" w:rsidRPr="00E94FCD" w:rsidRDefault="00E94FCD" w:rsidP="002816C0">
      <w:pPr>
        <w:numPr>
          <w:ilvl w:val="0"/>
          <w:numId w:val="3"/>
        </w:numPr>
        <w:spacing w:line="360" w:lineRule="auto"/>
        <w:rPr>
          <w:rFonts w:asciiTheme="majorBidi" w:hAnsiTheme="majorBidi" w:cstheme="majorBidi"/>
          <w:sz w:val="24"/>
          <w:szCs w:val="24"/>
        </w:rPr>
      </w:pPr>
      <w:r w:rsidRPr="00E94FCD">
        <w:rPr>
          <w:rFonts w:asciiTheme="majorBidi" w:hAnsiTheme="majorBidi" w:cstheme="majorBidi"/>
          <w:b/>
          <w:bCs/>
          <w:sz w:val="24"/>
          <w:szCs w:val="24"/>
        </w:rPr>
        <w:t>Acute Lymphoblastic Leukemia (ALL)</w:t>
      </w:r>
      <w:r w:rsidRPr="00E94FCD">
        <w:rPr>
          <w:rFonts w:asciiTheme="majorBidi" w:hAnsiTheme="majorBidi" w:cstheme="majorBidi"/>
          <w:sz w:val="24"/>
          <w:szCs w:val="24"/>
        </w:rPr>
        <w:t xml:space="preserve"> was the most common cause of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(45.2% of </w:t>
      </w:r>
      <w:proofErr w:type="spellStart"/>
      <w:r w:rsidRPr="00E94FCD">
        <w:rPr>
          <w:rFonts w:asciiTheme="majorBidi" w:hAnsiTheme="majorBidi" w:cstheme="majorBidi"/>
          <w:sz w:val="24"/>
          <w:szCs w:val="24"/>
        </w:rPr>
        <w:t>bicytopenic</w:t>
      </w:r>
      <w:proofErr w:type="spellEnd"/>
      <w:r w:rsidRPr="00E94FCD">
        <w:rPr>
          <w:rFonts w:asciiTheme="majorBidi" w:hAnsiTheme="majorBidi" w:cstheme="majorBidi"/>
          <w:sz w:val="24"/>
          <w:szCs w:val="24"/>
        </w:rPr>
        <w:t xml:space="preserve"> cases).</w:t>
      </w:r>
    </w:p>
    <w:p w14:paraId="34573528" w14:textId="77777777" w:rsidR="00E94FCD" w:rsidRPr="00E94FCD" w:rsidRDefault="00E94FCD" w:rsidP="002816C0">
      <w:pPr>
        <w:numPr>
          <w:ilvl w:val="0"/>
          <w:numId w:val="3"/>
        </w:numPr>
        <w:spacing w:line="360" w:lineRule="auto"/>
        <w:rPr>
          <w:rFonts w:asciiTheme="majorBidi" w:hAnsiTheme="majorBidi" w:cstheme="majorBidi"/>
          <w:sz w:val="24"/>
          <w:szCs w:val="24"/>
        </w:rPr>
      </w:pPr>
      <w:r w:rsidRPr="00E94FCD">
        <w:rPr>
          <w:rFonts w:asciiTheme="majorBidi" w:hAnsiTheme="majorBidi" w:cstheme="majorBidi"/>
          <w:b/>
          <w:bCs/>
          <w:sz w:val="24"/>
          <w:szCs w:val="24"/>
        </w:rPr>
        <w:t>Multiple Myeloma (MM)</w:t>
      </w:r>
      <w:r w:rsidRPr="00E94FCD">
        <w:rPr>
          <w:rFonts w:asciiTheme="majorBidi" w:hAnsiTheme="majorBidi" w:cstheme="majorBidi"/>
          <w:sz w:val="24"/>
          <w:szCs w:val="24"/>
        </w:rPr>
        <w:t> was significantly associated with a normal peripheral blood count (36.4% of non-cytopenic cases) compared to cytopenic cases (8.5%) (p=0.011).</w:t>
      </w:r>
    </w:p>
    <w:p w14:paraId="109F19D3"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3.5. Bone Marrow Findings in Cytopenic Patients</w:t>
      </w:r>
    </w:p>
    <w:p w14:paraId="42AE626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Analysis of bone marrow findings in the cytopenic group (n=59) revealed significant pathological changes compared to the non-cytopenic group (n=11):</w:t>
      </w:r>
    </w:p>
    <w:p w14:paraId="370216CF" w14:textId="77777777" w:rsidR="00E94FCD" w:rsidRPr="00E94FCD" w:rsidRDefault="00E94FCD" w:rsidP="002816C0">
      <w:pPr>
        <w:numPr>
          <w:ilvl w:val="0"/>
          <w:numId w:val="4"/>
        </w:numPr>
        <w:spacing w:line="360" w:lineRule="auto"/>
        <w:rPr>
          <w:rFonts w:asciiTheme="majorBidi" w:hAnsiTheme="majorBidi" w:cstheme="majorBidi"/>
          <w:sz w:val="24"/>
          <w:szCs w:val="24"/>
        </w:rPr>
      </w:pPr>
      <w:r w:rsidRPr="00E94FCD">
        <w:rPr>
          <w:rFonts w:asciiTheme="majorBidi" w:hAnsiTheme="majorBidi" w:cstheme="majorBidi"/>
          <w:b/>
          <w:bCs/>
          <w:sz w:val="24"/>
          <w:szCs w:val="24"/>
        </w:rPr>
        <w:t>Cellularity:</w:t>
      </w:r>
      <w:r w:rsidRPr="00E94FCD">
        <w:rPr>
          <w:rFonts w:asciiTheme="majorBidi" w:hAnsiTheme="majorBidi" w:cstheme="majorBidi"/>
          <w:sz w:val="24"/>
          <w:szCs w:val="24"/>
        </w:rPr>
        <w:t xml:space="preserve"> The cytopenic group showed significant hypercellularity (45.8%) compared to the non-cytopenic group (36.4%), and the non-cytopenic group showed significant </w:t>
      </w:r>
      <w:proofErr w:type="spellStart"/>
      <w:r w:rsidRPr="00E94FCD">
        <w:rPr>
          <w:rFonts w:asciiTheme="majorBidi" w:hAnsiTheme="majorBidi" w:cstheme="majorBidi"/>
          <w:sz w:val="24"/>
          <w:szCs w:val="24"/>
        </w:rPr>
        <w:t>normocellularity</w:t>
      </w:r>
      <w:proofErr w:type="spellEnd"/>
      <w:r w:rsidRPr="00E94FCD">
        <w:rPr>
          <w:rFonts w:asciiTheme="majorBidi" w:hAnsiTheme="majorBidi" w:cstheme="majorBidi"/>
          <w:sz w:val="24"/>
          <w:szCs w:val="24"/>
        </w:rPr>
        <w:t xml:space="preserve"> (54.5%) (p=0.028).</w:t>
      </w:r>
    </w:p>
    <w:p w14:paraId="6631D3AC" w14:textId="77777777" w:rsidR="00E94FCD" w:rsidRPr="00E94FCD" w:rsidRDefault="00E94FCD" w:rsidP="002816C0">
      <w:pPr>
        <w:numPr>
          <w:ilvl w:val="0"/>
          <w:numId w:val="4"/>
        </w:numPr>
        <w:spacing w:line="360" w:lineRule="auto"/>
        <w:rPr>
          <w:rFonts w:asciiTheme="majorBidi" w:hAnsiTheme="majorBidi" w:cstheme="majorBidi"/>
          <w:sz w:val="24"/>
          <w:szCs w:val="24"/>
        </w:rPr>
      </w:pPr>
      <w:r w:rsidRPr="00E94FCD">
        <w:rPr>
          <w:rFonts w:asciiTheme="majorBidi" w:hAnsiTheme="majorBidi" w:cstheme="majorBidi"/>
          <w:b/>
          <w:bCs/>
          <w:sz w:val="24"/>
          <w:szCs w:val="24"/>
        </w:rPr>
        <w:t>Erythroid Precursors:</w:t>
      </w:r>
      <w:r w:rsidRPr="00E94FCD">
        <w:rPr>
          <w:rFonts w:asciiTheme="majorBidi" w:hAnsiTheme="majorBidi" w:cstheme="majorBidi"/>
          <w:sz w:val="24"/>
          <w:szCs w:val="24"/>
        </w:rPr>
        <w:t> Erythroid precursors were significantly decreased in the cytopenic group (79.7%) compared to the non-cytopenic group (36.4%) (p=0.004).</w:t>
      </w:r>
    </w:p>
    <w:p w14:paraId="20924A79" w14:textId="77777777" w:rsidR="00E94FCD" w:rsidRPr="00E94FCD" w:rsidRDefault="00E94FCD" w:rsidP="002816C0">
      <w:pPr>
        <w:numPr>
          <w:ilvl w:val="0"/>
          <w:numId w:val="4"/>
        </w:numPr>
        <w:spacing w:line="360" w:lineRule="auto"/>
        <w:rPr>
          <w:rFonts w:asciiTheme="majorBidi" w:hAnsiTheme="majorBidi" w:cstheme="majorBidi"/>
          <w:sz w:val="24"/>
          <w:szCs w:val="24"/>
        </w:rPr>
      </w:pPr>
      <w:r w:rsidRPr="00E94FCD">
        <w:rPr>
          <w:rFonts w:asciiTheme="majorBidi" w:hAnsiTheme="majorBidi" w:cstheme="majorBidi"/>
          <w:b/>
          <w:bCs/>
          <w:sz w:val="24"/>
          <w:szCs w:val="24"/>
        </w:rPr>
        <w:t>Megakaryocytes:</w:t>
      </w:r>
      <w:r w:rsidRPr="00E94FCD">
        <w:rPr>
          <w:rFonts w:asciiTheme="majorBidi" w:hAnsiTheme="majorBidi" w:cstheme="majorBidi"/>
          <w:sz w:val="24"/>
          <w:szCs w:val="24"/>
        </w:rPr>
        <w:t> Decreased megakaryocytes were significantly more prevalent in the cytopenic group (50.8%) compared to the non-cytopenic group, where no patient (0.0%) showed decreased megakaryocyte numbers (p=0.004).</w:t>
      </w:r>
    </w:p>
    <w:p w14:paraId="273FC76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These findings strongly suggest that the peripheral cytopenia is primarily due to the replacement of normal hematopoietic tissue by malignant cells and subsequent ineffective hematopoiesis.</w:t>
      </w:r>
    </w:p>
    <w:p w14:paraId="54D13373"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4. Discussion</w:t>
      </w:r>
    </w:p>
    <w:p w14:paraId="786C3CD5" w14:textId="77777777" w:rsidR="00EA66ED" w:rsidRPr="00AD1D59" w:rsidRDefault="00EA66ED" w:rsidP="00EA66ED">
      <w:pPr>
        <w:spacing w:line="360" w:lineRule="auto"/>
        <w:rPr>
          <w:rFonts w:asciiTheme="majorBidi" w:hAnsiTheme="majorBidi" w:cstheme="majorBidi"/>
          <w:sz w:val="24"/>
          <w:szCs w:val="24"/>
        </w:rPr>
      </w:pPr>
      <w:r w:rsidRPr="00AD1D59">
        <w:rPr>
          <w:rFonts w:asciiTheme="majorBidi" w:hAnsiTheme="majorBidi" w:cstheme="majorBidi"/>
          <w:sz w:val="24"/>
          <w:szCs w:val="24"/>
        </w:rPr>
        <w:lastRenderedPageBreak/>
        <w:t>The findings of this study confirm the high prevalence of peripheral cytopenia in patients with HMs, with </w:t>
      </w:r>
      <w:r w:rsidRPr="00AD1D59">
        <w:rPr>
          <w:rFonts w:asciiTheme="majorBidi" w:hAnsiTheme="majorBidi" w:cstheme="majorBidi"/>
          <w:b/>
          <w:bCs/>
          <w:sz w:val="24"/>
          <w:szCs w:val="24"/>
        </w:rPr>
        <w:t>84.3%</w:t>
      </w:r>
      <w:r w:rsidRPr="00AD1D59">
        <w:rPr>
          <w:rFonts w:asciiTheme="majorBidi" w:hAnsiTheme="majorBidi" w:cstheme="majorBidi"/>
          <w:sz w:val="24"/>
          <w:szCs w:val="24"/>
        </w:rPr>
        <w:t xml:space="preserve"> of the cohort presenting with this condition. This figure is consistent with international literature, which often reports a prevalence exceeding 80% in HM patients (Jha et al., </w:t>
      </w:r>
      <w:proofErr w:type="gramStart"/>
      <w:r w:rsidRPr="00AD1D59">
        <w:rPr>
          <w:rFonts w:asciiTheme="majorBidi" w:hAnsiTheme="majorBidi" w:cstheme="majorBidi"/>
          <w:sz w:val="24"/>
          <w:szCs w:val="24"/>
        </w:rPr>
        <w:t>2008)⁹</w:t>
      </w:r>
      <w:proofErr w:type="gramEnd"/>
      <w:r w:rsidRPr="00AD1D59">
        <w:rPr>
          <w:rFonts w:asciiTheme="majorBidi" w:hAnsiTheme="majorBidi" w:cstheme="majorBidi"/>
          <w:sz w:val="24"/>
          <w:szCs w:val="24"/>
        </w:rPr>
        <w:t>. The median age of 50 years and the male predominance (M:F ratio 1.5:1) align with demographic trends observed in cancer epidemiology in the Middle East (</w:t>
      </w:r>
      <w:proofErr w:type="spellStart"/>
      <w:r w:rsidRPr="00AD1D59">
        <w:rPr>
          <w:rFonts w:asciiTheme="majorBidi" w:hAnsiTheme="majorBidi" w:cstheme="majorBidi"/>
          <w:sz w:val="24"/>
          <w:szCs w:val="24"/>
        </w:rPr>
        <w:t>Alessy</w:t>
      </w:r>
      <w:proofErr w:type="spellEnd"/>
      <w:r w:rsidRPr="00AD1D59">
        <w:rPr>
          <w:rFonts w:asciiTheme="majorBidi" w:hAnsiTheme="majorBidi" w:cstheme="majorBidi"/>
          <w:sz w:val="24"/>
          <w:szCs w:val="24"/>
        </w:rPr>
        <w:t xml:space="preserve"> et al., </w:t>
      </w:r>
      <w:proofErr w:type="gramStart"/>
      <w:r w:rsidRPr="00AD1D59">
        <w:rPr>
          <w:rFonts w:asciiTheme="majorBidi" w:hAnsiTheme="majorBidi" w:cstheme="majorBidi"/>
          <w:sz w:val="24"/>
          <w:szCs w:val="24"/>
        </w:rPr>
        <w:t>2024)¹</w:t>
      </w:r>
      <w:proofErr w:type="gramEnd"/>
      <w:r w:rsidRPr="00AD1D59">
        <w:rPr>
          <w:rFonts w:asciiTheme="majorBidi" w:hAnsiTheme="majorBidi" w:cstheme="majorBidi"/>
          <w:sz w:val="24"/>
          <w:szCs w:val="24"/>
        </w:rPr>
        <w:t>⁰.</w:t>
      </w:r>
    </w:p>
    <w:p w14:paraId="6B669F74" w14:textId="77777777" w:rsidR="00EA66ED" w:rsidRDefault="00EA66ED" w:rsidP="00EA66ED">
      <w:pPr>
        <w:spacing w:line="360" w:lineRule="auto"/>
        <w:rPr>
          <w:rFonts w:asciiTheme="majorBidi" w:hAnsiTheme="majorBidi" w:cstheme="majorBidi"/>
          <w:sz w:val="24"/>
          <w:szCs w:val="24"/>
        </w:rPr>
      </w:pPr>
      <w:r w:rsidRPr="00AD1D59">
        <w:rPr>
          <w:rFonts w:asciiTheme="majorBidi" w:hAnsiTheme="majorBidi" w:cstheme="majorBidi"/>
          <w:sz w:val="24"/>
          <w:szCs w:val="24"/>
        </w:rPr>
        <w:br/>
        <w:t>The most striking observation is the </w:t>
      </w:r>
      <w:r w:rsidRPr="00AD1D59">
        <w:rPr>
          <w:rFonts w:asciiTheme="majorBidi" w:hAnsiTheme="majorBidi" w:cstheme="majorBidi"/>
          <w:b/>
          <w:bCs/>
          <w:sz w:val="24"/>
          <w:szCs w:val="24"/>
        </w:rPr>
        <w:t>dominance of acute leukemias (ALL and AML)</w:t>
      </w:r>
      <w:r w:rsidRPr="00AD1D59">
        <w:rPr>
          <w:rFonts w:asciiTheme="majorBidi" w:hAnsiTheme="majorBidi" w:cstheme="majorBidi"/>
          <w:sz w:val="24"/>
          <w:szCs w:val="24"/>
        </w:rPr>
        <w:t>, which constituted over half (</w:t>
      </w:r>
      <w:r w:rsidRPr="00AD1D59">
        <w:rPr>
          <w:rFonts w:asciiTheme="majorBidi" w:hAnsiTheme="majorBidi" w:cstheme="majorBidi"/>
          <w:b/>
          <w:bCs/>
          <w:sz w:val="24"/>
          <w:szCs w:val="24"/>
        </w:rPr>
        <w:t>52.9%</w:t>
      </w:r>
      <w:r w:rsidRPr="00AD1D59">
        <w:rPr>
          <w:rFonts w:asciiTheme="majorBidi" w:hAnsiTheme="majorBidi" w:cstheme="majorBidi"/>
          <w:sz w:val="24"/>
          <w:szCs w:val="24"/>
        </w:rPr>
        <w:t xml:space="preserve">) of all HMs. This represents a potential epidemiological shift from an earlier Yemeni study (2008–2010) which reported lymphomas as the most prevalent HM (Hamid, </w:t>
      </w:r>
      <w:proofErr w:type="gramStart"/>
      <w:r w:rsidRPr="00AD1D59">
        <w:rPr>
          <w:rFonts w:asciiTheme="majorBidi" w:hAnsiTheme="majorBidi" w:cstheme="majorBidi"/>
          <w:sz w:val="24"/>
          <w:szCs w:val="24"/>
        </w:rPr>
        <w:t>2012)¹</w:t>
      </w:r>
      <w:proofErr w:type="gramEnd"/>
      <w:r w:rsidRPr="00AD1D59">
        <w:rPr>
          <w:rFonts w:asciiTheme="majorBidi" w:hAnsiTheme="majorBidi" w:cstheme="majorBidi"/>
          <w:sz w:val="24"/>
          <w:szCs w:val="24"/>
        </w:rPr>
        <w:t>¹. This shift may reflect improved diagnostic ascertainment, changing referral patterns, or a genuine change in disease burden. More critically, it underscores a </w:t>
      </w:r>
      <w:r w:rsidRPr="00AD1D59">
        <w:rPr>
          <w:rFonts w:asciiTheme="majorBidi" w:hAnsiTheme="majorBidi" w:cstheme="majorBidi"/>
          <w:b/>
          <w:bCs/>
          <w:sz w:val="24"/>
          <w:szCs w:val="24"/>
        </w:rPr>
        <w:t>late presentation pattern</w:t>
      </w:r>
      <w:r w:rsidRPr="00AD1D59">
        <w:rPr>
          <w:rFonts w:asciiTheme="majorBidi" w:hAnsiTheme="majorBidi" w:cstheme="majorBidi"/>
          <w:sz w:val="24"/>
          <w:szCs w:val="24"/>
        </w:rPr>
        <w:t xml:space="preserve"> in our setting, where patients often seek care only after significant bone marrow compromise has occurred. The high proportion of acute leukemias is directly linked to the observed cytopenia patterns, particularly the high rates of </w:t>
      </w:r>
      <w:proofErr w:type="spellStart"/>
      <w:r w:rsidRPr="00AD1D59">
        <w:rPr>
          <w:rFonts w:asciiTheme="majorBidi" w:hAnsiTheme="majorBidi" w:cstheme="majorBidi"/>
          <w:sz w:val="24"/>
          <w:szCs w:val="24"/>
        </w:rPr>
        <w:t>bicytopenia</w:t>
      </w:r>
      <w:proofErr w:type="spellEnd"/>
      <w:r w:rsidRPr="00AD1D59">
        <w:rPr>
          <w:rFonts w:asciiTheme="majorBidi" w:hAnsiTheme="majorBidi" w:cstheme="majorBidi"/>
          <w:sz w:val="24"/>
          <w:szCs w:val="24"/>
        </w:rPr>
        <w:t xml:space="preserve"> (</w:t>
      </w:r>
      <w:r w:rsidRPr="00AD1D59">
        <w:rPr>
          <w:rFonts w:asciiTheme="majorBidi" w:hAnsiTheme="majorBidi" w:cstheme="majorBidi"/>
          <w:b/>
          <w:bCs/>
          <w:sz w:val="24"/>
          <w:szCs w:val="24"/>
        </w:rPr>
        <w:t>52.5%</w:t>
      </w:r>
      <w:r w:rsidRPr="00AD1D59">
        <w:rPr>
          <w:rFonts w:asciiTheme="majorBidi" w:hAnsiTheme="majorBidi" w:cstheme="majorBidi"/>
          <w:sz w:val="24"/>
          <w:szCs w:val="24"/>
        </w:rPr>
        <w:t>) and pancytopenia (</w:t>
      </w:r>
      <w:r w:rsidRPr="00AD1D59">
        <w:rPr>
          <w:rFonts w:asciiTheme="majorBidi" w:hAnsiTheme="majorBidi" w:cstheme="majorBidi"/>
          <w:b/>
          <w:bCs/>
          <w:sz w:val="24"/>
          <w:szCs w:val="24"/>
        </w:rPr>
        <w:t>10.2%</w:t>
      </w:r>
      <w:r w:rsidRPr="00AD1D59">
        <w:rPr>
          <w:rFonts w:asciiTheme="majorBidi" w:hAnsiTheme="majorBidi" w:cstheme="majorBidi"/>
          <w:sz w:val="24"/>
          <w:szCs w:val="24"/>
        </w:rPr>
        <w:t>), which together constituted </w:t>
      </w:r>
      <w:r w:rsidRPr="00AD1D59">
        <w:rPr>
          <w:rFonts w:asciiTheme="majorBidi" w:hAnsiTheme="majorBidi" w:cstheme="majorBidi"/>
          <w:b/>
          <w:bCs/>
          <w:sz w:val="24"/>
          <w:szCs w:val="24"/>
        </w:rPr>
        <w:t>62.7%</w:t>
      </w:r>
      <w:r w:rsidRPr="00AD1D59">
        <w:rPr>
          <w:rFonts w:asciiTheme="majorBidi" w:hAnsiTheme="majorBidi" w:cstheme="majorBidi"/>
          <w:sz w:val="24"/>
          <w:szCs w:val="24"/>
        </w:rPr>
        <w:t> of cytopenic presentations.</w:t>
      </w:r>
    </w:p>
    <w:p w14:paraId="5B000A84" w14:textId="77777777" w:rsidR="00EA66ED" w:rsidRPr="00AD1D59" w:rsidRDefault="00EA66ED" w:rsidP="00EA66ED">
      <w:p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i">
            <w:drawing>
              <wp:anchor distT="0" distB="0" distL="114300" distR="114300" simplePos="0" relativeHeight="251708416" behindDoc="0" locked="0" layoutInCell="1" allowOverlap="1" wp14:anchorId="6FCBC9F8" wp14:editId="78102747">
                <wp:simplePos x="0" y="0"/>
                <wp:positionH relativeFrom="column">
                  <wp:posOffset>-304800</wp:posOffset>
                </wp:positionH>
                <wp:positionV relativeFrom="paragraph">
                  <wp:posOffset>871220</wp:posOffset>
                </wp:positionV>
                <wp:extent cx="1905" cy="8575"/>
                <wp:effectExtent l="38100" t="38100" r="36195" b="48895"/>
                <wp:wrapNone/>
                <wp:docPr id="1993532982" name="Ink 27"/>
                <wp:cNvGraphicFramePr/>
                <a:graphic xmlns:a="http://schemas.openxmlformats.org/drawingml/2006/main">
                  <a:graphicData uri="http://schemas.microsoft.com/office/word/2010/wordprocessingInk">
                    <w14:contentPart bwMode="auto" r:id="rId38">
                      <w14:nvContentPartPr>
                        <w14:cNvContentPartPr/>
                      </w14:nvContentPartPr>
                      <w14:xfrm>
                        <a:off x="0" y="0"/>
                        <a:ext cx="1905" cy="8575"/>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AD6F56" id="Ink 27" o:spid="_x0000_s1026" type="#_x0000_t75" style="position:absolute;margin-left:-24.5pt;margin-top:68.1pt;width:1.15pt;height:1.7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">
                <v:imagedata r:id="rId39" o:title=""/>
              </v:shape>
            </w:pict>
          </mc:Fallback>
        </mc:AlternateContent>
      </w:r>
      <w:r w:rsidRPr="00AD1D59">
        <w:rPr>
          <w:rFonts w:asciiTheme="majorBidi" w:hAnsiTheme="majorBidi" w:cstheme="majorBidi"/>
          <w:sz w:val="24"/>
          <w:szCs w:val="24"/>
        </w:rPr>
        <w:t>Our findings align with studies on pancytopenia etiology from South Asia and the Middle East, where hematological malignancies constitute a major cause (</w:t>
      </w:r>
      <w:proofErr w:type="spellStart"/>
      <w:r>
        <w:rPr>
          <w:rFonts w:asciiTheme="majorBidi" w:hAnsiTheme="majorBidi" w:cstheme="majorBidi"/>
          <w:b/>
          <w:bCs/>
          <w:sz w:val="24"/>
          <w:szCs w:val="24"/>
        </w:rPr>
        <w:t>J</w:t>
      </w:r>
      <w:r w:rsidRPr="00C673DE">
        <w:rPr>
          <w:rFonts w:asciiTheme="majorBidi" w:hAnsiTheme="majorBidi" w:cstheme="majorBidi"/>
          <w:b/>
          <w:bCs/>
          <w:sz w:val="24"/>
          <w:szCs w:val="24"/>
        </w:rPr>
        <w:t>awass</w:t>
      </w:r>
      <w:proofErr w:type="spellEnd"/>
      <w:r w:rsidRPr="00C673DE">
        <w:rPr>
          <w:rFonts w:asciiTheme="majorBidi" w:hAnsiTheme="majorBidi" w:cstheme="majorBidi"/>
          <w:b/>
          <w:bCs/>
          <w:sz w:val="24"/>
          <w:szCs w:val="24"/>
        </w:rPr>
        <w:t xml:space="preserve"> </w:t>
      </w:r>
      <w:r>
        <w:rPr>
          <w:rFonts w:asciiTheme="majorBidi" w:hAnsiTheme="majorBidi" w:cstheme="majorBidi"/>
          <w:b/>
          <w:bCs/>
          <w:sz w:val="24"/>
          <w:szCs w:val="24"/>
        </w:rPr>
        <w:t xml:space="preserve">et al 2026, </w:t>
      </w:r>
      <w:r w:rsidRPr="00AD1D59">
        <w:rPr>
          <w:rFonts w:asciiTheme="majorBidi" w:hAnsiTheme="majorBidi" w:cstheme="majorBidi"/>
          <w:sz w:val="24"/>
          <w:szCs w:val="24"/>
        </w:rPr>
        <w:t xml:space="preserve">Khunger et al., 2002; Tilak &amp; Jain, </w:t>
      </w:r>
      <w:proofErr w:type="gramStart"/>
      <w:r w:rsidRPr="00AD1D59">
        <w:rPr>
          <w:rFonts w:asciiTheme="majorBidi" w:hAnsiTheme="majorBidi" w:cstheme="majorBidi"/>
          <w:sz w:val="24"/>
          <w:szCs w:val="24"/>
        </w:rPr>
        <w:t>1999</w:t>
      </w:r>
      <w:r>
        <w:rPr>
          <w:rFonts w:asciiTheme="majorBidi" w:hAnsiTheme="majorBidi" w:cstheme="majorBidi"/>
          <w:sz w:val="24"/>
          <w:szCs w:val="24"/>
        </w:rPr>
        <w:t xml:space="preserve"> ,</w:t>
      </w:r>
      <w:r w:rsidRPr="00AD1D59">
        <w:rPr>
          <w:rFonts w:asciiTheme="majorBidi" w:hAnsiTheme="majorBidi" w:cstheme="majorBidi"/>
          <w:sz w:val="24"/>
          <w:szCs w:val="24"/>
        </w:rPr>
        <w:t>Jawed</w:t>
      </w:r>
      <w:proofErr w:type="gramEnd"/>
      <w:r w:rsidRPr="00AD1D59">
        <w:rPr>
          <w:rFonts w:asciiTheme="majorBidi" w:hAnsiTheme="majorBidi" w:cstheme="majorBidi"/>
          <w:sz w:val="24"/>
          <w:szCs w:val="24"/>
        </w:rPr>
        <w:t xml:space="preserve"> et al., 2024) ¹</w:t>
      </w:r>
      <w:r w:rsidRPr="005F16BA">
        <w:rPr>
          <w:rFonts w:asciiTheme="majorBidi" w:hAnsiTheme="majorBidi" w:cstheme="majorBidi"/>
          <w:sz w:val="24"/>
          <w:szCs w:val="24"/>
          <w:vertAlign w:val="superscript"/>
        </w:rPr>
        <w:t>2</w:t>
      </w:r>
      <w:r>
        <w:rPr>
          <w:rFonts w:asciiTheme="majorBidi" w:hAnsiTheme="majorBidi" w:cstheme="majorBidi"/>
          <w:sz w:val="24"/>
          <w:szCs w:val="24"/>
        </w:rPr>
        <w:t>,</w:t>
      </w:r>
      <w:r w:rsidRPr="00AD1D59">
        <w:rPr>
          <w:rFonts w:asciiTheme="majorBidi" w:hAnsiTheme="majorBidi" w:cstheme="majorBidi"/>
          <w:sz w:val="24"/>
          <w:szCs w:val="24"/>
        </w:rPr>
        <w:t>¹³,¹⁴</w:t>
      </w:r>
      <w:r>
        <w:rPr>
          <w:rFonts w:asciiTheme="majorBidi" w:hAnsiTheme="majorBidi" w:cstheme="majorBidi"/>
          <w:sz w:val="24"/>
          <w:szCs w:val="24"/>
        </w:rPr>
        <w:t>,</w:t>
      </w:r>
      <w:r w:rsidRPr="00AD1D59">
        <w:rPr>
          <w:rFonts w:asciiTheme="majorBidi" w:hAnsiTheme="majorBidi" w:cstheme="majorBidi"/>
          <w:sz w:val="24"/>
          <w:szCs w:val="24"/>
        </w:rPr>
        <w:t xml:space="preserve">¹⁵. For instance, a study from India reported acute leukemias as the leading cause of pancytopenia in adults, similar to our observations (Yadav et al., </w:t>
      </w:r>
      <w:proofErr w:type="gramStart"/>
      <w:r w:rsidRPr="00AD1D59">
        <w:rPr>
          <w:rFonts w:asciiTheme="majorBidi" w:hAnsiTheme="majorBidi" w:cstheme="majorBidi"/>
          <w:sz w:val="24"/>
          <w:szCs w:val="24"/>
        </w:rPr>
        <w:t>2014)¹</w:t>
      </w:r>
      <w:proofErr w:type="gramEnd"/>
      <w:r w:rsidRPr="00AD1D59">
        <w:rPr>
          <w:rFonts w:asciiTheme="majorBidi" w:hAnsiTheme="majorBidi" w:cstheme="majorBidi"/>
          <w:sz w:val="24"/>
          <w:szCs w:val="24"/>
        </w:rPr>
        <w:t>⁶. However, the </w:t>
      </w:r>
      <w:r w:rsidRPr="00AD1D59">
        <w:rPr>
          <w:rFonts w:asciiTheme="majorBidi" w:hAnsiTheme="majorBidi" w:cstheme="majorBidi"/>
          <w:b/>
          <w:bCs/>
          <w:sz w:val="24"/>
          <w:szCs w:val="24"/>
        </w:rPr>
        <w:t xml:space="preserve">preponderance of </w:t>
      </w:r>
      <w:proofErr w:type="spellStart"/>
      <w:r w:rsidRPr="00AD1D59">
        <w:rPr>
          <w:rFonts w:asciiTheme="majorBidi" w:hAnsiTheme="majorBidi" w:cstheme="majorBidi"/>
          <w:b/>
          <w:bCs/>
          <w:sz w:val="24"/>
          <w:szCs w:val="24"/>
        </w:rPr>
        <w:t>bicytopenia</w:t>
      </w:r>
      <w:proofErr w:type="spellEnd"/>
      <w:r w:rsidRPr="00AD1D59">
        <w:rPr>
          <w:rFonts w:asciiTheme="majorBidi" w:hAnsiTheme="majorBidi" w:cstheme="majorBidi"/>
          <w:sz w:val="24"/>
          <w:szCs w:val="24"/>
        </w:rPr>
        <w:t> in our cohort is notably higher than in some international reports, possibly reflecting later-stage presentation due to systemic healthcare challenges in Yemen.</w:t>
      </w:r>
    </w:p>
    <w:p w14:paraId="2BA06104" w14:textId="77777777" w:rsidR="00EA66ED" w:rsidRDefault="00EA66ED" w:rsidP="00EA66ED">
      <w:pPr>
        <w:spacing w:line="360" w:lineRule="auto"/>
        <w:rPr>
          <w:rFonts w:asciiTheme="majorBidi" w:hAnsiTheme="majorBidi" w:cstheme="majorBidi"/>
          <w:sz w:val="24"/>
          <w:szCs w:val="24"/>
        </w:rPr>
      </w:pPr>
    </w:p>
    <w:p w14:paraId="42B6A1FB" w14:textId="77777777" w:rsidR="00EA66ED" w:rsidRPr="00AD1D59" w:rsidRDefault="00EA66ED" w:rsidP="00EA66ED">
      <w:p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i">
            <w:drawing>
              <wp:anchor distT="0" distB="0" distL="114300" distR="114300" simplePos="0" relativeHeight="251707392" behindDoc="0" locked="0" layoutInCell="1" allowOverlap="1" wp14:anchorId="1EBFB61F" wp14:editId="3BBA8952">
                <wp:simplePos x="0" y="0"/>
                <wp:positionH relativeFrom="column">
                  <wp:posOffset>-1073026</wp:posOffset>
                </wp:positionH>
                <wp:positionV relativeFrom="paragraph">
                  <wp:posOffset>730589</wp:posOffset>
                </wp:positionV>
                <wp:extent cx="94320" cy="676080"/>
                <wp:effectExtent l="38100" t="38100" r="39370" b="48260"/>
                <wp:wrapNone/>
                <wp:docPr id="212063627" name="Ink 21"/>
                <wp:cNvGraphicFramePr/>
                <a:graphic xmlns:a="http://schemas.openxmlformats.org/drawingml/2006/main">
                  <a:graphicData uri="http://schemas.microsoft.com/office/word/2010/wordprocessingInk">
                    <w14:contentPart bwMode="auto" r:id="rId40">
                      <w14:nvContentPartPr>
                        <w14:cNvContentPartPr/>
                      </w14:nvContentPartPr>
                      <w14:xfrm>
                        <a:off x="0" y="0"/>
                        <a:ext cx="94320" cy="6760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F1B621" id="Ink 21" o:spid="_x0000_s1026" type="#_x0000_t75" style="position:absolute;margin-left:-85pt;margin-top:57.05pt;width:8.45pt;height:54.2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">
                <v:imagedata r:id="rId41"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706368" behindDoc="0" locked="0" layoutInCell="1" allowOverlap="1" wp14:anchorId="7E32E241" wp14:editId="011EE528">
                <wp:simplePos x="0" y="0"/>
                <wp:positionH relativeFrom="column">
                  <wp:posOffset>-1146826</wp:posOffset>
                </wp:positionH>
                <wp:positionV relativeFrom="paragraph">
                  <wp:posOffset>1659389</wp:posOffset>
                </wp:positionV>
                <wp:extent cx="29160" cy="60840"/>
                <wp:effectExtent l="38100" t="38100" r="47625" b="34925"/>
                <wp:wrapNone/>
                <wp:docPr id="1958555404" name="Ink 20"/>
                <wp:cNvGraphicFramePr/>
                <a:graphic xmlns:a="http://schemas.openxmlformats.org/drawingml/2006/main">
                  <a:graphicData uri="http://schemas.microsoft.com/office/word/2010/wordprocessingInk">
                    <w14:contentPart bwMode="auto" r:id="rId42">
                      <w14:nvContentPartPr>
                        <w14:cNvContentPartPr/>
                      </w14:nvContentPartPr>
                      <w14:xfrm>
                        <a:off x="0" y="0"/>
                        <a:ext cx="29160" cy="608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64C74A" id="Ink 20" o:spid="_x0000_s1026" type="#_x0000_t75" style="position:absolute;margin-left:-90.8pt;margin-top:130.15pt;width:3.3pt;height:5.8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">
                <v:imagedata r:id="rId43"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705344" behindDoc="0" locked="0" layoutInCell="1" allowOverlap="1" wp14:anchorId="1949E7A8" wp14:editId="4348CD62">
                <wp:simplePos x="0" y="0"/>
                <wp:positionH relativeFrom="column">
                  <wp:posOffset>-1001386</wp:posOffset>
                </wp:positionH>
                <wp:positionV relativeFrom="paragraph">
                  <wp:posOffset>50189</wp:posOffset>
                </wp:positionV>
                <wp:extent cx="4320" cy="446040"/>
                <wp:effectExtent l="38100" t="38100" r="53340" b="49530"/>
                <wp:wrapNone/>
                <wp:docPr id="298575707" name="Ink 19"/>
                <wp:cNvGraphicFramePr/>
                <a:graphic xmlns:a="http://schemas.openxmlformats.org/drawingml/2006/main">
                  <a:graphicData uri="http://schemas.microsoft.com/office/word/2010/wordprocessingInk">
                    <w14:contentPart bwMode="auto" r:id="rId44">
                      <w14:nvContentPartPr>
                        <w14:cNvContentPartPr/>
                      </w14:nvContentPartPr>
                      <w14:xfrm>
                        <a:off x="0" y="0"/>
                        <a:ext cx="4320" cy="4460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859BF1" id="Ink 19" o:spid="_x0000_s1026" type="#_x0000_t75" style="position:absolute;margin-left:-79.35pt;margin-top:3.45pt;width:1.35pt;height:36.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">
                <v:imagedata r:id="rId45"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704320" behindDoc="0" locked="0" layoutInCell="1" allowOverlap="1" wp14:anchorId="5AFBF42A" wp14:editId="0ED2E366">
                <wp:simplePos x="0" y="0"/>
                <wp:positionH relativeFrom="column">
                  <wp:posOffset>-997786</wp:posOffset>
                </wp:positionH>
                <wp:positionV relativeFrom="paragraph">
                  <wp:posOffset>631949</wp:posOffset>
                </wp:positionV>
                <wp:extent cx="360" cy="360"/>
                <wp:effectExtent l="38100" t="38100" r="38100" b="38100"/>
                <wp:wrapNone/>
                <wp:docPr id="1734040804" name="Ink 18"/>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FF91BA" id="Ink 18" o:spid="_x0000_s1026" type="#_x0000_t75" style="position:absolute;margin-left:-79.05pt;margin-top:49.25pt;width:1.05pt;height:1.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gYg7mAACAADCBQAAEAAAAAAAAAAAAAAAAADTAwAAZHJz&#10;L2luay9pbmsxLnhtbFBLAQItABQABgAIAAAAIQAN83uO3QAAAAwBAAAPAAAAAAAAAAAAAAAAAAEG&#10;AABkcnMvZG93bnJldi54bWxQSwECLQAUAAYACAAAACEAeRi8nb8AAAAhAQAAGQAAAAAAAAAAAAAA&#10;AAALBwAAZHJzL19yZWxzL2Uyb0RvYy54bWwucmVsc1BLBQYAAAAABgAGAHgBAAABCAAAAAA=&#10;">
                <v:imagedata r:id="rId6"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703296" behindDoc="0" locked="0" layoutInCell="1" allowOverlap="1" wp14:anchorId="4B6A885C" wp14:editId="50FE1620">
                <wp:simplePos x="0" y="0"/>
                <wp:positionH relativeFrom="column">
                  <wp:posOffset>-1004266</wp:posOffset>
                </wp:positionH>
                <wp:positionV relativeFrom="paragraph">
                  <wp:posOffset>798629</wp:posOffset>
                </wp:positionV>
                <wp:extent cx="3240" cy="10800"/>
                <wp:effectExtent l="38100" t="38100" r="34925" b="46355"/>
                <wp:wrapNone/>
                <wp:docPr id="1385907430" name="Ink 17"/>
                <wp:cNvGraphicFramePr/>
                <a:graphic xmlns:a="http://schemas.openxmlformats.org/drawingml/2006/main">
                  <a:graphicData uri="http://schemas.microsoft.com/office/word/2010/wordprocessingInk">
                    <w14:contentPart bwMode="auto" r:id="rId47">
                      <w14:nvContentPartPr>
                        <w14:cNvContentPartPr/>
                      </w14:nvContentPartPr>
                      <w14:xfrm>
                        <a:off x="0" y="0"/>
                        <a:ext cx="3240" cy="108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9D58C1" id="Ink 17" o:spid="_x0000_s1026" type="#_x0000_t75" style="position:absolute;margin-left:-79.6pt;margin-top:62.4pt;width:1.2pt;height:1.8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">
                <v:imagedata r:id="rId48"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702272" behindDoc="0" locked="0" layoutInCell="1" allowOverlap="1" wp14:anchorId="3EA3A843" wp14:editId="277AD5A1">
                <wp:simplePos x="0" y="0"/>
                <wp:positionH relativeFrom="column">
                  <wp:posOffset>-987706</wp:posOffset>
                </wp:positionH>
                <wp:positionV relativeFrom="paragraph">
                  <wp:posOffset>864869</wp:posOffset>
                </wp:positionV>
                <wp:extent cx="15480" cy="17640"/>
                <wp:effectExtent l="38100" t="38100" r="41910" b="40005"/>
                <wp:wrapNone/>
                <wp:docPr id="1305012550" name="Ink 16"/>
                <wp:cNvGraphicFramePr/>
                <a:graphic xmlns:a="http://schemas.openxmlformats.org/drawingml/2006/main">
                  <a:graphicData uri="http://schemas.microsoft.com/office/word/2010/wordprocessingInk">
                    <w14:contentPart bwMode="auto" r:id="rId49">
                      <w14:nvContentPartPr>
                        <w14:cNvContentPartPr/>
                      </w14:nvContentPartPr>
                      <w14:xfrm>
                        <a:off x="0" y="0"/>
                        <a:ext cx="15480" cy="176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89BFC6" id="Ink 16" o:spid="_x0000_s1026" type="#_x0000_t75" style="position:absolute;margin-left:-78.25pt;margin-top:67.6pt;width:2.2pt;height:2.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">
                <v:imagedata r:id="rId50"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701248" behindDoc="0" locked="0" layoutInCell="1" allowOverlap="1" wp14:anchorId="2E623950" wp14:editId="093D71E8">
                <wp:simplePos x="0" y="0"/>
                <wp:positionH relativeFrom="column">
                  <wp:posOffset>-979786</wp:posOffset>
                </wp:positionH>
                <wp:positionV relativeFrom="paragraph">
                  <wp:posOffset>885029</wp:posOffset>
                </wp:positionV>
                <wp:extent cx="360" cy="360"/>
                <wp:effectExtent l="38100" t="38100" r="38100" b="38100"/>
                <wp:wrapNone/>
                <wp:docPr id="12726774" name="Ink 15"/>
                <wp:cNvGraphicFramePr/>
                <a:graphic xmlns:a="http://schemas.openxmlformats.org/drawingml/2006/main">
                  <a:graphicData uri="http://schemas.microsoft.com/office/word/2010/wordprocessingInk">
                    <w14:contentPart bwMode="auto" r:id="rId51">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675DB9" id="Ink 15" o:spid="_x0000_s1026" type="#_x0000_t75" style="position:absolute;margin-left:-77.65pt;margin-top:69.2pt;width:1.05pt;height:1.0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">
                <v:imagedata r:id="rId6"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700224" behindDoc="0" locked="0" layoutInCell="1" allowOverlap="1" wp14:anchorId="15477B78" wp14:editId="7258682F">
                <wp:simplePos x="0" y="0"/>
                <wp:positionH relativeFrom="column">
                  <wp:posOffset>-982306</wp:posOffset>
                </wp:positionH>
                <wp:positionV relativeFrom="paragraph">
                  <wp:posOffset>879989</wp:posOffset>
                </wp:positionV>
                <wp:extent cx="16560" cy="3240"/>
                <wp:effectExtent l="38100" t="38100" r="40640" b="34925"/>
                <wp:wrapNone/>
                <wp:docPr id="1173646786" name="Ink 14"/>
                <wp:cNvGraphicFramePr/>
                <a:graphic xmlns:a="http://schemas.openxmlformats.org/drawingml/2006/main">
                  <a:graphicData uri="http://schemas.microsoft.com/office/word/2010/wordprocessingInk">
                    <w14:contentPart bwMode="auto" r:id="rId52">
                      <w14:nvContentPartPr>
                        <w14:cNvContentPartPr/>
                      </w14:nvContentPartPr>
                      <w14:xfrm>
                        <a:off x="0" y="0"/>
                        <a:ext cx="16560" cy="32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86589C" id="Ink 14" o:spid="_x0000_s1026" type="#_x0000_t75" style="position:absolute;margin-left:-77.85pt;margin-top:68.8pt;width:2.25pt;height:1.2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">
                <v:imagedata r:id="rId53"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99200" behindDoc="0" locked="0" layoutInCell="1" allowOverlap="1" wp14:anchorId="44A1B8C1" wp14:editId="0B398A53">
                <wp:simplePos x="0" y="0"/>
                <wp:positionH relativeFrom="column">
                  <wp:posOffset>-1008946</wp:posOffset>
                </wp:positionH>
                <wp:positionV relativeFrom="paragraph">
                  <wp:posOffset>308309</wp:posOffset>
                </wp:positionV>
                <wp:extent cx="720" cy="488520"/>
                <wp:effectExtent l="38100" t="38100" r="37465" b="45085"/>
                <wp:wrapNone/>
                <wp:docPr id="994214890" name="Ink 13"/>
                <wp:cNvGraphicFramePr/>
                <a:graphic xmlns:a="http://schemas.openxmlformats.org/drawingml/2006/main">
                  <a:graphicData uri="http://schemas.microsoft.com/office/word/2010/wordprocessingInk">
                    <w14:contentPart bwMode="auto" r:id="rId54">
                      <w14:nvContentPartPr>
                        <w14:cNvContentPartPr/>
                      </w14:nvContentPartPr>
                      <w14:xfrm>
                        <a:off x="0" y="0"/>
                        <a:ext cx="720" cy="4885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074891" id="Ink 13" o:spid="_x0000_s1026" type="#_x0000_t75" style="position:absolute;margin-left:-79.95pt;margin-top:23.8pt;width:1pt;height:39.4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">
                <v:imagedata r:id="rId55"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98176" behindDoc="0" locked="0" layoutInCell="1" allowOverlap="1" wp14:anchorId="397C4D32" wp14:editId="70AA5618">
                <wp:simplePos x="0" y="0"/>
                <wp:positionH relativeFrom="column">
                  <wp:posOffset>-949186</wp:posOffset>
                </wp:positionH>
                <wp:positionV relativeFrom="paragraph">
                  <wp:posOffset>420629</wp:posOffset>
                </wp:positionV>
                <wp:extent cx="360" cy="1818360"/>
                <wp:effectExtent l="38100" t="38100" r="38100" b="48895"/>
                <wp:wrapNone/>
                <wp:docPr id="1971470950" name="Ink 12"/>
                <wp:cNvGraphicFramePr/>
                <a:graphic xmlns:a="http://schemas.openxmlformats.org/drawingml/2006/main">
                  <a:graphicData uri="http://schemas.microsoft.com/office/word/2010/wordprocessingInk">
                    <w14:contentPart bwMode="auto" r:id="rId56">
                      <w14:nvContentPartPr>
                        <w14:cNvContentPartPr/>
                      </w14:nvContentPartPr>
                      <w14:xfrm>
                        <a:off x="0" y="0"/>
                        <a:ext cx="360" cy="1818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C0576A" id="Ink 12" o:spid="_x0000_s1026" type="#_x0000_t75" style="position:absolute;margin-left:-75.25pt;margin-top:32.6pt;width:1.05pt;height:144.2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">
                <v:imagedata r:id="rId57" o:title=""/>
              </v:shape>
            </w:pict>
          </mc:Fallback>
        </mc:AlternateContent>
      </w:r>
      <w:r w:rsidRPr="00AD1D59">
        <w:rPr>
          <w:rFonts w:asciiTheme="majorBidi" w:hAnsiTheme="majorBidi" w:cstheme="majorBidi"/>
          <w:sz w:val="24"/>
          <w:szCs w:val="24"/>
        </w:rPr>
        <w:t xml:space="preserve">The predominance of </w:t>
      </w:r>
      <w:proofErr w:type="spellStart"/>
      <w:r w:rsidRPr="00AD1D59">
        <w:rPr>
          <w:rFonts w:asciiTheme="majorBidi" w:hAnsiTheme="majorBidi" w:cstheme="majorBidi"/>
          <w:sz w:val="24"/>
          <w:szCs w:val="24"/>
        </w:rPr>
        <w:t>bicytopenia</w:t>
      </w:r>
      <w:proofErr w:type="spellEnd"/>
      <w:r w:rsidRPr="00AD1D59">
        <w:rPr>
          <w:rFonts w:asciiTheme="majorBidi" w:hAnsiTheme="majorBidi" w:cstheme="majorBidi"/>
          <w:sz w:val="24"/>
          <w:szCs w:val="24"/>
        </w:rPr>
        <w:t xml:space="preserve"> over isolated </w:t>
      </w:r>
      <w:proofErr w:type="spellStart"/>
      <w:r w:rsidRPr="00AD1D59">
        <w:rPr>
          <w:rFonts w:asciiTheme="majorBidi" w:hAnsiTheme="majorBidi" w:cstheme="majorBidi"/>
          <w:sz w:val="24"/>
          <w:szCs w:val="24"/>
        </w:rPr>
        <w:t>cytopenias</w:t>
      </w:r>
      <w:proofErr w:type="spellEnd"/>
      <w:r w:rsidRPr="00AD1D59">
        <w:rPr>
          <w:rFonts w:asciiTheme="majorBidi" w:hAnsiTheme="majorBidi" w:cstheme="majorBidi"/>
          <w:sz w:val="24"/>
          <w:szCs w:val="24"/>
        </w:rPr>
        <w:t xml:space="preserve"> suggests that patients in Aden frequently present with </w:t>
      </w:r>
      <w:r w:rsidRPr="00AD1D59">
        <w:rPr>
          <w:rFonts w:asciiTheme="majorBidi" w:hAnsiTheme="majorBidi" w:cstheme="majorBidi"/>
          <w:b/>
          <w:bCs/>
          <w:sz w:val="24"/>
          <w:szCs w:val="24"/>
        </w:rPr>
        <w:t>advanced-stage disease</w:t>
      </w:r>
      <w:r w:rsidRPr="00AD1D59">
        <w:rPr>
          <w:rFonts w:asciiTheme="majorBidi" w:hAnsiTheme="majorBidi" w:cstheme="majorBidi"/>
          <w:sz w:val="24"/>
          <w:szCs w:val="24"/>
        </w:rPr>
        <w:t xml:space="preserve">, where malignant infiltration has disrupted multiple hematopoietic lineages. This is further supported by bone marrow findings showing hypercellularity with diminished erythroid and megakaryocytic precursors—a hallmark of marrow replacement and ineffective hematopoiesis (Aqil et al., </w:t>
      </w:r>
      <w:proofErr w:type="gramStart"/>
      <w:r w:rsidRPr="00AD1D59">
        <w:rPr>
          <w:rFonts w:asciiTheme="majorBidi" w:hAnsiTheme="majorBidi" w:cstheme="majorBidi"/>
          <w:sz w:val="24"/>
          <w:szCs w:val="24"/>
        </w:rPr>
        <w:t>2025</w:t>
      </w:r>
      <w:r w:rsidRPr="00AD1D59">
        <w:rPr>
          <w:rFonts w:asciiTheme="majorBidi" w:hAnsiTheme="majorBidi" w:cstheme="majorBidi"/>
          <w:color w:val="000000" w:themeColor="text1"/>
          <w:sz w:val="24"/>
          <w:szCs w:val="24"/>
        </w:rPr>
        <w:t>)¹</w:t>
      </w:r>
      <w:proofErr w:type="gramEnd"/>
      <w:r w:rsidRPr="005F16BA">
        <w:rPr>
          <w:rFonts w:asciiTheme="majorBidi" w:hAnsiTheme="majorBidi" w:cstheme="majorBidi"/>
          <w:color w:val="000000" w:themeColor="text1"/>
          <w:sz w:val="24"/>
          <w:szCs w:val="24"/>
          <w:vertAlign w:val="superscript"/>
        </w:rPr>
        <w:t>7</w:t>
      </w:r>
      <w:r w:rsidRPr="00AD1D59">
        <w:rPr>
          <w:rFonts w:asciiTheme="majorBidi" w:hAnsiTheme="majorBidi" w:cstheme="majorBidi"/>
          <w:sz w:val="24"/>
          <w:szCs w:val="24"/>
        </w:rPr>
        <w:t xml:space="preserve">. In resource-limited settings like Yemen, delayed diagnosis due to limited access to specialized care, financial constraints, and low health literacy likely contribute to this pattern. The clinical implication is </w:t>
      </w:r>
      <w:r w:rsidRPr="00AD1D59">
        <w:rPr>
          <w:rFonts w:asciiTheme="majorBidi" w:hAnsiTheme="majorBidi" w:cstheme="majorBidi"/>
          <w:sz w:val="24"/>
          <w:szCs w:val="24"/>
        </w:rPr>
        <w:lastRenderedPageBreak/>
        <w:t xml:space="preserve">clear: any adult presenting with unexplained </w:t>
      </w:r>
      <w:proofErr w:type="spellStart"/>
      <w:r w:rsidRPr="00AD1D59">
        <w:rPr>
          <w:rFonts w:asciiTheme="majorBidi" w:hAnsiTheme="majorBidi" w:cstheme="majorBidi"/>
          <w:sz w:val="24"/>
          <w:szCs w:val="24"/>
        </w:rPr>
        <w:t>bicytopenia</w:t>
      </w:r>
      <w:proofErr w:type="spellEnd"/>
      <w:r w:rsidRPr="00AD1D59">
        <w:rPr>
          <w:rFonts w:asciiTheme="majorBidi" w:hAnsiTheme="majorBidi" w:cstheme="majorBidi"/>
          <w:sz w:val="24"/>
          <w:szCs w:val="24"/>
        </w:rPr>
        <w:t xml:space="preserve"> in this region should be considered high-risk for an underlying HM, particularly acute leukemia, and should undergo expedited bone marrow examination (Kumar et al., </w:t>
      </w:r>
      <w:proofErr w:type="gramStart"/>
      <w:r w:rsidRPr="00AD1D59">
        <w:rPr>
          <w:rFonts w:asciiTheme="majorBidi" w:hAnsiTheme="majorBidi" w:cstheme="majorBidi"/>
          <w:sz w:val="24"/>
          <w:szCs w:val="24"/>
        </w:rPr>
        <w:t>2024)²</w:t>
      </w:r>
      <w:proofErr w:type="gramEnd"/>
      <w:r w:rsidRPr="00AD1D59">
        <w:rPr>
          <w:rFonts w:asciiTheme="majorBidi" w:hAnsiTheme="majorBidi" w:cstheme="majorBidi"/>
          <w:sz w:val="24"/>
          <w:szCs w:val="24"/>
        </w:rPr>
        <w:t>.</w:t>
      </w:r>
    </w:p>
    <w:p w14:paraId="7370F79E" w14:textId="77777777" w:rsidR="00EA66ED" w:rsidRPr="00AD1D59" w:rsidRDefault="00EA66ED" w:rsidP="00EA66ED">
      <w:pPr>
        <w:spacing w:line="360" w:lineRule="auto"/>
        <w:rPr>
          <w:rFonts w:asciiTheme="majorBidi" w:hAnsiTheme="majorBidi" w:cstheme="majorBidi"/>
          <w:sz w:val="24"/>
          <w:szCs w:val="24"/>
        </w:rPr>
      </w:pPr>
      <w:r w:rsidRPr="00AD1D59">
        <w:rPr>
          <w:rFonts w:asciiTheme="majorBidi" w:hAnsiTheme="majorBidi" w:cstheme="majorBidi"/>
          <w:sz w:val="24"/>
          <w:szCs w:val="24"/>
        </w:rPr>
        <w:t>The strong and statistically significant association between </w:t>
      </w:r>
      <w:r w:rsidRPr="00AD1D59">
        <w:rPr>
          <w:rFonts w:asciiTheme="majorBidi" w:hAnsiTheme="majorBidi" w:cstheme="majorBidi"/>
          <w:b/>
          <w:bCs/>
          <w:sz w:val="24"/>
          <w:szCs w:val="24"/>
        </w:rPr>
        <w:t>AML and pancytopenia</w:t>
      </w:r>
      <w:r w:rsidRPr="00AD1D59">
        <w:rPr>
          <w:rFonts w:asciiTheme="majorBidi" w:hAnsiTheme="majorBidi" w:cstheme="majorBidi"/>
          <w:sz w:val="24"/>
          <w:szCs w:val="24"/>
        </w:rPr>
        <w:t> (</w:t>
      </w:r>
      <w:r w:rsidRPr="00AD1D59">
        <w:rPr>
          <w:rFonts w:asciiTheme="majorBidi" w:hAnsiTheme="majorBidi" w:cstheme="majorBidi"/>
          <w:b/>
          <w:bCs/>
          <w:sz w:val="24"/>
          <w:szCs w:val="24"/>
        </w:rPr>
        <w:t>83.3%</w:t>
      </w:r>
      <w:r w:rsidRPr="00AD1D59">
        <w:rPr>
          <w:rFonts w:asciiTheme="majorBidi" w:hAnsiTheme="majorBidi" w:cstheme="majorBidi"/>
          <w:sz w:val="24"/>
          <w:szCs w:val="24"/>
        </w:rPr>
        <w:t xml:space="preserve"> of </w:t>
      </w:r>
      <w:proofErr w:type="spellStart"/>
      <w:r w:rsidRPr="00AD1D59">
        <w:rPr>
          <w:rFonts w:asciiTheme="majorBidi" w:hAnsiTheme="majorBidi" w:cstheme="majorBidi"/>
          <w:sz w:val="24"/>
          <w:szCs w:val="24"/>
        </w:rPr>
        <w:t>pancytopenic</w:t>
      </w:r>
      <w:proofErr w:type="spellEnd"/>
      <w:r w:rsidRPr="00AD1D59">
        <w:rPr>
          <w:rFonts w:asciiTheme="majorBidi" w:hAnsiTheme="majorBidi" w:cstheme="majorBidi"/>
          <w:sz w:val="24"/>
          <w:szCs w:val="24"/>
        </w:rPr>
        <w:t xml:space="preserve"> cases) is a critical diagnostic indicator. While myelodysplastic syndrome (MDS) is classically associated with pancytopenia, its low prevalence in this cohort (</w:t>
      </w:r>
      <w:r w:rsidRPr="00AD1D59">
        <w:rPr>
          <w:rFonts w:asciiTheme="majorBidi" w:hAnsiTheme="majorBidi" w:cstheme="majorBidi"/>
          <w:b/>
          <w:bCs/>
          <w:sz w:val="24"/>
          <w:szCs w:val="24"/>
        </w:rPr>
        <w:t>1.4%</w:t>
      </w:r>
      <w:r w:rsidRPr="00AD1D59">
        <w:rPr>
          <w:rFonts w:asciiTheme="majorBidi" w:hAnsiTheme="majorBidi" w:cstheme="majorBidi"/>
          <w:sz w:val="24"/>
          <w:szCs w:val="24"/>
        </w:rPr>
        <w:t>) suggests that in our setting, pancytopenia is a powerful predictor of acute myeloid malignancy. Similarly, the association of AML with isolated thrombocytopenia (</w:t>
      </w:r>
      <w:r w:rsidRPr="00AD1D59">
        <w:rPr>
          <w:rFonts w:asciiTheme="majorBidi" w:hAnsiTheme="majorBidi" w:cstheme="majorBidi"/>
          <w:b/>
          <w:bCs/>
          <w:sz w:val="24"/>
          <w:szCs w:val="24"/>
        </w:rPr>
        <w:t>50.0%</w:t>
      </w:r>
      <w:r w:rsidRPr="00AD1D59">
        <w:rPr>
          <w:rFonts w:asciiTheme="majorBidi" w:hAnsiTheme="majorBidi" w:cstheme="majorBidi"/>
          <w:sz w:val="24"/>
          <w:szCs w:val="24"/>
        </w:rPr>
        <w:t xml:space="preserve">) highlights the early and severe impact of the disease on </w:t>
      </w:r>
      <w:proofErr w:type="spellStart"/>
      <w:r w:rsidRPr="00AD1D59">
        <w:rPr>
          <w:rFonts w:asciiTheme="majorBidi" w:hAnsiTheme="majorBidi" w:cstheme="majorBidi"/>
          <w:sz w:val="24"/>
          <w:szCs w:val="24"/>
        </w:rPr>
        <w:t>megakaryopoiesis</w:t>
      </w:r>
      <w:proofErr w:type="spellEnd"/>
      <w:r w:rsidRPr="00AD1D59">
        <w:rPr>
          <w:rFonts w:asciiTheme="majorBidi" w:hAnsiTheme="majorBidi" w:cstheme="majorBidi"/>
          <w:sz w:val="24"/>
          <w:szCs w:val="24"/>
        </w:rPr>
        <w:t>. These findings emphasize the importance of </w:t>
      </w:r>
      <w:r w:rsidRPr="00AD1D59">
        <w:rPr>
          <w:rFonts w:asciiTheme="majorBidi" w:hAnsiTheme="majorBidi" w:cstheme="majorBidi"/>
          <w:b/>
          <w:bCs/>
          <w:sz w:val="24"/>
          <w:szCs w:val="24"/>
        </w:rPr>
        <w:t>prioritizing AML in the differential diagnosis of pancytopenia</w:t>
      </w:r>
      <w:r w:rsidRPr="00AD1D59">
        <w:rPr>
          <w:rFonts w:asciiTheme="majorBidi" w:hAnsiTheme="majorBidi" w:cstheme="majorBidi"/>
          <w:sz w:val="24"/>
          <w:szCs w:val="24"/>
        </w:rPr>
        <w:t xml:space="preserve"> in adults in Yemen, even in the absence of classic leukemic blasts in the peripheral smear (Khunger et al., </w:t>
      </w:r>
      <w:proofErr w:type="gramStart"/>
      <w:r w:rsidRPr="00AD1D59">
        <w:rPr>
          <w:rFonts w:asciiTheme="majorBidi" w:hAnsiTheme="majorBidi" w:cstheme="majorBidi"/>
          <w:sz w:val="24"/>
          <w:szCs w:val="24"/>
        </w:rPr>
        <w:t>2002)¹</w:t>
      </w:r>
      <w:proofErr w:type="gramEnd"/>
      <w:r w:rsidRPr="00AD1D59">
        <w:rPr>
          <w:rFonts w:asciiTheme="majorBidi" w:hAnsiTheme="majorBidi" w:cstheme="majorBidi"/>
          <w:sz w:val="24"/>
          <w:szCs w:val="24"/>
        </w:rPr>
        <w:t>³.</w:t>
      </w:r>
    </w:p>
    <w:p w14:paraId="4FD855A5" w14:textId="77777777" w:rsidR="00EA66ED" w:rsidRPr="00AD1D59" w:rsidRDefault="00EA66ED" w:rsidP="00EA66ED">
      <w:pPr>
        <w:spacing w:line="360" w:lineRule="auto"/>
        <w:rPr>
          <w:rFonts w:asciiTheme="majorBidi" w:hAnsiTheme="majorBidi" w:cstheme="majorBidi"/>
          <w:sz w:val="24"/>
          <w:szCs w:val="24"/>
        </w:rPr>
      </w:pPr>
      <w:r w:rsidRPr="00AD1D59">
        <w:rPr>
          <w:rFonts w:asciiTheme="majorBidi" w:hAnsiTheme="majorBidi" w:cstheme="majorBidi"/>
          <w:sz w:val="24"/>
          <w:szCs w:val="24"/>
        </w:rPr>
        <w:t>Conversely, the finding that </w:t>
      </w:r>
      <w:r w:rsidRPr="00AD1D59">
        <w:rPr>
          <w:rFonts w:asciiTheme="majorBidi" w:hAnsiTheme="majorBidi" w:cstheme="majorBidi"/>
          <w:b/>
          <w:bCs/>
          <w:sz w:val="24"/>
          <w:szCs w:val="24"/>
        </w:rPr>
        <w:t>Multiple Myeloma (MM)</w:t>
      </w:r>
      <w:r w:rsidRPr="00AD1D59">
        <w:rPr>
          <w:rFonts w:asciiTheme="majorBidi" w:hAnsiTheme="majorBidi" w:cstheme="majorBidi"/>
          <w:sz w:val="24"/>
          <w:szCs w:val="24"/>
        </w:rPr>
        <w:t xml:space="preserve"> was significantly associated with a normal peripheral blood count (p=0.011) is expected but clinically instructive. MM is a plasma cell dyscrasia that often presents with lytic bone lesions, renal failure, and hypercalcemia, with peripheral cytopenia typically developing later in the disease course due to extensive marrow replacement or treatment effects (Hamid &amp; Abbas, </w:t>
      </w:r>
      <w:proofErr w:type="gramStart"/>
      <w:r w:rsidRPr="00AD1D59">
        <w:rPr>
          <w:rFonts w:asciiTheme="majorBidi" w:hAnsiTheme="majorBidi" w:cstheme="majorBidi"/>
          <w:sz w:val="24"/>
          <w:szCs w:val="24"/>
        </w:rPr>
        <w:t>2022)¹</w:t>
      </w:r>
      <w:proofErr w:type="gramEnd"/>
      <w:r w:rsidRPr="005F16BA">
        <w:rPr>
          <w:rFonts w:asciiTheme="majorBidi" w:hAnsiTheme="majorBidi" w:cstheme="majorBidi"/>
          <w:sz w:val="24"/>
          <w:szCs w:val="24"/>
          <w:vertAlign w:val="superscript"/>
        </w:rPr>
        <w:t>8</w:t>
      </w:r>
      <w:r w:rsidRPr="00AD1D59">
        <w:rPr>
          <w:rFonts w:asciiTheme="majorBidi" w:hAnsiTheme="majorBidi" w:cstheme="majorBidi"/>
          <w:sz w:val="24"/>
          <w:szCs w:val="24"/>
        </w:rPr>
        <w:t>. This underscores the need for </w:t>
      </w:r>
      <w:r w:rsidRPr="00AD1D59">
        <w:rPr>
          <w:rFonts w:asciiTheme="majorBidi" w:hAnsiTheme="majorBidi" w:cstheme="majorBidi"/>
          <w:b/>
          <w:bCs/>
          <w:sz w:val="24"/>
          <w:szCs w:val="24"/>
        </w:rPr>
        <w:t>serum protein electrophoresis and skeletal surveys</w:t>
      </w:r>
      <w:r w:rsidRPr="00AD1D59">
        <w:rPr>
          <w:rFonts w:asciiTheme="majorBidi" w:hAnsiTheme="majorBidi" w:cstheme="majorBidi"/>
          <w:sz w:val="24"/>
          <w:szCs w:val="24"/>
        </w:rPr>
        <w:t> in patients with bone pain or renal impairment, even in the absence of cytopenia, to avoid missed diagnoses.</w:t>
      </w:r>
    </w:p>
    <w:p w14:paraId="395A6E7D" w14:textId="77777777" w:rsidR="00EA66ED" w:rsidRPr="00AD1D59" w:rsidRDefault="00EA66ED" w:rsidP="00EA66ED">
      <w:p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i">
            <w:drawing>
              <wp:anchor distT="0" distB="0" distL="114300" distR="114300" simplePos="0" relativeHeight="251696128" behindDoc="0" locked="0" layoutInCell="1" allowOverlap="1" wp14:anchorId="51B5DC3D" wp14:editId="48CF0460">
                <wp:simplePos x="0" y="0"/>
                <wp:positionH relativeFrom="column">
                  <wp:posOffset>-1145026</wp:posOffset>
                </wp:positionH>
                <wp:positionV relativeFrom="paragraph">
                  <wp:posOffset>1240137</wp:posOffset>
                </wp:positionV>
                <wp:extent cx="360" cy="360"/>
                <wp:effectExtent l="38100" t="38100" r="38100" b="38100"/>
                <wp:wrapNone/>
                <wp:docPr id="1717926099" name="Ink 5"/>
                <wp:cNvGraphicFramePr/>
                <a:graphic xmlns:a="http://schemas.openxmlformats.org/drawingml/2006/main">
                  <a:graphicData uri="http://schemas.microsoft.com/office/word/2010/wordprocessingInk">
                    <w14:contentPart bwMode="auto" r:id="rId58">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D2C51C" id="Ink 5" o:spid="_x0000_s1026" type="#_x0000_t75" style="position:absolute;margin-left:-90.5pt;margin-top:97.3pt;width:.75pt;height:.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">
                <v:imagedata r:id="rId59"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95104" behindDoc="0" locked="0" layoutInCell="1" allowOverlap="1" wp14:anchorId="48E7A626" wp14:editId="79DDE062">
                <wp:simplePos x="0" y="0"/>
                <wp:positionH relativeFrom="column">
                  <wp:posOffset>-1142506</wp:posOffset>
                </wp:positionH>
                <wp:positionV relativeFrom="paragraph">
                  <wp:posOffset>1310697</wp:posOffset>
                </wp:positionV>
                <wp:extent cx="360" cy="360"/>
                <wp:effectExtent l="38100" t="38100" r="38100" b="38100"/>
                <wp:wrapNone/>
                <wp:docPr id="773491632" name="Ink 4"/>
                <wp:cNvGraphicFramePr/>
                <a:graphic xmlns:a="http://schemas.openxmlformats.org/drawingml/2006/main">
                  <a:graphicData uri="http://schemas.microsoft.com/office/word/2010/wordprocessingInk">
                    <w14:contentPart bwMode="auto" r:id="rId60">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98707C" id="Ink 4" o:spid="_x0000_s1026" type="#_x0000_t75" style="position:absolute;margin-left:-90.3pt;margin-top:102.85pt;width:.75pt;height:.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DIKWU78gEAAI8FAAAQAAAAAAAAAAAAAAAAANMDAABkcnMvaW5rL2luazEu&#10;eG1sUEsBAi0AFAAGAAgAAAAhACmPyXHhAAAADQEAAA8AAAAAAAAAAAAAAAAA8wUAAGRycy9kb3du&#10;cmV2LnhtbFBLAQItABQABgAIAAAAIQB5GLydvwAAACEBAAAZAAAAAAAAAAAAAAAAAAEHAABkcnMv&#10;X3JlbHMvZTJvRG9jLnhtbC5yZWxzUEsFBgAAAAAGAAYAeAEAAPcHAAAAAA==&#10;">
                <v:imagedata r:id="rId59"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94080" behindDoc="0" locked="0" layoutInCell="1" allowOverlap="1" wp14:anchorId="4FF614F9" wp14:editId="2E8F7A96">
                <wp:simplePos x="0" y="0"/>
                <wp:positionH relativeFrom="column">
                  <wp:posOffset>-1137826</wp:posOffset>
                </wp:positionH>
                <wp:positionV relativeFrom="paragraph">
                  <wp:posOffset>1362537</wp:posOffset>
                </wp:positionV>
                <wp:extent cx="28800" cy="177480"/>
                <wp:effectExtent l="38100" t="38100" r="47625" b="32385"/>
                <wp:wrapNone/>
                <wp:docPr id="60222044" name="Ink 3"/>
                <wp:cNvGraphicFramePr/>
                <a:graphic xmlns:a="http://schemas.openxmlformats.org/drawingml/2006/main">
                  <a:graphicData uri="http://schemas.microsoft.com/office/word/2010/wordprocessingInk">
                    <w14:contentPart bwMode="auto" r:id="rId61">
                      <w14:nvContentPartPr>
                        <w14:cNvContentPartPr/>
                      </w14:nvContentPartPr>
                      <w14:xfrm>
                        <a:off x="0" y="0"/>
                        <a:ext cx="28800" cy="1774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EBCF14" id="Ink 3" o:spid="_x0000_s1026" type="#_x0000_t75" style="position:absolute;margin-left:-89.95pt;margin-top:106.95pt;width:2.95pt;height:14.6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">
                <v:imagedata r:id="rId62"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93056" behindDoc="0" locked="0" layoutInCell="1" allowOverlap="1" wp14:anchorId="515E9612" wp14:editId="34B0189E">
                <wp:simplePos x="0" y="0"/>
                <wp:positionH relativeFrom="column">
                  <wp:posOffset>-1156186</wp:posOffset>
                </wp:positionH>
                <wp:positionV relativeFrom="paragraph">
                  <wp:posOffset>1655937</wp:posOffset>
                </wp:positionV>
                <wp:extent cx="51480" cy="204840"/>
                <wp:effectExtent l="38100" t="38100" r="43815" b="43180"/>
                <wp:wrapNone/>
                <wp:docPr id="168898979" name="Ink 2"/>
                <wp:cNvGraphicFramePr/>
                <a:graphic xmlns:a="http://schemas.openxmlformats.org/drawingml/2006/main">
                  <a:graphicData uri="http://schemas.microsoft.com/office/word/2010/wordprocessingInk">
                    <w14:contentPart bwMode="auto" r:id="rId63">
                      <w14:nvContentPartPr>
                        <w14:cNvContentPartPr/>
                      </w14:nvContentPartPr>
                      <w14:xfrm>
                        <a:off x="0" y="0"/>
                        <a:ext cx="51480" cy="2048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50104B" id="Ink 2" o:spid="_x0000_s1026" type="#_x0000_t75" style="position:absolute;margin-left:-91.4pt;margin-top:130.05pt;width:4.75pt;height:16.8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">
                <v:imagedata r:id="rId64" o:title=""/>
              </v:shape>
            </w:pict>
          </mc:Fallback>
        </mc:AlternateContent>
      </w:r>
      <w:r w:rsidRPr="00AD1D59">
        <w:rPr>
          <w:rFonts w:asciiTheme="majorBidi" w:hAnsiTheme="majorBidi" w:cstheme="majorBidi"/>
          <w:sz w:val="24"/>
          <w:szCs w:val="24"/>
        </w:rPr>
        <w:t>The bone marrow findings provide the pathological basis for the peripheral blood picture. The significant </w:t>
      </w:r>
      <w:r w:rsidRPr="00AD1D59">
        <w:rPr>
          <w:rFonts w:asciiTheme="majorBidi" w:hAnsiTheme="majorBidi" w:cstheme="majorBidi"/>
          <w:b/>
          <w:bCs/>
          <w:sz w:val="24"/>
          <w:szCs w:val="24"/>
        </w:rPr>
        <w:t>hypercellularity</w:t>
      </w:r>
      <w:r w:rsidRPr="00AD1D59">
        <w:rPr>
          <w:rFonts w:asciiTheme="majorBidi" w:hAnsiTheme="majorBidi" w:cstheme="majorBidi"/>
          <w:sz w:val="24"/>
          <w:szCs w:val="24"/>
        </w:rPr>
        <w:t> coupled with the </w:t>
      </w:r>
      <w:r w:rsidRPr="00AD1D59">
        <w:rPr>
          <w:rFonts w:asciiTheme="majorBidi" w:hAnsiTheme="majorBidi" w:cstheme="majorBidi"/>
          <w:b/>
          <w:bCs/>
          <w:sz w:val="24"/>
          <w:szCs w:val="24"/>
        </w:rPr>
        <w:t>decreased erythroid and megakaryocyte precursors</w:t>
      </w:r>
      <w:r w:rsidRPr="00AD1D59">
        <w:rPr>
          <w:rFonts w:asciiTheme="majorBidi" w:hAnsiTheme="majorBidi" w:cstheme="majorBidi"/>
          <w:sz w:val="24"/>
          <w:szCs w:val="24"/>
        </w:rPr>
        <w:t> in the cytopenic group confirms that the cytopenia is a result of </w:t>
      </w:r>
      <w:r w:rsidRPr="00AD1D59">
        <w:rPr>
          <w:rFonts w:asciiTheme="majorBidi" w:hAnsiTheme="majorBidi" w:cstheme="majorBidi"/>
          <w:b/>
          <w:bCs/>
          <w:sz w:val="24"/>
          <w:szCs w:val="24"/>
        </w:rPr>
        <w:t>ineffective hematopoiesis</w:t>
      </w:r>
      <w:r w:rsidRPr="00AD1D59">
        <w:rPr>
          <w:rFonts w:asciiTheme="majorBidi" w:hAnsiTheme="majorBidi" w:cstheme="majorBidi"/>
          <w:sz w:val="24"/>
          <w:szCs w:val="24"/>
        </w:rPr>
        <w:t xml:space="preserve"> and the physical crowding out of normal precursor cells by the malignant blast population, a hallmark of acute leukemia (Aqil et al., </w:t>
      </w:r>
      <w:proofErr w:type="gramStart"/>
      <w:r w:rsidRPr="00AD1D59">
        <w:rPr>
          <w:rFonts w:asciiTheme="majorBidi" w:hAnsiTheme="majorBidi" w:cstheme="majorBidi"/>
          <w:sz w:val="24"/>
          <w:szCs w:val="24"/>
        </w:rPr>
        <w:t>2025)¹</w:t>
      </w:r>
      <w:proofErr w:type="gramEnd"/>
      <w:r w:rsidRPr="00AD1D59">
        <w:rPr>
          <w:rFonts w:asciiTheme="majorBidi" w:hAnsiTheme="majorBidi" w:cstheme="majorBidi"/>
          <w:sz w:val="24"/>
          <w:szCs w:val="24"/>
        </w:rPr>
        <w:t>⁸. This </w:t>
      </w:r>
      <w:r w:rsidRPr="00AD1D59">
        <w:rPr>
          <w:rFonts w:asciiTheme="majorBidi" w:hAnsiTheme="majorBidi" w:cstheme="majorBidi"/>
          <w:b/>
          <w:bCs/>
          <w:sz w:val="24"/>
          <w:szCs w:val="24"/>
        </w:rPr>
        <w:t>marrow–blood disconnect</w:t>
      </w:r>
      <w:r w:rsidRPr="00AD1D59">
        <w:rPr>
          <w:rFonts w:asciiTheme="majorBidi" w:hAnsiTheme="majorBidi" w:cstheme="majorBidi"/>
          <w:sz w:val="24"/>
          <w:szCs w:val="24"/>
        </w:rPr>
        <w:t>—where a hypercellular marrow coexists with peripheral cytopenia—is a key diagnostic clue that should prompt immediate suspicion of an infiltrative marrow process such as acute leukemia or advanced lymphoma.</w:t>
      </w:r>
    </w:p>
    <w:p w14:paraId="5D4D7931" w14:textId="77777777" w:rsidR="00EA66ED" w:rsidRPr="00AD1D59" w:rsidRDefault="00EA66ED" w:rsidP="00EA66ED">
      <w:p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i">
            <w:drawing>
              <wp:anchor distT="0" distB="0" distL="114300" distR="114300" simplePos="0" relativeHeight="251697152" behindDoc="0" locked="0" layoutInCell="1" allowOverlap="1" wp14:anchorId="62AD2456" wp14:editId="2757E743">
                <wp:simplePos x="0" y="0"/>
                <wp:positionH relativeFrom="column">
                  <wp:posOffset>-1000306</wp:posOffset>
                </wp:positionH>
                <wp:positionV relativeFrom="paragraph">
                  <wp:posOffset>1139532</wp:posOffset>
                </wp:positionV>
                <wp:extent cx="360" cy="360"/>
                <wp:effectExtent l="38100" t="38100" r="38100" b="38100"/>
                <wp:wrapNone/>
                <wp:docPr id="392206264" name="Ink 6"/>
                <wp:cNvGraphicFramePr/>
                <a:graphic xmlns:a="http://schemas.openxmlformats.org/drawingml/2006/main">
                  <a:graphicData uri="http://schemas.microsoft.com/office/word/2010/wordprocessingInk">
                    <w14:contentPart bwMode="auto" r:id="rId65">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8E34E4" id="Ink 6" o:spid="_x0000_s1026" type="#_x0000_t75" style="position:absolute;margin-left:-79.1pt;margin-top:89.4pt;width:.75pt;height:.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">
                <v:imagedata r:id="rId59"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92032" behindDoc="0" locked="0" layoutInCell="1" allowOverlap="1" wp14:anchorId="724FBE04" wp14:editId="7839A6FF">
                <wp:simplePos x="0" y="0"/>
                <wp:positionH relativeFrom="column">
                  <wp:posOffset>-1149346</wp:posOffset>
                </wp:positionH>
                <wp:positionV relativeFrom="paragraph">
                  <wp:posOffset>-282468</wp:posOffset>
                </wp:positionV>
                <wp:extent cx="29520" cy="1255320"/>
                <wp:effectExtent l="38100" t="38100" r="46990" b="40640"/>
                <wp:wrapNone/>
                <wp:docPr id="1876161949" name="Ink 1"/>
                <wp:cNvGraphicFramePr/>
                <a:graphic xmlns:a="http://schemas.openxmlformats.org/drawingml/2006/main">
                  <a:graphicData uri="http://schemas.microsoft.com/office/word/2010/wordprocessingInk">
                    <w14:contentPart bwMode="auto" r:id="rId66">
                      <w14:nvContentPartPr>
                        <w14:cNvContentPartPr/>
                      </w14:nvContentPartPr>
                      <w14:xfrm>
                        <a:off x="0" y="0"/>
                        <a:ext cx="29520" cy="12553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15FC1C" id="Ink 1" o:spid="_x0000_s1026" type="#_x0000_t75" style="position:absolute;margin-left:-91pt;margin-top:-22.75pt;width:3.3pt;height:99.8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">
                <v:imagedata r:id="rId67" o:title=""/>
              </v:shape>
            </w:pict>
          </mc:Fallback>
        </mc:AlternateContent>
      </w:r>
      <w:r w:rsidRPr="00AD1D59">
        <w:rPr>
          <w:rFonts w:asciiTheme="majorBidi" w:hAnsiTheme="majorBidi" w:cstheme="majorBidi"/>
          <w:sz w:val="24"/>
          <w:szCs w:val="24"/>
        </w:rPr>
        <w:t>In the Yemeni context, where advanced laboratory support (e.g., flow cytometry, molecular genetics) is often unavailable, </w:t>
      </w:r>
      <w:r w:rsidRPr="00AD1D59">
        <w:rPr>
          <w:rFonts w:asciiTheme="majorBidi" w:hAnsiTheme="majorBidi" w:cstheme="majorBidi"/>
          <w:b/>
          <w:bCs/>
          <w:sz w:val="24"/>
          <w:szCs w:val="24"/>
        </w:rPr>
        <w:t>bone marrow aspiration and biopsy remain the cornerstone of diagnosis</w:t>
      </w:r>
      <w:r w:rsidRPr="00AD1D59">
        <w:rPr>
          <w:rFonts w:asciiTheme="majorBidi" w:hAnsiTheme="majorBidi" w:cstheme="majorBidi"/>
          <w:sz w:val="24"/>
          <w:szCs w:val="24"/>
        </w:rPr>
        <w:t xml:space="preserve"> (Jawed et al., </w:t>
      </w:r>
      <w:proofErr w:type="gramStart"/>
      <w:r w:rsidRPr="00AD1D59">
        <w:rPr>
          <w:rFonts w:asciiTheme="majorBidi" w:hAnsiTheme="majorBidi" w:cstheme="majorBidi"/>
          <w:sz w:val="24"/>
          <w:szCs w:val="24"/>
        </w:rPr>
        <w:t>2024)¹</w:t>
      </w:r>
      <w:proofErr w:type="gramEnd"/>
      <w:r w:rsidRPr="00AD1D59">
        <w:rPr>
          <w:rFonts w:asciiTheme="majorBidi" w:hAnsiTheme="majorBidi" w:cstheme="majorBidi"/>
          <w:sz w:val="24"/>
          <w:szCs w:val="24"/>
        </w:rPr>
        <w:t>⁵. Our findings reinforce that </w:t>
      </w:r>
      <w:r w:rsidRPr="00AD1D59">
        <w:rPr>
          <w:rFonts w:asciiTheme="majorBidi" w:hAnsiTheme="majorBidi" w:cstheme="majorBidi"/>
          <w:b/>
          <w:bCs/>
          <w:sz w:val="24"/>
          <w:szCs w:val="24"/>
        </w:rPr>
        <w:t xml:space="preserve">morphological assessment of </w:t>
      </w:r>
      <w:r w:rsidRPr="00AD1D59">
        <w:rPr>
          <w:rFonts w:asciiTheme="majorBidi" w:hAnsiTheme="majorBidi" w:cstheme="majorBidi"/>
          <w:b/>
          <w:bCs/>
          <w:sz w:val="24"/>
          <w:szCs w:val="24"/>
        </w:rPr>
        <w:lastRenderedPageBreak/>
        <w:t>marrow cellularity and lineage composition</w:t>
      </w:r>
      <w:r w:rsidRPr="00AD1D59">
        <w:rPr>
          <w:rFonts w:asciiTheme="majorBidi" w:hAnsiTheme="majorBidi" w:cstheme="majorBidi"/>
          <w:sz w:val="24"/>
          <w:szCs w:val="24"/>
        </w:rPr>
        <w:t> is a highly informative and accessible tool for differentiating HMs from other causes of cytopenia such as nutritional deficiencies or infections.</w:t>
      </w:r>
    </w:p>
    <w:p w14:paraId="002F2718" w14:textId="5D41A56F" w:rsidR="00EA66ED" w:rsidRPr="00AD1D59" w:rsidRDefault="00EA66ED" w:rsidP="00EA66ED">
      <w:pPr>
        <w:spacing w:line="360" w:lineRule="auto"/>
        <w:rPr>
          <w:rFonts w:asciiTheme="majorBidi" w:hAnsiTheme="majorBidi" w:cstheme="majorBidi"/>
          <w:sz w:val="24"/>
          <w:szCs w:val="24"/>
        </w:rPr>
      </w:pPr>
      <w:r w:rsidRPr="00AD1D59">
        <w:rPr>
          <w:rFonts w:asciiTheme="majorBidi" w:hAnsiTheme="majorBidi" w:cstheme="majorBidi"/>
          <w:sz w:val="24"/>
          <w:szCs w:val="24"/>
        </w:rPr>
        <w:t xml:space="preserve">The contrast with the earlier Aden study (2008–2010) that reported lymphomas as the most common HM (Hamid, </w:t>
      </w:r>
      <w:proofErr w:type="gramStart"/>
      <w:r w:rsidRPr="00AD1D59">
        <w:rPr>
          <w:rFonts w:asciiTheme="majorBidi" w:hAnsiTheme="majorBidi" w:cstheme="majorBidi"/>
          <w:sz w:val="24"/>
          <w:szCs w:val="24"/>
        </w:rPr>
        <w:t>2012)⁷</w:t>
      </w:r>
      <w:proofErr w:type="gramEnd"/>
      <w:r w:rsidRPr="00AD1D59">
        <w:rPr>
          <w:rFonts w:asciiTheme="majorBidi" w:hAnsiTheme="majorBidi" w:cstheme="majorBidi"/>
          <w:sz w:val="24"/>
          <w:szCs w:val="24"/>
        </w:rPr>
        <w:t xml:space="preserve"> may indicate a </w:t>
      </w:r>
      <w:r w:rsidRPr="00AD1D59">
        <w:rPr>
          <w:rFonts w:asciiTheme="majorBidi" w:hAnsiTheme="majorBidi" w:cstheme="majorBidi"/>
          <w:b/>
          <w:bCs/>
          <w:sz w:val="24"/>
          <w:szCs w:val="24"/>
        </w:rPr>
        <w:t>true epidemiological shift</w:t>
      </w:r>
      <w:r w:rsidRPr="00AD1D59">
        <w:rPr>
          <w:rFonts w:asciiTheme="majorBidi" w:hAnsiTheme="majorBidi" w:cstheme="majorBidi"/>
          <w:sz w:val="24"/>
          <w:szCs w:val="24"/>
        </w:rPr>
        <w:t>, or more likely, improved diagnostic capability and referral patterns for acute leukemias at our tertiary center. Nevertheless, the consistent theme across time and region is that </w:t>
      </w:r>
      <w:r w:rsidRPr="00AD1D59">
        <w:rPr>
          <w:rFonts w:asciiTheme="majorBidi" w:hAnsiTheme="majorBidi" w:cstheme="majorBidi"/>
          <w:b/>
          <w:bCs/>
          <w:sz w:val="24"/>
          <w:szCs w:val="24"/>
        </w:rPr>
        <w:t>hematological malignancies are a leading cause of severe cytopenias</w:t>
      </w:r>
      <w:r w:rsidRPr="00AD1D59">
        <w:rPr>
          <w:rFonts w:asciiTheme="majorBidi" w:hAnsiTheme="majorBidi" w:cstheme="majorBidi"/>
          <w:sz w:val="24"/>
          <w:szCs w:val="24"/>
        </w:rPr>
        <w:t>, necessitating a high index of suspicion (Agarwal et al., 2015; Dubey et al., 2016)</w:t>
      </w:r>
      <w:r w:rsidRPr="00EA66ED">
        <w:rPr>
          <w:rFonts w:asciiTheme="majorBidi" w:hAnsiTheme="majorBidi" w:cstheme="majorBidi"/>
          <w:sz w:val="24"/>
          <w:szCs w:val="24"/>
          <w:vertAlign w:val="superscript"/>
        </w:rPr>
        <w:t>19,20</w:t>
      </w:r>
      <w:r w:rsidRPr="00AD1D59">
        <w:rPr>
          <w:rFonts w:asciiTheme="majorBidi" w:hAnsiTheme="majorBidi" w:cstheme="majorBidi"/>
          <w:sz w:val="24"/>
          <w:szCs w:val="24"/>
        </w:rPr>
        <w:t>.</w:t>
      </w:r>
    </w:p>
    <w:p w14:paraId="2BFB727A" w14:textId="77777777" w:rsidR="00EA66ED" w:rsidRPr="00AD1D59" w:rsidRDefault="00EA66ED" w:rsidP="00EA66ED">
      <w:pPr>
        <w:spacing w:line="360" w:lineRule="auto"/>
        <w:rPr>
          <w:rFonts w:asciiTheme="majorBidi" w:hAnsiTheme="majorBidi" w:cstheme="majorBidi"/>
          <w:sz w:val="24"/>
          <w:szCs w:val="24"/>
        </w:rPr>
      </w:pPr>
      <w:r w:rsidRPr="00AD1D59">
        <w:rPr>
          <w:rFonts w:asciiTheme="majorBidi" w:hAnsiTheme="majorBidi" w:cstheme="majorBidi"/>
          <w:sz w:val="24"/>
          <w:szCs w:val="24"/>
        </w:rPr>
        <w:t>The high prevalence of multi-lineage cytopenia at presentation suggests that patients in our region often seek medical attention at advanced disease stages. This underscores an </w:t>
      </w:r>
      <w:r w:rsidRPr="00AD1D59">
        <w:rPr>
          <w:rFonts w:asciiTheme="majorBidi" w:hAnsiTheme="majorBidi" w:cstheme="majorBidi"/>
          <w:b/>
          <w:bCs/>
          <w:sz w:val="24"/>
          <w:szCs w:val="24"/>
        </w:rPr>
        <w:t>urgent need for public health initiatives aimed at early detection</w:t>
      </w:r>
      <w:r w:rsidRPr="00AD1D59">
        <w:rPr>
          <w:rFonts w:asciiTheme="majorBidi" w:hAnsiTheme="majorBidi" w:cstheme="majorBidi"/>
          <w:sz w:val="24"/>
          <w:szCs w:val="24"/>
        </w:rPr>
        <w:t xml:space="preserve"> of hematological disorders, including community awareness programs and primary care physician training on recognizing warning signs such as unexplained bruising, persistent fatigue, or recurrent infections (Logeshwaran et al., </w:t>
      </w:r>
      <w:proofErr w:type="gramStart"/>
      <w:r w:rsidRPr="00AD1D59">
        <w:rPr>
          <w:rFonts w:asciiTheme="majorBidi" w:hAnsiTheme="majorBidi" w:cstheme="majorBidi"/>
          <w:sz w:val="24"/>
          <w:szCs w:val="24"/>
        </w:rPr>
        <w:t>2024)⁶</w:t>
      </w:r>
      <w:proofErr w:type="gramEnd"/>
      <w:r w:rsidRPr="00AD1D59">
        <w:rPr>
          <w:rFonts w:asciiTheme="majorBidi" w:hAnsiTheme="majorBidi" w:cstheme="majorBidi"/>
          <w:sz w:val="24"/>
          <w:szCs w:val="24"/>
        </w:rPr>
        <w:t>.</w:t>
      </w:r>
    </w:p>
    <w:p w14:paraId="686372FC" w14:textId="77777777" w:rsidR="00EA66ED" w:rsidRPr="00AD1D59" w:rsidRDefault="00EA66ED" w:rsidP="00EA66ED">
      <w:pPr>
        <w:spacing w:line="360" w:lineRule="auto"/>
        <w:rPr>
          <w:rFonts w:asciiTheme="majorBidi" w:hAnsiTheme="majorBidi" w:cstheme="majorBidi"/>
          <w:sz w:val="24"/>
          <w:szCs w:val="24"/>
        </w:rPr>
      </w:pPr>
      <w:r w:rsidRPr="00AD1D59">
        <w:rPr>
          <w:rFonts w:asciiTheme="majorBidi" w:hAnsiTheme="majorBidi" w:cstheme="majorBidi"/>
          <w:sz w:val="24"/>
          <w:szCs w:val="24"/>
        </w:rPr>
        <w:t>In clinical practice, our findings support the recommendation that </w:t>
      </w:r>
      <w:r w:rsidRPr="00AD1D59">
        <w:rPr>
          <w:rFonts w:asciiTheme="majorBidi" w:hAnsiTheme="majorBidi" w:cstheme="majorBidi"/>
          <w:b/>
          <w:bCs/>
          <w:sz w:val="24"/>
          <w:szCs w:val="24"/>
        </w:rPr>
        <w:t xml:space="preserve">unexplained </w:t>
      </w:r>
      <w:proofErr w:type="spellStart"/>
      <w:r w:rsidRPr="00AD1D59">
        <w:rPr>
          <w:rFonts w:asciiTheme="majorBidi" w:hAnsiTheme="majorBidi" w:cstheme="majorBidi"/>
          <w:b/>
          <w:bCs/>
          <w:sz w:val="24"/>
          <w:szCs w:val="24"/>
        </w:rPr>
        <w:t>bicytopenia</w:t>
      </w:r>
      <w:proofErr w:type="spellEnd"/>
      <w:r w:rsidRPr="00AD1D59">
        <w:rPr>
          <w:rFonts w:asciiTheme="majorBidi" w:hAnsiTheme="majorBidi" w:cstheme="majorBidi"/>
          <w:b/>
          <w:bCs/>
          <w:sz w:val="24"/>
          <w:szCs w:val="24"/>
        </w:rPr>
        <w:t xml:space="preserve"> or pancytopenia in adults, particularly in the Yemeni context, should be considered a red flag for potential HM</w:t>
      </w:r>
      <w:r w:rsidRPr="00AD1D59">
        <w:rPr>
          <w:rFonts w:asciiTheme="majorBidi" w:hAnsiTheme="majorBidi" w:cstheme="majorBidi"/>
          <w:sz w:val="24"/>
          <w:szCs w:val="24"/>
        </w:rPr>
        <w:t xml:space="preserve"> and warrants prompt bone marrow evaluation to rule out acute leukemias (Sharma et al., </w:t>
      </w:r>
      <w:proofErr w:type="gramStart"/>
      <w:r w:rsidRPr="00AD1D59">
        <w:rPr>
          <w:rFonts w:asciiTheme="majorBidi" w:hAnsiTheme="majorBidi" w:cstheme="majorBidi"/>
          <w:sz w:val="24"/>
          <w:szCs w:val="24"/>
        </w:rPr>
        <w:t>2023)⁵</w:t>
      </w:r>
      <w:proofErr w:type="gramEnd"/>
      <w:r w:rsidRPr="00AD1D59">
        <w:rPr>
          <w:rFonts w:asciiTheme="majorBidi" w:hAnsiTheme="majorBidi" w:cstheme="majorBidi"/>
          <w:sz w:val="24"/>
          <w:szCs w:val="24"/>
        </w:rPr>
        <w:t>. Furthermore, in settings where bone marrow biopsy is not immediately available, </w:t>
      </w:r>
      <w:r w:rsidRPr="00AD1D59">
        <w:rPr>
          <w:rFonts w:asciiTheme="majorBidi" w:hAnsiTheme="majorBidi" w:cstheme="majorBidi"/>
          <w:b/>
          <w:bCs/>
          <w:sz w:val="24"/>
          <w:szCs w:val="24"/>
        </w:rPr>
        <w:t>empirical supportive care (transfusions, antibiotics) should be initiated while expediting referral</w:t>
      </w:r>
      <w:r w:rsidRPr="00AD1D59">
        <w:rPr>
          <w:rFonts w:asciiTheme="majorBidi" w:hAnsiTheme="majorBidi" w:cstheme="majorBidi"/>
          <w:sz w:val="24"/>
          <w:szCs w:val="24"/>
        </w:rPr>
        <w:t> to a hematology center.</w:t>
      </w:r>
    </w:p>
    <w:p w14:paraId="4A3F0C68" w14:textId="77777777" w:rsidR="00EA66ED" w:rsidRPr="00AD1D59" w:rsidRDefault="00EA66ED" w:rsidP="00EA66ED">
      <w:pPr>
        <w:spacing w:line="360" w:lineRule="auto"/>
        <w:rPr>
          <w:rFonts w:asciiTheme="majorBidi" w:hAnsiTheme="majorBidi" w:cstheme="majorBidi"/>
          <w:sz w:val="24"/>
          <w:szCs w:val="24"/>
        </w:rPr>
      </w:pPr>
      <w:r w:rsidRPr="00AD1D59">
        <w:rPr>
          <w:rFonts w:asciiTheme="majorBidi" w:hAnsiTheme="majorBidi" w:cstheme="majorBidi"/>
          <w:b/>
          <w:bCs/>
          <w:sz w:val="24"/>
          <w:szCs w:val="24"/>
        </w:rPr>
        <w:t>Study Limitations and Context:</w:t>
      </w:r>
      <w:r w:rsidRPr="00AD1D59">
        <w:rPr>
          <w:rFonts w:asciiTheme="majorBidi" w:hAnsiTheme="majorBidi" w:cstheme="majorBidi"/>
          <w:sz w:val="24"/>
          <w:szCs w:val="24"/>
        </w:rPr>
        <w:t> This single-center, retrospective study has inherent limitations, including a modest sample size and potential referral bias. The data were collected during a period of profound humanitarian crisis in Yemen, which undoubtedly affects healthcare access, diagnostic delay, and disease stage at presentation. These factors may accentuate the observed trend of late presentation with severe cytopenias. Future multi-center prospective studies are needed to validate these findings and explore survival outcomes.</w:t>
      </w:r>
    </w:p>
    <w:p w14:paraId="5F4ABF00" w14:textId="190D56DF" w:rsidR="00E94FCD" w:rsidRPr="00E94FCD" w:rsidRDefault="00E94FCD" w:rsidP="000465B3">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5. Conclusion</w:t>
      </w:r>
    </w:p>
    <w:p w14:paraId="518E54E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This hospital-based study provides contemporary evidence that peripheral cytopenia is a hallmark presentation of hematological malignancies in Aden, Yemen, affecting over 84% of </w:t>
      </w:r>
      <w:r w:rsidRPr="00E94FCD">
        <w:rPr>
          <w:rFonts w:asciiTheme="majorBidi" w:hAnsiTheme="majorBidi" w:cstheme="majorBidi"/>
          <w:sz w:val="24"/>
          <w:szCs w:val="24"/>
        </w:rPr>
        <w:lastRenderedPageBreak/>
        <w:t xml:space="preserve">patients. Acute leukemias, particularly ALL and AML, constitute the majority of HMs and are strongly associated with multi-lineage </w:t>
      </w:r>
      <w:proofErr w:type="spellStart"/>
      <w:r w:rsidRPr="00E94FCD">
        <w:rPr>
          <w:rFonts w:asciiTheme="majorBidi" w:hAnsiTheme="majorBidi" w:cstheme="majorBidi"/>
          <w:sz w:val="24"/>
          <w:szCs w:val="24"/>
        </w:rPr>
        <w:t>cytopenias</w:t>
      </w:r>
      <w:proofErr w:type="spellEnd"/>
      <w:r w:rsidRPr="00E94FCD">
        <w:rPr>
          <w:rFonts w:asciiTheme="majorBidi" w:hAnsiTheme="majorBidi" w:cstheme="majorBidi"/>
          <w:sz w:val="24"/>
          <w:szCs w:val="24"/>
        </w:rPr>
        <w:t xml:space="preserve">, with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being the most frequent pattern. The statistically significant association of AML with pancytopenia, along with the pathological correlate of hypercellular, infiltrated bone marrow with diminished erythropoiesis and </w:t>
      </w:r>
      <w:proofErr w:type="spellStart"/>
      <w:r w:rsidRPr="00E94FCD">
        <w:rPr>
          <w:rFonts w:asciiTheme="majorBidi" w:hAnsiTheme="majorBidi" w:cstheme="majorBidi"/>
          <w:sz w:val="24"/>
          <w:szCs w:val="24"/>
        </w:rPr>
        <w:t>megakaryopoiesis</w:t>
      </w:r>
      <w:proofErr w:type="spellEnd"/>
      <w:r w:rsidRPr="00E94FCD">
        <w:rPr>
          <w:rFonts w:asciiTheme="majorBidi" w:hAnsiTheme="majorBidi" w:cstheme="majorBidi"/>
          <w:sz w:val="24"/>
          <w:szCs w:val="24"/>
        </w:rPr>
        <w:t>, explains the peripheral blood findings and provides essential local data for improving diagnostic algorithms. These findings highlight the critical role of prompt bone marrow examination in the diagnostic pathway for unexplained cytopenias, particularly in resource-limited settings like Yemen. Future efforts should focus on improving diagnostic capabilities, raising clinical awareness, and facilitating earlier patient presentation to improve outcomes in this vulnerable population.</w:t>
      </w:r>
    </w:p>
    <w:p w14:paraId="5C5BA344"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6. Recommendations</w:t>
      </w:r>
    </w:p>
    <w:p w14:paraId="42934BE2" w14:textId="77777777" w:rsidR="00E94FCD" w:rsidRPr="00E94FCD" w:rsidRDefault="00E94FCD" w:rsidP="002816C0">
      <w:pPr>
        <w:numPr>
          <w:ilvl w:val="0"/>
          <w:numId w:val="5"/>
        </w:num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Unexplained cytopenia, especially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or pancytopenia, in adults should prompt early consideration of hematological malignancy and expedited bone marrow examination.</w:t>
      </w:r>
    </w:p>
    <w:p w14:paraId="27D2F153" w14:textId="77777777" w:rsidR="00E94FCD" w:rsidRPr="00E94FCD" w:rsidRDefault="00E94FCD" w:rsidP="002816C0">
      <w:pPr>
        <w:numPr>
          <w:ilvl w:val="0"/>
          <w:numId w:val="5"/>
        </w:numPr>
        <w:spacing w:line="360" w:lineRule="auto"/>
        <w:rPr>
          <w:rFonts w:asciiTheme="majorBidi" w:hAnsiTheme="majorBidi" w:cstheme="majorBidi"/>
          <w:sz w:val="24"/>
          <w:szCs w:val="24"/>
        </w:rPr>
      </w:pPr>
      <w:r w:rsidRPr="00E94FCD">
        <w:rPr>
          <w:rFonts w:asciiTheme="majorBidi" w:hAnsiTheme="majorBidi" w:cstheme="majorBidi"/>
          <w:sz w:val="24"/>
          <w:szCs w:val="24"/>
        </w:rPr>
        <w:t>Capacity building for diagnostic hematology, including flow cytometry and molecular studies, is crucial in Yemen.</w:t>
      </w:r>
    </w:p>
    <w:p w14:paraId="6280B6EC" w14:textId="77777777" w:rsidR="00E94FCD" w:rsidRPr="00E94FCD" w:rsidRDefault="00E94FCD" w:rsidP="002816C0">
      <w:pPr>
        <w:numPr>
          <w:ilvl w:val="0"/>
          <w:numId w:val="5"/>
        </w:numPr>
        <w:spacing w:line="360" w:lineRule="auto"/>
        <w:rPr>
          <w:rFonts w:asciiTheme="majorBidi" w:hAnsiTheme="majorBidi" w:cstheme="majorBidi"/>
          <w:sz w:val="24"/>
          <w:szCs w:val="24"/>
        </w:rPr>
      </w:pPr>
      <w:r w:rsidRPr="00E94FCD">
        <w:rPr>
          <w:rFonts w:asciiTheme="majorBidi" w:hAnsiTheme="majorBidi" w:cstheme="majorBidi"/>
          <w:sz w:val="24"/>
          <w:szCs w:val="24"/>
        </w:rPr>
        <w:t>National health policies should focus on improving access to diagnostic services and essential chemotherapy regimens.</w:t>
      </w:r>
    </w:p>
    <w:p w14:paraId="7EF6574B" w14:textId="77777777" w:rsidR="00E94FCD" w:rsidRPr="00E94FCD" w:rsidRDefault="00E94FCD" w:rsidP="002816C0">
      <w:pPr>
        <w:numPr>
          <w:ilvl w:val="0"/>
          <w:numId w:val="5"/>
        </w:numPr>
        <w:spacing w:line="360" w:lineRule="auto"/>
        <w:rPr>
          <w:rFonts w:asciiTheme="majorBidi" w:hAnsiTheme="majorBidi" w:cstheme="majorBidi"/>
          <w:sz w:val="24"/>
          <w:szCs w:val="24"/>
        </w:rPr>
      </w:pPr>
      <w:r w:rsidRPr="00E94FCD">
        <w:rPr>
          <w:rFonts w:asciiTheme="majorBidi" w:hAnsiTheme="majorBidi" w:cstheme="majorBidi"/>
          <w:sz w:val="24"/>
          <w:szCs w:val="24"/>
        </w:rPr>
        <w:t>Further multi-center studies are needed to explore etiological factors and survival outcomes.</w:t>
      </w:r>
    </w:p>
    <w:p w14:paraId="4B7FD719"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Acknowledgments</w:t>
      </w:r>
    </w:p>
    <w:p w14:paraId="026BC7D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 authors thank the staff of the Hematology Department at the National Oncology Center, Aden, for their support. We also acknowledge the patients who participated in this study.</w:t>
      </w:r>
    </w:p>
    <w:p w14:paraId="03917C28" w14:textId="77777777" w:rsidR="009538A5" w:rsidRDefault="00405AD0" w:rsidP="00405AD0">
      <w:pPr>
        <w:rPr>
          <w:rFonts w:asciiTheme="majorBidi" w:hAnsiTheme="majorBidi" w:cstheme="majorBidi"/>
          <w:sz w:val="24"/>
          <w:szCs w:val="24"/>
        </w:rPr>
      </w:pPr>
      <w:r w:rsidRPr="00F2082F">
        <w:rPr>
          <w:rFonts w:asciiTheme="majorBidi" w:hAnsiTheme="majorBidi" w:cstheme="majorBidi"/>
          <w:sz w:val="24"/>
          <w:szCs w:val="24"/>
        </w:rPr>
        <w:t xml:space="preserve">CONSENT </w:t>
      </w:r>
    </w:p>
    <w:p w14:paraId="17A85992" w14:textId="5625CF60" w:rsidR="00405AD0" w:rsidRPr="00F2082F" w:rsidRDefault="00405AD0" w:rsidP="00405AD0">
      <w:pPr>
        <w:rPr>
          <w:rFonts w:asciiTheme="majorBidi" w:hAnsiTheme="majorBidi" w:cstheme="majorBidi"/>
          <w:sz w:val="24"/>
          <w:szCs w:val="24"/>
        </w:rPr>
      </w:pPr>
      <w:r w:rsidRPr="00F2082F">
        <w:rPr>
          <w:rFonts w:asciiTheme="majorBidi" w:hAnsiTheme="majorBidi" w:cstheme="majorBidi"/>
          <w:sz w:val="24"/>
          <w:szCs w:val="24"/>
        </w:rPr>
        <w:t xml:space="preserve">As per international standard or university standard, patient(s) written consent has been collected and preserved by the author(s). </w:t>
      </w:r>
    </w:p>
    <w:p w14:paraId="3080EDB6" w14:textId="762720E4" w:rsidR="00405AD0" w:rsidRDefault="00405AD0" w:rsidP="00405AD0">
      <w:pPr>
        <w:rPr>
          <w:rFonts w:asciiTheme="majorBidi" w:hAnsiTheme="majorBidi" w:cstheme="majorBidi"/>
          <w:sz w:val="24"/>
          <w:szCs w:val="24"/>
        </w:rPr>
      </w:pPr>
      <w:r w:rsidRPr="00F2082F">
        <w:rPr>
          <w:rFonts w:asciiTheme="majorBidi" w:hAnsiTheme="majorBidi" w:cstheme="majorBidi"/>
          <w:sz w:val="24"/>
          <w:szCs w:val="24"/>
        </w:rPr>
        <w:t xml:space="preserve">ETHICAL APPROVAL </w:t>
      </w:r>
    </w:p>
    <w:p w14:paraId="5B972771" w14:textId="4D27424B" w:rsidR="009538A5" w:rsidRPr="00F2082F" w:rsidRDefault="009538A5" w:rsidP="009538A5">
      <w:pPr>
        <w:rPr>
          <w:rFonts w:asciiTheme="majorBidi" w:hAnsiTheme="majorBidi" w:cstheme="majorBidi"/>
          <w:sz w:val="24"/>
          <w:szCs w:val="24"/>
        </w:rPr>
      </w:pPr>
      <w:r w:rsidRPr="009538A5">
        <w:rPr>
          <w:rFonts w:asciiTheme="majorBidi" w:hAnsiTheme="majorBidi" w:cstheme="majorBidi"/>
          <w:sz w:val="24"/>
          <w:szCs w:val="24"/>
        </w:rPr>
        <w:lastRenderedPageBreak/>
        <w:t>This retrospective study was approved by the Institutional Review Board (IRB) of the University of Aden, Faculty of Medicine &amp; Health Sciences (</w:t>
      </w:r>
      <w:bookmarkStart w:id="0" w:name="_Hlk219293234"/>
      <w:bookmarkStart w:id="1" w:name="_GoBack"/>
      <w:r w:rsidRPr="009538A5">
        <w:rPr>
          <w:rFonts w:asciiTheme="majorBidi" w:hAnsiTheme="majorBidi" w:cstheme="majorBidi"/>
          <w:sz w:val="24"/>
          <w:szCs w:val="24"/>
          <w:highlight w:val="yellow"/>
        </w:rPr>
        <w:t>IRB Approval Number: [Author to provide]).</w:t>
      </w:r>
    </w:p>
    <w:bookmarkEnd w:id="0"/>
    <w:bookmarkEnd w:id="1"/>
    <w:p w14:paraId="687B64CC" w14:textId="77777777" w:rsidR="00D14867" w:rsidRPr="00D14867" w:rsidRDefault="00405AD0" w:rsidP="00405AD0">
      <w:pPr>
        <w:rPr>
          <w:rFonts w:asciiTheme="majorBidi" w:hAnsiTheme="majorBidi" w:cstheme="majorBidi"/>
          <w:sz w:val="24"/>
          <w:szCs w:val="24"/>
          <w:highlight w:val="yellow"/>
        </w:rPr>
      </w:pPr>
      <w:r w:rsidRPr="00D14867">
        <w:rPr>
          <w:rFonts w:asciiTheme="majorBidi" w:hAnsiTheme="majorBidi" w:cstheme="majorBidi"/>
          <w:sz w:val="24"/>
          <w:szCs w:val="24"/>
          <w:highlight w:val="yellow"/>
        </w:rPr>
        <w:t xml:space="preserve">DISCLAIMER (ARTIFICIAL INTELLIGENCE) </w:t>
      </w:r>
    </w:p>
    <w:p w14:paraId="5D2C3762" w14:textId="2108C507" w:rsidR="00405AD0" w:rsidRPr="00F2082F" w:rsidRDefault="00405AD0" w:rsidP="00405AD0">
      <w:pPr>
        <w:rPr>
          <w:rFonts w:asciiTheme="majorBidi" w:hAnsiTheme="majorBidi" w:cstheme="majorBidi"/>
          <w:sz w:val="24"/>
          <w:szCs w:val="24"/>
        </w:rPr>
      </w:pPr>
      <w:r w:rsidRPr="00D14867">
        <w:rPr>
          <w:rFonts w:asciiTheme="majorBidi" w:hAnsiTheme="majorBidi" w:cstheme="majorBidi"/>
          <w:sz w:val="24"/>
          <w:szCs w:val="24"/>
          <w:highlight w:val="yellow"/>
        </w:rPr>
        <w:t>Author(s) hereby declare that NO generative AI technologies such as Large Language Models (ChatGPT, COPILOT, etc.) and text-to-image generators have been used during the writing or editing of this manuscript</w:t>
      </w:r>
      <w:r w:rsidRPr="00F2082F">
        <w:rPr>
          <w:rFonts w:asciiTheme="majorBidi" w:hAnsiTheme="majorBidi" w:cstheme="majorBidi"/>
          <w:sz w:val="24"/>
          <w:szCs w:val="24"/>
        </w:rPr>
        <w:t xml:space="preserve"> </w:t>
      </w:r>
    </w:p>
    <w:p w14:paraId="04558365" w14:textId="77777777" w:rsidR="00405AD0" w:rsidRPr="00F2082F" w:rsidRDefault="00405AD0" w:rsidP="00405AD0">
      <w:pPr>
        <w:rPr>
          <w:rFonts w:asciiTheme="majorBidi" w:hAnsiTheme="majorBidi" w:cstheme="majorBidi"/>
          <w:sz w:val="24"/>
          <w:szCs w:val="24"/>
        </w:rPr>
      </w:pPr>
      <w:r w:rsidRPr="00F2082F">
        <w:rPr>
          <w:rFonts w:asciiTheme="majorBidi" w:hAnsiTheme="majorBidi" w:cstheme="majorBidi"/>
          <w:sz w:val="24"/>
          <w:szCs w:val="24"/>
        </w:rPr>
        <w:t>COMPETING INTERESTS Authors have declared that no competing interests exist.</w:t>
      </w:r>
    </w:p>
    <w:p w14:paraId="7BDED401" w14:textId="280F6931"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Conflict of Interest Statement</w:t>
      </w:r>
    </w:p>
    <w:p w14:paraId="2E781417"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 authors declare no conflicts of interest.</w:t>
      </w:r>
    </w:p>
    <w:p w14:paraId="4FA78C26"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Author Contributions</w:t>
      </w:r>
    </w:p>
    <w:p w14:paraId="69B866D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Ghada Mohammed Abdulaziz:</w:t>
      </w:r>
      <w:r w:rsidRPr="00E94FCD">
        <w:rPr>
          <w:rFonts w:asciiTheme="majorBidi" w:hAnsiTheme="majorBidi" w:cstheme="majorBidi"/>
          <w:sz w:val="24"/>
          <w:szCs w:val="24"/>
        </w:rPr>
        <w:t> Conceptualization, Data curation, Formal analysis, Investigation, Methodology, Project administration, Resources, Writing – original draft, Writing – review &amp; editing. </w:t>
      </w:r>
      <w:r w:rsidRPr="00E94FCD">
        <w:rPr>
          <w:rFonts w:asciiTheme="majorBidi" w:hAnsiTheme="majorBidi" w:cstheme="majorBidi"/>
          <w:b/>
          <w:bCs/>
          <w:sz w:val="24"/>
          <w:szCs w:val="24"/>
        </w:rPr>
        <w:t>Gamal Abdul-Hamid:</w:t>
      </w:r>
      <w:r w:rsidRPr="00E94FCD">
        <w:rPr>
          <w:rFonts w:asciiTheme="majorBidi" w:hAnsiTheme="majorBidi" w:cstheme="majorBidi"/>
          <w:sz w:val="24"/>
          <w:szCs w:val="24"/>
        </w:rPr>
        <w:t> Conceptualization, Methodology, Supervision, Validation, Writing – review &amp; editing. All authors have read and approved the final manuscript.</w:t>
      </w:r>
    </w:p>
    <w:p w14:paraId="624D5809"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Funding Statement</w:t>
      </w:r>
    </w:p>
    <w:p w14:paraId="4C3731A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This research received no specific grant from any funding agency.</w:t>
      </w:r>
    </w:p>
    <w:p w14:paraId="7C77B797"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References</w:t>
      </w:r>
    </w:p>
    <w:p w14:paraId="17CB0E59" w14:textId="77777777" w:rsidR="00E94FCD" w:rsidRPr="00E94FCD" w:rsidRDefault="00E94FCD" w:rsidP="002816C0">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Jaffe ES, Harris NL, Stein H, Vardiman JW, editors. World Health Organization classification of </w:t>
      </w:r>
      <w:proofErr w:type="spellStart"/>
      <w:r w:rsidRPr="00E94FCD">
        <w:rPr>
          <w:rFonts w:asciiTheme="majorBidi" w:hAnsiTheme="majorBidi" w:cstheme="majorBidi"/>
          <w:sz w:val="24"/>
          <w:szCs w:val="24"/>
        </w:rPr>
        <w:t>tumours</w:t>
      </w:r>
      <w:proofErr w:type="spellEnd"/>
      <w:r w:rsidRPr="00E94FCD">
        <w:rPr>
          <w:rFonts w:asciiTheme="majorBidi" w:hAnsiTheme="majorBidi" w:cstheme="majorBidi"/>
          <w:sz w:val="24"/>
          <w:szCs w:val="24"/>
        </w:rPr>
        <w:t xml:space="preserve">. Pathology and genetics of </w:t>
      </w:r>
      <w:proofErr w:type="spellStart"/>
      <w:r w:rsidRPr="00E94FCD">
        <w:rPr>
          <w:rFonts w:asciiTheme="majorBidi" w:hAnsiTheme="majorBidi" w:cstheme="majorBidi"/>
          <w:sz w:val="24"/>
          <w:szCs w:val="24"/>
        </w:rPr>
        <w:t>tumours</w:t>
      </w:r>
      <w:proofErr w:type="spellEnd"/>
      <w:r w:rsidRPr="00E94FCD">
        <w:rPr>
          <w:rFonts w:asciiTheme="majorBidi" w:hAnsiTheme="majorBidi" w:cstheme="majorBidi"/>
          <w:sz w:val="24"/>
          <w:szCs w:val="24"/>
        </w:rPr>
        <w:t xml:space="preserve"> of </w:t>
      </w:r>
      <w:proofErr w:type="spellStart"/>
      <w:r w:rsidRPr="00E94FCD">
        <w:rPr>
          <w:rFonts w:asciiTheme="majorBidi" w:hAnsiTheme="majorBidi" w:cstheme="majorBidi"/>
          <w:sz w:val="24"/>
          <w:szCs w:val="24"/>
        </w:rPr>
        <w:t>haematopoietic</w:t>
      </w:r>
      <w:proofErr w:type="spellEnd"/>
      <w:r w:rsidRPr="00E94FCD">
        <w:rPr>
          <w:rFonts w:asciiTheme="majorBidi" w:hAnsiTheme="majorBidi" w:cstheme="majorBidi"/>
          <w:sz w:val="24"/>
          <w:szCs w:val="24"/>
        </w:rPr>
        <w:t xml:space="preserve"> and lymphoid tissues. Lyon: IARC Press; 2001.</w:t>
      </w:r>
    </w:p>
    <w:p w14:paraId="63F234C9" w14:textId="77777777" w:rsidR="00E94FCD" w:rsidRPr="00E94FCD" w:rsidRDefault="00E94FCD" w:rsidP="002816C0">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Kumar G, Sharma D, Singh G, Kaur H. Study of </w:t>
      </w:r>
      <w:proofErr w:type="spellStart"/>
      <w:r w:rsidRPr="00E94FCD">
        <w:rPr>
          <w:rFonts w:asciiTheme="majorBidi" w:hAnsiTheme="majorBidi" w:cstheme="majorBidi"/>
          <w:sz w:val="24"/>
          <w:szCs w:val="24"/>
        </w:rPr>
        <w:t>Clinicoetiological</w:t>
      </w:r>
      <w:proofErr w:type="spellEnd"/>
      <w:r w:rsidRPr="00E94FCD">
        <w:rPr>
          <w:rFonts w:asciiTheme="majorBidi" w:hAnsiTheme="majorBidi" w:cstheme="majorBidi"/>
          <w:sz w:val="24"/>
          <w:szCs w:val="24"/>
        </w:rPr>
        <w:t xml:space="preserve"> Spectrum of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in a Tertiary Care Hospital. Cureus. 2024;16(5</w:t>
      </w:r>
      <w:proofErr w:type="gramStart"/>
      <w:r w:rsidRPr="00E94FCD">
        <w:rPr>
          <w:rFonts w:asciiTheme="majorBidi" w:hAnsiTheme="majorBidi" w:cstheme="majorBidi"/>
          <w:sz w:val="24"/>
          <w:szCs w:val="24"/>
        </w:rPr>
        <w:t>):e</w:t>
      </w:r>
      <w:proofErr w:type="gramEnd"/>
      <w:r w:rsidRPr="00E94FCD">
        <w:rPr>
          <w:rFonts w:asciiTheme="majorBidi" w:hAnsiTheme="majorBidi" w:cstheme="majorBidi"/>
          <w:sz w:val="24"/>
          <w:szCs w:val="24"/>
        </w:rPr>
        <w:t>59676.</w:t>
      </w:r>
    </w:p>
    <w:p w14:paraId="5DDFF5A9" w14:textId="77777777" w:rsidR="00E94FCD" w:rsidRPr="00E94FCD" w:rsidRDefault="00E94FCD" w:rsidP="002816C0">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Murshed NMF, Khan WA, Hossain MS, Islam MS. </w:t>
      </w:r>
      <w:proofErr w:type="spellStart"/>
      <w:r w:rsidRPr="00E94FCD">
        <w:rPr>
          <w:rFonts w:asciiTheme="majorBidi" w:hAnsiTheme="majorBidi" w:cstheme="majorBidi"/>
          <w:sz w:val="24"/>
          <w:szCs w:val="24"/>
        </w:rPr>
        <w:t>Clinicohematological</w:t>
      </w:r>
      <w:proofErr w:type="spellEnd"/>
      <w:r w:rsidRPr="00E94FCD">
        <w:rPr>
          <w:rFonts w:asciiTheme="majorBidi" w:hAnsiTheme="majorBidi" w:cstheme="majorBidi"/>
          <w:sz w:val="24"/>
          <w:szCs w:val="24"/>
        </w:rPr>
        <w:t xml:space="preserve"> Profile of Patients with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J Hematol. 2025;14(1):1-6.</w:t>
      </w:r>
    </w:p>
    <w:p w14:paraId="73E02AC9" w14:textId="77777777" w:rsidR="00E94FCD" w:rsidRPr="00E94FCD" w:rsidRDefault="00E94FCD" w:rsidP="002816C0">
      <w:pPr>
        <w:numPr>
          <w:ilvl w:val="0"/>
          <w:numId w:val="6"/>
        </w:numPr>
        <w:spacing w:line="360" w:lineRule="auto"/>
        <w:rPr>
          <w:rFonts w:asciiTheme="majorBidi" w:hAnsiTheme="majorBidi" w:cstheme="majorBidi"/>
          <w:sz w:val="24"/>
          <w:szCs w:val="24"/>
        </w:rPr>
      </w:pPr>
      <w:r w:rsidRPr="00D14867">
        <w:rPr>
          <w:rFonts w:asciiTheme="majorBidi" w:hAnsiTheme="majorBidi" w:cstheme="majorBidi"/>
          <w:sz w:val="24"/>
          <w:szCs w:val="24"/>
          <w:lang w:val="nl-BE"/>
        </w:rPr>
        <w:t xml:space="preserve">de Almeida JG, Ramsay AG, de Bruin AM, Westers TM, van der Velden VHJ, de Haas V, et al. </w:t>
      </w:r>
      <w:r w:rsidRPr="00E94FCD">
        <w:rPr>
          <w:rFonts w:asciiTheme="majorBidi" w:hAnsiTheme="majorBidi" w:cstheme="majorBidi"/>
          <w:sz w:val="24"/>
          <w:szCs w:val="24"/>
        </w:rPr>
        <w:t>Computational analysis of peripheral blood smears detects myelodysplastic syndromes. Nat Commun. 2023;14(1):3798.</w:t>
      </w:r>
    </w:p>
    <w:p w14:paraId="79D64B6A" w14:textId="77777777" w:rsidR="00E94FCD" w:rsidRPr="00E94FCD" w:rsidRDefault="00E94FCD" w:rsidP="002816C0">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 xml:space="preserve">Sharma A, Kumar V, Marwaha RK, Sharma P. </w:t>
      </w:r>
      <w:proofErr w:type="spellStart"/>
      <w:r w:rsidRPr="00E94FCD">
        <w:rPr>
          <w:rFonts w:asciiTheme="majorBidi" w:hAnsiTheme="majorBidi" w:cstheme="majorBidi"/>
          <w:sz w:val="24"/>
          <w:szCs w:val="24"/>
        </w:rPr>
        <w:t>Clinicoetiological</w:t>
      </w:r>
      <w:proofErr w:type="spellEnd"/>
      <w:r w:rsidRPr="00E94FCD">
        <w:rPr>
          <w:rFonts w:asciiTheme="majorBidi" w:hAnsiTheme="majorBidi" w:cstheme="majorBidi"/>
          <w:sz w:val="24"/>
          <w:szCs w:val="24"/>
        </w:rPr>
        <w:t xml:space="preserve"> profile of children with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at a tertiary care </w:t>
      </w:r>
      <w:proofErr w:type="spellStart"/>
      <w:r w:rsidRPr="00E94FCD">
        <w:rPr>
          <w:rFonts w:asciiTheme="majorBidi" w:hAnsiTheme="majorBidi" w:cstheme="majorBidi"/>
          <w:sz w:val="24"/>
          <w:szCs w:val="24"/>
        </w:rPr>
        <w:t>centre</w:t>
      </w:r>
      <w:proofErr w:type="spellEnd"/>
      <w:r w:rsidRPr="00E94FCD">
        <w:rPr>
          <w:rFonts w:asciiTheme="majorBidi" w:hAnsiTheme="majorBidi" w:cstheme="majorBidi"/>
          <w:sz w:val="24"/>
          <w:szCs w:val="24"/>
        </w:rPr>
        <w:t xml:space="preserve">. Int J </w:t>
      </w:r>
      <w:proofErr w:type="spellStart"/>
      <w:r w:rsidRPr="00E94FCD">
        <w:rPr>
          <w:rFonts w:asciiTheme="majorBidi" w:hAnsiTheme="majorBidi" w:cstheme="majorBidi"/>
          <w:sz w:val="24"/>
          <w:szCs w:val="24"/>
        </w:rPr>
        <w:t>Pediatr</w:t>
      </w:r>
      <w:proofErr w:type="spellEnd"/>
      <w:r w:rsidRPr="00E94FCD">
        <w:rPr>
          <w:rFonts w:asciiTheme="majorBidi" w:hAnsiTheme="majorBidi" w:cstheme="majorBidi"/>
          <w:sz w:val="24"/>
          <w:szCs w:val="24"/>
        </w:rPr>
        <w:t xml:space="preserve"> </w:t>
      </w:r>
      <w:proofErr w:type="spellStart"/>
      <w:r w:rsidRPr="00E94FCD">
        <w:rPr>
          <w:rFonts w:asciiTheme="majorBidi" w:hAnsiTheme="majorBidi" w:cstheme="majorBidi"/>
          <w:sz w:val="24"/>
          <w:szCs w:val="24"/>
        </w:rPr>
        <w:t>Adolesc</w:t>
      </w:r>
      <w:proofErr w:type="spellEnd"/>
      <w:r w:rsidRPr="00E94FCD">
        <w:rPr>
          <w:rFonts w:asciiTheme="majorBidi" w:hAnsiTheme="majorBidi" w:cstheme="majorBidi"/>
          <w:sz w:val="24"/>
          <w:szCs w:val="24"/>
        </w:rPr>
        <w:t xml:space="preserve"> Med. 2023;10(1):1-6.</w:t>
      </w:r>
    </w:p>
    <w:p w14:paraId="2D181F04" w14:textId="77777777" w:rsidR="00E94FCD" w:rsidRPr="00E94FCD" w:rsidRDefault="00E94FCD" w:rsidP="002816C0">
      <w:pPr>
        <w:numPr>
          <w:ilvl w:val="0"/>
          <w:numId w:val="6"/>
        </w:numPr>
        <w:spacing w:line="360" w:lineRule="auto"/>
        <w:rPr>
          <w:rFonts w:asciiTheme="majorBidi" w:hAnsiTheme="majorBidi" w:cstheme="majorBidi"/>
          <w:sz w:val="24"/>
          <w:szCs w:val="24"/>
        </w:rPr>
      </w:pPr>
      <w:proofErr w:type="spellStart"/>
      <w:r w:rsidRPr="00E94FCD">
        <w:rPr>
          <w:rFonts w:asciiTheme="majorBidi" w:hAnsiTheme="majorBidi" w:cstheme="majorBidi"/>
          <w:sz w:val="24"/>
          <w:szCs w:val="24"/>
        </w:rPr>
        <w:t>Logeshwaran</w:t>
      </w:r>
      <w:proofErr w:type="spellEnd"/>
      <w:r w:rsidRPr="00E94FCD">
        <w:rPr>
          <w:rFonts w:asciiTheme="majorBidi" w:hAnsiTheme="majorBidi" w:cstheme="majorBidi"/>
          <w:sz w:val="24"/>
          <w:szCs w:val="24"/>
        </w:rPr>
        <w:t xml:space="preserve"> K, </w:t>
      </w:r>
      <w:proofErr w:type="spellStart"/>
      <w:r w:rsidRPr="00E94FCD">
        <w:rPr>
          <w:rFonts w:asciiTheme="majorBidi" w:hAnsiTheme="majorBidi" w:cstheme="majorBidi"/>
          <w:sz w:val="24"/>
          <w:szCs w:val="24"/>
        </w:rPr>
        <w:t>Selvarajan</w:t>
      </w:r>
      <w:proofErr w:type="spellEnd"/>
      <w:r w:rsidRPr="00E94FCD">
        <w:rPr>
          <w:rFonts w:asciiTheme="majorBidi" w:hAnsiTheme="majorBidi" w:cstheme="majorBidi"/>
          <w:sz w:val="24"/>
          <w:szCs w:val="24"/>
        </w:rPr>
        <w:t xml:space="preserve"> S, </w:t>
      </w:r>
      <w:proofErr w:type="spellStart"/>
      <w:r w:rsidRPr="00E94FCD">
        <w:rPr>
          <w:rFonts w:asciiTheme="majorBidi" w:hAnsiTheme="majorBidi" w:cstheme="majorBidi"/>
          <w:sz w:val="24"/>
          <w:szCs w:val="24"/>
        </w:rPr>
        <w:t>Rajendiran</w:t>
      </w:r>
      <w:proofErr w:type="spellEnd"/>
      <w:r w:rsidRPr="00E94FCD">
        <w:rPr>
          <w:rFonts w:asciiTheme="majorBidi" w:hAnsiTheme="majorBidi" w:cstheme="majorBidi"/>
          <w:sz w:val="24"/>
          <w:szCs w:val="24"/>
        </w:rPr>
        <w:t xml:space="preserve"> G. Children with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 clinical picture and etiology. Asian J Med Sci. 2024;15(2):1-5.</w:t>
      </w:r>
    </w:p>
    <w:p w14:paraId="77027C78" w14:textId="77777777" w:rsidR="00617516" w:rsidRPr="00617516" w:rsidRDefault="00617516" w:rsidP="00617516">
      <w:pPr>
        <w:numPr>
          <w:ilvl w:val="0"/>
          <w:numId w:val="6"/>
        </w:numPr>
        <w:spacing w:line="360" w:lineRule="auto"/>
        <w:rPr>
          <w:rFonts w:asciiTheme="majorBidi" w:hAnsiTheme="majorBidi" w:cstheme="majorBidi"/>
          <w:color w:val="000000" w:themeColor="text1"/>
          <w:sz w:val="24"/>
          <w:szCs w:val="24"/>
        </w:rPr>
      </w:pPr>
      <w:r w:rsidRPr="00617516">
        <w:rPr>
          <w:rFonts w:asciiTheme="majorBidi" w:hAnsiTheme="majorBidi" w:cstheme="majorBidi"/>
          <w:color w:val="000000" w:themeColor="text1"/>
          <w:sz w:val="24"/>
          <w:szCs w:val="24"/>
        </w:rPr>
        <w:t>Afif Al-</w:t>
      </w:r>
      <w:proofErr w:type="spellStart"/>
      <w:r w:rsidRPr="00617516">
        <w:rPr>
          <w:rFonts w:asciiTheme="majorBidi" w:hAnsiTheme="majorBidi" w:cstheme="majorBidi"/>
          <w:color w:val="000000" w:themeColor="text1"/>
          <w:sz w:val="24"/>
          <w:szCs w:val="24"/>
        </w:rPr>
        <w:t>Nabhi</w:t>
      </w:r>
      <w:proofErr w:type="spellEnd"/>
      <w:r w:rsidRPr="00617516">
        <w:rPr>
          <w:rFonts w:asciiTheme="majorBidi" w:hAnsiTheme="majorBidi" w:cstheme="majorBidi"/>
          <w:color w:val="000000" w:themeColor="text1"/>
          <w:sz w:val="24"/>
          <w:szCs w:val="24"/>
        </w:rPr>
        <w:t xml:space="preserve">, Ahmed M.T </w:t>
      </w:r>
      <w:proofErr w:type="spellStart"/>
      <w:r w:rsidRPr="00617516">
        <w:rPr>
          <w:rFonts w:asciiTheme="majorBidi" w:hAnsiTheme="majorBidi" w:cstheme="majorBidi"/>
          <w:color w:val="000000" w:themeColor="text1"/>
          <w:sz w:val="24"/>
          <w:szCs w:val="24"/>
        </w:rPr>
        <w:t>Algharati</w:t>
      </w:r>
      <w:proofErr w:type="spellEnd"/>
      <w:r w:rsidRPr="00617516">
        <w:rPr>
          <w:rFonts w:asciiTheme="majorBidi" w:hAnsiTheme="majorBidi" w:cstheme="majorBidi"/>
          <w:color w:val="000000" w:themeColor="text1"/>
          <w:sz w:val="24"/>
          <w:szCs w:val="24"/>
        </w:rPr>
        <w:t>, Gamal Abdul Hamid et al. Pattern of cancer in Yemen; First result from the National Oncology Center Sanaa EJPMR, 2017; 4(1): 149-154</w:t>
      </w:r>
    </w:p>
    <w:p w14:paraId="41905E94" w14:textId="455207CF" w:rsidR="00E94FCD" w:rsidRPr="00E94FCD" w:rsidRDefault="00E94FCD" w:rsidP="00617516">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t>Hamid GA. Patterns of pancytopenia in Yemen. Turk J Haematol. 2008;25(2):71-4.</w:t>
      </w:r>
    </w:p>
    <w:p w14:paraId="5A8936BF" w14:textId="77777777" w:rsidR="00E94FCD" w:rsidRPr="00E94FCD" w:rsidRDefault="00E94FCD" w:rsidP="002816C0">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t>Jha A, Sayami G, Adhikari RC, Panta AD, Jha R. Bone marrow examination in cases of pancytopenia. J Nepal Med Assoc. 2008;47(169):12-7.</w:t>
      </w:r>
    </w:p>
    <w:p w14:paraId="5D061534" w14:textId="77777777" w:rsidR="00E94FCD" w:rsidRDefault="00E94FCD" w:rsidP="002816C0">
      <w:pPr>
        <w:numPr>
          <w:ilvl w:val="0"/>
          <w:numId w:val="6"/>
        </w:numPr>
        <w:spacing w:line="360" w:lineRule="auto"/>
        <w:rPr>
          <w:rFonts w:asciiTheme="majorBidi" w:hAnsiTheme="majorBidi" w:cstheme="majorBidi"/>
          <w:sz w:val="24"/>
          <w:szCs w:val="24"/>
        </w:rPr>
      </w:pPr>
      <w:proofErr w:type="spellStart"/>
      <w:r w:rsidRPr="00E94FCD">
        <w:rPr>
          <w:rFonts w:asciiTheme="majorBidi" w:hAnsiTheme="majorBidi" w:cstheme="majorBidi"/>
          <w:sz w:val="24"/>
          <w:szCs w:val="24"/>
        </w:rPr>
        <w:t>Alessy</w:t>
      </w:r>
      <w:proofErr w:type="spellEnd"/>
      <w:r w:rsidRPr="00E94FCD">
        <w:rPr>
          <w:rFonts w:asciiTheme="majorBidi" w:hAnsiTheme="majorBidi" w:cstheme="majorBidi"/>
          <w:sz w:val="24"/>
          <w:szCs w:val="24"/>
        </w:rPr>
        <w:t xml:space="preserve"> SA, </w:t>
      </w:r>
      <w:proofErr w:type="spellStart"/>
      <w:r w:rsidRPr="00E94FCD">
        <w:rPr>
          <w:rFonts w:asciiTheme="majorBidi" w:hAnsiTheme="majorBidi" w:cstheme="majorBidi"/>
          <w:sz w:val="24"/>
          <w:szCs w:val="24"/>
        </w:rPr>
        <w:t>Alqahtani</w:t>
      </w:r>
      <w:proofErr w:type="spellEnd"/>
      <w:r w:rsidRPr="00E94FCD">
        <w:rPr>
          <w:rFonts w:asciiTheme="majorBidi" w:hAnsiTheme="majorBidi" w:cstheme="majorBidi"/>
          <w:sz w:val="24"/>
          <w:szCs w:val="24"/>
        </w:rPr>
        <w:t xml:space="preserve"> SA, </w:t>
      </w:r>
      <w:proofErr w:type="spellStart"/>
      <w:r w:rsidRPr="00E94FCD">
        <w:rPr>
          <w:rFonts w:asciiTheme="majorBidi" w:hAnsiTheme="majorBidi" w:cstheme="majorBidi"/>
          <w:sz w:val="24"/>
          <w:szCs w:val="24"/>
        </w:rPr>
        <w:t>Vignat</w:t>
      </w:r>
      <w:proofErr w:type="spellEnd"/>
      <w:r w:rsidRPr="00E94FCD">
        <w:rPr>
          <w:rFonts w:asciiTheme="majorBidi" w:hAnsiTheme="majorBidi" w:cstheme="majorBidi"/>
          <w:sz w:val="24"/>
          <w:szCs w:val="24"/>
        </w:rPr>
        <w:t xml:space="preserve"> J, </w:t>
      </w:r>
      <w:proofErr w:type="spellStart"/>
      <w:r w:rsidRPr="00E94FCD">
        <w:rPr>
          <w:rFonts w:asciiTheme="majorBidi" w:hAnsiTheme="majorBidi" w:cstheme="majorBidi"/>
          <w:sz w:val="24"/>
          <w:szCs w:val="24"/>
        </w:rPr>
        <w:t>Abuhmaidan</w:t>
      </w:r>
      <w:proofErr w:type="spellEnd"/>
      <w:r w:rsidRPr="00E94FCD">
        <w:rPr>
          <w:rFonts w:asciiTheme="majorBidi" w:hAnsiTheme="majorBidi" w:cstheme="majorBidi"/>
          <w:sz w:val="24"/>
          <w:szCs w:val="24"/>
        </w:rPr>
        <w:t xml:space="preserve"> A, </w:t>
      </w:r>
      <w:proofErr w:type="spellStart"/>
      <w:r w:rsidRPr="00E94FCD">
        <w:rPr>
          <w:rFonts w:asciiTheme="majorBidi" w:hAnsiTheme="majorBidi" w:cstheme="majorBidi"/>
          <w:sz w:val="24"/>
          <w:szCs w:val="24"/>
        </w:rPr>
        <w:t>Basmi</w:t>
      </w:r>
      <w:proofErr w:type="spellEnd"/>
      <w:r w:rsidRPr="00E94FCD">
        <w:rPr>
          <w:rFonts w:asciiTheme="majorBidi" w:hAnsiTheme="majorBidi" w:cstheme="majorBidi"/>
          <w:sz w:val="24"/>
          <w:szCs w:val="24"/>
        </w:rPr>
        <w:t xml:space="preserve"> AEL, Al </w:t>
      </w:r>
      <w:proofErr w:type="spellStart"/>
      <w:r w:rsidRPr="00E94FCD">
        <w:rPr>
          <w:rFonts w:asciiTheme="majorBidi" w:hAnsiTheme="majorBidi" w:cstheme="majorBidi"/>
          <w:sz w:val="24"/>
          <w:szCs w:val="24"/>
        </w:rPr>
        <w:t>Lawati</w:t>
      </w:r>
      <w:proofErr w:type="spellEnd"/>
      <w:r w:rsidRPr="00E94FCD">
        <w:rPr>
          <w:rFonts w:asciiTheme="majorBidi" w:hAnsiTheme="majorBidi" w:cstheme="majorBidi"/>
          <w:sz w:val="24"/>
          <w:szCs w:val="24"/>
        </w:rPr>
        <w:t xml:space="preserve"> N, et al. The current and future cancer burden in the Gulf Cooperation Council (GCC) countries. Cancer Med. 2024;13(17</w:t>
      </w:r>
      <w:proofErr w:type="gramStart"/>
      <w:r w:rsidRPr="00E94FCD">
        <w:rPr>
          <w:rFonts w:asciiTheme="majorBidi" w:hAnsiTheme="majorBidi" w:cstheme="majorBidi"/>
          <w:sz w:val="24"/>
          <w:szCs w:val="24"/>
        </w:rPr>
        <w:t>):e</w:t>
      </w:r>
      <w:proofErr w:type="gramEnd"/>
      <w:r w:rsidRPr="00E94FCD">
        <w:rPr>
          <w:rFonts w:asciiTheme="majorBidi" w:hAnsiTheme="majorBidi" w:cstheme="majorBidi"/>
          <w:sz w:val="24"/>
          <w:szCs w:val="24"/>
        </w:rPr>
        <w:t>70141.</w:t>
      </w:r>
    </w:p>
    <w:p w14:paraId="21C22ECE" w14:textId="1C1535F9" w:rsidR="00C673DE" w:rsidRDefault="00C673DE" w:rsidP="00C673DE">
      <w:pPr>
        <w:numPr>
          <w:ilvl w:val="0"/>
          <w:numId w:val="6"/>
        </w:numPr>
        <w:spacing w:line="360" w:lineRule="auto"/>
        <w:rPr>
          <w:rFonts w:asciiTheme="majorBidi" w:hAnsiTheme="majorBidi" w:cstheme="majorBidi"/>
          <w:sz w:val="24"/>
          <w:szCs w:val="24"/>
        </w:rPr>
      </w:pPr>
      <w:r w:rsidRPr="00C673DE">
        <w:rPr>
          <w:rFonts w:asciiTheme="majorBidi" w:hAnsiTheme="majorBidi" w:cstheme="majorBidi"/>
          <w:b/>
          <w:bCs/>
          <w:sz w:val="24"/>
          <w:szCs w:val="24"/>
        </w:rPr>
        <w:t>Hamid GA.</w:t>
      </w:r>
      <w:r w:rsidRPr="00C673DE">
        <w:rPr>
          <w:rFonts w:asciiTheme="majorBidi" w:hAnsiTheme="majorBidi" w:cstheme="majorBidi"/>
          <w:sz w:val="24"/>
          <w:szCs w:val="24"/>
        </w:rPr>
        <w:t> The Pattern of Hematological Malignancies at Al-</w:t>
      </w:r>
      <w:proofErr w:type="spellStart"/>
      <w:r w:rsidRPr="00C673DE">
        <w:rPr>
          <w:rFonts w:asciiTheme="majorBidi" w:hAnsiTheme="majorBidi" w:cstheme="majorBidi"/>
          <w:sz w:val="24"/>
          <w:szCs w:val="24"/>
        </w:rPr>
        <w:t>Gambouria</w:t>
      </w:r>
      <w:proofErr w:type="spellEnd"/>
      <w:r w:rsidRPr="00C673DE">
        <w:rPr>
          <w:rFonts w:asciiTheme="majorBidi" w:hAnsiTheme="majorBidi" w:cstheme="majorBidi"/>
          <w:sz w:val="24"/>
          <w:szCs w:val="24"/>
        </w:rPr>
        <w:t xml:space="preserve"> Teaching Hospital, Aden, Yemen, from 2008 to 2010. Turk J Hematol. 2012;29(4):342-</w:t>
      </w:r>
      <w:r>
        <w:rPr>
          <w:rFonts w:asciiTheme="majorBidi" w:hAnsiTheme="majorBidi" w:cstheme="majorBidi"/>
          <w:sz w:val="24"/>
          <w:szCs w:val="24"/>
        </w:rPr>
        <w:t>347</w:t>
      </w:r>
    </w:p>
    <w:p w14:paraId="1A80EF35" w14:textId="78B6B744" w:rsidR="00C673DE" w:rsidRPr="00E94FCD" w:rsidRDefault="00C673DE" w:rsidP="00C673DE">
      <w:pPr>
        <w:numPr>
          <w:ilvl w:val="0"/>
          <w:numId w:val="6"/>
        </w:numPr>
        <w:spacing w:line="360" w:lineRule="auto"/>
        <w:rPr>
          <w:rFonts w:asciiTheme="majorBidi" w:hAnsiTheme="majorBidi" w:cstheme="majorBidi"/>
          <w:sz w:val="24"/>
          <w:szCs w:val="24"/>
        </w:rPr>
      </w:pPr>
      <w:bookmarkStart w:id="2" w:name="_Hlk219128266"/>
      <w:r w:rsidRPr="00D14867">
        <w:rPr>
          <w:rFonts w:asciiTheme="majorBidi" w:hAnsiTheme="majorBidi" w:cstheme="majorBidi"/>
          <w:b/>
          <w:bCs/>
          <w:sz w:val="24"/>
          <w:szCs w:val="24"/>
          <w:lang w:val="nl-BE"/>
        </w:rPr>
        <w:t>Jawass MA</w:t>
      </w:r>
      <w:bookmarkEnd w:id="2"/>
      <w:r w:rsidRPr="00D14867">
        <w:rPr>
          <w:rFonts w:asciiTheme="majorBidi" w:hAnsiTheme="majorBidi" w:cstheme="majorBidi"/>
          <w:b/>
          <w:bCs/>
          <w:sz w:val="24"/>
          <w:szCs w:val="24"/>
          <w:lang w:val="nl-BE"/>
        </w:rPr>
        <w:t>, Bahwal SA, Bin Gouth HS, Al-Nakhibi NA, Al-Ezzi JI.</w:t>
      </w:r>
      <w:r w:rsidRPr="00D14867">
        <w:rPr>
          <w:rFonts w:asciiTheme="majorBidi" w:hAnsiTheme="majorBidi" w:cstheme="majorBidi"/>
          <w:sz w:val="24"/>
          <w:szCs w:val="24"/>
          <w:lang w:val="nl-BE"/>
        </w:rPr>
        <w:t> </w:t>
      </w:r>
      <w:r w:rsidRPr="00C673DE">
        <w:rPr>
          <w:rFonts w:asciiTheme="majorBidi" w:hAnsiTheme="majorBidi" w:cstheme="majorBidi"/>
          <w:sz w:val="24"/>
          <w:szCs w:val="24"/>
        </w:rPr>
        <w:t>Pattern of New-Onset Pancytopenia Among Yemeni Children Aged 2 Months to 15 Years. Assiut Medical Journal. 2016;40(1):103-112.</w:t>
      </w:r>
    </w:p>
    <w:p w14:paraId="4D68413C" w14:textId="77777777" w:rsidR="00E94FCD" w:rsidRPr="00E94FCD" w:rsidRDefault="00E94FCD" w:rsidP="002816C0">
      <w:pPr>
        <w:numPr>
          <w:ilvl w:val="0"/>
          <w:numId w:val="6"/>
        </w:numPr>
        <w:spacing w:line="360" w:lineRule="auto"/>
        <w:rPr>
          <w:rFonts w:asciiTheme="majorBidi" w:hAnsiTheme="majorBidi" w:cstheme="majorBidi"/>
          <w:sz w:val="24"/>
          <w:szCs w:val="24"/>
        </w:rPr>
      </w:pPr>
      <w:proofErr w:type="spellStart"/>
      <w:r w:rsidRPr="00E94FCD">
        <w:rPr>
          <w:rFonts w:asciiTheme="majorBidi" w:hAnsiTheme="majorBidi" w:cstheme="majorBidi"/>
          <w:sz w:val="24"/>
          <w:szCs w:val="24"/>
        </w:rPr>
        <w:t>Khunger</w:t>
      </w:r>
      <w:proofErr w:type="spellEnd"/>
      <w:r w:rsidRPr="00E94FCD">
        <w:rPr>
          <w:rFonts w:asciiTheme="majorBidi" w:hAnsiTheme="majorBidi" w:cstheme="majorBidi"/>
          <w:sz w:val="24"/>
          <w:szCs w:val="24"/>
        </w:rPr>
        <w:t xml:space="preserve"> JM, </w:t>
      </w:r>
      <w:proofErr w:type="spellStart"/>
      <w:r w:rsidRPr="00E94FCD">
        <w:rPr>
          <w:rFonts w:asciiTheme="majorBidi" w:hAnsiTheme="majorBidi" w:cstheme="majorBidi"/>
          <w:sz w:val="24"/>
          <w:szCs w:val="24"/>
        </w:rPr>
        <w:t>Arulselvi</w:t>
      </w:r>
      <w:proofErr w:type="spellEnd"/>
      <w:r w:rsidRPr="00E94FCD">
        <w:rPr>
          <w:rFonts w:asciiTheme="majorBidi" w:hAnsiTheme="majorBidi" w:cstheme="majorBidi"/>
          <w:sz w:val="24"/>
          <w:szCs w:val="24"/>
        </w:rPr>
        <w:t xml:space="preserve"> S, Sharma U, Ranga S, Talib VH. Pancytopenia a </w:t>
      </w:r>
      <w:proofErr w:type="spellStart"/>
      <w:r w:rsidRPr="00E94FCD">
        <w:rPr>
          <w:rFonts w:asciiTheme="majorBidi" w:hAnsiTheme="majorBidi" w:cstheme="majorBidi"/>
          <w:sz w:val="24"/>
          <w:szCs w:val="24"/>
        </w:rPr>
        <w:t>clinicohaematological</w:t>
      </w:r>
      <w:proofErr w:type="spellEnd"/>
      <w:r w:rsidRPr="00E94FCD">
        <w:rPr>
          <w:rFonts w:asciiTheme="majorBidi" w:hAnsiTheme="majorBidi" w:cstheme="majorBidi"/>
          <w:sz w:val="24"/>
          <w:szCs w:val="24"/>
        </w:rPr>
        <w:t xml:space="preserve"> study of 200 cases. Indian J </w:t>
      </w:r>
      <w:proofErr w:type="spellStart"/>
      <w:r w:rsidRPr="00E94FCD">
        <w:rPr>
          <w:rFonts w:asciiTheme="majorBidi" w:hAnsiTheme="majorBidi" w:cstheme="majorBidi"/>
          <w:sz w:val="24"/>
          <w:szCs w:val="24"/>
        </w:rPr>
        <w:t>Pathol</w:t>
      </w:r>
      <w:proofErr w:type="spellEnd"/>
      <w:r w:rsidRPr="00E94FCD">
        <w:rPr>
          <w:rFonts w:asciiTheme="majorBidi" w:hAnsiTheme="majorBidi" w:cstheme="majorBidi"/>
          <w:sz w:val="24"/>
          <w:szCs w:val="24"/>
        </w:rPr>
        <w:t xml:space="preserve"> Microbiol. 2002;45(3):375-9.</w:t>
      </w:r>
    </w:p>
    <w:p w14:paraId="339B705E" w14:textId="77777777" w:rsidR="00E94FCD" w:rsidRPr="00E94FCD" w:rsidRDefault="00E94FCD" w:rsidP="002816C0">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Tilak V, Jain R. Pancytopenia: a </w:t>
      </w:r>
      <w:proofErr w:type="spellStart"/>
      <w:r w:rsidRPr="00E94FCD">
        <w:rPr>
          <w:rFonts w:asciiTheme="majorBidi" w:hAnsiTheme="majorBidi" w:cstheme="majorBidi"/>
          <w:sz w:val="24"/>
          <w:szCs w:val="24"/>
        </w:rPr>
        <w:t>clinico</w:t>
      </w:r>
      <w:proofErr w:type="spellEnd"/>
      <w:r w:rsidRPr="00E94FCD">
        <w:rPr>
          <w:rFonts w:asciiTheme="majorBidi" w:hAnsiTheme="majorBidi" w:cstheme="majorBidi"/>
          <w:sz w:val="24"/>
          <w:szCs w:val="24"/>
        </w:rPr>
        <w:t xml:space="preserve">-hematologic analysis of 77 cases. Indian J </w:t>
      </w:r>
      <w:proofErr w:type="spellStart"/>
      <w:r w:rsidRPr="00E94FCD">
        <w:rPr>
          <w:rFonts w:asciiTheme="majorBidi" w:hAnsiTheme="majorBidi" w:cstheme="majorBidi"/>
          <w:sz w:val="24"/>
          <w:szCs w:val="24"/>
        </w:rPr>
        <w:t>Pathol</w:t>
      </w:r>
      <w:proofErr w:type="spellEnd"/>
      <w:r w:rsidRPr="00E94FCD">
        <w:rPr>
          <w:rFonts w:asciiTheme="majorBidi" w:hAnsiTheme="majorBidi" w:cstheme="majorBidi"/>
          <w:sz w:val="24"/>
          <w:szCs w:val="24"/>
        </w:rPr>
        <w:t>. 1999;42(4):399-404.</w:t>
      </w:r>
    </w:p>
    <w:p w14:paraId="5623CD23" w14:textId="77777777" w:rsidR="00617516" w:rsidRPr="00617516" w:rsidRDefault="00617516" w:rsidP="00617516">
      <w:pPr>
        <w:numPr>
          <w:ilvl w:val="0"/>
          <w:numId w:val="6"/>
        </w:numPr>
        <w:spacing w:line="360" w:lineRule="auto"/>
        <w:rPr>
          <w:rFonts w:asciiTheme="majorBidi" w:hAnsiTheme="majorBidi" w:cstheme="majorBidi"/>
          <w:color w:val="000000" w:themeColor="text1"/>
          <w:sz w:val="24"/>
          <w:szCs w:val="24"/>
        </w:rPr>
      </w:pPr>
      <w:r w:rsidRPr="00D14867">
        <w:rPr>
          <w:rFonts w:asciiTheme="majorBidi" w:hAnsiTheme="majorBidi" w:cstheme="majorBidi"/>
          <w:color w:val="000000" w:themeColor="text1"/>
          <w:sz w:val="24"/>
          <w:szCs w:val="24"/>
          <w:lang w:val="nl-BE"/>
        </w:rPr>
        <w:t xml:space="preserve">Jawed M, Paswan M K, Mahto S, et al. </w:t>
      </w:r>
      <w:r w:rsidRPr="00617516">
        <w:rPr>
          <w:rFonts w:asciiTheme="majorBidi" w:hAnsiTheme="majorBidi" w:cstheme="majorBidi"/>
          <w:color w:val="000000" w:themeColor="text1"/>
          <w:sz w:val="24"/>
          <w:szCs w:val="24"/>
        </w:rPr>
        <w:t xml:space="preserve">(June 19, 2024) An Extensive Analysis and Comparison of Bone Marrow Aspiration and Bone Marrow Trephine Biopsy at a Tertiary Care Hospital in Jharkhand for Various Hematological and Non-hematological Illnesses. </w:t>
      </w:r>
      <w:proofErr w:type="spellStart"/>
      <w:r w:rsidRPr="00617516">
        <w:rPr>
          <w:rFonts w:asciiTheme="majorBidi" w:hAnsiTheme="majorBidi" w:cstheme="majorBidi"/>
          <w:color w:val="000000" w:themeColor="text1"/>
          <w:sz w:val="24"/>
          <w:szCs w:val="24"/>
        </w:rPr>
        <w:t>Cureus</w:t>
      </w:r>
      <w:proofErr w:type="spellEnd"/>
      <w:r w:rsidRPr="00617516">
        <w:rPr>
          <w:rFonts w:asciiTheme="majorBidi" w:hAnsiTheme="majorBidi" w:cstheme="majorBidi"/>
          <w:color w:val="000000" w:themeColor="text1"/>
          <w:sz w:val="24"/>
          <w:szCs w:val="24"/>
        </w:rPr>
        <w:t xml:space="preserve"> 16(6): e62661. DOI 10.7759/cureus.62661</w:t>
      </w:r>
    </w:p>
    <w:p w14:paraId="46EEE416" w14:textId="132D9117" w:rsidR="00E94FCD" w:rsidRPr="00E94FCD" w:rsidRDefault="00E94FCD" w:rsidP="00617516">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 xml:space="preserve">Yadav BS, Varma A, </w:t>
      </w:r>
      <w:proofErr w:type="spellStart"/>
      <w:r w:rsidRPr="00E94FCD">
        <w:rPr>
          <w:rFonts w:asciiTheme="majorBidi" w:hAnsiTheme="majorBidi" w:cstheme="majorBidi"/>
          <w:sz w:val="24"/>
          <w:szCs w:val="24"/>
        </w:rPr>
        <w:t>Kiyawat</w:t>
      </w:r>
      <w:proofErr w:type="spellEnd"/>
      <w:r w:rsidRPr="00E94FCD">
        <w:rPr>
          <w:rFonts w:asciiTheme="majorBidi" w:hAnsiTheme="majorBidi" w:cstheme="majorBidi"/>
          <w:sz w:val="24"/>
          <w:szCs w:val="24"/>
        </w:rPr>
        <w:t xml:space="preserve"> P. Clinical profile of pancytopenia: a tertiary care experience. Int J Bioassays. 2014;4(1):3673-7.</w:t>
      </w:r>
    </w:p>
    <w:p w14:paraId="3644BE69" w14:textId="77777777" w:rsidR="00EA66ED" w:rsidRPr="00E94FCD" w:rsidRDefault="00EA66ED" w:rsidP="00EA66ED">
      <w:pPr>
        <w:numPr>
          <w:ilvl w:val="0"/>
          <w:numId w:val="6"/>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i">
            <w:drawing>
              <wp:anchor distT="0" distB="0" distL="114300" distR="114300" simplePos="0" relativeHeight="251712512" behindDoc="0" locked="0" layoutInCell="1" allowOverlap="1" wp14:anchorId="064991CC" wp14:editId="4F6AF5CE">
                <wp:simplePos x="0" y="0"/>
                <wp:positionH relativeFrom="column">
                  <wp:posOffset>-994186</wp:posOffset>
                </wp:positionH>
                <wp:positionV relativeFrom="paragraph">
                  <wp:posOffset>-459</wp:posOffset>
                </wp:positionV>
                <wp:extent cx="2160" cy="117720"/>
                <wp:effectExtent l="38100" t="38100" r="36195" b="34925"/>
                <wp:wrapNone/>
                <wp:docPr id="1985171680" name="Ink 3"/>
                <wp:cNvGraphicFramePr/>
                <a:graphic xmlns:a="http://schemas.openxmlformats.org/drawingml/2006/main">
                  <a:graphicData uri="http://schemas.microsoft.com/office/word/2010/wordprocessingInk">
                    <w14:contentPart bwMode="auto" r:id="rId68">
                      <w14:nvContentPartPr>
                        <w14:cNvContentPartPr/>
                      </w14:nvContentPartPr>
                      <w14:xfrm>
                        <a:off x="0" y="0"/>
                        <a:ext cx="2160" cy="1177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BF187D" id="Ink 3" o:spid="_x0000_s1026" type="#_x0000_t75" style="position:absolute;margin-left:-78.65pt;margin-top:-.4pt;width:.85pt;height:9.9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">
                <v:imagedata r:id="rId69"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711488" behindDoc="0" locked="0" layoutInCell="1" allowOverlap="1" wp14:anchorId="5564D09A" wp14:editId="17A38BF3">
                <wp:simplePos x="0" y="0"/>
                <wp:positionH relativeFrom="column">
                  <wp:posOffset>-1024066</wp:posOffset>
                </wp:positionH>
                <wp:positionV relativeFrom="paragraph">
                  <wp:posOffset>223101</wp:posOffset>
                </wp:positionV>
                <wp:extent cx="360" cy="360"/>
                <wp:effectExtent l="38100" t="38100" r="38100" b="38100"/>
                <wp:wrapNone/>
                <wp:docPr id="1608115535" name="Ink 2"/>
                <wp:cNvGraphicFramePr/>
                <a:graphic xmlns:a="http://schemas.openxmlformats.org/drawingml/2006/main">
                  <a:graphicData uri="http://schemas.microsoft.com/office/word/2010/wordprocessingInk">
                    <w14:contentPart bwMode="auto" r:id="rId70">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A9913C" id="Ink 2" o:spid="_x0000_s1026" type="#_x0000_t75" style="position:absolute;margin-left:-81pt;margin-top:17.2pt;width:.75pt;height:.7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">
                <v:imagedata r:id="rId59"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710464" behindDoc="0" locked="0" layoutInCell="1" allowOverlap="1" wp14:anchorId="783CA13F" wp14:editId="4902E206">
                <wp:simplePos x="0" y="0"/>
                <wp:positionH relativeFrom="column">
                  <wp:posOffset>-1043146</wp:posOffset>
                </wp:positionH>
                <wp:positionV relativeFrom="paragraph">
                  <wp:posOffset>275301</wp:posOffset>
                </wp:positionV>
                <wp:extent cx="60840" cy="554760"/>
                <wp:effectExtent l="57150" t="38100" r="53975" b="55245"/>
                <wp:wrapNone/>
                <wp:docPr id="1124074803" name="Ink 1"/>
                <wp:cNvGraphicFramePr/>
                <a:graphic xmlns:a="http://schemas.openxmlformats.org/drawingml/2006/main">
                  <a:graphicData uri="http://schemas.microsoft.com/office/word/2010/wordprocessingInk">
                    <w14:contentPart bwMode="auto" r:id="rId71">
                      <w14:nvContentPartPr>
                        <w14:cNvContentPartPr/>
                      </w14:nvContentPartPr>
                      <w14:xfrm>
                        <a:off x="0" y="0"/>
                        <a:ext cx="60840" cy="5547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244FC2" id="Ink 1" o:spid="_x0000_s1026" type="#_x0000_t75" style="position:absolute;margin-left:-82.85pt;margin-top:21.05pt;width:6.15pt;height:45.0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">
                <v:imagedata r:id="rId72" o:title=""/>
              </v:shape>
            </w:pict>
          </mc:Fallback>
        </mc:AlternateContent>
      </w:r>
      <w:r w:rsidRPr="00E94FCD">
        <w:rPr>
          <w:rFonts w:asciiTheme="majorBidi" w:hAnsiTheme="majorBidi" w:cstheme="majorBidi"/>
          <w:sz w:val="24"/>
          <w:szCs w:val="24"/>
        </w:rPr>
        <w:t xml:space="preserve">Aqil B, </w:t>
      </w:r>
      <w:proofErr w:type="spellStart"/>
      <w:r w:rsidRPr="00E94FCD">
        <w:rPr>
          <w:rFonts w:asciiTheme="majorBidi" w:hAnsiTheme="majorBidi" w:cstheme="majorBidi"/>
          <w:sz w:val="24"/>
          <w:szCs w:val="24"/>
        </w:rPr>
        <w:t>Orazi</w:t>
      </w:r>
      <w:proofErr w:type="spellEnd"/>
      <w:r w:rsidRPr="00E94FCD">
        <w:rPr>
          <w:rFonts w:asciiTheme="majorBidi" w:hAnsiTheme="majorBidi" w:cstheme="majorBidi"/>
          <w:sz w:val="24"/>
          <w:szCs w:val="24"/>
        </w:rPr>
        <w:t xml:space="preserve"> A, </w:t>
      </w:r>
      <w:proofErr w:type="spellStart"/>
      <w:r w:rsidRPr="00E94FCD">
        <w:rPr>
          <w:rFonts w:asciiTheme="majorBidi" w:hAnsiTheme="majorBidi" w:cstheme="majorBidi"/>
          <w:sz w:val="24"/>
          <w:szCs w:val="24"/>
        </w:rPr>
        <w:t>Hasserjian</w:t>
      </w:r>
      <w:proofErr w:type="spellEnd"/>
      <w:r w:rsidRPr="00E94FCD">
        <w:rPr>
          <w:rFonts w:asciiTheme="majorBidi" w:hAnsiTheme="majorBidi" w:cstheme="majorBidi"/>
          <w:sz w:val="24"/>
          <w:szCs w:val="24"/>
        </w:rPr>
        <w:t xml:space="preserve"> RP. What's new in hematopathology 2025: myeloid neoplasms and acute leukemias. J Hematol. 2025;14(1):1-10.</w:t>
      </w:r>
    </w:p>
    <w:p w14:paraId="655DE24F" w14:textId="0ED907C4" w:rsidR="00CD318D" w:rsidRDefault="00617516" w:rsidP="00CD318D">
      <w:pPr>
        <w:numPr>
          <w:ilvl w:val="0"/>
          <w:numId w:val="6"/>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i">
            <w:drawing>
              <wp:anchor distT="0" distB="0" distL="114300" distR="114300" simplePos="0" relativeHeight="251663360" behindDoc="0" locked="0" layoutInCell="1" allowOverlap="1" wp14:anchorId="370BA1E0" wp14:editId="0D30286B">
                <wp:simplePos x="0" y="0"/>
                <wp:positionH relativeFrom="column">
                  <wp:posOffset>-993106</wp:posOffset>
                </wp:positionH>
                <wp:positionV relativeFrom="paragraph">
                  <wp:posOffset>834011</wp:posOffset>
                </wp:positionV>
                <wp:extent cx="360" cy="360"/>
                <wp:effectExtent l="38100" t="38100" r="38100" b="38100"/>
                <wp:wrapNone/>
                <wp:docPr id="1942414612" name="Ink 5"/>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9850E4" id="Ink 5" o:spid="_x0000_s1026" type="#_x0000_t75" style="position:absolute;margin-left:-78.55pt;margin-top:65.3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">
                <v:imagedata r:id="rId59" o:title=""/>
              </v:shape>
            </w:pict>
          </mc:Fallback>
        </mc:AlternateContent>
      </w:r>
      <w:r>
        <w:rPr>
          <w:rFonts w:asciiTheme="majorBidi" w:hAnsiTheme="majorBidi" w:cstheme="majorBidi"/>
          <w:noProof/>
          <w:sz w:val="24"/>
          <w:szCs w:val="24"/>
        </w:rPr>
        <mc:AlternateContent>
          <mc:Choice Requires="wpi">
            <w:drawing>
              <wp:anchor distT="0" distB="0" distL="114300" distR="114300" simplePos="0" relativeHeight="251662336" behindDoc="0" locked="0" layoutInCell="1" allowOverlap="1" wp14:anchorId="433BDAA2" wp14:editId="061F6449">
                <wp:simplePos x="0" y="0"/>
                <wp:positionH relativeFrom="column">
                  <wp:posOffset>-993106</wp:posOffset>
                </wp:positionH>
                <wp:positionV relativeFrom="paragraph">
                  <wp:posOffset>840851</wp:posOffset>
                </wp:positionV>
                <wp:extent cx="360" cy="360"/>
                <wp:effectExtent l="38100" t="38100" r="38100" b="38100"/>
                <wp:wrapNone/>
                <wp:docPr id="1837090197" name="Ink 4"/>
                <wp:cNvGraphicFramePr/>
                <a:graphic xmlns:a="http://schemas.openxmlformats.org/drawingml/2006/main">
                  <a:graphicData uri="http://schemas.microsoft.com/office/word/2010/wordprocessingInk">
                    <w14:contentPart bwMode="auto" r:id="rId74">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2FD84B" id="Ink 4" o:spid="_x0000_s1026" type="#_x0000_t75" style="position:absolute;margin-left:-78.55pt;margin-top:65.85pt;width:.75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CKyhFJ8wEAAI8FAAAQAAAAAAAAAAAAAAAAANMDAABkcnMvaW5rL2luazEu&#10;eG1sUEsBAi0AFAAGAAgAAAAhAMCy39vgAAAADQEAAA8AAAAAAAAAAAAAAAAA9AUAAGRycy9kb3du&#10;cmV2LnhtbFBLAQItABQABgAIAAAAIQB5GLydvwAAACEBAAAZAAAAAAAAAAAAAAAAAAEHAABkcnMv&#10;X3JlbHMvZTJvRG9jLnhtbC5yZWxzUEsFBgAAAAAGAAYAeAEAAPcHAAAAAA==&#10;">
                <v:imagedata r:id="rId59" o:title=""/>
              </v:shape>
            </w:pict>
          </mc:Fallback>
        </mc:AlternateContent>
      </w:r>
      <w:r w:rsidR="00CD318D" w:rsidRPr="00CD318D">
        <w:rPr>
          <w:rFonts w:asciiTheme="majorBidi" w:hAnsiTheme="majorBidi" w:cstheme="majorBidi"/>
          <w:sz w:val="24"/>
          <w:szCs w:val="24"/>
        </w:rPr>
        <w:t>Gamal Abdul Hamid, and Rasha Yassin Abbas. 2022. “Clinical Profile of Multiple Myeloma in National Oncology Center, Aden, Yemen”. </w:t>
      </w:r>
      <w:r w:rsidR="00CD318D" w:rsidRPr="00CD318D">
        <w:rPr>
          <w:rFonts w:asciiTheme="majorBidi" w:hAnsiTheme="majorBidi" w:cstheme="majorBidi"/>
          <w:i/>
          <w:iCs/>
          <w:sz w:val="24"/>
          <w:szCs w:val="24"/>
        </w:rPr>
        <w:t>Asian Hematology Research Journal</w:t>
      </w:r>
      <w:r w:rsidR="00CD318D" w:rsidRPr="00CD318D">
        <w:rPr>
          <w:rFonts w:asciiTheme="majorBidi" w:hAnsiTheme="majorBidi" w:cstheme="majorBidi"/>
          <w:sz w:val="24"/>
          <w:szCs w:val="24"/>
        </w:rPr>
        <w:t xml:space="preserve"> 6 (3):129–142. </w:t>
      </w:r>
      <w:hyperlink r:id="rId75" w:history="1">
        <w:r w:rsidR="00CD318D" w:rsidRPr="00D410AD">
          <w:rPr>
            <w:rStyle w:val="Hyperlink"/>
            <w:rFonts w:asciiTheme="majorBidi" w:hAnsiTheme="majorBidi" w:cstheme="majorBidi"/>
            <w:sz w:val="24"/>
            <w:szCs w:val="24"/>
          </w:rPr>
          <w:t>https://journalahrj.com/index.php/AHRJ/article/view/144</w:t>
        </w:r>
      </w:hyperlink>
      <w:r w:rsidR="00CD318D" w:rsidRPr="00CD318D">
        <w:rPr>
          <w:rFonts w:asciiTheme="majorBidi" w:hAnsiTheme="majorBidi" w:cstheme="majorBidi"/>
          <w:sz w:val="24"/>
          <w:szCs w:val="24"/>
        </w:rPr>
        <w:t>.</w:t>
      </w:r>
    </w:p>
    <w:p w14:paraId="19D6135D" w14:textId="66292B1D" w:rsidR="00E94FCD" w:rsidRPr="00E94FCD" w:rsidRDefault="00E94FCD" w:rsidP="002816C0">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Agarwal R, Bharat V, Gupta BK, Jain S, Ansal R, Choudhary A, et al. Clinical and hematological profile of pancytopenia. Int J Clin </w:t>
      </w:r>
      <w:proofErr w:type="spellStart"/>
      <w:r w:rsidRPr="00E94FCD">
        <w:rPr>
          <w:rFonts w:asciiTheme="majorBidi" w:hAnsiTheme="majorBidi" w:cstheme="majorBidi"/>
          <w:sz w:val="24"/>
          <w:szCs w:val="24"/>
        </w:rPr>
        <w:t>Biochem</w:t>
      </w:r>
      <w:proofErr w:type="spellEnd"/>
      <w:r w:rsidRPr="00E94FCD">
        <w:rPr>
          <w:rFonts w:asciiTheme="majorBidi" w:hAnsiTheme="majorBidi" w:cstheme="majorBidi"/>
          <w:sz w:val="24"/>
          <w:szCs w:val="24"/>
        </w:rPr>
        <w:t xml:space="preserve"> Res. 2015;2(1):48-53.</w:t>
      </w:r>
    </w:p>
    <w:p w14:paraId="32278C37" w14:textId="6D03F3C1" w:rsidR="00E94FCD" w:rsidRPr="00FC6FF4" w:rsidRDefault="00FC6FF4" w:rsidP="00FC6FF4">
      <w:pPr>
        <w:pStyle w:val="ListParagraph"/>
        <w:numPr>
          <w:ilvl w:val="0"/>
          <w:numId w:val="6"/>
        </w:numPr>
        <w:spacing w:after="0" w:line="360" w:lineRule="auto"/>
        <w:rPr>
          <w:rFonts w:asciiTheme="majorBidi" w:hAnsiTheme="majorBidi" w:cstheme="majorBidi"/>
          <w:sz w:val="24"/>
          <w:szCs w:val="24"/>
        </w:rPr>
      </w:pPr>
      <w:r w:rsidRPr="00FC6FF4">
        <w:rPr>
          <w:rFonts w:ascii="TimesNewRomanPSMT_1-" w:eastAsia="Times New Roman" w:hAnsi="TimesNewRomanPSMT_1-" w:cs="Times New Roman"/>
          <w:color w:val="231F20"/>
          <w:spacing w:val="-1"/>
          <w:kern w:val="0"/>
          <w:sz w:val="20"/>
          <w:szCs w:val="20"/>
          <w:shd w:val="clear" w:color="auto" w:fill="FFFFFF"/>
          <w14:ligatures w14:val="none"/>
        </w:rPr>
        <w:t xml:space="preserve"> </w:t>
      </w:r>
      <w:r w:rsidRPr="00FC6FF4">
        <w:rPr>
          <w:rFonts w:ascii="TimesNewRomanPSMT_1-" w:eastAsia="Times New Roman" w:hAnsi="TimesNewRomanPSMT_1-" w:cs="Times New Roman"/>
          <w:color w:val="231F20"/>
          <w:spacing w:val="-1"/>
          <w:kern w:val="0"/>
          <w:sz w:val="24"/>
          <w:szCs w:val="24"/>
          <w:shd w:val="clear" w:color="auto" w:fill="FFFFFF"/>
          <w14:ligatures w14:val="none"/>
        </w:rPr>
        <w:t xml:space="preserve">N. Dubey, </w:t>
      </w:r>
      <w:proofErr w:type="spellStart"/>
      <w:r w:rsidRPr="00FC6FF4">
        <w:rPr>
          <w:rFonts w:ascii="TimesNewRomanPSMT_1-" w:eastAsia="Times New Roman" w:hAnsi="TimesNewRomanPSMT_1-" w:cs="Times New Roman"/>
          <w:color w:val="231F20"/>
          <w:spacing w:val="-1"/>
          <w:kern w:val="0"/>
          <w:sz w:val="24"/>
          <w:szCs w:val="24"/>
          <w:shd w:val="clear" w:color="auto" w:fill="FFFFFF"/>
          <w14:ligatures w14:val="none"/>
        </w:rPr>
        <w:t>Preeti</w:t>
      </w:r>
      <w:proofErr w:type="spellEnd"/>
      <w:r w:rsidRPr="00FC6FF4">
        <w:rPr>
          <w:rFonts w:ascii="TimesNewRomanPSMT_1-" w:eastAsia="Times New Roman" w:hAnsi="TimesNewRomanPSMT_1-" w:cs="Times New Roman"/>
          <w:color w:val="231F20"/>
          <w:spacing w:val="-1"/>
          <w:kern w:val="0"/>
          <w:sz w:val="24"/>
          <w:szCs w:val="24"/>
          <w:shd w:val="clear" w:color="auto" w:fill="FFFFFF"/>
          <w14:ligatures w14:val="none"/>
        </w:rPr>
        <w:t xml:space="preserve"> </w:t>
      </w:r>
      <w:proofErr w:type="spellStart"/>
      <w:r w:rsidRPr="00FC6FF4">
        <w:rPr>
          <w:rFonts w:ascii="TimesNewRomanPSMT_1-" w:eastAsia="Times New Roman" w:hAnsi="TimesNewRomanPSMT_1-" w:cs="Times New Roman"/>
          <w:color w:val="231F20"/>
          <w:spacing w:val="-1"/>
          <w:kern w:val="0"/>
          <w:sz w:val="24"/>
          <w:szCs w:val="24"/>
          <w:shd w:val="clear" w:color="auto" w:fill="FFFFFF"/>
          <w14:ligatures w14:val="none"/>
        </w:rPr>
        <w:t>Nigotia</w:t>
      </w:r>
      <w:proofErr w:type="spellEnd"/>
      <w:r w:rsidRPr="00FC6FF4">
        <w:rPr>
          <w:rFonts w:ascii="TimesNewRomanPSMT_1-" w:eastAsia="Times New Roman" w:hAnsi="TimesNewRomanPSMT_1-" w:cs="Times New Roman"/>
          <w:color w:val="231F20"/>
          <w:spacing w:val="-1"/>
          <w:kern w:val="0"/>
          <w:sz w:val="24"/>
          <w:szCs w:val="24"/>
          <w:shd w:val="clear" w:color="auto" w:fill="FFFFFF"/>
          <w14:ligatures w14:val="none"/>
        </w:rPr>
        <w:t xml:space="preserve">, Rita Saxena. </w:t>
      </w:r>
      <w:r w:rsidRPr="00FC6FF4">
        <w:rPr>
          <w:rFonts w:ascii="TimesNewRomanPSMT_1-" w:eastAsia="Times New Roman" w:hAnsi="TimesNewRomanPSMT_1-" w:cs="Times New Roman"/>
          <w:color w:val="231F20"/>
          <w:kern w:val="0"/>
          <w:sz w:val="24"/>
          <w:szCs w:val="24"/>
          <w:shd w:val="clear" w:color="auto" w:fill="FFFFFF"/>
          <w14:ligatures w14:val="none"/>
        </w:rPr>
        <w:t xml:space="preserve">The common causes leading to pancytopenia in patients presenting in </w:t>
      </w:r>
      <w:r w:rsidRPr="00FC6FF4">
        <w:rPr>
          <w:rFonts w:ascii="TimesNewRomanPSMT_1-" w:eastAsia="Times New Roman" w:hAnsi="TimesNewRomanPSMT_1-" w:cs="Times New Roman"/>
          <w:color w:val="231F20"/>
          <w:spacing w:val="-1"/>
          <w:kern w:val="0"/>
          <w:sz w:val="24"/>
          <w:szCs w:val="24"/>
          <w:shd w:val="clear" w:color="auto" w:fill="FFFFFF"/>
          <w14:ligatures w14:val="none"/>
        </w:rPr>
        <w:t>hospital of central India. International Journal of Contemporary Medical Research 2016;3(10):3027-3030</w:t>
      </w:r>
    </w:p>
    <w:sectPr w:rsidR="00E94FCD" w:rsidRPr="00FC6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_1-">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2E8F"/>
    <w:multiLevelType w:val="multilevel"/>
    <w:tmpl w:val="A5F8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C570A"/>
    <w:multiLevelType w:val="multilevel"/>
    <w:tmpl w:val="B1C0A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45426"/>
    <w:multiLevelType w:val="multilevel"/>
    <w:tmpl w:val="E9E0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2E0FD5"/>
    <w:multiLevelType w:val="multilevel"/>
    <w:tmpl w:val="FD8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F191A"/>
    <w:multiLevelType w:val="multilevel"/>
    <w:tmpl w:val="61FC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20874"/>
    <w:multiLevelType w:val="multilevel"/>
    <w:tmpl w:val="DE7E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CD"/>
    <w:rsid w:val="000465B3"/>
    <w:rsid w:val="00055F3B"/>
    <w:rsid w:val="002816C0"/>
    <w:rsid w:val="003457A4"/>
    <w:rsid w:val="00405AD0"/>
    <w:rsid w:val="0054089E"/>
    <w:rsid w:val="005938DB"/>
    <w:rsid w:val="00611F7D"/>
    <w:rsid w:val="00617516"/>
    <w:rsid w:val="006E52BC"/>
    <w:rsid w:val="007D6324"/>
    <w:rsid w:val="008E10D5"/>
    <w:rsid w:val="009538A5"/>
    <w:rsid w:val="00B21B7C"/>
    <w:rsid w:val="00BE5A1C"/>
    <w:rsid w:val="00BE5C2C"/>
    <w:rsid w:val="00C673DE"/>
    <w:rsid w:val="00CA2B26"/>
    <w:rsid w:val="00CD318D"/>
    <w:rsid w:val="00D14867"/>
    <w:rsid w:val="00D84D22"/>
    <w:rsid w:val="00E061C3"/>
    <w:rsid w:val="00E94FCD"/>
    <w:rsid w:val="00EA66ED"/>
    <w:rsid w:val="00FC6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1989"/>
  <w15:chartTrackingRefBased/>
  <w15:docId w15:val="{DD9E9CC2-DF03-4190-B51D-4DEF6EA4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F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4F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F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4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4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F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F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F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FCD"/>
    <w:rPr>
      <w:rFonts w:eastAsiaTheme="majorEastAsia" w:cstheme="majorBidi"/>
      <w:color w:val="272727" w:themeColor="text1" w:themeTint="D8"/>
    </w:rPr>
  </w:style>
  <w:style w:type="paragraph" w:styleId="Title">
    <w:name w:val="Title"/>
    <w:basedOn w:val="Normal"/>
    <w:next w:val="Normal"/>
    <w:link w:val="TitleChar"/>
    <w:uiPriority w:val="10"/>
    <w:qFormat/>
    <w:rsid w:val="00E9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FCD"/>
    <w:pPr>
      <w:spacing w:before="160"/>
      <w:jc w:val="center"/>
    </w:pPr>
    <w:rPr>
      <w:i/>
      <w:iCs/>
      <w:color w:val="404040" w:themeColor="text1" w:themeTint="BF"/>
    </w:rPr>
  </w:style>
  <w:style w:type="character" w:customStyle="1" w:styleId="QuoteChar">
    <w:name w:val="Quote Char"/>
    <w:basedOn w:val="DefaultParagraphFont"/>
    <w:link w:val="Quote"/>
    <w:uiPriority w:val="29"/>
    <w:rsid w:val="00E94FCD"/>
    <w:rPr>
      <w:i/>
      <w:iCs/>
      <w:color w:val="404040" w:themeColor="text1" w:themeTint="BF"/>
    </w:rPr>
  </w:style>
  <w:style w:type="paragraph" w:styleId="ListParagraph">
    <w:name w:val="List Paragraph"/>
    <w:basedOn w:val="Normal"/>
    <w:uiPriority w:val="34"/>
    <w:qFormat/>
    <w:rsid w:val="00E94FCD"/>
    <w:pPr>
      <w:ind w:left="720"/>
      <w:contextualSpacing/>
    </w:pPr>
  </w:style>
  <w:style w:type="character" w:styleId="IntenseEmphasis">
    <w:name w:val="Intense Emphasis"/>
    <w:basedOn w:val="DefaultParagraphFont"/>
    <w:uiPriority w:val="21"/>
    <w:qFormat/>
    <w:rsid w:val="00E94FCD"/>
    <w:rPr>
      <w:i/>
      <w:iCs/>
      <w:color w:val="2F5496" w:themeColor="accent1" w:themeShade="BF"/>
    </w:rPr>
  </w:style>
  <w:style w:type="paragraph" w:styleId="IntenseQuote">
    <w:name w:val="Intense Quote"/>
    <w:basedOn w:val="Normal"/>
    <w:next w:val="Normal"/>
    <w:link w:val="IntenseQuoteChar"/>
    <w:uiPriority w:val="30"/>
    <w:qFormat/>
    <w:rsid w:val="00E94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4FCD"/>
    <w:rPr>
      <w:i/>
      <w:iCs/>
      <w:color w:val="2F5496" w:themeColor="accent1" w:themeShade="BF"/>
    </w:rPr>
  </w:style>
  <w:style w:type="character" w:styleId="IntenseReference">
    <w:name w:val="Intense Reference"/>
    <w:basedOn w:val="DefaultParagraphFont"/>
    <w:uiPriority w:val="32"/>
    <w:qFormat/>
    <w:rsid w:val="00E94FCD"/>
    <w:rPr>
      <w:b/>
      <w:bCs/>
      <w:smallCaps/>
      <w:color w:val="2F5496" w:themeColor="accent1" w:themeShade="BF"/>
      <w:spacing w:val="5"/>
    </w:rPr>
  </w:style>
  <w:style w:type="character" w:styleId="Hyperlink">
    <w:name w:val="Hyperlink"/>
    <w:basedOn w:val="DefaultParagraphFont"/>
    <w:uiPriority w:val="99"/>
    <w:unhideWhenUsed/>
    <w:rsid w:val="00CD318D"/>
    <w:rPr>
      <w:color w:val="0563C1" w:themeColor="hyperlink"/>
      <w:u w:val="single"/>
    </w:rPr>
  </w:style>
  <w:style w:type="character" w:styleId="UnresolvedMention">
    <w:name w:val="Unresolved Mention"/>
    <w:basedOn w:val="DefaultParagraphFont"/>
    <w:uiPriority w:val="99"/>
    <w:semiHidden/>
    <w:unhideWhenUsed/>
    <w:rsid w:val="00CD318D"/>
    <w:rPr>
      <w:color w:val="605E5C"/>
      <w:shd w:val="clear" w:color="auto" w:fill="E1DFDD"/>
    </w:rPr>
  </w:style>
  <w:style w:type="character" w:customStyle="1" w:styleId="t">
    <w:name w:val="t"/>
    <w:basedOn w:val="DefaultParagraphFont"/>
    <w:rsid w:val="00FC6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customXml" Target="ink/ink11.xml"/><Relationship Id="rId42" Type="http://schemas.openxmlformats.org/officeDocument/2006/relationships/customXml" Target="ink/ink22.xml"/><Relationship Id="rId47" Type="http://schemas.openxmlformats.org/officeDocument/2006/relationships/customXml" Target="ink/ink25.xml"/><Relationship Id="rId63" Type="http://schemas.openxmlformats.org/officeDocument/2006/relationships/customXml" Target="ink/ink34.xml"/><Relationship Id="rId68" Type="http://schemas.openxmlformats.org/officeDocument/2006/relationships/customXml" Target="ink/ink37.xml"/><Relationship Id="rId16" Type="http://schemas.openxmlformats.org/officeDocument/2006/relationships/customXml" Target="ink/ink8.xml"/><Relationship Id="rId11" Type="http://schemas.openxmlformats.org/officeDocument/2006/relationships/customXml" Target="ink/ink4.xml"/><Relationship Id="rId24" Type="http://schemas.openxmlformats.org/officeDocument/2006/relationships/image" Target="media/image8.png"/><Relationship Id="rId32" Type="http://schemas.openxmlformats.org/officeDocument/2006/relationships/customXml" Target="ink/ink17.xml"/><Relationship Id="rId37" Type="http://schemas.openxmlformats.org/officeDocument/2006/relationships/image" Target="media/image14.png"/><Relationship Id="rId40" Type="http://schemas.openxmlformats.org/officeDocument/2006/relationships/customXml" Target="ink/ink21.xml"/><Relationship Id="rId45" Type="http://schemas.openxmlformats.org/officeDocument/2006/relationships/image" Target="media/image18.png"/><Relationship Id="rId53" Type="http://schemas.openxmlformats.org/officeDocument/2006/relationships/image" Target="media/image21.png"/><Relationship Id="rId58" Type="http://schemas.openxmlformats.org/officeDocument/2006/relationships/customXml" Target="ink/ink31.xml"/><Relationship Id="rId66" Type="http://schemas.openxmlformats.org/officeDocument/2006/relationships/customXml" Target="ink/ink36.xml"/><Relationship Id="rId74" Type="http://schemas.openxmlformats.org/officeDocument/2006/relationships/customXml" Target="ink/ink41.xml"/><Relationship Id="rId5" Type="http://schemas.openxmlformats.org/officeDocument/2006/relationships/customXml" Target="ink/ink1.xml"/><Relationship Id="rId61" Type="http://schemas.openxmlformats.org/officeDocument/2006/relationships/customXml" Target="ink/ink33.xml"/><Relationship Id="rId19" Type="http://schemas.openxmlformats.org/officeDocument/2006/relationships/customXml" Target="ink/ink10.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customXml" Target="ink/ink14.xml"/><Relationship Id="rId30" Type="http://schemas.openxmlformats.org/officeDocument/2006/relationships/customXml" Target="ink/ink16.xml"/><Relationship Id="rId35" Type="http://schemas.openxmlformats.org/officeDocument/2006/relationships/image" Target="media/image13.png"/><Relationship Id="rId43" Type="http://schemas.openxmlformats.org/officeDocument/2006/relationships/image" Target="media/image17.png"/><Relationship Id="rId48" Type="http://schemas.openxmlformats.org/officeDocument/2006/relationships/image" Target="media/image19.png"/><Relationship Id="rId56" Type="http://schemas.openxmlformats.org/officeDocument/2006/relationships/customXml" Target="ink/ink30.xml"/><Relationship Id="rId64" Type="http://schemas.openxmlformats.org/officeDocument/2006/relationships/image" Target="media/image26.png"/><Relationship Id="rId69" Type="http://schemas.openxmlformats.org/officeDocument/2006/relationships/image" Target="media/image28.png"/><Relationship Id="rId7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customXml" Target="ink/ink27.xml"/><Relationship Id="rId72" Type="http://schemas.openxmlformats.org/officeDocument/2006/relationships/image" Target="media/image29.png"/><Relationship Id="rId3" Type="http://schemas.openxmlformats.org/officeDocument/2006/relationships/settings" Target="settings.xml"/><Relationship Id="rId12" Type="http://schemas.openxmlformats.org/officeDocument/2006/relationships/customXml" Target="ink/ink5.xml"/><Relationship Id="rId17" Type="http://schemas.openxmlformats.org/officeDocument/2006/relationships/image" Target="media/image5.png"/><Relationship Id="rId25" Type="http://schemas.openxmlformats.org/officeDocument/2006/relationships/customXml" Target="ink/ink13.xml"/><Relationship Id="rId33" Type="http://schemas.openxmlformats.org/officeDocument/2006/relationships/image" Target="media/image12.png"/><Relationship Id="rId38" Type="http://schemas.openxmlformats.org/officeDocument/2006/relationships/customXml" Target="ink/ink20.xml"/><Relationship Id="rId46" Type="http://schemas.openxmlformats.org/officeDocument/2006/relationships/customXml" Target="ink/ink24.xml"/><Relationship Id="rId59" Type="http://schemas.openxmlformats.org/officeDocument/2006/relationships/image" Target="media/image24.png"/><Relationship Id="rId67" Type="http://schemas.openxmlformats.org/officeDocument/2006/relationships/image" Target="media/image27.png"/><Relationship Id="rId20" Type="http://schemas.openxmlformats.org/officeDocument/2006/relationships/image" Target="media/image6.png"/><Relationship Id="rId41" Type="http://schemas.openxmlformats.org/officeDocument/2006/relationships/image" Target="media/image16.png"/><Relationship Id="rId54" Type="http://schemas.openxmlformats.org/officeDocument/2006/relationships/customXml" Target="ink/ink29.xml"/><Relationship Id="rId62" Type="http://schemas.openxmlformats.org/officeDocument/2006/relationships/image" Target="media/image25.png"/><Relationship Id="rId70" Type="http://schemas.openxmlformats.org/officeDocument/2006/relationships/customXml" Target="ink/ink38.xml"/><Relationship Id="rId75" Type="http://schemas.openxmlformats.org/officeDocument/2006/relationships/hyperlink" Target="https://journalahrj.com/index.php/AHRJ/article/view/144"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7.xml"/><Relationship Id="rId23" Type="http://schemas.openxmlformats.org/officeDocument/2006/relationships/customXml" Target="ink/ink12.xml"/><Relationship Id="rId28" Type="http://schemas.openxmlformats.org/officeDocument/2006/relationships/customXml" Target="ink/ink15.xml"/><Relationship Id="rId36" Type="http://schemas.openxmlformats.org/officeDocument/2006/relationships/customXml" Target="ink/ink19.xml"/><Relationship Id="rId49" Type="http://schemas.openxmlformats.org/officeDocument/2006/relationships/customXml" Target="ink/ink26.xml"/><Relationship Id="rId57" Type="http://schemas.openxmlformats.org/officeDocument/2006/relationships/image" Target="media/image23.png"/><Relationship Id="rId10" Type="http://schemas.openxmlformats.org/officeDocument/2006/relationships/image" Target="media/image3.png"/><Relationship Id="rId31" Type="http://schemas.openxmlformats.org/officeDocument/2006/relationships/image" Target="media/image11.png"/><Relationship Id="rId44" Type="http://schemas.openxmlformats.org/officeDocument/2006/relationships/customXml" Target="ink/ink23.xml"/><Relationship Id="rId52" Type="http://schemas.openxmlformats.org/officeDocument/2006/relationships/customXml" Target="ink/ink28.xml"/><Relationship Id="rId60" Type="http://schemas.openxmlformats.org/officeDocument/2006/relationships/customXml" Target="ink/ink32.xml"/><Relationship Id="rId65" Type="http://schemas.openxmlformats.org/officeDocument/2006/relationships/customXml" Target="ink/ink35.xml"/><Relationship Id="rId73" Type="http://schemas.openxmlformats.org/officeDocument/2006/relationships/customXml" Target="ink/ink40.xml"/><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6.xml"/><Relationship Id="rId18" Type="http://schemas.openxmlformats.org/officeDocument/2006/relationships/customXml" Target="ink/ink9.xml"/><Relationship Id="rId39" Type="http://schemas.openxmlformats.org/officeDocument/2006/relationships/image" Target="media/image15.png"/><Relationship Id="rId34" Type="http://schemas.openxmlformats.org/officeDocument/2006/relationships/customXml" Target="ink/ink18.xml"/><Relationship Id="rId50" Type="http://schemas.openxmlformats.org/officeDocument/2006/relationships/image" Target="media/image20.png"/><Relationship Id="rId55" Type="http://schemas.openxmlformats.org/officeDocument/2006/relationships/image" Target="media/image22.png"/><Relationship Id="rId76" Type="http://schemas.openxmlformats.org/officeDocument/2006/relationships/fontTable" Target="fontTable.xml"/><Relationship Id="rId7" Type="http://schemas.openxmlformats.org/officeDocument/2006/relationships/customXml" Target="ink/ink2.xml"/><Relationship Id="rId71" Type="http://schemas.openxmlformats.org/officeDocument/2006/relationships/customXml" Target="ink/ink39.xml"/><Relationship Id="rId2" Type="http://schemas.openxmlformats.org/officeDocument/2006/relationships/styles" Target="styles.xml"/><Relationship Id="rId29" Type="http://schemas.openxmlformats.org/officeDocument/2006/relationships/image" Target="media/image1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8.546"/>
    </inkml:context>
    <inkml:brush xml:id="br0">
      <inkml:brushProperty name="width" value="0.035" units="cm"/>
      <inkml:brushProperty name="height" value="0.035" units="cm"/>
      <inkml:brushProperty name="color" value="#E71224"/>
    </inkml:brush>
  </inkml:definitions>
  <inkml:trace contextRef="#ctx0" brushRef="#br0">0 1 21253 0 0,'0'0'0'0'0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5.846"/>
    </inkml:context>
    <inkml:brush xml:id="br0">
      <inkml:brushProperty name="width" value="0.035" units="cm"/>
      <inkml:brushProperty name="height" value="0.035" units="cm"/>
      <inkml:brushProperty name="color" value="#E71224"/>
    </inkml:brush>
  </inkml:definitions>
  <inkml:trace contextRef="#ctx0" brushRef="#br0">0 3 19540 0 0,'0'0'0'0'0</inkml:trace>
  <inkml:trace contextRef="#ctx0" brushRef="#br0" timeOffset="1">51 1 19164 0 0,'0'0'0'0'0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5.685"/>
    </inkml:context>
    <inkml:brush xml:id="br0">
      <inkml:brushProperty name="width" value="0.035" units="cm"/>
      <inkml:brushProperty name="height" value="0.035" units="cm"/>
      <inkml:brushProperty name="color" value="#E71224"/>
    </inkml:brush>
  </inkml:definitions>
  <inkml:trace contextRef="#ctx0" brushRef="#br0">1 36 19876 0 0,'0'0'0'0'0</inkml:trace>
  <inkml:trace contextRef="#ctx0" brushRef="#br0" timeOffset="1">1 1 20308 0 0,'0'0'0'0'0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5.571"/>
    </inkml:context>
    <inkml:brush xml:id="br0">
      <inkml:brushProperty name="width" value="0.035" units="cm"/>
      <inkml:brushProperty name="height" value="0.035" units="cm"/>
      <inkml:brushProperty name="color" value="#E71224"/>
    </inkml:brush>
  </inkml:definitions>
  <inkml:trace contextRef="#ctx0" brushRef="#br0">120 43 26966 0 0,'0'0'0'0'0,"-46"81"-24"0"0,-24 42-8394 0 0</inkml:trace>
  <inkml:trace contextRef="#ctx0" brushRef="#br0" timeOffset="1">1 115 26782 0 0,'0'0'0'0'0</inkml:trace>
  <inkml:trace contextRef="#ctx0" brushRef="#br0" timeOffset="2">121 0 21517 0 0,'0'0'0'0'0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5.431"/>
    </inkml:context>
    <inkml:brush xml:id="br0">
      <inkml:brushProperty name="width" value="0.035" units="cm"/>
      <inkml:brushProperty name="height" value="0.035" units="cm"/>
      <inkml:brushProperty name="color" value="#E71224"/>
    </inkml:brush>
  </inkml:definitions>
  <inkml:trace contextRef="#ctx0" brushRef="#br0">74 1 24765 0 0,'-62'18'0'0'0,"51"-6"-728"0"0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5.269"/>
    </inkml:context>
    <inkml:brush xml:id="br0">
      <inkml:brushProperty name="width" value="0.035" units="cm"/>
      <inkml:brushProperty name="height" value="0.035" units="cm"/>
      <inkml:brushProperty name="color" value="#E71224"/>
    </inkml:brush>
  </inkml:definitions>
  <inkml:trace contextRef="#ctx0" brushRef="#br0">1 1 26030 0 0,'0'0'0'0'0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4:25.209"/>
    </inkml:context>
    <inkml:brush xml:id="br0">
      <inkml:brushProperty name="width" value="0.035" units="cm"/>
      <inkml:brushProperty name="height" value="0.035" units="cm"/>
      <inkml:brushProperty name="color" value="#E71224"/>
    </inkml:brush>
  </inkml:definitions>
  <inkml:trace contextRef="#ctx0" brushRef="#br0">1 330 20876 0 0,'0'0'24'0'0</inkml:trace>
  <inkml:trace contextRef="#ctx0" brushRef="#br0" timeOffset="1">65 1 20756 0 0,'0'0'0'0'0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4:25.081"/>
    </inkml:context>
    <inkml:brush xml:id="br0">
      <inkml:brushProperty name="width" value="0.035" units="cm"/>
      <inkml:brushProperty name="height" value="0.035" units="cm"/>
      <inkml:brushProperty name="color" value="#E71224"/>
    </inkml:brush>
  </inkml:definitions>
  <inkml:trace contextRef="#ctx0" brushRef="#br0">1 315 21125 0 0,'0'0'0'0'0</inkml:trace>
  <inkml:trace contextRef="#ctx0" brushRef="#br0" timeOffset="1">8 1 20884 0 0,'0'0'16'0'0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4:24.963"/>
    </inkml:context>
    <inkml:brush xml:id="br0">
      <inkml:brushProperty name="width" value="0.035" units="cm"/>
      <inkml:brushProperty name="height" value="0.035" units="cm"/>
      <inkml:brushProperty name="color" value="#E71224"/>
    </inkml:brush>
  </inkml:definitions>
  <inkml:trace contextRef="#ctx0" brushRef="#br0">5 640 21061 0 0,'0'0'0'0'0</inkml:trace>
  <inkml:trace contextRef="#ctx0" brushRef="#br0" timeOffset="1">1 320 21004 0 0,'0'0'0'0'0</inkml:trace>
  <inkml:trace contextRef="#ctx0" brushRef="#br0" timeOffset="2">6 122 21077 0 0,'0'0'0'0'0,"3"-49"-113"0"0,-2-24-6440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4:24.799"/>
    </inkml:context>
    <inkml:brush xml:id="br0">
      <inkml:brushProperty name="width" value="0.035" units="cm"/>
      <inkml:brushProperty name="height" value="0.035" units="cm"/>
      <inkml:brushProperty name="color" value="#E71224"/>
    </inkml:brush>
  </inkml:definitions>
  <inkml:trace contextRef="#ctx0" brushRef="#br0">1 122 22901 0 0,'0'0'0'0'0,"2"-47"-200"0"0,-2 42 200 0 0,1-64-7098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4:24.688"/>
    </inkml:context>
    <inkml:brush xml:id="br0">
      <inkml:brushProperty name="width" value="0.035" units="cm"/>
      <inkml:brushProperty name="height" value="0.035" units="cm"/>
      <inkml:brushProperty name="color" value="#E71224"/>
    </inkml:brush>
  </inkml:definitions>
  <inkml:trace contextRef="#ctx0" brushRef="#br0">47 524 21365 0 0,'0'0'0'0'0,"-16"-79"-176"0"0,7-2 176 0 0,0 22-32 0 0,3-36 1176 0 0,3-5-1432 0 0,0-2-6594 0 0,4 94 2153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8.420"/>
    </inkml:context>
    <inkml:brush xml:id="br0">
      <inkml:brushProperty name="width" value="0.035" units="cm"/>
      <inkml:brushProperty name="height" value="0.035" units="cm"/>
      <inkml:brushProperty name="color" value="#E71224"/>
    </inkml:brush>
  </inkml:definitions>
  <inkml:trace contextRef="#ctx0" brushRef="#br0">111 597 20700 0 0,'0'0'40'0'0,"-18"-145"1465"0"0,21 10-1969 0 0,-37-14 32 0 0,-18-9-6242 0 0,43 148 2089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28:14.091"/>
    </inkml:context>
    <inkml:brush xml:id="br0">
      <inkml:brushProperty name="width" value="0.035" units="cm"/>
      <inkml:brushProperty name="height" value="0.035" units="cm"/>
      <inkml:brushProperty name="color" value="#E71224"/>
    </inkml:brush>
  </inkml:definitions>
  <inkml:trace contextRef="#ctx0" brushRef="#br0">5 5 22605 0 0,'0'0'0'0'0</inkml:trace>
  <inkml:trace contextRef="#ctx0" brushRef="#br0" timeOffset="161.52">1 17 19404 0 0,'0'0'0'0'0</inkml:trace>
  <inkml:trace contextRef="#ctx0" brushRef="#br0" timeOffset="289.58">1 13 19508 0 0,'0'0'360'0'0</inkml:trace>
  <inkml:trace contextRef="#ctx0" brushRef="#br0" timeOffset="290.58">2 12 19820 0 0,'0'0'0'0'0</inkml:trace>
  <inkml:trace contextRef="#ctx0" brushRef="#br0" timeOffset="291.58">2 9 17940 0 0,'0'0'0'0'0</inkml:trace>
  <inkml:trace contextRef="#ctx0" brushRef="#br0" timeOffset="525.99">4 24 18940 0 0,'0'0'800'0'0,"-3"-14"128"0"0</inkml:trace>
  <inkml:trace contextRef="#ctx0" brushRef="#br0" timeOffset="669.27">1 1 22717 0 0,'0'0'0'0'0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21:55.799"/>
    </inkml:context>
    <inkml:brush xml:id="br0">
      <inkml:brushProperty name="width" value="0.035" units="cm"/>
      <inkml:brushProperty name="height" value="0.035" units="cm"/>
      <inkml:brushProperty name="color" value="#E71224"/>
    </inkml:brush>
  </inkml:definitions>
  <inkml:trace contextRef="#ctx0" brushRef="#br0">1 1877 21413 0 0,'0'0'0'0'0,"6"-114"1416"0"0,4-55-8554 0 0</inkml:trace>
  <inkml:trace contextRef="#ctx0" brushRef="#br0" timeOffset="1">192 304 22677 0 0,'0'0'0'0'0,"60"-114"-192"0"0,-50-76-144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21:55.625"/>
    </inkml:context>
    <inkml:brush xml:id="br0">
      <inkml:brushProperty name="width" value="0.035" units="cm"/>
      <inkml:brushProperty name="height" value="0.035" units="cm"/>
      <inkml:brushProperty name="color" value="#E71224"/>
    </inkml:brush>
  </inkml:definitions>
  <inkml:trace contextRef="#ctx0" brushRef="#br0">0 168 20916 0 0,'0'0'0'0'0,"32"-66"217"0"0,16-36-6819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21:55.294"/>
    </inkml:context>
    <inkml:brush xml:id="br0">
      <inkml:brushProperty name="width" value="0.035" units="cm"/>
      <inkml:brushProperty name="height" value="0.035" units="cm"/>
      <inkml:brushProperty name="color" value="#E71224"/>
    </inkml:brush>
  </inkml:definitions>
  <inkml:trace contextRef="#ctx0" brushRef="#br0">0 1238 20908 0 0,'0'0'0'0'0</inkml:trace>
  <inkml:trace contextRef="#ctx0" brushRef="#br0" timeOffset="1">11 0 20772 0 0,'0'0'0'0'0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21:55.151"/>
    </inkml:context>
    <inkml:brush xml:id="br0">
      <inkml:brushProperty name="width" value="0.035" units="cm"/>
      <inkml:brushProperty name="height" value="0.035" units="cm"/>
      <inkml:brushProperty name="color" value="#E71224"/>
    </inkml:brush>
  </inkml:definitions>
  <inkml:trace contextRef="#ctx0" brushRef="#br0">0 0 21525 0 0,'0'0'0'0'0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21:55.057"/>
    </inkml:context>
    <inkml:brush xml:id="br0">
      <inkml:brushProperty name="width" value="0.035" units="cm"/>
      <inkml:brushProperty name="height" value="0.035" units="cm"/>
      <inkml:brushProperty name="color" value="#E71224"/>
    </inkml:brush>
  </inkml:definitions>
  <inkml:trace contextRef="#ctx0" brushRef="#br0">1 1 19804 0 0,'0'0'0'0'0</inkml:trace>
  <inkml:trace contextRef="#ctx0" brushRef="#br0" timeOffset="1">8 30 21461 0 0,'0'0'72'0'0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21:54.945"/>
    </inkml:context>
    <inkml:brush xml:id="br0">
      <inkml:brushProperty name="width" value="0.035" units="cm"/>
      <inkml:brushProperty name="height" value="0.035" units="cm"/>
      <inkml:brushProperty name="color" value="#E71224"/>
    </inkml:brush>
  </inkml:definitions>
  <inkml:trace contextRef="#ctx0" brushRef="#br0">1 48 19652 0 0,'0'0'0'0'0</inkml:trace>
  <inkml:trace contextRef="#ctx0" brushRef="#br0" timeOffset="1">16 45 21461 0 0,'0'0'0'0'0</inkml:trace>
  <inkml:trace contextRef="#ctx0" brushRef="#br0" timeOffset="2">42 0 21157 0 0,'0'0'0'0'0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21:54.772"/>
    </inkml:context>
    <inkml:brush xml:id="br0">
      <inkml:brushProperty name="width" value="0.035" units="cm"/>
      <inkml:brushProperty name="height" value="0.035" units="cm"/>
      <inkml:brushProperty name="color" value="#E71224"/>
    </inkml:brush>
  </inkml:definitions>
  <inkml:trace contextRef="#ctx0" brushRef="#br0">1 1 19772 0 0,'0'0'0'0'0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21:54.662"/>
    </inkml:context>
    <inkml:brush xml:id="br0">
      <inkml:brushProperty name="width" value="0.035" units="cm"/>
      <inkml:brushProperty name="height" value="0.035" units="cm"/>
      <inkml:brushProperty name="color" value="#E71224"/>
    </inkml:brush>
  </inkml:definitions>
  <inkml:trace contextRef="#ctx0" brushRef="#br0">46 8 20412 0 0,'0'0'0'0'0</inkml:trace>
  <inkml:trace contextRef="#ctx0" brushRef="#br0" timeOffset="1">1 1 19556 0 0,'0'0'0'0'0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21:54.568"/>
    </inkml:context>
    <inkml:brush xml:id="br0">
      <inkml:brushProperty name="width" value="0.035" units="cm"/>
      <inkml:brushProperty name="height" value="0.035" units="cm"/>
      <inkml:brushProperty name="color" value="#E71224"/>
    </inkml:brush>
  </inkml:definitions>
  <inkml:trace contextRef="#ctx0" brushRef="#br0">2 138 19516 0 0,'0'0'0'0'0,"0"-137"0"0"0</inkml:trace>
  <inkml:trace contextRef="#ctx0" brushRef="#br0" timeOffset="1">1 1357 20564 0 0,'0'0'0'0'0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8.295"/>
    </inkml:context>
    <inkml:brush xml:id="br0">
      <inkml:brushProperty name="width" value="0.035" units="cm"/>
      <inkml:brushProperty name="height" value="0.035" units="cm"/>
      <inkml:brushProperty name="color" value="#E71224"/>
    </inkml:brush>
  </inkml:definitions>
  <inkml:trace contextRef="#ctx0" brushRef="#br0">1 125 20684 0 0,'0'0'0'0'0,"15"-51"48"0"0,8-23-6529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21:54.436"/>
    </inkml:context>
    <inkml:brush xml:id="br0">
      <inkml:brushProperty name="width" value="0.035" units="cm"/>
      <inkml:brushProperty name="height" value="0.035" units="cm"/>
      <inkml:brushProperty name="color" value="#E71224"/>
    </inkml:brush>
  </inkml:definitions>
  <inkml:trace contextRef="#ctx0" brushRef="#br0">1 5050 19836 0 0,'0'-165'0'0'0,"0"-4720"0"0"0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11:39.955"/>
    </inkml:context>
    <inkml:brush xml:id="br0">
      <inkml:brushProperty name="width" value="0.025" units="cm"/>
      <inkml:brushProperty name="height" value="0.025" units="cm"/>
    </inkml:brush>
  </inkml:definitions>
  <inkml:trace contextRef="#ctx0" brushRef="#br0">1 0 21004 0 0,'0'0'0'0'0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11:39.795"/>
    </inkml:context>
    <inkml:brush xml:id="br0">
      <inkml:brushProperty name="width" value="0.025" units="cm"/>
      <inkml:brushProperty name="height" value="0.025" units="cm"/>
    </inkml:brush>
  </inkml:definitions>
  <inkml:trace contextRef="#ctx0" brushRef="#br0">0 1 21373 0 0,'0'0'0'0'0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11:39.697"/>
    </inkml:context>
    <inkml:brush xml:id="br0">
      <inkml:brushProperty name="width" value="0.025" units="cm"/>
      <inkml:brushProperty name="height" value="0.025" units="cm"/>
    </inkml:brush>
  </inkml:definitions>
  <inkml:trace contextRef="#ctx0" brushRef="#br0">79 492 20964 0 0,'0'0'0'0'0</inkml:trace>
  <inkml:trace contextRef="#ctx0" brushRef="#br0" timeOffset="1">0 0 20972 0 0,'0'0'0'0'0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11:39.602"/>
    </inkml:context>
    <inkml:brush xml:id="br0">
      <inkml:brushProperty name="width" value="0.025" units="cm"/>
      <inkml:brushProperty name="height" value="0.025" units="cm"/>
    </inkml:brush>
  </inkml:definitions>
  <inkml:trace contextRef="#ctx0" brushRef="#br0">143 568 19804 0 0,'0'0'0'0'0</inkml:trace>
  <inkml:trace contextRef="#ctx0" brushRef="#br0" timeOffset="1">1 0 21221 0 0,'0'0'0'0'0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11:40.238"/>
    </inkml:context>
    <inkml:brush xml:id="br0">
      <inkml:brushProperty name="width" value="0.025" units="cm"/>
      <inkml:brushProperty name="height" value="0.025" units="cm"/>
    </inkml:brush>
  </inkml:definitions>
  <inkml:trace contextRef="#ctx0" brushRef="#br0">1 0 26022 0 0,'0'0'0'0'0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00:11:39.475"/>
    </inkml:context>
    <inkml:brush xml:id="br0">
      <inkml:brushProperty name="width" value="0.03501" units="cm"/>
      <inkml:brushProperty name="height" value="0.03501" units="cm"/>
      <inkml:brushProperty name="color" value="#E71224"/>
    </inkml:brush>
  </inkml:definitions>
  <inkml:trace contextRef="#ctx0" brushRef="#br0">81 3180 20604 0 0,'0'307'0'0'0,"-31"-468"-72"0"0,31 216 72 0 0,0-53 0 0 0,-49-3384-6417 0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2:58:13.134"/>
    </inkml:context>
    <inkml:brush xml:id="br0">
      <inkml:brushProperty name="width" value="0.025" units="cm"/>
      <inkml:brushProperty name="height" value="0.025" units="cm"/>
    </inkml:brush>
  </inkml:definitions>
  <inkml:trace contextRef="#ctx0" brushRef="#br0">2 326 21741 0 0,'0'0'8'0'0</inkml:trace>
  <inkml:trace contextRef="#ctx0" brushRef="#br0" timeOffset="1">6 280 21685 0 0,'0'0'0'0'0</inkml:trace>
  <inkml:trace contextRef="#ctx0" brushRef="#br0" timeOffset="2">0 151 22541 0 0,'0'0'0'0'0,"0"-60"-360"0"0,0-31-6570 0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2:58:13.008"/>
    </inkml:context>
    <inkml:brush xml:id="br0">
      <inkml:brushProperty name="width" value="0.025" units="cm"/>
      <inkml:brushProperty name="height" value="0.025" units="cm"/>
    </inkml:brush>
  </inkml:definitions>
  <inkml:trace contextRef="#ctx0" brushRef="#br0">0 1 21997 0 0,'0'0'0'0'0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2:58:12.862"/>
    </inkml:context>
    <inkml:brush xml:id="br0">
      <inkml:brushProperty name="width" value="0.04795" units="cm"/>
      <inkml:brushProperty name="height" value="0.04795" units="cm"/>
      <inkml:brushProperty name="color" value="#E71224"/>
    </inkml:brush>
  </inkml:definitions>
  <inkml:trace contextRef="#ctx0" brushRef="#br0">1 1541 24741 0 0,'0'-396'0'0'0,"0"353"-2"0"0,0 38-4 0 0,-1 7-5 0 0,1 3-19 0 0,0-16-69 0 0,4-19 1 0 0,-1 17 67 0 0,1 0 1 0 0,0 1 0 0 0,1 0 0 0 0,7-14 0 0 0,-2 7-214 0 0,22-28 1 0 0,-20 28 76 0 0,-6 11 55 0 0,0-1 0 0 0,15-14 0 0 0,0-4 39 0 0,-20 25 50 0 0,1-1 0 0 0,-1 0 0 0 0,0 0 0 0 0,0 0 0 0 0,0-1-1 0 0,0 1 1 0 0,0-5 0 0 0,5-75-165 0 0,-2-240 25 0 0,-1 214-109 0 0,1 71 222 0 0,-3 0 125 0 0,0-2-88 0 0,-3-2-115 0 0,-3-6-1067 0 0,-4-17-4256 0 0,5 46 294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7.904"/>
    </inkml:context>
    <inkml:brush xml:id="br0">
      <inkml:brushProperty name="width" value="0.035" units="cm"/>
      <inkml:brushProperty name="height" value="0.035" units="cm"/>
      <inkml:brushProperty name="color" value="#E71224"/>
    </inkml:brush>
  </inkml:definitions>
  <inkml:trace contextRef="#ctx0" brushRef="#br0">1 1 22429 0 0,'0'0'0'0'0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2:58:13.373"/>
    </inkml:context>
    <inkml:brush xml:id="br0">
      <inkml:brushProperty name="width" value="0.025" units="cm"/>
      <inkml:brushProperty name="height" value="0.025" units="cm"/>
    </inkml:brush>
  </inkml:definitions>
  <inkml:trace contextRef="#ctx0" brushRef="#br0">0 0 21629 0 0,'0'0'0'0'0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2:58:13.246"/>
    </inkml:context>
    <inkml:brush xml:id="br0">
      <inkml:brushProperty name="width" value="0.025" units="cm"/>
      <inkml:brushProperty name="height" value="0.025" units="cm"/>
    </inkml:brush>
  </inkml:definitions>
  <inkml:trace contextRef="#ctx0" brushRef="#br0">0 1 22677 0 0,'0'0'0'0'0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7.739"/>
    </inkml:context>
    <inkml:brush xml:id="br0">
      <inkml:brushProperty name="width" value="0.035" units="cm"/>
      <inkml:brushProperty name="height" value="0.035" units="cm"/>
      <inkml:brushProperty name="color" value="#E71224"/>
    </inkml:brush>
  </inkml:definitions>
  <inkml:trace contextRef="#ctx0" brushRef="#br0">0 0 21549 0 0,'0'0'0'0'0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7.644"/>
    </inkml:context>
    <inkml:brush xml:id="br0">
      <inkml:brushProperty name="width" value="0.035" units="cm"/>
      <inkml:brushProperty name="height" value="0.035" units="cm"/>
      <inkml:brushProperty name="color" value="#E71224"/>
    </inkml:brush>
  </inkml:definitions>
  <inkml:trace contextRef="#ctx0" brushRef="#br0">2 432 19388 0 0,'0'0'-291'0'0,"0"-10"-878"0"0,-1-42 1441 0 0,3-9 37 0 0,-1 45-154 0 0,1 1 0 0 0,5-18-1 0 0,-1 12 172 0 0,10-21-1 0 0,1 4 43 0 0,-1 7-282 0 0,-1 4 15 0 0,2 2 64 0 0,-13 17 16 0 0,20-24 336 0 0,-21 27-544 0 0,13-10-1054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7.439"/>
    </inkml:context>
    <inkml:brush xml:id="br0">
      <inkml:brushProperty name="width" value="0.035" units="cm"/>
      <inkml:brushProperty name="height" value="0.035" units="cm"/>
      <inkml:brushProperty name="color" value="#E71224"/>
    </inkml:brush>
  </inkml:definitions>
  <inkml:trace contextRef="#ctx0" brushRef="#br0">0 0 19588 0 0,'0'0'0'0'0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7.343"/>
    </inkml:context>
    <inkml:brush xml:id="br0">
      <inkml:brushProperty name="width" value="0.035" units="cm"/>
      <inkml:brushProperty name="height" value="0.035" units="cm"/>
      <inkml:brushProperty name="color" value="#E71224"/>
    </inkml:brush>
  </inkml:definitions>
  <inkml:trace contextRef="#ctx0" brushRef="#br0">7 730 20860 0 0,'-1'-14'-186'0'0,"-3"-54"74"0"0,2-21 108 0 0,4 1-256 0 0,-4 12-901 0 0,5 29 1039 0 0,2 5 179 0 0,2-4-9 0 0,0-3 43 0 0,2 0 224 0 0,2-9-1258 0 0,5-21-3845 0 0,-10 54 259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2T23:43:17.186"/>
    </inkml:context>
    <inkml:brush xml:id="br0">
      <inkml:brushProperty name="width" value="0.035" units="cm"/>
      <inkml:brushProperty name="height" value="0.035" units="cm"/>
      <inkml:brushProperty name="color" value="#E71224"/>
    </inkml:brush>
  </inkml:definitions>
  <inkml:trace contextRef="#ctx0" brushRef="#br0">0 0 21245 0 0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15</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5</cp:revision>
  <dcterms:created xsi:type="dcterms:W3CDTF">2026-01-12T23:28:00Z</dcterms:created>
  <dcterms:modified xsi:type="dcterms:W3CDTF">2026-01-14T08:57:00Z</dcterms:modified>
</cp:coreProperties>
</file>