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A4A" w:rsidRPr="0022535D" w:rsidRDefault="00994A4A" w:rsidP="00AD2EA1">
      <w:pPr>
        <w:pStyle w:val="Heading1"/>
        <w:ind w:left="720"/>
        <w:jc w:val="both"/>
        <w:rPr>
          <w:b w:val="0"/>
          <w:sz w:val="40"/>
        </w:rPr>
      </w:pPr>
      <w:bookmarkStart w:id="0" w:name="_Toc214897610"/>
      <w:r w:rsidRPr="0022535D">
        <w:rPr>
          <w:rStyle w:val="Strong"/>
          <w:b/>
          <w:sz w:val="40"/>
        </w:rPr>
        <w:t>Emerging Pathways and Barriers to Carbon Sequestration in Agricultural Soils: A Comprehensive Review</w:t>
      </w:r>
      <w:bookmarkEnd w:id="0"/>
    </w:p>
    <w:p w:rsidR="00994A4A" w:rsidRDefault="00994A4A" w:rsidP="005043D9">
      <w:pPr>
        <w:jc w:val="both"/>
      </w:pPr>
    </w:p>
    <w:p w:rsidR="00994A4A" w:rsidRDefault="00994A4A" w:rsidP="005043D9">
      <w:pPr>
        <w:pStyle w:val="Heading2"/>
        <w:jc w:val="both"/>
      </w:pPr>
      <w:bookmarkStart w:id="1" w:name="_Toc214897611"/>
      <w:r>
        <w:t>Abstract</w:t>
      </w:r>
      <w:bookmarkEnd w:id="1"/>
    </w:p>
    <w:p w:rsidR="00994A4A" w:rsidRDefault="00994A4A" w:rsidP="005043D9">
      <w:pPr>
        <w:pStyle w:val="NormalWeb"/>
        <w:jc w:val="both"/>
      </w:pPr>
      <w:r>
        <w:t>Agricultural soils are increasingly framed as a cornerstone of climate mitigation strategies because they can store additional organic carbon while delivering agronomic and environmental co-benefits. Yet the true potential of soil carbon sequestration and the conditions under which it can be realized remain contested. This review synthesizes emerging evidence on pathways for increasing soil</w:t>
      </w:r>
      <w:bookmarkStart w:id="2" w:name="_GoBack"/>
      <w:bookmarkEnd w:id="2"/>
      <w:r>
        <w:t xml:space="preserve"> organic carbon in cropland and grazing systems, and critically examines the biophysical, socioeconomic, and governance barriers that constrain implementation at scale.</w:t>
      </w:r>
      <w:r w:rsidR="0022535D">
        <w:t xml:space="preserve"> The study</w:t>
      </w:r>
      <w:r>
        <w:t xml:space="preserve"> first </w:t>
      </w:r>
      <w:r w:rsidRPr="00AD2EA1">
        <w:rPr>
          <w:highlight w:val="yellow"/>
        </w:rPr>
        <w:t>outline</w:t>
      </w:r>
      <w:r w:rsidR="00AC723A" w:rsidRPr="00AD2EA1">
        <w:rPr>
          <w:highlight w:val="yellow"/>
        </w:rPr>
        <w:t>s</w:t>
      </w:r>
      <w:r w:rsidRPr="00AD2EA1">
        <w:rPr>
          <w:highlight w:val="yellow"/>
        </w:rPr>
        <w:t xml:space="preserve"> the conceptual</w:t>
      </w:r>
      <w:r>
        <w:t xml:space="preserve"> foundations of soil carbon sequestration in farmland, distinguishing between technical and realistic potentials and highlighting recent global assessments that emphasize strong context dependence. We then review key biophysical pathways, including diversified crop rotations, reduced tillage, cover crops, organic amendments, perennial crops, agroforestry, and regenerative agriculture frameworks, alongside newer options such as engineered amendments and breeding for deep rooting. Recent meta-analyses and field studies show that many of these practices can increase soil carbon stocks while enhancing yields and resilience, but effects vary strongly with baseline soil carbon, climate, and management history, and are limited by saturation and nutrient constraints.</w:t>
      </w:r>
      <w:r w:rsidR="0022535D">
        <w:t xml:space="preserve"> </w:t>
      </w:r>
      <w:r>
        <w:t>Next, we examine the rapidly evolving landscape of monitoring, reporting, and verification (MRV), including conventional sampling and modeling, remote sensing, digital soil mapping, and emerging modular MRV frameworks that underpin soil carbon crediting. We synthesize evidence on farmers’ motivations, perceptions, and risk preferences, and on how carbon markets and policy incentives shape adoption, drawing on recent studies from Europe, Australia, South Asia, and the Mediterranean. Finally, we identify cross-cutting barriers related to uncertain permanence, nitrogen trade-offs, land tenure, equity, and institutional capacity.</w:t>
      </w:r>
      <w:r w:rsidR="0022535D">
        <w:t xml:space="preserve"> </w:t>
      </w:r>
      <w:proofErr w:type="spellStart"/>
      <w:r w:rsidR="00A5013C">
        <w:t>This</w:t>
      </w:r>
      <w:proofErr w:type="spellEnd"/>
      <w:r>
        <w:t xml:space="preserve"> review concludes that agricultural soil carbon sequestration can make a meaningful but finite contribution to climate mitigation while providing substantial co-benefits, especially in degraded, low-carbon soils. Realizing this potential requires aligning agronomic innovation, robust MRV, farmer-</w:t>
      </w:r>
      <w:proofErr w:type="spellStart"/>
      <w:r>
        <w:t>centred</w:t>
      </w:r>
      <w:proofErr w:type="spellEnd"/>
      <w:r>
        <w:t xml:space="preserve"> incentive design, and just governance arrangements that prioritize long-term soil health rather than short-term credit volumes.</w:t>
      </w:r>
    </w:p>
    <w:p w:rsidR="00994A4A" w:rsidRDefault="00994A4A" w:rsidP="005043D9">
      <w:pPr>
        <w:pStyle w:val="NormalWeb"/>
        <w:jc w:val="both"/>
      </w:pPr>
      <w:r>
        <w:rPr>
          <w:rStyle w:val="Strong"/>
        </w:rPr>
        <w:t>Keywords:</w:t>
      </w:r>
      <w:r>
        <w:t xml:space="preserve"> soil organic carbon, carbon farming, regenerative agriculture, monitoring reporting and verification, adoption barriers, agricultural soils, climate mitigation</w:t>
      </w:r>
    </w:p>
    <w:p w:rsidR="00994A4A" w:rsidRDefault="00994A4A" w:rsidP="005043D9">
      <w:pPr>
        <w:jc w:val="both"/>
      </w:pPr>
    </w:p>
    <w:p w:rsidR="00994A4A" w:rsidRDefault="00994A4A" w:rsidP="005043D9">
      <w:pPr>
        <w:pStyle w:val="Heading2"/>
        <w:jc w:val="both"/>
      </w:pPr>
      <w:bookmarkStart w:id="3" w:name="_Toc214897612"/>
      <w:r>
        <w:t>1. Introduction</w:t>
      </w:r>
      <w:bookmarkEnd w:id="3"/>
    </w:p>
    <w:p w:rsidR="00994A4A" w:rsidRDefault="00EC30E1" w:rsidP="005043D9">
      <w:pPr>
        <w:pStyle w:val="NormalWeb"/>
        <w:jc w:val="both"/>
      </w:pPr>
      <w:r w:rsidRPr="00AD2EA1">
        <w:rPr>
          <w:highlight w:val="yellow"/>
        </w:rPr>
        <w:t>Carbon sequestration on agricultural land, albeit long-time neglected, offers substantial mitigation potential. CO</w:t>
      </w:r>
      <w:r w:rsidRPr="00AD2EA1">
        <w:rPr>
          <w:highlight w:val="yellow"/>
          <w:vertAlign w:val="subscript"/>
        </w:rPr>
        <w:t>2</w:t>
      </w:r>
      <w:r w:rsidRPr="00AD2EA1">
        <w:rPr>
          <w:highlight w:val="yellow"/>
        </w:rPr>
        <w:t xml:space="preserve"> sequestration options on agricultural land and their co-benefits have not been considered in the global mitigation pathways reviewed under the 6th Assessment </w:t>
      </w:r>
      <w:r w:rsidRPr="00AD2EA1">
        <w:rPr>
          <w:highlight w:val="yellow"/>
        </w:rPr>
        <w:lastRenderedPageBreak/>
        <w:t>Report of the Intergovernmental Panel on Climate Change, and their abatement potential was only assessed in isolation from other sectors and from the market dynamics</w:t>
      </w:r>
      <w:r w:rsidR="006C4967" w:rsidRPr="00AD2EA1">
        <w:rPr>
          <w:highlight w:val="yellow"/>
        </w:rPr>
        <w:t xml:space="preserve"> (Frank et al., 2024; T</w:t>
      </w:r>
      <w:proofErr w:type="spellStart"/>
      <w:r w:rsidR="006C4967" w:rsidRPr="00AD2EA1">
        <w:rPr>
          <w:highlight w:val="yellow"/>
        </w:rPr>
        <w:t xml:space="preserve">ubiello </w:t>
      </w:r>
      <w:proofErr w:type="spellEnd"/>
      <w:r w:rsidR="006C4967" w:rsidRPr="00AD2EA1">
        <w:rPr>
          <w:highlight w:val="yellow"/>
        </w:rPr>
        <w:t xml:space="preserve">et al., 2021; IPCC, 2022; </w:t>
      </w:r>
      <w:proofErr w:type="spellStart"/>
      <w:r w:rsidR="006C4967" w:rsidRPr="00AD2EA1">
        <w:rPr>
          <w:highlight w:val="yellow"/>
        </w:rPr>
        <w:t>Pendrill</w:t>
      </w:r>
      <w:proofErr w:type="spellEnd"/>
      <w:r w:rsidR="006C4967" w:rsidRPr="00AD2EA1">
        <w:rPr>
          <w:highlight w:val="yellow"/>
        </w:rPr>
        <w:t xml:space="preserve"> et al., 2022; T</w:t>
      </w:r>
      <w:proofErr w:type="spellStart"/>
      <w:r w:rsidR="006C4967" w:rsidRPr="00AD2EA1">
        <w:rPr>
          <w:highlight w:val="yellow"/>
        </w:rPr>
        <w:t xml:space="preserve">ubiello </w:t>
      </w:r>
      <w:proofErr w:type="spellEnd"/>
      <w:r w:rsidR="006C4967" w:rsidRPr="00AD2EA1">
        <w:rPr>
          <w:highlight w:val="yellow"/>
        </w:rPr>
        <w:t>et al., 2015)</w:t>
      </w:r>
      <w:r w:rsidRPr="00AD2EA1">
        <w:rPr>
          <w:highlight w:val="yellow"/>
        </w:rPr>
        <w:t>.</w:t>
      </w:r>
      <w:r>
        <w:t xml:space="preserve"> </w:t>
      </w:r>
      <w:r w:rsidR="00994A4A">
        <w:t xml:space="preserve">Agricultural soils are at the </w:t>
      </w:r>
      <w:proofErr w:type="spellStart"/>
      <w:r w:rsidR="00994A4A">
        <w:t>centre</w:t>
      </w:r>
      <w:proofErr w:type="spellEnd"/>
      <w:r w:rsidR="00994A4A">
        <w:t xml:space="preserve"> of current debates on “nature-based solutions” for climate mitigation. Cropland and grazing lands occupy a large share of the global land surface and have lost substantial amounts of soil organic carbon (SOC) through historical conversion and intensive management (</w:t>
      </w:r>
      <w:proofErr w:type="spellStart"/>
      <w:r w:rsidR="00994A4A">
        <w:t>Amelung</w:t>
      </w:r>
      <w:proofErr w:type="spellEnd"/>
      <w:r w:rsidR="00994A4A">
        <w:t xml:space="preserve"> et al., 2020; </w:t>
      </w:r>
      <w:proofErr w:type="spellStart"/>
      <w:r w:rsidR="00994A4A">
        <w:t>Wiesmeier</w:t>
      </w:r>
      <w:proofErr w:type="spellEnd"/>
      <w:r w:rsidR="00994A4A">
        <w:t xml:space="preserve"> et al., 2019). Restoring part of this lost carbon through improved land management is presented as an opportunity to slow climate change while simultaneously improving soil health, yields, and resilience to extreme events (</w:t>
      </w:r>
      <w:proofErr w:type="spellStart"/>
      <w:r w:rsidR="00994A4A">
        <w:t>Minasny</w:t>
      </w:r>
      <w:proofErr w:type="spellEnd"/>
      <w:r w:rsidR="00994A4A">
        <w:t xml:space="preserve"> et al., 2017; </w:t>
      </w:r>
      <w:proofErr w:type="spellStart"/>
      <w:r w:rsidR="00994A4A">
        <w:t>Zomer</w:t>
      </w:r>
      <w:proofErr w:type="spellEnd"/>
      <w:r w:rsidR="00994A4A">
        <w:t xml:space="preserve"> et al., 2017).</w:t>
      </w:r>
      <w:r w:rsidR="00AC723A">
        <w:t xml:space="preserve"> </w:t>
      </w:r>
      <w:r w:rsidR="00AC723A" w:rsidRPr="00AD2EA1">
        <w:rPr>
          <w:highlight w:val="yellow"/>
        </w:rPr>
        <w:t>Long-term carbon storage is also facilitated by land-use changes like agroforestry and afforestation. Environmental factors, microbial interactions, and soil characteristics all affect how stable sequestered carbon. However, elements including land degradation, agricultural intensification, and climatic variability affect how effective sequestration is. More carbon is stored in soil than in the atmosphere and vegetation combined, making it the largest terrestrial carbon reservoir</w:t>
      </w:r>
      <w:r w:rsidR="00AC723A" w:rsidRPr="00AC723A">
        <w:rPr>
          <w:highlight w:val="yellow"/>
        </w:rPr>
        <w:t xml:space="preserve"> (</w:t>
      </w:r>
      <w:proofErr w:type="spellStart"/>
      <w:r w:rsidR="00AC723A" w:rsidRPr="00AD2EA1">
        <w:rPr>
          <w:highlight w:val="yellow"/>
        </w:rPr>
        <w:t>Ghimirey</w:t>
      </w:r>
      <w:proofErr w:type="spellEnd"/>
      <w:r w:rsidR="00AC723A" w:rsidRPr="00AD2EA1">
        <w:rPr>
          <w:highlight w:val="yellow"/>
        </w:rPr>
        <w:t xml:space="preserve"> et al., 2025</w:t>
      </w:r>
      <w:r w:rsidR="00AC723A" w:rsidRPr="00AC723A">
        <w:rPr>
          <w:highlight w:val="yellow"/>
        </w:rPr>
        <w:t xml:space="preserve">; </w:t>
      </w:r>
      <w:r w:rsidR="00AC723A" w:rsidRPr="00AD2EA1">
        <w:rPr>
          <w:highlight w:val="yellow"/>
        </w:rPr>
        <w:t>Patel et al., 2023; Schlesinger &amp; Andrews, 2000; Hu et al., 2021, IPCC, 2019</w:t>
      </w:r>
      <w:r w:rsidR="00AC723A" w:rsidRPr="00AC723A">
        <w:rPr>
          <w:highlight w:val="yellow"/>
        </w:rPr>
        <w:t>)</w:t>
      </w:r>
      <w:r w:rsidR="00AC723A" w:rsidRPr="00AD2EA1">
        <w:rPr>
          <w:highlight w:val="yellow"/>
        </w:rPr>
        <w:t>.</w:t>
      </w:r>
    </w:p>
    <w:p w:rsidR="00994A4A" w:rsidRDefault="00994A4A" w:rsidP="005043D9">
      <w:pPr>
        <w:pStyle w:val="NormalWeb"/>
        <w:jc w:val="both"/>
      </w:pPr>
      <w:r>
        <w:t xml:space="preserve">The policy salience of soil carbon was amplified by the “four per thousand” initiative launched at the Paris climate conference, which popularized the idea that a modest annual increase in SOC stocks in the upper </w:t>
      </w:r>
      <w:proofErr w:type="spellStart"/>
      <w:r>
        <w:t>metre</w:t>
      </w:r>
      <w:proofErr w:type="spellEnd"/>
      <w:r>
        <w:t xml:space="preserve"> of soil could offset a significant fraction of anthropogenic emissions (</w:t>
      </w:r>
      <w:proofErr w:type="spellStart"/>
      <w:r>
        <w:t>Minasny</w:t>
      </w:r>
      <w:proofErr w:type="spellEnd"/>
      <w:r>
        <w:t xml:space="preserve"> et al., 2017; </w:t>
      </w:r>
      <w:proofErr w:type="spellStart"/>
      <w:r>
        <w:t>Soussana</w:t>
      </w:r>
      <w:proofErr w:type="spellEnd"/>
      <w:r>
        <w:t xml:space="preserve"> et al., 2019). Subsequent assessments, however, have painted a more nuanced picture. Global meta-analyses indicate that substantial sequestration is technically possible in many agricultural regions but that potentials are strongly constrained by biophysical context, past land-use history, and management feasibility (</w:t>
      </w:r>
      <w:proofErr w:type="spellStart"/>
      <w:r>
        <w:t>Amelung</w:t>
      </w:r>
      <w:proofErr w:type="spellEnd"/>
      <w:r>
        <w:t xml:space="preserve"> et al., 2020; </w:t>
      </w:r>
      <w:proofErr w:type="spellStart"/>
      <w:r>
        <w:t>Lessmann</w:t>
      </w:r>
      <w:proofErr w:type="spellEnd"/>
      <w:r>
        <w:t xml:space="preserve"> et al., 2022; </w:t>
      </w:r>
      <w:proofErr w:type="spellStart"/>
      <w:r>
        <w:t>Padarian</w:t>
      </w:r>
      <w:proofErr w:type="spellEnd"/>
      <w:r>
        <w:t xml:space="preserve"> et al., 2022).</w:t>
      </w:r>
    </w:p>
    <w:p w:rsidR="00994A4A" w:rsidRDefault="00994A4A" w:rsidP="005043D9">
      <w:pPr>
        <w:pStyle w:val="NormalWeb"/>
        <w:jc w:val="both"/>
      </w:pPr>
      <w:r>
        <w:t xml:space="preserve">At </w:t>
      </w:r>
      <w:r w:rsidR="00AC723A" w:rsidRPr="00AD2EA1">
        <w:rPr>
          <w:highlight w:val="yellow"/>
        </w:rPr>
        <w:t xml:space="preserve">the </w:t>
      </w:r>
      <w:r w:rsidRPr="00AD2EA1">
        <w:rPr>
          <w:highlight w:val="yellow"/>
        </w:rPr>
        <w:t>far</w:t>
      </w:r>
      <w:r>
        <w:t>m scale, soil carbon sequestration is not a single practice but the emergent outcome of multiple management decisions, including tillage, residue handling, crop diversity, fertilization, livestock integration, and the use of organic amendments or perennial vegetation (</w:t>
      </w:r>
      <w:proofErr w:type="spellStart"/>
      <w:r>
        <w:t>Chenu</w:t>
      </w:r>
      <w:proofErr w:type="spellEnd"/>
      <w:r>
        <w:t xml:space="preserve"> et al., 2019; </w:t>
      </w:r>
      <w:proofErr w:type="spellStart"/>
      <w:r>
        <w:t>Giller</w:t>
      </w:r>
      <w:proofErr w:type="spellEnd"/>
      <w:r>
        <w:t xml:space="preserve"> et al., 2021). Regenerative agriculture and related paradigms have further broadened this agenda by embedding soil carbon enhancement within holistic strategies for ecological and social regeneration (Newton et al., 2020; </w:t>
      </w:r>
      <w:proofErr w:type="spellStart"/>
      <w:r>
        <w:t>Giller</w:t>
      </w:r>
      <w:proofErr w:type="spellEnd"/>
      <w:r>
        <w:t xml:space="preserve"> et al., 2021).</w:t>
      </w:r>
    </w:p>
    <w:p w:rsidR="00994A4A" w:rsidRDefault="00994A4A" w:rsidP="005043D9">
      <w:pPr>
        <w:pStyle w:val="NormalWeb"/>
        <w:jc w:val="both"/>
      </w:pPr>
      <w:r>
        <w:t>At the same time, there is growing recognition that carbon-</w:t>
      </w:r>
      <w:proofErr w:type="spellStart"/>
      <w:r>
        <w:t>centred</w:t>
      </w:r>
      <w:proofErr w:type="spellEnd"/>
      <w:r>
        <w:t xml:space="preserve"> narratives risk overselling both the climate benefits and the ease of implementation. Critical work has highlighted the limited duration of sequestration before new equilibria are reached, trade-offs with nitrous oxide emissions and nutrient constraints, and the challenges of verifying and crediting changes in SOC at scale (</w:t>
      </w:r>
      <w:proofErr w:type="spellStart"/>
      <w:r>
        <w:t>Rumpel</w:t>
      </w:r>
      <w:proofErr w:type="spellEnd"/>
      <w:r>
        <w:t xml:space="preserve"> et al., 2020; van </w:t>
      </w:r>
      <w:proofErr w:type="spellStart"/>
      <w:r>
        <w:t>Groenigen</w:t>
      </w:r>
      <w:proofErr w:type="spellEnd"/>
      <w:r>
        <w:t xml:space="preserve"> et al., 2017; Nayak et al., 2019). Empirical studies document substantial heterogeneity in sequestration rates across farms and landscapes, with site effects often dominating management effects (</w:t>
      </w:r>
      <w:proofErr w:type="spellStart"/>
      <w:r>
        <w:t>Rosinger</w:t>
      </w:r>
      <w:proofErr w:type="spellEnd"/>
      <w:r>
        <w:t xml:space="preserve"> et al., 2023), and reveal complex farmer attitudes towards “carbon farming” programs (Mattila et al., 2022; Buck et al., 2022).</w:t>
      </w:r>
    </w:p>
    <w:p w:rsidR="00994A4A" w:rsidRDefault="00994A4A" w:rsidP="005043D9">
      <w:pPr>
        <w:pStyle w:val="NormalWeb"/>
        <w:jc w:val="both"/>
      </w:pPr>
      <w:r>
        <w:t>This review focuses on emerging pathways and barriers to carbon sequestration in agricultural soils, with an emphasis on farmland systems (croplands and managed pastures). We synthesize recent evidence to answer four interrelated questions:</w:t>
      </w:r>
    </w:p>
    <w:p w:rsidR="00994A4A" w:rsidRDefault="00994A4A" w:rsidP="005043D9">
      <w:pPr>
        <w:pStyle w:val="NormalWeb"/>
        <w:numPr>
          <w:ilvl w:val="0"/>
          <w:numId w:val="6"/>
        </w:numPr>
        <w:jc w:val="both"/>
      </w:pPr>
      <w:r>
        <w:t>What are the dominant and emerging biophysical pathways through which agricultural management can increase soil carbon stocks?</w:t>
      </w:r>
    </w:p>
    <w:p w:rsidR="00994A4A" w:rsidRDefault="00994A4A" w:rsidP="005043D9">
      <w:pPr>
        <w:pStyle w:val="NormalWeb"/>
        <w:numPr>
          <w:ilvl w:val="0"/>
          <w:numId w:val="6"/>
        </w:numPr>
        <w:jc w:val="both"/>
      </w:pPr>
      <w:r>
        <w:lastRenderedPageBreak/>
        <w:t>How large and persistent are the agronomic and environmental co-benefits and trade-offs associated with these pathways?</w:t>
      </w:r>
    </w:p>
    <w:p w:rsidR="00994A4A" w:rsidRDefault="00994A4A" w:rsidP="005043D9">
      <w:pPr>
        <w:pStyle w:val="NormalWeb"/>
        <w:numPr>
          <w:ilvl w:val="0"/>
          <w:numId w:val="6"/>
        </w:numPr>
        <w:jc w:val="both"/>
      </w:pPr>
      <w:r>
        <w:t>How are advances in MRV reshaping the feasibility and integrity of soil carbon programs and markets?</w:t>
      </w:r>
    </w:p>
    <w:p w:rsidR="00994A4A" w:rsidRDefault="00994A4A" w:rsidP="005043D9">
      <w:pPr>
        <w:pStyle w:val="NormalWeb"/>
        <w:numPr>
          <w:ilvl w:val="0"/>
          <w:numId w:val="6"/>
        </w:numPr>
        <w:jc w:val="both"/>
      </w:pPr>
      <w:r>
        <w:t>What socioeconomic, institutional, and equity barriers constrain adoption, and what design principles emerge for farmer-</w:t>
      </w:r>
      <w:proofErr w:type="spellStart"/>
      <w:r>
        <w:t>centred</w:t>
      </w:r>
      <w:proofErr w:type="spellEnd"/>
      <w:r>
        <w:t>, high-integrity soil carbon strategies?</w:t>
      </w:r>
    </w:p>
    <w:p w:rsidR="00994A4A" w:rsidRDefault="00994A4A" w:rsidP="005043D9">
      <w:pPr>
        <w:pStyle w:val="NormalWeb"/>
        <w:jc w:val="both"/>
      </w:pPr>
      <w:r>
        <w:t>By integrating biophysical, technological, and social perspectives, this review aims to inform both scientific debates and ongoing policy and market initiatives that seek to mobilize agricultural soils for climate mitigation without compromising food security or social justice.</w:t>
      </w:r>
    </w:p>
    <w:p w:rsidR="00994A4A" w:rsidRDefault="00994A4A" w:rsidP="005043D9">
      <w:pPr>
        <w:jc w:val="both"/>
      </w:pPr>
    </w:p>
    <w:p w:rsidR="00994A4A" w:rsidRDefault="00994A4A" w:rsidP="005043D9">
      <w:pPr>
        <w:pStyle w:val="Heading2"/>
        <w:jc w:val="both"/>
      </w:pPr>
      <w:bookmarkStart w:id="4" w:name="_Toc214897613"/>
      <w:r>
        <w:t>2. Conceptual foundations of soil carbon sequestration in farmland</w:t>
      </w:r>
      <w:bookmarkEnd w:id="4"/>
    </w:p>
    <w:p w:rsidR="00994A4A" w:rsidRDefault="00994A4A" w:rsidP="005043D9">
      <w:pPr>
        <w:pStyle w:val="Heading3"/>
        <w:jc w:val="both"/>
      </w:pPr>
      <w:bookmarkStart w:id="5" w:name="_Toc214897614"/>
      <w:r>
        <w:t>2.1 Soil carbon pools, dynamics, and saturation</w:t>
      </w:r>
      <w:bookmarkEnd w:id="5"/>
    </w:p>
    <w:p w:rsidR="00994A4A" w:rsidRDefault="00994A4A" w:rsidP="005043D9">
      <w:pPr>
        <w:pStyle w:val="NormalWeb"/>
        <w:jc w:val="both"/>
      </w:pPr>
      <w:r>
        <w:t xml:space="preserve">Soil organic carbon in agricultural systems is stored across a continuum of pools with different turnover times, from particulate organic matter and root residues that cycle over seasons to organo-mineral associations and microbial </w:t>
      </w:r>
      <w:proofErr w:type="spellStart"/>
      <w:r>
        <w:t>necromass</w:t>
      </w:r>
      <w:proofErr w:type="spellEnd"/>
      <w:r>
        <w:t xml:space="preserve"> with residence times of decades or longer (</w:t>
      </w:r>
      <w:proofErr w:type="spellStart"/>
      <w:r>
        <w:t>Wiesmeier</w:t>
      </w:r>
      <w:proofErr w:type="spellEnd"/>
      <w:r>
        <w:t xml:space="preserve"> et al., 2019; Liang et al., 2019). Agricultural management alters both inputs to these pools—through plant production, root turnover, manures, and other organic amendments—and outputs, mostly as carbon dioxide released via decomposition and disturbance.</w:t>
      </w:r>
    </w:p>
    <w:p w:rsidR="00994A4A" w:rsidRDefault="00994A4A" w:rsidP="005043D9">
      <w:pPr>
        <w:pStyle w:val="NormalWeb"/>
        <w:jc w:val="both"/>
      </w:pPr>
      <w:r>
        <w:t>Conservation practices such as reduced tillage, residue retention, and cover cropping generally aim to increase carbon inputs and decrease disturbance-driven losses, thereby shifting SOC towards higher levels (</w:t>
      </w:r>
      <w:proofErr w:type="spellStart"/>
      <w:r>
        <w:t>Chenu</w:t>
      </w:r>
      <w:proofErr w:type="spellEnd"/>
      <w:r>
        <w:t xml:space="preserve"> et al., 2019; </w:t>
      </w:r>
      <w:proofErr w:type="spellStart"/>
      <w:r>
        <w:t>Lessmann</w:t>
      </w:r>
      <w:proofErr w:type="spellEnd"/>
      <w:r>
        <w:t xml:space="preserve"> et al., 2022). However, soils exhibit saturation </w:t>
      </w:r>
      <w:proofErr w:type="spellStart"/>
      <w:r>
        <w:t>behaviour</w:t>
      </w:r>
      <w:proofErr w:type="spellEnd"/>
      <w:r>
        <w:t>: for a given mineral matrix, climate, and hydrology, there is an upper bound to the amount of stable carbon that can be stored, and sequestration rates decline as this ceiling is approached (</w:t>
      </w:r>
      <w:proofErr w:type="spellStart"/>
      <w:r>
        <w:t>Amelung</w:t>
      </w:r>
      <w:proofErr w:type="spellEnd"/>
      <w:r>
        <w:t xml:space="preserve"> et al., 2020). Soils that have lost much of their historic carbon due to degradation tend to show larger and faster gains under improved management than soils already near their equilibrium (</w:t>
      </w:r>
      <w:proofErr w:type="spellStart"/>
      <w:r>
        <w:t>Minasny</w:t>
      </w:r>
      <w:proofErr w:type="spellEnd"/>
      <w:r>
        <w:t xml:space="preserve"> et al., 2017; </w:t>
      </w:r>
      <w:proofErr w:type="spellStart"/>
      <w:r>
        <w:t>Rosinger</w:t>
      </w:r>
      <w:proofErr w:type="spellEnd"/>
      <w:r>
        <w:t xml:space="preserve"> et al., 2023).</w:t>
      </w:r>
    </w:p>
    <w:p w:rsidR="00994A4A" w:rsidRDefault="00994A4A" w:rsidP="005043D9">
      <w:pPr>
        <w:pStyle w:val="NormalWeb"/>
        <w:jc w:val="both"/>
      </w:pPr>
      <w:r>
        <w:t xml:space="preserve">Depth is another critical dimension. Many field trials and inventories focus on the upper 30 </w:t>
      </w:r>
      <w:proofErr w:type="spellStart"/>
      <w:r>
        <w:t>centimetres</w:t>
      </w:r>
      <w:proofErr w:type="spellEnd"/>
      <w:r>
        <w:t>, where management effects are most pronounced. Yet substantial carbon is stored deeper, and practices that promote deep rooting or perennial cover may shift carbon into subsoil horizons, potentially increasing persistence but also complicating measurement (</w:t>
      </w:r>
      <w:proofErr w:type="spellStart"/>
      <w:r>
        <w:t>Zomer</w:t>
      </w:r>
      <w:proofErr w:type="spellEnd"/>
      <w:r>
        <w:t xml:space="preserve"> et al., 2017; Liang et al., 2019).</w:t>
      </w:r>
    </w:p>
    <w:p w:rsidR="00994A4A" w:rsidRDefault="00994A4A" w:rsidP="005043D9">
      <w:pPr>
        <w:pStyle w:val="Heading3"/>
        <w:jc w:val="both"/>
      </w:pPr>
      <w:bookmarkStart w:id="6" w:name="_Toc214897615"/>
      <w:r>
        <w:t>2.2 Technical versus realistic sequestration potentials</w:t>
      </w:r>
      <w:bookmarkEnd w:id="6"/>
    </w:p>
    <w:p w:rsidR="00994A4A" w:rsidRDefault="00994A4A" w:rsidP="005043D9">
      <w:pPr>
        <w:pStyle w:val="NormalWeb"/>
        <w:jc w:val="both"/>
      </w:pPr>
      <w:r>
        <w:t>A key conceptual distinction is between technical potential—what could be achieved if best management practices were adopted everywhere they are biophysically suitable—and realistic or economic potential, which accounts for adoption constraints, opportunity costs, and policy frameworks (</w:t>
      </w:r>
      <w:proofErr w:type="spellStart"/>
      <w:r>
        <w:t>Amelung</w:t>
      </w:r>
      <w:proofErr w:type="spellEnd"/>
      <w:r>
        <w:t xml:space="preserve"> et al., 2020; </w:t>
      </w:r>
      <w:proofErr w:type="spellStart"/>
      <w:r>
        <w:t>Lessmann</w:t>
      </w:r>
      <w:proofErr w:type="spellEnd"/>
      <w:r>
        <w:t xml:space="preserve"> et al., 2022).</w:t>
      </w:r>
    </w:p>
    <w:p w:rsidR="00994A4A" w:rsidRDefault="00994A4A" w:rsidP="005043D9">
      <w:pPr>
        <w:pStyle w:val="NormalWeb"/>
        <w:jc w:val="both"/>
      </w:pPr>
      <w:r>
        <w:lastRenderedPageBreak/>
        <w:t xml:space="preserve">Global syntheses suggest that improved cropland management (including optimized fertilization, reduced tillage, cover cropping, and enhanced residue return) could sequester several hundred million </w:t>
      </w:r>
      <w:proofErr w:type="spellStart"/>
      <w:r>
        <w:t>tonnes</w:t>
      </w:r>
      <w:proofErr w:type="spellEnd"/>
      <w:r>
        <w:t xml:space="preserve"> of carbon annually under optimistic assumptions (</w:t>
      </w:r>
      <w:proofErr w:type="spellStart"/>
      <w:r>
        <w:t>Minasny</w:t>
      </w:r>
      <w:proofErr w:type="spellEnd"/>
      <w:r>
        <w:t xml:space="preserve"> et al., 2017; </w:t>
      </w:r>
      <w:proofErr w:type="spellStart"/>
      <w:r>
        <w:t>Lessmann</w:t>
      </w:r>
      <w:proofErr w:type="spellEnd"/>
      <w:r>
        <w:t xml:space="preserve"> et al., 2022). </w:t>
      </w:r>
      <w:proofErr w:type="spellStart"/>
      <w:r>
        <w:t>Zomer</w:t>
      </w:r>
      <w:proofErr w:type="spellEnd"/>
      <w:r>
        <w:t xml:space="preserve"> et al. (2017) and </w:t>
      </w:r>
      <w:proofErr w:type="spellStart"/>
      <w:r>
        <w:t>Padarian</w:t>
      </w:r>
      <w:proofErr w:type="spellEnd"/>
      <w:r>
        <w:t xml:space="preserve"> et al. (2022) show that much of this potential lies in regions with large historic carbon losses, yield gaps, and degraded soils, often in the Global South.</w:t>
      </w:r>
    </w:p>
    <w:p w:rsidR="00994A4A" w:rsidRDefault="00994A4A" w:rsidP="005043D9">
      <w:pPr>
        <w:pStyle w:val="NormalWeb"/>
        <w:jc w:val="both"/>
      </w:pPr>
      <w:r>
        <w:t>However, these numbers assume near-universal adoption of practices that compete with other land uses, require capital and knowledge, and may entail short-term yield or income risks (</w:t>
      </w:r>
      <w:proofErr w:type="spellStart"/>
      <w:r>
        <w:t>Jat</w:t>
      </w:r>
      <w:proofErr w:type="spellEnd"/>
      <w:r>
        <w:t xml:space="preserve"> et al., 2022; </w:t>
      </w:r>
      <w:proofErr w:type="spellStart"/>
      <w:r>
        <w:t>Piñeiro</w:t>
      </w:r>
      <w:proofErr w:type="spellEnd"/>
      <w:r>
        <w:t xml:space="preserve"> et al., 2020). Accounting for adoption constraints and the limited duration of sequestration before a new equilibrium is reached, </w:t>
      </w:r>
      <w:proofErr w:type="spellStart"/>
      <w:r>
        <w:t>Amelung</w:t>
      </w:r>
      <w:proofErr w:type="spellEnd"/>
      <w:r>
        <w:t xml:space="preserve"> et al. (2020) argue that agricultural soil carbon can make an important but finite contribution to net-zero pathways. Recognizing these limits is essential for tempering expectations and avoiding over-reliance on soil carbon credits to offset continued fossil fuel emissions (</w:t>
      </w:r>
      <w:proofErr w:type="spellStart"/>
      <w:r>
        <w:t>Rumpel</w:t>
      </w:r>
      <w:proofErr w:type="spellEnd"/>
      <w:r>
        <w:t xml:space="preserve"> et al., 2020).</w:t>
      </w:r>
    </w:p>
    <w:p w:rsidR="00994A4A" w:rsidRDefault="00994A4A" w:rsidP="005043D9">
      <w:pPr>
        <w:jc w:val="both"/>
      </w:pPr>
    </w:p>
    <w:p w:rsidR="00994A4A" w:rsidRDefault="00994A4A" w:rsidP="005043D9">
      <w:pPr>
        <w:pStyle w:val="Heading2"/>
        <w:jc w:val="both"/>
      </w:pPr>
      <w:bookmarkStart w:id="7" w:name="_Toc214897616"/>
      <w:r>
        <w:t>3. Emerging biophysical pathways for soil carbon sequestration</w:t>
      </w:r>
      <w:bookmarkEnd w:id="7"/>
    </w:p>
    <w:p w:rsidR="00994A4A" w:rsidRDefault="00994A4A" w:rsidP="005043D9">
      <w:pPr>
        <w:pStyle w:val="Heading3"/>
        <w:jc w:val="both"/>
      </w:pPr>
      <w:bookmarkStart w:id="8" w:name="_Toc214897617"/>
      <w:r>
        <w:t>3.1 Improved cropland management</w:t>
      </w:r>
      <w:bookmarkEnd w:id="8"/>
    </w:p>
    <w:p w:rsidR="00994A4A" w:rsidRDefault="00994A4A" w:rsidP="005043D9">
      <w:pPr>
        <w:pStyle w:val="NormalWeb"/>
        <w:jc w:val="both"/>
      </w:pPr>
      <w:r>
        <w:t xml:space="preserve">Conservation tillage, cover cropping, diversified rotations, and enhanced residue management remain the backbone of soil carbon strategies in annual cropping systems. A large meta-analysis by </w:t>
      </w:r>
      <w:proofErr w:type="spellStart"/>
      <w:r>
        <w:t>Lessmann</w:t>
      </w:r>
      <w:proofErr w:type="spellEnd"/>
      <w:r>
        <w:t xml:space="preserve"> et al. (2022) found that, globally, improved cropland management could increase SOC stocks in topsoil by moderate amounts, with greatest gains where baseline SOC is low and climates are temperate or humid.</w:t>
      </w:r>
    </w:p>
    <w:p w:rsidR="00994A4A" w:rsidRDefault="00994A4A" w:rsidP="005043D9">
      <w:pPr>
        <w:pStyle w:val="NormalWeb"/>
        <w:jc w:val="both"/>
      </w:pPr>
      <w:r>
        <w:t xml:space="preserve">Cover crops have received particular attention. </w:t>
      </w:r>
      <w:proofErr w:type="spellStart"/>
      <w:r>
        <w:t>Vendig</w:t>
      </w:r>
      <w:proofErr w:type="spellEnd"/>
      <w:r>
        <w:t xml:space="preserve"> et al. (2023) show that cover cropping often increases both SOC and yields, especially in low-carbon soils, suggesting synergies rather than trade-offs in many contexts. Their global synthesis indicates that nearly sixty percent of observations showed simultaneous gains in SOC and yield, although yield penalties can occur when water or nitrogen are limiting.</w:t>
      </w:r>
    </w:p>
    <w:p w:rsidR="00994A4A" w:rsidRDefault="00994A4A" w:rsidP="005043D9">
      <w:pPr>
        <w:pStyle w:val="NormalWeb"/>
        <w:jc w:val="both"/>
      </w:pPr>
      <w:r>
        <w:t>Residue retention and organic fertilization also support SOC accumulation by increasing carbon inputs and fostering microbial activity (</w:t>
      </w:r>
      <w:proofErr w:type="spellStart"/>
      <w:r>
        <w:t>Chenu</w:t>
      </w:r>
      <w:proofErr w:type="spellEnd"/>
      <w:r>
        <w:t xml:space="preserve"> et al., 2019; </w:t>
      </w:r>
      <w:proofErr w:type="spellStart"/>
      <w:r>
        <w:t>Lessmann</w:t>
      </w:r>
      <w:proofErr w:type="spellEnd"/>
      <w:r>
        <w:t xml:space="preserve"> et al., 2022). However, the net climate effect depends on associated nitrous oxide emissions and the life-cycle emissions of external inputs (van </w:t>
      </w:r>
      <w:proofErr w:type="spellStart"/>
      <w:r>
        <w:t>Groenigen</w:t>
      </w:r>
      <w:proofErr w:type="spellEnd"/>
      <w:r>
        <w:t xml:space="preserve"> et al., 2017; Nayak et al., 2019). Optimizing nitrogen management alongside SOC-oriented practices is therefore critical to avoid situations where increased SOC is offset by higher nitrous oxide emissions.</w:t>
      </w:r>
    </w:p>
    <w:p w:rsidR="00994A4A" w:rsidRDefault="00994A4A" w:rsidP="005043D9">
      <w:pPr>
        <w:pStyle w:val="Heading3"/>
        <w:jc w:val="both"/>
      </w:pPr>
      <w:bookmarkStart w:id="9" w:name="_Toc214897618"/>
      <w:r>
        <w:t>3.2 Perennial crops, deep rooting, and agroforestry</w:t>
      </w:r>
      <w:bookmarkEnd w:id="9"/>
    </w:p>
    <w:p w:rsidR="00994A4A" w:rsidRDefault="00994A4A" w:rsidP="005043D9">
      <w:pPr>
        <w:pStyle w:val="NormalWeb"/>
        <w:jc w:val="both"/>
      </w:pPr>
      <w:r>
        <w:t xml:space="preserve">Perennial crops, deep-rooting annuals, and agroforestry systems offer pathways to move carbon deeper into the profile and to increase below-ground biomass inputs. Agroforestry and vineyard systems are particularly well studied. </w:t>
      </w:r>
      <w:proofErr w:type="spellStart"/>
      <w:r>
        <w:t>Payen</w:t>
      </w:r>
      <w:proofErr w:type="spellEnd"/>
      <w:r>
        <w:t xml:space="preserve"> et al. (2021) report that vineyard systems with grassed alleys, reduced tillage, and organic amendments can accumulate SOC at rates that are competitive with, or higher than, many arable systems, especially when management is sustained over decades.</w:t>
      </w:r>
    </w:p>
    <w:p w:rsidR="00994A4A" w:rsidRDefault="00994A4A" w:rsidP="005043D9">
      <w:pPr>
        <w:pStyle w:val="NormalWeb"/>
        <w:jc w:val="both"/>
      </w:pPr>
      <w:r>
        <w:lastRenderedPageBreak/>
        <w:t xml:space="preserve">Agroforestry and </w:t>
      </w:r>
      <w:proofErr w:type="spellStart"/>
      <w:r>
        <w:t>silvopastoral</w:t>
      </w:r>
      <w:proofErr w:type="spellEnd"/>
      <w:r>
        <w:t xml:space="preserve"> systems add woody biomass, litter, and root exudates, often enhancing SOC stocks while providing shade, microclimate buffering, and diversified income streams. Although not all agroforestry configurations increase SOC uniformly, multiple reviews suggest that well-designed systems can enhance carbon stocks in both biomass and soil relative to treeless reference systems (</w:t>
      </w:r>
      <w:proofErr w:type="spellStart"/>
      <w:r>
        <w:t>Amelung</w:t>
      </w:r>
      <w:proofErr w:type="spellEnd"/>
      <w:r>
        <w:t xml:space="preserve"> et al., 2020; </w:t>
      </w:r>
      <w:proofErr w:type="spellStart"/>
      <w:r>
        <w:t>Zomer</w:t>
      </w:r>
      <w:proofErr w:type="spellEnd"/>
      <w:r>
        <w:t xml:space="preserve"> et al., 2017).</w:t>
      </w:r>
    </w:p>
    <w:p w:rsidR="00994A4A" w:rsidRDefault="00994A4A" w:rsidP="005043D9">
      <w:pPr>
        <w:pStyle w:val="NormalWeb"/>
        <w:jc w:val="both"/>
      </w:pPr>
      <w:r>
        <w:t>Breeding for deeper and more extensive root systems represents a more emergent pathway. By shifting carbon inputs to subsoil layers that are less oxygenated and more protected by organo-mineral interactions, deep-rooting genotypes could increase the stability of sequestered carbon (Liang et al., 2019). While this approach is still largely experimental, it aligns with growing interest in integrating below-ground traits into crop improvement goals for climate resilience and carbon storage.</w:t>
      </w:r>
    </w:p>
    <w:p w:rsidR="00994A4A" w:rsidRDefault="00994A4A" w:rsidP="005043D9">
      <w:pPr>
        <w:pStyle w:val="Heading3"/>
        <w:jc w:val="both"/>
      </w:pPr>
      <w:bookmarkStart w:id="10" w:name="_Toc214897619"/>
      <w:r>
        <w:t>3.3 Regenerative agriculture and system-level transitions</w:t>
      </w:r>
      <w:bookmarkEnd w:id="10"/>
    </w:p>
    <w:p w:rsidR="00994A4A" w:rsidRDefault="00994A4A" w:rsidP="005043D9">
      <w:pPr>
        <w:pStyle w:val="NormalWeb"/>
        <w:jc w:val="both"/>
      </w:pPr>
      <w:r>
        <w:t xml:space="preserve">Regenerative agriculture has rapidly gained prominence as a </w:t>
      </w:r>
      <w:proofErr w:type="gramStart"/>
      <w:r>
        <w:t>systems</w:t>
      </w:r>
      <w:proofErr w:type="gramEnd"/>
      <w:r>
        <w:t xml:space="preserve"> approach that foregrounds soil health, biodiversity, and farmer well-being. Definitions are contested, but most emphasize minimal soil disturbance, continuous soil cover, diverse rotations, integration of livestock, and reliance on organic inputs (Newton et al., 2020; </w:t>
      </w:r>
      <w:proofErr w:type="spellStart"/>
      <w:r>
        <w:t>Giller</w:t>
      </w:r>
      <w:proofErr w:type="spellEnd"/>
      <w:r>
        <w:t xml:space="preserve"> et al., 2021).</w:t>
      </w:r>
    </w:p>
    <w:p w:rsidR="00994A4A" w:rsidRDefault="00994A4A" w:rsidP="005043D9">
      <w:pPr>
        <w:pStyle w:val="NormalWeb"/>
        <w:jc w:val="both"/>
      </w:pPr>
      <w:proofErr w:type="spellStart"/>
      <w:r>
        <w:t>Giller</w:t>
      </w:r>
      <w:proofErr w:type="spellEnd"/>
      <w:r>
        <w:t xml:space="preserve"> et al. (2021) caution that regenerative agriculture is not a silver bullet and that some claims about its carbon sequestration potential are overstated. They argue for an agronomic perspective that distinguishes between principles, practices, and outcomes, and that situates regenerative approaches within existing knowledge on conservation agriculture and agroecology. Newton et al. (2020) similarly highlight definitional diversity and call for outcome-based assessments rather than practice checklists.</w:t>
      </w:r>
    </w:p>
    <w:p w:rsidR="00994A4A" w:rsidRDefault="00994A4A" w:rsidP="005043D9">
      <w:pPr>
        <w:pStyle w:val="NormalWeb"/>
        <w:jc w:val="both"/>
      </w:pPr>
      <w:r>
        <w:t>Recent empirical studies suggest that regenerative practices can enhance SOC where they substantially increase carbon inputs, reduce disturbance, and improve ground cover, especially on previously degraded land (</w:t>
      </w:r>
      <w:proofErr w:type="spellStart"/>
      <w:r>
        <w:t>Villat</w:t>
      </w:r>
      <w:proofErr w:type="spellEnd"/>
      <w:r>
        <w:t xml:space="preserve"> &amp; Nicholas, 2024; </w:t>
      </w:r>
      <w:proofErr w:type="spellStart"/>
      <w:r>
        <w:t>Jat</w:t>
      </w:r>
      <w:proofErr w:type="spellEnd"/>
      <w:r>
        <w:t xml:space="preserve"> et al., 2022). However, </w:t>
      </w:r>
      <w:proofErr w:type="spellStart"/>
      <w:r>
        <w:t>Rosinger</w:t>
      </w:r>
      <w:proofErr w:type="spellEnd"/>
      <w:r>
        <w:t xml:space="preserve"> et al. (2023) demonstrate that site effects—such as soil texture, initial SOC, and climate—often outweigh management effects at farm scale, cautioning against uniform expectations for regenerative systems.</w:t>
      </w:r>
    </w:p>
    <w:p w:rsidR="00994A4A" w:rsidRDefault="00994A4A" w:rsidP="005043D9">
      <w:pPr>
        <w:pStyle w:val="Heading3"/>
        <w:jc w:val="both"/>
      </w:pPr>
      <w:bookmarkStart w:id="11" w:name="_Toc214897620"/>
      <w:r>
        <w:t>3.4 Engineered amendments and novel technologies</w:t>
      </w:r>
      <w:bookmarkEnd w:id="11"/>
    </w:p>
    <w:p w:rsidR="00994A4A" w:rsidRDefault="00994A4A" w:rsidP="005043D9">
      <w:pPr>
        <w:pStyle w:val="NormalWeb"/>
        <w:jc w:val="both"/>
      </w:pPr>
      <w:r>
        <w:t>Beyond conventional management, several engineered or novel amendments are being explored. While biochar is a prominent example, this review focuses on broader categories, such as stabilizing organic matter via mineral amendments, using processed organic residues, and enhanced weathering with finely ground silicate rock. These strategies aim to create more persistent carbon pools or to couple carbon sequestration with pH correction and nutrient supply (</w:t>
      </w:r>
      <w:proofErr w:type="spellStart"/>
      <w:r>
        <w:t>Amelung</w:t>
      </w:r>
      <w:proofErr w:type="spellEnd"/>
      <w:r>
        <w:t xml:space="preserve"> et al., 2020).</w:t>
      </w:r>
    </w:p>
    <w:p w:rsidR="00994A4A" w:rsidRDefault="00994A4A" w:rsidP="005043D9">
      <w:pPr>
        <w:pStyle w:val="NormalWeb"/>
        <w:jc w:val="both"/>
      </w:pPr>
      <w:r>
        <w:t xml:space="preserve">Nayak et al. (2019) highlight that such emerging practices pose additional challenges for measurement and accounting because they may alter not only SOC but also inorganic carbon pools and surface albedo, while interacting with nitrogen and phosphorus cycles. Their climate benefits </w:t>
      </w:r>
      <w:r w:rsidRPr="00AD2EA1">
        <w:rPr>
          <w:highlight w:val="yellow"/>
        </w:rPr>
        <w:t>therefore</w:t>
      </w:r>
      <w:r w:rsidR="00AC723A" w:rsidRPr="00AD2EA1">
        <w:rPr>
          <w:highlight w:val="yellow"/>
        </w:rPr>
        <w:t>,</w:t>
      </w:r>
      <w:r w:rsidRPr="00AD2EA1">
        <w:rPr>
          <w:highlight w:val="yellow"/>
        </w:rPr>
        <w:t xml:space="preserve"> need to be assessed within full greenhouse gas and energy balances, rather than carbon stocks alone.</w:t>
      </w:r>
    </w:p>
    <w:p w:rsidR="00994A4A" w:rsidRDefault="00994A4A" w:rsidP="005043D9">
      <w:pPr>
        <w:pStyle w:val="NormalWeb"/>
        <w:jc w:val="both"/>
      </w:pPr>
      <w:r>
        <w:lastRenderedPageBreak/>
        <w:t>Overall, the evidence indicates that multiple biophysical pathways exist to increase SOC in farmland systems, often with co-benefits for soil structure and resilience. However, their performance is strongly context-dependent and constrained by nutrient availability, management intensity, and economic and institutional conditions.</w:t>
      </w:r>
    </w:p>
    <w:p w:rsidR="00994A4A" w:rsidRDefault="00994A4A" w:rsidP="005043D9">
      <w:pPr>
        <w:jc w:val="both"/>
      </w:pPr>
    </w:p>
    <w:p w:rsidR="00994A4A" w:rsidRDefault="00994A4A" w:rsidP="005043D9">
      <w:pPr>
        <w:pStyle w:val="Heading2"/>
        <w:jc w:val="both"/>
      </w:pPr>
      <w:bookmarkStart w:id="12" w:name="_Toc214897621"/>
      <w:r>
        <w:t>4. Co-benefits, trade-offs, and the durability of soil carbon gains</w:t>
      </w:r>
      <w:bookmarkEnd w:id="12"/>
    </w:p>
    <w:p w:rsidR="00994A4A" w:rsidRDefault="00994A4A" w:rsidP="005043D9">
      <w:pPr>
        <w:pStyle w:val="Heading3"/>
        <w:jc w:val="both"/>
      </w:pPr>
      <w:bookmarkStart w:id="13" w:name="_Toc214897622"/>
      <w:r>
        <w:t>4.1 Yield, profitability, and risk</w:t>
      </w:r>
      <w:bookmarkEnd w:id="13"/>
    </w:p>
    <w:p w:rsidR="00994A4A" w:rsidRDefault="00994A4A" w:rsidP="005043D9">
      <w:pPr>
        <w:pStyle w:val="NormalWeb"/>
        <w:jc w:val="both"/>
      </w:pPr>
      <w:r>
        <w:t xml:space="preserve">A central question for farmers is whether soil carbon-oriented practices support or undermine production and profitability. </w:t>
      </w:r>
      <w:proofErr w:type="spellStart"/>
      <w:r>
        <w:t>Vendig</w:t>
      </w:r>
      <w:proofErr w:type="spellEnd"/>
      <w:r>
        <w:t xml:space="preserve"> et al. (2023) show that cover cropping can simultaneously increase SOC and yields in a majority of cases, particularly where initial SOC is low and cover crops are integrated into rotations without compromising water availability. However, they also report cases where yields decline, especially in dry environments where cover crops compete for soil moisture.</w:t>
      </w:r>
    </w:p>
    <w:p w:rsidR="00994A4A" w:rsidRDefault="00994A4A" w:rsidP="005043D9">
      <w:pPr>
        <w:pStyle w:val="NormalWeb"/>
        <w:jc w:val="both"/>
      </w:pPr>
      <w:r>
        <w:t>Buck et al. (2022) use qualitative and survey methods to explore farmers’ perceptions of soil carbon as a climate strategy. They find that many farmers view soil health practices positively, especially when they see direct benefits for yield stability and resilience, but remain skeptical of carbon markets that monetize SOC changes, citing concerns about measurement uncertainty, contractual lock-in, and price volatility.</w:t>
      </w:r>
    </w:p>
    <w:p w:rsidR="00994A4A" w:rsidRDefault="00994A4A" w:rsidP="005043D9">
      <w:pPr>
        <w:pStyle w:val="NormalWeb"/>
        <w:jc w:val="both"/>
      </w:pPr>
      <w:r>
        <w:t xml:space="preserve">Economic analyses increasingly </w:t>
      </w:r>
      <w:proofErr w:type="spellStart"/>
      <w:r w:rsidR="00AC723A" w:rsidRPr="00AD2EA1">
        <w:rPr>
          <w:highlight w:val="yellow"/>
        </w:rPr>
        <w:t>emphasi</w:t>
      </w:r>
      <w:r w:rsidR="00AC723A" w:rsidRPr="00AD2EA1">
        <w:rPr>
          <w:highlight w:val="yellow"/>
        </w:rPr>
        <w:t>s</w:t>
      </w:r>
      <w:r w:rsidR="00AC723A" w:rsidRPr="00AD2EA1">
        <w:rPr>
          <w:highlight w:val="yellow"/>
        </w:rPr>
        <w:t>e</w:t>
      </w:r>
      <w:proofErr w:type="spellEnd"/>
      <w:r w:rsidR="00AC723A" w:rsidRPr="00AD2EA1">
        <w:rPr>
          <w:highlight w:val="yellow"/>
        </w:rPr>
        <w:t xml:space="preserve"> </w:t>
      </w:r>
      <w:r w:rsidRPr="00AD2EA1">
        <w:rPr>
          <w:highlight w:val="yellow"/>
        </w:rPr>
        <w:t>risk as a key</w:t>
      </w:r>
      <w:r>
        <w:t xml:space="preserve"> determinant of adoption. Practices that require upfront investment or that increase short-term yield variability may be unattractive even when they offer long-term gains in soil function (</w:t>
      </w:r>
      <w:proofErr w:type="spellStart"/>
      <w:r>
        <w:t>Piñeiro</w:t>
      </w:r>
      <w:proofErr w:type="spellEnd"/>
      <w:r>
        <w:t xml:space="preserve"> et al., 2020; Mattila et al., 2022). Designing support schemes that buffer farmers against transition risks, for </w:t>
      </w:r>
      <w:r w:rsidRPr="00AD2EA1">
        <w:rPr>
          <w:highlight w:val="yellow"/>
        </w:rPr>
        <w:t>example</w:t>
      </w:r>
      <w:r w:rsidR="00AC723A" w:rsidRPr="00AD2EA1">
        <w:rPr>
          <w:highlight w:val="yellow"/>
        </w:rPr>
        <w:t>,</w:t>
      </w:r>
      <w:r w:rsidRPr="00AD2EA1">
        <w:rPr>
          <w:highlight w:val="yellow"/>
        </w:rPr>
        <w:t xml:space="preserve"> through</w:t>
      </w:r>
      <w:r>
        <w:t xml:space="preserve"> multi-year payments or risk-sharing contracts, is therefore crucial.</w:t>
      </w:r>
    </w:p>
    <w:p w:rsidR="00994A4A" w:rsidRDefault="00994A4A" w:rsidP="005043D9">
      <w:pPr>
        <w:pStyle w:val="Heading3"/>
        <w:jc w:val="both"/>
      </w:pPr>
      <w:bookmarkStart w:id="14" w:name="_Toc214897623"/>
      <w:r>
        <w:t>4.2 Environmental co-benefits and greenhouse gas trade-offs</w:t>
      </w:r>
      <w:bookmarkEnd w:id="14"/>
    </w:p>
    <w:p w:rsidR="00994A4A" w:rsidRDefault="00994A4A" w:rsidP="005043D9">
      <w:pPr>
        <w:pStyle w:val="NormalWeb"/>
        <w:jc w:val="both"/>
      </w:pPr>
      <w:r>
        <w:t>SOC-enhancing practices can provide multiple co-benefits, including improved aggregation, increased water infiltration and storage, reduced erosion, and enhanced biodiversity and pollination services (</w:t>
      </w:r>
      <w:proofErr w:type="spellStart"/>
      <w:r>
        <w:t>Chenu</w:t>
      </w:r>
      <w:proofErr w:type="spellEnd"/>
      <w:r>
        <w:t xml:space="preserve"> et al., 2019; </w:t>
      </w:r>
      <w:proofErr w:type="spellStart"/>
      <w:r>
        <w:t>Wiesmeier</w:t>
      </w:r>
      <w:proofErr w:type="spellEnd"/>
      <w:r>
        <w:t xml:space="preserve"> et al., 2019). </w:t>
      </w:r>
      <w:proofErr w:type="spellStart"/>
      <w:r>
        <w:t>Payen</w:t>
      </w:r>
      <w:proofErr w:type="spellEnd"/>
      <w:r>
        <w:t xml:space="preserve"> et al. (2021) show that vineyard management systems that increase SOC also reduce erosion risk and can improve water retention, which is critical in drought-prone regions.</w:t>
      </w:r>
    </w:p>
    <w:p w:rsidR="00994A4A" w:rsidRDefault="00994A4A" w:rsidP="005043D9">
      <w:pPr>
        <w:pStyle w:val="NormalWeb"/>
        <w:jc w:val="both"/>
      </w:pPr>
      <w:r>
        <w:t xml:space="preserve">Yet, soil carbon sequestration is not automatically synonymous with net climate mitigation. van </w:t>
      </w:r>
      <w:proofErr w:type="spellStart"/>
      <w:r>
        <w:t>Groenigen</w:t>
      </w:r>
      <w:proofErr w:type="spellEnd"/>
      <w:r>
        <w:t xml:space="preserve"> et al. (2017) demonstrate that building SOC through increased organic inputs can require large nitrogen additions, potentially raising nitrous oxide emissions and offsetting some of the climate benefits. Nayak et al. (2019) similarly emphasize that measurement protocols must account for the full greenhouse gas balance, including methane and nitrous oxide, as well as changes in energy use and upstream emissions from inputs.</w:t>
      </w:r>
    </w:p>
    <w:p w:rsidR="00994A4A" w:rsidRDefault="00994A4A" w:rsidP="005043D9">
      <w:pPr>
        <w:pStyle w:val="NormalWeb"/>
        <w:jc w:val="both"/>
      </w:pPr>
      <w:r>
        <w:t xml:space="preserve">Recent work also raises questions about the longevity of the most labile SOC fractions. Liang et al. (2019) highlight the important role of microbial </w:t>
      </w:r>
      <w:proofErr w:type="spellStart"/>
      <w:r>
        <w:t>necromass</w:t>
      </w:r>
      <w:proofErr w:type="spellEnd"/>
      <w:r>
        <w:t xml:space="preserve"> in forming relatively stable organo-mineral associations, suggesting that management strategies that foster microbial </w:t>
      </w:r>
      <w:r>
        <w:lastRenderedPageBreak/>
        <w:t>turnover and mineral interactions may be more effective than those that rely solely on adding fresh plant residues.</w:t>
      </w:r>
    </w:p>
    <w:p w:rsidR="00994A4A" w:rsidRDefault="00994A4A" w:rsidP="005043D9">
      <w:pPr>
        <w:pStyle w:val="Heading3"/>
        <w:jc w:val="both"/>
      </w:pPr>
      <w:bookmarkStart w:id="15" w:name="_Toc214897624"/>
      <w:r>
        <w:t>4.3 Persistence and reversibility</w:t>
      </w:r>
      <w:bookmarkEnd w:id="15"/>
    </w:p>
    <w:p w:rsidR="00994A4A" w:rsidRDefault="00994A4A" w:rsidP="005043D9">
      <w:pPr>
        <w:pStyle w:val="NormalWeb"/>
        <w:jc w:val="both"/>
      </w:pPr>
      <w:r>
        <w:t>SOC gains are reversible. Disturbance, land-use change, or intensification can quickly reverse decades of incremental sequestration (</w:t>
      </w:r>
      <w:proofErr w:type="spellStart"/>
      <w:r>
        <w:t>Amelung</w:t>
      </w:r>
      <w:proofErr w:type="spellEnd"/>
      <w:r>
        <w:t xml:space="preserve"> et al., 2020; </w:t>
      </w:r>
      <w:proofErr w:type="spellStart"/>
      <w:r>
        <w:t>Rumpel</w:t>
      </w:r>
      <w:proofErr w:type="spellEnd"/>
      <w:r>
        <w:t xml:space="preserve"> et al., 2020). The durability of SOC increases therefore depends not only on biophysical stabilization mechanisms but also on the continuity of management.</w:t>
      </w:r>
    </w:p>
    <w:p w:rsidR="00994A4A" w:rsidRDefault="00994A4A" w:rsidP="005043D9">
      <w:pPr>
        <w:pStyle w:val="NormalWeb"/>
        <w:jc w:val="both"/>
      </w:pPr>
      <w:proofErr w:type="spellStart"/>
      <w:r>
        <w:t>Rosinger</w:t>
      </w:r>
      <w:proofErr w:type="spellEnd"/>
      <w:r>
        <w:t xml:space="preserve"> et al. (2023) show that on-farm SOC trajectories over time are strongly shaped by local site conditions, reinforcing the need for locally calibrated expectations of sequestration rates and saturation levels. In regions where climatic or economic shocks drive rapid shifts in land use or management, permanence is particularly uncertain. These realities complicate the design of soil carbon credits that promise long-term climate outcomes and underscores the need for conservative accounting and robust buffers for reversal risk (</w:t>
      </w:r>
      <w:proofErr w:type="spellStart"/>
      <w:r>
        <w:t>Batjes</w:t>
      </w:r>
      <w:proofErr w:type="spellEnd"/>
      <w:r>
        <w:t xml:space="preserve"> et al., 2024; </w:t>
      </w:r>
      <w:proofErr w:type="spellStart"/>
      <w:r>
        <w:t>Brummitt</w:t>
      </w:r>
      <w:proofErr w:type="spellEnd"/>
      <w:r>
        <w:t xml:space="preserve"> et al., 2024).</w:t>
      </w:r>
    </w:p>
    <w:p w:rsidR="00994A4A" w:rsidRDefault="00994A4A" w:rsidP="005043D9">
      <w:pPr>
        <w:jc w:val="both"/>
      </w:pPr>
    </w:p>
    <w:p w:rsidR="00994A4A" w:rsidRDefault="00994A4A" w:rsidP="005043D9">
      <w:pPr>
        <w:pStyle w:val="Heading2"/>
        <w:jc w:val="both"/>
      </w:pPr>
      <w:bookmarkStart w:id="16" w:name="_Toc214897625"/>
      <w:r>
        <w:t>5. Monitoring, reporting, and verification (MRV) innovations</w:t>
      </w:r>
      <w:bookmarkEnd w:id="16"/>
    </w:p>
    <w:p w:rsidR="00994A4A" w:rsidRDefault="00994A4A" w:rsidP="005043D9">
      <w:pPr>
        <w:pStyle w:val="Heading3"/>
        <w:jc w:val="both"/>
      </w:pPr>
      <w:bookmarkStart w:id="17" w:name="_Toc214897626"/>
      <w:r>
        <w:t>5.1 Conventional measurement and modeling approaches</w:t>
      </w:r>
      <w:bookmarkEnd w:id="17"/>
    </w:p>
    <w:p w:rsidR="00994A4A" w:rsidRDefault="00994A4A" w:rsidP="005043D9">
      <w:pPr>
        <w:pStyle w:val="NormalWeb"/>
        <w:jc w:val="both"/>
      </w:pPr>
      <w:r>
        <w:t>MRV is the backbone of any credible soil carbon strategy, whether driven by public policy or private carbon markets. Traditional approaches rely on repeated soil sampling and laboratory analysis, often combined with process-based models calibrated to specific sites. Nayak et al. (2019) review existing methodologies and highlight key uncertainties related to spatial variability, sampling depth, bulk density, and temporal resolution. Detecting statistically significant changes in SOC can take many years, especially in soils with high background variability or limited expected change.</w:t>
      </w:r>
    </w:p>
    <w:p w:rsidR="00994A4A" w:rsidRDefault="00994A4A" w:rsidP="005043D9">
      <w:pPr>
        <w:pStyle w:val="NormalWeb"/>
        <w:jc w:val="both"/>
      </w:pPr>
      <w:r>
        <w:t xml:space="preserve">Process-based models such as Century or </w:t>
      </w:r>
      <w:proofErr w:type="spellStart"/>
      <w:r>
        <w:t>RothC</w:t>
      </w:r>
      <w:proofErr w:type="spellEnd"/>
      <w:r>
        <w:t xml:space="preserve"> are widely used to simulate SOC dynamics under different management scenarios, but they require detailed input data on climate, soil properties, and management, which are often lacking at scale (Nayak et al., 2019; </w:t>
      </w:r>
      <w:proofErr w:type="spellStart"/>
      <w:r>
        <w:t>Amelung</w:t>
      </w:r>
      <w:proofErr w:type="spellEnd"/>
      <w:r>
        <w:t xml:space="preserve"> et al., 2020). van </w:t>
      </w:r>
      <w:proofErr w:type="spellStart"/>
      <w:r>
        <w:t>Groenigen</w:t>
      </w:r>
      <w:proofErr w:type="spellEnd"/>
      <w:r>
        <w:t xml:space="preserve"> et al. (2017) stress that models also need to represent nitrogen and other nutrient cycles in order to capture trade-offs between SOC and other greenhouse gases.</w:t>
      </w:r>
    </w:p>
    <w:p w:rsidR="00994A4A" w:rsidRDefault="00994A4A" w:rsidP="005043D9">
      <w:pPr>
        <w:pStyle w:val="Heading3"/>
        <w:jc w:val="both"/>
      </w:pPr>
      <w:bookmarkStart w:id="18" w:name="_Toc214897627"/>
      <w:r>
        <w:t>5.2 Digital and remote-sensing-enabled MRV</w:t>
      </w:r>
      <w:bookmarkEnd w:id="18"/>
    </w:p>
    <w:p w:rsidR="00994A4A" w:rsidRDefault="00994A4A" w:rsidP="005043D9">
      <w:pPr>
        <w:pStyle w:val="NormalWeb"/>
        <w:jc w:val="both"/>
      </w:pPr>
      <w:r>
        <w:t>Recent advances in remote sensing, digital soil mapping, and machine learning are transforming the MRV landscape. Li et al. (2023) demonstrate the integration of multispectral satellite data, proximal sensing, and machine learning algorithms to estimate SOC in agricultural landscapes, highlighting how these tools can reduce sampling needs while maintaining acceptable accuracy.</w:t>
      </w:r>
    </w:p>
    <w:p w:rsidR="00994A4A" w:rsidRDefault="00994A4A" w:rsidP="005043D9">
      <w:pPr>
        <w:pStyle w:val="NormalWeb"/>
        <w:jc w:val="both"/>
      </w:pPr>
      <w:proofErr w:type="spellStart"/>
      <w:r>
        <w:lastRenderedPageBreak/>
        <w:t>Batjes</w:t>
      </w:r>
      <w:proofErr w:type="spellEnd"/>
      <w:r>
        <w:t xml:space="preserve"> et al. (2024) propose a modular, multi-ecosystem MRV framework for SOC stock changes that can be adapted across land uses and jurisdictions. Their approach combines stratified sampling, harmonized laboratory methods, and model-based upscaling to provide transparent and comparable estimates. Such frameworks are especially important for national greenhouse gas inventories and for ensuring consistency between public accounting and private crediting schemes.</w:t>
      </w:r>
    </w:p>
    <w:p w:rsidR="00994A4A" w:rsidRDefault="00994A4A" w:rsidP="005043D9">
      <w:pPr>
        <w:pStyle w:val="NormalWeb"/>
        <w:jc w:val="both"/>
      </w:pPr>
      <w:proofErr w:type="spellStart"/>
      <w:r>
        <w:t>Brummitt</w:t>
      </w:r>
      <w:proofErr w:type="spellEnd"/>
      <w:r>
        <w:t xml:space="preserve"> et al. (2024) present insights from three consecutive issuances of soil carbon credits in a large-scale agricultural program. They show how combining field measurements, remote sensing, and process-based models in a pipeline can generate creditable estimates while explicitly quantifying uncertainty. Their experience illustrates both the feasibility of MRV at scale and the importance of continuous methodological improvement, calibration, and independent verification to maintain market integrity.</w:t>
      </w:r>
    </w:p>
    <w:p w:rsidR="00994A4A" w:rsidRDefault="00994A4A" w:rsidP="005043D9">
      <w:pPr>
        <w:pStyle w:val="Heading3"/>
        <w:jc w:val="both"/>
      </w:pPr>
      <w:bookmarkStart w:id="19" w:name="_Toc214897628"/>
      <w:r>
        <w:t>5.3 Implications for carbon markets and policy</w:t>
      </w:r>
      <w:bookmarkEnd w:id="19"/>
    </w:p>
    <w:p w:rsidR="00994A4A" w:rsidRDefault="00994A4A" w:rsidP="005043D9">
      <w:pPr>
        <w:pStyle w:val="NormalWeb"/>
        <w:jc w:val="both"/>
      </w:pPr>
      <w:r>
        <w:t>The rapid evolution of MRV technologies has enabled a proliferation of soil carbon crediting standards and programs. Yet methodological differences in sampling depth, modeling assumptions, additionality tests, and permanence provisions create a heterogeneous landscape that can confuse farmers and buyers alike (</w:t>
      </w:r>
      <w:proofErr w:type="spellStart"/>
      <w:r>
        <w:t>Batjes</w:t>
      </w:r>
      <w:proofErr w:type="spellEnd"/>
      <w:r>
        <w:t xml:space="preserve"> et al., 2024; </w:t>
      </w:r>
      <w:proofErr w:type="spellStart"/>
      <w:r>
        <w:t>Brummitt</w:t>
      </w:r>
      <w:proofErr w:type="spellEnd"/>
      <w:r>
        <w:t xml:space="preserve"> et al., 2024).</w:t>
      </w:r>
    </w:p>
    <w:p w:rsidR="00994A4A" w:rsidRDefault="00994A4A" w:rsidP="005043D9">
      <w:pPr>
        <w:pStyle w:val="NormalWeb"/>
        <w:jc w:val="both"/>
      </w:pPr>
      <w:r>
        <w:t>Robust MRV can reduce uncertainty and build confidence, but it also adds transaction costs. For smallholders and low-income farmers, these costs can be prohibitive unless aggregated through cooperatives, public programs, or private intermediaries (</w:t>
      </w:r>
      <w:proofErr w:type="spellStart"/>
      <w:r>
        <w:t>Jat</w:t>
      </w:r>
      <w:proofErr w:type="spellEnd"/>
      <w:r>
        <w:t xml:space="preserve"> et al., 2022). Designing MRV systems that are both scientifically rigorous and accessible is therefore a major challenge.</w:t>
      </w:r>
    </w:p>
    <w:p w:rsidR="00994A4A" w:rsidRDefault="00994A4A" w:rsidP="005043D9">
      <w:pPr>
        <w:jc w:val="both"/>
      </w:pPr>
    </w:p>
    <w:p w:rsidR="00994A4A" w:rsidRDefault="00994A4A" w:rsidP="005043D9">
      <w:pPr>
        <w:pStyle w:val="Heading2"/>
        <w:jc w:val="both"/>
      </w:pPr>
      <w:bookmarkStart w:id="20" w:name="_Toc214897629"/>
      <w:r>
        <w:t>6. Socioeconomic drivers and barriers to adoption</w:t>
      </w:r>
      <w:bookmarkEnd w:id="20"/>
    </w:p>
    <w:p w:rsidR="00994A4A" w:rsidRDefault="00994A4A" w:rsidP="005043D9">
      <w:pPr>
        <w:pStyle w:val="Heading3"/>
        <w:jc w:val="both"/>
      </w:pPr>
      <w:bookmarkStart w:id="21" w:name="_Toc214897630"/>
      <w:r>
        <w:t>6.1 Farmer perceptions, norms, and knowledge</w:t>
      </w:r>
      <w:bookmarkEnd w:id="21"/>
    </w:p>
    <w:p w:rsidR="00994A4A" w:rsidRDefault="00994A4A" w:rsidP="005043D9">
      <w:pPr>
        <w:pStyle w:val="NormalWeb"/>
        <w:jc w:val="both"/>
      </w:pPr>
      <w:r>
        <w:t>Adoption of SOC-enhancing practices is driven not only by economics but also by farmers’ values, experiences, and social networks. Mattila et al. (2022) show that farmers’ approaches to soil carbon sequestration in Northern Europe are shaped by their broader visions of “good farming,” with some embracing carbon as an opportunity to enhance soil quality and reputation, while others view it as an externally imposed agenda.</w:t>
      </w:r>
    </w:p>
    <w:p w:rsidR="00994A4A" w:rsidRDefault="00994A4A" w:rsidP="005043D9">
      <w:pPr>
        <w:pStyle w:val="NormalWeb"/>
        <w:jc w:val="both"/>
      </w:pPr>
      <w:r>
        <w:t xml:space="preserve">Buck et al. (2022) report that farmers often support soil health goals but express skepticism toward carbon markets, citing concerns about measurement uncertainties, extra paperwork, and the perceived mismatch between short-term costs and long-term, uncertain benefits. These qualitative findings align with broader evidence that trust in institutions, peer learning, and local advisory services strongly </w:t>
      </w:r>
      <w:r w:rsidRPr="00AD2EA1">
        <w:rPr>
          <w:highlight w:val="yellow"/>
        </w:rPr>
        <w:t xml:space="preserve">influence </w:t>
      </w:r>
      <w:r w:rsidR="00AC723A" w:rsidRPr="00AD2EA1">
        <w:rPr>
          <w:highlight w:val="yellow"/>
        </w:rPr>
        <w:t xml:space="preserve">the </w:t>
      </w:r>
      <w:r w:rsidRPr="00AD2EA1">
        <w:rPr>
          <w:highlight w:val="yellow"/>
        </w:rPr>
        <w:t>adoption of</w:t>
      </w:r>
      <w:r>
        <w:t xml:space="preserve"> sustainable practices (</w:t>
      </w:r>
      <w:proofErr w:type="spellStart"/>
      <w:r>
        <w:t>Piñeiro</w:t>
      </w:r>
      <w:proofErr w:type="spellEnd"/>
      <w:r>
        <w:t xml:space="preserve"> et al., 2020).</w:t>
      </w:r>
    </w:p>
    <w:p w:rsidR="00994A4A" w:rsidRDefault="00994A4A" w:rsidP="005043D9">
      <w:pPr>
        <w:pStyle w:val="NormalWeb"/>
        <w:jc w:val="both"/>
      </w:pPr>
      <w:r>
        <w:t xml:space="preserve">Knowledge gaps remain significant barriers. Practices such as cover cropping, complex rotations, or agroforestry require agronomic knowledge and management skills that are not always readily available, especially in regions where extension services are weak. </w:t>
      </w:r>
      <w:proofErr w:type="spellStart"/>
      <w:r>
        <w:t>Jat</w:t>
      </w:r>
      <w:proofErr w:type="spellEnd"/>
      <w:r>
        <w:t xml:space="preserve"> et al. </w:t>
      </w:r>
      <w:r>
        <w:lastRenderedPageBreak/>
        <w:t>(2022) highlight the importance of locally adapted technical support and participatory co-design of practices in smallholder systems of South Asia.</w:t>
      </w:r>
    </w:p>
    <w:p w:rsidR="00994A4A" w:rsidRDefault="00994A4A" w:rsidP="005043D9">
      <w:pPr>
        <w:pStyle w:val="Heading3"/>
        <w:jc w:val="both"/>
      </w:pPr>
      <w:bookmarkStart w:id="22" w:name="_Toc214897631"/>
      <w:r>
        <w:t>6.2 Economic incentives, carbon markets, and risk</w:t>
      </w:r>
      <w:bookmarkEnd w:id="22"/>
    </w:p>
    <w:p w:rsidR="00994A4A" w:rsidRDefault="00994A4A" w:rsidP="005043D9">
      <w:pPr>
        <w:pStyle w:val="NormalWeb"/>
        <w:jc w:val="both"/>
      </w:pPr>
      <w:r>
        <w:t xml:space="preserve">Financial incentives can accelerate adoption but do not guarantee it. </w:t>
      </w:r>
      <w:proofErr w:type="spellStart"/>
      <w:r>
        <w:t>Piñeiro</w:t>
      </w:r>
      <w:proofErr w:type="spellEnd"/>
      <w:r>
        <w:t xml:space="preserve"> et al. (2020) provide a comprehensive review of incentives for sustainable agricultural practices, showing that while payments, tax breaks, and subsidies can increase adoption, their effectiveness depends on design details, targeting, and compatibility with farmers’ goals. Incentives that only compensate for direct costs may be insufficient where practices increase perceived risk or require deep changes in management.</w:t>
      </w:r>
    </w:p>
    <w:p w:rsidR="00994A4A" w:rsidRDefault="00994A4A" w:rsidP="005043D9">
      <w:pPr>
        <w:pStyle w:val="NormalWeb"/>
        <w:jc w:val="both"/>
      </w:pPr>
      <w:r>
        <w:t xml:space="preserve">Carbon markets add another layer of complexity. </w:t>
      </w:r>
      <w:proofErr w:type="spellStart"/>
      <w:r>
        <w:t>Cammarata</w:t>
      </w:r>
      <w:proofErr w:type="spellEnd"/>
      <w:r>
        <w:t xml:space="preserve"> et al. (2024) use an extended theory of planned </w:t>
      </w:r>
      <w:proofErr w:type="spellStart"/>
      <w:r>
        <w:t>behaviour</w:t>
      </w:r>
      <w:proofErr w:type="spellEnd"/>
      <w:r>
        <w:t xml:space="preserve"> to </w:t>
      </w:r>
      <w:proofErr w:type="spellStart"/>
      <w:r>
        <w:t>analyse</w:t>
      </w:r>
      <w:proofErr w:type="spellEnd"/>
      <w:r>
        <w:t xml:space="preserve"> farmers’ intention to participate in voluntary carbon markets. They find that perceived </w:t>
      </w:r>
      <w:proofErr w:type="spellStart"/>
      <w:r>
        <w:t>behavioural</w:t>
      </w:r>
      <w:proofErr w:type="spellEnd"/>
      <w:r>
        <w:t xml:space="preserve"> control, expected economic benefits, and trust in intermediaries significantly influence participation intentions. </w:t>
      </w:r>
      <w:proofErr w:type="spellStart"/>
      <w:r>
        <w:t>Pudasaini</w:t>
      </w:r>
      <w:proofErr w:type="spellEnd"/>
      <w:r>
        <w:t xml:space="preserve"> et al. (2024) examine farmer participation in soil carbon projects under the Australian Carbon Credit Unit scheme, identifying barriers related to administrative burden, uncertain returns, and concerns about long commitment periods.</w:t>
      </w:r>
    </w:p>
    <w:p w:rsidR="00994A4A" w:rsidRDefault="00994A4A" w:rsidP="005043D9">
      <w:pPr>
        <w:pStyle w:val="NormalWeb"/>
        <w:jc w:val="both"/>
      </w:pPr>
      <w:r>
        <w:t>Gonzales-</w:t>
      </w:r>
      <w:proofErr w:type="spellStart"/>
      <w:r>
        <w:t>Gemio</w:t>
      </w:r>
      <w:proofErr w:type="spellEnd"/>
      <w:r>
        <w:t xml:space="preserve"> and Sanz-Martín (2025) </w:t>
      </w:r>
      <w:proofErr w:type="spellStart"/>
      <w:r>
        <w:t>analyse</w:t>
      </w:r>
      <w:proofErr w:type="spellEnd"/>
      <w:r>
        <w:t xml:space="preserve"> socioeconomic barriers to carbon farming in Mediterranean and North African contexts. They underscore the role of liquidity constraints, access to credit, farm size, and off-farm income in shaping adoption, and warn that poorly designed schemes risk excluding smallholders and reinforcing existing inequalities.</w:t>
      </w:r>
    </w:p>
    <w:p w:rsidR="00994A4A" w:rsidRDefault="00994A4A" w:rsidP="005043D9">
      <w:pPr>
        <w:pStyle w:val="Heading3"/>
        <w:jc w:val="both"/>
      </w:pPr>
      <w:bookmarkStart w:id="23" w:name="_Toc214897632"/>
      <w:r>
        <w:t>6.3 Policy frameworks, institutions, and advisory systems</w:t>
      </w:r>
      <w:bookmarkEnd w:id="23"/>
    </w:p>
    <w:p w:rsidR="00994A4A" w:rsidRDefault="00994A4A" w:rsidP="005043D9">
      <w:pPr>
        <w:pStyle w:val="NormalWeb"/>
        <w:jc w:val="both"/>
      </w:pPr>
      <w:r>
        <w:t>Policy and institutional environments strongly condition the attractiveness and feasibility of SOC-enhancing practices. Mills et al. (2020) document how European farmers face both barriers and opportunities in adopting soil carbon management, including uncertainty about policy stability, fragmentation of advisory services, and limited recognition of soil health in payment schemes.</w:t>
      </w:r>
    </w:p>
    <w:p w:rsidR="00994A4A" w:rsidRDefault="00994A4A" w:rsidP="005043D9">
      <w:pPr>
        <w:pStyle w:val="NormalWeb"/>
        <w:jc w:val="both"/>
      </w:pPr>
      <w:proofErr w:type="spellStart"/>
      <w:r>
        <w:t>Demenois</w:t>
      </w:r>
      <w:proofErr w:type="spellEnd"/>
      <w:r>
        <w:t xml:space="preserve"> et al. (2020) review barriers and strategies to boost soil carbon sequestration in agriculture, emphasizing that policies must address multiple constraints simultaneously: technical knowledge, economic incentives, risk sharing, and supportive regulations. They highlight the importance of multi-actor platforms that bring together farmers, scientists, extension agents, and policymakers to co-develop context-specific solutions.</w:t>
      </w:r>
    </w:p>
    <w:p w:rsidR="00994A4A" w:rsidRDefault="00994A4A" w:rsidP="005043D9">
      <w:pPr>
        <w:pStyle w:val="NormalWeb"/>
        <w:jc w:val="both"/>
      </w:pPr>
      <w:proofErr w:type="spellStart"/>
      <w:r>
        <w:t>Jat</w:t>
      </w:r>
      <w:proofErr w:type="spellEnd"/>
      <w:r>
        <w:t xml:space="preserve"> et al. (2022) show that, in smallholder systems in South Asia, combining climate-smart agriculture, carbon-oriented practices, and supportive policies can generate both mitigation and development benefits, but only when backed by investments in extension, rural infrastructure, and social protection.</w:t>
      </w:r>
    </w:p>
    <w:p w:rsidR="00994A4A" w:rsidRDefault="00994A4A" w:rsidP="005043D9">
      <w:pPr>
        <w:jc w:val="both"/>
      </w:pPr>
    </w:p>
    <w:p w:rsidR="00994A4A" w:rsidRDefault="00994A4A" w:rsidP="005043D9">
      <w:pPr>
        <w:pStyle w:val="Heading2"/>
        <w:jc w:val="both"/>
      </w:pPr>
      <w:bookmarkStart w:id="24" w:name="_Toc214897633"/>
      <w:r>
        <w:t>7. Context dependence, justice, and equity</w:t>
      </w:r>
      <w:bookmarkEnd w:id="24"/>
    </w:p>
    <w:p w:rsidR="00994A4A" w:rsidRDefault="00994A4A" w:rsidP="005043D9">
      <w:pPr>
        <w:pStyle w:val="Heading3"/>
        <w:jc w:val="both"/>
      </w:pPr>
      <w:bookmarkStart w:id="25" w:name="_Toc214897634"/>
      <w:r>
        <w:lastRenderedPageBreak/>
        <w:t>7.1 Biophysical and climatic heterogeneity</w:t>
      </w:r>
      <w:bookmarkEnd w:id="25"/>
    </w:p>
    <w:p w:rsidR="00994A4A" w:rsidRDefault="00994A4A" w:rsidP="005043D9">
      <w:pPr>
        <w:pStyle w:val="NormalWeb"/>
        <w:jc w:val="both"/>
      </w:pPr>
      <w:r>
        <w:t xml:space="preserve">Recent global analyses highlight that SOC responses to management are highly context dependent. </w:t>
      </w:r>
      <w:proofErr w:type="spellStart"/>
      <w:r>
        <w:t>Rosinger</w:t>
      </w:r>
      <w:proofErr w:type="spellEnd"/>
      <w:r>
        <w:t xml:space="preserve"> et al. (2023) show that on-farm SOC sequestration potentials are dominated by </w:t>
      </w:r>
      <w:proofErr w:type="spellStart"/>
      <w:r>
        <w:t>site</w:t>
      </w:r>
      <w:proofErr w:type="spellEnd"/>
      <w:r>
        <w:t xml:space="preserve"> effects, including soil texture, initial SOC, and climate, rather than management alone. </w:t>
      </w:r>
      <w:proofErr w:type="spellStart"/>
      <w:r>
        <w:t>Lessmann</w:t>
      </w:r>
      <w:proofErr w:type="spellEnd"/>
      <w:r>
        <w:t xml:space="preserve"> et al. (2022) similarly find that improved cropland management yields larger SOC gains in certain regions and soil types than in others.</w:t>
      </w:r>
    </w:p>
    <w:p w:rsidR="00994A4A" w:rsidRDefault="00994A4A" w:rsidP="005043D9">
      <w:pPr>
        <w:pStyle w:val="NormalWeb"/>
        <w:jc w:val="both"/>
      </w:pPr>
      <w:proofErr w:type="spellStart"/>
      <w:r>
        <w:t>Padarian</w:t>
      </w:r>
      <w:proofErr w:type="spellEnd"/>
      <w:r>
        <w:t xml:space="preserve"> et al. (2022) and </w:t>
      </w:r>
      <w:proofErr w:type="spellStart"/>
      <w:r>
        <w:t>Zomer</w:t>
      </w:r>
      <w:proofErr w:type="spellEnd"/>
      <w:r>
        <w:t xml:space="preserve"> et al. (2017) map SOC sequestration potentials in croplands and show that while temperate regions with large yield gaps and degraded soils offer high technical potential, semiarid and already carbon-rich regions have much smaller or more uncertain potentials. These differences matter for designing geographically differentiated policies and for avoiding unrealistic expectations about universal sequestration targets.</w:t>
      </w:r>
    </w:p>
    <w:p w:rsidR="00994A4A" w:rsidRDefault="00994A4A" w:rsidP="005043D9">
      <w:pPr>
        <w:pStyle w:val="Heading3"/>
        <w:jc w:val="both"/>
      </w:pPr>
      <w:bookmarkStart w:id="26" w:name="_Toc214897635"/>
      <w:r>
        <w:t>7.2 Smallholders, tenure, and distributional outcomes</w:t>
      </w:r>
      <w:bookmarkEnd w:id="26"/>
    </w:p>
    <w:p w:rsidR="00994A4A" w:rsidRDefault="00994A4A" w:rsidP="005043D9">
      <w:pPr>
        <w:pStyle w:val="NormalWeb"/>
        <w:jc w:val="both"/>
      </w:pPr>
      <w:r>
        <w:t xml:space="preserve">The vast area of smallholder agriculture in Africa, Asia, and Latin America means that smallholders are central to any global soil carbon strategy. </w:t>
      </w:r>
      <w:proofErr w:type="spellStart"/>
      <w:r>
        <w:t>Jat</w:t>
      </w:r>
      <w:proofErr w:type="spellEnd"/>
      <w:r>
        <w:t xml:space="preserve"> et al. (2022) argue that soil carbon initiatives in smallholder systems must prioritize food security, risk reduction, and livelihood diversification, rather than carbon alone. If carbon payments are added, they should complement rather than substitute broader investments in rural development.</w:t>
      </w:r>
    </w:p>
    <w:p w:rsidR="00994A4A" w:rsidRDefault="00994A4A" w:rsidP="005043D9">
      <w:pPr>
        <w:pStyle w:val="NormalWeb"/>
        <w:jc w:val="both"/>
      </w:pPr>
      <w:r>
        <w:t>Land tenure and resource rights are critical. Gonzales-</w:t>
      </w:r>
      <w:proofErr w:type="spellStart"/>
      <w:r>
        <w:t>Gemio</w:t>
      </w:r>
      <w:proofErr w:type="spellEnd"/>
      <w:r>
        <w:t xml:space="preserve"> and Sanz-Martín (2025) highlight that insecure tenure can deter long-term investments in SOC, and that benefit-sharing arrangements often fail to adequately include tenants, women, and landless workers. Carbon contracts that require long-term commitments may be inaccessible or risky for farmers whose tenure is informal or contested.</w:t>
      </w:r>
    </w:p>
    <w:p w:rsidR="00994A4A" w:rsidRDefault="00994A4A" w:rsidP="005043D9">
      <w:pPr>
        <w:pStyle w:val="Heading3"/>
        <w:jc w:val="both"/>
      </w:pPr>
      <w:bookmarkStart w:id="27" w:name="_Toc214897636"/>
      <w:r>
        <w:t>7.3 Governance of carbon credits and expectations</w:t>
      </w:r>
      <w:bookmarkEnd w:id="27"/>
    </w:p>
    <w:p w:rsidR="00994A4A" w:rsidRDefault="00994A4A" w:rsidP="005043D9">
      <w:pPr>
        <w:pStyle w:val="NormalWeb"/>
        <w:jc w:val="both"/>
      </w:pPr>
      <w:r>
        <w:t>An important equity concern is how the benefits and risks of soil carbon crediting are distributed along value chains. When credit buyers in wealthy countries use soil carbon credits to offset their emissions, farmers bear the burden of long-term land management changes and reversal risks (</w:t>
      </w:r>
      <w:proofErr w:type="spellStart"/>
      <w:r>
        <w:t>Rumpel</w:t>
      </w:r>
      <w:proofErr w:type="spellEnd"/>
      <w:r>
        <w:t xml:space="preserve"> et al., 2020; </w:t>
      </w:r>
      <w:proofErr w:type="spellStart"/>
      <w:r>
        <w:t>Amelung</w:t>
      </w:r>
      <w:proofErr w:type="spellEnd"/>
      <w:r>
        <w:t xml:space="preserve"> et al., 2020).</w:t>
      </w:r>
    </w:p>
    <w:p w:rsidR="00994A4A" w:rsidRDefault="00994A4A" w:rsidP="005043D9">
      <w:pPr>
        <w:pStyle w:val="NormalWeb"/>
        <w:jc w:val="both"/>
      </w:pPr>
      <w:proofErr w:type="spellStart"/>
      <w:r>
        <w:t>Demenois</w:t>
      </w:r>
      <w:proofErr w:type="spellEnd"/>
      <w:r>
        <w:t xml:space="preserve"> et al. (2020) and Mills et al. (2020) caution that soil carbon programs must be designed to avoid new forms of dependency or enclosure, such as restrictive contracts that limit farmers’ future land-use choices. Transparent governance, accessible information, and meaningful farmer participation in program design are essential to ensure that soil carbon initiatives contribute to climate justice rather than reproduce existing inequalities.</w:t>
      </w:r>
    </w:p>
    <w:p w:rsidR="00994A4A" w:rsidRDefault="00994A4A" w:rsidP="005043D9">
      <w:pPr>
        <w:jc w:val="both"/>
      </w:pPr>
    </w:p>
    <w:p w:rsidR="00994A4A" w:rsidRDefault="00994A4A" w:rsidP="005043D9">
      <w:pPr>
        <w:pStyle w:val="Heading2"/>
        <w:jc w:val="both"/>
      </w:pPr>
      <w:bookmarkStart w:id="28" w:name="_Toc214897637"/>
      <w:r>
        <w:t>8. Knowledge gaps and future research directions</w:t>
      </w:r>
      <w:bookmarkEnd w:id="28"/>
    </w:p>
    <w:p w:rsidR="00994A4A" w:rsidRDefault="00994A4A" w:rsidP="005043D9">
      <w:pPr>
        <w:pStyle w:val="NormalWeb"/>
        <w:jc w:val="both"/>
      </w:pPr>
      <w:r>
        <w:t>The literature reviewed here points to several priority areas for research and innovation. First, there is a need for more long-term, whole-farm studies that integrate SOC measurements with yield, profitability, biodiversity, and water outcomes across diverse agroecosystems (</w:t>
      </w:r>
      <w:proofErr w:type="spellStart"/>
      <w:r>
        <w:t>Chenu</w:t>
      </w:r>
      <w:proofErr w:type="spellEnd"/>
      <w:r>
        <w:t xml:space="preserve"> </w:t>
      </w:r>
      <w:r>
        <w:lastRenderedPageBreak/>
        <w:t xml:space="preserve">et al., 2019; </w:t>
      </w:r>
      <w:proofErr w:type="spellStart"/>
      <w:r>
        <w:t>Giller</w:t>
      </w:r>
      <w:proofErr w:type="spellEnd"/>
      <w:r>
        <w:t xml:space="preserve"> et al., 2021). Many existing trials are short-term or plot-scale and may not capture management adaptations, learning, and risk responses that unfold over decades.</w:t>
      </w:r>
    </w:p>
    <w:p w:rsidR="00994A4A" w:rsidRDefault="00994A4A" w:rsidP="005043D9">
      <w:pPr>
        <w:pStyle w:val="NormalWeb"/>
        <w:jc w:val="both"/>
      </w:pPr>
      <w:r>
        <w:t xml:space="preserve">Second, advancing understanding of SOC stabilization mechanisms and their interaction with management remains a key scientific frontier. Work on microbial </w:t>
      </w:r>
      <w:proofErr w:type="spellStart"/>
      <w:r>
        <w:t>necromass</w:t>
      </w:r>
      <w:proofErr w:type="spellEnd"/>
      <w:r>
        <w:t xml:space="preserve"> and organo-mineral associations (Liang et al., 2019) suggests that simply adding more organic matter may not be sufficient; instead, management that fosters specific microbial and mineral processes may be needed. Integrating this mechanistic understanding into models used for MRV could improve predictions of both sequestration and reversibility.</w:t>
      </w:r>
    </w:p>
    <w:p w:rsidR="00994A4A" w:rsidRDefault="00994A4A" w:rsidP="005043D9">
      <w:pPr>
        <w:pStyle w:val="NormalWeb"/>
        <w:jc w:val="both"/>
      </w:pPr>
      <w:r>
        <w:t>Third, MRV research should continue to bridge the gap between scientific rigor and practical feasibility. Combining stratified sampling, proximal sensing, and remote sensing, as demonstrated by Li et al. (2023), and embedding these within modular frameworks (</w:t>
      </w:r>
      <w:proofErr w:type="spellStart"/>
      <w:r>
        <w:t>Batjes</w:t>
      </w:r>
      <w:proofErr w:type="spellEnd"/>
      <w:r>
        <w:t xml:space="preserve"> et al., 2024) offers promising pathways. However, more work is needed on uncertainty quantification, harmonization across standards, and open, interoperable data systems (</w:t>
      </w:r>
      <w:proofErr w:type="spellStart"/>
      <w:r>
        <w:t>Brummitt</w:t>
      </w:r>
      <w:proofErr w:type="spellEnd"/>
      <w:r>
        <w:t xml:space="preserve"> et al., 2024).</w:t>
      </w:r>
    </w:p>
    <w:p w:rsidR="00994A4A" w:rsidRDefault="00994A4A" w:rsidP="005043D9">
      <w:pPr>
        <w:pStyle w:val="NormalWeb"/>
        <w:jc w:val="both"/>
      </w:pPr>
      <w:r>
        <w:t>Fourth, there is a pressing need for interdisciplinary research on the design of farmer-</w:t>
      </w:r>
      <w:proofErr w:type="spellStart"/>
      <w:r>
        <w:t>centred</w:t>
      </w:r>
      <w:proofErr w:type="spellEnd"/>
      <w:r>
        <w:t xml:space="preserve"> incentives and institutions. </w:t>
      </w:r>
      <w:proofErr w:type="spellStart"/>
      <w:r>
        <w:t>Piñeiro</w:t>
      </w:r>
      <w:proofErr w:type="spellEnd"/>
      <w:r>
        <w:t xml:space="preserve"> et al. (2020), </w:t>
      </w:r>
      <w:proofErr w:type="spellStart"/>
      <w:r>
        <w:t>Cammarata</w:t>
      </w:r>
      <w:proofErr w:type="spellEnd"/>
      <w:r>
        <w:t xml:space="preserve"> et al. (2024), </w:t>
      </w:r>
      <w:proofErr w:type="spellStart"/>
      <w:r>
        <w:t>Pudasaini</w:t>
      </w:r>
      <w:proofErr w:type="spellEnd"/>
      <w:r>
        <w:t xml:space="preserve"> et al. (2024), and Gonzales-</w:t>
      </w:r>
      <w:proofErr w:type="spellStart"/>
      <w:r>
        <w:t>Gemio</w:t>
      </w:r>
      <w:proofErr w:type="spellEnd"/>
      <w:r>
        <w:t xml:space="preserve"> and Sanz-Martín (2025) show that adoption decisions are shaped by complex interactions among economic expectations, trust, perceived fairness, and regulatory environments. Future work should test alternative contract designs, collective approaches, and hybrid public-private models that can reduce risk and enhance equity.</w:t>
      </w:r>
    </w:p>
    <w:p w:rsidR="00994A4A" w:rsidRDefault="00994A4A" w:rsidP="005043D9">
      <w:pPr>
        <w:pStyle w:val="NormalWeb"/>
        <w:jc w:val="both"/>
      </w:pPr>
      <w:r>
        <w:t xml:space="preserve">Finally, scenario modelling and policy analysis are needed to situate soil carbon sequestration within broader transitions to low-emission, resilient food systems. </w:t>
      </w:r>
      <w:proofErr w:type="spellStart"/>
      <w:r>
        <w:t>Amelung</w:t>
      </w:r>
      <w:proofErr w:type="spellEnd"/>
      <w:r>
        <w:t xml:space="preserve"> et al. (2020), </w:t>
      </w:r>
      <w:proofErr w:type="spellStart"/>
      <w:r>
        <w:t>Minasny</w:t>
      </w:r>
      <w:proofErr w:type="spellEnd"/>
      <w:r>
        <w:t xml:space="preserve"> et al. (2017), and </w:t>
      </w:r>
      <w:proofErr w:type="spellStart"/>
      <w:r>
        <w:t>Rumpel</w:t>
      </w:r>
      <w:proofErr w:type="spellEnd"/>
      <w:r>
        <w:t xml:space="preserve"> et al. (2020) emphasize that soil carbon sequestration is time-limited and cannot substitute for rapid decarbonization of energy and industry. Exploring pathways that prioritize soil health and multi-functional landscapes, with soil carbon as one outcome among many, may offer more robust and just climate strategies.</w:t>
      </w:r>
    </w:p>
    <w:p w:rsidR="00994A4A" w:rsidRDefault="00994A4A" w:rsidP="005043D9">
      <w:pPr>
        <w:jc w:val="both"/>
      </w:pPr>
    </w:p>
    <w:p w:rsidR="00994A4A" w:rsidRDefault="00994A4A" w:rsidP="005043D9">
      <w:pPr>
        <w:pStyle w:val="Heading2"/>
        <w:jc w:val="both"/>
      </w:pPr>
      <w:bookmarkStart w:id="29" w:name="_Toc214897638"/>
      <w:r>
        <w:t>9. Conclusions</w:t>
      </w:r>
      <w:bookmarkEnd w:id="29"/>
    </w:p>
    <w:p w:rsidR="00994A4A" w:rsidRDefault="00994A4A" w:rsidP="005043D9">
      <w:pPr>
        <w:pStyle w:val="NormalWeb"/>
        <w:jc w:val="both"/>
      </w:pPr>
      <w:r>
        <w:t>Agricultural soils have emerged as a prominent component of climate mitigation narratives, offering the prospect of storing additional carbon while enhancing soil function, crop resilience, and ecosystem services. The evidence reviewed here suggests that this potential is real but modest and highly context dependent. Practices such as cover cropping, residue retention, diversified rotations, perennial cropping, and agroforestry can increase soil organic carbon stocks, particularly in degraded, low-carbon soils and when implemented as part of integrated system-level transitions.</w:t>
      </w:r>
    </w:p>
    <w:p w:rsidR="00994A4A" w:rsidRDefault="00994A4A" w:rsidP="005043D9">
      <w:pPr>
        <w:pStyle w:val="NormalWeb"/>
        <w:jc w:val="both"/>
      </w:pPr>
      <w:r>
        <w:t>However, soil carbon sequestration is constrained by biophysical limits, nutrient availability, and saturation; it is reversible if management reverts or land use changes; and its net climate benefits must be evaluated against possible increases in other greenhouse gas emissions. These biophysical realities are compounded by socioeconomic and governance barriers, including farmers’ risk perceptions, liquidity and knowledge constraints, insecure land tenure, and the transaction costs and uncertainties associated with carbon markets.</w:t>
      </w:r>
    </w:p>
    <w:p w:rsidR="00994A4A" w:rsidRDefault="00994A4A" w:rsidP="005043D9">
      <w:pPr>
        <w:pStyle w:val="NormalWeb"/>
        <w:jc w:val="both"/>
      </w:pPr>
      <w:r>
        <w:lastRenderedPageBreak/>
        <w:t>Advances in MRV—especially the integration of remote sensing, digital soil mapping, and modular frameworks—are improving the ability to measure and credit soil carbon changes, but they also reveal substantial heterogeneity and uncertainty. High-integrity soil carbon initiatives must therefore adopt conservative accounting, prioritize robust co-benefits, and avoid overselling the magnitude or permanence of sequestration.</w:t>
      </w:r>
    </w:p>
    <w:p w:rsidR="00994A4A" w:rsidRDefault="00994A4A" w:rsidP="005043D9">
      <w:pPr>
        <w:pStyle w:val="NormalWeb"/>
        <w:jc w:val="both"/>
      </w:pPr>
      <w:r>
        <w:t>Well-designed policies and programs can leverage soil carbon as one element of broader soil health and climate resilience strategies, especially when they align with farmers’ own goals, support learning and risk reduction, and ensure fair distribution of benefits. Rather than treating agricultural soil carbon as a fungible offset for continued fossil fuel use, it is more appropriate to view it as a finite but valuable contribution to climate mitigation that simultaneously supports sustainable food systems and rural livelihoods.</w:t>
      </w:r>
    </w:p>
    <w:p w:rsidR="00994A4A" w:rsidRDefault="00994A4A" w:rsidP="005043D9">
      <w:pPr>
        <w:jc w:val="both"/>
      </w:pPr>
    </w:p>
    <w:p w:rsidR="00994A4A" w:rsidRDefault="00994A4A" w:rsidP="005043D9">
      <w:pPr>
        <w:pStyle w:val="Heading2"/>
        <w:jc w:val="both"/>
      </w:pPr>
      <w:bookmarkStart w:id="30" w:name="_Toc214897639"/>
      <w:r>
        <w:t>10. Limitations</w:t>
      </w:r>
      <w:bookmarkEnd w:id="30"/>
    </w:p>
    <w:p w:rsidR="00994A4A" w:rsidRDefault="00994A4A" w:rsidP="005043D9">
      <w:pPr>
        <w:pStyle w:val="NormalWeb"/>
        <w:jc w:val="both"/>
      </w:pPr>
      <w:r>
        <w:t>This review focuses on carbon sequestration in agricultural soils, with an emphasis on croplands and managed pastures. It does not cover peatlands, wetlands, or unmanaged grasslands in detail, even though these systems also store significant amounts of carbon and face distinct management challenges. The review prioritizes recent, peer-reviewed journal literature in English and may therefore under-represent important regional studies, grey literature, and non-English research that provide locally grounded insights.</w:t>
      </w:r>
    </w:p>
    <w:p w:rsidR="00994A4A" w:rsidRDefault="00994A4A" w:rsidP="005043D9">
      <w:pPr>
        <w:pStyle w:val="NormalWeb"/>
        <w:jc w:val="both"/>
      </w:pPr>
      <w:r>
        <w:t>While efforts were made to include studies across diverse climatic zones and farming systems, the evidence base remains uneven. High-income temperate regions are often over-represented relative to tropical and subtropical smallholder systems, where data on long-term soil carbon dynamics, economic returns, and social outcomes are comparatively scarce. This imbalance limits the ability to generalize findings to under-studied regions.</w:t>
      </w:r>
    </w:p>
    <w:p w:rsidR="00994A4A" w:rsidRDefault="00994A4A" w:rsidP="005043D9">
      <w:pPr>
        <w:pStyle w:val="NormalWeb"/>
        <w:jc w:val="both"/>
      </w:pPr>
      <w:r>
        <w:t>The review is also constrained by the underlying methodologies of the cited studies. Many rely on short-term trials, limited sampling depths, or model-based extrapolations that introduce uncertainties. Heterogeneity in experimental designs, soil sampling protocols, and analytical methods complicates direct comparison of sequestration rates and co-benefits across studies.</w:t>
      </w:r>
    </w:p>
    <w:p w:rsidR="00994A4A" w:rsidRDefault="00994A4A" w:rsidP="005043D9">
      <w:pPr>
        <w:pStyle w:val="NormalWeb"/>
        <w:jc w:val="both"/>
      </w:pPr>
      <w:r>
        <w:t>Finally, although the review integrates biophysical, technological, and social science perspectives, it cannot fully capture the complexity of local decision-making, power relations, and political economies that shape land management choices. More participatory and transdisciplinary research is needed to complement the largely expert-driven literature synthesized here and to co-produce context-specific pathways for soil carbon sequestration that are both effective and socially just.</w:t>
      </w:r>
    </w:p>
    <w:p w:rsidR="007F3B45" w:rsidRPr="00740879" w:rsidRDefault="007F3B45" w:rsidP="005043D9">
      <w:pPr>
        <w:jc w:val="both"/>
        <w:rPr>
          <w:highlight w:val="yellow"/>
        </w:rPr>
      </w:pPr>
      <w:r w:rsidRPr="00740879">
        <w:rPr>
          <w:highlight w:val="yellow"/>
        </w:rPr>
        <w:t>Disclaimer (Artificial intelligence)</w:t>
      </w:r>
    </w:p>
    <w:p w:rsidR="007F3B45" w:rsidRPr="00740879" w:rsidRDefault="007F3B45" w:rsidP="005043D9">
      <w:pPr>
        <w:jc w:val="both"/>
        <w:rPr>
          <w:highlight w:val="yellow"/>
        </w:rPr>
      </w:pPr>
      <w:r w:rsidRPr="00740879">
        <w:rPr>
          <w:highlight w:val="yellow"/>
        </w:rPr>
        <w:t xml:space="preserve">Option 1: </w:t>
      </w:r>
    </w:p>
    <w:p w:rsidR="007F3B45" w:rsidRPr="00740879" w:rsidRDefault="007F3B45" w:rsidP="005043D9">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F3B45" w:rsidRPr="00740879" w:rsidRDefault="007F3B45" w:rsidP="005043D9">
      <w:pPr>
        <w:jc w:val="both"/>
        <w:rPr>
          <w:highlight w:val="yellow"/>
        </w:rPr>
      </w:pPr>
      <w:r w:rsidRPr="00740879">
        <w:rPr>
          <w:highlight w:val="yellow"/>
        </w:rPr>
        <w:lastRenderedPageBreak/>
        <w:t xml:space="preserve">Option 2: </w:t>
      </w:r>
    </w:p>
    <w:p w:rsidR="007F3B45" w:rsidRPr="00740879" w:rsidRDefault="007F3B45" w:rsidP="005043D9">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F3B45" w:rsidRPr="00740879" w:rsidRDefault="007F3B45" w:rsidP="005043D9">
      <w:pPr>
        <w:jc w:val="both"/>
        <w:rPr>
          <w:highlight w:val="yellow"/>
        </w:rPr>
      </w:pPr>
      <w:r w:rsidRPr="00740879">
        <w:rPr>
          <w:highlight w:val="yellow"/>
        </w:rPr>
        <w:t>Details of the AI usage are given below:</w:t>
      </w:r>
    </w:p>
    <w:p w:rsidR="007F3B45" w:rsidRPr="00740879" w:rsidRDefault="007F3B45" w:rsidP="005043D9">
      <w:pPr>
        <w:jc w:val="both"/>
        <w:rPr>
          <w:highlight w:val="yellow"/>
        </w:rPr>
      </w:pPr>
      <w:r w:rsidRPr="00740879">
        <w:rPr>
          <w:highlight w:val="yellow"/>
        </w:rPr>
        <w:t>1.</w:t>
      </w:r>
    </w:p>
    <w:p w:rsidR="007F3B45" w:rsidRPr="00740879" w:rsidRDefault="007F3B45" w:rsidP="005043D9">
      <w:pPr>
        <w:jc w:val="both"/>
        <w:rPr>
          <w:highlight w:val="yellow"/>
        </w:rPr>
      </w:pPr>
      <w:r w:rsidRPr="00740879">
        <w:rPr>
          <w:highlight w:val="yellow"/>
        </w:rPr>
        <w:t>2.</w:t>
      </w:r>
    </w:p>
    <w:p w:rsidR="007F3B45" w:rsidRPr="00D047BB" w:rsidRDefault="007F3B45" w:rsidP="005043D9">
      <w:pPr>
        <w:jc w:val="both"/>
      </w:pPr>
      <w:r w:rsidRPr="00740879">
        <w:rPr>
          <w:highlight w:val="yellow"/>
        </w:rPr>
        <w:t>3.</w:t>
      </w:r>
    </w:p>
    <w:p w:rsidR="00994A4A" w:rsidRDefault="00994A4A" w:rsidP="005043D9">
      <w:pPr>
        <w:jc w:val="both"/>
      </w:pPr>
    </w:p>
    <w:p w:rsidR="002A194A" w:rsidRDefault="002A194A" w:rsidP="005043D9">
      <w:pPr>
        <w:pStyle w:val="Heading2"/>
        <w:jc w:val="both"/>
      </w:pPr>
      <w:bookmarkStart w:id="31" w:name="_Toc214897640"/>
      <w:r>
        <w:t>References</w:t>
      </w:r>
      <w:bookmarkEnd w:id="31"/>
    </w:p>
    <w:p w:rsidR="002A194A" w:rsidRDefault="002A194A" w:rsidP="00AD2EA1">
      <w:pPr>
        <w:pStyle w:val="NormalWeb"/>
        <w:numPr>
          <w:ilvl w:val="0"/>
          <w:numId w:val="8"/>
        </w:numPr>
        <w:jc w:val="both"/>
      </w:pPr>
      <w:proofErr w:type="spellStart"/>
      <w:r>
        <w:t>Amelung</w:t>
      </w:r>
      <w:proofErr w:type="spellEnd"/>
      <w:r>
        <w:t xml:space="preserve">, W., Bossio, D., de Vries, W., </w:t>
      </w:r>
      <w:proofErr w:type="spellStart"/>
      <w:r>
        <w:t>Kögel-Knabner</w:t>
      </w:r>
      <w:proofErr w:type="spellEnd"/>
      <w:r>
        <w:t xml:space="preserve">, I., Lehmann, J., Amundson, R., … </w:t>
      </w:r>
      <w:proofErr w:type="spellStart"/>
      <w:r>
        <w:t>Chabbi</w:t>
      </w:r>
      <w:proofErr w:type="spellEnd"/>
      <w:r>
        <w:t xml:space="preserve">, A. (2020). Towards a global-scale soil climate mitigation strategy. </w:t>
      </w:r>
      <w:r>
        <w:rPr>
          <w:rStyle w:val="Emphasis"/>
        </w:rPr>
        <w:t>Nature Communications, 11</w:t>
      </w:r>
      <w:r>
        <w:t xml:space="preserve">, 5427. </w:t>
      </w:r>
      <w:hyperlink r:id="rId8" w:tgtFrame="_new" w:history="1">
        <w:r>
          <w:rPr>
            <w:rStyle w:val="Hyperlink"/>
          </w:rPr>
          <w:t>https://doi.org/10.1038/s41467-020-18887-7</w:t>
        </w:r>
      </w:hyperlink>
    </w:p>
    <w:p w:rsidR="002A194A" w:rsidRDefault="005043D9" w:rsidP="00AD2EA1">
      <w:pPr>
        <w:pStyle w:val="NormalWeb"/>
        <w:numPr>
          <w:ilvl w:val="0"/>
          <w:numId w:val="8"/>
        </w:numPr>
        <w:jc w:val="both"/>
      </w:pPr>
      <w:proofErr w:type="spellStart"/>
      <w:r w:rsidRPr="005043D9">
        <w:t>Batjes</w:t>
      </w:r>
      <w:proofErr w:type="spellEnd"/>
      <w:r w:rsidRPr="005043D9">
        <w:t xml:space="preserve">, N. H., </w:t>
      </w:r>
      <w:proofErr w:type="spellStart"/>
      <w:r w:rsidRPr="005043D9">
        <w:t>Ceschia</w:t>
      </w:r>
      <w:proofErr w:type="spellEnd"/>
      <w:r w:rsidRPr="005043D9">
        <w:t xml:space="preserve">, E., </w:t>
      </w:r>
      <w:proofErr w:type="spellStart"/>
      <w:r w:rsidRPr="005043D9">
        <w:t>Heuvelink</w:t>
      </w:r>
      <w:proofErr w:type="spellEnd"/>
      <w:r w:rsidRPr="005043D9">
        <w:t xml:space="preserve">, G. B., </w:t>
      </w:r>
      <w:proofErr w:type="spellStart"/>
      <w:r w:rsidRPr="005043D9">
        <w:t>Demenois</w:t>
      </w:r>
      <w:proofErr w:type="spellEnd"/>
      <w:r w:rsidRPr="005043D9">
        <w:t xml:space="preserve">, J., Le Maire, G., </w:t>
      </w:r>
      <w:proofErr w:type="spellStart"/>
      <w:r w:rsidRPr="005043D9">
        <w:t>Cardinael</w:t>
      </w:r>
      <w:proofErr w:type="spellEnd"/>
      <w:r w:rsidRPr="005043D9">
        <w:t xml:space="preserve">, R., ... &amp; van </w:t>
      </w:r>
      <w:proofErr w:type="spellStart"/>
      <w:r w:rsidRPr="005043D9">
        <w:t>Egmond</w:t>
      </w:r>
      <w:proofErr w:type="spellEnd"/>
      <w:r w:rsidRPr="005043D9">
        <w:t xml:space="preserve">, F. (2024). Towards a modular, multi-ecosystem monitoring, reporting and verification (MRV) framework for soil organic carbon stock change assessment. Carbon Management, 15(1), 2410812. </w:t>
      </w:r>
      <w:hyperlink r:id="rId9" w:history="1">
        <w:r w:rsidR="002A194A" w:rsidRPr="00680566">
          <w:rPr>
            <w:rStyle w:val="Hyperlink"/>
          </w:rPr>
          <w:t>https://doi.org/10.1080/17583004.2024.2410812</w:t>
        </w:r>
      </w:hyperlink>
      <w:r w:rsidR="002A194A">
        <w:t xml:space="preserve"> </w:t>
      </w:r>
    </w:p>
    <w:p w:rsidR="002A194A" w:rsidRDefault="002A194A" w:rsidP="00AD2EA1">
      <w:pPr>
        <w:pStyle w:val="NormalWeb"/>
        <w:numPr>
          <w:ilvl w:val="0"/>
          <w:numId w:val="8"/>
        </w:numPr>
        <w:jc w:val="both"/>
      </w:pPr>
      <w:proofErr w:type="spellStart"/>
      <w:r>
        <w:t>Brummitt</w:t>
      </w:r>
      <w:proofErr w:type="spellEnd"/>
      <w:r>
        <w:t xml:space="preserve">, C. D., Mathers, C., Keating, R. A., O’Leary, K., Easter, M. J., </w:t>
      </w:r>
      <w:proofErr w:type="spellStart"/>
      <w:r>
        <w:t>Friedl</w:t>
      </w:r>
      <w:proofErr w:type="spellEnd"/>
      <w:r>
        <w:t xml:space="preserve">, M., … Kumar, A. A. (2024). Solutions and insights for agricultural monitoring, reporting, and verification (MRV) from three consecutive issuances of soil carbon credits. </w:t>
      </w:r>
      <w:r>
        <w:rPr>
          <w:rStyle w:val="Emphasis"/>
        </w:rPr>
        <w:t>Journal of Environmental Management, 369</w:t>
      </w:r>
      <w:r>
        <w:t xml:space="preserve">, 122284. </w:t>
      </w:r>
      <w:hyperlink r:id="rId10" w:history="1">
        <w:r w:rsidRPr="00680566">
          <w:rPr>
            <w:rStyle w:val="Hyperlink"/>
          </w:rPr>
          <w:t>https://doi.org/10.1016/j.jenvman.2024.122284</w:t>
        </w:r>
      </w:hyperlink>
      <w:r>
        <w:t xml:space="preserve"> </w:t>
      </w:r>
    </w:p>
    <w:p w:rsidR="002A194A" w:rsidRDefault="005043D9" w:rsidP="00AD2EA1">
      <w:pPr>
        <w:pStyle w:val="NormalWeb"/>
        <w:numPr>
          <w:ilvl w:val="0"/>
          <w:numId w:val="8"/>
        </w:numPr>
        <w:jc w:val="both"/>
      </w:pPr>
      <w:r w:rsidRPr="005043D9">
        <w:t xml:space="preserve">Buck, H. J., &amp; Palumbo-Compton, A. (2022). Soil carbon sequestration as a climate strategy: what do farmers </w:t>
      </w:r>
      <w:proofErr w:type="gramStart"/>
      <w:r w:rsidRPr="005043D9">
        <w:t>think?.</w:t>
      </w:r>
      <w:proofErr w:type="gramEnd"/>
      <w:r w:rsidRPr="005043D9">
        <w:t xml:space="preserve"> Biogeochemistry, 161(1), 59-70. </w:t>
      </w:r>
      <w:hyperlink r:id="rId11" w:history="1">
        <w:r w:rsidR="002A194A" w:rsidRPr="00680566">
          <w:rPr>
            <w:rStyle w:val="Hyperlink"/>
          </w:rPr>
          <w:t>https://doi.org/10.1007/s10533-022-00948-2</w:t>
        </w:r>
      </w:hyperlink>
      <w:r w:rsidR="002A194A">
        <w:t xml:space="preserve"> </w:t>
      </w:r>
    </w:p>
    <w:p w:rsidR="002A194A" w:rsidRDefault="002A194A" w:rsidP="00AD2EA1">
      <w:pPr>
        <w:pStyle w:val="NormalWeb"/>
        <w:numPr>
          <w:ilvl w:val="0"/>
          <w:numId w:val="8"/>
        </w:numPr>
        <w:jc w:val="both"/>
      </w:pPr>
      <w:proofErr w:type="spellStart"/>
      <w:r>
        <w:t>Cammarata</w:t>
      </w:r>
      <w:proofErr w:type="spellEnd"/>
      <w:r>
        <w:t xml:space="preserve">, M., Scuderi, A., </w:t>
      </w:r>
      <w:proofErr w:type="spellStart"/>
      <w:r>
        <w:t>Timpanaro</w:t>
      </w:r>
      <w:proofErr w:type="spellEnd"/>
      <w:r>
        <w:t xml:space="preserve">, G., &amp; </w:t>
      </w:r>
      <w:proofErr w:type="spellStart"/>
      <w:r>
        <w:t>Cascone</w:t>
      </w:r>
      <w:proofErr w:type="spellEnd"/>
      <w:r>
        <w:t xml:space="preserve">, G. (2024). Factors influencing farmers’ intention to participate in the voluntary carbon market: An extended theory of planned behavior. </w:t>
      </w:r>
      <w:r>
        <w:rPr>
          <w:rStyle w:val="Emphasis"/>
        </w:rPr>
        <w:t>Journal of Environmental Management, 369</w:t>
      </w:r>
      <w:r>
        <w:t xml:space="preserve">, 122367. </w:t>
      </w:r>
      <w:hyperlink r:id="rId12" w:history="1">
        <w:r w:rsidRPr="00680566">
          <w:rPr>
            <w:rStyle w:val="Hyperlink"/>
          </w:rPr>
          <w:t>https://doi.org/10.1016/j.jenvman.2024.122367</w:t>
        </w:r>
      </w:hyperlink>
      <w:r>
        <w:t xml:space="preserve"> </w:t>
      </w:r>
    </w:p>
    <w:p w:rsidR="002A194A" w:rsidRDefault="002A194A" w:rsidP="00AD2EA1">
      <w:pPr>
        <w:pStyle w:val="NormalWeb"/>
        <w:numPr>
          <w:ilvl w:val="0"/>
          <w:numId w:val="8"/>
        </w:numPr>
        <w:jc w:val="both"/>
      </w:pPr>
      <w:proofErr w:type="spellStart"/>
      <w:r>
        <w:t>Chenu</w:t>
      </w:r>
      <w:proofErr w:type="spellEnd"/>
      <w:r>
        <w:t xml:space="preserve">, C., </w:t>
      </w:r>
      <w:proofErr w:type="spellStart"/>
      <w:r>
        <w:t>Chazoux</w:t>
      </w:r>
      <w:proofErr w:type="spellEnd"/>
      <w:r>
        <w:t xml:space="preserve">, M., van Oort, F., Angers, D. A., &amp; </w:t>
      </w:r>
      <w:proofErr w:type="spellStart"/>
      <w:r>
        <w:t>Houot</w:t>
      </w:r>
      <w:proofErr w:type="spellEnd"/>
      <w:r>
        <w:t xml:space="preserve">, S. (2019). Increasing organic stocks in agricultural soils: Knowledge gaps and potential innovations. </w:t>
      </w:r>
      <w:r>
        <w:rPr>
          <w:rStyle w:val="Emphasis"/>
        </w:rPr>
        <w:t>Soil &amp; Tillage Research, 188</w:t>
      </w:r>
      <w:r>
        <w:t xml:space="preserve">, 41–52. </w:t>
      </w:r>
      <w:hyperlink r:id="rId13" w:history="1">
        <w:r w:rsidRPr="00680566">
          <w:rPr>
            <w:rStyle w:val="Hyperlink"/>
          </w:rPr>
          <w:t>https://doi.org/10.1016/j.still.2018.04.011</w:t>
        </w:r>
      </w:hyperlink>
      <w:r>
        <w:t xml:space="preserve"> </w:t>
      </w:r>
    </w:p>
    <w:p w:rsidR="002A194A" w:rsidRDefault="005043D9" w:rsidP="00AD2EA1">
      <w:pPr>
        <w:pStyle w:val="NormalWeb"/>
        <w:numPr>
          <w:ilvl w:val="0"/>
          <w:numId w:val="8"/>
        </w:numPr>
        <w:jc w:val="both"/>
      </w:pPr>
      <w:proofErr w:type="spellStart"/>
      <w:r w:rsidRPr="005043D9">
        <w:t>Demenois</w:t>
      </w:r>
      <w:proofErr w:type="spellEnd"/>
      <w:r w:rsidRPr="005043D9">
        <w:t xml:space="preserve">, J., </w:t>
      </w:r>
      <w:proofErr w:type="spellStart"/>
      <w:r w:rsidRPr="005043D9">
        <w:t>Torquebiau</w:t>
      </w:r>
      <w:proofErr w:type="spellEnd"/>
      <w:r w:rsidRPr="005043D9">
        <w:t xml:space="preserve">, E., Arnoult, M. H., Eglin, T., Masse, D., </w:t>
      </w:r>
      <w:proofErr w:type="spellStart"/>
      <w:r w:rsidRPr="005043D9">
        <w:t>Assouma</w:t>
      </w:r>
      <w:proofErr w:type="spellEnd"/>
      <w:r w:rsidRPr="005043D9">
        <w:t xml:space="preserve">, M. H., ... &amp; </w:t>
      </w:r>
      <w:proofErr w:type="spellStart"/>
      <w:r w:rsidRPr="005043D9">
        <w:t>Sall</w:t>
      </w:r>
      <w:proofErr w:type="spellEnd"/>
      <w:r w:rsidRPr="005043D9">
        <w:t>, S. N. (2020). Barriers and strategies to boost soil carbon sequestration in agriculture. Frontiers in Sustainable Food Systems, 4, 37.</w:t>
      </w:r>
      <w:hyperlink r:id="rId14" w:history="1">
        <w:r w:rsidR="002A194A" w:rsidRPr="00680566">
          <w:rPr>
            <w:rStyle w:val="Hyperlink"/>
          </w:rPr>
          <w:t>https://doi.org/10.3389/fsufs.2020.00037</w:t>
        </w:r>
      </w:hyperlink>
      <w:r w:rsidR="002A194A">
        <w:t xml:space="preserve"> </w:t>
      </w:r>
    </w:p>
    <w:p w:rsidR="002A194A" w:rsidRDefault="002A194A" w:rsidP="00AD2EA1">
      <w:pPr>
        <w:pStyle w:val="NormalWeb"/>
        <w:numPr>
          <w:ilvl w:val="0"/>
          <w:numId w:val="8"/>
        </w:numPr>
        <w:jc w:val="both"/>
      </w:pPr>
      <w:proofErr w:type="spellStart"/>
      <w:r>
        <w:t>Giller</w:t>
      </w:r>
      <w:proofErr w:type="spellEnd"/>
      <w:r>
        <w:t xml:space="preserve">, K. E., </w:t>
      </w:r>
      <w:proofErr w:type="spellStart"/>
      <w:r>
        <w:t>Hijbeek</w:t>
      </w:r>
      <w:proofErr w:type="spellEnd"/>
      <w:r>
        <w:t xml:space="preserve">, R., Andersson, J. A., &amp; </w:t>
      </w:r>
      <w:proofErr w:type="spellStart"/>
      <w:r>
        <w:t>Sumberg</w:t>
      </w:r>
      <w:proofErr w:type="spellEnd"/>
      <w:r>
        <w:t xml:space="preserve">, J. (2021). Regenerative agriculture: An agronomic perspective. </w:t>
      </w:r>
      <w:r>
        <w:rPr>
          <w:rStyle w:val="Emphasis"/>
        </w:rPr>
        <w:t>Outlook on Agriculture, 50</w:t>
      </w:r>
      <w:r>
        <w:t xml:space="preserve">(1), 13–25. </w:t>
      </w:r>
      <w:hyperlink r:id="rId15" w:history="1">
        <w:r w:rsidRPr="00680566">
          <w:rPr>
            <w:rStyle w:val="Hyperlink"/>
          </w:rPr>
          <w:t>https://doi.org/10.1177/0030727021998063</w:t>
        </w:r>
      </w:hyperlink>
      <w:r>
        <w:t xml:space="preserve"> </w:t>
      </w:r>
    </w:p>
    <w:p w:rsidR="002A194A" w:rsidRDefault="005043D9" w:rsidP="00AD2EA1">
      <w:pPr>
        <w:pStyle w:val="NormalWeb"/>
        <w:numPr>
          <w:ilvl w:val="0"/>
          <w:numId w:val="8"/>
        </w:numPr>
        <w:jc w:val="both"/>
      </w:pPr>
      <w:r w:rsidRPr="005043D9">
        <w:t>Gonzales-</w:t>
      </w:r>
      <w:proofErr w:type="spellStart"/>
      <w:r w:rsidRPr="005043D9">
        <w:t>Gemio</w:t>
      </w:r>
      <w:proofErr w:type="spellEnd"/>
      <w:r w:rsidRPr="005043D9">
        <w:t xml:space="preserve">, C., &amp; Sanz-Martín, L. (2025). Socioeconomic barriers to the adoption of carbon farming in Spain, Italy, Egypt, and Tunisia: An analysis based on </w:t>
      </w:r>
      <w:r w:rsidRPr="005043D9">
        <w:lastRenderedPageBreak/>
        <w:t xml:space="preserve">the diffusion of innovations model. Journal of Cleaner Production, 498, 145155. </w:t>
      </w:r>
      <w:hyperlink r:id="rId16" w:history="1">
        <w:r w:rsidR="002A194A" w:rsidRPr="00680566">
          <w:rPr>
            <w:rStyle w:val="Hyperlink"/>
          </w:rPr>
          <w:t>https://doi.org/10.1016/j.jclepro.2025.145155</w:t>
        </w:r>
      </w:hyperlink>
      <w:r w:rsidR="002A194A">
        <w:t xml:space="preserve"> </w:t>
      </w:r>
    </w:p>
    <w:p w:rsidR="002A194A" w:rsidRDefault="005043D9" w:rsidP="00AD2EA1">
      <w:pPr>
        <w:pStyle w:val="NormalWeb"/>
        <w:numPr>
          <w:ilvl w:val="0"/>
          <w:numId w:val="8"/>
        </w:numPr>
        <w:jc w:val="both"/>
      </w:pPr>
      <w:proofErr w:type="spellStart"/>
      <w:r w:rsidRPr="005043D9">
        <w:t>Jat</w:t>
      </w:r>
      <w:proofErr w:type="spellEnd"/>
      <w:r w:rsidRPr="005043D9">
        <w:t xml:space="preserve">, M. L., Chakraborty, D., </w:t>
      </w:r>
      <w:proofErr w:type="spellStart"/>
      <w:r w:rsidRPr="005043D9">
        <w:t>Ladha</w:t>
      </w:r>
      <w:proofErr w:type="spellEnd"/>
      <w:r w:rsidRPr="005043D9">
        <w:t>, J. K., Parihar, C. M., Datta, A., Mandal, B., ... &amp; Gerard, B. (2022). Carbon sequestration potential, challenges, and strategies towards climate action in smallholder agricultural systems of South Asia. Crop and Environment, 1(1), 86-</w:t>
      </w:r>
      <w:proofErr w:type="gramStart"/>
      <w:r w:rsidRPr="005043D9">
        <w:t>101.</w:t>
      </w:r>
      <w:r w:rsidR="002A194A">
        <w:t>.</w:t>
      </w:r>
      <w:proofErr w:type="gramEnd"/>
      <w:r w:rsidR="002A194A">
        <w:t xml:space="preserve"> </w:t>
      </w:r>
      <w:hyperlink r:id="rId17" w:history="1">
        <w:r w:rsidR="002A194A" w:rsidRPr="00680566">
          <w:rPr>
            <w:rStyle w:val="Hyperlink"/>
          </w:rPr>
          <w:t>https://doi.org/10.1016/j.crope.2022.03.005</w:t>
        </w:r>
      </w:hyperlink>
      <w:r w:rsidR="002A194A">
        <w:t xml:space="preserve"> </w:t>
      </w:r>
    </w:p>
    <w:p w:rsidR="002A194A" w:rsidRDefault="002A194A" w:rsidP="00AD2EA1">
      <w:pPr>
        <w:pStyle w:val="NormalWeb"/>
        <w:numPr>
          <w:ilvl w:val="0"/>
          <w:numId w:val="8"/>
        </w:numPr>
        <w:jc w:val="both"/>
      </w:pPr>
      <w:proofErr w:type="spellStart"/>
      <w:r>
        <w:t>Lessmann</w:t>
      </w:r>
      <w:proofErr w:type="spellEnd"/>
      <w:r>
        <w:t xml:space="preserve">, M., Ros, G. H., Young, M. D., &amp; de Vries, W. (2022). Global variation in soil carbon sequestration potential through improved cropland management. </w:t>
      </w:r>
      <w:r>
        <w:rPr>
          <w:rStyle w:val="Emphasis"/>
        </w:rPr>
        <w:t>Global Change Biology, 28</w:t>
      </w:r>
      <w:r>
        <w:t xml:space="preserve">(3), 1162–1177. </w:t>
      </w:r>
      <w:hyperlink r:id="rId18" w:history="1">
        <w:r w:rsidRPr="00680566">
          <w:rPr>
            <w:rStyle w:val="Hyperlink"/>
          </w:rPr>
          <w:t>https://doi.org/10.1111/gcb.15954</w:t>
        </w:r>
      </w:hyperlink>
      <w:r>
        <w:t xml:space="preserve"> </w:t>
      </w:r>
    </w:p>
    <w:p w:rsidR="002A194A" w:rsidRDefault="005043D9" w:rsidP="00AD2EA1">
      <w:pPr>
        <w:pStyle w:val="NormalWeb"/>
        <w:numPr>
          <w:ilvl w:val="0"/>
          <w:numId w:val="8"/>
        </w:numPr>
        <w:jc w:val="both"/>
      </w:pPr>
      <w:r w:rsidRPr="005043D9">
        <w:t xml:space="preserve">Li, T., Xia, A., McLaren, T. I., Pandey, R., Xu, Z., Liu, H., ... &amp; Dang, Y. P. (2023). Preliminary results in innovative solutions for soil carbon estimation: integrating remote sensing, machine learning, and proximal sensing spectroscopy. Remote Sensing, 15(23), 5571. </w:t>
      </w:r>
      <w:hyperlink r:id="rId19" w:history="1">
        <w:r w:rsidR="002A194A" w:rsidRPr="00680566">
          <w:rPr>
            <w:rStyle w:val="Hyperlink"/>
          </w:rPr>
          <w:t>https://doi.org/10.3390/rs15235571</w:t>
        </w:r>
      </w:hyperlink>
      <w:r w:rsidR="002A194A">
        <w:t xml:space="preserve"> </w:t>
      </w:r>
    </w:p>
    <w:p w:rsidR="002A194A" w:rsidRDefault="002A194A" w:rsidP="00AD2EA1">
      <w:pPr>
        <w:pStyle w:val="NormalWeb"/>
        <w:numPr>
          <w:ilvl w:val="0"/>
          <w:numId w:val="8"/>
        </w:numPr>
        <w:jc w:val="both"/>
      </w:pPr>
      <w:r>
        <w:t xml:space="preserve">Liang, C., </w:t>
      </w:r>
      <w:proofErr w:type="spellStart"/>
      <w:r>
        <w:t>Amelung</w:t>
      </w:r>
      <w:proofErr w:type="spellEnd"/>
      <w:r>
        <w:t xml:space="preserve">, W., Lehmann, J., &amp; </w:t>
      </w:r>
      <w:proofErr w:type="spellStart"/>
      <w:r>
        <w:t>Kästner</w:t>
      </w:r>
      <w:proofErr w:type="spellEnd"/>
      <w:r>
        <w:t xml:space="preserve">, M. (2019). Quantitative assessment of microbial </w:t>
      </w:r>
      <w:proofErr w:type="spellStart"/>
      <w:r>
        <w:t>necromass</w:t>
      </w:r>
      <w:proofErr w:type="spellEnd"/>
      <w:r>
        <w:t xml:space="preserve"> contribution to soil organic matter. </w:t>
      </w:r>
      <w:r>
        <w:rPr>
          <w:rStyle w:val="Emphasis"/>
        </w:rPr>
        <w:t>Global Change Biology, 25</w:t>
      </w:r>
      <w:r>
        <w:t xml:space="preserve">(11), 3578–3590. </w:t>
      </w:r>
      <w:hyperlink r:id="rId20" w:tgtFrame="_new" w:history="1">
        <w:r>
          <w:rPr>
            <w:rStyle w:val="Hyperlink"/>
          </w:rPr>
          <w:t>https://doi.org/10.1111/gcb.14781</w:t>
        </w:r>
      </w:hyperlink>
    </w:p>
    <w:p w:rsidR="002A194A" w:rsidRDefault="005043D9" w:rsidP="00AD2EA1">
      <w:pPr>
        <w:pStyle w:val="NormalWeb"/>
        <w:numPr>
          <w:ilvl w:val="0"/>
          <w:numId w:val="8"/>
        </w:numPr>
        <w:jc w:val="both"/>
      </w:pPr>
      <w:r w:rsidRPr="005043D9">
        <w:t xml:space="preserve">Mattila, T. J., </w:t>
      </w:r>
      <w:proofErr w:type="spellStart"/>
      <w:r w:rsidRPr="005043D9">
        <w:t>Hagelberg</w:t>
      </w:r>
      <w:proofErr w:type="spellEnd"/>
      <w:r w:rsidRPr="005043D9">
        <w:t xml:space="preserve">, E., </w:t>
      </w:r>
      <w:proofErr w:type="spellStart"/>
      <w:r w:rsidRPr="005043D9">
        <w:t>Söderlund</w:t>
      </w:r>
      <w:proofErr w:type="spellEnd"/>
      <w:r w:rsidRPr="005043D9">
        <w:t xml:space="preserve">, S., &amp; </w:t>
      </w:r>
      <w:proofErr w:type="spellStart"/>
      <w:r w:rsidRPr="005043D9">
        <w:t>Joona</w:t>
      </w:r>
      <w:proofErr w:type="spellEnd"/>
      <w:r w:rsidRPr="005043D9">
        <w:t xml:space="preserve">, J. (2022). How farmers approach soil carbon sequestration? Lessons learned from 105 carbon-farming plans. Soil and Tillage Research, 215, 105204. </w:t>
      </w:r>
      <w:hyperlink r:id="rId21" w:history="1">
        <w:r w:rsidR="002A194A" w:rsidRPr="00680566">
          <w:rPr>
            <w:rStyle w:val="Hyperlink"/>
          </w:rPr>
          <w:t>https://doi.org/10.1016/j.still.2021.105204</w:t>
        </w:r>
      </w:hyperlink>
      <w:r w:rsidR="002A194A">
        <w:t xml:space="preserve"> </w:t>
      </w:r>
    </w:p>
    <w:p w:rsidR="002A194A" w:rsidRDefault="002A194A" w:rsidP="00AD2EA1">
      <w:pPr>
        <w:pStyle w:val="NormalWeb"/>
        <w:numPr>
          <w:ilvl w:val="0"/>
          <w:numId w:val="8"/>
        </w:numPr>
        <w:jc w:val="both"/>
      </w:pPr>
      <w:proofErr w:type="spellStart"/>
      <w:r>
        <w:t>Minasny</w:t>
      </w:r>
      <w:proofErr w:type="spellEnd"/>
      <w:r>
        <w:t xml:space="preserve">, B., Malone, B. P., </w:t>
      </w:r>
      <w:proofErr w:type="spellStart"/>
      <w:r>
        <w:t>McBratney</w:t>
      </w:r>
      <w:proofErr w:type="spellEnd"/>
      <w:r>
        <w:t xml:space="preserve">, A. B., Angers, D. A., </w:t>
      </w:r>
      <w:proofErr w:type="spellStart"/>
      <w:r>
        <w:t>Arrouays</w:t>
      </w:r>
      <w:proofErr w:type="spellEnd"/>
      <w:r>
        <w:t xml:space="preserve">, D., Chambers, A., … </w:t>
      </w:r>
      <w:proofErr w:type="spellStart"/>
      <w:r>
        <w:t>Winowiecki</w:t>
      </w:r>
      <w:proofErr w:type="spellEnd"/>
      <w:r>
        <w:t xml:space="preserve">, L. (2017). Soil carbon four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22" w:tgtFrame="_new" w:history="1">
        <w:r>
          <w:rPr>
            <w:rStyle w:val="Hyperlink"/>
          </w:rPr>
          <w:t>https://doi.org/10.1016/j.geoderma.2017.01.002</w:t>
        </w:r>
      </w:hyperlink>
    </w:p>
    <w:p w:rsidR="002A194A" w:rsidRDefault="005043D9" w:rsidP="00AD2EA1">
      <w:pPr>
        <w:pStyle w:val="NormalWeb"/>
        <w:numPr>
          <w:ilvl w:val="0"/>
          <w:numId w:val="8"/>
        </w:numPr>
        <w:jc w:val="both"/>
      </w:pPr>
      <w:r w:rsidRPr="005043D9">
        <w:t xml:space="preserve">Mills, J., Ingram, J., </w:t>
      </w:r>
      <w:proofErr w:type="spellStart"/>
      <w:r w:rsidRPr="005043D9">
        <w:t>Dibari</w:t>
      </w:r>
      <w:proofErr w:type="spellEnd"/>
      <w:r w:rsidRPr="005043D9">
        <w:t xml:space="preserve">, C., </w:t>
      </w:r>
      <w:proofErr w:type="spellStart"/>
      <w:r w:rsidRPr="005043D9">
        <w:t>Merante</w:t>
      </w:r>
      <w:proofErr w:type="spellEnd"/>
      <w:r w:rsidRPr="005043D9">
        <w:t xml:space="preserve">, P., </w:t>
      </w:r>
      <w:proofErr w:type="spellStart"/>
      <w:r w:rsidRPr="005043D9">
        <w:t>Karaczun</w:t>
      </w:r>
      <w:proofErr w:type="spellEnd"/>
      <w:r w:rsidRPr="005043D9">
        <w:t xml:space="preserve">, Z., Molnar, A., ... &amp; </w:t>
      </w:r>
      <w:proofErr w:type="spellStart"/>
      <w:r w:rsidRPr="005043D9">
        <w:t>Ghaley</w:t>
      </w:r>
      <w:proofErr w:type="spellEnd"/>
      <w:r w:rsidRPr="005043D9">
        <w:t xml:space="preserve">, B. B. (2020). Barriers to and opportunities for the uptake of soil carbon management practices in European sustainable agricultural production. Agroecology and Sustainable Food Systems, 44(9), 1185-1211. </w:t>
      </w:r>
      <w:hyperlink r:id="rId23" w:history="1">
        <w:r w:rsidR="002A194A" w:rsidRPr="00680566">
          <w:rPr>
            <w:rStyle w:val="Hyperlink"/>
          </w:rPr>
          <w:t>https://doi.org/10.1080/21683565.2019.1680476</w:t>
        </w:r>
      </w:hyperlink>
      <w:r w:rsidR="002A194A">
        <w:t xml:space="preserve"> </w:t>
      </w:r>
    </w:p>
    <w:p w:rsidR="002A194A" w:rsidRDefault="002A194A" w:rsidP="00AD2EA1">
      <w:pPr>
        <w:pStyle w:val="NormalWeb"/>
        <w:numPr>
          <w:ilvl w:val="0"/>
          <w:numId w:val="8"/>
        </w:numPr>
        <w:jc w:val="both"/>
      </w:pPr>
      <w:r>
        <w:t xml:space="preserve">Nayak, A. K., </w:t>
      </w:r>
      <w:proofErr w:type="spellStart"/>
      <w:r>
        <w:t>Gangwar</w:t>
      </w:r>
      <w:proofErr w:type="spellEnd"/>
      <w:r>
        <w:t xml:space="preserve">, B., Shukla, A. K., Mazumdar, S. P., Kumar, A., Raja, R., … Pathak, H. (2019). Current and emerging methodologies for estimating carbon sequestration in agricultural soils: A review. </w:t>
      </w:r>
      <w:r>
        <w:rPr>
          <w:rStyle w:val="Emphasis"/>
        </w:rPr>
        <w:t>Science of the Total Environment, 665</w:t>
      </w:r>
      <w:r>
        <w:t xml:space="preserve">, 890–912. </w:t>
      </w:r>
      <w:hyperlink r:id="rId24" w:history="1">
        <w:r w:rsidRPr="00680566">
          <w:rPr>
            <w:rStyle w:val="Hyperlink"/>
          </w:rPr>
          <w:t>https://doi.org/10.1016/j.scitotenv.2019.02.125</w:t>
        </w:r>
      </w:hyperlink>
      <w:r>
        <w:t xml:space="preserve"> </w:t>
      </w:r>
    </w:p>
    <w:p w:rsidR="002A194A" w:rsidRDefault="002A194A" w:rsidP="00AD2EA1">
      <w:pPr>
        <w:pStyle w:val="NormalWeb"/>
        <w:numPr>
          <w:ilvl w:val="0"/>
          <w:numId w:val="8"/>
        </w:numPr>
        <w:jc w:val="both"/>
      </w:pPr>
      <w:r>
        <w:t xml:space="preserve">Newton, P., </w:t>
      </w:r>
      <w:proofErr w:type="spellStart"/>
      <w:r>
        <w:t>Civita</w:t>
      </w:r>
      <w:proofErr w:type="spellEnd"/>
      <w:r>
        <w:t xml:space="preserve">, N., Frankel-Goldwater, L., </w:t>
      </w:r>
      <w:proofErr w:type="spellStart"/>
      <w:r>
        <w:t>Bartel</w:t>
      </w:r>
      <w:proofErr w:type="spellEnd"/>
      <w:r>
        <w:t xml:space="preserve">, K., &amp; Johns, C. (2020). What is regenerative agriculture? A review of scholar and practitioner definitions based on processes and outcomes. </w:t>
      </w:r>
      <w:r>
        <w:rPr>
          <w:rStyle w:val="Emphasis"/>
        </w:rPr>
        <w:t>Frontiers in Sustainable Food Systems, 4</w:t>
      </w:r>
      <w:r>
        <w:t xml:space="preserve">, 577723. </w:t>
      </w:r>
      <w:hyperlink r:id="rId25" w:tgtFrame="_new" w:history="1">
        <w:r>
          <w:rPr>
            <w:rStyle w:val="Hyperlink"/>
          </w:rPr>
          <w:t>https://doi.org/10.3389/fsufs.2020.577723</w:t>
        </w:r>
      </w:hyperlink>
    </w:p>
    <w:p w:rsidR="002A194A" w:rsidRDefault="002A194A" w:rsidP="00AD2EA1">
      <w:pPr>
        <w:pStyle w:val="NormalWeb"/>
        <w:numPr>
          <w:ilvl w:val="0"/>
          <w:numId w:val="8"/>
        </w:numPr>
        <w:jc w:val="both"/>
      </w:pPr>
      <w:proofErr w:type="spellStart"/>
      <w:r>
        <w:t>Padarian</w:t>
      </w:r>
      <w:proofErr w:type="spellEnd"/>
      <w:r>
        <w:t xml:space="preserve">, J., </w:t>
      </w:r>
      <w:proofErr w:type="spellStart"/>
      <w:r>
        <w:t>Minasny</w:t>
      </w:r>
      <w:proofErr w:type="spellEnd"/>
      <w:r>
        <w:t xml:space="preserve">, B., &amp; </w:t>
      </w:r>
      <w:proofErr w:type="spellStart"/>
      <w:r>
        <w:t>McBratney</w:t>
      </w:r>
      <w:proofErr w:type="spellEnd"/>
      <w:r>
        <w:t xml:space="preserve">, A. B. (2022). Soil carbon sequestration potential in global croplands. </w:t>
      </w:r>
      <w:proofErr w:type="spellStart"/>
      <w:r>
        <w:rPr>
          <w:rStyle w:val="Emphasis"/>
        </w:rPr>
        <w:t>PeerJ</w:t>
      </w:r>
      <w:proofErr w:type="spellEnd"/>
      <w:r>
        <w:rPr>
          <w:rStyle w:val="Emphasis"/>
        </w:rPr>
        <w:t>, 10</w:t>
      </w:r>
      <w:r>
        <w:t xml:space="preserve">, e13740. </w:t>
      </w:r>
      <w:hyperlink r:id="rId26" w:history="1">
        <w:r w:rsidRPr="00680566">
          <w:rPr>
            <w:rStyle w:val="Hyperlink"/>
          </w:rPr>
          <w:t>https://doi.org/10.7717/peerj.13740</w:t>
        </w:r>
      </w:hyperlink>
      <w:r>
        <w:t xml:space="preserve"> </w:t>
      </w:r>
    </w:p>
    <w:p w:rsidR="002A194A" w:rsidRDefault="002A194A" w:rsidP="00AD2EA1">
      <w:pPr>
        <w:pStyle w:val="NormalWeb"/>
        <w:numPr>
          <w:ilvl w:val="0"/>
          <w:numId w:val="8"/>
        </w:numPr>
        <w:jc w:val="both"/>
      </w:pPr>
      <w:proofErr w:type="spellStart"/>
      <w:r>
        <w:t>Payen</w:t>
      </w:r>
      <w:proofErr w:type="spellEnd"/>
      <w:r>
        <w:t xml:space="preserve">, F. T., Sykes, A., </w:t>
      </w:r>
      <w:proofErr w:type="spellStart"/>
      <w:r>
        <w:t>Aitkenhead</w:t>
      </w:r>
      <w:proofErr w:type="spellEnd"/>
      <w:r>
        <w:t xml:space="preserve">, M., Alexander, P., Moran, D., &amp; MacLeod, M. (2021). Soil organic carbon sequestration rates in vineyard agroecosystems under different soil management practices: A meta-analysis. </w:t>
      </w:r>
      <w:r>
        <w:rPr>
          <w:rStyle w:val="Emphasis"/>
        </w:rPr>
        <w:t>Journal of Cleaner Production, 290</w:t>
      </w:r>
      <w:r>
        <w:t xml:space="preserve">, 125736. </w:t>
      </w:r>
      <w:hyperlink r:id="rId27" w:history="1">
        <w:r w:rsidRPr="00680566">
          <w:rPr>
            <w:rStyle w:val="Hyperlink"/>
          </w:rPr>
          <w:t>https://doi.org/10.1016/j.jclepro.2020.125736</w:t>
        </w:r>
      </w:hyperlink>
      <w:r>
        <w:t xml:space="preserve"> </w:t>
      </w:r>
    </w:p>
    <w:p w:rsidR="002A194A" w:rsidRDefault="002A194A" w:rsidP="00AD2EA1">
      <w:pPr>
        <w:pStyle w:val="NormalWeb"/>
        <w:numPr>
          <w:ilvl w:val="0"/>
          <w:numId w:val="8"/>
        </w:numPr>
        <w:jc w:val="both"/>
      </w:pPr>
      <w:proofErr w:type="spellStart"/>
      <w:r>
        <w:t>Piñeiro</w:t>
      </w:r>
      <w:proofErr w:type="spellEnd"/>
      <w:r>
        <w:t xml:space="preserve">, V., Arias, J., </w:t>
      </w:r>
      <w:proofErr w:type="spellStart"/>
      <w:r>
        <w:t>Dürr</w:t>
      </w:r>
      <w:proofErr w:type="spellEnd"/>
      <w:r>
        <w:t xml:space="preserve">, J., </w:t>
      </w:r>
      <w:proofErr w:type="spellStart"/>
      <w:r>
        <w:t>Elverdin</w:t>
      </w:r>
      <w:proofErr w:type="spellEnd"/>
      <w:r>
        <w:t xml:space="preserve">, P., Ibáñez, A. M., </w:t>
      </w:r>
      <w:proofErr w:type="spellStart"/>
      <w:r>
        <w:t>Kinengyere</w:t>
      </w:r>
      <w:proofErr w:type="spellEnd"/>
      <w:r>
        <w:t xml:space="preserve">, A., … Torero, M. (2020). A scoping review on incentives for adoption of sustainable agricultural practices and their outcomes. </w:t>
      </w:r>
      <w:r>
        <w:rPr>
          <w:rStyle w:val="Emphasis"/>
        </w:rPr>
        <w:t>Nature Sustainability, 3</w:t>
      </w:r>
      <w:r>
        <w:t xml:space="preserve">(10), 809–820. </w:t>
      </w:r>
      <w:hyperlink r:id="rId28" w:tgtFrame="_new" w:history="1">
        <w:r>
          <w:rPr>
            <w:rStyle w:val="Hyperlink"/>
          </w:rPr>
          <w:t>https://doi.org/10.1038/s41893-020-00617-y</w:t>
        </w:r>
      </w:hyperlink>
    </w:p>
    <w:p w:rsidR="002A194A" w:rsidRDefault="005043D9" w:rsidP="00AD2EA1">
      <w:pPr>
        <w:pStyle w:val="NormalWeb"/>
        <w:numPr>
          <w:ilvl w:val="0"/>
          <w:numId w:val="8"/>
        </w:numPr>
        <w:jc w:val="both"/>
      </w:pPr>
      <w:proofErr w:type="spellStart"/>
      <w:r w:rsidRPr="005043D9">
        <w:t>Pudasaini</w:t>
      </w:r>
      <w:proofErr w:type="spellEnd"/>
      <w:r w:rsidRPr="005043D9">
        <w:t>, K., Bhattarai, T., &amp; Rolfe, J. (2025). Exploring the barriers to farmer participation in soil carbon projects under the Australian Carbon Credit Unit Scheme. Australasian Journal of Environmental Management, 32(2), 97-115.</w:t>
      </w:r>
      <w:r>
        <w:t xml:space="preserve"> </w:t>
      </w:r>
      <w:hyperlink r:id="rId29" w:history="1">
        <w:r w:rsidR="002A194A" w:rsidRPr="00680566">
          <w:rPr>
            <w:rStyle w:val="Hyperlink"/>
          </w:rPr>
          <w:t>https://doi.org/10.1080/14486563.2024.2393246</w:t>
        </w:r>
      </w:hyperlink>
      <w:r w:rsidR="002A194A">
        <w:t xml:space="preserve"> </w:t>
      </w:r>
    </w:p>
    <w:p w:rsidR="002A194A" w:rsidRDefault="002A194A" w:rsidP="00AD2EA1">
      <w:pPr>
        <w:pStyle w:val="NormalWeb"/>
        <w:numPr>
          <w:ilvl w:val="0"/>
          <w:numId w:val="8"/>
        </w:numPr>
        <w:jc w:val="both"/>
      </w:pPr>
      <w:proofErr w:type="spellStart"/>
      <w:r>
        <w:lastRenderedPageBreak/>
        <w:t>Rosinger</w:t>
      </w:r>
      <w:proofErr w:type="spellEnd"/>
      <w:r>
        <w:t xml:space="preserve">, C., </w:t>
      </w:r>
      <w:proofErr w:type="spellStart"/>
      <w:r>
        <w:t>Keiblinger</w:t>
      </w:r>
      <w:proofErr w:type="spellEnd"/>
      <w:r>
        <w:t xml:space="preserve">, K. M., Bieber, M., </w:t>
      </w:r>
      <w:proofErr w:type="spellStart"/>
      <w:r>
        <w:t>Bernardini</w:t>
      </w:r>
      <w:proofErr w:type="spellEnd"/>
      <w:r>
        <w:t xml:space="preserve">, L. G., Huber, S., </w:t>
      </w:r>
      <w:proofErr w:type="spellStart"/>
      <w:r>
        <w:t>Mentler</w:t>
      </w:r>
      <w:proofErr w:type="spellEnd"/>
      <w:r>
        <w:t>, A., … Zechmeister-</w:t>
      </w:r>
      <w:proofErr w:type="spellStart"/>
      <w:r>
        <w:t>Boltenstern</w:t>
      </w:r>
      <w:proofErr w:type="spellEnd"/>
      <w:r>
        <w:t xml:space="preserve">, S. (2023). On-farm soil organic carbon sequestration potentials are dominated by </w:t>
      </w:r>
      <w:proofErr w:type="spellStart"/>
      <w:r>
        <w:t>site</w:t>
      </w:r>
      <w:proofErr w:type="spellEnd"/>
      <w:r>
        <w:t xml:space="preserve"> effects, not by management practices. </w:t>
      </w:r>
      <w:proofErr w:type="spellStart"/>
      <w:r>
        <w:rPr>
          <w:rStyle w:val="Emphasis"/>
        </w:rPr>
        <w:t>Geoderma</w:t>
      </w:r>
      <w:proofErr w:type="spellEnd"/>
      <w:r>
        <w:rPr>
          <w:rStyle w:val="Emphasis"/>
        </w:rPr>
        <w:t>, 433</w:t>
      </w:r>
      <w:r>
        <w:t xml:space="preserve">, 116466. </w:t>
      </w:r>
      <w:hyperlink r:id="rId30" w:history="1">
        <w:r w:rsidRPr="00680566">
          <w:rPr>
            <w:rStyle w:val="Hyperlink"/>
          </w:rPr>
          <w:t>https://doi.org/10.1016/j.geoderma.2023.116466</w:t>
        </w:r>
      </w:hyperlink>
      <w:r>
        <w:t xml:space="preserve"> </w:t>
      </w:r>
    </w:p>
    <w:p w:rsidR="002A194A" w:rsidRDefault="005043D9" w:rsidP="00AD2EA1">
      <w:pPr>
        <w:pStyle w:val="NormalWeb"/>
        <w:numPr>
          <w:ilvl w:val="0"/>
          <w:numId w:val="8"/>
        </w:numPr>
        <w:jc w:val="both"/>
      </w:pPr>
      <w:proofErr w:type="spellStart"/>
      <w:r w:rsidRPr="005043D9">
        <w:t>Rumpel</w:t>
      </w:r>
      <w:proofErr w:type="spellEnd"/>
      <w:r w:rsidRPr="005043D9">
        <w:t xml:space="preserve">, C., </w:t>
      </w:r>
      <w:proofErr w:type="spellStart"/>
      <w:r w:rsidRPr="005043D9">
        <w:t>Amiraslani</w:t>
      </w:r>
      <w:proofErr w:type="spellEnd"/>
      <w:r w:rsidRPr="005043D9">
        <w:t xml:space="preserve">, F., </w:t>
      </w:r>
      <w:proofErr w:type="spellStart"/>
      <w:r w:rsidRPr="005043D9">
        <w:t>Chenu</w:t>
      </w:r>
      <w:proofErr w:type="spellEnd"/>
      <w:r w:rsidRPr="005043D9">
        <w:t xml:space="preserve">, C., Garcia Cardenas, M., </w:t>
      </w:r>
      <w:proofErr w:type="spellStart"/>
      <w:r w:rsidRPr="005043D9">
        <w:t>Kaonga</w:t>
      </w:r>
      <w:proofErr w:type="spellEnd"/>
      <w:r w:rsidRPr="005043D9">
        <w:t xml:space="preserve">, M., </w:t>
      </w:r>
      <w:proofErr w:type="spellStart"/>
      <w:r w:rsidRPr="005043D9">
        <w:t>Koutika</w:t>
      </w:r>
      <w:proofErr w:type="spellEnd"/>
      <w:r w:rsidRPr="005043D9">
        <w:t xml:space="preserve">, L. S., ... &amp; </w:t>
      </w:r>
      <w:proofErr w:type="spellStart"/>
      <w:r w:rsidRPr="005043D9">
        <w:t>Wollenberg</w:t>
      </w:r>
      <w:proofErr w:type="spellEnd"/>
      <w:r w:rsidRPr="005043D9">
        <w:t xml:space="preserve">, E. (2020). The 4p1000 initiative: Opportunities, limitations and challenges for implementing soil organic carbon sequestration as a sustainable development strategy. </w:t>
      </w:r>
      <w:proofErr w:type="spellStart"/>
      <w:r w:rsidRPr="005043D9">
        <w:t>Ambio</w:t>
      </w:r>
      <w:proofErr w:type="spellEnd"/>
      <w:r w:rsidRPr="005043D9">
        <w:t xml:space="preserve">, 49(1), 350-360. </w:t>
      </w:r>
      <w:hyperlink r:id="rId31" w:history="1">
        <w:r w:rsidR="002A194A" w:rsidRPr="00680566">
          <w:rPr>
            <w:rStyle w:val="Hyperlink"/>
          </w:rPr>
          <w:t>https://doi.org/10.1007/s13280-019-01165-2</w:t>
        </w:r>
      </w:hyperlink>
      <w:r w:rsidR="002A194A">
        <w:t xml:space="preserve"> </w:t>
      </w:r>
    </w:p>
    <w:p w:rsidR="002A194A" w:rsidRDefault="002A194A" w:rsidP="00AD2EA1">
      <w:pPr>
        <w:pStyle w:val="NormalWeb"/>
        <w:numPr>
          <w:ilvl w:val="0"/>
          <w:numId w:val="8"/>
        </w:numPr>
        <w:jc w:val="both"/>
      </w:pPr>
      <w:proofErr w:type="spellStart"/>
      <w:r>
        <w:t>Soussana</w:t>
      </w:r>
      <w:proofErr w:type="spellEnd"/>
      <w:r>
        <w:t xml:space="preserve">, J.-F., </w:t>
      </w:r>
      <w:proofErr w:type="spellStart"/>
      <w:r>
        <w:t>Lutfalla</w:t>
      </w:r>
      <w:proofErr w:type="spellEnd"/>
      <w:r>
        <w:t xml:space="preserve">, S., Ehrhardt, F., Rosenstock, T., </w:t>
      </w:r>
      <w:proofErr w:type="spellStart"/>
      <w:r>
        <w:t>Lamanna</w:t>
      </w:r>
      <w:proofErr w:type="spellEnd"/>
      <w:r>
        <w:t xml:space="preserve">, C., </w:t>
      </w:r>
      <w:proofErr w:type="spellStart"/>
      <w:r>
        <w:t>Havlík</w:t>
      </w:r>
      <w:proofErr w:type="spellEnd"/>
      <w:r>
        <w:t xml:space="preserve">, P., … Smith, P. (2019). Matching policy and science: Rationale for the “4 per 1000”–soils for food security and climate initiative. </w:t>
      </w:r>
      <w:r>
        <w:rPr>
          <w:rStyle w:val="Emphasis"/>
        </w:rPr>
        <w:t>Soil &amp; Tillage Research, 188</w:t>
      </w:r>
      <w:r>
        <w:t xml:space="preserve">, 3–15. </w:t>
      </w:r>
      <w:hyperlink r:id="rId32" w:history="1">
        <w:r w:rsidRPr="00680566">
          <w:rPr>
            <w:rStyle w:val="Hyperlink"/>
          </w:rPr>
          <w:t>https://doi.org/10.1016/j.still.2017.12.002</w:t>
        </w:r>
      </w:hyperlink>
      <w:r>
        <w:t xml:space="preserve"> </w:t>
      </w:r>
    </w:p>
    <w:p w:rsidR="002A194A" w:rsidRDefault="002A194A" w:rsidP="00AD2EA1">
      <w:pPr>
        <w:pStyle w:val="NormalWeb"/>
        <w:numPr>
          <w:ilvl w:val="0"/>
          <w:numId w:val="8"/>
        </w:numPr>
        <w:jc w:val="both"/>
      </w:pPr>
      <w:r>
        <w:t xml:space="preserve">van </w:t>
      </w:r>
      <w:proofErr w:type="spellStart"/>
      <w:r>
        <w:t>Groenigen</w:t>
      </w:r>
      <w:proofErr w:type="spellEnd"/>
      <w:r>
        <w:t xml:space="preserve">, J. W., van Kessel, C., </w:t>
      </w:r>
      <w:proofErr w:type="spellStart"/>
      <w:r>
        <w:t>Hungate</w:t>
      </w:r>
      <w:proofErr w:type="spellEnd"/>
      <w:r>
        <w:t xml:space="preserve">, B. A., </w:t>
      </w:r>
      <w:proofErr w:type="spellStart"/>
      <w:r>
        <w:t>Oenema</w:t>
      </w:r>
      <w:proofErr w:type="spellEnd"/>
      <w:r>
        <w:t xml:space="preserve">, O., </w:t>
      </w:r>
      <w:proofErr w:type="spellStart"/>
      <w:r>
        <w:t>Powlson</w:t>
      </w:r>
      <w:proofErr w:type="spellEnd"/>
      <w:r>
        <w:t xml:space="preserve">, D. S., &amp; van </w:t>
      </w:r>
      <w:proofErr w:type="spellStart"/>
      <w:r>
        <w:t>Groenigen</w:t>
      </w:r>
      <w:proofErr w:type="spellEnd"/>
      <w:r>
        <w:t xml:space="preserve">, K. J. (2017). Sequestering soil organic carbon: A nitrogen dilemma. </w:t>
      </w:r>
      <w:r>
        <w:rPr>
          <w:rStyle w:val="Emphasis"/>
        </w:rPr>
        <w:t>Environmental Science &amp; Technology, 51</w:t>
      </w:r>
      <w:r>
        <w:t xml:space="preserve">(9), 4738–4739. </w:t>
      </w:r>
      <w:hyperlink r:id="rId33" w:history="1">
        <w:r w:rsidRPr="00680566">
          <w:rPr>
            <w:rStyle w:val="Hyperlink"/>
          </w:rPr>
          <w:t>https://doi.org/10.1021/acs.est.7b01427</w:t>
        </w:r>
      </w:hyperlink>
      <w:r>
        <w:t xml:space="preserve"> </w:t>
      </w:r>
    </w:p>
    <w:p w:rsidR="002A194A" w:rsidRDefault="002A194A" w:rsidP="00AD2EA1">
      <w:pPr>
        <w:pStyle w:val="NormalWeb"/>
        <w:numPr>
          <w:ilvl w:val="0"/>
          <w:numId w:val="8"/>
        </w:numPr>
        <w:jc w:val="both"/>
      </w:pPr>
      <w:proofErr w:type="spellStart"/>
      <w:r>
        <w:t>Vendig</w:t>
      </w:r>
      <w:proofErr w:type="spellEnd"/>
      <w:r>
        <w:t xml:space="preserve">, I., Guzman, A., De La Cerda, G., Esquivel, K., Mayer, A. C., </w:t>
      </w:r>
      <w:proofErr w:type="spellStart"/>
      <w:r>
        <w:t>Ponisio</w:t>
      </w:r>
      <w:proofErr w:type="spellEnd"/>
      <w:r>
        <w:t xml:space="preserve">, L., &amp; Bowles, T. M. (2023). Quantifying direct yield benefits of soil carbon increases from cover cropping. </w:t>
      </w:r>
      <w:r>
        <w:rPr>
          <w:rStyle w:val="Emphasis"/>
        </w:rPr>
        <w:t>Nature Sustainability, 6</w:t>
      </w:r>
      <w:r>
        <w:t xml:space="preserve">(9), 1125–1134. </w:t>
      </w:r>
      <w:hyperlink r:id="rId34" w:history="1">
        <w:r w:rsidRPr="00680566">
          <w:rPr>
            <w:rStyle w:val="Hyperlink"/>
          </w:rPr>
          <w:t>https://doi.org/10.1038/s41893-023-01131-7</w:t>
        </w:r>
      </w:hyperlink>
      <w:r>
        <w:t xml:space="preserve"> </w:t>
      </w:r>
    </w:p>
    <w:p w:rsidR="002A194A" w:rsidRDefault="002A194A" w:rsidP="00AD2EA1">
      <w:pPr>
        <w:pStyle w:val="NormalWeb"/>
        <w:numPr>
          <w:ilvl w:val="0"/>
          <w:numId w:val="8"/>
        </w:numPr>
        <w:jc w:val="both"/>
      </w:pPr>
      <w:proofErr w:type="spellStart"/>
      <w:r>
        <w:t>Villat</w:t>
      </w:r>
      <w:proofErr w:type="spellEnd"/>
      <w:r>
        <w:t xml:space="preserve">, J., &amp; Nicholas, K. A. (2024). Quantifying soil carbon sequestration from regenerative agricultural practices in crops and vineyards. </w:t>
      </w:r>
      <w:r>
        <w:rPr>
          <w:rStyle w:val="Emphasis"/>
        </w:rPr>
        <w:t>Frontiers in Sustainable Food Systems, 7</w:t>
      </w:r>
      <w:r>
        <w:t xml:space="preserve">, 1234108. </w:t>
      </w:r>
      <w:hyperlink r:id="rId35" w:tgtFrame="_new" w:history="1">
        <w:r>
          <w:rPr>
            <w:rStyle w:val="Hyperlink"/>
          </w:rPr>
          <w:t>https://doi.org/10.3389/fsufs.2023.1234108</w:t>
        </w:r>
      </w:hyperlink>
    </w:p>
    <w:p w:rsidR="002A194A" w:rsidRDefault="002A194A" w:rsidP="00AD2EA1">
      <w:pPr>
        <w:pStyle w:val="NormalWeb"/>
        <w:numPr>
          <w:ilvl w:val="0"/>
          <w:numId w:val="8"/>
        </w:numPr>
        <w:jc w:val="both"/>
      </w:pPr>
      <w:proofErr w:type="spellStart"/>
      <w:r>
        <w:t>Wiesmeier</w:t>
      </w:r>
      <w:proofErr w:type="spellEnd"/>
      <w:r>
        <w:t xml:space="preserve">, M., Urbanski, L., </w:t>
      </w:r>
      <w:proofErr w:type="spellStart"/>
      <w:r>
        <w:t>Hobley</w:t>
      </w:r>
      <w:proofErr w:type="spellEnd"/>
      <w:r>
        <w:t xml:space="preserve">, E., Lang, B., von </w:t>
      </w:r>
      <w:proofErr w:type="spellStart"/>
      <w:r>
        <w:t>Lützow</w:t>
      </w:r>
      <w:proofErr w:type="spellEnd"/>
      <w:r>
        <w:t>, M., Marin-</w:t>
      </w:r>
      <w:proofErr w:type="spellStart"/>
      <w:r>
        <w:t>Spiotta</w:t>
      </w:r>
      <w:proofErr w:type="spellEnd"/>
      <w:r>
        <w:t xml:space="preserve">, E., … </w:t>
      </w:r>
      <w:proofErr w:type="spellStart"/>
      <w:r>
        <w:t>Kögel-Knabner</w:t>
      </w:r>
      <w:proofErr w:type="spellEnd"/>
      <w:r>
        <w:t xml:space="preserve">, I. (2019). Soil organic carbon storage as a key function of soils: A review of drivers and indicators at various scales. </w:t>
      </w:r>
      <w:proofErr w:type="spellStart"/>
      <w:r>
        <w:rPr>
          <w:rStyle w:val="Emphasis"/>
        </w:rPr>
        <w:t>Geoderma</w:t>
      </w:r>
      <w:proofErr w:type="spellEnd"/>
      <w:r>
        <w:rPr>
          <w:rStyle w:val="Emphasis"/>
        </w:rPr>
        <w:t>, 333</w:t>
      </w:r>
      <w:r>
        <w:t xml:space="preserve">, 149–162. </w:t>
      </w:r>
      <w:hyperlink r:id="rId36" w:history="1">
        <w:r w:rsidRPr="00680566">
          <w:rPr>
            <w:rStyle w:val="Hyperlink"/>
          </w:rPr>
          <w:t>https://doi.org/10.1016/j.geoderma.2018.07.026</w:t>
        </w:r>
      </w:hyperlink>
      <w:r>
        <w:t xml:space="preserve"> </w:t>
      </w:r>
    </w:p>
    <w:p w:rsidR="002A194A" w:rsidRDefault="002A194A" w:rsidP="00AD2EA1">
      <w:pPr>
        <w:pStyle w:val="NormalWeb"/>
        <w:numPr>
          <w:ilvl w:val="0"/>
          <w:numId w:val="8"/>
        </w:numPr>
        <w:jc w:val="both"/>
      </w:pPr>
      <w:proofErr w:type="spellStart"/>
      <w:r>
        <w:t>Zomer</w:t>
      </w:r>
      <w:proofErr w:type="spellEnd"/>
      <w:r>
        <w:t xml:space="preserve">, R. J., Bossio, D. A., Sommer, R., &amp; </w:t>
      </w:r>
      <w:proofErr w:type="spellStart"/>
      <w:r>
        <w:t>Verchot</w:t>
      </w:r>
      <w:proofErr w:type="spellEnd"/>
      <w:r>
        <w:t xml:space="preserve">, L. V. (2017). Global sequestration potential of increased organic carbon in cropland soils. </w:t>
      </w:r>
      <w:r>
        <w:rPr>
          <w:rStyle w:val="Emphasis"/>
        </w:rPr>
        <w:t>Scientific Reports, 7</w:t>
      </w:r>
      <w:r>
        <w:t xml:space="preserve">, 15554. </w:t>
      </w:r>
      <w:hyperlink r:id="rId37" w:history="1">
        <w:r w:rsidRPr="00680566">
          <w:rPr>
            <w:rStyle w:val="Hyperlink"/>
          </w:rPr>
          <w:t>https://doi.org/10.1038/s41598-017-15794-8</w:t>
        </w:r>
      </w:hyperlink>
      <w:r>
        <w:t xml:space="preserve"> </w:t>
      </w:r>
    </w:p>
    <w:p w:rsidR="00761CB6" w:rsidRPr="00AD2EA1" w:rsidRDefault="006C4967" w:rsidP="00AD2EA1">
      <w:pPr>
        <w:pStyle w:val="ListParagraph"/>
        <w:numPr>
          <w:ilvl w:val="0"/>
          <w:numId w:val="8"/>
        </w:numPr>
        <w:jc w:val="both"/>
        <w:rPr>
          <w:szCs w:val="24"/>
          <w:highlight w:val="yellow"/>
        </w:rPr>
      </w:pPr>
      <w:r w:rsidRPr="00AD2EA1">
        <w:rPr>
          <w:szCs w:val="24"/>
          <w:highlight w:val="yellow"/>
        </w:rPr>
        <w:t xml:space="preserve">Frank, S., </w:t>
      </w:r>
      <w:proofErr w:type="spellStart"/>
      <w:r w:rsidRPr="00AD2EA1">
        <w:rPr>
          <w:szCs w:val="24"/>
          <w:highlight w:val="yellow"/>
        </w:rPr>
        <w:t>Lessa</w:t>
      </w:r>
      <w:proofErr w:type="spellEnd"/>
      <w:r w:rsidRPr="00AD2EA1">
        <w:rPr>
          <w:szCs w:val="24"/>
          <w:highlight w:val="yellow"/>
        </w:rPr>
        <w:t xml:space="preserve"> </w:t>
      </w:r>
      <w:proofErr w:type="spellStart"/>
      <w:r w:rsidRPr="00AD2EA1">
        <w:rPr>
          <w:szCs w:val="24"/>
          <w:highlight w:val="yellow"/>
        </w:rPr>
        <w:t>Derci</w:t>
      </w:r>
      <w:proofErr w:type="spellEnd"/>
      <w:r w:rsidRPr="00AD2EA1">
        <w:rPr>
          <w:szCs w:val="24"/>
          <w:highlight w:val="yellow"/>
        </w:rPr>
        <w:t xml:space="preserve"> </w:t>
      </w:r>
      <w:proofErr w:type="spellStart"/>
      <w:r w:rsidRPr="00AD2EA1">
        <w:rPr>
          <w:szCs w:val="24"/>
          <w:highlight w:val="yellow"/>
        </w:rPr>
        <w:t>Augustynczik</w:t>
      </w:r>
      <w:proofErr w:type="spellEnd"/>
      <w:r w:rsidRPr="00AD2EA1">
        <w:rPr>
          <w:szCs w:val="24"/>
          <w:highlight w:val="yellow"/>
        </w:rPr>
        <w:t xml:space="preserve">, A., </w:t>
      </w:r>
      <w:proofErr w:type="spellStart"/>
      <w:r w:rsidRPr="00AD2EA1">
        <w:rPr>
          <w:szCs w:val="24"/>
          <w:highlight w:val="yellow"/>
        </w:rPr>
        <w:t>Havlík</w:t>
      </w:r>
      <w:proofErr w:type="spellEnd"/>
      <w:r w:rsidRPr="00AD2EA1">
        <w:rPr>
          <w:szCs w:val="24"/>
          <w:highlight w:val="yellow"/>
        </w:rPr>
        <w:t xml:space="preserve">, P., </w:t>
      </w:r>
      <w:proofErr w:type="spellStart"/>
      <w:r w:rsidRPr="00AD2EA1">
        <w:rPr>
          <w:szCs w:val="24"/>
          <w:highlight w:val="yellow"/>
        </w:rPr>
        <w:t>Boere</w:t>
      </w:r>
      <w:proofErr w:type="spellEnd"/>
      <w:r w:rsidRPr="00AD2EA1">
        <w:rPr>
          <w:szCs w:val="24"/>
          <w:highlight w:val="yellow"/>
        </w:rPr>
        <w:t xml:space="preserve">, E., </w:t>
      </w:r>
      <w:proofErr w:type="spellStart"/>
      <w:r w:rsidRPr="00AD2EA1">
        <w:rPr>
          <w:szCs w:val="24"/>
          <w:highlight w:val="yellow"/>
        </w:rPr>
        <w:t>Ermolieva</w:t>
      </w:r>
      <w:proofErr w:type="spellEnd"/>
      <w:r w:rsidRPr="00AD2EA1">
        <w:rPr>
          <w:szCs w:val="24"/>
          <w:highlight w:val="yellow"/>
        </w:rPr>
        <w:t xml:space="preserve">, T., </w:t>
      </w:r>
      <w:proofErr w:type="spellStart"/>
      <w:r w:rsidRPr="00AD2EA1">
        <w:rPr>
          <w:szCs w:val="24"/>
          <w:highlight w:val="yellow"/>
        </w:rPr>
        <w:t>Fricko</w:t>
      </w:r>
      <w:proofErr w:type="spellEnd"/>
      <w:r w:rsidRPr="00AD2EA1">
        <w:rPr>
          <w:szCs w:val="24"/>
          <w:highlight w:val="yellow"/>
        </w:rPr>
        <w:t xml:space="preserve">, O., ... &amp; </w:t>
      </w:r>
      <w:proofErr w:type="spellStart"/>
      <w:r w:rsidRPr="00AD2EA1">
        <w:rPr>
          <w:szCs w:val="24"/>
          <w:highlight w:val="yellow"/>
        </w:rPr>
        <w:t>Wögerer</w:t>
      </w:r>
      <w:proofErr w:type="spellEnd"/>
      <w:r w:rsidRPr="00AD2EA1">
        <w:rPr>
          <w:szCs w:val="24"/>
          <w:highlight w:val="yellow"/>
        </w:rPr>
        <w:t xml:space="preserve">, M. (2024). Enhanced agricultural carbon sinks provide benefits for farmers and the climate. Nature Food, 5(9), 742-753. </w:t>
      </w:r>
      <w:hyperlink r:id="rId38" w:history="1">
        <w:r w:rsidRPr="00AD2EA1">
          <w:rPr>
            <w:rStyle w:val="Hyperlink"/>
            <w:szCs w:val="24"/>
            <w:highlight w:val="yellow"/>
          </w:rPr>
          <w:t>https://doi.org/10.1038/s43016-024-01039-1</w:t>
        </w:r>
      </w:hyperlink>
    </w:p>
    <w:p w:rsidR="006C4967" w:rsidRPr="00AD2EA1" w:rsidRDefault="006C4967" w:rsidP="00AD2EA1">
      <w:pPr>
        <w:pStyle w:val="ListParagraph"/>
        <w:numPr>
          <w:ilvl w:val="0"/>
          <w:numId w:val="8"/>
        </w:numPr>
        <w:rPr>
          <w:szCs w:val="24"/>
          <w:highlight w:val="yellow"/>
        </w:rPr>
      </w:pPr>
      <w:proofErr w:type="spellStart"/>
      <w:r w:rsidRPr="00AD2EA1">
        <w:rPr>
          <w:szCs w:val="24"/>
          <w:highlight w:val="yellow"/>
        </w:rPr>
        <w:t>Tubiello</w:t>
      </w:r>
      <w:proofErr w:type="spellEnd"/>
      <w:r w:rsidRPr="00AD2EA1">
        <w:rPr>
          <w:szCs w:val="24"/>
          <w:highlight w:val="yellow"/>
        </w:rPr>
        <w:t>, F. N. et al. Greenhouse gas emissions from food systems: building the evidence base. Environ. Res. Lett. 16, 065007 (2021). DOI 10.1088/1748-9326/ac018e</w:t>
      </w:r>
    </w:p>
    <w:p w:rsidR="006C4967" w:rsidRPr="00AD2EA1" w:rsidRDefault="006C4967" w:rsidP="00AD2EA1">
      <w:pPr>
        <w:pStyle w:val="ListParagraph"/>
        <w:numPr>
          <w:ilvl w:val="0"/>
          <w:numId w:val="8"/>
        </w:numPr>
        <w:rPr>
          <w:szCs w:val="24"/>
          <w:highlight w:val="yellow"/>
        </w:rPr>
      </w:pPr>
      <w:r w:rsidRPr="00AD2EA1">
        <w:rPr>
          <w:szCs w:val="24"/>
          <w:highlight w:val="yellow"/>
        </w:rPr>
        <w:t>IPCC Climate Change 2022: Mitigation of Climate Change (eds Shukla, P. R. et al.) (Cambridge Univ. Press, 2022).</w:t>
      </w:r>
    </w:p>
    <w:p w:rsidR="006C4967" w:rsidRPr="00AD2EA1" w:rsidRDefault="006C4967" w:rsidP="006C4967">
      <w:pPr>
        <w:pStyle w:val="ListParagraph"/>
        <w:numPr>
          <w:ilvl w:val="0"/>
          <w:numId w:val="8"/>
        </w:numPr>
        <w:rPr>
          <w:szCs w:val="24"/>
          <w:highlight w:val="yellow"/>
        </w:rPr>
      </w:pPr>
      <w:proofErr w:type="spellStart"/>
      <w:r w:rsidRPr="00AD2EA1">
        <w:rPr>
          <w:szCs w:val="24"/>
          <w:highlight w:val="yellow"/>
        </w:rPr>
        <w:t>Pendrill</w:t>
      </w:r>
      <w:proofErr w:type="spellEnd"/>
      <w:r w:rsidRPr="00AD2EA1">
        <w:rPr>
          <w:szCs w:val="24"/>
          <w:highlight w:val="yellow"/>
        </w:rPr>
        <w:t>, F. et al. Disentangling the numbers behind agriculture-driven tropical deforestation. Science 377, eabm9267 (2022). DOI: 10.1126/</w:t>
      </w:r>
      <w:proofErr w:type="gramStart"/>
      <w:r w:rsidRPr="00AD2EA1">
        <w:rPr>
          <w:szCs w:val="24"/>
          <w:highlight w:val="yellow"/>
        </w:rPr>
        <w:t>science.abm</w:t>
      </w:r>
      <w:proofErr w:type="gramEnd"/>
      <w:r w:rsidRPr="00AD2EA1">
        <w:rPr>
          <w:szCs w:val="24"/>
          <w:highlight w:val="yellow"/>
        </w:rPr>
        <w:t>9267</w:t>
      </w:r>
    </w:p>
    <w:p w:rsidR="006C4967" w:rsidRDefault="006C4967" w:rsidP="006C4967">
      <w:pPr>
        <w:pStyle w:val="c-article-referencestext"/>
        <w:numPr>
          <w:ilvl w:val="0"/>
          <w:numId w:val="8"/>
        </w:numPr>
        <w:shd w:val="clear" w:color="auto" w:fill="FFFFFF"/>
        <w:spacing w:before="0" w:beforeAutospacing="0" w:after="240" w:afterAutospacing="0"/>
        <w:rPr>
          <w:color w:val="222222"/>
          <w:sz w:val="27"/>
          <w:szCs w:val="27"/>
          <w:highlight w:val="yellow"/>
        </w:rPr>
      </w:pPr>
      <w:proofErr w:type="spellStart"/>
      <w:r w:rsidRPr="00AD2EA1">
        <w:rPr>
          <w:color w:val="222222"/>
          <w:sz w:val="27"/>
          <w:szCs w:val="27"/>
          <w:highlight w:val="yellow"/>
        </w:rPr>
        <w:t>Tubiello</w:t>
      </w:r>
      <w:proofErr w:type="spellEnd"/>
      <w:r w:rsidRPr="00AD2EA1">
        <w:rPr>
          <w:color w:val="222222"/>
          <w:sz w:val="27"/>
          <w:szCs w:val="27"/>
          <w:highlight w:val="yellow"/>
        </w:rPr>
        <w:t>, F. N. et al. The contribution of agriculture, forestry and other land use activities to global warming, 1990–2012. </w:t>
      </w:r>
      <w:r w:rsidRPr="00AD2EA1">
        <w:rPr>
          <w:i/>
          <w:iCs/>
          <w:color w:val="222222"/>
          <w:sz w:val="27"/>
          <w:szCs w:val="27"/>
          <w:highlight w:val="yellow"/>
        </w:rPr>
        <w:t>Glob. Change Biol.</w:t>
      </w:r>
      <w:r w:rsidRPr="00AD2EA1">
        <w:rPr>
          <w:color w:val="222222"/>
          <w:sz w:val="27"/>
          <w:szCs w:val="27"/>
          <w:highlight w:val="yellow"/>
        </w:rPr>
        <w:t> </w:t>
      </w:r>
      <w:r w:rsidRPr="00AD2EA1">
        <w:rPr>
          <w:b/>
          <w:bCs/>
          <w:color w:val="222222"/>
          <w:sz w:val="27"/>
          <w:szCs w:val="27"/>
          <w:highlight w:val="yellow"/>
        </w:rPr>
        <w:t>21</w:t>
      </w:r>
      <w:r w:rsidRPr="00AD2EA1">
        <w:rPr>
          <w:color w:val="222222"/>
          <w:sz w:val="27"/>
          <w:szCs w:val="27"/>
          <w:highlight w:val="yellow"/>
        </w:rPr>
        <w:t xml:space="preserve">, 2655–2660 (2015). </w:t>
      </w:r>
      <w:hyperlink r:id="rId39" w:history="1">
        <w:r w:rsidR="00AC723A" w:rsidRPr="00AD2EA1">
          <w:rPr>
            <w:rStyle w:val="Hyperlink"/>
            <w:sz w:val="27"/>
            <w:szCs w:val="27"/>
            <w:highlight w:val="yellow"/>
          </w:rPr>
          <w:t>https://doi.org/10.1111/gcb.12865</w:t>
        </w:r>
      </w:hyperlink>
    </w:p>
    <w:p w:rsidR="00AC723A" w:rsidRPr="00AD2EA1" w:rsidRDefault="00AC723A" w:rsidP="006C4967">
      <w:pPr>
        <w:pStyle w:val="c-article-referencestext"/>
        <w:numPr>
          <w:ilvl w:val="0"/>
          <w:numId w:val="8"/>
        </w:numPr>
        <w:shd w:val="clear" w:color="auto" w:fill="FFFFFF"/>
        <w:spacing w:before="0" w:beforeAutospacing="0" w:after="240" w:afterAutospacing="0"/>
        <w:rPr>
          <w:color w:val="222222"/>
          <w:sz w:val="27"/>
          <w:szCs w:val="27"/>
          <w:highlight w:val="yellow"/>
        </w:rPr>
      </w:pPr>
      <w:proofErr w:type="spellStart"/>
      <w:r w:rsidRPr="00AD2EA1">
        <w:rPr>
          <w:color w:val="222222"/>
          <w:sz w:val="27"/>
          <w:szCs w:val="27"/>
          <w:highlight w:val="yellow"/>
        </w:rPr>
        <w:t>Ghimirey</w:t>
      </w:r>
      <w:proofErr w:type="spellEnd"/>
      <w:r w:rsidRPr="00AD2EA1">
        <w:rPr>
          <w:color w:val="222222"/>
          <w:sz w:val="27"/>
          <w:szCs w:val="27"/>
          <w:highlight w:val="yellow"/>
        </w:rPr>
        <w:t xml:space="preserve">, V., </w:t>
      </w:r>
      <w:proofErr w:type="spellStart"/>
      <w:r w:rsidRPr="00AD2EA1">
        <w:rPr>
          <w:color w:val="222222"/>
          <w:sz w:val="27"/>
          <w:szCs w:val="27"/>
          <w:highlight w:val="yellow"/>
        </w:rPr>
        <w:t>Chaurasia</w:t>
      </w:r>
      <w:proofErr w:type="spellEnd"/>
      <w:r w:rsidRPr="00AD2EA1">
        <w:rPr>
          <w:color w:val="222222"/>
          <w:sz w:val="27"/>
          <w:szCs w:val="27"/>
          <w:highlight w:val="yellow"/>
        </w:rPr>
        <w:t>, J., &amp; Acharya, N. (2025). Understanding soil carbon sequestration: mechanistic insights, management approaches, and future challenges. Discover Soil, 2(1), 101.</w:t>
      </w:r>
      <w:r w:rsidRPr="00AC723A">
        <w:t xml:space="preserve"> </w:t>
      </w:r>
      <w:hyperlink r:id="rId40" w:history="1">
        <w:r w:rsidRPr="00533E7D">
          <w:rPr>
            <w:rStyle w:val="Hyperlink"/>
            <w:sz w:val="27"/>
            <w:szCs w:val="27"/>
          </w:rPr>
          <w:t>https://doi.org/10.1007/s44378-025-00133-5</w:t>
        </w:r>
      </w:hyperlink>
    </w:p>
    <w:p w:rsidR="00AC723A" w:rsidRPr="00AD2EA1" w:rsidRDefault="00AC723A" w:rsidP="00AC723A">
      <w:pPr>
        <w:pStyle w:val="c-article-referencestext"/>
        <w:numPr>
          <w:ilvl w:val="0"/>
          <w:numId w:val="8"/>
        </w:numPr>
        <w:shd w:val="clear" w:color="auto" w:fill="FFFFFF"/>
        <w:spacing w:before="0" w:beforeAutospacing="0" w:after="240" w:afterAutospacing="0"/>
        <w:rPr>
          <w:color w:val="222222"/>
          <w:sz w:val="27"/>
          <w:szCs w:val="27"/>
          <w:highlight w:val="yellow"/>
        </w:rPr>
      </w:pPr>
      <w:r w:rsidRPr="00AD2EA1">
        <w:rPr>
          <w:color w:val="222222"/>
          <w:sz w:val="27"/>
          <w:szCs w:val="27"/>
          <w:highlight w:val="yellow"/>
        </w:rPr>
        <w:lastRenderedPageBreak/>
        <w:t>Patel R, Patel B, Dash B, Mukherjee S. Impact of agroforestry ecosystem on carbon sequestration potential and climate change. In Agricultural soil sustainability and carbon management. 2023;269–297. Academic Press. </w:t>
      </w:r>
      <w:hyperlink r:id="rId41" w:history="1">
        <w:r w:rsidRPr="00AD2EA1">
          <w:rPr>
            <w:rStyle w:val="Hyperlink"/>
            <w:color w:val="025E8D"/>
            <w:sz w:val="27"/>
            <w:szCs w:val="27"/>
            <w:highlight w:val="yellow"/>
          </w:rPr>
          <w:t>https://doi.org/10.1016/B978-0-323-95911-7.00002-5</w:t>
        </w:r>
      </w:hyperlink>
    </w:p>
    <w:p w:rsidR="00AC723A" w:rsidRPr="00AD2EA1" w:rsidRDefault="00AC723A" w:rsidP="00AC723A">
      <w:pPr>
        <w:pStyle w:val="c-article-referencestext"/>
        <w:numPr>
          <w:ilvl w:val="0"/>
          <w:numId w:val="8"/>
        </w:numPr>
        <w:shd w:val="clear" w:color="auto" w:fill="FFFFFF"/>
        <w:spacing w:before="0" w:beforeAutospacing="0" w:after="240" w:afterAutospacing="0"/>
        <w:rPr>
          <w:color w:val="222222"/>
          <w:sz w:val="27"/>
          <w:szCs w:val="27"/>
          <w:highlight w:val="yellow"/>
        </w:rPr>
      </w:pPr>
      <w:r w:rsidRPr="00AD2EA1">
        <w:rPr>
          <w:color w:val="222222"/>
          <w:sz w:val="27"/>
          <w:szCs w:val="27"/>
          <w:highlight w:val="yellow"/>
        </w:rPr>
        <w:t>Schlesinger WH, Andrews JA. Soil respiration and the global carbon cycle. Biogeochemistry. 2000;48(1):7–20. </w:t>
      </w:r>
      <w:hyperlink r:id="rId42" w:history="1">
        <w:r w:rsidRPr="00AD2EA1">
          <w:rPr>
            <w:rStyle w:val="Hyperlink"/>
            <w:color w:val="025E8D"/>
            <w:highlight w:val="yellow"/>
          </w:rPr>
          <w:t>https://doi.org/10.1023/A:1006247623877</w:t>
        </w:r>
      </w:hyperlink>
      <w:r w:rsidRPr="00AD2EA1">
        <w:rPr>
          <w:color w:val="222222"/>
          <w:sz w:val="27"/>
          <w:szCs w:val="27"/>
          <w:highlight w:val="yellow"/>
        </w:rPr>
        <w:t>.</w:t>
      </w:r>
    </w:p>
    <w:p w:rsidR="00AC723A" w:rsidRDefault="00AC723A" w:rsidP="00AC723A">
      <w:pPr>
        <w:pStyle w:val="c-article-referencestext"/>
        <w:numPr>
          <w:ilvl w:val="0"/>
          <w:numId w:val="8"/>
        </w:numPr>
        <w:shd w:val="clear" w:color="auto" w:fill="FFFFFF"/>
        <w:spacing w:before="0" w:beforeAutospacing="0" w:after="240" w:afterAutospacing="0"/>
        <w:rPr>
          <w:color w:val="222222"/>
          <w:sz w:val="27"/>
          <w:szCs w:val="27"/>
          <w:highlight w:val="yellow"/>
        </w:rPr>
      </w:pPr>
      <w:r w:rsidRPr="00AD2EA1">
        <w:rPr>
          <w:color w:val="222222"/>
          <w:sz w:val="27"/>
          <w:szCs w:val="27"/>
          <w:highlight w:val="yellow"/>
        </w:rPr>
        <w:t xml:space="preserve">Hu X, </w:t>
      </w:r>
      <w:proofErr w:type="spellStart"/>
      <w:r w:rsidRPr="00AD2EA1">
        <w:rPr>
          <w:color w:val="222222"/>
          <w:sz w:val="27"/>
          <w:szCs w:val="27"/>
          <w:highlight w:val="yellow"/>
        </w:rPr>
        <w:t>Næss</w:t>
      </w:r>
      <w:proofErr w:type="spellEnd"/>
      <w:r w:rsidRPr="00AD2EA1">
        <w:rPr>
          <w:color w:val="222222"/>
          <w:sz w:val="27"/>
          <w:szCs w:val="27"/>
          <w:highlight w:val="yellow"/>
        </w:rPr>
        <w:t xml:space="preserve"> JS, </w:t>
      </w:r>
      <w:proofErr w:type="spellStart"/>
      <w:r w:rsidRPr="00AD2EA1">
        <w:rPr>
          <w:color w:val="222222"/>
          <w:sz w:val="27"/>
          <w:szCs w:val="27"/>
          <w:highlight w:val="yellow"/>
        </w:rPr>
        <w:t>Iordan</w:t>
      </w:r>
      <w:proofErr w:type="spellEnd"/>
      <w:r w:rsidRPr="00AD2EA1">
        <w:rPr>
          <w:color w:val="222222"/>
          <w:sz w:val="27"/>
          <w:szCs w:val="27"/>
          <w:highlight w:val="yellow"/>
        </w:rPr>
        <w:t xml:space="preserve"> CM, Huang B, Zhao W, Cherubini F. Recent global land cover dynamics and implications for soil erosion and carbon losses from deforestation. Anthropocene. </w:t>
      </w:r>
      <w:proofErr w:type="gramStart"/>
      <w:r w:rsidRPr="00AD2EA1">
        <w:rPr>
          <w:color w:val="222222"/>
          <w:sz w:val="27"/>
          <w:szCs w:val="27"/>
          <w:highlight w:val="yellow"/>
        </w:rPr>
        <w:t>2021;34:100291</w:t>
      </w:r>
      <w:proofErr w:type="gramEnd"/>
      <w:r w:rsidRPr="00AD2EA1">
        <w:rPr>
          <w:color w:val="222222"/>
          <w:sz w:val="27"/>
          <w:szCs w:val="27"/>
          <w:highlight w:val="yellow"/>
        </w:rPr>
        <w:t>. </w:t>
      </w:r>
      <w:hyperlink r:id="rId43" w:history="1">
        <w:r w:rsidRPr="00AD2EA1">
          <w:rPr>
            <w:rStyle w:val="Hyperlink"/>
            <w:color w:val="025E8D"/>
            <w:highlight w:val="yellow"/>
          </w:rPr>
          <w:t>https://doi.org/10.1016/j.ancene.2021.100291</w:t>
        </w:r>
      </w:hyperlink>
      <w:r w:rsidRPr="00AD2EA1">
        <w:rPr>
          <w:color w:val="222222"/>
          <w:sz w:val="27"/>
          <w:szCs w:val="27"/>
          <w:highlight w:val="yellow"/>
        </w:rPr>
        <w:t>.</w:t>
      </w:r>
    </w:p>
    <w:p w:rsidR="00AC723A" w:rsidRPr="00AD2EA1" w:rsidRDefault="00AC723A" w:rsidP="00AC723A">
      <w:pPr>
        <w:pStyle w:val="c-article-referencestext"/>
        <w:numPr>
          <w:ilvl w:val="0"/>
          <w:numId w:val="8"/>
        </w:numPr>
        <w:shd w:val="clear" w:color="auto" w:fill="FFFFFF"/>
        <w:spacing w:before="0" w:beforeAutospacing="0" w:after="240" w:afterAutospacing="0"/>
        <w:rPr>
          <w:color w:val="222222"/>
          <w:sz w:val="27"/>
          <w:szCs w:val="27"/>
          <w:highlight w:val="yellow"/>
        </w:rPr>
      </w:pPr>
      <w:r w:rsidRPr="00AD2EA1">
        <w:rPr>
          <w:color w:val="222222"/>
          <w:sz w:val="27"/>
          <w:szCs w:val="27"/>
          <w:highlight w:val="yellow"/>
        </w:rPr>
        <w:t>IPCC. Special report on climate change and land. Intergovernmental Panel on Climate Change. 2019.Retrieved from </w:t>
      </w:r>
      <w:hyperlink r:id="rId44" w:history="1">
        <w:r w:rsidRPr="00AD2EA1">
          <w:rPr>
            <w:rStyle w:val="Hyperlink"/>
            <w:color w:val="025E8D"/>
            <w:sz w:val="27"/>
            <w:szCs w:val="27"/>
            <w:highlight w:val="yellow"/>
          </w:rPr>
          <w:t>https://www.ipcc.ch/srccl/</w:t>
        </w:r>
      </w:hyperlink>
    </w:p>
    <w:p w:rsidR="00AC723A" w:rsidRPr="00AC723A" w:rsidRDefault="00AC723A" w:rsidP="00AD2EA1">
      <w:pPr>
        <w:pStyle w:val="c-article-referencesitem"/>
        <w:shd w:val="clear" w:color="auto" w:fill="FFFFFF"/>
        <w:spacing w:after="240" w:afterAutospacing="0"/>
        <w:ind w:left="360"/>
        <w:rPr>
          <w:color w:val="222222"/>
          <w:sz w:val="27"/>
          <w:szCs w:val="27"/>
        </w:rPr>
      </w:pPr>
    </w:p>
    <w:p w:rsidR="006C4967" w:rsidRDefault="006C4967" w:rsidP="005043D9">
      <w:pPr>
        <w:jc w:val="both"/>
        <w:rPr>
          <w:szCs w:val="24"/>
        </w:rPr>
      </w:pPr>
    </w:p>
    <w:p w:rsidR="006C4967" w:rsidRDefault="006C4967" w:rsidP="005043D9">
      <w:pPr>
        <w:jc w:val="both"/>
        <w:rPr>
          <w:szCs w:val="24"/>
        </w:rPr>
      </w:pPr>
    </w:p>
    <w:p w:rsidR="006C4967" w:rsidRPr="00994A4A" w:rsidRDefault="006C4967" w:rsidP="005043D9">
      <w:pPr>
        <w:jc w:val="both"/>
        <w:rPr>
          <w:szCs w:val="24"/>
        </w:rPr>
      </w:pPr>
    </w:p>
    <w:sectPr w:rsidR="006C4967" w:rsidRPr="00994A4A" w:rsidSect="00CB6EB6">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281" w:rsidRDefault="00212281" w:rsidP="007B0FA2">
      <w:pPr>
        <w:spacing w:after="0" w:line="240" w:lineRule="auto"/>
      </w:pPr>
      <w:r>
        <w:separator/>
      </w:r>
    </w:p>
  </w:endnote>
  <w:endnote w:type="continuationSeparator" w:id="0">
    <w:p w:rsidR="00212281" w:rsidRDefault="00212281" w:rsidP="007B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7B0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7B0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7B0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281" w:rsidRDefault="00212281" w:rsidP="007B0FA2">
      <w:pPr>
        <w:spacing w:after="0" w:line="240" w:lineRule="auto"/>
      </w:pPr>
      <w:r>
        <w:separator/>
      </w:r>
    </w:p>
  </w:footnote>
  <w:footnote w:type="continuationSeparator" w:id="0">
    <w:p w:rsidR="00212281" w:rsidRDefault="00212281" w:rsidP="007B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212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4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212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4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212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4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758F7"/>
    <w:multiLevelType w:val="hybridMultilevel"/>
    <w:tmpl w:val="7D940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1017F"/>
    <w:multiLevelType w:val="multilevel"/>
    <w:tmpl w:val="10783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221D7"/>
    <w:multiLevelType w:val="multilevel"/>
    <w:tmpl w:val="F906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9"/>
  </w:num>
  <w:num w:numId="5">
    <w:abstractNumId w:val="5"/>
  </w:num>
  <w:num w:numId="6">
    <w:abstractNumId w:val="0"/>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3NLI0tDA0NjU3NTdR0lEKTi0uzszPAykwrAUAIvtsPiwAAAA="/>
  </w:docVars>
  <w:rsids>
    <w:rsidRoot w:val="00761CB6"/>
    <w:rsid w:val="000425DD"/>
    <w:rsid w:val="00053D7A"/>
    <w:rsid w:val="000A0EB4"/>
    <w:rsid w:val="000C4F0E"/>
    <w:rsid w:val="00126350"/>
    <w:rsid w:val="00212281"/>
    <w:rsid w:val="0022535D"/>
    <w:rsid w:val="00276161"/>
    <w:rsid w:val="00284F1F"/>
    <w:rsid w:val="002A194A"/>
    <w:rsid w:val="00371C4C"/>
    <w:rsid w:val="003975AE"/>
    <w:rsid w:val="003A104D"/>
    <w:rsid w:val="003A4787"/>
    <w:rsid w:val="003B6CCD"/>
    <w:rsid w:val="00405181"/>
    <w:rsid w:val="004148F5"/>
    <w:rsid w:val="00416C8C"/>
    <w:rsid w:val="00456E20"/>
    <w:rsid w:val="004A5427"/>
    <w:rsid w:val="004E7311"/>
    <w:rsid w:val="005043D9"/>
    <w:rsid w:val="0054487D"/>
    <w:rsid w:val="00695D59"/>
    <w:rsid w:val="006A39B3"/>
    <w:rsid w:val="006C4967"/>
    <w:rsid w:val="006E4B0A"/>
    <w:rsid w:val="00711B14"/>
    <w:rsid w:val="00761CB6"/>
    <w:rsid w:val="0078275D"/>
    <w:rsid w:val="007B0FA2"/>
    <w:rsid w:val="007D03BC"/>
    <w:rsid w:val="007E249F"/>
    <w:rsid w:val="007F3B45"/>
    <w:rsid w:val="008107F6"/>
    <w:rsid w:val="00812006"/>
    <w:rsid w:val="00856AFD"/>
    <w:rsid w:val="008811F8"/>
    <w:rsid w:val="00994A4A"/>
    <w:rsid w:val="009D5BA5"/>
    <w:rsid w:val="00A2270F"/>
    <w:rsid w:val="00A5013C"/>
    <w:rsid w:val="00A50845"/>
    <w:rsid w:val="00A5299F"/>
    <w:rsid w:val="00A54719"/>
    <w:rsid w:val="00A7055A"/>
    <w:rsid w:val="00AC723A"/>
    <w:rsid w:val="00AD2EA1"/>
    <w:rsid w:val="00BC43AE"/>
    <w:rsid w:val="00BF0896"/>
    <w:rsid w:val="00CB6EB6"/>
    <w:rsid w:val="00CE10D2"/>
    <w:rsid w:val="00D75C9D"/>
    <w:rsid w:val="00E125DA"/>
    <w:rsid w:val="00EC30E1"/>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13CA6"/>
  <w15:docId w15:val="{30DF91A7-4F57-45CF-824F-053AD7C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7B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A2"/>
  </w:style>
  <w:style w:type="paragraph" w:styleId="Footer">
    <w:name w:val="footer"/>
    <w:basedOn w:val="Normal"/>
    <w:link w:val="FooterChar"/>
    <w:uiPriority w:val="99"/>
    <w:unhideWhenUsed/>
    <w:rsid w:val="007B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A2"/>
  </w:style>
  <w:style w:type="character" w:styleId="UnresolvedMention">
    <w:name w:val="Unresolved Mention"/>
    <w:basedOn w:val="DefaultParagraphFont"/>
    <w:uiPriority w:val="99"/>
    <w:semiHidden/>
    <w:unhideWhenUsed/>
    <w:rsid w:val="006C4967"/>
    <w:rPr>
      <w:color w:val="605E5C"/>
      <w:shd w:val="clear" w:color="auto" w:fill="E1DFDD"/>
    </w:rPr>
  </w:style>
  <w:style w:type="paragraph" w:customStyle="1" w:styleId="c-article-referencestext">
    <w:name w:val="c-article-references__text"/>
    <w:basedOn w:val="Normal"/>
    <w:rsid w:val="006C49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article-referencesitem">
    <w:name w:val="c-article-references__item"/>
    <w:basedOn w:val="Normal"/>
    <w:rsid w:val="00AC723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3634">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899738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6929493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92093">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58375804">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5529265">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44832383">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39417477">
      <w:bodyDiv w:val="1"/>
      <w:marLeft w:val="0"/>
      <w:marRight w:val="0"/>
      <w:marTop w:val="0"/>
      <w:marBottom w:val="0"/>
      <w:divBdr>
        <w:top w:val="none" w:sz="0" w:space="0" w:color="auto"/>
        <w:left w:val="none" w:sz="0" w:space="0" w:color="auto"/>
        <w:bottom w:val="none" w:sz="0" w:space="0" w:color="auto"/>
        <w:right w:val="none" w:sz="0" w:space="0" w:color="auto"/>
      </w:divBdr>
    </w:div>
    <w:div w:id="1884638792">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till.2018.04.011" TargetMode="External"/><Relationship Id="rId18" Type="http://schemas.openxmlformats.org/officeDocument/2006/relationships/hyperlink" Target="https://doi.org/10.1111/gcb.15954" TargetMode="External"/><Relationship Id="rId26" Type="http://schemas.openxmlformats.org/officeDocument/2006/relationships/hyperlink" Target="https://doi.org/10.7717/peerj.13740" TargetMode="External"/><Relationship Id="rId39" Type="http://schemas.openxmlformats.org/officeDocument/2006/relationships/hyperlink" Target="https://doi.org/10.1111/gcb.12865" TargetMode="External"/><Relationship Id="rId21" Type="http://schemas.openxmlformats.org/officeDocument/2006/relationships/hyperlink" Target="https://doi.org/10.1016/j.still.2021.105204" TargetMode="External"/><Relationship Id="rId34" Type="http://schemas.openxmlformats.org/officeDocument/2006/relationships/hyperlink" Target="https://doi.org/10.1038/s41893-023-01131-7" TargetMode="External"/><Relationship Id="rId42" Type="http://schemas.openxmlformats.org/officeDocument/2006/relationships/hyperlink" Target="https://doi.org/10.1023/A:100624762387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25.145155" TargetMode="External"/><Relationship Id="rId29" Type="http://schemas.openxmlformats.org/officeDocument/2006/relationships/hyperlink" Target="https://doi.org/10.1080/14486563.2024.2393246" TargetMode="External"/><Relationship Id="rId11" Type="http://schemas.openxmlformats.org/officeDocument/2006/relationships/hyperlink" Target="https://doi.org/10.1007/s10533-022-00948-2" TargetMode="External"/><Relationship Id="rId24" Type="http://schemas.openxmlformats.org/officeDocument/2006/relationships/hyperlink" Target="https://doi.org/10.1016/j.scitotenv.2019.02.125" TargetMode="External"/><Relationship Id="rId32" Type="http://schemas.openxmlformats.org/officeDocument/2006/relationships/hyperlink" Target="https://doi.org/10.1016/j.still.2017.12.002" TargetMode="External"/><Relationship Id="rId37" Type="http://schemas.openxmlformats.org/officeDocument/2006/relationships/hyperlink" Target="https://doi.org/10.1038/s41598-017-15794-8" TargetMode="External"/><Relationship Id="rId40" Type="http://schemas.openxmlformats.org/officeDocument/2006/relationships/hyperlink" Target="https://doi.org/10.1007/s44378-025-00133-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77/0030727021998063" TargetMode="External"/><Relationship Id="rId23" Type="http://schemas.openxmlformats.org/officeDocument/2006/relationships/hyperlink" Target="https://doi.org/10.1080/21683565.2019.1680476" TargetMode="External"/><Relationship Id="rId28" Type="http://schemas.openxmlformats.org/officeDocument/2006/relationships/hyperlink" Target="https://doi.org/10.1038/s41893-020-00617-y" TargetMode="External"/><Relationship Id="rId36" Type="http://schemas.openxmlformats.org/officeDocument/2006/relationships/hyperlink" Target="https://doi.org/10.1016/j.geoderma.2018.07.026" TargetMode="External"/><Relationship Id="rId49" Type="http://schemas.openxmlformats.org/officeDocument/2006/relationships/header" Target="header3.xml"/><Relationship Id="rId10" Type="http://schemas.openxmlformats.org/officeDocument/2006/relationships/hyperlink" Target="https://doi.org/10.1016/j.jenvman.2024.122284" TargetMode="External"/><Relationship Id="rId19" Type="http://schemas.openxmlformats.org/officeDocument/2006/relationships/hyperlink" Target="https://doi.org/10.3390/rs15235571" TargetMode="External"/><Relationship Id="rId31" Type="http://schemas.openxmlformats.org/officeDocument/2006/relationships/hyperlink" Target="https://doi.org/10.1007/s13280-019-01165-2" TargetMode="External"/><Relationship Id="rId44" Type="http://schemas.openxmlformats.org/officeDocument/2006/relationships/hyperlink" Target="https://www.ipcc.ch/srcc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17583004.2024.2410812" TargetMode="External"/><Relationship Id="rId14" Type="http://schemas.openxmlformats.org/officeDocument/2006/relationships/hyperlink" Target="https://doi.org/10.3389/fsufs.2020.00037" TargetMode="External"/><Relationship Id="rId22" Type="http://schemas.openxmlformats.org/officeDocument/2006/relationships/hyperlink" Target="https://doi.org/10.1016/j.geoderma.2017.01.002" TargetMode="External"/><Relationship Id="rId27" Type="http://schemas.openxmlformats.org/officeDocument/2006/relationships/hyperlink" Target="https://doi.org/10.1016/j.jclepro.2020.125736" TargetMode="External"/><Relationship Id="rId30" Type="http://schemas.openxmlformats.org/officeDocument/2006/relationships/hyperlink" Target="https://doi.org/10.1016/j.geoderma.2023.116466" TargetMode="External"/><Relationship Id="rId35" Type="http://schemas.openxmlformats.org/officeDocument/2006/relationships/hyperlink" Target="https://doi.org/10.3389/fsufs.2023.1234108" TargetMode="External"/><Relationship Id="rId43" Type="http://schemas.openxmlformats.org/officeDocument/2006/relationships/hyperlink" Target="https://doi.org/10.1016/j.ancene.2021.100291" TargetMode="External"/><Relationship Id="rId48" Type="http://schemas.openxmlformats.org/officeDocument/2006/relationships/footer" Target="footer2.xml"/><Relationship Id="rId8" Type="http://schemas.openxmlformats.org/officeDocument/2006/relationships/hyperlink" Target="https://doi.org/10.1038/s41467-020-18887-7"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jenvman.2024.122367" TargetMode="External"/><Relationship Id="rId17" Type="http://schemas.openxmlformats.org/officeDocument/2006/relationships/hyperlink" Target="https://doi.org/10.1016/j.crope.2022.03.005" TargetMode="External"/><Relationship Id="rId25" Type="http://schemas.openxmlformats.org/officeDocument/2006/relationships/hyperlink" Target="https://doi.org/10.3389/fsufs.2020.577723" TargetMode="External"/><Relationship Id="rId33" Type="http://schemas.openxmlformats.org/officeDocument/2006/relationships/hyperlink" Target="https://doi.org/10.1021/acs.est.7b01427" TargetMode="External"/><Relationship Id="rId38" Type="http://schemas.openxmlformats.org/officeDocument/2006/relationships/hyperlink" Target="https://doi.org/10.1038/s43016-024-01039-1" TargetMode="External"/><Relationship Id="rId46" Type="http://schemas.openxmlformats.org/officeDocument/2006/relationships/header" Target="header2.xml"/><Relationship Id="rId20" Type="http://schemas.openxmlformats.org/officeDocument/2006/relationships/hyperlink" Target="https://doi.org/10.1111/gcb.14781" TargetMode="External"/><Relationship Id="rId41" Type="http://schemas.openxmlformats.org/officeDocument/2006/relationships/hyperlink" Target="https://doi.org/10.1016/B978-0-323-95911-7.00002-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D1AFC-3148-4B14-AE89-D00236C4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16</Pages>
  <Words>7438</Words>
  <Characters>42400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25</cp:revision>
  <cp:lastPrinted>2025-11-24T11:56:00Z</cp:lastPrinted>
  <dcterms:created xsi:type="dcterms:W3CDTF">2025-09-24T12:44:00Z</dcterms:created>
  <dcterms:modified xsi:type="dcterms:W3CDTF">2025-11-28T09:06:00Z</dcterms:modified>
</cp:coreProperties>
</file>