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39428" w14:textId="6B5AE14E" w:rsidR="004E592B" w:rsidRDefault="00A976BF">
      <w:pPr>
        <w:rPr>
          <w:rFonts w:ascii="Times New Roman" w:hAnsi="Times New Roman" w:cs="Times New Roman"/>
          <w:b/>
          <w:sz w:val="24"/>
          <w:szCs w:val="24"/>
        </w:rPr>
      </w:pPr>
      <w:r>
        <w:rPr>
          <w:rFonts w:ascii="Times New Roman" w:hAnsi="Times New Roman" w:cs="Times New Roman"/>
          <w:b/>
          <w:sz w:val="24"/>
          <w:szCs w:val="24"/>
        </w:rPr>
        <w:t xml:space="preserve">Usefulness of Karaman Score in Treatment Guidance and Prognosis for Acute Appendicitis – a prospective single </w:t>
      </w:r>
      <w:proofErr w:type="spellStart"/>
      <w:r>
        <w:rPr>
          <w:rFonts w:ascii="Times New Roman" w:hAnsi="Times New Roman" w:cs="Times New Roman"/>
          <w:b/>
          <w:sz w:val="24"/>
          <w:szCs w:val="24"/>
        </w:rPr>
        <w:t>centre</w:t>
      </w:r>
      <w:proofErr w:type="spellEnd"/>
      <w:r>
        <w:rPr>
          <w:rFonts w:ascii="Times New Roman" w:hAnsi="Times New Roman" w:cs="Times New Roman"/>
          <w:b/>
          <w:sz w:val="24"/>
          <w:szCs w:val="24"/>
        </w:rPr>
        <w:t xml:space="preserve"> study</w:t>
      </w:r>
    </w:p>
    <w:p w14:paraId="02B791F6" w14:textId="77777777" w:rsidR="004E592B" w:rsidRDefault="004E592B">
      <w:pPr>
        <w:rPr>
          <w:rFonts w:ascii="Times New Roman" w:hAnsi="Times New Roman" w:cs="Times New Roman"/>
          <w:bCs/>
        </w:rPr>
      </w:pPr>
    </w:p>
    <w:p w14:paraId="0D8337FB" w14:textId="77BDB1C6" w:rsidR="008B23F8" w:rsidRDefault="008B23F8" w:rsidP="001F0127">
      <w:pPr>
        <w:rPr>
          <w:rFonts w:ascii="Times New Roman" w:hAnsi="Times New Roman" w:cs="Times New Roman"/>
          <w:b/>
          <w:bCs/>
          <w:sz w:val="24"/>
          <w:szCs w:val="24"/>
          <w:lang w:val="tr-TR"/>
        </w:rPr>
      </w:pPr>
      <w:r>
        <w:rPr>
          <w:rFonts w:ascii="Times New Roman" w:hAnsi="Times New Roman" w:cs="Times New Roman"/>
          <w:b/>
          <w:bCs/>
          <w:sz w:val="24"/>
          <w:szCs w:val="24"/>
          <w:lang w:val="tr-TR"/>
        </w:rPr>
        <w:t>Abstract</w:t>
      </w:r>
    </w:p>
    <w:p w14:paraId="0B6999E7" w14:textId="39CD214C" w:rsidR="001F0127" w:rsidRDefault="001F0127" w:rsidP="001F0127">
      <w:pPr>
        <w:rPr>
          <w:rFonts w:ascii="Times New Roman" w:hAnsi="Times New Roman" w:cs="Times New Roman"/>
          <w:sz w:val="24"/>
          <w:szCs w:val="24"/>
          <w:lang w:val="tr-TR"/>
        </w:rPr>
      </w:pPr>
      <w:r w:rsidRPr="001F0127">
        <w:rPr>
          <w:rFonts w:ascii="Times New Roman" w:hAnsi="Times New Roman" w:cs="Times New Roman"/>
          <w:b/>
          <w:bCs/>
          <w:sz w:val="24"/>
          <w:szCs w:val="24"/>
          <w:lang w:val="tr-TR"/>
        </w:rPr>
        <w:t>Objective:</w:t>
      </w:r>
      <w:r w:rsidRPr="001F0127">
        <w:rPr>
          <w:rFonts w:ascii="Times New Roman" w:hAnsi="Times New Roman" w:cs="Times New Roman"/>
          <w:sz w:val="24"/>
          <w:szCs w:val="24"/>
          <w:lang w:val="tr-TR"/>
        </w:rPr>
        <w:br/>
        <w:t>Acute appendicitis (AA) is one of the most common causes of surgical abdominal pain in emergency departments. While most scoring systems focus on diagnosis, their role in guiding treatment and predicting prognosis remains limited. This prospective single-centre cohort study aimed to evaluate whether the Karaman Score (KS) is predictive of treatment selection and disease severity in AA.</w:t>
      </w:r>
    </w:p>
    <w:p w14:paraId="2A37C529" w14:textId="77777777" w:rsidR="001F0127" w:rsidRPr="001F0127" w:rsidRDefault="001F0127" w:rsidP="001F0127">
      <w:pPr>
        <w:rPr>
          <w:rFonts w:ascii="Times New Roman" w:hAnsi="Times New Roman" w:cs="Times New Roman"/>
          <w:sz w:val="24"/>
          <w:szCs w:val="24"/>
          <w:lang w:val="tr-TR"/>
        </w:rPr>
      </w:pPr>
    </w:p>
    <w:p w14:paraId="6D41ECE9" w14:textId="77777777" w:rsidR="001F0127" w:rsidRDefault="001F0127" w:rsidP="001F0127">
      <w:pPr>
        <w:rPr>
          <w:rFonts w:ascii="Times New Roman" w:hAnsi="Times New Roman" w:cs="Times New Roman"/>
          <w:sz w:val="24"/>
          <w:szCs w:val="24"/>
          <w:lang w:val="tr-TR"/>
        </w:rPr>
      </w:pPr>
      <w:r w:rsidRPr="001F0127">
        <w:rPr>
          <w:rFonts w:ascii="Times New Roman" w:hAnsi="Times New Roman" w:cs="Times New Roman"/>
          <w:b/>
          <w:bCs/>
          <w:sz w:val="24"/>
          <w:szCs w:val="24"/>
          <w:lang w:val="tr-TR"/>
        </w:rPr>
        <w:t>Methods:</w:t>
      </w:r>
      <w:r w:rsidRPr="001F0127">
        <w:rPr>
          <w:rFonts w:ascii="Times New Roman" w:hAnsi="Times New Roman" w:cs="Times New Roman"/>
          <w:sz w:val="24"/>
          <w:szCs w:val="24"/>
          <w:lang w:val="tr-TR"/>
        </w:rPr>
        <w:br/>
        <w:t>Between January and December 2023, 69 adult patients prospectively diagnosed with AA in a tertiary emergency department were included. The KS was calculated at initial evaluation by emergency physicians, while treatment decisions were made independently by surgeons. Patients were classified according to treatment modality (surgical vs non-operative management) and disease severity (uncomplicated vs complicated AA). Diagnostic and prognostic performance of KS and laboratory parameters was assessed using chi-square analysis, binary logistic regression, and receiver operating characteristic (ROC) analysis.</w:t>
      </w:r>
    </w:p>
    <w:p w14:paraId="0FE6F202" w14:textId="77777777" w:rsidR="001F0127" w:rsidRPr="001F0127" w:rsidRDefault="001F0127" w:rsidP="001F0127">
      <w:pPr>
        <w:rPr>
          <w:rFonts w:ascii="Times New Roman" w:hAnsi="Times New Roman" w:cs="Times New Roman"/>
          <w:sz w:val="24"/>
          <w:szCs w:val="24"/>
          <w:lang w:val="tr-TR"/>
        </w:rPr>
      </w:pPr>
    </w:p>
    <w:p w14:paraId="152A971D" w14:textId="77777777" w:rsidR="001F0127" w:rsidRDefault="001F0127" w:rsidP="001F0127">
      <w:pPr>
        <w:rPr>
          <w:rFonts w:ascii="Times New Roman" w:hAnsi="Times New Roman" w:cs="Times New Roman"/>
          <w:sz w:val="24"/>
          <w:szCs w:val="24"/>
          <w:lang w:val="tr-TR"/>
        </w:rPr>
      </w:pPr>
      <w:r w:rsidRPr="001F0127">
        <w:rPr>
          <w:rFonts w:ascii="Times New Roman" w:hAnsi="Times New Roman" w:cs="Times New Roman"/>
          <w:b/>
          <w:bCs/>
          <w:sz w:val="24"/>
          <w:szCs w:val="24"/>
          <w:lang w:val="tr-TR"/>
        </w:rPr>
        <w:t>Results:</w:t>
      </w:r>
      <w:r w:rsidRPr="001F0127">
        <w:rPr>
          <w:rFonts w:ascii="Times New Roman" w:hAnsi="Times New Roman" w:cs="Times New Roman"/>
          <w:sz w:val="24"/>
          <w:szCs w:val="24"/>
          <w:lang w:val="tr-TR"/>
        </w:rPr>
        <w:br/>
        <w:t>Fifty-one patients (73.9%) underwent appendectomy. A KS ≥9 predicted surgical treatment with a sensitivity of 70.6% and specificity of 77.8% and was identified as an independent predictor of surgery (OR 7.93, 95% CI 1.55–40.74; p&lt;0.05). A KS ≥10 was significantly associated with complicated appendicitis (p&lt;0.05). ROC analysis demonstrated moderate discriminatory ability of KS for predicting both surgical treatment (AUC 0.693) and complicated appendicitis (AUC 0.695). Among laboratory parameters, the neutrophil-to-lymphocyte ratio showed the highest discriminatory performance for predicting complicated appendicitis (AUC 0.737).</w:t>
      </w:r>
    </w:p>
    <w:p w14:paraId="66EB68A6" w14:textId="77777777" w:rsidR="001F0127" w:rsidRPr="001F0127" w:rsidRDefault="001F0127" w:rsidP="001F0127">
      <w:pPr>
        <w:rPr>
          <w:rFonts w:ascii="Times New Roman" w:hAnsi="Times New Roman" w:cs="Times New Roman"/>
          <w:sz w:val="24"/>
          <w:szCs w:val="24"/>
          <w:lang w:val="tr-TR"/>
        </w:rPr>
      </w:pPr>
    </w:p>
    <w:p w14:paraId="1DF3FFBD" w14:textId="3888FF09" w:rsidR="001F0127" w:rsidRDefault="001F0127" w:rsidP="001F0127">
      <w:pPr>
        <w:rPr>
          <w:rFonts w:ascii="Times New Roman" w:hAnsi="Times New Roman" w:cs="Times New Roman"/>
          <w:sz w:val="24"/>
          <w:szCs w:val="24"/>
          <w:lang w:val="tr-TR"/>
        </w:rPr>
      </w:pPr>
      <w:r w:rsidRPr="001F0127">
        <w:rPr>
          <w:rFonts w:ascii="Times New Roman" w:hAnsi="Times New Roman" w:cs="Times New Roman"/>
          <w:b/>
          <w:bCs/>
          <w:sz w:val="24"/>
          <w:szCs w:val="24"/>
          <w:lang w:val="tr-TR"/>
        </w:rPr>
        <w:t>Conclusion:</w:t>
      </w:r>
      <w:r w:rsidRPr="001F0127">
        <w:rPr>
          <w:rFonts w:ascii="Times New Roman" w:hAnsi="Times New Roman" w:cs="Times New Roman"/>
          <w:sz w:val="24"/>
          <w:szCs w:val="24"/>
          <w:lang w:val="tr-TR"/>
        </w:rPr>
        <w:br/>
        <w:t>The K</w:t>
      </w:r>
      <w:r w:rsidR="009B1C94">
        <w:rPr>
          <w:rFonts w:ascii="Times New Roman" w:hAnsi="Times New Roman" w:cs="Times New Roman"/>
          <w:sz w:val="24"/>
          <w:szCs w:val="24"/>
          <w:lang w:val="tr-TR"/>
        </w:rPr>
        <w:t>S</w:t>
      </w:r>
      <w:r w:rsidRPr="001F0127">
        <w:rPr>
          <w:rFonts w:ascii="Times New Roman" w:hAnsi="Times New Roman" w:cs="Times New Roman"/>
          <w:sz w:val="24"/>
          <w:szCs w:val="24"/>
          <w:lang w:val="tr-TR"/>
        </w:rPr>
        <w:t xml:space="preserve"> appears to be a practical and easily applicable tool that may assist clinicians not only in diagnosis but also as an adjunct in treatment selection and risk stratification for disease severity in acute appendicitis. Larger multicentre prospective studies are warranted to validate its prognostic utility.</w:t>
      </w:r>
    </w:p>
    <w:p w14:paraId="43EE1F04" w14:textId="77777777" w:rsidR="003E4CA1" w:rsidRDefault="003E4CA1" w:rsidP="001F0127">
      <w:pPr>
        <w:rPr>
          <w:rFonts w:ascii="Times New Roman" w:hAnsi="Times New Roman" w:cs="Times New Roman"/>
          <w:sz w:val="24"/>
          <w:szCs w:val="24"/>
          <w:lang w:val="tr-TR"/>
        </w:rPr>
      </w:pPr>
    </w:p>
    <w:p w14:paraId="7AACC5EC" w14:textId="251147A2" w:rsidR="003E4CA1" w:rsidRPr="001F0127" w:rsidRDefault="003E4CA1" w:rsidP="001F0127">
      <w:pPr>
        <w:rPr>
          <w:rFonts w:ascii="Times New Roman" w:hAnsi="Times New Roman" w:cs="Times New Roman"/>
          <w:sz w:val="24"/>
          <w:szCs w:val="24"/>
          <w:lang w:val="tr-TR"/>
        </w:rPr>
      </w:pPr>
      <w:r>
        <w:rPr>
          <w:rFonts w:ascii="Times New Roman" w:hAnsi="Times New Roman" w:cs="Times New Roman"/>
          <w:sz w:val="24"/>
          <w:szCs w:val="24"/>
          <w:lang w:val="tr-TR"/>
        </w:rPr>
        <w:t xml:space="preserve">Keywords: </w:t>
      </w:r>
      <w:r w:rsidRPr="003E4CA1">
        <w:rPr>
          <w:rFonts w:ascii="Times New Roman" w:hAnsi="Times New Roman" w:cs="Times New Roman"/>
          <w:sz w:val="24"/>
          <w:szCs w:val="24"/>
          <w:lang w:val="tr-TR"/>
        </w:rPr>
        <w:t>Acute Appendicitis</w:t>
      </w:r>
      <w:r>
        <w:rPr>
          <w:rFonts w:ascii="Times New Roman" w:hAnsi="Times New Roman" w:cs="Times New Roman"/>
          <w:sz w:val="24"/>
          <w:szCs w:val="24"/>
          <w:lang w:val="tr-TR"/>
        </w:rPr>
        <w:t>, A</w:t>
      </w:r>
      <w:r w:rsidRPr="003E4CA1">
        <w:rPr>
          <w:rFonts w:ascii="Times New Roman" w:hAnsi="Times New Roman" w:cs="Times New Roman"/>
          <w:sz w:val="24"/>
          <w:szCs w:val="24"/>
          <w:lang w:val="tr-TR"/>
        </w:rPr>
        <w:t>bdominal pain</w:t>
      </w:r>
      <w:r>
        <w:rPr>
          <w:rFonts w:ascii="Times New Roman" w:hAnsi="Times New Roman" w:cs="Times New Roman"/>
          <w:sz w:val="24"/>
          <w:szCs w:val="24"/>
          <w:lang w:val="tr-TR"/>
        </w:rPr>
        <w:t>, E</w:t>
      </w:r>
      <w:r w:rsidRPr="003E4CA1">
        <w:rPr>
          <w:rFonts w:ascii="Times New Roman" w:hAnsi="Times New Roman" w:cs="Times New Roman"/>
          <w:sz w:val="24"/>
          <w:szCs w:val="24"/>
          <w:lang w:val="tr-TR"/>
        </w:rPr>
        <w:t>mergency</w:t>
      </w:r>
      <w:r>
        <w:rPr>
          <w:rFonts w:ascii="Times New Roman" w:hAnsi="Times New Roman" w:cs="Times New Roman"/>
          <w:sz w:val="24"/>
          <w:szCs w:val="24"/>
          <w:lang w:val="tr-TR"/>
        </w:rPr>
        <w:t>, I</w:t>
      </w:r>
      <w:r w:rsidRPr="003E4CA1">
        <w:rPr>
          <w:rFonts w:ascii="Times New Roman" w:hAnsi="Times New Roman" w:cs="Times New Roman"/>
          <w:sz w:val="24"/>
          <w:szCs w:val="24"/>
          <w:lang w:val="tr-TR"/>
        </w:rPr>
        <w:t>nfection</w:t>
      </w:r>
    </w:p>
    <w:p w14:paraId="4E7D8066" w14:textId="77777777" w:rsidR="004E592B" w:rsidRDefault="004E592B">
      <w:pPr>
        <w:rPr>
          <w:rFonts w:ascii="Times New Roman" w:hAnsi="Times New Roman" w:cs="Times New Roman"/>
          <w:b/>
          <w:bCs/>
          <w:sz w:val="24"/>
          <w:szCs w:val="24"/>
          <w:lang w:val="tr-TR"/>
        </w:rPr>
      </w:pPr>
    </w:p>
    <w:p w14:paraId="57C082AC" w14:textId="77777777" w:rsidR="00E46F3E" w:rsidRDefault="00A976BF" w:rsidP="00E46F3E">
      <w:pPr>
        <w:rPr>
          <w:rFonts w:ascii="Times New Roman" w:hAnsi="Times New Roman" w:cs="Times New Roman"/>
          <w:b/>
          <w:bCs/>
          <w:sz w:val="24"/>
          <w:szCs w:val="24"/>
          <w:lang w:val="tr-TR"/>
        </w:rPr>
      </w:pPr>
      <w:r>
        <w:rPr>
          <w:rFonts w:ascii="Times New Roman" w:hAnsi="Times New Roman" w:cs="Times New Roman"/>
          <w:b/>
          <w:bCs/>
          <w:sz w:val="24"/>
          <w:szCs w:val="24"/>
          <w:lang w:val="tr-TR"/>
        </w:rPr>
        <w:lastRenderedPageBreak/>
        <w:t>Introduction:</w:t>
      </w:r>
      <w:r w:rsidR="00E46F3E">
        <w:rPr>
          <w:rFonts w:ascii="Times New Roman" w:hAnsi="Times New Roman" w:cs="Times New Roman"/>
          <w:b/>
          <w:bCs/>
          <w:sz w:val="24"/>
          <w:szCs w:val="24"/>
          <w:lang w:val="tr-TR"/>
        </w:rPr>
        <w:br/>
      </w:r>
    </w:p>
    <w:p w14:paraId="6A0136E9" w14:textId="7E492940" w:rsidR="004E592B" w:rsidRPr="00E46F3E" w:rsidRDefault="00A976BF" w:rsidP="00E46F3E">
      <w:pPr>
        <w:rPr>
          <w:rFonts w:ascii="Times New Roman" w:hAnsi="Times New Roman" w:cs="Times New Roman"/>
          <w:b/>
          <w:bCs/>
          <w:sz w:val="24"/>
          <w:szCs w:val="24"/>
          <w:lang w:val="tr-TR"/>
        </w:rPr>
      </w:pPr>
      <w:r w:rsidRPr="00E46F3E">
        <w:rPr>
          <w:rFonts w:ascii="Times New Roman" w:hAnsi="Times New Roman" w:cs="Times New Roman"/>
          <w:sz w:val="24"/>
          <w:szCs w:val="24"/>
          <w:lang w:val="tr-TR"/>
        </w:rPr>
        <w:t>Acute appendicitis (AA) is among the most widespread etiologies of acute abdominal pain in</w:t>
      </w:r>
      <w:r w:rsidRPr="00E46F3E">
        <w:rPr>
          <w:rFonts w:ascii="Times New Roman" w:hAnsi="Times New Roman" w:cs="Times New Roman"/>
          <w:sz w:val="24"/>
          <w:szCs w:val="24"/>
          <w:lang w:val="tr-TR"/>
        </w:rPr>
        <w:t xml:space="preserve"> emergency departments (EDs), often requir</w:t>
      </w:r>
      <w:r w:rsidR="00867580" w:rsidRPr="00E46F3E">
        <w:rPr>
          <w:rFonts w:ascii="Times New Roman" w:hAnsi="Times New Roman" w:cs="Times New Roman"/>
          <w:sz w:val="24"/>
          <w:szCs w:val="24"/>
          <w:lang w:val="tr-TR"/>
        </w:rPr>
        <w:t>ing</w:t>
      </w:r>
      <w:r w:rsidRPr="00E46F3E">
        <w:rPr>
          <w:rFonts w:ascii="Times New Roman" w:hAnsi="Times New Roman" w:cs="Times New Roman"/>
          <w:sz w:val="24"/>
          <w:szCs w:val="24"/>
          <w:lang w:val="tr-TR"/>
        </w:rPr>
        <w:t xml:space="preserve"> appendectomy. The lifetime risk for males and females is 8.6% and 6.9%, respectively </w:t>
      </w:r>
      <w:r w:rsidRPr="00E46F3E">
        <w:rPr>
          <w:rFonts w:ascii="Times New Roman" w:hAnsi="Times New Roman" w:cs="Times New Roman"/>
          <w:sz w:val="24"/>
          <w:szCs w:val="24"/>
        </w:rPr>
        <w:t>[1]</w:t>
      </w:r>
      <w:r w:rsidRPr="00E46F3E">
        <w:rPr>
          <w:rFonts w:ascii="Times New Roman" w:hAnsi="Times New Roman" w:cs="Times New Roman"/>
          <w:sz w:val="24"/>
          <w:szCs w:val="24"/>
          <w:lang w:val="tr-TR"/>
        </w:rPr>
        <w:t xml:space="preserve">. </w:t>
      </w:r>
      <w:r w:rsidRPr="00E46F3E">
        <w:rPr>
          <w:rFonts w:ascii="Times New Roman" w:hAnsi="Times New Roman" w:cs="Times New Roman"/>
          <w:color w:val="000000"/>
          <w:sz w:val="24"/>
          <w:szCs w:val="24"/>
        </w:rPr>
        <w:t>Peak occurrence is in patients aged 15 to 25 years, and less than 25% of cases occur in patients older than 45 years</w:t>
      </w:r>
      <w:r w:rsidRPr="00E46F3E">
        <w:rPr>
          <w:rFonts w:ascii="Times New Roman" w:hAnsi="Times New Roman" w:cs="Times New Roman"/>
          <w:color w:val="000000"/>
          <w:sz w:val="24"/>
          <w:szCs w:val="24"/>
          <w:lang w:val="tr-TR"/>
        </w:rPr>
        <w:t xml:space="preserve"> </w:t>
      </w:r>
      <w:r w:rsidRPr="00E46F3E">
        <w:rPr>
          <w:rFonts w:ascii="Times New Roman" w:hAnsi="Times New Roman" w:cs="Times New Roman"/>
          <w:color w:val="000000"/>
          <w:sz w:val="24"/>
          <w:szCs w:val="24"/>
        </w:rPr>
        <w:t>[2]</w:t>
      </w:r>
      <w:r w:rsidRPr="00E46F3E">
        <w:rPr>
          <w:rFonts w:ascii="Times New Roman" w:hAnsi="Times New Roman" w:cs="Times New Roman"/>
          <w:color w:val="000000"/>
          <w:sz w:val="24"/>
          <w:szCs w:val="24"/>
        </w:rPr>
        <w:t>.</w:t>
      </w:r>
    </w:p>
    <w:p w14:paraId="4BA48AA5" w14:textId="479B8A03" w:rsidR="004E592B" w:rsidRDefault="00A976BF">
      <w:pPr>
        <w:pStyle w:val="NormalWeb"/>
      </w:pPr>
      <w:r>
        <w:rPr>
          <w:lang w:val="tr-TR"/>
        </w:rPr>
        <w:t>A</w:t>
      </w:r>
      <w:r w:rsidR="00867580">
        <w:rPr>
          <w:lang w:val="tr-TR"/>
        </w:rPr>
        <w:t>A</w:t>
      </w:r>
      <w:r>
        <w:t xml:space="preserve"> cases are traditionally divided into two categories according to the extant literature: simple suppurative appendicitis without gangrene, perforation, intra-abdominal abscess, phlegmon and complicated appendicitis with at least one of these</w:t>
      </w:r>
      <w:r>
        <w:rPr>
          <w:lang w:val="tr-TR"/>
        </w:rPr>
        <w:t xml:space="preserve"> </w:t>
      </w:r>
      <w:r>
        <w:t>[</w:t>
      </w:r>
      <w:r>
        <w:rPr>
          <w:lang w:val="tr-TR"/>
        </w:rPr>
        <w:t>3</w:t>
      </w:r>
      <w:r>
        <w:t>].</w:t>
      </w:r>
    </w:p>
    <w:p w14:paraId="0267BB67" w14:textId="77777777" w:rsidR="004E592B" w:rsidRDefault="00A976BF">
      <w:pPr>
        <w:pStyle w:val="NormalWeb"/>
        <w:rPr>
          <w:lang w:val="tr-TR"/>
        </w:rPr>
      </w:pPr>
      <w:r>
        <w:rPr>
          <w:color w:val="000000"/>
          <w:shd w:val="clear" w:color="auto" w:fill="FFFFFF"/>
        </w:rPr>
        <w:t>Prognosis for most otherwise healthy patients with uncomplicated appendicitis is good. Patients with perforation are at much higher risk for postoperative</w:t>
      </w:r>
      <w:r>
        <w:rPr>
          <w:color w:val="000000"/>
          <w:shd w:val="clear" w:color="auto" w:fill="FFFFFF"/>
          <w:lang w:val="tr-TR"/>
        </w:rPr>
        <w:t xml:space="preserve"> </w:t>
      </w:r>
      <w:r>
        <w:rPr>
          <w:color w:val="000000"/>
          <w:shd w:val="clear" w:color="auto" w:fill="FFFFFF"/>
        </w:rPr>
        <w:t>complications (20%-30%)</w:t>
      </w:r>
      <w:r>
        <w:rPr>
          <w:color w:val="000000"/>
          <w:shd w:val="clear" w:color="auto" w:fill="FFFFFF"/>
          <w:lang w:val="tr-TR"/>
        </w:rPr>
        <w:t xml:space="preserve"> </w:t>
      </w:r>
      <w:r>
        <w:rPr>
          <w:color w:val="000000"/>
          <w:shd w:val="clear" w:color="auto" w:fill="FFFFFF"/>
        </w:rPr>
        <w:t>[</w:t>
      </w:r>
      <w:r>
        <w:rPr>
          <w:color w:val="000000"/>
          <w:shd w:val="clear" w:color="auto" w:fill="FFFFFF"/>
          <w:lang w:val="tr-TR"/>
        </w:rPr>
        <w:t>4</w:t>
      </w:r>
      <w:r>
        <w:rPr>
          <w:color w:val="000000"/>
          <w:shd w:val="clear" w:color="auto" w:fill="FFFFFF"/>
        </w:rPr>
        <w:t>]</w:t>
      </w:r>
      <w:r>
        <w:rPr>
          <w:color w:val="000000"/>
          <w:shd w:val="clear" w:color="auto" w:fill="FFFFFF"/>
          <w:lang w:val="tr-TR"/>
        </w:rPr>
        <w:t xml:space="preserve">. </w:t>
      </w:r>
      <w:r>
        <w:t xml:space="preserve">It is </w:t>
      </w:r>
      <w:proofErr w:type="spellStart"/>
      <w:r>
        <w:t>hypothesised</w:t>
      </w:r>
      <w:proofErr w:type="spellEnd"/>
      <w:r>
        <w:t xml:space="preserve"> that a biofilm containing bacteria-bacteriophage comp</w:t>
      </w:r>
      <w:r>
        <w:t>lexes found in the appendix can re-inoculate the terminal ileum and proximal colon with gut flora when the gut microbiome becomes imbalanced due to life stressors, dietary choices or antibiotics</w:t>
      </w:r>
      <w:r>
        <w:rPr>
          <w:lang w:val="tr-TR"/>
        </w:rPr>
        <w:t xml:space="preserve"> </w:t>
      </w:r>
      <w:r>
        <w:t>[</w:t>
      </w:r>
      <w:r>
        <w:rPr>
          <w:lang w:val="tr-TR"/>
        </w:rPr>
        <w:t>5</w:t>
      </w:r>
      <w:r>
        <w:t>].</w:t>
      </w:r>
      <w:r>
        <w:rPr>
          <w:lang w:val="tr-TR"/>
        </w:rPr>
        <w:t xml:space="preserve"> </w:t>
      </w:r>
      <w:r>
        <w:rPr>
          <w:color w:val="000000"/>
        </w:rPr>
        <w:t>Despite its benefits, appendectomy puts patients at risk</w:t>
      </w:r>
      <w:r>
        <w:rPr>
          <w:color w:val="000000"/>
        </w:rPr>
        <w:t xml:space="preserve"> for intraoperative and postoperative complications. The overall complication rate of appendectomy ranges from 3% to 8%, with one study reporting serious complications (infections (organ space infection, deep incisional infection, pneumonia, urinary tract </w:t>
      </w:r>
      <w:r>
        <w:rPr>
          <w:color w:val="000000"/>
        </w:rPr>
        <w:t>infection) wound disruption,</w:t>
      </w:r>
      <w:r>
        <w:rPr>
          <w:color w:val="000000"/>
          <w:lang w:val="tr-TR"/>
        </w:rPr>
        <w:t xml:space="preserve"> </w:t>
      </w:r>
      <w:r>
        <w:rPr>
          <w:color w:val="000000"/>
        </w:rPr>
        <w:t>unplanned intubation, venous thromboembolism, acute renal failure, septic shock, myocardial infarction, or cardiac arrest) in 2.2% of patients</w:t>
      </w:r>
      <w:r>
        <w:rPr>
          <w:color w:val="000000"/>
          <w:lang w:val="tr-TR"/>
        </w:rPr>
        <w:t xml:space="preserve"> </w:t>
      </w:r>
      <w:r>
        <w:rPr>
          <w:color w:val="000000"/>
        </w:rPr>
        <w:t>[</w:t>
      </w:r>
      <w:r>
        <w:rPr>
          <w:color w:val="000000"/>
          <w:lang w:val="tr-TR"/>
        </w:rPr>
        <w:t>6</w:t>
      </w:r>
      <w:r>
        <w:rPr>
          <w:color w:val="000000"/>
        </w:rPr>
        <w:t>-</w:t>
      </w:r>
      <w:r>
        <w:rPr>
          <w:color w:val="000000"/>
          <w:lang w:val="tr-TR"/>
        </w:rPr>
        <w:t>8</w:t>
      </w:r>
      <w:r>
        <w:rPr>
          <w:color w:val="000000"/>
        </w:rPr>
        <w:t>].</w:t>
      </w:r>
      <w:r>
        <w:rPr>
          <w:color w:val="000000"/>
          <w:lang w:val="tr-TR"/>
        </w:rPr>
        <w:t xml:space="preserve"> </w:t>
      </w:r>
      <w:r>
        <w:t xml:space="preserve">For these reasons, the feasibility of antibiotic stewardship in hospitalized </w:t>
      </w:r>
      <w:r>
        <w:t>or outpatient settings is being investigated [</w:t>
      </w:r>
      <w:r>
        <w:rPr>
          <w:lang w:val="tr-TR"/>
        </w:rPr>
        <w:t>9</w:t>
      </w:r>
      <w:r>
        <w:t>].</w:t>
      </w:r>
      <w:r>
        <w:rPr>
          <w:color w:val="000000"/>
          <w:lang w:val="tr-TR"/>
        </w:rPr>
        <w:t xml:space="preserve"> </w:t>
      </w:r>
    </w:p>
    <w:p w14:paraId="608D21A1" w14:textId="77777777" w:rsidR="004E592B" w:rsidRDefault="00A976BF">
      <w:pPr>
        <w:pStyle w:val="NormalWeb"/>
        <w:rPr>
          <w:color w:val="000000"/>
          <w:lang w:val="tr-TR"/>
        </w:rPr>
      </w:pPr>
      <w:r>
        <w:t>Whilst non-</w:t>
      </w:r>
      <w:r>
        <w:rPr>
          <w:lang w:val="tr-TR"/>
        </w:rPr>
        <w:t>operative management</w:t>
      </w:r>
      <w:r>
        <w:t xml:space="preserve"> </w:t>
      </w:r>
      <w:r>
        <w:rPr>
          <w:lang w:val="tr-TR"/>
        </w:rPr>
        <w:t xml:space="preserve">(NOM) </w:t>
      </w:r>
      <w:r>
        <w:t>protects patients from surgical complications, it should be noted that there are other risks associated with this treatment.</w:t>
      </w:r>
      <w:r>
        <w:rPr>
          <w:lang w:val="tr-TR"/>
        </w:rPr>
        <w:t xml:space="preserve"> </w:t>
      </w:r>
      <w:r>
        <w:t>The most significant of these risks, which</w:t>
      </w:r>
      <w:r>
        <w:t xml:space="preserve"> ultimately necessitate surgical intervention, are treatment failure and recurrent appendicitis.</w:t>
      </w:r>
      <w:r>
        <w:rPr>
          <w:lang w:val="tr-TR"/>
        </w:rPr>
        <w:t xml:space="preserve"> </w:t>
      </w:r>
      <w:r>
        <w:t xml:space="preserve">Treatment failure is observed in 2% to 6% of patients undergoing a trial of </w:t>
      </w:r>
      <w:r>
        <w:rPr>
          <w:lang w:val="tr-TR"/>
        </w:rPr>
        <w:t>NOM</w:t>
      </w:r>
      <w:r>
        <w:t>.</w:t>
      </w:r>
      <w:r>
        <w:rPr>
          <w:lang w:val="tr-TR"/>
        </w:rPr>
        <w:t xml:space="preserve"> The most important elucidated risk factor for treatment failure is the presenc</w:t>
      </w:r>
      <w:r>
        <w:rPr>
          <w:lang w:val="tr-TR"/>
        </w:rPr>
        <w:t xml:space="preserve">e of faecalitis or appendicolitis </w:t>
      </w:r>
      <w:r>
        <w:t>[</w:t>
      </w:r>
      <w:r>
        <w:rPr>
          <w:lang w:val="tr-TR"/>
        </w:rPr>
        <w:t>10,11</w:t>
      </w:r>
      <w:r>
        <w:t>]</w:t>
      </w:r>
      <w:r>
        <w:rPr>
          <w:lang w:val="tr-TR"/>
        </w:rPr>
        <w:t>.</w:t>
      </w:r>
      <w:r>
        <w:t xml:space="preserve"> Approximately 25% of </w:t>
      </w:r>
      <w:r>
        <w:rPr>
          <w:lang w:val="tr-TR"/>
        </w:rPr>
        <w:t>NOM</w:t>
      </w:r>
      <w:r>
        <w:t xml:space="preserve"> patients require an appendectomy during the first year after presentation, and approximately 40% receive an appendectomy during the first five years</w:t>
      </w:r>
      <w:r>
        <w:rPr>
          <w:lang w:val="tr-TR"/>
        </w:rPr>
        <w:t xml:space="preserve"> </w:t>
      </w:r>
      <w:r>
        <w:t>[</w:t>
      </w:r>
      <w:r>
        <w:rPr>
          <w:lang w:val="tr-TR"/>
        </w:rPr>
        <w:t>7,8,12</w:t>
      </w:r>
      <w:r>
        <w:t>].</w:t>
      </w:r>
    </w:p>
    <w:p w14:paraId="214FF4B6" w14:textId="77777777" w:rsidR="004E592B" w:rsidRDefault="00A976BF">
      <w:pPr>
        <w:pStyle w:val="NormalWeb"/>
      </w:pPr>
      <w:r>
        <w:t>A number of studies have exam</w:t>
      </w:r>
      <w:r>
        <w:t>ined the diagnostic process for AA, with a smaller number concentrating on differentiating between uncomplicated and complicated disease. The diagnosis of uncomplicated and complicated acute appendicitis is a critical decision point, as it has a significan</w:t>
      </w:r>
      <w:r>
        <w:t>t impact on prognosis [</w:t>
      </w:r>
      <w:r>
        <w:rPr>
          <w:lang w:val="tr-TR"/>
        </w:rPr>
        <w:t>13</w:t>
      </w:r>
      <w:r>
        <w:t>].</w:t>
      </w:r>
    </w:p>
    <w:p w14:paraId="136B9EB8" w14:textId="77777777" w:rsidR="004E592B" w:rsidRDefault="00A976BF">
      <w:pPr>
        <w:pStyle w:val="NormalWeb"/>
        <w:rPr>
          <w:lang w:val="tr-TR"/>
        </w:rPr>
      </w:pPr>
      <w:r>
        <w:t>The Karaman score (KS) is easy to apply and does not require expertise. It is based on the patient's symptoms (right iliac fossa pain, loss of appetite), findings (rebound or tenderness in the right iliac fossa, peritoneal irrit</w:t>
      </w:r>
      <w:r>
        <w:t xml:space="preserve">ation in the right iliac fossa with severe cough), and laboratory </w:t>
      </w:r>
      <w:r>
        <w:lastRenderedPageBreak/>
        <w:t xml:space="preserve">tests (white blood cell count &gt;10,000/mm³, polymorphonuclear leukocytes &gt;70%). Two points </w:t>
      </w:r>
      <w:r>
        <w:rPr>
          <w:lang w:val="tr-TR"/>
        </w:rPr>
        <w:t>get added</w:t>
      </w:r>
      <w:r>
        <w:t xml:space="preserve"> for each positive parameter and one point deducted for each negative parameter. The maximu</w:t>
      </w:r>
      <w:r>
        <w:t>m number of points for diagnosis is 12, and the minimum is -6 points</w:t>
      </w:r>
      <w:r>
        <w:rPr>
          <w:lang w:val="tr-TR"/>
        </w:rPr>
        <w:t xml:space="preserve"> (Table-1)</w:t>
      </w:r>
      <w:r>
        <w:t>.</w:t>
      </w:r>
      <w:r>
        <w:rPr>
          <w:lang w:val="tr-TR"/>
        </w:rPr>
        <w:t xml:space="preserve"> </w:t>
      </w:r>
      <w:r>
        <w:t xml:space="preserve">The objective of this new diagnostic instrument is to differentiate </w:t>
      </w:r>
      <w:r>
        <w:rPr>
          <w:lang w:val="tr-TR"/>
        </w:rPr>
        <w:t>AA</w:t>
      </w:r>
      <w:r>
        <w:t xml:space="preserve"> from negative appendectomy</w:t>
      </w:r>
      <w:r>
        <w:rPr>
          <w:lang w:val="tr-TR"/>
        </w:rPr>
        <w:t xml:space="preserve"> </w:t>
      </w:r>
      <w:r>
        <w:t>[</w:t>
      </w:r>
      <w:r>
        <w:rPr>
          <w:lang w:val="tr-TR"/>
        </w:rPr>
        <w:t>14</w:t>
      </w:r>
      <w:r>
        <w:t>].</w:t>
      </w:r>
    </w:p>
    <w:p w14:paraId="22B4BFF4" w14:textId="77777777" w:rsidR="004E592B" w:rsidRDefault="00A976BF">
      <w:pPr>
        <w:pStyle w:val="NormalWeb"/>
      </w:pPr>
      <w:r>
        <w:t>KS is considered a reliable method for distinguishing negative appendect</w:t>
      </w:r>
      <w:r>
        <w:t>omy. This study aims to contribute to the literature by determining whether KS is useful in NOM decision-making and distinguishing complicated AA.</w:t>
      </w:r>
    </w:p>
    <w:p w14:paraId="0B34B595" w14:textId="77777777" w:rsidR="004E592B" w:rsidRDefault="00A976BF">
      <w:pPr>
        <w:pStyle w:val="NormalWeb"/>
        <w:rPr>
          <w:lang w:val="tr-TR"/>
        </w:rPr>
      </w:pPr>
      <w:r>
        <w:rPr>
          <w:b/>
          <w:bCs/>
          <w:lang w:val="tr-TR"/>
        </w:rPr>
        <w:t>Materials and Methods:</w:t>
      </w:r>
    </w:p>
    <w:p w14:paraId="0026C29D" w14:textId="77777777" w:rsidR="004E592B" w:rsidRDefault="00A976BF">
      <w:pPr>
        <w:pStyle w:val="NormalWeb"/>
        <w:rPr>
          <w:color w:val="000000"/>
        </w:rPr>
      </w:pPr>
      <w:r>
        <w:t xml:space="preserve">This prospective study was conducted in accordance with the Declaration of Helsinki </w:t>
      </w:r>
      <w:r>
        <w:t>after obtaining the approval of Firat University Clinical Research Ethics Committee</w:t>
      </w:r>
      <w:r>
        <w:rPr>
          <w:lang w:val="tr-TR"/>
        </w:rPr>
        <w:t xml:space="preserve"> (2023/04-07, 09.03.2023)</w:t>
      </w:r>
      <w:r>
        <w:t>.</w:t>
      </w:r>
      <w:r>
        <w:rPr>
          <w:lang w:val="tr-TR"/>
        </w:rPr>
        <w:t xml:space="preserve"> </w:t>
      </w:r>
      <w:r>
        <w:rPr>
          <w:color w:val="000000"/>
          <w:lang w:val="tr-TR"/>
        </w:rPr>
        <w:t>We</w:t>
      </w:r>
      <w:r>
        <w:rPr>
          <w:color w:val="000000"/>
        </w:rPr>
        <w:t xml:space="preserve"> planned</w:t>
      </w:r>
      <w:r>
        <w:rPr>
          <w:color w:val="000000"/>
          <w:lang w:val="tr-TR"/>
        </w:rPr>
        <w:t xml:space="preserve"> this</w:t>
      </w:r>
      <w:r>
        <w:rPr>
          <w:color w:val="000000"/>
        </w:rPr>
        <w:t xml:space="preserve"> study in the emergency department of a tertiary </w:t>
      </w:r>
      <w:r>
        <w:rPr>
          <w:color w:val="000000"/>
          <w:lang w:val="tr-TR"/>
        </w:rPr>
        <w:t>research and training</w:t>
      </w:r>
      <w:r>
        <w:rPr>
          <w:color w:val="000000"/>
        </w:rPr>
        <w:t xml:space="preserve"> hospital, to which approximately </w:t>
      </w:r>
      <w:r>
        <w:rPr>
          <w:color w:val="000000"/>
          <w:lang w:val="tr-TR"/>
        </w:rPr>
        <w:t>5</w:t>
      </w:r>
      <w:r>
        <w:rPr>
          <w:color w:val="000000"/>
        </w:rPr>
        <w:t>00.000 patients applied an</w:t>
      </w:r>
      <w:r>
        <w:rPr>
          <w:color w:val="000000"/>
        </w:rPr>
        <w:t>nually.</w:t>
      </w:r>
    </w:p>
    <w:p w14:paraId="794CE318" w14:textId="15A337E2" w:rsidR="002E1F9E" w:rsidRDefault="002E1F9E">
      <w:pPr>
        <w:pStyle w:val="NormalWeb"/>
        <w:rPr>
          <w:color w:val="000000"/>
        </w:rPr>
      </w:pPr>
      <w:r w:rsidRPr="002E1F9E">
        <w:rPr>
          <w:color w:val="000000"/>
        </w:rPr>
        <w:t>The sample size was estimated using the G*Power software (version 3.1). The primary outcome variable for the calculation was the presence of complicated appendicitis, which is a categorical outcome. Due to the limited availability of prior prospective data evaluating the prognostic performance of the K</w:t>
      </w:r>
      <w:r w:rsidR="00867580">
        <w:rPr>
          <w:color w:val="000000"/>
        </w:rPr>
        <w:t>S</w:t>
      </w:r>
      <w:r w:rsidRPr="002E1F9E">
        <w:rPr>
          <w:color w:val="000000"/>
        </w:rPr>
        <w:t xml:space="preserve"> for complicated appendicitis, a large effect size was assumed based on clinically meaningful differences reported in previous appendicitis-related prognostic studies. Using a power of 90% and a two-sided alpha level of 0.05, the minimum required sample size was calculated as 62 patients. Considering potential dropouts, a total of 69 patients were ultimately included in the study. This approach and its limitations have been acknowledged in the interpretation of the results.</w:t>
      </w:r>
    </w:p>
    <w:p w14:paraId="53066652" w14:textId="5FAC8A92" w:rsidR="004E592B" w:rsidRDefault="00A976BF">
      <w:pPr>
        <w:pStyle w:val="NormalWeb"/>
        <w:rPr>
          <w:color w:val="000000"/>
        </w:rPr>
      </w:pPr>
      <w:r>
        <w:rPr>
          <w:color w:val="000000"/>
        </w:rPr>
        <w:t>According to the Oxford Centre for Evidence-Based Medicine Levels of Evidence, this prospective cohort study provides Level 2b evidence.</w:t>
      </w:r>
    </w:p>
    <w:p w14:paraId="37903CCB" w14:textId="3246CEBC" w:rsidR="004E592B" w:rsidRDefault="002E1F9E">
      <w:pPr>
        <w:pStyle w:val="NormalWeb"/>
      </w:pPr>
      <w:r w:rsidRPr="002E1F9E">
        <w:t>Participants were excluded from the study if they were pregnant, undergoing immunotherapy, steroid or hormone therapy, admitted due to trauma, had active cancer, were under 18 years of age, or had recurrent appendicitis; however, patients with atypically located appendices (e.g., subhepatic appendicitis) were included in the study</w:t>
      </w:r>
      <w:r>
        <w:t>.</w:t>
      </w:r>
    </w:p>
    <w:p w14:paraId="33790BE4" w14:textId="77777777" w:rsidR="004E592B" w:rsidRDefault="00A976BF">
      <w:pPr>
        <w:pStyle w:val="NormalWeb"/>
        <w:rPr>
          <w:lang w:val="tr-TR"/>
        </w:rPr>
      </w:pPr>
      <w:r>
        <w:t>Emergency departme</w:t>
      </w:r>
      <w:r>
        <w:t>nt physicians were informed about the K</w:t>
      </w:r>
      <w:r>
        <w:rPr>
          <w:lang w:val="tr-TR"/>
        </w:rPr>
        <w:t>S</w:t>
      </w:r>
      <w:r>
        <w:t xml:space="preserve">. Subsequently, 69 patients who agreed to participate in the study and met the inclusion criteria were enrolled. Informed consent was obtained from each patient. The KS value for each patient was calculated by the </w:t>
      </w:r>
      <w:r>
        <w:lastRenderedPageBreak/>
        <w:t>em</w:t>
      </w:r>
      <w:r>
        <w:t>ergency department physician who first evaluated the patient.</w:t>
      </w:r>
      <w:r>
        <w:rPr>
          <w:lang w:val="tr-TR"/>
        </w:rPr>
        <w:t xml:space="preserve"> </w:t>
      </w:r>
      <w:r>
        <w:t>The surgeons were not informed about the study. Consequently, the selection of treatment was exclusively determined by the surgeons' recommendations and the patient's ultimate decision.</w:t>
      </w:r>
    </w:p>
    <w:p w14:paraId="45CA02FE" w14:textId="77777777" w:rsidR="004E592B" w:rsidRDefault="00A976BF">
      <w:pPr>
        <w:pStyle w:val="NormalWeb"/>
        <w:rPr>
          <w:lang w:val="tr-TR"/>
        </w:rPr>
      </w:pPr>
      <w:r>
        <w:t>The demo</w:t>
      </w:r>
      <w:r>
        <w:t>graphic data collected included only age and gender.</w:t>
      </w:r>
      <w:r>
        <w:rPr>
          <w:lang w:val="tr-TR"/>
        </w:rPr>
        <w:t xml:space="preserve"> </w:t>
      </w:r>
    </w:p>
    <w:p w14:paraId="71E1A9F4" w14:textId="30FC396D" w:rsidR="004E592B" w:rsidRDefault="00A976BF">
      <w:pPr>
        <w:pStyle w:val="NormalWeb"/>
        <w:rPr>
          <w:lang w:val="tr-TR"/>
        </w:rPr>
      </w:pPr>
      <w:r>
        <w:t xml:space="preserve">The patients </w:t>
      </w:r>
      <w:proofErr w:type="spellStart"/>
      <w:r>
        <w:t>hospitalised</w:t>
      </w:r>
      <w:proofErr w:type="spellEnd"/>
      <w:r>
        <w:t xml:space="preserve"> due to a diagnosis of </w:t>
      </w:r>
      <w:r>
        <w:rPr>
          <w:lang w:val="tr-TR"/>
        </w:rPr>
        <w:t>AA</w:t>
      </w:r>
      <w:r>
        <w:t xml:space="preserve"> were initially divided into two categories: surgical and </w:t>
      </w:r>
      <w:r>
        <w:rPr>
          <w:lang w:val="tr-TR"/>
        </w:rPr>
        <w:t>NOM</w:t>
      </w:r>
      <w:r>
        <w:t>.</w:t>
      </w:r>
      <w:r>
        <w:rPr>
          <w:lang w:val="tr-TR"/>
        </w:rPr>
        <w:t xml:space="preserve"> </w:t>
      </w:r>
      <w:r>
        <w:t>The research commenced with a comprehensive statistical analysis of the criteria that con</w:t>
      </w:r>
      <w:r>
        <w:t>stitute the K</w:t>
      </w:r>
      <w:r>
        <w:rPr>
          <w:lang w:val="tr-TR"/>
        </w:rPr>
        <w:t>S</w:t>
      </w:r>
      <w:r>
        <w:t xml:space="preserve"> in predicting surgical treatment.</w:t>
      </w:r>
      <w:r>
        <w:rPr>
          <w:lang w:val="tr-TR"/>
        </w:rPr>
        <w:t xml:space="preserve"> </w:t>
      </w:r>
    </w:p>
    <w:p w14:paraId="0B9C86B5" w14:textId="77777777" w:rsidR="00AA3F4D" w:rsidRDefault="00A976BF" w:rsidP="00AA3F4D">
      <w:pPr>
        <w:pStyle w:val="NormalWeb"/>
      </w:pPr>
      <w:r>
        <w:t xml:space="preserve">In instances where surgical intervention was not undertaken </w:t>
      </w:r>
      <w:r w:rsidR="00AA3F4D">
        <w:t xml:space="preserve">or </w:t>
      </w:r>
      <w:r>
        <w:t>pathological examination did not reveal the presence of phlegmonous perforation, gangrene, or an abscess, the diagnosis was deemed to be uncomp</w:t>
      </w:r>
      <w:r>
        <w:t xml:space="preserve">licated </w:t>
      </w:r>
      <w:r>
        <w:rPr>
          <w:lang w:val="tr-TR"/>
        </w:rPr>
        <w:t>AA</w:t>
      </w:r>
      <w:r>
        <w:t xml:space="preserve">. </w:t>
      </w:r>
    </w:p>
    <w:p w14:paraId="15A2099E" w14:textId="7015072B" w:rsidR="00AA3F4D" w:rsidRDefault="00AA3F4D" w:rsidP="00AA3F4D">
      <w:pPr>
        <w:pStyle w:val="NormalWeb"/>
      </w:pPr>
      <w:r>
        <w:t xml:space="preserve">Surgical management consisted of appendectomy performed using either laparoscopic or open techniques, based on the surgeon’s discretion and clinical conditions. NOM intravenous antibiotic therapy, close clinical monitoring, and reassessment during </w:t>
      </w:r>
      <w:proofErr w:type="spellStart"/>
      <w:r>
        <w:t>hospitalisation</w:t>
      </w:r>
      <w:proofErr w:type="spellEnd"/>
      <w:r>
        <w:t>.</w:t>
      </w:r>
    </w:p>
    <w:p w14:paraId="0457AB7F" w14:textId="77777777" w:rsidR="00AA3F4D" w:rsidRDefault="00AA3F4D" w:rsidP="00AA3F4D">
      <w:pPr>
        <w:pStyle w:val="NormalWeb"/>
      </w:pPr>
    </w:p>
    <w:p w14:paraId="7941F41E" w14:textId="325AEA59" w:rsidR="004E592B" w:rsidRDefault="00AA3F4D" w:rsidP="00AA3F4D">
      <w:pPr>
        <w:pStyle w:val="NormalWeb"/>
      </w:pPr>
      <w:r>
        <w:t xml:space="preserve">Computed tomography and ultrasonography were interpreted by experienced radiologists. Radiological findings suggestive of acute appendicitis included appendiceal diameter enlargement, wall thickening, </w:t>
      </w:r>
      <w:proofErr w:type="spellStart"/>
      <w:r>
        <w:t>periappendiceal</w:t>
      </w:r>
      <w:proofErr w:type="spellEnd"/>
      <w:r>
        <w:t xml:space="preserve"> fat stranding, and the presence of free fluid or abscess formation. Imaging findings were used as part of the overall clinical assessment.</w:t>
      </w:r>
    </w:p>
    <w:p w14:paraId="723F141D" w14:textId="77777777" w:rsidR="004E592B" w:rsidRDefault="00A976BF">
      <w:pPr>
        <w:pStyle w:val="NormalWeb"/>
        <w:rPr>
          <w:lang w:val="tr-TR"/>
        </w:rPr>
      </w:pPr>
      <w:r>
        <w:rPr>
          <w:lang w:val="tr-TR"/>
        </w:rPr>
        <w:t>Platelet distribution width (PDW), mean platelet volume (MPV), C-reactive protein (CRP) values, neutrophil count, lymphocyte count, n</w:t>
      </w:r>
      <w:r>
        <w:rPr>
          <w:lang w:val="tr-TR"/>
        </w:rPr>
        <w:t xml:space="preserve">eutrophil to lymphocyte ratio, length of hospital stay and KS values of surgical and NOM cases, simple and complicated cases were statistically compared. </w:t>
      </w:r>
    </w:p>
    <w:p w14:paraId="78F3880E" w14:textId="77777777" w:rsidR="004E592B" w:rsidRDefault="00A976BF">
      <w:pPr>
        <w:pStyle w:val="NormalWeb"/>
        <w:rPr>
          <w:b/>
          <w:bCs/>
          <w:color w:val="000000"/>
          <w:lang w:val="tr-TR"/>
        </w:rPr>
      </w:pPr>
      <w:r>
        <w:rPr>
          <w:b/>
          <w:bCs/>
          <w:color w:val="000000"/>
          <w:lang w:val="tr-TR"/>
        </w:rPr>
        <w:t>Statistical Analysis:</w:t>
      </w:r>
    </w:p>
    <w:p w14:paraId="31B7741A" w14:textId="77777777" w:rsidR="004E592B" w:rsidRDefault="00A976BF">
      <w:pPr>
        <w:pStyle w:val="NormalWeb"/>
        <w:rPr>
          <w:color w:val="202124"/>
          <w:lang w:val="tr-TR"/>
        </w:rPr>
      </w:pPr>
      <w:proofErr w:type="spellStart"/>
      <w:r>
        <w:rPr>
          <w:color w:val="000000"/>
        </w:rPr>
        <w:t>Datas</w:t>
      </w:r>
      <w:proofErr w:type="spellEnd"/>
      <w:r>
        <w:rPr>
          <w:color w:val="000000"/>
        </w:rPr>
        <w:t xml:space="preserve"> were analyzed using SPSS (IBM Corp. Released 2013. IBM SPSS Statistics for Windows, Version 22.0. Armonk, NY: IBM Corp.). </w:t>
      </w:r>
      <w:r>
        <w:rPr>
          <w:color w:val="202124"/>
        </w:rPr>
        <w:t xml:space="preserve">Continuous variables </w:t>
      </w:r>
      <w:r>
        <w:rPr>
          <w:color w:val="202124"/>
          <w:lang w:val="tr-TR"/>
        </w:rPr>
        <w:t>are</w:t>
      </w:r>
      <w:r>
        <w:rPr>
          <w:color w:val="202124"/>
        </w:rPr>
        <w:t xml:space="preserve"> expressed as m</w:t>
      </w:r>
      <w:r>
        <w:rPr>
          <w:color w:val="202124"/>
          <w:lang w:val="tr-TR"/>
        </w:rPr>
        <w:t>edian (min-max)</w:t>
      </w:r>
      <w:r>
        <w:rPr>
          <w:color w:val="202124"/>
        </w:rPr>
        <w:t xml:space="preserve">. Categorical data were expressed as number and percentages. </w:t>
      </w:r>
      <w:r>
        <w:rPr>
          <w:color w:val="202124"/>
          <w:lang w:val="tr-TR"/>
        </w:rPr>
        <w:t>The c</w:t>
      </w:r>
      <w:r>
        <w:rPr>
          <w:color w:val="202124"/>
        </w:rPr>
        <w:t>hi-square tes</w:t>
      </w:r>
      <w:r>
        <w:rPr>
          <w:color w:val="202124"/>
        </w:rPr>
        <w:t xml:space="preserve">t was used to compare categorical variables and </w:t>
      </w:r>
      <w:r>
        <w:rPr>
          <w:color w:val="202124"/>
          <w:lang w:val="tr-TR"/>
        </w:rPr>
        <w:t xml:space="preserve">the </w:t>
      </w:r>
      <w:r>
        <w:rPr>
          <w:color w:val="202124"/>
        </w:rPr>
        <w:t>Mann Whitney</w:t>
      </w:r>
      <w:r>
        <w:rPr>
          <w:color w:val="202124"/>
          <w:lang w:val="tr-TR"/>
        </w:rPr>
        <w:t xml:space="preserve"> </w:t>
      </w:r>
      <w:r>
        <w:rPr>
          <w:color w:val="202124"/>
        </w:rPr>
        <w:t xml:space="preserve">U test was used to compare continuous variables that </w:t>
      </w:r>
      <w:r>
        <w:rPr>
          <w:color w:val="202124"/>
          <w:lang w:val="tr-TR"/>
        </w:rPr>
        <w:t>we</w:t>
      </w:r>
      <w:r>
        <w:rPr>
          <w:color w:val="202124"/>
        </w:rPr>
        <w:t xml:space="preserve">re non-normally disturbed </w:t>
      </w:r>
      <w:r>
        <w:rPr>
          <w:color w:val="202124"/>
        </w:rPr>
        <w:lastRenderedPageBreak/>
        <w:t xml:space="preserve">variables. </w:t>
      </w:r>
      <w:r>
        <w:t>The success of the K</w:t>
      </w:r>
      <w:r>
        <w:rPr>
          <w:lang w:val="tr-TR"/>
        </w:rPr>
        <w:t>S</w:t>
      </w:r>
      <w:r>
        <w:t xml:space="preserve"> in predicting surgical treatment was </w:t>
      </w:r>
      <w:proofErr w:type="spellStart"/>
      <w:r>
        <w:t>analysed</w:t>
      </w:r>
      <w:proofErr w:type="spellEnd"/>
      <w:r>
        <w:t xml:space="preserve"> using chi-square, </w:t>
      </w:r>
      <w:r>
        <w:rPr>
          <w:color w:val="202124"/>
        </w:rPr>
        <w:t>L</w:t>
      </w:r>
      <w:r>
        <w:rPr>
          <w:color w:val="000000"/>
        </w:rPr>
        <w:t>ogistic Regr</w:t>
      </w:r>
      <w:r>
        <w:rPr>
          <w:color w:val="000000"/>
        </w:rPr>
        <w:t>ession Analysis (LRA)</w:t>
      </w:r>
      <w:r>
        <w:rPr>
          <w:color w:val="000000"/>
          <w:lang w:val="tr-TR"/>
        </w:rPr>
        <w:t>,</w:t>
      </w:r>
      <w:r>
        <w:t xml:space="preserve"> </w:t>
      </w:r>
      <w:r>
        <w:rPr>
          <w:color w:val="000000"/>
          <w:lang w:val="tr-TR"/>
        </w:rPr>
        <w:t>Receiver Operating Characteristics (ROC) Analysis and Area Under the Curve (AUC).</w:t>
      </w:r>
    </w:p>
    <w:p w14:paraId="65EDDC64" w14:textId="77777777" w:rsidR="004E592B" w:rsidRDefault="00A976BF">
      <w:pPr>
        <w:pStyle w:val="NormalWeb"/>
        <w:spacing w:before="240" w:beforeAutospacing="0" w:after="240" w:afterAutospacing="0"/>
        <w:rPr>
          <w:color w:val="000000"/>
          <w:lang w:val="tr-TR"/>
        </w:rPr>
      </w:pPr>
      <w:r>
        <w:rPr>
          <w:color w:val="000000"/>
        </w:rPr>
        <w:t>Statistical significance was set at p&lt;0.05</w:t>
      </w:r>
      <w:r>
        <w:rPr>
          <w:color w:val="000000"/>
          <w:lang w:val="tr-TR"/>
        </w:rPr>
        <w:t>.</w:t>
      </w:r>
    </w:p>
    <w:p w14:paraId="712CC516" w14:textId="77777777" w:rsidR="004E592B" w:rsidRDefault="00A976BF">
      <w:pPr>
        <w:pStyle w:val="NormalWeb"/>
        <w:rPr>
          <w:b/>
          <w:bCs/>
          <w:lang w:val="tr-TR"/>
        </w:rPr>
      </w:pPr>
      <w:r>
        <w:rPr>
          <w:b/>
          <w:bCs/>
          <w:lang w:val="tr-TR"/>
        </w:rPr>
        <w:t>Results:</w:t>
      </w:r>
    </w:p>
    <w:p w14:paraId="3556CCAE" w14:textId="77777777" w:rsidR="004A5598" w:rsidRPr="00BF3140" w:rsidRDefault="004A5598" w:rsidP="004A5598">
      <w:pPr>
        <w:widowControl w:val="0"/>
        <w:rPr>
          <w:rFonts w:ascii="Times New Roman" w:eastAsia="SimSun" w:hAnsi="Times New Roman" w:cs="Times New Roman"/>
          <w:sz w:val="24"/>
          <w:szCs w:val="24"/>
          <w:lang w:val="tr-TR"/>
        </w:rPr>
      </w:pPr>
      <w:r w:rsidRPr="004A5598">
        <w:rPr>
          <w:rFonts w:ascii="Times New Roman" w:eastAsia="SimSun" w:hAnsi="Times New Roman" w:cs="Times New Roman"/>
          <w:sz w:val="24"/>
          <w:szCs w:val="24"/>
          <w:lang w:val="tr-TR"/>
        </w:rPr>
        <w:t>After examination, investigation, and consultation, 51 patients (73.9%) diagnosed with acute appendicitis underwent surgery. Only one patient (2%) did not have appendicitis, while the remaining 50 patients (98%) had appendicitis or its complications (Table 2).</w:t>
      </w:r>
    </w:p>
    <w:p w14:paraId="65E25011" w14:textId="77777777" w:rsidR="004A5598" w:rsidRPr="004A5598" w:rsidRDefault="004A5598" w:rsidP="004A5598">
      <w:pPr>
        <w:widowControl w:val="0"/>
        <w:rPr>
          <w:rFonts w:ascii="Times New Roman" w:eastAsia="SimSun" w:hAnsi="Times New Roman" w:cs="Times New Roman"/>
          <w:sz w:val="24"/>
          <w:szCs w:val="24"/>
          <w:lang w:val="tr-TR"/>
        </w:rPr>
      </w:pPr>
    </w:p>
    <w:p w14:paraId="5DF6F5CB" w14:textId="77777777" w:rsidR="004A5598" w:rsidRPr="00BF3140" w:rsidRDefault="004A5598" w:rsidP="004A5598">
      <w:pPr>
        <w:widowControl w:val="0"/>
        <w:rPr>
          <w:rFonts w:ascii="Times New Roman" w:eastAsia="SimSun" w:hAnsi="Times New Roman" w:cs="Times New Roman"/>
          <w:sz w:val="24"/>
          <w:szCs w:val="24"/>
          <w:lang w:val="tr-TR"/>
        </w:rPr>
      </w:pPr>
      <w:r w:rsidRPr="004A5598">
        <w:rPr>
          <w:rFonts w:ascii="Times New Roman" w:eastAsia="SimSun" w:hAnsi="Times New Roman" w:cs="Times New Roman"/>
          <w:sz w:val="24"/>
          <w:szCs w:val="24"/>
          <w:lang w:val="tr-TR"/>
        </w:rPr>
        <w:t>Based on histopathological findings, 38 cases (58.8%) without perforation, gangrene, phlegmon, or abscess and without the need for surgical intervention were classified as uncomplicated appendicitis (Table 2).</w:t>
      </w:r>
    </w:p>
    <w:p w14:paraId="0247270B" w14:textId="77777777" w:rsidR="004A5598" w:rsidRPr="004A5598" w:rsidRDefault="004A5598" w:rsidP="004A5598">
      <w:pPr>
        <w:widowControl w:val="0"/>
        <w:rPr>
          <w:rFonts w:ascii="Times New Roman" w:eastAsia="SimSun" w:hAnsi="Times New Roman" w:cs="Times New Roman"/>
          <w:sz w:val="24"/>
          <w:szCs w:val="24"/>
          <w:lang w:val="tr-TR"/>
        </w:rPr>
      </w:pPr>
    </w:p>
    <w:p w14:paraId="66404AA1" w14:textId="77777777" w:rsidR="004A5598" w:rsidRPr="00BF3140" w:rsidRDefault="004A5598" w:rsidP="004A5598">
      <w:pPr>
        <w:widowControl w:val="0"/>
        <w:rPr>
          <w:rFonts w:ascii="Times New Roman" w:eastAsia="SimSun" w:hAnsi="Times New Roman" w:cs="Times New Roman"/>
          <w:sz w:val="24"/>
          <w:szCs w:val="24"/>
          <w:lang w:val="tr-TR"/>
        </w:rPr>
      </w:pPr>
      <w:r w:rsidRPr="004A5598">
        <w:rPr>
          <w:rFonts w:ascii="Times New Roman" w:eastAsia="SimSun" w:hAnsi="Times New Roman" w:cs="Times New Roman"/>
          <w:sz w:val="24"/>
          <w:szCs w:val="24"/>
          <w:lang w:val="tr-TR"/>
        </w:rPr>
        <w:t>Two patients (11.1%) initially managed non-operatively underwent surgery due to recurrence within one year; both cases were classified as uncomplicated appendicitis (Table 2).</w:t>
      </w:r>
    </w:p>
    <w:p w14:paraId="7BC0C14A" w14:textId="77777777" w:rsidR="004A5598" w:rsidRPr="004A5598" w:rsidRDefault="004A5598" w:rsidP="004A5598">
      <w:pPr>
        <w:widowControl w:val="0"/>
        <w:rPr>
          <w:rFonts w:ascii="Times New Roman" w:eastAsia="SimSun" w:hAnsi="Times New Roman" w:cs="Times New Roman"/>
          <w:sz w:val="24"/>
          <w:szCs w:val="24"/>
          <w:lang w:val="tr-TR"/>
        </w:rPr>
      </w:pPr>
    </w:p>
    <w:p w14:paraId="4B7BF32E" w14:textId="226B39DF" w:rsidR="004A5598" w:rsidRPr="00BF3140" w:rsidRDefault="004A5598" w:rsidP="004A5598">
      <w:pPr>
        <w:widowControl w:val="0"/>
        <w:rPr>
          <w:rFonts w:ascii="Times New Roman" w:eastAsia="SimSun" w:hAnsi="Times New Roman" w:cs="Times New Roman"/>
          <w:sz w:val="24"/>
          <w:szCs w:val="24"/>
          <w:lang w:val="tr-TR"/>
        </w:rPr>
      </w:pPr>
      <w:r w:rsidRPr="004A5598">
        <w:rPr>
          <w:rFonts w:ascii="Times New Roman" w:eastAsia="SimSun" w:hAnsi="Times New Roman" w:cs="Times New Roman"/>
          <w:sz w:val="24"/>
          <w:szCs w:val="24"/>
          <w:lang w:val="tr-TR"/>
        </w:rPr>
        <w:t>The sensitivity of CT was 100%, whereas the sensitivity of ultrasonography was 67.9%; this difference was statistically significant for CT but not for ultrasonography (Table 2).</w:t>
      </w:r>
    </w:p>
    <w:p w14:paraId="7FEC2C44" w14:textId="77777777" w:rsidR="004A5598" w:rsidRPr="004A5598" w:rsidRDefault="004A5598" w:rsidP="004A5598">
      <w:pPr>
        <w:widowControl w:val="0"/>
        <w:rPr>
          <w:rFonts w:ascii="Times New Roman" w:eastAsia="SimSun" w:hAnsi="Times New Roman" w:cs="Times New Roman"/>
          <w:sz w:val="24"/>
          <w:szCs w:val="24"/>
          <w:lang w:val="tr-TR"/>
        </w:rPr>
      </w:pPr>
    </w:p>
    <w:p w14:paraId="2E2BC5DB" w14:textId="5EE407CD" w:rsidR="004A5598" w:rsidRPr="00BF3140" w:rsidRDefault="004A5598" w:rsidP="004A5598">
      <w:pPr>
        <w:widowControl w:val="0"/>
        <w:rPr>
          <w:rFonts w:ascii="Times New Roman" w:eastAsia="SimSun" w:hAnsi="Times New Roman" w:cs="Times New Roman"/>
          <w:sz w:val="24"/>
          <w:szCs w:val="24"/>
          <w:lang w:val="tr-TR"/>
        </w:rPr>
      </w:pPr>
      <w:r w:rsidRPr="004A5598">
        <w:rPr>
          <w:rFonts w:ascii="Times New Roman" w:eastAsia="SimSun" w:hAnsi="Times New Roman" w:cs="Times New Roman"/>
          <w:sz w:val="24"/>
          <w:szCs w:val="24"/>
          <w:lang w:val="tr-TR"/>
        </w:rPr>
        <w:t>No statistically significant differences were observed between age or sex distribution with respect to treatment modality or the presence of complications</w:t>
      </w:r>
      <w:r w:rsidR="00BF3140" w:rsidRPr="00BF3140">
        <w:rPr>
          <w:rFonts w:ascii="Times New Roman" w:eastAsia="SimSun" w:hAnsi="Times New Roman" w:cs="Times New Roman"/>
          <w:sz w:val="24"/>
          <w:szCs w:val="24"/>
          <w:lang w:val="tr-TR"/>
        </w:rPr>
        <w:t xml:space="preserve">. </w:t>
      </w:r>
      <w:r w:rsidRPr="004A5598">
        <w:rPr>
          <w:rFonts w:ascii="Times New Roman" w:eastAsia="SimSun" w:hAnsi="Times New Roman" w:cs="Times New Roman"/>
          <w:sz w:val="24"/>
          <w:szCs w:val="24"/>
          <w:lang w:val="tr-TR"/>
        </w:rPr>
        <w:t>Length of hospital stay did not differ significantly between surgical and non-operative management groups; however, patients with complicated appendicitis had a significantly longer hospital stay compared with uncomplicated cases</w:t>
      </w:r>
      <w:r w:rsidR="00BF3140" w:rsidRPr="00BF3140">
        <w:rPr>
          <w:rFonts w:ascii="Times New Roman" w:eastAsia="SimSun" w:hAnsi="Times New Roman" w:cs="Times New Roman"/>
          <w:sz w:val="24"/>
          <w:szCs w:val="24"/>
          <w:lang w:val="tr-TR"/>
        </w:rPr>
        <w:t>. KS</w:t>
      </w:r>
      <w:r w:rsidRPr="004A5598">
        <w:rPr>
          <w:rFonts w:ascii="Times New Roman" w:eastAsia="SimSun" w:hAnsi="Times New Roman" w:cs="Times New Roman"/>
          <w:sz w:val="24"/>
          <w:szCs w:val="24"/>
          <w:lang w:val="tr-TR"/>
        </w:rPr>
        <w:t xml:space="preserve"> values were significantly higher in patients with complicated appendicitis compared with uncomplicated cases</w:t>
      </w:r>
      <w:r w:rsidR="00BF3140" w:rsidRPr="00BF3140">
        <w:rPr>
          <w:rFonts w:ascii="Times New Roman" w:eastAsia="SimSun" w:hAnsi="Times New Roman" w:cs="Times New Roman"/>
          <w:sz w:val="24"/>
          <w:szCs w:val="24"/>
          <w:lang w:val="tr-TR"/>
        </w:rPr>
        <w:t xml:space="preserve">. </w:t>
      </w:r>
      <w:r w:rsidRPr="004A5598">
        <w:rPr>
          <w:rFonts w:ascii="Times New Roman" w:eastAsia="SimSun" w:hAnsi="Times New Roman" w:cs="Times New Roman"/>
          <w:sz w:val="24"/>
          <w:szCs w:val="24"/>
          <w:lang w:val="tr-TR"/>
        </w:rPr>
        <w:t>C</w:t>
      </w:r>
      <w:r w:rsidR="00BF3140" w:rsidRPr="00BF3140">
        <w:rPr>
          <w:rFonts w:ascii="Times New Roman" w:eastAsia="SimSun" w:hAnsi="Times New Roman" w:cs="Times New Roman"/>
          <w:sz w:val="24"/>
          <w:szCs w:val="24"/>
          <w:lang w:val="tr-TR"/>
        </w:rPr>
        <w:t>RP</w:t>
      </w:r>
      <w:r w:rsidRPr="004A5598">
        <w:rPr>
          <w:rFonts w:ascii="Times New Roman" w:eastAsia="SimSun" w:hAnsi="Times New Roman" w:cs="Times New Roman"/>
          <w:sz w:val="24"/>
          <w:szCs w:val="24"/>
          <w:lang w:val="tr-TR"/>
        </w:rPr>
        <w:t xml:space="preserve"> levels were higher in patients undergoing surgery, although this difference did not reach statistical significance. In contrast, CRP levels were significantly higher in patients with complicated appendicitis than in those with uncomplicated disease</w:t>
      </w:r>
      <w:r w:rsidR="00BF3140" w:rsidRPr="00BF3140">
        <w:rPr>
          <w:rFonts w:ascii="Times New Roman" w:eastAsia="SimSun" w:hAnsi="Times New Roman" w:cs="Times New Roman"/>
          <w:sz w:val="24"/>
          <w:szCs w:val="24"/>
          <w:lang w:val="tr-TR"/>
        </w:rPr>
        <w:t xml:space="preserve">. </w:t>
      </w:r>
      <w:r w:rsidRPr="004A5598">
        <w:rPr>
          <w:rFonts w:ascii="Times New Roman" w:eastAsia="SimSun" w:hAnsi="Times New Roman" w:cs="Times New Roman"/>
          <w:sz w:val="24"/>
          <w:szCs w:val="24"/>
          <w:lang w:val="tr-TR"/>
        </w:rPr>
        <w:t xml:space="preserve">Neutrophil counts and </w:t>
      </w:r>
      <w:r w:rsidR="00BF3140" w:rsidRPr="00BF3140">
        <w:rPr>
          <w:rFonts w:ascii="Times New Roman" w:eastAsia="SimSun" w:hAnsi="Times New Roman" w:cs="Times New Roman"/>
          <w:sz w:val="24"/>
          <w:szCs w:val="24"/>
          <w:lang w:val="tr-TR"/>
        </w:rPr>
        <w:t>NLR</w:t>
      </w:r>
      <w:r w:rsidRPr="004A5598">
        <w:rPr>
          <w:rFonts w:ascii="Times New Roman" w:eastAsia="SimSun" w:hAnsi="Times New Roman" w:cs="Times New Roman"/>
          <w:sz w:val="24"/>
          <w:szCs w:val="24"/>
          <w:lang w:val="tr-TR"/>
        </w:rPr>
        <w:t xml:space="preserve"> were significantly higher in patients who underwent surgery compared with those managed non-operatively, as well as in patients with complicated appendicitis compared with uncomplicated cases</w:t>
      </w:r>
      <w:r w:rsidRPr="00BF3140">
        <w:rPr>
          <w:rFonts w:ascii="Times New Roman" w:eastAsia="SimSun" w:hAnsi="Times New Roman" w:cs="Times New Roman"/>
          <w:sz w:val="24"/>
          <w:szCs w:val="24"/>
          <w:lang w:val="tr-TR"/>
        </w:rPr>
        <w:t>.</w:t>
      </w:r>
      <w:r w:rsidR="00BF3140" w:rsidRPr="00BF3140">
        <w:rPr>
          <w:rFonts w:ascii="Times New Roman" w:eastAsia="SimSun" w:hAnsi="Times New Roman" w:cs="Times New Roman"/>
          <w:sz w:val="24"/>
          <w:szCs w:val="24"/>
          <w:lang w:val="tr-TR"/>
        </w:rPr>
        <w:t xml:space="preserve"> </w:t>
      </w:r>
      <w:r w:rsidRPr="004A5598">
        <w:rPr>
          <w:rFonts w:ascii="Times New Roman" w:eastAsia="SimSun" w:hAnsi="Times New Roman" w:cs="Times New Roman"/>
          <w:sz w:val="24"/>
          <w:szCs w:val="24"/>
          <w:lang w:val="tr-TR"/>
        </w:rPr>
        <w:t>P</w:t>
      </w:r>
      <w:r w:rsidRPr="00BF3140">
        <w:rPr>
          <w:rFonts w:ascii="Times New Roman" w:eastAsia="SimSun" w:hAnsi="Times New Roman" w:cs="Times New Roman"/>
          <w:sz w:val="24"/>
          <w:szCs w:val="24"/>
          <w:lang w:val="tr-TR"/>
        </w:rPr>
        <w:t>DW</w:t>
      </w:r>
      <w:r w:rsidRPr="004A5598">
        <w:rPr>
          <w:rFonts w:ascii="Times New Roman" w:eastAsia="SimSun" w:hAnsi="Times New Roman" w:cs="Times New Roman"/>
          <w:sz w:val="24"/>
          <w:szCs w:val="24"/>
          <w:lang w:val="tr-TR"/>
        </w:rPr>
        <w:t xml:space="preserve">, </w:t>
      </w:r>
      <w:r w:rsidRPr="00BF3140">
        <w:rPr>
          <w:rFonts w:ascii="Times New Roman" w:eastAsia="SimSun" w:hAnsi="Times New Roman" w:cs="Times New Roman"/>
          <w:sz w:val="24"/>
          <w:szCs w:val="24"/>
          <w:lang w:val="tr-TR"/>
        </w:rPr>
        <w:t>MPV</w:t>
      </w:r>
      <w:r w:rsidRPr="004A5598">
        <w:rPr>
          <w:rFonts w:ascii="Times New Roman" w:eastAsia="SimSun" w:hAnsi="Times New Roman" w:cs="Times New Roman"/>
          <w:sz w:val="24"/>
          <w:szCs w:val="24"/>
          <w:lang w:val="tr-TR"/>
        </w:rPr>
        <w:t>, and lymphocyte counts did not demonstrate statistically significant differences with respect to treatment modality or disease severity (Table 3).</w:t>
      </w:r>
    </w:p>
    <w:p w14:paraId="3E33D659" w14:textId="77777777" w:rsidR="004A5598" w:rsidRPr="004A5598" w:rsidRDefault="004A5598" w:rsidP="004A5598">
      <w:pPr>
        <w:widowControl w:val="0"/>
        <w:rPr>
          <w:rFonts w:ascii="Times New Roman" w:eastAsia="SimSun" w:hAnsi="Times New Roman" w:cs="Times New Roman"/>
          <w:sz w:val="24"/>
          <w:szCs w:val="24"/>
          <w:lang w:val="tr-TR"/>
        </w:rPr>
      </w:pPr>
    </w:p>
    <w:p w14:paraId="4C265AC6" w14:textId="44082B8B" w:rsidR="004A5598" w:rsidRPr="004A5598" w:rsidRDefault="004A5598" w:rsidP="004A5598">
      <w:pPr>
        <w:widowControl w:val="0"/>
        <w:rPr>
          <w:rFonts w:ascii="Times New Roman" w:eastAsia="SimSun" w:hAnsi="Times New Roman" w:cs="Times New Roman"/>
          <w:sz w:val="24"/>
          <w:szCs w:val="24"/>
          <w:lang w:val="tr-TR"/>
        </w:rPr>
      </w:pPr>
      <w:r w:rsidRPr="004A5598">
        <w:rPr>
          <w:rFonts w:ascii="Times New Roman" w:eastAsia="SimSun" w:hAnsi="Times New Roman" w:cs="Times New Roman"/>
          <w:sz w:val="24"/>
          <w:szCs w:val="24"/>
          <w:lang w:val="tr-TR"/>
        </w:rPr>
        <w:t>A K</w:t>
      </w:r>
      <w:r w:rsidR="009B1C94">
        <w:rPr>
          <w:rFonts w:ascii="Times New Roman" w:eastAsia="SimSun" w:hAnsi="Times New Roman" w:cs="Times New Roman"/>
          <w:sz w:val="24"/>
          <w:szCs w:val="24"/>
          <w:lang w:val="tr-TR"/>
        </w:rPr>
        <w:t>S</w:t>
      </w:r>
      <w:r w:rsidRPr="004A5598">
        <w:rPr>
          <w:rFonts w:ascii="Times New Roman" w:eastAsia="SimSun" w:hAnsi="Times New Roman" w:cs="Times New Roman"/>
          <w:sz w:val="24"/>
          <w:szCs w:val="24"/>
          <w:lang w:val="tr-TR"/>
        </w:rPr>
        <w:t xml:space="preserve"> ≥9 predicted the need for surgical treatment with a sensitivity of 70.6% and a specificity of 77.8% and was identified as a significant predictor of surgical intervention</w:t>
      </w:r>
      <w:r w:rsidR="00BF3140" w:rsidRPr="00BF3140">
        <w:rPr>
          <w:rFonts w:ascii="Times New Roman" w:eastAsia="SimSun" w:hAnsi="Times New Roman" w:cs="Times New Roman"/>
          <w:sz w:val="24"/>
          <w:szCs w:val="24"/>
          <w:lang w:val="tr-TR"/>
        </w:rPr>
        <w:t xml:space="preserve">. </w:t>
      </w:r>
      <w:r w:rsidRPr="004A5598">
        <w:rPr>
          <w:rFonts w:ascii="Times New Roman" w:eastAsia="SimSun" w:hAnsi="Times New Roman" w:cs="Times New Roman"/>
          <w:sz w:val="24"/>
          <w:szCs w:val="24"/>
          <w:lang w:val="tr-TR"/>
        </w:rPr>
        <w:t>This threshold did not demonstrate a statistically significant association with complicated appendicitis. A K</w:t>
      </w:r>
      <w:r w:rsidR="009B1C94">
        <w:rPr>
          <w:rFonts w:ascii="Times New Roman" w:eastAsia="SimSun" w:hAnsi="Times New Roman" w:cs="Times New Roman"/>
          <w:sz w:val="24"/>
          <w:szCs w:val="24"/>
          <w:lang w:val="tr-TR"/>
        </w:rPr>
        <w:t>S</w:t>
      </w:r>
      <w:r w:rsidRPr="004A5598">
        <w:rPr>
          <w:rFonts w:ascii="Times New Roman" w:eastAsia="SimSun" w:hAnsi="Times New Roman" w:cs="Times New Roman"/>
          <w:sz w:val="24"/>
          <w:szCs w:val="24"/>
          <w:lang w:val="tr-TR"/>
        </w:rPr>
        <w:t xml:space="preserve"> </w:t>
      </w:r>
      <w:r w:rsidRPr="004A5598">
        <w:rPr>
          <w:rFonts w:ascii="Times New Roman" w:eastAsia="SimSun" w:hAnsi="Times New Roman" w:cs="Times New Roman"/>
          <w:sz w:val="24"/>
          <w:szCs w:val="24"/>
          <w:lang w:val="tr-TR"/>
        </w:rPr>
        <w:lastRenderedPageBreak/>
        <w:t>≥10, however, was significantly associated with the presence of complicated appendicitis.</w:t>
      </w:r>
      <w:r w:rsidR="00BF3140" w:rsidRPr="00BF3140">
        <w:rPr>
          <w:rFonts w:ascii="Times New Roman" w:eastAsia="SimSun" w:hAnsi="Times New Roman" w:cs="Times New Roman"/>
          <w:sz w:val="24"/>
          <w:szCs w:val="24"/>
          <w:lang w:val="tr-TR"/>
        </w:rPr>
        <w:t xml:space="preserve"> LRA</w:t>
      </w:r>
      <w:r w:rsidRPr="004A5598">
        <w:rPr>
          <w:rFonts w:ascii="Times New Roman" w:eastAsia="SimSun" w:hAnsi="Times New Roman" w:cs="Times New Roman"/>
          <w:sz w:val="24"/>
          <w:szCs w:val="24"/>
          <w:lang w:val="tr-TR"/>
        </w:rPr>
        <w:t xml:space="preserve"> demonstrated that a </w:t>
      </w:r>
      <w:r w:rsidR="00BF3140" w:rsidRPr="00BF3140">
        <w:rPr>
          <w:rFonts w:ascii="Times New Roman" w:eastAsia="SimSun" w:hAnsi="Times New Roman" w:cs="Times New Roman"/>
          <w:sz w:val="24"/>
          <w:szCs w:val="24"/>
          <w:lang w:val="tr-TR"/>
        </w:rPr>
        <w:t>KS</w:t>
      </w:r>
      <w:r w:rsidRPr="004A5598">
        <w:rPr>
          <w:rFonts w:ascii="Times New Roman" w:eastAsia="SimSun" w:hAnsi="Times New Roman" w:cs="Times New Roman"/>
          <w:sz w:val="24"/>
          <w:szCs w:val="24"/>
          <w:lang w:val="tr-TR"/>
        </w:rPr>
        <w:t xml:space="preserve"> ≥9 was an independent predictor of surgical intervention (</w:t>
      </w:r>
      <w:r w:rsidR="00BF3140" w:rsidRPr="00BF3140">
        <w:rPr>
          <w:rFonts w:ascii="Times New Roman" w:eastAsia="SimSun" w:hAnsi="Times New Roman" w:cs="Times New Roman"/>
          <w:sz w:val="24"/>
          <w:szCs w:val="24"/>
          <w:lang w:val="tr-TR"/>
        </w:rPr>
        <w:t>OR:</w:t>
      </w:r>
      <w:r w:rsidRPr="004A5598">
        <w:rPr>
          <w:rFonts w:ascii="Times New Roman" w:eastAsia="SimSun" w:hAnsi="Times New Roman" w:cs="Times New Roman"/>
          <w:sz w:val="24"/>
          <w:szCs w:val="24"/>
          <w:lang w:val="tr-TR"/>
        </w:rPr>
        <w:t xml:space="preserve"> 7.93, 95% </w:t>
      </w:r>
      <w:r w:rsidR="00BF3140" w:rsidRPr="00BF3140">
        <w:rPr>
          <w:rFonts w:ascii="Times New Roman" w:eastAsia="SimSun" w:hAnsi="Times New Roman" w:cs="Times New Roman"/>
          <w:sz w:val="24"/>
          <w:szCs w:val="24"/>
          <w:lang w:val="tr-TR"/>
        </w:rPr>
        <w:t>CI</w:t>
      </w:r>
      <w:r w:rsidRPr="004A5598">
        <w:rPr>
          <w:rFonts w:ascii="Times New Roman" w:eastAsia="SimSun" w:hAnsi="Times New Roman" w:cs="Times New Roman"/>
          <w:sz w:val="24"/>
          <w:szCs w:val="24"/>
          <w:lang w:val="tr-TR"/>
        </w:rPr>
        <w:t xml:space="preserve"> 1.55–40.74) (Table</w:t>
      </w:r>
      <w:r w:rsidR="009B1C94">
        <w:rPr>
          <w:rFonts w:ascii="Times New Roman" w:eastAsia="SimSun" w:hAnsi="Times New Roman" w:cs="Times New Roman"/>
          <w:sz w:val="24"/>
          <w:szCs w:val="24"/>
          <w:lang w:val="tr-TR"/>
        </w:rPr>
        <w:t>-</w:t>
      </w:r>
      <w:r w:rsidRPr="004A5598">
        <w:rPr>
          <w:rFonts w:ascii="Times New Roman" w:eastAsia="SimSun" w:hAnsi="Times New Roman" w:cs="Times New Roman"/>
          <w:sz w:val="24"/>
          <w:szCs w:val="24"/>
          <w:lang w:val="tr-TR"/>
        </w:rPr>
        <w:t>4).</w:t>
      </w:r>
    </w:p>
    <w:p w14:paraId="767529E7" w14:textId="7E6C613D" w:rsidR="004A5598" w:rsidRPr="004A5598" w:rsidRDefault="00BF3140" w:rsidP="004A5598">
      <w:pPr>
        <w:widowControl w:val="0"/>
        <w:rPr>
          <w:rFonts w:ascii="Times New Roman" w:eastAsia="SimSun" w:hAnsi="Times New Roman" w:cs="Times New Roman"/>
          <w:sz w:val="24"/>
          <w:szCs w:val="24"/>
          <w:lang w:val="tr-TR"/>
        </w:rPr>
      </w:pPr>
      <w:r w:rsidRPr="00BF3140">
        <w:rPr>
          <w:rFonts w:ascii="Times New Roman" w:eastAsia="SimSun" w:hAnsi="Times New Roman" w:cs="Times New Roman"/>
          <w:sz w:val="24"/>
          <w:szCs w:val="24"/>
          <w:lang w:val="tr-TR"/>
        </w:rPr>
        <w:t>ROC</w:t>
      </w:r>
      <w:r w:rsidR="004A5598" w:rsidRPr="004A5598">
        <w:rPr>
          <w:rFonts w:ascii="Times New Roman" w:eastAsia="SimSun" w:hAnsi="Times New Roman" w:cs="Times New Roman"/>
          <w:sz w:val="24"/>
          <w:szCs w:val="24"/>
          <w:lang w:val="tr-TR"/>
        </w:rPr>
        <w:t xml:space="preserve"> analysis showed that the K</w:t>
      </w:r>
      <w:r w:rsidRPr="00BF3140">
        <w:rPr>
          <w:rFonts w:ascii="Times New Roman" w:eastAsia="SimSun" w:hAnsi="Times New Roman" w:cs="Times New Roman"/>
          <w:sz w:val="24"/>
          <w:szCs w:val="24"/>
          <w:lang w:val="tr-TR"/>
        </w:rPr>
        <w:t>S</w:t>
      </w:r>
      <w:r w:rsidR="004A5598" w:rsidRPr="004A5598">
        <w:rPr>
          <w:rFonts w:ascii="Times New Roman" w:eastAsia="SimSun" w:hAnsi="Times New Roman" w:cs="Times New Roman"/>
          <w:sz w:val="24"/>
          <w:szCs w:val="24"/>
          <w:lang w:val="tr-TR"/>
        </w:rPr>
        <w:t xml:space="preserve"> had moderate discriminatory ability for predicting surgical treatment (AUC 0.693, 95% CI 0.549–0.837) and complicated appendicitis (AUC 0.695, 95% CI 0.552–0.838) (Table</w:t>
      </w:r>
      <w:r w:rsidR="009B1C94">
        <w:rPr>
          <w:rFonts w:ascii="Times New Roman" w:eastAsia="SimSun" w:hAnsi="Times New Roman" w:cs="Times New Roman"/>
          <w:sz w:val="24"/>
          <w:szCs w:val="24"/>
          <w:lang w:val="tr-TR"/>
        </w:rPr>
        <w:t>-</w:t>
      </w:r>
      <w:r w:rsidR="004A5598" w:rsidRPr="004A5598">
        <w:rPr>
          <w:rFonts w:ascii="Times New Roman" w:eastAsia="SimSun" w:hAnsi="Times New Roman" w:cs="Times New Roman"/>
          <w:sz w:val="24"/>
          <w:szCs w:val="24"/>
          <w:lang w:val="tr-TR"/>
        </w:rPr>
        <w:t>5, Figures 1 and 2).</w:t>
      </w:r>
    </w:p>
    <w:p w14:paraId="07D58A2B" w14:textId="5E19A239" w:rsidR="004A5598" w:rsidRPr="004A5598" w:rsidRDefault="004A5598" w:rsidP="004A5598">
      <w:pPr>
        <w:widowControl w:val="0"/>
        <w:rPr>
          <w:rFonts w:ascii="Times New Roman" w:eastAsia="SimSun" w:hAnsi="Times New Roman" w:cs="Times New Roman"/>
          <w:sz w:val="24"/>
          <w:szCs w:val="24"/>
          <w:lang w:val="tr-TR"/>
        </w:rPr>
      </w:pPr>
      <w:r w:rsidRPr="004A5598">
        <w:rPr>
          <w:rFonts w:ascii="Times New Roman" w:eastAsia="SimSun" w:hAnsi="Times New Roman" w:cs="Times New Roman"/>
          <w:sz w:val="24"/>
          <w:szCs w:val="24"/>
          <w:lang w:val="tr-TR"/>
        </w:rPr>
        <w:t>Among laboratory parameters, neutrophil count demonstrated the highest AUC for predicting surgical intervention (AUC 0.736, 95% CI 0.596–0.876), while the neutrophil-to-lymphocyte ratio showed the highest discriminatory performance for predicting complicated appendicitis (AUC 0.737, 95% CI 0.612–0.861) (Table</w:t>
      </w:r>
      <w:r w:rsidR="009B1C94">
        <w:rPr>
          <w:rFonts w:ascii="Times New Roman" w:eastAsia="SimSun" w:hAnsi="Times New Roman" w:cs="Times New Roman"/>
          <w:sz w:val="24"/>
          <w:szCs w:val="24"/>
          <w:lang w:val="tr-TR"/>
        </w:rPr>
        <w:t>-</w:t>
      </w:r>
      <w:r w:rsidRPr="004A5598">
        <w:rPr>
          <w:rFonts w:ascii="Times New Roman" w:eastAsia="SimSun" w:hAnsi="Times New Roman" w:cs="Times New Roman"/>
          <w:sz w:val="24"/>
          <w:szCs w:val="24"/>
          <w:lang w:val="tr-TR"/>
        </w:rPr>
        <w:t>5).</w:t>
      </w:r>
    </w:p>
    <w:p w14:paraId="09D7B91D" w14:textId="77777777" w:rsidR="00BF3140" w:rsidRDefault="00BF3140">
      <w:pPr>
        <w:widowControl w:val="0"/>
        <w:rPr>
          <w:rFonts w:ascii="Times New Roman" w:eastAsia="SimSun" w:hAnsi="Times New Roman" w:cs="Times New Roman"/>
          <w:sz w:val="24"/>
          <w:szCs w:val="24"/>
          <w:lang w:val="tr-TR"/>
        </w:rPr>
      </w:pPr>
    </w:p>
    <w:p w14:paraId="0B27237B" w14:textId="0A84204C" w:rsidR="004E592B" w:rsidRDefault="00A976BF">
      <w:pPr>
        <w:widowControl w:val="0"/>
        <w:rPr>
          <w:rFonts w:ascii="Times New Roman" w:hAnsi="Times New Roman" w:cs="Times New Roman"/>
          <w:b/>
          <w:bCs/>
          <w:sz w:val="24"/>
          <w:szCs w:val="24"/>
          <w:lang w:val="tr-TR"/>
        </w:rPr>
      </w:pPr>
      <w:r>
        <w:rPr>
          <w:rFonts w:ascii="Times New Roman" w:hAnsi="Times New Roman" w:cs="Times New Roman"/>
          <w:b/>
          <w:bCs/>
          <w:sz w:val="24"/>
          <w:szCs w:val="24"/>
          <w:lang w:val="tr-TR"/>
        </w:rPr>
        <w:t>Discussion</w:t>
      </w:r>
    </w:p>
    <w:p w14:paraId="7788D675" w14:textId="77777777" w:rsidR="004E592B" w:rsidRDefault="00A976BF">
      <w:pPr>
        <w:pStyle w:val="NormalWeb"/>
        <w:rPr>
          <w:lang w:val="tr-TR"/>
        </w:rPr>
      </w:pPr>
      <w:r>
        <w:t>A</w:t>
      </w:r>
      <w:r>
        <w:rPr>
          <w:lang w:val="tr-TR"/>
        </w:rPr>
        <w:t>A</w:t>
      </w:r>
      <w:r>
        <w:t xml:space="preserve"> is among the most prevalent etiologies of surgical abdominal pain [</w:t>
      </w:r>
      <w:r>
        <w:rPr>
          <w:lang w:val="tr-TR"/>
        </w:rPr>
        <w:t>15</w:t>
      </w:r>
      <w:r>
        <w:t>].</w:t>
      </w:r>
      <w:r>
        <w:rPr>
          <w:lang w:val="tr-TR"/>
        </w:rPr>
        <w:t xml:space="preserve"> </w:t>
      </w:r>
      <w:r>
        <w:t>Notwithstanding the recent proliferation of imaging methods and their</w:t>
      </w:r>
      <w:r>
        <w:t xml:space="preserve"> easy accessibility, the differential diagnosis of surgical abdominal pain, treatment selection, and prognosis predictability remain serious challenges.</w:t>
      </w:r>
    </w:p>
    <w:p w14:paraId="57985039" w14:textId="77777777" w:rsidR="004E592B" w:rsidRDefault="00A976BF">
      <w:pPr>
        <w:pStyle w:val="NormalWeb"/>
        <w:rPr>
          <w:rFonts w:ascii="Cambria" w:eastAsia="Cambria" w:hAnsi="Cambria" w:cs="Cambria"/>
          <w:color w:val="1B1B1B"/>
          <w:sz w:val="21"/>
          <w:szCs w:val="21"/>
          <w:shd w:val="clear" w:color="auto" w:fill="FFFFFF"/>
          <w:lang w:val="tr-TR"/>
        </w:rPr>
      </w:pPr>
      <w:r>
        <w:t>The risk stratification of patients with suspected AA using clinical scoring systems has been demonstra</w:t>
      </w:r>
      <w:r>
        <w:t xml:space="preserve">ted to guide decision-making processes with the aim of reducing hospital admissions, </w:t>
      </w:r>
      <w:proofErr w:type="spellStart"/>
      <w:r>
        <w:t>optimising</w:t>
      </w:r>
      <w:proofErr w:type="spellEnd"/>
      <w:r>
        <w:t xml:space="preserve"> the benefits of diagnostic imaging, and preventing adverse surgical interventions. The clinical scores in question have been shown to possess sufficient sensiti</w:t>
      </w:r>
      <w:r>
        <w:t>vity in identifying low-risk patients, thereby reducing the necessity for imaging procedures and adverse surgical explorations (e.g. diagnostic laparoscopy) in patients with suspected AA [</w:t>
      </w:r>
      <w:r>
        <w:rPr>
          <w:lang w:val="tr-TR"/>
        </w:rPr>
        <w:t>15</w:t>
      </w:r>
      <w:r>
        <w:t>]</w:t>
      </w:r>
      <w:r>
        <w:rPr>
          <w:rFonts w:ascii="Cambria" w:eastAsia="Cambria" w:hAnsi="Cambria" w:cs="Cambria"/>
          <w:color w:val="1B1B1B"/>
          <w:sz w:val="21"/>
          <w:szCs w:val="21"/>
          <w:shd w:val="clear" w:color="auto" w:fill="FFFFFF"/>
        </w:rPr>
        <w:t>.</w:t>
      </w:r>
      <w:r>
        <w:rPr>
          <w:rFonts w:ascii="Cambria" w:eastAsia="Cambria" w:hAnsi="Cambria" w:cs="Cambria"/>
          <w:color w:val="1B1B1B"/>
          <w:sz w:val="21"/>
          <w:szCs w:val="21"/>
          <w:shd w:val="clear" w:color="auto" w:fill="FFFFFF"/>
          <w:lang w:val="tr-TR"/>
        </w:rPr>
        <w:t xml:space="preserve"> </w:t>
      </w:r>
    </w:p>
    <w:p w14:paraId="094A6F28" w14:textId="77777777" w:rsidR="004E592B" w:rsidRDefault="00A976BF">
      <w:pPr>
        <w:pStyle w:val="NormalWeb"/>
        <w:rPr>
          <w:rFonts w:eastAsia="Cambria"/>
          <w:color w:val="1B1B1B"/>
          <w:shd w:val="clear" w:color="auto" w:fill="FFFFFF"/>
          <w:lang w:val="tr-TR"/>
        </w:rPr>
      </w:pPr>
      <w:r>
        <w:t>As demonstrated in the extant literature, the perforation rate</w:t>
      </w:r>
      <w:r>
        <w:t xml:space="preserve"> is subject to variation, ranging from 16% to 40%</w:t>
      </w:r>
      <w:r>
        <w:rPr>
          <w:lang w:val="tr-TR"/>
        </w:rPr>
        <w:t xml:space="preserve"> </w:t>
      </w:r>
      <w:r>
        <w:t>[</w:t>
      </w:r>
      <w:r>
        <w:rPr>
          <w:lang w:val="tr-TR"/>
        </w:rPr>
        <w:t>16</w:t>
      </w:r>
      <w:r>
        <w:t>]</w:t>
      </w:r>
      <w:r>
        <w:rPr>
          <w:lang w:val="tr-TR"/>
        </w:rPr>
        <w:t xml:space="preserve">. </w:t>
      </w:r>
      <w:r>
        <w:t>In the study conducted by Karaman et al., the rate of complicated appendicitis was found to be 15%</w:t>
      </w:r>
      <w:r>
        <w:rPr>
          <w:lang w:val="tr-TR"/>
        </w:rPr>
        <w:t xml:space="preserve"> </w:t>
      </w:r>
      <w:r>
        <w:t>[</w:t>
      </w:r>
      <w:r>
        <w:rPr>
          <w:lang w:val="tr-TR"/>
        </w:rPr>
        <w:t>14</w:t>
      </w:r>
      <w:r>
        <w:t>].</w:t>
      </w:r>
      <w:r>
        <w:rPr>
          <w:rFonts w:ascii="Cambria" w:eastAsia="Cambria" w:hAnsi="Cambria" w:cs="Cambria"/>
          <w:color w:val="1B1B1B"/>
          <w:sz w:val="21"/>
          <w:szCs w:val="21"/>
          <w:shd w:val="clear" w:color="auto" w:fill="FFFFFF"/>
          <w:lang w:val="tr-TR"/>
        </w:rPr>
        <w:t xml:space="preserve"> </w:t>
      </w:r>
      <w:r>
        <w:t>In the present study, the rate of perforated AA was 21.6%, and the rate of complicated AA was 3</w:t>
      </w:r>
      <w:r>
        <w:t>9.2%</w:t>
      </w:r>
      <w:r>
        <w:rPr>
          <w:rFonts w:eastAsia="Cambria"/>
          <w:color w:val="1B1B1B"/>
          <w:shd w:val="clear" w:color="auto" w:fill="FFFFFF"/>
        </w:rPr>
        <w:t>.</w:t>
      </w:r>
    </w:p>
    <w:p w14:paraId="0796F9D9" w14:textId="77777777" w:rsidR="004E592B" w:rsidRDefault="00A976BF">
      <w:pPr>
        <w:pStyle w:val="NormalWeb"/>
        <w:rPr>
          <w:rFonts w:ascii="Cambria" w:eastAsia="Cambria" w:hAnsi="Cambria" w:cs="Cambria"/>
          <w:color w:val="1B1B1B"/>
          <w:sz w:val="21"/>
          <w:szCs w:val="21"/>
          <w:shd w:val="clear" w:color="auto" w:fill="FFFFFF"/>
          <w:lang w:val="tr-TR"/>
        </w:rPr>
      </w:pPr>
      <w:r>
        <w:t xml:space="preserve">A recent series of systematic reviews and meta-analyses of </w:t>
      </w:r>
      <w:proofErr w:type="spellStart"/>
      <w:r>
        <w:t>randomised</w:t>
      </w:r>
      <w:proofErr w:type="spellEnd"/>
      <w:r>
        <w:t xml:space="preserve"> controlled trials has concluded that the majority of patients with uncomplicated AA can be treated with an antibiotic-first approach</w:t>
      </w:r>
      <w:r>
        <w:rPr>
          <w:lang w:val="tr-TR"/>
        </w:rPr>
        <w:t xml:space="preserve"> </w:t>
      </w:r>
      <w:r>
        <w:t>[</w:t>
      </w:r>
      <w:r>
        <w:rPr>
          <w:lang w:val="tr-TR"/>
        </w:rPr>
        <w:t>8,17</w:t>
      </w:r>
      <w:r>
        <w:t>]</w:t>
      </w:r>
      <w:r>
        <w:rPr>
          <w:rFonts w:ascii="Cambria" w:eastAsia="Cambria" w:hAnsi="Cambria" w:cs="Cambria"/>
          <w:color w:val="1B1B1B"/>
          <w:sz w:val="21"/>
          <w:szCs w:val="21"/>
          <w:shd w:val="clear" w:color="auto" w:fill="FFFFFF"/>
          <w:lang w:val="tr-TR"/>
        </w:rPr>
        <w:t xml:space="preserve">. </w:t>
      </w:r>
    </w:p>
    <w:p w14:paraId="6915C9CA" w14:textId="36A92E6A" w:rsidR="00867580" w:rsidRPr="00867580" w:rsidRDefault="00867580">
      <w:pPr>
        <w:pStyle w:val="NormalWeb"/>
        <w:rPr>
          <w:rFonts w:eastAsia="Cambria"/>
          <w:shd w:val="clear" w:color="auto" w:fill="FFFFFF"/>
          <w:lang w:val="tr-TR"/>
        </w:rPr>
      </w:pPr>
      <w:r w:rsidRPr="00867580">
        <w:rPr>
          <w:rFonts w:eastAsia="Cambria"/>
          <w:shd w:val="clear" w:color="auto" w:fill="FFFFFF"/>
        </w:rPr>
        <w:t>In addition, the Comparison of Outcomes of Antibiotic Drugs and Appendectomy (CODA) trial, a large pragmatic randomized controlled study, demonstrated that antibiotic therapy was non-inferior to appendectomy for uncomplicated appendicitis in the short term. However, approximately 30% of patients in the antibiotic group required appendectomy within 90 days, and nearly 50% underwent surgery during long-</w:t>
      </w:r>
      <w:r w:rsidRPr="00867580">
        <w:rPr>
          <w:rFonts w:eastAsia="Cambria"/>
          <w:shd w:val="clear" w:color="auto" w:fill="FFFFFF"/>
        </w:rPr>
        <w:lastRenderedPageBreak/>
        <w:t>term follow-up. These findings emphasize the importance of appropriate patient selection for non-operative management and highlight the need for reliable clinical scoring systems to guide treatment decisions</w:t>
      </w:r>
      <w:r w:rsidR="004A5598">
        <w:rPr>
          <w:rFonts w:eastAsia="Cambria"/>
          <w:shd w:val="clear" w:color="auto" w:fill="FFFFFF"/>
        </w:rPr>
        <w:t xml:space="preserve"> </w:t>
      </w:r>
      <w:r w:rsidR="004A5598" w:rsidRPr="00867580">
        <w:t>[</w:t>
      </w:r>
      <w:r w:rsidR="009B1C94">
        <w:t>18</w:t>
      </w:r>
      <w:r w:rsidR="004A5598" w:rsidRPr="00867580">
        <w:t>]</w:t>
      </w:r>
      <w:r w:rsidRPr="00867580">
        <w:rPr>
          <w:rFonts w:eastAsia="Cambria"/>
          <w:shd w:val="clear" w:color="auto" w:fill="FFFFFF"/>
        </w:rPr>
        <w:t>.</w:t>
      </w:r>
    </w:p>
    <w:p w14:paraId="45FBA2AB" w14:textId="0DB45085" w:rsidR="004E592B" w:rsidRDefault="00A976BF">
      <w:pPr>
        <w:pStyle w:val="NormalWeb"/>
        <w:rPr>
          <w:lang w:val="tr-TR"/>
        </w:rPr>
      </w:pPr>
      <w:r>
        <w:t xml:space="preserve">In the recent meta-analysis conducted by </w:t>
      </w:r>
      <w:proofErr w:type="spellStart"/>
      <w:r>
        <w:t>Harnoss</w:t>
      </w:r>
      <w:proofErr w:type="spellEnd"/>
      <w:r>
        <w:t xml:space="preserve"> et al., it was reported that the recurrence rate of symptoms within a 1-year period following antibiotic-first treatment was 27.4%</w:t>
      </w:r>
      <w:r>
        <w:rPr>
          <w:lang w:val="tr-TR"/>
        </w:rPr>
        <w:t xml:space="preserve"> </w:t>
      </w:r>
      <w:r>
        <w:t>[</w:t>
      </w:r>
      <w:r>
        <w:rPr>
          <w:lang w:val="tr-TR"/>
        </w:rPr>
        <w:t>8</w:t>
      </w:r>
      <w:r>
        <w:t>]</w:t>
      </w:r>
      <w:r>
        <w:rPr>
          <w:lang w:val="tr-TR"/>
        </w:rPr>
        <w:t xml:space="preserve">.  Of these patients, only two (11.1%) experienced a recurrence of AA within 1 year. Neither of these cases was complicated. </w:t>
      </w:r>
    </w:p>
    <w:p w14:paraId="619C53BC" w14:textId="1F943965" w:rsidR="004E592B" w:rsidRDefault="00A976BF">
      <w:pPr>
        <w:pStyle w:val="NormalWeb"/>
        <w:rPr>
          <w:lang w:val="tr-TR"/>
        </w:rPr>
      </w:pPr>
      <w:r>
        <w:t>A study encompassing 3,066 patients posited that</w:t>
      </w:r>
      <w:r>
        <w:rPr>
          <w:lang w:val="tr-TR"/>
        </w:rPr>
        <w:t xml:space="preserve"> NLR </w:t>
      </w:r>
      <w:r>
        <w:t>is a significant indicator for complicated acute appendicitis</w:t>
      </w:r>
      <w:r>
        <w:rPr>
          <w:lang w:val="tr-TR"/>
        </w:rPr>
        <w:t xml:space="preserve"> </w:t>
      </w:r>
      <w:r>
        <w:t>cases (AUC: 0</w:t>
      </w:r>
      <w:r>
        <w:t xml:space="preserve">.664, p &lt; 0.001) </w:t>
      </w:r>
      <w:r w:rsidRPr="00867580">
        <w:t>[</w:t>
      </w:r>
      <w:r w:rsidRPr="00867580">
        <w:rPr>
          <w:lang w:val="tr-TR"/>
        </w:rPr>
        <w:t>1</w:t>
      </w:r>
      <w:r w:rsidR="009B1C94">
        <w:rPr>
          <w:lang w:val="tr-TR"/>
        </w:rPr>
        <w:t>9</w:t>
      </w:r>
      <w:r w:rsidRPr="00867580">
        <w:t>].</w:t>
      </w:r>
      <w:r w:rsidRPr="00867580">
        <w:rPr>
          <w:lang w:val="tr-TR"/>
        </w:rPr>
        <w:t xml:space="preserve"> </w:t>
      </w:r>
      <w:r>
        <w:t>A meta-analysis of 17 studies and 8,914 patients demonstrated that an NLR value greater than 8.8 serves as a robust predictor of complicated AA diagnosis [</w:t>
      </w:r>
      <w:r w:rsidR="009B1C94">
        <w:rPr>
          <w:lang w:val="tr-TR"/>
        </w:rPr>
        <w:t>20</w:t>
      </w:r>
      <w:r>
        <w:t>].</w:t>
      </w:r>
      <w:r>
        <w:rPr>
          <w:lang w:val="tr-TR"/>
        </w:rPr>
        <w:t xml:space="preserve"> In this prospective study, more elevated NLR values were observed in comp</w:t>
      </w:r>
      <w:r>
        <w:rPr>
          <w:lang w:val="tr-TR"/>
        </w:rPr>
        <w:t>licated cases, and the data align with existing literature on the subject.</w:t>
      </w:r>
    </w:p>
    <w:p w14:paraId="4545366D" w14:textId="5738B8FB" w:rsidR="004E592B" w:rsidRDefault="00A976BF">
      <w:pPr>
        <w:pStyle w:val="NormalWeb"/>
        <w:rPr>
          <w:lang w:val="tr-TR"/>
        </w:rPr>
      </w:pPr>
      <w:proofErr w:type="spellStart"/>
      <w:r>
        <w:t>Berhuni</w:t>
      </w:r>
      <w:proofErr w:type="spellEnd"/>
      <w:r>
        <w:t xml:space="preserve"> et al. reported that elevated CRP levels showed a statistically significant association with complicated AA and that these cases had longer hospital duration time</w:t>
      </w:r>
      <w:r>
        <w:rPr>
          <w:lang w:val="tr-TR"/>
        </w:rPr>
        <w:t xml:space="preserve"> </w:t>
      </w:r>
      <w:r>
        <w:t>[</w:t>
      </w:r>
      <w:r>
        <w:rPr>
          <w:lang w:val="tr-TR"/>
        </w:rPr>
        <w:t>2</w:t>
      </w:r>
      <w:r w:rsidR="009B1C94">
        <w:rPr>
          <w:lang w:val="tr-TR"/>
        </w:rPr>
        <w:t>1</w:t>
      </w:r>
      <w:r>
        <w:t>].</w:t>
      </w:r>
      <w:r>
        <w:rPr>
          <w:lang w:val="tr-TR"/>
        </w:rPr>
        <w:t xml:space="preserve"> </w:t>
      </w:r>
      <w:r>
        <w:t>In t</w:t>
      </w:r>
      <w:r>
        <w:t xml:space="preserve">he present study, CRP levels were found to be elevated in </w:t>
      </w:r>
      <w:proofErr w:type="spellStart"/>
      <w:r>
        <w:t>compl</w:t>
      </w:r>
      <w:proofErr w:type="spellEnd"/>
      <w:r>
        <w:rPr>
          <w:lang w:val="tr-TR"/>
        </w:rPr>
        <w:t>icated</w:t>
      </w:r>
      <w:r>
        <w:t xml:space="preserve"> cases (p&lt;0.05) and hospital </w:t>
      </w:r>
      <w:r>
        <w:rPr>
          <w:lang w:val="tr-TR"/>
        </w:rPr>
        <w:t>duration time</w:t>
      </w:r>
      <w:r>
        <w:t xml:space="preserve"> </w:t>
      </w:r>
      <w:r>
        <w:rPr>
          <w:lang w:val="tr-TR"/>
        </w:rPr>
        <w:t>was</w:t>
      </w:r>
      <w:r>
        <w:t xml:space="preserve"> found to be prolonged (p&lt;0.05). </w:t>
      </w:r>
    </w:p>
    <w:p w14:paraId="0B45D95B" w14:textId="01A0A90B" w:rsidR="004E592B" w:rsidRDefault="00A976BF">
      <w:pPr>
        <w:pStyle w:val="NormalWeb"/>
        <w:rPr>
          <w:rFonts w:ascii="Cambria" w:eastAsia="Cambria" w:hAnsi="Cambria" w:cs="Cambria"/>
          <w:color w:val="1B1B1B"/>
          <w:sz w:val="21"/>
          <w:szCs w:val="21"/>
          <w:shd w:val="clear" w:color="auto" w:fill="FFFFFF"/>
          <w:lang w:val="tr-TR"/>
        </w:rPr>
      </w:pPr>
      <w:r>
        <w:t xml:space="preserve">In a meta-analysis, the sensitivity and specificity values of CT in AA diagnosis were found to be 95% and </w:t>
      </w:r>
      <w:r>
        <w:t>94%, respectively, while those for US were 86% and 94%, respectively</w:t>
      </w:r>
      <w:r>
        <w:rPr>
          <w:lang w:val="tr-TR"/>
        </w:rPr>
        <w:t xml:space="preserve"> </w:t>
      </w:r>
      <w:r>
        <w:t>[</w:t>
      </w:r>
      <w:r>
        <w:rPr>
          <w:lang w:val="tr-TR"/>
        </w:rPr>
        <w:t>2</w:t>
      </w:r>
      <w:r w:rsidR="009B1C94">
        <w:rPr>
          <w:lang w:val="tr-TR"/>
        </w:rPr>
        <w:t>2</w:t>
      </w:r>
      <w:r>
        <w:t>].</w:t>
      </w:r>
      <w:r>
        <w:rPr>
          <w:rFonts w:ascii="Cambria" w:eastAsia="Cambria" w:hAnsi="Cambria" w:cs="Cambria"/>
          <w:color w:val="1B1B1B"/>
          <w:sz w:val="21"/>
          <w:szCs w:val="21"/>
          <w:shd w:val="clear" w:color="auto" w:fill="FFFFFF"/>
          <w:lang w:val="tr-TR"/>
        </w:rPr>
        <w:t xml:space="preserve"> </w:t>
      </w:r>
      <w:r>
        <w:t>In the present study, the sensitivity of CT was found to be 100%, while that of US was 67.6%. CT was found to demonstrate a statistically stronger performance according to pathology</w:t>
      </w:r>
      <w:r>
        <w:t xml:space="preserve"> results</w:t>
      </w:r>
      <w:r>
        <w:rPr>
          <w:lang w:val="tr-TR"/>
        </w:rPr>
        <w:t xml:space="preserve"> (</w:t>
      </w:r>
      <w:r>
        <w:rPr>
          <w:color w:val="000000"/>
        </w:rPr>
        <w:t>p&lt;0.05</w:t>
      </w:r>
      <w:r>
        <w:rPr>
          <w:lang w:val="tr-TR"/>
        </w:rPr>
        <w:t xml:space="preserve">, </w:t>
      </w:r>
      <w:r>
        <w:rPr>
          <w:color w:val="000000"/>
        </w:rPr>
        <w:t>p</w:t>
      </w:r>
      <w:r>
        <w:rPr>
          <w:color w:val="000000"/>
          <w:lang w:val="tr-TR"/>
        </w:rPr>
        <w:t>&gt;</w:t>
      </w:r>
      <w:r>
        <w:rPr>
          <w:color w:val="000000"/>
        </w:rPr>
        <w:t>0.05</w:t>
      </w:r>
      <w:r>
        <w:rPr>
          <w:lang w:val="tr-TR"/>
        </w:rPr>
        <w:t>, Table-2)</w:t>
      </w:r>
      <w:r>
        <w:rPr>
          <w:rFonts w:ascii="Cambria" w:eastAsia="Cambria" w:hAnsi="Cambria" w:cs="Cambria"/>
          <w:color w:val="1B1B1B"/>
          <w:sz w:val="21"/>
          <w:szCs w:val="21"/>
          <w:shd w:val="clear" w:color="auto" w:fill="FFFFFF"/>
          <w:lang w:val="tr-TR"/>
        </w:rPr>
        <w:t xml:space="preserve">. </w:t>
      </w:r>
    </w:p>
    <w:p w14:paraId="11B01ECD" w14:textId="2A56F0DA" w:rsidR="004E592B" w:rsidRDefault="00A976BF">
      <w:pPr>
        <w:pStyle w:val="NormalWeb"/>
      </w:pPr>
      <w:r>
        <w:t>The novel scoring system has been employed in the extant literature to differentiate between negative appendectomy. Despite extensive research, no publications related to KS for prognosis were found [</w:t>
      </w:r>
      <w:r>
        <w:rPr>
          <w:lang w:val="tr-TR"/>
        </w:rPr>
        <w:t>14,2</w:t>
      </w:r>
      <w:r w:rsidR="009B1C94">
        <w:rPr>
          <w:lang w:val="tr-TR"/>
        </w:rPr>
        <w:t>3</w:t>
      </w:r>
      <w:r>
        <w:rPr>
          <w:lang w:val="tr-TR"/>
        </w:rPr>
        <w:t>,2</w:t>
      </w:r>
      <w:r w:rsidR="009B1C94">
        <w:rPr>
          <w:lang w:val="tr-TR"/>
        </w:rPr>
        <w:t>4</w:t>
      </w:r>
      <w:r>
        <w:t>].</w:t>
      </w:r>
    </w:p>
    <w:p w14:paraId="2C9A4E6E" w14:textId="516C70AC" w:rsidR="004E592B" w:rsidRDefault="00A976BF">
      <w:pPr>
        <w:pStyle w:val="NormalWeb"/>
      </w:pPr>
      <w:r>
        <w:t>In the p</w:t>
      </w:r>
      <w:r>
        <w:t>resent study, K</w:t>
      </w:r>
      <w:r w:rsidR="009B1C94">
        <w:t>S</w:t>
      </w:r>
      <w:r>
        <w:t xml:space="preserve"> ≥9 level was identified as a clinically and statistically significant indicator for surgical treatment, while K</w:t>
      </w:r>
      <w:r w:rsidR="009B1C94">
        <w:t>S</w:t>
      </w:r>
      <w:r>
        <w:t xml:space="preserve"> ≥10 level was identified as a clinically and statistically significant indicator for complicated AA.</w:t>
      </w:r>
    </w:p>
    <w:p w14:paraId="36BF8F07" w14:textId="77777777" w:rsidR="004E592B" w:rsidRDefault="00A976BF">
      <w:pPr>
        <w:pStyle w:val="NormalWeb"/>
        <w:rPr>
          <w:b/>
          <w:bCs/>
          <w:lang w:val="tr-TR"/>
        </w:rPr>
      </w:pPr>
      <w:r>
        <w:rPr>
          <w:b/>
          <w:bCs/>
          <w:lang w:val="tr-TR"/>
        </w:rPr>
        <w:t>Conclusion</w:t>
      </w:r>
    </w:p>
    <w:p w14:paraId="6DDEDACE" w14:textId="77777777" w:rsidR="004E592B" w:rsidRDefault="00A976BF">
      <w:pPr>
        <w:pStyle w:val="NormalWeb"/>
        <w:rPr>
          <w:lang w:val="tr-TR"/>
        </w:rPr>
      </w:pPr>
      <w:r>
        <w:lastRenderedPageBreak/>
        <w:t xml:space="preserve">Consequently, </w:t>
      </w:r>
      <w:r>
        <w:t>we contend that reliance on radiological examinations alone is inadequate for identifying patients with complicated AA, and that methods to enhance sensitivity should be investigated. The rationale behind this is that these methodologies have the potential</w:t>
      </w:r>
      <w:r>
        <w:t xml:space="preserve"> to enhance risk prediction with regard to treatment failure with NOM, thereby facilitating shared decision-making processes between patients and physicians concerning treatment options.</w:t>
      </w:r>
      <w:r>
        <w:rPr>
          <w:lang w:val="tr-TR"/>
        </w:rPr>
        <w:t xml:space="preserve"> </w:t>
      </w:r>
    </w:p>
    <w:p w14:paraId="197CF3D2" w14:textId="77777777" w:rsidR="004E592B" w:rsidRDefault="00A976BF">
      <w:pPr>
        <w:pStyle w:val="NormalWeb"/>
      </w:pPr>
      <w:r>
        <w:t>The results of our study suggest that the K</w:t>
      </w:r>
      <w:r>
        <w:rPr>
          <w:lang w:val="tr-TR"/>
        </w:rPr>
        <w:t>S</w:t>
      </w:r>
      <w:r>
        <w:t xml:space="preserve"> may assist clinicians i</w:t>
      </w:r>
      <w:r>
        <w:t>n both treatment selection and distinguishing between complicated and uncomplicated AA.</w:t>
      </w:r>
    </w:p>
    <w:p w14:paraId="69A270D0" w14:textId="77777777" w:rsidR="004E592B" w:rsidRDefault="00A976BF">
      <w:pPr>
        <w:pStyle w:val="NormalWeb"/>
      </w:pPr>
      <w:r>
        <w:t xml:space="preserve">It is the contention of the present study that such scoring systems, for which there exists extant validation of their diagnostic performance, should be the subject of </w:t>
      </w:r>
      <w:r>
        <w:t xml:space="preserve">more detailed research in the form of </w:t>
      </w:r>
      <w:proofErr w:type="spellStart"/>
      <w:r>
        <w:t>multicentre</w:t>
      </w:r>
      <w:proofErr w:type="spellEnd"/>
      <w:r>
        <w:t>, prospective studies involving a larger number of patients in terms of their treatment guidance and prognosis predictability.</w:t>
      </w:r>
    </w:p>
    <w:p w14:paraId="1FB99008" w14:textId="77777777" w:rsidR="002E1F9E" w:rsidRDefault="00A976BF" w:rsidP="002E1F9E">
      <w:pPr>
        <w:pStyle w:val="NormalWeb"/>
        <w:spacing w:before="240" w:beforeAutospacing="0" w:after="240" w:afterAutospacing="0" w:line="480" w:lineRule="auto"/>
        <w:rPr>
          <w:b/>
          <w:bCs/>
          <w:color w:val="000000"/>
          <w:lang w:val="tr"/>
        </w:rPr>
      </w:pPr>
      <w:r>
        <w:rPr>
          <w:b/>
          <w:bCs/>
          <w:color w:val="000000"/>
          <w:lang w:val="tr"/>
        </w:rPr>
        <w:t>Limitations:</w:t>
      </w:r>
    </w:p>
    <w:p w14:paraId="40058B67" w14:textId="4D3F26B0" w:rsidR="00AA3F4D" w:rsidRDefault="00AA3F4D">
      <w:pPr>
        <w:pStyle w:val="NormalWeb"/>
      </w:pPr>
      <w:r w:rsidRPr="00AA3F4D">
        <w:t xml:space="preserve">This study has several limitations. It was conducted at a single </w:t>
      </w:r>
      <w:proofErr w:type="spellStart"/>
      <w:r w:rsidRPr="00AA3F4D">
        <w:t>centre</w:t>
      </w:r>
      <w:proofErr w:type="spellEnd"/>
      <w:r w:rsidRPr="00AA3F4D">
        <w:t xml:space="preserve"> with a relatively small sample size, which may limit </w:t>
      </w:r>
      <w:proofErr w:type="spellStart"/>
      <w:r w:rsidRPr="00AA3F4D">
        <w:t>generalisability</w:t>
      </w:r>
      <w:proofErr w:type="spellEnd"/>
      <w:r w:rsidRPr="00AA3F4D">
        <w:t xml:space="preserve">. The sample size estimation was based on limited prior data, and this should be considered when interpreting the results. In addition, radiological findings contributed to clinical decision-making, which may have influenced the diagnostic performance estimates of imaging modalities. Larger </w:t>
      </w:r>
      <w:proofErr w:type="spellStart"/>
      <w:r w:rsidRPr="00AA3F4D">
        <w:t>multicentre</w:t>
      </w:r>
      <w:proofErr w:type="spellEnd"/>
      <w:r w:rsidRPr="00AA3F4D">
        <w:t xml:space="preserve"> studies with </w:t>
      </w:r>
      <w:proofErr w:type="spellStart"/>
      <w:r w:rsidRPr="00AA3F4D">
        <w:t>standardised</w:t>
      </w:r>
      <w:proofErr w:type="spellEnd"/>
      <w:r w:rsidRPr="00AA3F4D">
        <w:t xml:space="preserve"> management protocols are needed to confirm these findings.</w:t>
      </w:r>
    </w:p>
    <w:p w14:paraId="23E65C29" w14:textId="77777777" w:rsidR="00910FE9" w:rsidRDefault="00910FE9" w:rsidP="00910FE9">
      <w:pPr>
        <w:pStyle w:val="NormalWeb"/>
      </w:pPr>
      <w:r>
        <w:t xml:space="preserve">Consent </w:t>
      </w:r>
    </w:p>
    <w:p w14:paraId="0ABC1DCF" w14:textId="576A4C76" w:rsidR="00910FE9" w:rsidRDefault="00910FE9" w:rsidP="00910FE9">
      <w:pPr>
        <w:pStyle w:val="NormalWeb"/>
      </w:pPr>
      <w:r>
        <w:t>As per international standards or university standards, patient(s) written consent has been collected and preserved by the author(s).</w:t>
      </w:r>
      <w:bookmarkStart w:id="0" w:name="_GoBack"/>
      <w:bookmarkEnd w:id="0"/>
    </w:p>
    <w:p w14:paraId="592AD467" w14:textId="77777777" w:rsidR="003D7D2A" w:rsidRPr="00005ED1" w:rsidRDefault="003D7D2A" w:rsidP="003D7D2A">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5B235D84" w14:textId="77777777" w:rsidR="003D7D2A" w:rsidRPr="00005ED1" w:rsidRDefault="003D7D2A" w:rsidP="003D7D2A">
      <w:pPr>
        <w:pStyle w:val="NoSpacing"/>
        <w:rPr>
          <w:rFonts w:ascii="Arial" w:hAnsi="Arial" w:cs="Arial"/>
          <w:highlight w:val="yellow"/>
        </w:rPr>
      </w:pPr>
    </w:p>
    <w:p w14:paraId="76C77295" w14:textId="77777777" w:rsidR="003D7D2A" w:rsidRPr="00005ED1" w:rsidRDefault="003D7D2A" w:rsidP="003D7D2A">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03F7EC24" w14:textId="77777777" w:rsidR="003D7D2A" w:rsidRDefault="003D7D2A">
      <w:pPr>
        <w:pStyle w:val="NormalWeb"/>
      </w:pPr>
    </w:p>
    <w:p w14:paraId="41CE7428" w14:textId="47A5D5BD" w:rsidR="004E592B" w:rsidRDefault="00A976BF">
      <w:pPr>
        <w:pStyle w:val="NormalWeb"/>
        <w:rPr>
          <w:b/>
          <w:bCs/>
          <w:lang w:val="tr-TR"/>
        </w:rPr>
      </w:pPr>
      <w:r>
        <w:rPr>
          <w:b/>
          <w:bCs/>
          <w:lang w:val="tr-TR"/>
        </w:rPr>
        <w:lastRenderedPageBreak/>
        <w:t>References</w:t>
      </w:r>
    </w:p>
    <w:p w14:paraId="2AA44124" w14:textId="77777777" w:rsidR="000A5A77" w:rsidRDefault="000A5A77" w:rsidP="000A5A77">
      <w:pPr>
        <w:pStyle w:val="NormalWeb"/>
        <w:numPr>
          <w:ilvl w:val="0"/>
          <w:numId w:val="2"/>
        </w:numPr>
        <w:rPr>
          <w:lang w:val="tr-TR"/>
        </w:rPr>
      </w:pPr>
      <w:r w:rsidRPr="000A5A77">
        <w:rPr>
          <w:lang w:val="tr-TR"/>
        </w:rPr>
        <w:t xml:space="preserve">Baird DLH, Simillis C, Kontovounisios C, Rasheed S, Tekkis PP. Acute appendicitis. </w:t>
      </w:r>
      <w:r w:rsidRPr="000A5A77">
        <w:rPr>
          <w:i/>
          <w:iCs/>
          <w:lang w:val="tr-TR"/>
        </w:rPr>
        <w:t>BMJ.</w:t>
      </w:r>
      <w:r w:rsidRPr="000A5A77">
        <w:rPr>
          <w:lang w:val="tr-TR"/>
        </w:rPr>
        <w:t xml:space="preserve"> 2017;357:j1703. doi:10.1136/bmj.j1703</w:t>
      </w:r>
    </w:p>
    <w:p w14:paraId="1C625ABA" w14:textId="77777777" w:rsidR="000A5A77" w:rsidRDefault="000A5A77" w:rsidP="000A5A77">
      <w:pPr>
        <w:pStyle w:val="NormalWeb"/>
        <w:numPr>
          <w:ilvl w:val="0"/>
          <w:numId w:val="2"/>
        </w:numPr>
        <w:rPr>
          <w:lang w:val="tr-TR"/>
        </w:rPr>
      </w:pPr>
      <w:r w:rsidRPr="000A5A77">
        <w:rPr>
          <w:lang w:val="tr-TR"/>
        </w:rPr>
        <w:t xml:space="preserve">Sifri CD, et al. Appendicitis. In: Bennett JE, Dolin R, Blaser MJ, eds. </w:t>
      </w:r>
      <w:r w:rsidRPr="000A5A77">
        <w:rPr>
          <w:i/>
          <w:iCs/>
          <w:lang w:val="tr-TR"/>
        </w:rPr>
        <w:t>Mandell, Douglas, and Bennett’s Principles and Practice of Infectious Diseases.</w:t>
      </w:r>
      <w:r w:rsidRPr="000A5A77">
        <w:rPr>
          <w:lang w:val="tr-TR"/>
        </w:rPr>
        <w:t xml:space="preserve"> 9th ed. Elsevier; 2020:1059-1063.e2.</w:t>
      </w:r>
    </w:p>
    <w:p w14:paraId="71A46FEE" w14:textId="77777777" w:rsidR="000A5A77" w:rsidRDefault="000A5A77" w:rsidP="000A5A77">
      <w:pPr>
        <w:pStyle w:val="NormalWeb"/>
        <w:numPr>
          <w:ilvl w:val="0"/>
          <w:numId w:val="2"/>
        </w:numPr>
        <w:rPr>
          <w:lang w:val="tr-TR"/>
        </w:rPr>
      </w:pPr>
      <w:r w:rsidRPr="000A5A77">
        <w:rPr>
          <w:lang w:val="tr-TR"/>
        </w:rPr>
        <w:t xml:space="preserve">Gorter RR, Eker HH, Gorter-Stam MA, et al. Diagnosis and management of acute appendicitis: EAES consensus development conference 2015. </w:t>
      </w:r>
      <w:r w:rsidRPr="000A5A77">
        <w:rPr>
          <w:i/>
          <w:iCs/>
          <w:lang w:val="tr-TR"/>
        </w:rPr>
        <w:t>Surg Endosc.</w:t>
      </w:r>
      <w:r w:rsidRPr="000A5A77">
        <w:rPr>
          <w:lang w:val="tr-TR"/>
        </w:rPr>
        <w:t xml:space="preserve"> 2016;30(11):4668-4690. doi:10.1007/s00464-016-5245-7</w:t>
      </w:r>
    </w:p>
    <w:p w14:paraId="6EACDE19" w14:textId="77777777" w:rsidR="000A5A77" w:rsidRDefault="000A5A77" w:rsidP="000A5A77">
      <w:pPr>
        <w:pStyle w:val="NormalWeb"/>
        <w:numPr>
          <w:ilvl w:val="0"/>
          <w:numId w:val="2"/>
        </w:numPr>
        <w:rPr>
          <w:lang w:val="tr-TR"/>
        </w:rPr>
      </w:pPr>
      <w:r w:rsidRPr="000A5A77">
        <w:rPr>
          <w:lang w:val="tr-TR"/>
        </w:rPr>
        <w:t xml:space="preserve">Aiken JJ. Acute appendicitis. In: Kliegman RM, St Geme JW, Blum NJ, et al, eds. </w:t>
      </w:r>
      <w:r w:rsidRPr="000A5A77">
        <w:rPr>
          <w:i/>
          <w:iCs/>
          <w:lang w:val="tr-TR"/>
        </w:rPr>
        <w:t>Nelson Textbook of Pediatrics.</w:t>
      </w:r>
      <w:r w:rsidRPr="000A5A77">
        <w:rPr>
          <w:lang w:val="tr-TR"/>
        </w:rPr>
        <w:t xml:space="preserve"> 21st ed. Elsevier; 2020:2048-2055.e1.</w:t>
      </w:r>
    </w:p>
    <w:p w14:paraId="3F0BC8BC" w14:textId="77777777" w:rsidR="000A5A77" w:rsidRDefault="000A5A77" w:rsidP="000A5A77">
      <w:pPr>
        <w:pStyle w:val="NormalWeb"/>
        <w:numPr>
          <w:ilvl w:val="0"/>
          <w:numId w:val="2"/>
        </w:numPr>
        <w:rPr>
          <w:lang w:val="tr-TR"/>
        </w:rPr>
      </w:pPr>
      <w:r w:rsidRPr="000A5A77">
        <w:rPr>
          <w:lang w:val="tr-TR"/>
        </w:rPr>
        <w:t xml:space="preserve">Vitetta L, Chen J, Clarke S. The vermiform appendix: an immunological organ sustaining a microbiome inoculum. </w:t>
      </w:r>
      <w:r w:rsidRPr="000A5A77">
        <w:rPr>
          <w:i/>
          <w:iCs/>
          <w:lang w:val="tr-TR"/>
        </w:rPr>
        <w:t>Clin Sci (Lond).</w:t>
      </w:r>
      <w:r w:rsidRPr="000A5A77">
        <w:rPr>
          <w:lang w:val="tr-TR"/>
        </w:rPr>
        <w:t xml:space="preserve"> 2019;133(1):1-8. doi:10.1042/CS20180956</w:t>
      </w:r>
    </w:p>
    <w:p w14:paraId="5E9163E3" w14:textId="77777777" w:rsidR="000A5A77" w:rsidRDefault="000A5A77" w:rsidP="000A5A77">
      <w:pPr>
        <w:pStyle w:val="NormalWeb"/>
        <w:numPr>
          <w:ilvl w:val="0"/>
          <w:numId w:val="2"/>
        </w:numPr>
        <w:rPr>
          <w:lang w:val="tr-TR"/>
        </w:rPr>
      </w:pPr>
      <w:r w:rsidRPr="000A5A77">
        <w:rPr>
          <w:lang w:val="tr-TR"/>
        </w:rPr>
        <w:t xml:space="preserve">Childers CP, Dworsky JQ, Maggard-Gibbons M, Russell MM. The contemporary appendectomy for acute uncomplicated appendicitis in adults. </w:t>
      </w:r>
      <w:r w:rsidRPr="000A5A77">
        <w:rPr>
          <w:i/>
          <w:iCs/>
          <w:lang w:val="tr-TR"/>
        </w:rPr>
        <w:t>Surgery.</w:t>
      </w:r>
      <w:r w:rsidRPr="000A5A77">
        <w:rPr>
          <w:lang w:val="tr-TR"/>
        </w:rPr>
        <w:t xml:space="preserve"> 2019;165(3):593-601. doi:10.1016/j.surg.2018.09.009</w:t>
      </w:r>
    </w:p>
    <w:p w14:paraId="69FEDAE4" w14:textId="77777777" w:rsidR="000A5A77" w:rsidRDefault="000A5A77" w:rsidP="000A5A77">
      <w:pPr>
        <w:pStyle w:val="NormalWeb"/>
        <w:numPr>
          <w:ilvl w:val="0"/>
          <w:numId w:val="2"/>
        </w:numPr>
        <w:rPr>
          <w:lang w:val="tr-TR"/>
        </w:rPr>
      </w:pPr>
      <w:r w:rsidRPr="000A5A77">
        <w:rPr>
          <w:lang w:val="tr-TR"/>
        </w:rPr>
        <w:t xml:space="preserve">Lasek A, Pędziwiatr M, Kenig J, et al. The significant impact of age on the clinical outcomes of laparoscopic appendectomy: results from the Polish Laparoscopic Appendectomy multicenter large cohort study. </w:t>
      </w:r>
      <w:r w:rsidRPr="000A5A77">
        <w:rPr>
          <w:i/>
          <w:iCs/>
          <w:lang w:val="tr-TR"/>
        </w:rPr>
        <w:t>Medicine (Baltimore).</w:t>
      </w:r>
      <w:r w:rsidRPr="000A5A77">
        <w:rPr>
          <w:lang w:val="tr-TR"/>
        </w:rPr>
        <w:t xml:space="preserve"> 2018;97(50):e13621. doi:10.1097/MD.0000000000013621</w:t>
      </w:r>
    </w:p>
    <w:p w14:paraId="2822E7FA" w14:textId="77777777" w:rsidR="000A5A77" w:rsidRDefault="000A5A77" w:rsidP="000A5A77">
      <w:pPr>
        <w:pStyle w:val="NormalWeb"/>
        <w:numPr>
          <w:ilvl w:val="0"/>
          <w:numId w:val="2"/>
        </w:numPr>
        <w:rPr>
          <w:lang w:val="tr-TR"/>
        </w:rPr>
      </w:pPr>
      <w:r w:rsidRPr="000A5A77">
        <w:rPr>
          <w:lang w:val="tr-TR"/>
        </w:rPr>
        <w:t xml:space="preserve">Harnoss JC, Zelienka I, Probst P, et al. Antibiotics versus surgical therapy for uncomplicated appendicitis: systematic review and meta-analysis of controlled trials. </w:t>
      </w:r>
      <w:r w:rsidRPr="000A5A77">
        <w:rPr>
          <w:i/>
          <w:iCs/>
          <w:lang w:val="tr-TR"/>
        </w:rPr>
        <w:t>Ann Surg.</w:t>
      </w:r>
      <w:r w:rsidRPr="000A5A77">
        <w:rPr>
          <w:lang w:val="tr-TR"/>
        </w:rPr>
        <w:t xml:space="preserve"> 2017;265(5):889-900. doi:10.1097/SLA.0000000000002039</w:t>
      </w:r>
    </w:p>
    <w:p w14:paraId="69EB433E" w14:textId="77777777" w:rsidR="000A5A77" w:rsidRDefault="000A5A77" w:rsidP="000A5A77">
      <w:pPr>
        <w:pStyle w:val="NormalWeb"/>
        <w:numPr>
          <w:ilvl w:val="0"/>
          <w:numId w:val="2"/>
        </w:numPr>
        <w:rPr>
          <w:lang w:val="tr-TR"/>
        </w:rPr>
      </w:pPr>
      <w:r w:rsidRPr="000A5A77">
        <w:rPr>
          <w:lang w:val="tr-TR"/>
        </w:rPr>
        <w:t xml:space="preserve">Carlberg DJ, Himelfarb NT. Acute appendicitis. In: </w:t>
      </w:r>
      <w:r w:rsidRPr="000A5A77">
        <w:rPr>
          <w:i/>
          <w:iCs/>
          <w:lang w:val="tr-TR"/>
        </w:rPr>
        <w:t>Rosen’s Emergency Medicine: Concepts and Clinical Practice.</w:t>
      </w:r>
      <w:r w:rsidRPr="000A5A77">
        <w:rPr>
          <w:lang w:val="tr-TR"/>
        </w:rPr>
        <w:t xml:space="preserve"> 9th ed. Elsevier; 2018:1104-1112.e2.</w:t>
      </w:r>
    </w:p>
    <w:p w14:paraId="16062E7D" w14:textId="77777777" w:rsidR="000A5A77" w:rsidRDefault="000A5A77" w:rsidP="000A5A77">
      <w:pPr>
        <w:pStyle w:val="NormalWeb"/>
        <w:numPr>
          <w:ilvl w:val="0"/>
          <w:numId w:val="2"/>
        </w:numPr>
        <w:rPr>
          <w:lang w:val="tr-TR"/>
        </w:rPr>
      </w:pPr>
      <w:r w:rsidRPr="000A5A77">
        <w:rPr>
          <w:lang w:val="tr-TR"/>
        </w:rPr>
        <w:t xml:space="preserve">Salminen P, Paajanen H, Rautio T, et al. Antibiotic therapy vs appendectomy for treatment of uncomplicated acute appendicitis: the APPAC randomized clinical trial. </w:t>
      </w:r>
      <w:r w:rsidRPr="000A5A77">
        <w:rPr>
          <w:i/>
          <w:iCs/>
          <w:lang w:val="tr-TR"/>
        </w:rPr>
        <w:t>JAMA.</w:t>
      </w:r>
      <w:r w:rsidRPr="000A5A77">
        <w:rPr>
          <w:lang w:val="tr-TR"/>
        </w:rPr>
        <w:t xml:space="preserve"> 2015;313(23):2340-2348. doi:10.1001/jama.2015.6154</w:t>
      </w:r>
    </w:p>
    <w:p w14:paraId="59AF8811" w14:textId="77777777" w:rsidR="000A5A77" w:rsidRDefault="000A5A77" w:rsidP="000A5A77">
      <w:pPr>
        <w:pStyle w:val="NormalWeb"/>
        <w:numPr>
          <w:ilvl w:val="0"/>
          <w:numId w:val="2"/>
        </w:numPr>
        <w:rPr>
          <w:lang w:val="tr-TR"/>
        </w:rPr>
      </w:pPr>
      <w:r w:rsidRPr="000A5A77">
        <w:rPr>
          <w:lang w:val="tr-TR"/>
        </w:rPr>
        <w:t xml:space="preserve">Salminen P, Tuominen R, Paajanen H, et al. Five-year follow-up of antibiotic therapy for uncomplicated acute appendicitis in the APPAC randomized clinical trial. </w:t>
      </w:r>
      <w:r w:rsidRPr="000A5A77">
        <w:rPr>
          <w:i/>
          <w:iCs/>
          <w:lang w:val="tr-TR"/>
        </w:rPr>
        <w:t>JAMA.</w:t>
      </w:r>
      <w:r w:rsidRPr="000A5A77">
        <w:rPr>
          <w:lang w:val="tr-TR"/>
        </w:rPr>
        <w:t xml:space="preserve"> 2018;320(12):1259-1265. doi:10.1001/jama.2018.13201</w:t>
      </w:r>
    </w:p>
    <w:p w14:paraId="585D991C" w14:textId="77777777" w:rsidR="000A5A77" w:rsidRDefault="000A5A77" w:rsidP="000A5A77">
      <w:pPr>
        <w:pStyle w:val="NormalWeb"/>
        <w:numPr>
          <w:ilvl w:val="0"/>
          <w:numId w:val="2"/>
        </w:numPr>
        <w:rPr>
          <w:lang w:val="tr-TR"/>
        </w:rPr>
      </w:pPr>
      <w:r w:rsidRPr="000A5A77">
        <w:rPr>
          <w:lang w:val="tr-TR"/>
        </w:rPr>
        <w:t xml:space="preserve">Al-Mulhim AS. Readmission after antibiotic management of uncomplicated acute appendicitis in adults: a prospective study. </w:t>
      </w:r>
      <w:r w:rsidRPr="000A5A77">
        <w:rPr>
          <w:i/>
          <w:iCs/>
          <w:lang w:val="tr-TR"/>
        </w:rPr>
        <w:t>Eur J Trauma Emerg Surg.</w:t>
      </w:r>
      <w:r w:rsidRPr="000A5A77">
        <w:rPr>
          <w:lang w:val="tr-TR"/>
        </w:rPr>
        <w:t xml:space="preserve"> 2020;46(4):841-846. doi:10.1007/s00068-018-1038-0</w:t>
      </w:r>
    </w:p>
    <w:p w14:paraId="03D67954" w14:textId="77777777" w:rsidR="000A5A77" w:rsidRDefault="000A5A77" w:rsidP="000A5A77">
      <w:pPr>
        <w:pStyle w:val="NormalWeb"/>
        <w:numPr>
          <w:ilvl w:val="0"/>
          <w:numId w:val="2"/>
        </w:numPr>
        <w:rPr>
          <w:lang w:val="tr-TR"/>
        </w:rPr>
      </w:pPr>
      <w:r w:rsidRPr="000A5A77">
        <w:rPr>
          <w:lang w:val="tr-TR"/>
        </w:rPr>
        <w:t xml:space="preserve">Diaz JJ, Ceresoli M, Herron T, Coccolini F. Current management of acute appendicitis in adults: what you need to know. </w:t>
      </w:r>
      <w:r w:rsidRPr="000A5A77">
        <w:rPr>
          <w:i/>
          <w:iCs/>
          <w:lang w:val="tr-TR"/>
        </w:rPr>
        <w:t>J Trauma Acute Care Surg.</w:t>
      </w:r>
      <w:r w:rsidRPr="000A5A77">
        <w:rPr>
          <w:lang w:val="tr-TR"/>
        </w:rPr>
        <w:t xml:space="preserve"> 2025;98(2):181-189. doi:10.1097/TA.0000000000004471</w:t>
      </w:r>
    </w:p>
    <w:p w14:paraId="6F968F31" w14:textId="77777777" w:rsidR="000A5A77" w:rsidRDefault="000A5A77" w:rsidP="000A5A77">
      <w:pPr>
        <w:pStyle w:val="NormalWeb"/>
        <w:numPr>
          <w:ilvl w:val="0"/>
          <w:numId w:val="2"/>
        </w:numPr>
        <w:rPr>
          <w:lang w:val="tr-TR"/>
        </w:rPr>
      </w:pPr>
      <w:r w:rsidRPr="000A5A77">
        <w:rPr>
          <w:lang w:val="tr-TR"/>
        </w:rPr>
        <w:t xml:space="preserve">Karaman K, Ercan M, Demir H, et al. The Karaman score: a new diagnostic score for acute appendicitis. </w:t>
      </w:r>
      <w:r w:rsidRPr="000A5A77">
        <w:rPr>
          <w:i/>
          <w:iCs/>
          <w:lang w:val="tr-TR"/>
        </w:rPr>
        <w:t>Ulus Travma Acil Cerrahi Derg.</w:t>
      </w:r>
      <w:r w:rsidRPr="000A5A77">
        <w:rPr>
          <w:lang w:val="tr-TR"/>
        </w:rPr>
        <w:t xml:space="preserve"> 2018;24(6):545-551. doi:10.5505/tjtes.2018.62436</w:t>
      </w:r>
    </w:p>
    <w:p w14:paraId="6569AF5F" w14:textId="77777777" w:rsidR="000A5A77" w:rsidRDefault="000A5A77" w:rsidP="000A5A77">
      <w:pPr>
        <w:pStyle w:val="NormalWeb"/>
        <w:numPr>
          <w:ilvl w:val="0"/>
          <w:numId w:val="2"/>
        </w:numPr>
        <w:rPr>
          <w:lang w:val="tr-TR"/>
        </w:rPr>
      </w:pPr>
      <w:r w:rsidRPr="000A5A77">
        <w:rPr>
          <w:lang w:val="tr-TR"/>
        </w:rPr>
        <w:lastRenderedPageBreak/>
        <w:t xml:space="preserve">Di Saverio S, Podda M, De Simone B, et al. Diagnosis and treatment of acute appendicitis: 2020 update of the WSES Jerusalem guidelines. </w:t>
      </w:r>
      <w:r w:rsidRPr="000A5A77">
        <w:rPr>
          <w:i/>
          <w:iCs/>
          <w:lang w:val="tr-TR"/>
        </w:rPr>
        <w:t>World J Emerg Surg.</w:t>
      </w:r>
      <w:r w:rsidRPr="000A5A77">
        <w:rPr>
          <w:lang w:val="tr-TR"/>
        </w:rPr>
        <w:t xml:space="preserve"> 2020;15(1):27. doi:10.1186/s13017-020-00306-3</w:t>
      </w:r>
    </w:p>
    <w:p w14:paraId="01DF3922" w14:textId="77777777" w:rsidR="000A5A77" w:rsidRDefault="000A5A77" w:rsidP="000A5A77">
      <w:pPr>
        <w:pStyle w:val="NormalWeb"/>
        <w:numPr>
          <w:ilvl w:val="0"/>
          <w:numId w:val="2"/>
        </w:numPr>
        <w:rPr>
          <w:lang w:val="tr-TR"/>
        </w:rPr>
      </w:pPr>
      <w:r w:rsidRPr="000A5A77">
        <w:rPr>
          <w:lang w:val="tr-TR"/>
        </w:rPr>
        <w:t xml:space="preserve">Livingston EH, Woodward WA, Sarosi GA, Haley RW. Disconnect between incidence of nonperforated and perforated appendicitis: implications for pathophysiology and management. </w:t>
      </w:r>
      <w:r w:rsidRPr="000A5A77">
        <w:rPr>
          <w:i/>
          <w:iCs/>
          <w:lang w:val="tr-TR"/>
        </w:rPr>
        <w:t>Ann Surg.</w:t>
      </w:r>
      <w:r w:rsidRPr="000A5A77">
        <w:rPr>
          <w:lang w:val="tr-TR"/>
        </w:rPr>
        <w:t xml:space="preserve"> 2007;245(6):886-892. doi:10.1097/01.sla.0000256391.05233.aa</w:t>
      </w:r>
    </w:p>
    <w:p w14:paraId="50B734DC" w14:textId="77777777" w:rsidR="000A5A77" w:rsidRDefault="000A5A77" w:rsidP="000A5A77">
      <w:pPr>
        <w:pStyle w:val="NormalWeb"/>
        <w:numPr>
          <w:ilvl w:val="0"/>
          <w:numId w:val="2"/>
        </w:numPr>
        <w:rPr>
          <w:lang w:val="tr-TR"/>
        </w:rPr>
      </w:pPr>
      <w:r w:rsidRPr="000A5A77">
        <w:rPr>
          <w:lang w:val="tr-TR"/>
        </w:rPr>
        <w:t xml:space="preserve">Sallinen V, Akl EA, You JJ, et al. Meta-analysis of antibiotics versus appendicectomy for nonperforated acute appendicitis. </w:t>
      </w:r>
      <w:r w:rsidRPr="000A5A77">
        <w:rPr>
          <w:i/>
          <w:iCs/>
          <w:lang w:val="tr-TR"/>
        </w:rPr>
        <w:t>Br J Surg.</w:t>
      </w:r>
      <w:r w:rsidRPr="000A5A77">
        <w:rPr>
          <w:lang w:val="tr-TR"/>
        </w:rPr>
        <w:t xml:space="preserve"> 2016;103(6):656-667. doi:10.1002/bjs.10147</w:t>
      </w:r>
    </w:p>
    <w:p w14:paraId="47589D12" w14:textId="77777777" w:rsidR="000A5A77" w:rsidRDefault="000A5A77" w:rsidP="000A5A77">
      <w:pPr>
        <w:pStyle w:val="NormalWeb"/>
        <w:numPr>
          <w:ilvl w:val="0"/>
          <w:numId w:val="2"/>
        </w:numPr>
        <w:rPr>
          <w:lang w:val="tr-TR"/>
        </w:rPr>
      </w:pPr>
      <w:r w:rsidRPr="000A5A77">
        <w:rPr>
          <w:lang w:val="tr-TR"/>
        </w:rPr>
        <w:t xml:space="preserve">CODA Collaborative, Flum DR, Davidson GH, et al. A randomized trial comparing antibiotics with appendectomy for appendicitis. </w:t>
      </w:r>
      <w:r w:rsidRPr="000A5A77">
        <w:rPr>
          <w:i/>
          <w:iCs/>
          <w:lang w:val="tr-TR"/>
        </w:rPr>
        <w:t>N Engl J Med.</w:t>
      </w:r>
      <w:r w:rsidRPr="000A5A77">
        <w:rPr>
          <w:lang w:val="tr-TR"/>
        </w:rPr>
        <w:t xml:space="preserve"> 2020;383(20):1907-1919. doi:10.1056/NEJMoa2014320</w:t>
      </w:r>
    </w:p>
    <w:p w14:paraId="2806967F" w14:textId="77777777" w:rsidR="000A5A77" w:rsidRDefault="000A5A77" w:rsidP="000A5A77">
      <w:pPr>
        <w:pStyle w:val="NormalWeb"/>
        <w:numPr>
          <w:ilvl w:val="0"/>
          <w:numId w:val="2"/>
        </w:numPr>
        <w:rPr>
          <w:lang w:val="tr-TR"/>
        </w:rPr>
      </w:pPr>
      <w:r w:rsidRPr="000A5A77">
        <w:rPr>
          <w:lang w:val="tr-TR"/>
        </w:rPr>
        <w:t xml:space="preserve">Senol S, Kusak M, Özdemir DB, Sendil AM. Diagnostic value of serum sodium level and neutrophil-to-lymphocyte ratio in predicting severity of acute appendicitis. </w:t>
      </w:r>
      <w:r w:rsidRPr="000A5A77">
        <w:rPr>
          <w:i/>
          <w:iCs/>
          <w:lang w:val="tr-TR"/>
        </w:rPr>
        <w:t>Medicina (Kaunas).</w:t>
      </w:r>
      <w:r w:rsidRPr="000A5A77">
        <w:rPr>
          <w:lang w:val="tr-TR"/>
        </w:rPr>
        <w:t xml:space="preserve"> 2024;60(11):1844. doi:10.3390/medicina60111844</w:t>
      </w:r>
    </w:p>
    <w:p w14:paraId="4EB65388" w14:textId="77777777" w:rsidR="000A5A77" w:rsidRDefault="000A5A77" w:rsidP="000A5A77">
      <w:pPr>
        <w:pStyle w:val="NormalWeb"/>
        <w:numPr>
          <w:ilvl w:val="0"/>
          <w:numId w:val="2"/>
        </w:numPr>
        <w:rPr>
          <w:lang w:val="tr-TR"/>
        </w:rPr>
      </w:pPr>
      <w:r w:rsidRPr="000A5A77">
        <w:rPr>
          <w:lang w:val="tr-TR"/>
        </w:rPr>
        <w:t xml:space="preserve">Hajibandeh S, Hajibandeh S, Hobbs N, Mansour M. Neutrophil-to-lymphocyte ratio predicts acute appendicitis and distinguishes between complicated and uncomplicated appendicitis: a systematic review and meta-analysis. </w:t>
      </w:r>
      <w:r w:rsidRPr="000A5A77">
        <w:rPr>
          <w:i/>
          <w:iCs/>
          <w:lang w:val="tr-TR"/>
        </w:rPr>
        <w:t>Am J Surg.</w:t>
      </w:r>
      <w:r w:rsidRPr="000A5A77">
        <w:rPr>
          <w:lang w:val="tr-TR"/>
        </w:rPr>
        <w:t xml:space="preserve"> 2020;219(1):154-163. doi:10.1016/j.amjsurg.2019.04.018</w:t>
      </w:r>
    </w:p>
    <w:p w14:paraId="05F4D370" w14:textId="77777777" w:rsidR="000A5A77" w:rsidRDefault="000A5A77" w:rsidP="000A5A77">
      <w:pPr>
        <w:pStyle w:val="NormalWeb"/>
        <w:numPr>
          <w:ilvl w:val="0"/>
          <w:numId w:val="2"/>
        </w:numPr>
        <w:rPr>
          <w:lang w:val="tr-TR"/>
        </w:rPr>
      </w:pPr>
      <w:r w:rsidRPr="000A5A77">
        <w:rPr>
          <w:lang w:val="tr-TR"/>
        </w:rPr>
        <w:t xml:space="preserve">Berhuni MS, Yönder H, Elkan H, et al. Diagnostic value of systemic immune inflammation index in identifying complicated acute appendicitis cases. </w:t>
      </w:r>
      <w:r w:rsidRPr="000A5A77">
        <w:rPr>
          <w:i/>
          <w:iCs/>
          <w:lang w:val="tr-TR"/>
        </w:rPr>
        <w:t>Cureus.</w:t>
      </w:r>
      <w:r w:rsidRPr="000A5A77">
        <w:rPr>
          <w:lang w:val="tr-TR"/>
        </w:rPr>
        <w:t xml:space="preserve"> 2024;16(11):e73046. doi:10.7759/cureus.73046</w:t>
      </w:r>
    </w:p>
    <w:p w14:paraId="5E66E666" w14:textId="77777777" w:rsidR="000A5A77" w:rsidRDefault="000A5A77" w:rsidP="000A5A77">
      <w:pPr>
        <w:pStyle w:val="NormalWeb"/>
        <w:numPr>
          <w:ilvl w:val="0"/>
          <w:numId w:val="2"/>
        </w:numPr>
        <w:rPr>
          <w:lang w:val="tr-TR"/>
        </w:rPr>
      </w:pPr>
      <w:r w:rsidRPr="000A5A77">
        <w:rPr>
          <w:lang w:val="tr-TR"/>
        </w:rPr>
        <w:t xml:space="preserve">Hwang ME. Sonography and computed tomography in diagnosing acute appendicitis. </w:t>
      </w:r>
      <w:r w:rsidRPr="000A5A77">
        <w:rPr>
          <w:i/>
          <w:iCs/>
          <w:lang w:val="tr-TR"/>
        </w:rPr>
        <w:t>Radiol Technol.</w:t>
      </w:r>
      <w:r w:rsidRPr="000A5A77">
        <w:rPr>
          <w:lang w:val="tr-TR"/>
        </w:rPr>
        <w:t xml:space="preserve"> 2018;89(3):224-237.</w:t>
      </w:r>
    </w:p>
    <w:p w14:paraId="3A50B8C7" w14:textId="77777777" w:rsidR="000A5A77" w:rsidRDefault="000A5A77" w:rsidP="000A5A77">
      <w:pPr>
        <w:pStyle w:val="NormalWeb"/>
        <w:numPr>
          <w:ilvl w:val="0"/>
          <w:numId w:val="2"/>
        </w:numPr>
        <w:rPr>
          <w:lang w:val="tr-TR"/>
        </w:rPr>
      </w:pPr>
      <w:r w:rsidRPr="000A5A77">
        <w:rPr>
          <w:lang w:val="tr-TR"/>
        </w:rPr>
        <w:t xml:space="preserve">Capoglu R, Gonullu E, Bayhan Z, et al. Comparison of scoring systems regarding gender as a parameter with traditional scoring systems for predicting appendicitis. </w:t>
      </w:r>
      <w:r w:rsidRPr="000A5A77">
        <w:rPr>
          <w:i/>
          <w:iCs/>
          <w:lang w:val="tr-TR"/>
        </w:rPr>
        <w:t>Updates Surg.</w:t>
      </w:r>
      <w:r w:rsidRPr="000A5A77">
        <w:rPr>
          <w:lang w:val="tr-TR"/>
        </w:rPr>
        <w:t xml:space="preserve"> 2022;74(3):1035-1042. doi:10.1007/s13304-022-01272-y</w:t>
      </w:r>
    </w:p>
    <w:p w14:paraId="1FA4A120" w14:textId="59695E3A" w:rsidR="000A5A77" w:rsidRPr="000A5A77" w:rsidRDefault="000A5A77" w:rsidP="000A5A77">
      <w:pPr>
        <w:pStyle w:val="NormalWeb"/>
        <w:numPr>
          <w:ilvl w:val="0"/>
          <w:numId w:val="2"/>
        </w:numPr>
        <w:rPr>
          <w:lang w:val="tr-TR"/>
        </w:rPr>
      </w:pPr>
      <w:r w:rsidRPr="000A5A77">
        <w:rPr>
          <w:lang w:val="tr-TR"/>
        </w:rPr>
        <w:t xml:space="preserve">Mantoglu B, Gonullu E, Cakmak G, et al. To what extent are appendicitis scoring systems effective in preventing negative appendectomy: comparison of nine scoring systems. </w:t>
      </w:r>
      <w:r w:rsidRPr="000A5A77">
        <w:rPr>
          <w:i/>
          <w:iCs/>
          <w:lang w:val="tr-TR"/>
        </w:rPr>
        <w:t>Ann Clin Anal Med.</w:t>
      </w:r>
      <w:r w:rsidRPr="000A5A77">
        <w:rPr>
          <w:lang w:val="tr-TR"/>
        </w:rPr>
        <w:t xml:space="preserve"> 2022;13(2):210-214. doi:10.4328/ACAM.2</w:t>
      </w:r>
    </w:p>
    <w:p w14:paraId="5E81387D" w14:textId="77777777" w:rsidR="009F4881" w:rsidRPr="00522F88" w:rsidRDefault="009F4881" w:rsidP="009F4881">
      <w:pPr>
        <w:pStyle w:val="ListParagraph"/>
        <w:numPr>
          <w:ilvl w:val="0"/>
          <w:numId w:val="2"/>
        </w:numPr>
        <w:rPr>
          <w:rFonts w:ascii="Times New Roman" w:hAnsi="Times New Roman" w:cs="Times New Roman"/>
          <w:b/>
          <w:bCs/>
          <w:sz w:val="24"/>
          <w:szCs w:val="24"/>
          <w:lang w:val="tr-TR"/>
        </w:rPr>
      </w:pPr>
      <w:r>
        <w:rPr>
          <w:noProof/>
        </w:rPr>
        <w:lastRenderedPageBreak/>
        <w:drawing>
          <wp:inline distT="0" distB="0" distL="114300" distR="114300" wp14:anchorId="2F54E40E" wp14:editId="66BDA9A0">
            <wp:extent cx="5962650" cy="4772025"/>
            <wp:effectExtent l="0" t="0" r="11430" b="1333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a:picLocks noChangeAspect="1"/>
                    </pic:cNvPicPr>
                  </pic:nvPicPr>
                  <pic:blipFill>
                    <a:blip r:embed="rId7"/>
                    <a:stretch>
                      <a:fillRect/>
                    </a:stretch>
                  </pic:blipFill>
                  <pic:spPr>
                    <a:xfrm>
                      <a:off x="0" y="0"/>
                      <a:ext cx="5962650" cy="4772025"/>
                    </a:xfrm>
                    <a:prstGeom prst="rect">
                      <a:avLst/>
                    </a:prstGeom>
                    <a:noFill/>
                    <a:ln>
                      <a:noFill/>
                    </a:ln>
                  </pic:spPr>
                </pic:pic>
              </a:graphicData>
            </a:graphic>
          </wp:inline>
        </w:drawing>
      </w:r>
    </w:p>
    <w:p w14:paraId="1E61012F" w14:textId="77777777" w:rsidR="009F4881" w:rsidRPr="00522F88" w:rsidRDefault="009F4881" w:rsidP="009F4881">
      <w:pPr>
        <w:pStyle w:val="ListParagraph"/>
        <w:numPr>
          <w:ilvl w:val="0"/>
          <w:numId w:val="2"/>
        </w:numPr>
        <w:rPr>
          <w:rFonts w:ascii="Times New Roman" w:eastAsia="sans-serif" w:hAnsi="Times New Roman" w:cs="Times New Roman"/>
          <w:sz w:val="22"/>
          <w:szCs w:val="22"/>
          <w:lang w:val="tr-TR"/>
        </w:rPr>
      </w:pPr>
      <w:r w:rsidRPr="00522F88">
        <w:rPr>
          <w:rFonts w:ascii="Times New Roman" w:hAnsi="Times New Roman" w:cs="Times New Roman"/>
          <w:b/>
          <w:bCs/>
          <w:sz w:val="22"/>
          <w:szCs w:val="22"/>
          <w:lang w:val="tr-TR"/>
        </w:rPr>
        <w:t>Figure.1-</w:t>
      </w:r>
      <w:r w:rsidRPr="00522F88">
        <w:rPr>
          <w:rFonts w:ascii="Times New Roman" w:hAnsi="Times New Roman" w:cs="Times New Roman"/>
          <w:sz w:val="22"/>
          <w:szCs w:val="22"/>
          <w:lang w:val="tr-TR"/>
        </w:rPr>
        <w:t xml:space="preserve"> </w:t>
      </w:r>
      <w:r w:rsidRPr="00522F88">
        <w:rPr>
          <w:rFonts w:ascii="Times New Roman" w:eastAsia="sans-serif" w:hAnsi="Times New Roman" w:cs="Times New Roman"/>
          <w:sz w:val="22"/>
          <w:szCs w:val="22"/>
        </w:rPr>
        <w:t xml:space="preserve">Receiver operating characteristic (ROC) analysis </w:t>
      </w:r>
      <w:r w:rsidRPr="00522F88">
        <w:rPr>
          <w:rFonts w:ascii="Times New Roman" w:hAnsi="Times New Roman" w:cs="Times New Roman"/>
          <w:sz w:val="22"/>
          <w:szCs w:val="22"/>
          <w:lang w:val="tr-TR"/>
        </w:rPr>
        <w:t xml:space="preserve">of the Karaman Score, Neutrophile count, NL ratio and CRP level </w:t>
      </w:r>
      <w:r w:rsidRPr="00522F88">
        <w:rPr>
          <w:rFonts w:ascii="Times New Roman" w:eastAsia="sans-serif" w:hAnsi="Times New Roman" w:cs="Times New Roman"/>
          <w:sz w:val="22"/>
          <w:szCs w:val="22"/>
        </w:rPr>
        <w:t xml:space="preserve">for </w:t>
      </w:r>
      <w:r w:rsidRPr="00522F88">
        <w:rPr>
          <w:rFonts w:ascii="Times New Roman" w:eastAsia="sans-serif" w:hAnsi="Times New Roman" w:cs="Times New Roman"/>
          <w:sz w:val="22"/>
          <w:szCs w:val="22"/>
          <w:lang w:val="tr-TR"/>
        </w:rPr>
        <w:t>the selection of treatment</w:t>
      </w:r>
    </w:p>
    <w:p w14:paraId="0A771F86" w14:textId="77777777" w:rsidR="009F4881" w:rsidRDefault="009F4881" w:rsidP="009F4881">
      <w:pPr>
        <w:pStyle w:val="ListParagraph"/>
        <w:numPr>
          <w:ilvl w:val="0"/>
          <w:numId w:val="2"/>
        </w:numPr>
      </w:pPr>
    </w:p>
    <w:p w14:paraId="17011B0B" w14:textId="77777777" w:rsidR="009F4881" w:rsidRDefault="009F4881" w:rsidP="009F4881">
      <w:pPr>
        <w:pStyle w:val="ListParagraph"/>
        <w:numPr>
          <w:ilvl w:val="0"/>
          <w:numId w:val="2"/>
        </w:numPr>
      </w:pPr>
      <w:r>
        <w:rPr>
          <w:noProof/>
        </w:rPr>
        <w:lastRenderedPageBreak/>
        <w:drawing>
          <wp:inline distT="0" distB="0" distL="114300" distR="114300" wp14:anchorId="15215657" wp14:editId="3AF9FAB5">
            <wp:extent cx="5972175" cy="4779645"/>
            <wp:effectExtent l="0" t="0" r="1905" b="571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pic:cNvPicPr>
                  </pic:nvPicPr>
                  <pic:blipFill>
                    <a:blip r:embed="rId8"/>
                    <a:stretch>
                      <a:fillRect/>
                    </a:stretch>
                  </pic:blipFill>
                  <pic:spPr>
                    <a:xfrm>
                      <a:off x="0" y="0"/>
                      <a:ext cx="5972175" cy="4779645"/>
                    </a:xfrm>
                    <a:prstGeom prst="rect">
                      <a:avLst/>
                    </a:prstGeom>
                    <a:noFill/>
                    <a:ln>
                      <a:noFill/>
                    </a:ln>
                  </pic:spPr>
                </pic:pic>
              </a:graphicData>
            </a:graphic>
          </wp:inline>
        </w:drawing>
      </w:r>
    </w:p>
    <w:p w14:paraId="207733CA" w14:textId="77777777" w:rsidR="009F4881" w:rsidRPr="00522F88" w:rsidRDefault="009F4881" w:rsidP="009F4881">
      <w:pPr>
        <w:pStyle w:val="ListParagraph"/>
        <w:numPr>
          <w:ilvl w:val="0"/>
          <w:numId w:val="2"/>
        </w:numPr>
        <w:rPr>
          <w:rFonts w:ascii="Times New Roman" w:hAnsi="Times New Roman" w:cs="Times New Roman"/>
          <w:sz w:val="22"/>
          <w:szCs w:val="22"/>
          <w:lang w:val="tr-TR"/>
        </w:rPr>
      </w:pPr>
      <w:r w:rsidRPr="00522F88">
        <w:rPr>
          <w:rFonts w:ascii="Times New Roman" w:hAnsi="Times New Roman" w:cs="Times New Roman"/>
          <w:b/>
          <w:bCs/>
          <w:sz w:val="22"/>
          <w:szCs w:val="22"/>
          <w:lang w:val="tr-TR"/>
        </w:rPr>
        <w:t xml:space="preserve">Figure.2- </w:t>
      </w:r>
      <w:r w:rsidRPr="00522F88">
        <w:rPr>
          <w:rFonts w:ascii="Times New Roman" w:hAnsi="Times New Roman" w:cs="Times New Roman"/>
          <w:sz w:val="22"/>
          <w:szCs w:val="22"/>
          <w:lang w:val="tr-TR"/>
        </w:rPr>
        <w:t>ROC analysis of the Karaman Score, Neutrophile count, NL ratio and CRP level for the complicated cases</w:t>
      </w:r>
    </w:p>
    <w:p w14:paraId="180A881A" w14:textId="77777777" w:rsidR="009F4881" w:rsidRDefault="009F4881" w:rsidP="009F4881">
      <w:pPr>
        <w:pStyle w:val="NormalWeb"/>
        <w:rPr>
          <w:lang w:val="tr-TR"/>
        </w:rPr>
      </w:pPr>
    </w:p>
    <w:p w14:paraId="67141E5E" w14:textId="77777777" w:rsidR="009F4881" w:rsidRDefault="009F4881" w:rsidP="009F4881">
      <w:pPr>
        <w:pStyle w:val="NormalWeb"/>
        <w:rPr>
          <w:lang w:val="tr-TR"/>
        </w:rPr>
      </w:pPr>
    </w:p>
    <w:p w14:paraId="09DDDC96" w14:textId="77777777" w:rsidR="009F4881" w:rsidRDefault="009F4881" w:rsidP="009F4881">
      <w:pPr>
        <w:widowControl w:val="0"/>
        <w:jc w:val="both"/>
        <w:rPr>
          <w:rFonts w:ascii="Times New Roman" w:hAnsi="Times New Roman" w:cs="Times New Roman"/>
          <w:lang w:val="tr-TR"/>
        </w:rPr>
      </w:pPr>
      <w:r>
        <w:rPr>
          <w:rFonts w:ascii="Times New Roman" w:hAnsi="Times New Roman" w:cs="Times New Roman"/>
          <w:b/>
          <w:bCs/>
          <w:lang w:val="tr-TR"/>
        </w:rPr>
        <w:t>Table-1</w:t>
      </w:r>
      <w:r>
        <w:rPr>
          <w:rFonts w:ascii="Times New Roman" w:hAnsi="Times New Roman" w:cs="Times New Roman"/>
          <w:lang w:val="tr-TR"/>
        </w:rPr>
        <w:t xml:space="preserve"> Karaman Score components</w:t>
      </w:r>
    </w:p>
    <w:tbl>
      <w:tblPr>
        <w:tblStyle w:val="TableGrid"/>
        <w:tblW w:w="0" w:type="auto"/>
        <w:tblLook w:val="04A0" w:firstRow="1" w:lastRow="0" w:firstColumn="1" w:lastColumn="0" w:noHBand="0" w:noVBand="1"/>
      </w:tblPr>
      <w:tblGrid>
        <w:gridCol w:w="3369"/>
        <w:gridCol w:w="883"/>
        <w:gridCol w:w="961"/>
      </w:tblGrid>
      <w:tr w:rsidR="009F4881" w14:paraId="2CF2D5B9" w14:textId="77777777" w:rsidTr="00825F63">
        <w:tc>
          <w:tcPr>
            <w:tcW w:w="3369" w:type="dxa"/>
          </w:tcPr>
          <w:p w14:paraId="1F641134" w14:textId="77777777" w:rsidR="009F4881" w:rsidRDefault="009F4881" w:rsidP="00825F63">
            <w:pPr>
              <w:rPr>
                <w:rFonts w:ascii="Times New Roman" w:hAnsi="Times New Roman" w:cs="Times New Roman"/>
                <w:b/>
                <w:bCs/>
                <w:lang w:val="tr-TR"/>
              </w:rPr>
            </w:pPr>
            <w:r>
              <w:rPr>
                <w:rFonts w:ascii="Times New Roman" w:hAnsi="Times New Roman" w:cs="Times New Roman"/>
                <w:b/>
                <w:bCs/>
              </w:rPr>
              <w:t>Karaman Score</w:t>
            </w:r>
          </w:p>
        </w:tc>
        <w:tc>
          <w:tcPr>
            <w:tcW w:w="883" w:type="dxa"/>
          </w:tcPr>
          <w:p w14:paraId="5CF4BFE5" w14:textId="77777777" w:rsidR="009F4881" w:rsidRDefault="009F4881" w:rsidP="00825F63">
            <w:pPr>
              <w:jc w:val="center"/>
              <w:rPr>
                <w:rFonts w:ascii="Times New Roman" w:hAnsi="Times New Roman" w:cs="Times New Roman"/>
                <w:b/>
                <w:bCs/>
                <w:lang w:val="tr-TR"/>
              </w:rPr>
            </w:pPr>
            <w:r>
              <w:rPr>
                <w:rFonts w:ascii="Times New Roman" w:hAnsi="Times New Roman" w:cs="Times New Roman"/>
                <w:b/>
                <w:bCs/>
                <w:lang w:val="tr-TR"/>
              </w:rPr>
              <w:t>Positive</w:t>
            </w:r>
          </w:p>
        </w:tc>
        <w:tc>
          <w:tcPr>
            <w:tcW w:w="961" w:type="dxa"/>
          </w:tcPr>
          <w:p w14:paraId="3472A363" w14:textId="77777777" w:rsidR="009F4881" w:rsidRDefault="009F4881" w:rsidP="00825F63">
            <w:pPr>
              <w:jc w:val="center"/>
              <w:rPr>
                <w:rFonts w:ascii="Times New Roman" w:hAnsi="Times New Roman" w:cs="Times New Roman"/>
                <w:b/>
                <w:bCs/>
                <w:lang w:val="tr-TR"/>
              </w:rPr>
            </w:pPr>
            <w:r>
              <w:rPr>
                <w:rFonts w:ascii="Times New Roman" w:hAnsi="Times New Roman" w:cs="Times New Roman"/>
                <w:b/>
                <w:bCs/>
                <w:lang w:val="tr-TR"/>
              </w:rPr>
              <w:t>Negative</w:t>
            </w:r>
          </w:p>
        </w:tc>
      </w:tr>
      <w:tr w:rsidR="009F4881" w14:paraId="3702AEB1" w14:textId="77777777" w:rsidTr="00825F63">
        <w:tc>
          <w:tcPr>
            <w:tcW w:w="3369" w:type="dxa"/>
          </w:tcPr>
          <w:p w14:paraId="7AFDDBFE" w14:textId="77777777" w:rsidR="009F4881" w:rsidRDefault="009F4881" w:rsidP="00825F63">
            <w:pPr>
              <w:rPr>
                <w:rFonts w:ascii="Times New Roman" w:hAnsi="Times New Roman" w:cs="Times New Roman"/>
                <w:b/>
                <w:bCs/>
                <w:lang w:val="tr-TR"/>
              </w:rPr>
            </w:pPr>
            <w:r>
              <w:rPr>
                <w:rFonts w:ascii="Times New Roman" w:hAnsi="Times New Roman" w:cs="Times New Roman"/>
                <w:b/>
                <w:bCs/>
              </w:rPr>
              <w:t>Symptoms</w:t>
            </w:r>
          </w:p>
        </w:tc>
        <w:tc>
          <w:tcPr>
            <w:tcW w:w="883" w:type="dxa"/>
          </w:tcPr>
          <w:p w14:paraId="77ED8B8B" w14:textId="77777777" w:rsidR="009F4881" w:rsidRDefault="009F4881" w:rsidP="00825F63">
            <w:pPr>
              <w:rPr>
                <w:rFonts w:ascii="Times New Roman" w:hAnsi="Times New Roman" w:cs="Times New Roman"/>
                <w:b/>
                <w:bCs/>
                <w:lang w:val="tr-TR"/>
              </w:rPr>
            </w:pPr>
          </w:p>
        </w:tc>
        <w:tc>
          <w:tcPr>
            <w:tcW w:w="961" w:type="dxa"/>
          </w:tcPr>
          <w:p w14:paraId="6F0F3F77" w14:textId="77777777" w:rsidR="009F4881" w:rsidRDefault="009F4881" w:rsidP="00825F63">
            <w:pPr>
              <w:rPr>
                <w:rFonts w:ascii="Times New Roman" w:hAnsi="Times New Roman" w:cs="Times New Roman"/>
                <w:b/>
                <w:bCs/>
                <w:lang w:val="tr-TR"/>
              </w:rPr>
            </w:pPr>
          </w:p>
        </w:tc>
      </w:tr>
      <w:tr w:rsidR="009F4881" w14:paraId="74C07C8D" w14:textId="77777777" w:rsidTr="00825F63">
        <w:tc>
          <w:tcPr>
            <w:tcW w:w="3369" w:type="dxa"/>
          </w:tcPr>
          <w:p w14:paraId="7CF49CE1" w14:textId="77777777" w:rsidR="009F4881" w:rsidRDefault="009F4881" w:rsidP="00825F63">
            <w:pPr>
              <w:rPr>
                <w:rFonts w:ascii="Times New Roman" w:hAnsi="Times New Roman" w:cs="Times New Roman"/>
                <w:lang w:val="tr-TR"/>
              </w:rPr>
            </w:pPr>
            <w:r>
              <w:rPr>
                <w:rFonts w:ascii="Times New Roman" w:hAnsi="Times New Roman" w:cs="Times New Roman"/>
                <w:lang w:val="tr-TR"/>
              </w:rPr>
              <w:t>Anorexia</w:t>
            </w:r>
          </w:p>
        </w:tc>
        <w:tc>
          <w:tcPr>
            <w:tcW w:w="883" w:type="dxa"/>
          </w:tcPr>
          <w:p w14:paraId="4F33691C"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+2</w:t>
            </w:r>
          </w:p>
        </w:tc>
        <w:tc>
          <w:tcPr>
            <w:tcW w:w="961" w:type="dxa"/>
          </w:tcPr>
          <w:p w14:paraId="02543D4E"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-1</w:t>
            </w:r>
          </w:p>
        </w:tc>
      </w:tr>
      <w:tr w:rsidR="009F4881" w14:paraId="0C4961E0" w14:textId="77777777" w:rsidTr="00825F63">
        <w:tc>
          <w:tcPr>
            <w:tcW w:w="3369" w:type="dxa"/>
          </w:tcPr>
          <w:p w14:paraId="1777154E" w14:textId="77777777" w:rsidR="009F4881" w:rsidRDefault="009F4881" w:rsidP="00825F63">
            <w:pPr>
              <w:rPr>
                <w:rFonts w:ascii="Times New Roman" w:hAnsi="Times New Roman" w:cs="Times New Roman"/>
                <w:lang w:val="tr-TR"/>
              </w:rPr>
            </w:pPr>
            <w:r>
              <w:rPr>
                <w:rFonts w:ascii="Times New Roman" w:hAnsi="Times New Roman" w:cs="Times New Roman"/>
                <w:lang w:val="tr-TR"/>
              </w:rPr>
              <w:t>Migratory right iliac fossa pain</w:t>
            </w:r>
          </w:p>
        </w:tc>
        <w:tc>
          <w:tcPr>
            <w:tcW w:w="883" w:type="dxa"/>
          </w:tcPr>
          <w:p w14:paraId="4E7900EA"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+2</w:t>
            </w:r>
          </w:p>
        </w:tc>
        <w:tc>
          <w:tcPr>
            <w:tcW w:w="961" w:type="dxa"/>
          </w:tcPr>
          <w:p w14:paraId="1324F7F6"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-1</w:t>
            </w:r>
          </w:p>
        </w:tc>
      </w:tr>
      <w:tr w:rsidR="009F4881" w14:paraId="69695865" w14:textId="77777777" w:rsidTr="00825F63">
        <w:tc>
          <w:tcPr>
            <w:tcW w:w="3369" w:type="dxa"/>
          </w:tcPr>
          <w:p w14:paraId="763C891E" w14:textId="77777777" w:rsidR="009F4881" w:rsidRDefault="009F4881" w:rsidP="00825F63">
            <w:pPr>
              <w:rPr>
                <w:rFonts w:ascii="Times New Roman" w:hAnsi="Times New Roman" w:cs="Times New Roman"/>
                <w:b/>
                <w:bCs/>
                <w:lang w:val="tr-TR"/>
              </w:rPr>
            </w:pPr>
            <w:r>
              <w:rPr>
                <w:rFonts w:ascii="Times New Roman" w:hAnsi="Times New Roman" w:cs="Times New Roman"/>
                <w:b/>
                <w:bCs/>
                <w:lang w:val="tr-TR"/>
              </w:rPr>
              <w:t xml:space="preserve">Signs </w:t>
            </w:r>
          </w:p>
        </w:tc>
        <w:tc>
          <w:tcPr>
            <w:tcW w:w="883" w:type="dxa"/>
          </w:tcPr>
          <w:p w14:paraId="0B652D53" w14:textId="77777777" w:rsidR="009F4881" w:rsidRDefault="009F4881" w:rsidP="00825F63">
            <w:pPr>
              <w:jc w:val="center"/>
              <w:rPr>
                <w:rFonts w:ascii="Times New Roman" w:hAnsi="Times New Roman" w:cs="Times New Roman"/>
                <w:lang w:val="tr-TR"/>
              </w:rPr>
            </w:pPr>
          </w:p>
        </w:tc>
        <w:tc>
          <w:tcPr>
            <w:tcW w:w="961" w:type="dxa"/>
          </w:tcPr>
          <w:p w14:paraId="43889282" w14:textId="77777777" w:rsidR="009F4881" w:rsidRDefault="009F4881" w:rsidP="00825F63">
            <w:pPr>
              <w:jc w:val="center"/>
              <w:rPr>
                <w:rFonts w:ascii="Times New Roman" w:hAnsi="Times New Roman" w:cs="Times New Roman"/>
                <w:lang w:val="tr-TR"/>
              </w:rPr>
            </w:pPr>
          </w:p>
        </w:tc>
      </w:tr>
      <w:tr w:rsidR="009F4881" w14:paraId="494FE2BC" w14:textId="77777777" w:rsidTr="00825F63">
        <w:tc>
          <w:tcPr>
            <w:tcW w:w="3369" w:type="dxa"/>
          </w:tcPr>
          <w:p w14:paraId="09710C5C" w14:textId="77777777" w:rsidR="009F4881" w:rsidRDefault="009F4881" w:rsidP="00825F63">
            <w:pPr>
              <w:rPr>
                <w:rFonts w:ascii="Times New Roman" w:hAnsi="Times New Roman" w:cs="Times New Roman"/>
                <w:lang w:val="tr-TR"/>
              </w:rPr>
            </w:pPr>
            <w:r>
              <w:rPr>
                <w:rFonts w:ascii="Times New Roman" w:hAnsi="Times New Roman" w:cs="Times New Roman"/>
                <w:lang w:val="tr-TR"/>
              </w:rPr>
              <w:t>Rebound tenderness in right iliac fossa</w:t>
            </w:r>
          </w:p>
        </w:tc>
        <w:tc>
          <w:tcPr>
            <w:tcW w:w="883" w:type="dxa"/>
          </w:tcPr>
          <w:p w14:paraId="50F3EDF4"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+2</w:t>
            </w:r>
          </w:p>
        </w:tc>
        <w:tc>
          <w:tcPr>
            <w:tcW w:w="961" w:type="dxa"/>
          </w:tcPr>
          <w:p w14:paraId="38FC7CE3"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-1</w:t>
            </w:r>
          </w:p>
        </w:tc>
      </w:tr>
      <w:tr w:rsidR="009F4881" w14:paraId="4523021C" w14:textId="77777777" w:rsidTr="00825F63">
        <w:tc>
          <w:tcPr>
            <w:tcW w:w="3369" w:type="dxa"/>
          </w:tcPr>
          <w:p w14:paraId="18BA3113" w14:textId="77777777" w:rsidR="009F4881" w:rsidRDefault="009F4881" w:rsidP="00825F63">
            <w:pPr>
              <w:rPr>
                <w:rFonts w:ascii="Times New Roman" w:hAnsi="Times New Roman" w:cs="Times New Roman"/>
                <w:lang w:val="tr-TR"/>
              </w:rPr>
            </w:pPr>
            <w:r>
              <w:rPr>
                <w:rFonts w:ascii="Times New Roman" w:hAnsi="Times New Roman" w:cs="Times New Roman"/>
                <w:lang w:val="tr-TR"/>
              </w:rPr>
              <w:t>Peritoneal irritation in right iliac fossa with heavy coughing</w:t>
            </w:r>
          </w:p>
        </w:tc>
        <w:tc>
          <w:tcPr>
            <w:tcW w:w="883" w:type="dxa"/>
          </w:tcPr>
          <w:p w14:paraId="39F95329"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+2</w:t>
            </w:r>
          </w:p>
        </w:tc>
        <w:tc>
          <w:tcPr>
            <w:tcW w:w="961" w:type="dxa"/>
          </w:tcPr>
          <w:p w14:paraId="2CF81AA5"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-1</w:t>
            </w:r>
          </w:p>
        </w:tc>
      </w:tr>
      <w:tr w:rsidR="009F4881" w14:paraId="417645E6" w14:textId="77777777" w:rsidTr="00825F63">
        <w:tc>
          <w:tcPr>
            <w:tcW w:w="3369" w:type="dxa"/>
          </w:tcPr>
          <w:p w14:paraId="6B14C1AA" w14:textId="77777777" w:rsidR="009F4881" w:rsidRDefault="009F4881" w:rsidP="00825F63">
            <w:pPr>
              <w:rPr>
                <w:rFonts w:ascii="Times New Roman" w:hAnsi="Times New Roman" w:cs="Times New Roman"/>
                <w:b/>
                <w:bCs/>
                <w:lang w:val="tr-TR"/>
              </w:rPr>
            </w:pPr>
            <w:r>
              <w:rPr>
                <w:rFonts w:ascii="Times New Roman" w:hAnsi="Times New Roman" w:cs="Times New Roman"/>
                <w:b/>
                <w:bCs/>
                <w:lang w:val="tr-TR"/>
              </w:rPr>
              <w:t xml:space="preserve">Laboratory findings </w:t>
            </w:r>
          </w:p>
        </w:tc>
        <w:tc>
          <w:tcPr>
            <w:tcW w:w="883" w:type="dxa"/>
          </w:tcPr>
          <w:p w14:paraId="16567A44" w14:textId="77777777" w:rsidR="009F4881" w:rsidRDefault="009F4881" w:rsidP="00825F63">
            <w:pPr>
              <w:jc w:val="center"/>
              <w:rPr>
                <w:rFonts w:ascii="Times New Roman" w:hAnsi="Times New Roman" w:cs="Times New Roman"/>
                <w:lang w:val="tr-TR"/>
              </w:rPr>
            </w:pPr>
          </w:p>
        </w:tc>
        <w:tc>
          <w:tcPr>
            <w:tcW w:w="961" w:type="dxa"/>
          </w:tcPr>
          <w:p w14:paraId="0E9D3E93" w14:textId="77777777" w:rsidR="009F4881" w:rsidRDefault="009F4881" w:rsidP="00825F63">
            <w:pPr>
              <w:jc w:val="center"/>
              <w:rPr>
                <w:rFonts w:ascii="Times New Roman" w:hAnsi="Times New Roman" w:cs="Times New Roman"/>
                <w:lang w:val="tr-TR"/>
              </w:rPr>
            </w:pPr>
          </w:p>
        </w:tc>
      </w:tr>
      <w:tr w:rsidR="009F4881" w14:paraId="06B22B1E" w14:textId="77777777" w:rsidTr="00825F63">
        <w:tc>
          <w:tcPr>
            <w:tcW w:w="3369" w:type="dxa"/>
          </w:tcPr>
          <w:p w14:paraId="716460BE" w14:textId="77777777" w:rsidR="009F4881" w:rsidRDefault="009F4881" w:rsidP="00825F63">
            <w:pPr>
              <w:rPr>
                <w:rFonts w:ascii="Times New Roman" w:hAnsi="Times New Roman" w:cs="Times New Roman"/>
                <w:lang w:val="tr-TR"/>
              </w:rPr>
            </w:pPr>
            <w:r>
              <w:rPr>
                <w:rFonts w:ascii="Times New Roman" w:hAnsi="Times New Roman" w:cs="Times New Roman"/>
                <w:lang w:val="tr-TR"/>
              </w:rPr>
              <w:t xml:space="preserve">WBC&gt;10.000/mm3 </w:t>
            </w:r>
          </w:p>
        </w:tc>
        <w:tc>
          <w:tcPr>
            <w:tcW w:w="883" w:type="dxa"/>
          </w:tcPr>
          <w:p w14:paraId="32E05136"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+2</w:t>
            </w:r>
          </w:p>
        </w:tc>
        <w:tc>
          <w:tcPr>
            <w:tcW w:w="961" w:type="dxa"/>
          </w:tcPr>
          <w:p w14:paraId="62984594"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-1</w:t>
            </w:r>
          </w:p>
        </w:tc>
      </w:tr>
      <w:tr w:rsidR="009F4881" w14:paraId="0DB08E63" w14:textId="77777777" w:rsidTr="00825F63">
        <w:tc>
          <w:tcPr>
            <w:tcW w:w="3369" w:type="dxa"/>
          </w:tcPr>
          <w:p w14:paraId="7C2CC409" w14:textId="77777777" w:rsidR="009F4881" w:rsidRDefault="009F4881" w:rsidP="00825F63">
            <w:pPr>
              <w:rPr>
                <w:rFonts w:ascii="Times New Roman" w:hAnsi="Times New Roman" w:cs="Times New Roman"/>
                <w:lang w:val="tr-TR"/>
              </w:rPr>
            </w:pPr>
            <w:r>
              <w:rPr>
                <w:rFonts w:ascii="Times New Roman" w:hAnsi="Times New Roman" w:cs="Times New Roman"/>
                <w:lang w:val="tr-TR"/>
              </w:rPr>
              <w:t xml:space="preserve">PMNL &gt;70% </w:t>
            </w:r>
          </w:p>
        </w:tc>
        <w:tc>
          <w:tcPr>
            <w:tcW w:w="883" w:type="dxa"/>
          </w:tcPr>
          <w:p w14:paraId="5C697891"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+2</w:t>
            </w:r>
          </w:p>
        </w:tc>
        <w:tc>
          <w:tcPr>
            <w:tcW w:w="961" w:type="dxa"/>
          </w:tcPr>
          <w:p w14:paraId="554330B6"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-1</w:t>
            </w:r>
          </w:p>
        </w:tc>
      </w:tr>
      <w:tr w:rsidR="009F4881" w14:paraId="3D53BDF8" w14:textId="77777777" w:rsidTr="00825F63">
        <w:tc>
          <w:tcPr>
            <w:tcW w:w="3369" w:type="dxa"/>
          </w:tcPr>
          <w:p w14:paraId="49531E64" w14:textId="77777777" w:rsidR="009F4881" w:rsidRDefault="009F4881" w:rsidP="00825F63">
            <w:pPr>
              <w:rPr>
                <w:rFonts w:ascii="Times New Roman" w:hAnsi="Times New Roman" w:cs="Times New Roman"/>
                <w:b/>
                <w:bCs/>
                <w:lang w:val="tr-TR"/>
              </w:rPr>
            </w:pPr>
            <w:r>
              <w:rPr>
                <w:rFonts w:ascii="Times New Roman" w:hAnsi="Times New Roman" w:cs="Times New Roman"/>
                <w:b/>
                <w:bCs/>
                <w:lang w:val="tr-TR"/>
              </w:rPr>
              <w:t>Total points</w:t>
            </w:r>
          </w:p>
        </w:tc>
        <w:tc>
          <w:tcPr>
            <w:tcW w:w="883" w:type="dxa"/>
          </w:tcPr>
          <w:p w14:paraId="14C1C589"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+12</w:t>
            </w:r>
          </w:p>
        </w:tc>
        <w:tc>
          <w:tcPr>
            <w:tcW w:w="961" w:type="dxa"/>
          </w:tcPr>
          <w:p w14:paraId="68C3DF20"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-6</w:t>
            </w:r>
          </w:p>
        </w:tc>
      </w:tr>
    </w:tbl>
    <w:p w14:paraId="50ABA9C9" w14:textId="77777777" w:rsidR="009F4881" w:rsidRDefault="009F4881" w:rsidP="009F4881">
      <w:pPr>
        <w:rPr>
          <w:rFonts w:ascii="Times New Roman" w:hAnsi="Times New Roman" w:cs="Times New Roman"/>
          <w:lang w:val="tr-TR"/>
        </w:rPr>
      </w:pPr>
      <w:r>
        <w:rPr>
          <w:rFonts w:ascii="Times New Roman" w:hAnsi="Times New Roman" w:cs="Times New Roman"/>
          <w:b/>
          <w:bCs/>
          <w:lang w:val="tr-TR"/>
        </w:rPr>
        <w:t>PMNL:</w:t>
      </w:r>
      <w:r>
        <w:rPr>
          <w:rFonts w:ascii="Times New Roman" w:hAnsi="Times New Roman" w:cs="Times New Roman"/>
          <w:lang w:val="tr-TR"/>
        </w:rPr>
        <w:t xml:space="preserve"> P</w:t>
      </w:r>
      <w:proofErr w:type="spellStart"/>
      <w:r>
        <w:rPr>
          <w:rFonts w:ascii="Times New Roman" w:hAnsi="Times New Roman" w:cs="Times New Roman"/>
        </w:rPr>
        <w:t>olymorphonuclear</w:t>
      </w:r>
      <w:proofErr w:type="spellEnd"/>
      <w:r>
        <w:rPr>
          <w:rFonts w:ascii="Times New Roman" w:hAnsi="Times New Roman" w:cs="Times New Roman"/>
        </w:rPr>
        <w:t xml:space="preserve"> leukocyte</w:t>
      </w:r>
      <w:r>
        <w:rPr>
          <w:rFonts w:ascii="Times New Roman" w:hAnsi="Times New Roman" w:cs="Times New Roman"/>
          <w:lang w:val="tr-TR"/>
        </w:rPr>
        <w:t xml:space="preserve"> </w:t>
      </w:r>
      <w:r>
        <w:rPr>
          <w:rFonts w:ascii="Times New Roman" w:hAnsi="Times New Roman" w:cs="Times New Roman"/>
          <w:b/>
          <w:bCs/>
          <w:lang w:val="tr-TR"/>
        </w:rPr>
        <w:t>WBC:</w:t>
      </w:r>
      <w:r>
        <w:rPr>
          <w:rFonts w:ascii="Times New Roman" w:hAnsi="Times New Roman" w:cs="Times New Roman"/>
          <w:lang w:val="tr-TR"/>
        </w:rPr>
        <w:t xml:space="preserve"> White blood cell</w:t>
      </w:r>
    </w:p>
    <w:p w14:paraId="649D63ED" w14:textId="77777777" w:rsidR="009F4881" w:rsidRDefault="009F4881" w:rsidP="009F4881">
      <w:pPr>
        <w:widowControl w:val="0"/>
        <w:jc w:val="both"/>
        <w:rPr>
          <w:rFonts w:ascii="Times New Roman" w:hAnsi="Times New Roman" w:cs="Times New Roman"/>
          <w:lang w:val="tr-TR"/>
        </w:rPr>
      </w:pPr>
    </w:p>
    <w:p w14:paraId="050F681F" w14:textId="77777777" w:rsidR="009F4881" w:rsidRDefault="009F4881" w:rsidP="009F4881">
      <w:pPr>
        <w:widowControl w:val="0"/>
        <w:jc w:val="both"/>
        <w:rPr>
          <w:rFonts w:ascii="Times New Roman" w:hAnsi="Times New Roman" w:cs="Times New Roman"/>
          <w:lang w:val="tr-TR"/>
        </w:rPr>
      </w:pPr>
    </w:p>
    <w:p w14:paraId="3B1A2BC1" w14:textId="77777777" w:rsidR="009F4881" w:rsidRDefault="009F4881" w:rsidP="009F4881">
      <w:pPr>
        <w:widowControl w:val="0"/>
        <w:jc w:val="both"/>
        <w:rPr>
          <w:rFonts w:ascii="Times New Roman" w:hAnsi="Times New Roman" w:cs="Times New Roman"/>
          <w:lang w:val="tr-TR"/>
        </w:rPr>
      </w:pPr>
    </w:p>
    <w:p w14:paraId="760D5151" w14:textId="77777777" w:rsidR="009F4881" w:rsidRDefault="009F4881" w:rsidP="009F4881">
      <w:pPr>
        <w:widowControl w:val="0"/>
        <w:jc w:val="both"/>
        <w:rPr>
          <w:rFonts w:ascii="Times New Roman" w:hAnsi="Times New Roman" w:cs="Times New Roman"/>
          <w:lang w:val="tr-TR"/>
        </w:rPr>
      </w:pPr>
      <w:r>
        <w:rPr>
          <w:rFonts w:ascii="Times New Roman" w:hAnsi="Times New Roman" w:cs="Times New Roman"/>
          <w:b/>
          <w:bCs/>
          <w:lang w:val="tr-TR"/>
        </w:rPr>
        <w:t xml:space="preserve">Table-2 </w:t>
      </w:r>
      <w:r>
        <w:rPr>
          <w:rFonts w:ascii="Times New Roman" w:hAnsi="Times New Roman"/>
          <w:lang w:val="tr-TR"/>
        </w:rPr>
        <w:t>Distribution of treatment options, histopathology and radiology results</w:t>
      </w:r>
    </w:p>
    <w:tbl>
      <w:tblPr>
        <w:tblStyle w:val="TableGrid"/>
        <w:tblW w:w="0" w:type="auto"/>
        <w:tblLayout w:type="fixed"/>
        <w:tblLook w:val="04A0" w:firstRow="1" w:lastRow="0" w:firstColumn="1" w:lastColumn="0" w:noHBand="0" w:noVBand="1"/>
      </w:tblPr>
      <w:tblGrid>
        <w:gridCol w:w="3421"/>
        <w:gridCol w:w="1116"/>
        <w:gridCol w:w="1140"/>
        <w:gridCol w:w="792"/>
      </w:tblGrid>
      <w:tr w:rsidR="009F4881" w14:paraId="6050BF50" w14:textId="77777777" w:rsidTr="00825F63">
        <w:trPr>
          <w:trHeight w:val="295"/>
        </w:trPr>
        <w:tc>
          <w:tcPr>
            <w:tcW w:w="3421" w:type="dxa"/>
            <w:tcBorders>
              <w:top w:val="single" w:sz="12" w:space="0" w:color="000000"/>
              <w:left w:val="single" w:sz="12" w:space="0" w:color="000000"/>
              <w:bottom w:val="single" w:sz="12" w:space="0" w:color="000000"/>
              <w:right w:val="single" w:sz="12" w:space="0" w:color="000000"/>
            </w:tcBorders>
          </w:tcPr>
          <w:p w14:paraId="77F59831" w14:textId="77777777" w:rsidR="009F4881" w:rsidRDefault="009F4881" w:rsidP="00825F63">
            <w:pPr>
              <w:rPr>
                <w:rFonts w:ascii="Times New Roman" w:hAnsi="Times New Roman" w:cs="Times New Roman"/>
                <w:b/>
                <w:bCs/>
                <w:lang w:val="tr-TR"/>
              </w:rPr>
            </w:pPr>
            <w:r>
              <w:rPr>
                <w:rFonts w:ascii="Times New Roman" w:hAnsi="Times New Roman" w:cs="Times New Roman"/>
                <w:b/>
                <w:bCs/>
                <w:lang w:val="tr-TR"/>
              </w:rPr>
              <w:t xml:space="preserve">Surgery Intervention, </w:t>
            </w:r>
            <w:r>
              <w:rPr>
                <w:rFonts w:ascii="Times New Roman" w:eastAsia="Times New Roman" w:hAnsi="Times New Roman" w:cs="Times New Roman"/>
                <w:b/>
                <w:bCs/>
                <w:color w:val="000000"/>
              </w:rPr>
              <w:t>n</w:t>
            </w:r>
            <w:r>
              <w:rPr>
                <w:rFonts w:ascii="Times New Roman" w:eastAsia="Times New Roman" w:hAnsi="Times New Roman" w:cs="Times New Roman"/>
                <w:b/>
                <w:bCs/>
                <w:color w:val="000000"/>
                <w:lang w:val="tr-TR"/>
              </w:rPr>
              <w:t xml:space="preserve"> </w:t>
            </w:r>
            <w:r>
              <w:rPr>
                <w:rFonts w:ascii="Times New Roman" w:eastAsia="Times New Roman" w:hAnsi="Times New Roman" w:cs="Times New Roman"/>
                <w:b/>
                <w:bCs/>
                <w:color w:val="000000"/>
              </w:rPr>
              <w:t>(%)</w:t>
            </w:r>
          </w:p>
        </w:tc>
        <w:tc>
          <w:tcPr>
            <w:tcW w:w="3048" w:type="dxa"/>
            <w:gridSpan w:val="3"/>
            <w:tcBorders>
              <w:top w:val="single" w:sz="12" w:space="0" w:color="000000"/>
              <w:left w:val="single" w:sz="12" w:space="0" w:color="000000"/>
              <w:bottom w:val="single" w:sz="12" w:space="0" w:color="000000"/>
              <w:right w:val="single" w:sz="12" w:space="0" w:color="000000"/>
            </w:tcBorders>
          </w:tcPr>
          <w:p w14:paraId="23DC951A"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51 (73.9)</w:t>
            </w:r>
          </w:p>
        </w:tc>
      </w:tr>
      <w:tr w:rsidR="009F4881" w14:paraId="655B8B4C" w14:textId="77777777" w:rsidTr="00825F63">
        <w:tc>
          <w:tcPr>
            <w:tcW w:w="6469" w:type="dxa"/>
            <w:gridSpan w:val="4"/>
            <w:tcBorders>
              <w:top w:val="single" w:sz="12" w:space="0" w:color="000000"/>
              <w:left w:val="single" w:sz="12" w:space="0" w:color="000000"/>
              <w:bottom w:val="single" w:sz="12" w:space="0" w:color="000000"/>
              <w:right w:val="single" w:sz="12" w:space="0" w:color="000000"/>
            </w:tcBorders>
          </w:tcPr>
          <w:p w14:paraId="14C85B19" w14:textId="77777777" w:rsidR="009F4881" w:rsidRDefault="009F4881" w:rsidP="00825F63">
            <w:pPr>
              <w:jc w:val="left"/>
              <w:rPr>
                <w:rFonts w:ascii="Times New Roman" w:hAnsi="Times New Roman" w:cs="Times New Roman"/>
              </w:rPr>
            </w:pPr>
            <w:r>
              <w:rPr>
                <w:rFonts w:ascii="Times New Roman" w:eastAsia="Times New Roman" w:hAnsi="Times New Roman" w:cs="Times New Roman"/>
                <w:b/>
                <w:color w:val="000000"/>
              </w:rPr>
              <w:t xml:space="preserve">Histopathological signs, </w:t>
            </w:r>
            <w:r>
              <w:rPr>
                <w:rFonts w:ascii="Times New Roman" w:eastAsia="Times New Roman" w:hAnsi="Times New Roman" w:cs="Times New Roman"/>
                <w:b/>
                <w:bCs/>
                <w:color w:val="000000"/>
              </w:rPr>
              <w:t>n</w:t>
            </w:r>
            <w:r>
              <w:rPr>
                <w:rFonts w:ascii="Times New Roman" w:eastAsia="Times New Roman" w:hAnsi="Times New Roman" w:cs="Times New Roman"/>
                <w:b/>
                <w:bCs/>
                <w:color w:val="000000"/>
                <w:lang w:val="tr-TR"/>
              </w:rPr>
              <w:t xml:space="preserve"> </w:t>
            </w:r>
            <w:r>
              <w:rPr>
                <w:rFonts w:ascii="Times New Roman" w:eastAsia="Times New Roman" w:hAnsi="Times New Roman" w:cs="Times New Roman"/>
                <w:b/>
                <w:bCs/>
                <w:color w:val="000000"/>
              </w:rPr>
              <w:t>(%)</w:t>
            </w:r>
          </w:p>
        </w:tc>
      </w:tr>
      <w:tr w:rsidR="009F4881" w14:paraId="77CC35C0" w14:textId="77777777" w:rsidTr="00825F63">
        <w:tc>
          <w:tcPr>
            <w:tcW w:w="3421" w:type="dxa"/>
            <w:tcBorders>
              <w:top w:val="single" w:sz="12" w:space="0" w:color="000000"/>
              <w:left w:val="single" w:sz="12" w:space="0" w:color="000000"/>
              <w:bottom w:val="dotted" w:sz="4" w:space="0" w:color="000000"/>
              <w:right w:val="single" w:sz="12" w:space="0" w:color="000000"/>
            </w:tcBorders>
          </w:tcPr>
          <w:p w14:paraId="03FBCBD0" w14:textId="77777777" w:rsidR="009F4881" w:rsidRDefault="009F4881" w:rsidP="00825F63">
            <w:pPr>
              <w:rPr>
                <w:rFonts w:ascii="Times New Roman" w:hAnsi="Times New Roman" w:cs="Times New Roman"/>
                <w:lang w:val="tr-TR"/>
              </w:rPr>
            </w:pPr>
            <w:r>
              <w:rPr>
                <w:rFonts w:ascii="Times New Roman" w:hAnsi="Times New Roman" w:cs="Times New Roman"/>
                <w:lang w:val="tr-TR"/>
              </w:rPr>
              <w:t>Neoplasia</w:t>
            </w:r>
          </w:p>
        </w:tc>
        <w:tc>
          <w:tcPr>
            <w:tcW w:w="3048" w:type="dxa"/>
            <w:gridSpan w:val="3"/>
            <w:tcBorders>
              <w:top w:val="single" w:sz="12" w:space="0" w:color="000000"/>
              <w:left w:val="single" w:sz="12" w:space="0" w:color="000000"/>
              <w:bottom w:val="dotted" w:sz="4" w:space="0" w:color="000000"/>
              <w:right w:val="single" w:sz="12" w:space="0" w:color="000000"/>
            </w:tcBorders>
          </w:tcPr>
          <w:p w14:paraId="6DC69EEF" w14:textId="77777777" w:rsidR="009F4881" w:rsidRDefault="009F4881" w:rsidP="00825F63">
            <w:pPr>
              <w:jc w:val="center"/>
              <w:rPr>
                <w:rFonts w:ascii="Times New Roman" w:hAnsi="Times New Roman" w:cs="Times New Roman"/>
                <w:lang w:val="tr-TR"/>
              </w:rPr>
            </w:pPr>
            <w:r>
              <w:rPr>
                <w:rFonts w:ascii="Times New Roman" w:eastAsia="Times New Roman" w:hAnsi="Times New Roman" w:cs="Times New Roman"/>
                <w:color w:val="000000"/>
              </w:rPr>
              <w:t>1</w:t>
            </w:r>
            <w:r>
              <w:rPr>
                <w:rFonts w:ascii="Times New Roman" w:eastAsia="Times New Roman" w:hAnsi="Times New Roman" w:cs="Times New Roman"/>
                <w:color w:val="000000"/>
                <w:lang w:val="tr-TR"/>
              </w:rPr>
              <w:t xml:space="preserve"> </w:t>
            </w:r>
            <w:r>
              <w:rPr>
                <w:rFonts w:ascii="Times New Roman" w:eastAsia="Times New Roman" w:hAnsi="Times New Roman" w:cs="Times New Roman"/>
                <w:color w:val="000000"/>
              </w:rPr>
              <w:t>(2)</w:t>
            </w:r>
          </w:p>
        </w:tc>
      </w:tr>
      <w:tr w:rsidR="009F4881" w14:paraId="085DA40C" w14:textId="77777777" w:rsidTr="00825F63">
        <w:tc>
          <w:tcPr>
            <w:tcW w:w="6469" w:type="dxa"/>
            <w:gridSpan w:val="4"/>
            <w:tcBorders>
              <w:top w:val="single" w:sz="12" w:space="0" w:color="000000"/>
              <w:left w:val="single" w:sz="12" w:space="0" w:color="000000"/>
              <w:bottom w:val="dotted" w:sz="4" w:space="0" w:color="000000"/>
              <w:right w:val="single" w:sz="12" w:space="0" w:color="000000"/>
            </w:tcBorders>
          </w:tcPr>
          <w:p w14:paraId="7036FB90" w14:textId="77777777" w:rsidR="009F4881" w:rsidRDefault="009F4881" w:rsidP="00825F63">
            <w:pPr>
              <w:jc w:val="left"/>
              <w:rPr>
                <w:rFonts w:ascii="Times New Roman" w:eastAsia="Times New Roman" w:hAnsi="Times New Roman" w:cs="Times New Roman"/>
                <w:color w:val="000000"/>
              </w:rPr>
            </w:pPr>
            <w:r>
              <w:rPr>
                <w:rFonts w:ascii="Times New Roman" w:hAnsi="Times New Roman" w:cs="Times New Roman"/>
                <w:b/>
                <w:bCs/>
                <w:lang w:val="tr-TR"/>
              </w:rPr>
              <w:t>Complicated</w:t>
            </w:r>
          </w:p>
        </w:tc>
      </w:tr>
      <w:tr w:rsidR="009F4881" w14:paraId="1BA001E9" w14:textId="77777777" w:rsidTr="00825F63">
        <w:tc>
          <w:tcPr>
            <w:tcW w:w="3421" w:type="dxa"/>
            <w:tcBorders>
              <w:top w:val="single" w:sz="12" w:space="0" w:color="000000"/>
              <w:left w:val="single" w:sz="12" w:space="0" w:color="000000"/>
              <w:bottom w:val="dotted" w:sz="4" w:space="0" w:color="000000"/>
              <w:right w:val="single" w:sz="12" w:space="0" w:color="000000"/>
            </w:tcBorders>
          </w:tcPr>
          <w:p w14:paraId="0B6B2705" w14:textId="77777777" w:rsidR="009F4881" w:rsidRDefault="009F4881" w:rsidP="00825F63">
            <w:pPr>
              <w:pStyle w:val="NormalWeb"/>
              <w:widowControl/>
              <w:rPr>
                <w:lang w:val="tr-TR"/>
              </w:rPr>
            </w:pPr>
            <w:r>
              <w:rPr>
                <w:sz w:val="20"/>
                <w:szCs w:val="20"/>
                <w:lang w:val="tr-TR"/>
              </w:rPr>
              <w:t>G</w:t>
            </w:r>
            <w:proofErr w:type="spellStart"/>
            <w:r>
              <w:rPr>
                <w:sz w:val="20"/>
                <w:szCs w:val="20"/>
              </w:rPr>
              <w:t>angrenous</w:t>
            </w:r>
            <w:proofErr w:type="spellEnd"/>
          </w:p>
        </w:tc>
        <w:tc>
          <w:tcPr>
            <w:tcW w:w="3048" w:type="dxa"/>
            <w:gridSpan w:val="3"/>
            <w:tcBorders>
              <w:top w:val="single" w:sz="12" w:space="0" w:color="000000"/>
              <w:left w:val="single" w:sz="12" w:space="0" w:color="000000"/>
              <w:bottom w:val="dotted" w:sz="4" w:space="0" w:color="000000"/>
              <w:right w:val="single" w:sz="12" w:space="0" w:color="000000"/>
            </w:tcBorders>
          </w:tcPr>
          <w:p w14:paraId="28C4A94F" w14:textId="77777777" w:rsidR="009F4881" w:rsidRDefault="009F4881" w:rsidP="00825F63">
            <w:pPr>
              <w:jc w:val="center"/>
              <w:rPr>
                <w:rFonts w:ascii="Times New Roman" w:eastAsia="Times New Roman" w:hAnsi="Times New Roman" w:cs="Times New Roman"/>
                <w:color w:val="000000"/>
                <w:lang w:val="tr-TR"/>
              </w:rPr>
            </w:pPr>
            <w:r>
              <w:rPr>
                <w:rFonts w:ascii="Times New Roman" w:eastAsia="Times New Roman" w:hAnsi="Times New Roman" w:cs="Times New Roman"/>
                <w:color w:val="000000"/>
                <w:lang w:val="tr-TR"/>
              </w:rPr>
              <w:t>2 (3.9)</w:t>
            </w:r>
          </w:p>
        </w:tc>
      </w:tr>
      <w:tr w:rsidR="009F4881" w14:paraId="49C5622C" w14:textId="77777777" w:rsidTr="00825F63">
        <w:tc>
          <w:tcPr>
            <w:tcW w:w="3421" w:type="dxa"/>
            <w:tcBorders>
              <w:top w:val="dotted" w:sz="4" w:space="0" w:color="000000"/>
              <w:left w:val="single" w:sz="12" w:space="0" w:color="000000"/>
              <w:bottom w:val="dotted" w:sz="4" w:space="0" w:color="000000"/>
              <w:right w:val="single" w:sz="12" w:space="0" w:color="000000"/>
            </w:tcBorders>
          </w:tcPr>
          <w:p w14:paraId="647602B0" w14:textId="77777777" w:rsidR="009F4881" w:rsidRDefault="009F4881" w:rsidP="00825F63">
            <w:pPr>
              <w:rPr>
                <w:rFonts w:ascii="Times New Roman" w:hAnsi="Times New Roman" w:cs="Times New Roman"/>
              </w:rPr>
            </w:pPr>
            <w:r>
              <w:rPr>
                <w:rFonts w:ascii="Times New Roman" w:eastAsia="Times New Roman" w:hAnsi="Times New Roman" w:cs="Times New Roman"/>
                <w:color w:val="000000"/>
              </w:rPr>
              <w:t>Phlegmonous</w:t>
            </w:r>
          </w:p>
        </w:tc>
        <w:tc>
          <w:tcPr>
            <w:tcW w:w="3048" w:type="dxa"/>
            <w:gridSpan w:val="3"/>
            <w:tcBorders>
              <w:top w:val="dotted" w:sz="4" w:space="0" w:color="000000"/>
              <w:left w:val="single" w:sz="12" w:space="0" w:color="000000"/>
              <w:bottom w:val="dotted" w:sz="4" w:space="0" w:color="000000"/>
              <w:right w:val="single" w:sz="12" w:space="0" w:color="000000"/>
            </w:tcBorders>
          </w:tcPr>
          <w:p w14:paraId="1E51F8E0" w14:textId="77777777" w:rsidR="009F4881" w:rsidRDefault="009F4881" w:rsidP="00825F63">
            <w:pPr>
              <w:jc w:val="center"/>
              <w:rPr>
                <w:rFonts w:ascii="Times New Roman" w:hAnsi="Times New Roman" w:cs="Times New Roman"/>
              </w:rPr>
            </w:pPr>
            <w:r>
              <w:rPr>
                <w:rFonts w:ascii="Times New Roman" w:eastAsia="Times New Roman" w:hAnsi="Times New Roman" w:cs="Times New Roman"/>
                <w:color w:val="000000"/>
                <w:lang w:val="tr-TR"/>
              </w:rPr>
              <w:t xml:space="preserve">7 </w:t>
            </w:r>
            <w:r>
              <w:rPr>
                <w:rFonts w:ascii="Times New Roman" w:eastAsia="Times New Roman" w:hAnsi="Times New Roman" w:cs="Times New Roman"/>
                <w:color w:val="000000"/>
              </w:rPr>
              <w:t>(1</w:t>
            </w:r>
            <w:r>
              <w:rPr>
                <w:rFonts w:ascii="Times New Roman" w:eastAsia="Times New Roman" w:hAnsi="Times New Roman" w:cs="Times New Roman"/>
                <w:color w:val="000000"/>
                <w:lang w:val="tr-TR"/>
              </w:rPr>
              <w:t>3</w:t>
            </w:r>
            <w:r>
              <w:rPr>
                <w:rFonts w:ascii="Times New Roman" w:eastAsia="Times New Roman" w:hAnsi="Times New Roman" w:cs="Times New Roman"/>
                <w:color w:val="000000"/>
              </w:rPr>
              <w:t>.</w:t>
            </w:r>
            <w:r>
              <w:rPr>
                <w:rFonts w:ascii="Times New Roman" w:eastAsia="Times New Roman" w:hAnsi="Times New Roman" w:cs="Times New Roman"/>
                <w:color w:val="000000"/>
                <w:lang w:val="tr-TR"/>
              </w:rPr>
              <w:t>7</w:t>
            </w:r>
            <w:r>
              <w:rPr>
                <w:rFonts w:ascii="Times New Roman" w:eastAsia="Times New Roman" w:hAnsi="Times New Roman" w:cs="Times New Roman"/>
                <w:color w:val="000000"/>
              </w:rPr>
              <w:t>)</w:t>
            </w:r>
          </w:p>
        </w:tc>
      </w:tr>
      <w:tr w:rsidR="009F4881" w14:paraId="216A9A42" w14:textId="77777777" w:rsidTr="00825F63">
        <w:tc>
          <w:tcPr>
            <w:tcW w:w="3421" w:type="dxa"/>
            <w:tcBorders>
              <w:top w:val="dotted" w:sz="4" w:space="0" w:color="000000"/>
              <w:left w:val="single" w:sz="12" w:space="0" w:color="000000"/>
              <w:bottom w:val="single" w:sz="12" w:space="0" w:color="auto"/>
              <w:right w:val="single" w:sz="12" w:space="0" w:color="000000"/>
            </w:tcBorders>
          </w:tcPr>
          <w:p w14:paraId="3453FFB0" w14:textId="77777777" w:rsidR="009F4881" w:rsidRDefault="009F4881" w:rsidP="00825F63">
            <w:pPr>
              <w:rPr>
                <w:rFonts w:ascii="Times New Roman" w:hAnsi="Times New Roman" w:cs="Times New Roman"/>
              </w:rPr>
            </w:pPr>
            <w:r>
              <w:rPr>
                <w:rFonts w:ascii="Times New Roman" w:eastAsia="Times New Roman" w:hAnsi="Times New Roman" w:cs="Times New Roman"/>
                <w:color w:val="000000"/>
              </w:rPr>
              <w:t xml:space="preserve">Perforated </w:t>
            </w:r>
          </w:p>
        </w:tc>
        <w:tc>
          <w:tcPr>
            <w:tcW w:w="3048" w:type="dxa"/>
            <w:gridSpan w:val="3"/>
            <w:tcBorders>
              <w:top w:val="dotted" w:sz="4" w:space="0" w:color="000000"/>
              <w:left w:val="single" w:sz="12" w:space="0" w:color="000000"/>
              <w:bottom w:val="single" w:sz="12" w:space="0" w:color="auto"/>
              <w:right w:val="single" w:sz="12" w:space="0" w:color="000000"/>
            </w:tcBorders>
          </w:tcPr>
          <w:p w14:paraId="1584C447" w14:textId="77777777" w:rsidR="009F4881" w:rsidRDefault="009F4881" w:rsidP="00825F63">
            <w:pPr>
              <w:jc w:val="center"/>
              <w:rPr>
                <w:rFonts w:ascii="Times New Roman" w:hAnsi="Times New Roman" w:cs="Times New Roman"/>
              </w:rPr>
            </w:pPr>
            <w:r>
              <w:rPr>
                <w:rFonts w:ascii="Times New Roman" w:eastAsia="Times New Roman" w:hAnsi="Times New Roman" w:cs="Times New Roman"/>
                <w:color w:val="000000"/>
                <w:lang w:val="tr-TR"/>
              </w:rPr>
              <w:t xml:space="preserve">11 </w:t>
            </w:r>
            <w:r>
              <w:rPr>
                <w:rFonts w:ascii="Times New Roman" w:eastAsia="Times New Roman" w:hAnsi="Times New Roman" w:cs="Times New Roman"/>
                <w:color w:val="000000"/>
              </w:rPr>
              <w:t>(</w:t>
            </w:r>
            <w:r>
              <w:rPr>
                <w:rFonts w:ascii="Times New Roman" w:eastAsia="Times New Roman" w:hAnsi="Times New Roman" w:cs="Times New Roman"/>
                <w:color w:val="000000"/>
                <w:lang w:val="tr-TR"/>
              </w:rPr>
              <w:t>21.6</w:t>
            </w:r>
            <w:r>
              <w:rPr>
                <w:rFonts w:ascii="Times New Roman" w:eastAsia="Times New Roman" w:hAnsi="Times New Roman" w:cs="Times New Roman"/>
                <w:color w:val="000000"/>
              </w:rPr>
              <w:t>)</w:t>
            </w:r>
          </w:p>
        </w:tc>
      </w:tr>
      <w:tr w:rsidR="009F4881" w14:paraId="23CB912F" w14:textId="77777777" w:rsidTr="00825F63">
        <w:tc>
          <w:tcPr>
            <w:tcW w:w="6469" w:type="dxa"/>
            <w:gridSpan w:val="4"/>
            <w:tcBorders>
              <w:top w:val="single" w:sz="12" w:space="0" w:color="auto"/>
              <w:left w:val="single" w:sz="12" w:space="0" w:color="000000"/>
              <w:bottom w:val="single" w:sz="12" w:space="0" w:color="auto"/>
              <w:right w:val="single" w:sz="12" w:space="0" w:color="000000"/>
            </w:tcBorders>
          </w:tcPr>
          <w:p w14:paraId="11AC8DE0" w14:textId="77777777" w:rsidR="009F4881" w:rsidRDefault="009F4881" w:rsidP="00825F63">
            <w:pPr>
              <w:jc w:val="left"/>
              <w:rPr>
                <w:rFonts w:ascii="Times New Roman" w:eastAsia="Times New Roman" w:hAnsi="Times New Roman" w:cs="Times New Roman"/>
                <w:color w:val="000000"/>
                <w:lang w:val="tr-TR"/>
              </w:rPr>
            </w:pPr>
            <w:r>
              <w:rPr>
                <w:rFonts w:ascii="Times New Roman" w:hAnsi="Times New Roman" w:cs="Times New Roman"/>
                <w:b/>
                <w:bCs/>
                <w:lang w:val="tr-TR"/>
              </w:rPr>
              <w:t>Uncomplicated</w:t>
            </w:r>
          </w:p>
        </w:tc>
      </w:tr>
      <w:tr w:rsidR="009F4881" w14:paraId="490FD52C" w14:textId="77777777" w:rsidTr="00825F63">
        <w:tc>
          <w:tcPr>
            <w:tcW w:w="3421" w:type="dxa"/>
            <w:tcBorders>
              <w:top w:val="single" w:sz="12" w:space="0" w:color="auto"/>
              <w:left w:val="single" w:sz="12" w:space="0" w:color="000000"/>
              <w:bottom w:val="single" w:sz="12" w:space="0" w:color="000000"/>
              <w:right w:val="single" w:sz="12" w:space="0" w:color="000000"/>
            </w:tcBorders>
          </w:tcPr>
          <w:p w14:paraId="538D8480" w14:textId="77777777" w:rsidR="009F4881" w:rsidRDefault="009F4881" w:rsidP="00825F63">
            <w:pPr>
              <w:rPr>
                <w:rFonts w:ascii="Times New Roman" w:hAnsi="Times New Roman" w:cs="Times New Roman"/>
              </w:rPr>
            </w:pPr>
            <w:r>
              <w:rPr>
                <w:rFonts w:ascii="Times New Roman" w:eastAsia="Times New Roman" w:hAnsi="Times New Roman" w:cs="Times New Roman"/>
                <w:color w:val="000000"/>
              </w:rPr>
              <w:t xml:space="preserve">Acute appendicitis </w:t>
            </w:r>
          </w:p>
        </w:tc>
        <w:tc>
          <w:tcPr>
            <w:tcW w:w="3048" w:type="dxa"/>
            <w:gridSpan w:val="3"/>
            <w:tcBorders>
              <w:top w:val="single" w:sz="12" w:space="0" w:color="auto"/>
              <w:left w:val="single" w:sz="12" w:space="0" w:color="000000"/>
              <w:bottom w:val="single" w:sz="4" w:space="0" w:color="auto"/>
              <w:right w:val="single" w:sz="12" w:space="0" w:color="000000"/>
            </w:tcBorders>
          </w:tcPr>
          <w:p w14:paraId="772106D3" w14:textId="77777777" w:rsidR="009F4881" w:rsidRDefault="009F4881" w:rsidP="00825F63">
            <w:pPr>
              <w:jc w:val="center"/>
              <w:rPr>
                <w:rFonts w:ascii="Times New Roman" w:hAnsi="Times New Roman" w:cs="Times New Roman"/>
              </w:rPr>
            </w:pPr>
            <w:r>
              <w:rPr>
                <w:rFonts w:ascii="Times New Roman" w:eastAsia="Times New Roman" w:hAnsi="Times New Roman" w:cs="Times New Roman"/>
                <w:color w:val="000000"/>
              </w:rPr>
              <w:t>30</w:t>
            </w:r>
            <w:r>
              <w:rPr>
                <w:rFonts w:ascii="Times New Roman" w:eastAsia="Times New Roman" w:hAnsi="Times New Roman" w:cs="Times New Roman"/>
                <w:color w:val="000000"/>
                <w:lang w:val="tr-TR"/>
              </w:rPr>
              <w:t xml:space="preserve"> </w:t>
            </w:r>
            <w:r>
              <w:rPr>
                <w:rFonts w:ascii="Times New Roman" w:eastAsia="Times New Roman" w:hAnsi="Times New Roman" w:cs="Times New Roman"/>
                <w:color w:val="000000"/>
              </w:rPr>
              <w:t>(58.8)</w:t>
            </w:r>
          </w:p>
        </w:tc>
      </w:tr>
      <w:tr w:rsidR="009F4881" w14:paraId="02ABEE52" w14:textId="77777777" w:rsidTr="00825F63">
        <w:tc>
          <w:tcPr>
            <w:tcW w:w="3421" w:type="dxa"/>
            <w:tcBorders>
              <w:top w:val="single" w:sz="12" w:space="0" w:color="000000"/>
              <w:left w:val="single" w:sz="12" w:space="0" w:color="000000"/>
              <w:bottom w:val="single" w:sz="12" w:space="0" w:color="000000"/>
              <w:right w:val="single" w:sz="12" w:space="0" w:color="000000"/>
            </w:tcBorders>
          </w:tcPr>
          <w:p w14:paraId="7F71D106" w14:textId="77777777" w:rsidR="009F4881" w:rsidRDefault="009F4881" w:rsidP="00825F63">
            <w:pPr>
              <w:rPr>
                <w:rFonts w:ascii="Times New Roman" w:hAnsi="Times New Roman" w:cs="Times New Roman"/>
                <w:lang w:val="tr-TR"/>
              </w:rPr>
            </w:pPr>
            <w:r>
              <w:rPr>
                <w:rFonts w:ascii="Times New Roman" w:hAnsi="Times New Roman" w:cs="Times New Roman"/>
                <w:lang w:val="tr-TR"/>
              </w:rPr>
              <w:t>Non-Operative Management</w:t>
            </w:r>
          </w:p>
        </w:tc>
        <w:tc>
          <w:tcPr>
            <w:tcW w:w="3048" w:type="dxa"/>
            <w:gridSpan w:val="3"/>
            <w:tcBorders>
              <w:left w:val="single" w:sz="12" w:space="0" w:color="000000"/>
              <w:bottom w:val="dotted" w:sz="4" w:space="0" w:color="000000"/>
              <w:right w:val="single" w:sz="12" w:space="0" w:color="000000"/>
            </w:tcBorders>
          </w:tcPr>
          <w:p w14:paraId="4C6CBD6D"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18 (26.1)</w:t>
            </w:r>
          </w:p>
        </w:tc>
      </w:tr>
      <w:tr w:rsidR="009F4881" w14:paraId="0BFB8800" w14:textId="77777777" w:rsidTr="00825F63">
        <w:tc>
          <w:tcPr>
            <w:tcW w:w="3421" w:type="dxa"/>
            <w:tcBorders>
              <w:top w:val="single" w:sz="12" w:space="0" w:color="000000"/>
              <w:left w:val="single" w:sz="12" w:space="0" w:color="000000"/>
              <w:bottom w:val="single" w:sz="12" w:space="0" w:color="000000"/>
              <w:right w:val="single" w:sz="12" w:space="0" w:color="000000"/>
            </w:tcBorders>
          </w:tcPr>
          <w:p w14:paraId="18E26C99" w14:textId="77777777" w:rsidR="009F4881" w:rsidRDefault="009F4881" w:rsidP="00825F63">
            <w:pPr>
              <w:rPr>
                <w:rFonts w:ascii="Times New Roman" w:hAnsi="Times New Roman" w:cs="Times New Roman"/>
                <w:lang w:val="tr-TR"/>
              </w:rPr>
            </w:pPr>
            <w:r>
              <w:rPr>
                <w:rFonts w:ascii="Times New Roman" w:hAnsi="Times New Roman" w:cs="Times New Roman"/>
                <w:lang w:val="tr-TR"/>
              </w:rPr>
              <w:t>Recurren in a year</w:t>
            </w:r>
          </w:p>
        </w:tc>
        <w:tc>
          <w:tcPr>
            <w:tcW w:w="3048" w:type="dxa"/>
            <w:gridSpan w:val="3"/>
            <w:tcBorders>
              <w:top w:val="dotted" w:sz="4" w:space="0" w:color="000000"/>
              <w:left w:val="single" w:sz="12" w:space="0" w:color="000000"/>
              <w:right w:val="single" w:sz="12" w:space="0" w:color="000000"/>
            </w:tcBorders>
          </w:tcPr>
          <w:p w14:paraId="416CF4E3"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2 (11.1)</w:t>
            </w:r>
          </w:p>
        </w:tc>
      </w:tr>
      <w:tr w:rsidR="009F4881" w14:paraId="0644BC1C" w14:textId="77777777" w:rsidTr="00825F63">
        <w:tc>
          <w:tcPr>
            <w:tcW w:w="3421" w:type="dxa"/>
            <w:tcBorders>
              <w:top w:val="single" w:sz="12" w:space="0" w:color="000000"/>
              <w:left w:val="single" w:sz="12" w:space="0" w:color="000000"/>
              <w:bottom w:val="single" w:sz="12" w:space="0" w:color="000000"/>
              <w:right w:val="single" w:sz="12" w:space="0" w:color="000000"/>
            </w:tcBorders>
          </w:tcPr>
          <w:p w14:paraId="4B9D322E" w14:textId="77777777" w:rsidR="009F4881" w:rsidRDefault="009F4881" w:rsidP="00825F63">
            <w:pPr>
              <w:rPr>
                <w:rFonts w:ascii="Times New Roman" w:hAnsi="Times New Roman" w:cs="Times New Roman"/>
                <w:lang w:val="tr-TR"/>
              </w:rPr>
            </w:pPr>
            <w:r>
              <w:rPr>
                <w:rFonts w:ascii="Times New Roman" w:hAnsi="Times New Roman" w:cs="Times New Roman"/>
                <w:b/>
                <w:bCs/>
                <w:lang w:val="tr-TR"/>
              </w:rPr>
              <w:lastRenderedPageBreak/>
              <w:t>Radiological Findings, %</w:t>
            </w:r>
          </w:p>
        </w:tc>
        <w:tc>
          <w:tcPr>
            <w:tcW w:w="1116" w:type="dxa"/>
            <w:tcBorders>
              <w:left w:val="single" w:sz="12" w:space="0" w:color="000000"/>
              <w:bottom w:val="single" w:sz="4" w:space="0" w:color="auto"/>
            </w:tcBorders>
          </w:tcPr>
          <w:p w14:paraId="689AE1CE" w14:textId="77777777" w:rsidR="009F4881" w:rsidRDefault="009F4881" w:rsidP="00825F63">
            <w:pPr>
              <w:jc w:val="center"/>
              <w:rPr>
                <w:rFonts w:ascii="Times New Roman" w:hAnsi="Times New Roman" w:cs="Times New Roman"/>
                <w:b/>
                <w:bCs/>
                <w:lang w:val="tr-TR"/>
              </w:rPr>
            </w:pPr>
            <w:r>
              <w:rPr>
                <w:rFonts w:ascii="Times New Roman" w:hAnsi="Times New Roman"/>
                <w:b/>
                <w:bCs/>
              </w:rPr>
              <w:t>Sensitivity</w:t>
            </w:r>
          </w:p>
        </w:tc>
        <w:tc>
          <w:tcPr>
            <w:tcW w:w="1140" w:type="dxa"/>
            <w:tcBorders>
              <w:bottom w:val="single" w:sz="4" w:space="0" w:color="auto"/>
            </w:tcBorders>
          </w:tcPr>
          <w:p w14:paraId="18D58689" w14:textId="77777777" w:rsidR="009F4881" w:rsidRDefault="009F4881" w:rsidP="00825F63">
            <w:pPr>
              <w:jc w:val="center"/>
              <w:rPr>
                <w:rFonts w:ascii="Times New Roman" w:hAnsi="Times New Roman"/>
                <w:b/>
                <w:bCs/>
                <w:lang w:val="tr-TR"/>
              </w:rPr>
            </w:pPr>
            <w:r>
              <w:rPr>
                <w:rFonts w:ascii="Times New Roman" w:hAnsi="Times New Roman"/>
                <w:b/>
                <w:bCs/>
                <w:lang w:val="tr-TR"/>
              </w:rPr>
              <w:t>Specificity</w:t>
            </w:r>
          </w:p>
        </w:tc>
        <w:tc>
          <w:tcPr>
            <w:tcW w:w="792" w:type="dxa"/>
            <w:tcBorders>
              <w:bottom w:val="single" w:sz="4" w:space="0" w:color="auto"/>
              <w:right w:val="single" w:sz="12" w:space="0" w:color="000000"/>
            </w:tcBorders>
          </w:tcPr>
          <w:p w14:paraId="5297026C" w14:textId="77777777" w:rsidR="009F4881" w:rsidRDefault="009F4881" w:rsidP="00825F63">
            <w:pPr>
              <w:jc w:val="center"/>
              <w:rPr>
                <w:rFonts w:ascii="Times New Roman" w:hAnsi="Times New Roman"/>
                <w:b/>
                <w:bCs/>
                <w:lang w:val="tr-TR"/>
              </w:rPr>
            </w:pPr>
            <w:r>
              <w:rPr>
                <w:rFonts w:ascii="Times New Roman" w:hAnsi="Times New Roman"/>
                <w:b/>
                <w:bCs/>
                <w:lang w:val="tr-TR"/>
              </w:rPr>
              <w:t>p*</w:t>
            </w:r>
          </w:p>
        </w:tc>
      </w:tr>
      <w:tr w:rsidR="009F4881" w14:paraId="470A334C" w14:textId="77777777" w:rsidTr="00825F63">
        <w:tc>
          <w:tcPr>
            <w:tcW w:w="3421" w:type="dxa"/>
            <w:tcBorders>
              <w:top w:val="single" w:sz="12" w:space="0" w:color="000000"/>
              <w:left w:val="single" w:sz="12" w:space="0" w:color="000000"/>
              <w:bottom w:val="single" w:sz="4" w:space="0" w:color="auto"/>
              <w:right w:val="single" w:sz="12" w:space="0" w:color="000000"/>
            </w:tcBorders>
          </w:tcPr>
          <w:p w14:paraId="15F12D9B" w14:textId="77777777" w:rsidR="009F4881" w:rsidRDefault="009F4881" w:rsidP="00825F63">
            <w:pPr>
              <w:rPr>
                <w:rFonts w:ascii="Times New Roman" w:hAnsi="Times New Roman" w:cs="Times New Roman"/>
                <w:lang w:val="tr-TR"/>
              </w:rPr>
            </w:pPr>
            <w:r>
              <w:rPr>
                <w:rFonts w:ascii="Times New Roman" w:hAnsi="Times New Roman" w:cs="Times New Roman"/>
                <w:lang w:val="tr-TR"/>
              </w:rPr>
              <w:t>CT</w:t>
            </w:r>
          </w:p>
        </w:tc>
        <w:tc>
          <w:tcPr>
            <w:tcW w:w="1116" w:type="dxa"/>
            <w:tcBorders>
              <w:left w:val="single" w:sz="12" w:space="0" w:color="000000"/>
              <w:bottom w:val="dotted" w:sz="4" w:space="0" w:color="000000"/>
              <w:right w:val="dotted" w:sz="4" w:space="0" w:color="000000"/>
            </w:tcBorders>
          </w:tcPr>
          <w:p w14:paraId="606F45F5"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100</w:t>
            </w:r>
          </w:p>
        </w:tc>
        <w:tc>
          <w:tcPr>
            <w:tcW w:w="1140" w:type="dxa"/>
            <w:tcBorders>
              <w:left w:val="dotted" w:sz="4" w:space="0" w:color="000000"/>
              <w:bottom w:val="dotted" w:sz="4" w:space="0" w:color="000000"/>
              <w:right w:val="dotted" w:sz="4" w:space="0" w:color="000000"/>
            </w:tcBorders>
          </w:tcPr>
          <w:p w14:paraId="27DBC01E"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w:t>
            </w:r>
          </w:p>
        </w:tc>
        <w:tc>
          <w:tcPr>
            <w:tcW w:w="792" w:type="dxa"/>
            <w:tcBorders>
              <w:left w:val="dotted" w:sz="4" w:space="0" w:color="000000"/>
              <w:bottom w:val="dotted" w:sz="4" w:space="0" w:color="000000"/>
              <w:right w:val="single" w:sz="12" w:space="0" w:color="000000"/>
            </w:tcBorders>
          </w:tcPr>
          <w:p w14:paraId="3465F8E5" w14:textId="77777777" w:rsidR="009F4881" w:rsidRDefault="009F4881" w:rsidP="00825F63">
            <w:pPr>
              <w:jc w:val="center"/>
              <w:rPr>
                <w:rFonts w:ascii="Times New Roman" w:hAnsi="Times New Roman" w:cs="Times New Roman"/>
                <w:lang w:val="tr-TR"/>
              </w:rPr>
            </w:pPr>
            <w:r>
              <w:rPr>
                <w:rFonts w:ascii="Times New Roman" w:hAnsi="Times New Roman" w:cs="Times New Roman"/>
                <w:color w:val="000000"/>
              </w:rPr>
              <w:t>p&lt;0.05</w:t>
            </w:r>
          </w:p>
        </w:tc>
      </w:tr>
      <w:tr w:rsidR="009F4881" w14:paraId="4CE96AF3" w14:textId="77777777" w:rsidTr="00825F63">
        <w:tc>
          <w:tcPr>
            <w:tcW w:w="3421" w:type="dxa"/>
            <w:tcBorders>
              <w:left w:val="single" w:sz="12" w:space="0" w:color="000000"/>
              <w:bottom w:val="single" w:sz="12" w:space="0" w:color="000000"/>
              <w:right w:val="single" w:sz="12" w:space="0" w:color="000000"/>
            </w:tcBorders>
          </w:tcPr>
          <w:p w14:paraId="6D5EB6BC" w14:textId="77777777" w:rsidR="009F4881" w:rsidRDefault="009F4881" w:rsidP="00825F63">
            <w:pPr>
              <w:rPr>
                <w:rFonts w:ascii="Times New Roman" w:hAnsi="Times New Roman" w:cs="Times New Roman"/>
                <w:lang w:val="tr-TR"/>
              </w:rPr>
            </w:pPr>
            <w:r>
              <w:rPr>
                <w:rFonts w:ascii="Times New Roman" w:hAnsi="Times New Roman" w:cs="Times New Roman"/>
                <w:lang w:val="tr-TR"/>
              </w:rPr>
              <w:t>US</w:t>
            </w:r>
          </w:p>
        </w:tc>
        <w:tc>
          <w:tcPr>
            <w:tcW w:w="1116" w:type="dxa"/>
            <w:tcBorders>
              <w:top w:val="dotted" w:sz="4" w:space="0" w:color="000000"/>
              <w:left w:val="single" w:sz="12" w:space="0" w:color="000000"/>
              <w:bottom w:val="single" w:sz="12" w:space="0" w:color="000000"/>
              <w:right w:val="dotted" w:sz="4" w:space="0" w:color="000000"/>
            </w:tcBorders>
          </w:tcPr>
          <w:p w14:paraId="6595391D"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67,6</w:t>
            </w:r>
          </w:p>
        </w:tc>
        <w:tc>
          <w:tcPr>
            <w:tcW w:w="1140" w:type="dxa"/>
            <w:tcBorders>
              <w:top w:val="dotted" w:sz="4" w:space="0" w:color="000000"/>
              <w:left w:val="dotted" w:sz="4" w:space="0" w:color="000000"/>
              <w:bottom w:val="single" w:sz="12" w:space="0" w:color="000000"/>
              <w:right w:val="dotted" w:sz="4" w:space="0" w:color="000000"/>
            </w:tcBorders>
          </w:tcPr>
          <w:p w14:paraId="28BD0041"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100</w:t>
            </w:r>
          </w:p>
        </w:tc>
        <w:tc>
          <w:tcPr>
            <w:tcW w:w="792" w:type="dxa"/>
            <w:tcBorders>
              <w:top w:val="dotted" w:sz="4" w:space="0" w:color="000000"/>
              <w:left w:val="dotted" w:sz="4" w:space="0" w:color="000000"/>
              <w:bottom w:val="single" w:sz="12" w:space="0" w:color="000000"/>
              <w:right w:val="single" w:sz="12" w:space="0" w:color="000000"/>
            </w:tcBorders>
          </w:tcPr>
          <w:p w14:paraId="75BF749C"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p&gt;0.05</w:t>
            </w:r>
          </w:p>
        </w:tc>
      </w:tr>
    </w:tbl>
    <w:p w14:paraId="31B8C3DF" w14:textId="77777777" w:rsidR="009F4881" w:rsidRDefault="009F4881" w:rsidP="009F4881">
      <w:pPr>
        <w:jc w:val="both"/>
        <w:rPr>
          <w:rFonts w:ascii="Times New Roman" w:hAnsi="Times New Roman" w:cs="Times New Roman"/>
          <w:lang w:val="tr-TR"/>
        </w:rPr>
      </w:pPr>
      <w:r>
        <w:rPr>
          <w:rFonts w:ascii="Times New Roman" w:hAnsi="Times New Roman" w:cs="Times New Roman"/>
          <w:lang w:val="tr-TR"/>
        </w:rPr>
        <w:t>CT: Computed Tomography, US: Ultrasonography, *Chi-Square</w:t>
      </w:r>
    </w:p>
    <w:p w14:paraId="183F0274" w14:textId="77777777" w:rsidR="009F4881" w:rsidRDefault="009F4881" w:rsidP="009F4881">
      <w:pPr>
        <w:rPr>
          <w:rFonts w:ascii="Times New Roman" w:hAnsi="Times New Roman" w:cs="Times New Roman"/>
          <w:lang w:val="tr-TR"/>
        </w:rPr>
      </w:pPr>
      <w:r>
        <w:rPr>
          <w:rFonts w:ascii="Times New Roman" w:hAnsi="Times New Roman" w:cs="Times New Roman"/>
          <w:b/>
          <w:bCs/>
          <w:lang w:val="tr-TR"/>
        </w:rPr>
        <w:t>Table-3</w:t>
      </w:r>
      <w:r>
        <w:rPr>
          <w:rFonts w:ascii="Times New Roman" w:hAnsi="Times New Roman" w:cs="Times New Roman"/>
          <w:lang w:val="tr-TR"/>
        </w:rPr>
        <w:t xml:space="preserve"> </w:t>
      </w:r>
      <w:r>
        <w:rPr>
          <w:rFonts w:ascii="Times New Roman" w:hAnsi="Times New Roman"/>
          <w:lang w:val="tr-TR"/>
        </w:rPr>
        <w:t>Laboratory results and demographic data regarding treatment options and complications</w:t>
      </w:r>
    </w:p>
    <w:tbl>
      <w:tblPr>
        <w:tblStyle w:val="TableGrid"/>
        <w:tblW w:w="14557" w:type="dxa"/>
        <w:tblLayout w:type="fixed"/>
        <w:tblLook w:val="04A0" w:firstRow="1" w:lastRow="0" w:firstColumn="1" w:lastColumn="0" w:noHBand="0" w:noVBand="1"/>
      </w:tblPr>
      <w:tblGrid>
        <w:gridCol w:w="2869"/>
        <w:gridCol w:w="1920"/>
        <w:gridCol w:w="1824"/>
        <w:gridCol w:w="1092"/>
        <w:gridCol w:w="1908"/>
        <w:gridCol w:w="1920"/>
        <w:gridCol w:w="1104"/>
        <w:gridCol w:w="1920"/>
      </w:tblGrid>
      <w:tr w:rsidR="009F4881" w14:paraId="7050931A" w14:textId="77777777" w:rsidTr="00825F63">
        <w:trPr>
          <w:trHeight w:val="205"/>
        </w:trPr>
        <w:tc>
          <w:tcPr>
            <w:tcW w:w="2869" w:type="dxa"/>
            <w:tcBorders>
              <w:top w:val="nil"/>
              <w:left w:val="nil"/>
              <w:bottom w:val="single" w:sz="4" w:space="0" w:color="auto"/>
            </w:tcBorders>
          </w:tcPr>
          <w:p w14:paraId="444DD7B5" w14:textId="77777777" w:rsidR="009F4881" w:rsidRDefault="009F4881" w:rsidP="00825F63">
            <w:pPr>
              <w:jc w:val="center"/>
              <w:rPr>
                <w:rFonts w:ascii="Times New Roman" w:hAnsi="Times New Roman" w:cs="Times New Roman"/>
                <w:lang w:val="tr-TR"/>
              </w:rPr>
            </w:pPr>
          </w:p>
        </w:tc>
        <w:tc>
          <w:tcPr>
            <w:tcW w:w="1920" w:type="dxa"/>
          </w:tcPr>
          <w:p w14:paraId="7959241A" w14:textId="77777777" w:rsidR="009F4881" w:rsidRDefault="009F4881" w:rsidP="00825F63">
            <w:pPr>
              <w:jc w:val="center"/>
              <w:rPr>
                <w:rFonts w:ascii="Times New Roman" w:hAnsi="Times New Roman" w:cs="Times New Roman"/>
                <w:b/>
                <w:bCs/>
                <w:lang w:val="tr-TR"/>
              </w:rPr>
            </w:pPr>
            <w:r>
              <w:rPr>
                <w:rFonts w:ascii="Times New Roman" w:hAnsi="Times New Roman" w:cs="Times New Roman"/>
                <w:b/>
                <w:bCs/>
                <w:lang w:val="tr-TR"/>
              </w:rPr>
              <w:t>Surgery+</w:t>
            </w:r>
          </w:p>
        </w:tc>
        <w:tc>
          <w:tcPr>
            <w:tcW w:w="1824" w:type="dxa"/>
          </w:tcPr>
          <w:p w14:paraId="6BCAE21E" w14:textId="77777777" w:rsidR="009F4881" w:rsidRDefault="009F4881" w:rsidP="00825F63">
            <w:pPr>
              <w:jc w:val="center"/>
              <w:rPr>
                <w:rFonts w:ascii="Times New Roman" w:hAnsi="Times New Roman" w:cs="Times New Roman"/>
                <w:b/>
                <w:bCs/>
                <w:lang w:val="tr-TR"/>
              </w:rPr>
            </w:pPr>
            <w:r>
              <w:rPr>
                <w:rFonts w:ascii="Times New Roman" w:hAnsi="Times New Roman" w:cs="Times New Roman"/>
                <w:b/>
                <w:bCs/>
                <w:lang w:val="tr-TR"/>
              </w:rPr>
              <w:t>Surgery-</w:t>
            </w:r>
          </w:p>
        </w:tc>
        <w:tc>
          <w:tcPr>
            <w:tcW w:w="1092" w:type="dxa"/>
          </w:tcPr>
          <w:p w14:paraId="61518FA8" w14:textId="77777777" w:rsidR="009F4881" w:rsidRDefault="009F4881" w:rsidP="00825F63">
            <w:pPr>
              <w:jc w:val="center"/>
              <w:rPr>
                <w:rFonts w:ascii="Times New Roman" w:hAnsi="Times New Roman" w:cs="Times New Roman"/>
                <w:b/>
                <w:bCs/>
                <w:lang w:val="tr-TR"/>
              </w:rPr>
            </w:pPr>
            <w:r>
              <w:rPr>
                <w:rFonts w:ascii="Times New Roman" w:hAnsi="Times New Roman" w:cs="Times New Roman"/>
                <w:b/>
                <w:bCs/>
                <w:lang w:val="tr-TR"/>
              </w:rPr>
              <w:t>p</w:t>
            </w:r>
          </w:p>
        </w:tc>
        <w:tc>
          <w:tcPr>
            <w:tcW w:w="1908" w:type="dxa"/>
          </w:tcPr>
          <w:p w14:paraId="11011C7E" w14:textId="77777777" w:rsidR="009F4881" w:rsidRDefault="009F4881" w:rsidP="00825F63">
            <w:pPr>
              <w:jc w:val="center"/>
              <w:rPr>
                <w:rFonts w:ascii="Times New Roman" w:hAnsi="Times New Roman" w:cs="Times New Roman"/>
                <w:b/>
                <w:bCs/>
                <w:lang w:val="tr-TR"/>
              </w:rPr>
            </w:pPr>
            <w:r>
              <w:rPr>
                <w:rFonts w:ascii="Times New Roman" w:hAnsi="Times New Roman" w:cs="Times New Roman"/>
                <w:b/>
                <w:bCs/>
                <w:lang w:val="tr-TR"/>
              </w:rPr>
              <w:t>Uncomplicated</w:t>
            </w:r>
          </w:p>
        </w:tc>
        <w:tc>
          <w:tcPr>
            <w:tcW w:w="1920" w:type="dxa"/>
          </w:tcPr>
          <w:p w14:paraId="72AEB5EF" w14:textId="77777777" w:rsidR="009F4881" w:rsidRDefault="009F4881" w:rsidP="00825F63">
            <w:pPr>
              <w:jc w:val="center"/>
              <w:rPr>
                <w:rFonts w:ascii="Times New Roman" w:hAnsi="Times New Roman" w:cs="Times New Roman"/>
                <w:b/>
                <w:bCs/>
                <w:lang w:val="tr-TR"/>
              </w:rPr>
            </w:pPr>
            <w:r>
              <w:rPr>
                <w:rFonts w:ascii="Times New Roman" w:hAnsi="Times New Roman" w:cs="Times New Roman"/>
                <w:b/>
                <w:bCs/>
                <w:lang w:val="tr-TR"/>
              </w:rPr>
              <w:t>Complicated</w:t>
            </w:r>
          </w:p>
        </w:tc>
        <w:tc>
          <w:tcPr>
            <w:tcW w:w="1104" w:type="dxa"/>
          </w:tcPr>
          <w:p w14:paraId="33867973" w14:textId="77777777" w:rsidR="009F4881" w:rsidRDefault="009F4881" w:rsidP="00825F63">
            <w:pPr>
              <w:jc w:val="center"/>
              <w:rPr>
                <w:rFonts w:ascii="Times New Roman" w:hAnsi="Times New Roman" w:cs="Times New Roman"/>
                <w:b/>
                <w:bCs/>
                <w:lang w:val="tr-TR"/>
              </w:rPr>
            </w:pPr>
            <w:r>
              <w:rPr>
                <w:rFonts w:ascii="Times New Roman" w:hAnsi="Times New Roman" w:cs="Times New Roman"/>
                <w:b/>
                <w:bCs/>
                <w:lang w:val="tr-TR"/>
              </w:rPr>
              <w:t>p</w:t>
            </w:r>
          </w:p>
        </w:tc>
        <w:tc>
          <w:tcPr>
            <w:tcW w:w="1920" w:type="dxa"/>
          </w:tcPr>
          <w:p w14:paraId="48EE12B5" w14:textId="77777777" w:rsidR="009F4881" w:rsidRDefault="009F4881" w:rsidP="00825F63">
            <w:pPr>
              <w:jc w:val="center"/>
              <w:rPr>
                <w:rFonts w:ascii="Times New Roman" w:hAnsi="Times New Roman" w:cs="Times New Roman"/>
                <w:b/>
                <w:bCs/>
                <w:lang w:val="tr-TR"/>
              </w:rPr>
            </w:pPr>
            <w:r>
              <w:rPr>
                <w:rFonts w:ascii="Times New Roman" w:hAnsi="Times New Roman" w:cs="Times New Roman"/>
                <w:b/>
                <w:bCs/>
                <w:lang w:val="tr-TR"/>
              </w:rPr>
              <w:t>Total</w:t>
            </w:r>
          </w:p>
        </w:tc>
      </w:tr>
      <w:tr w:rsidR="009F4881" w14:paraId="3CA4D468" w14:textId="77777777" w:rsidTr="00825F63">
        <w:trPr>
          <w:trHeight w:val="701"/>
        </w:trPr>
        <w:tc>
          <w:tcPr>
            <w:tcW w:w="2869" w:type="dxa"/>
            <w:tcBorders>
              <w:top w:val="single" w:sz="4" w:space="0" w:color="auto"/>
              <w:left w:val="single" w:sz="4" w:space="0" w:color="auto"/>
            </w:tcBorders>
          </w:tcPr>
          <w:p w14:paraId="5E28351E" w14:textId="77777777" w:rsidR="009F4881" w:rsidRDefault="009F4881" w:rsidP="00825F63">
            <w:pPr>
              <w:jc w:val="left"/>
              <w:rPr>
                <w:rFonts w:ascii="Times New Roman" w:hAnsi="Times New Roman" w:cs="Times New Roman"/>
                <w:b/>
                <w:bCs/>
                <w:lang w:val="tr-TR"/>
              </w:rPr>
            </w:pPr>
            <w:r>
              <w:rPr>
                <w:rFonts w:ascii="Times New Roman" w:hAnsi="Times New Roman" w:cs="Times New Roman"/>
                <w:b/>
                <w:bCs/>
                <w:lang w:val="tr-TR"/>
              </w:rPr>
              <w:t>Gender n, (%)</w:t>
            </w:r>
          </w:p>
          <w:p w14:paraId="478AB6A9" w14:textId="77777777" w:rsidR="009F4881" w:rsidRDefault="009F4881" w:rsidP="00825F63">
            <w:pPr>
              <w:jc w:val="left"/>
              <w:rPr>
                <w:rFonts w:ascii="Times New Roman" w:hAnsi="Times New Roman" w:cs="Times New Roman"/>
                <w:lang w:val="tr-TR"/>
              </w:rPr>
            </w:pPr>
            <w:r>
              <w:rPr>
                <w:rFonts w:ascii="Times New Roman" w:hAnsi="Times New Roman" w:cs="Times New Roman"/>
                <w:lang w:val="tr-TR"/>
              </w:rPr>
              <w:t xml:space="preserve">  Male</w:t>
            </w:r>
          </w:p>
          <w:p w14:paraId="2F8E476A" w14:textId="77777777" w:rsidR="009F4881" w:rsidRDefault="009F4881" w:rsidP="00825F63">
            <w:pPr>
              <w:ind w:firstLineChars="50" w:firstLine="100"/>
              <w:jc w:val="left"/>
              <w:rPr>
                <w:rFonts w:ascii="Times New Roman" w:hAnsi="Times New Roman" w:cs="Times New Roman"/>
                <w:lang w:val="tr-TR"/>
              </w:rPr>
            </w:pPr>
            <w:r>
              <w:rPr>
                <w:rFonts w:ascii="Times New Roman" w:hAnsi="Times New Roman" w:cs="Times New Roman"/>
                <w:lang w:val="tr-TR"/>
              </w:rPr>
              <w:t>Female</w:t>
            </w:r>
          </w:p>
        </w:tc>
        <w:tc>
          <w:tcPr>
            <w:tcW w:w="1920" w:type="dxa"/>
          </w:tcPr>
          <w:p w14:paraId="00567512" w14:textId="77777777" w:rsidR="009F4881" w:rsidRDefault="009F4881" w:rsidP="00825F63">
            <w:pPr>
              <w:jc w:val="center"/>
              <w:rPr>
                <w:rFonts w:ascii="Times New Roman" w:hAnsi="Times New Roman" w:cs="Times New Roman"/>
                <w:lang w:val="tr-TR"/>
              </w:rPr>
            </w:pPr>
          </w:p>
          <w:p w14:paraId="0FD5D290"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31 (45.6)</w:t>
            </w:r>
          </w:p>
          <w:p w14:paraId="18FB996F"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19 (28)</w:t>
            </w:r>
          </w:p>
        </w:tc>
        <w:tc>
          <w:tcPr>
            <w:tcW w:w="1824" w:type="dxa"/>
          </w:tcPr>
          <w:p w14:paraId="073A053C" w14:textId="77777777" w:rsidR="009F4881" w:rsidRDefault="009F4881" w:rsidP="00825F63">
            <w:pPr>
              <w:jc w:val="center"/>
              <w:rPr>
                <w:rFonts w:ascii="Times New Roman" w:hAnsi="Times New Roman" w:cs="Times New Roman"/>
                <w:lang w:val="tr-TR"/>
              </w:rPr>
            </w:pPr>
          </w:p>
          <w:p w14:paraId="57E78686"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9 (13.2)</w:t>
            </w:r>
          </w:p>
          <w:p w14:paraId="6820A9C3"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9 (13.2)</w:t>
            </w:r>
          </w:p>
        </w:tc>
        <w:tc>
          <w:tcPr>
            <w:tcW w:w="1092" w:type="dxa"/>
          </w:tcPr>
          <w:p w14:paraId="481D7D26" w14:textId="77777777" w:rsidR="009F4881" w:rsidRDefault="009F4881" w:rsidP="00825F63">
            <w:pPr>
              <w:jc w:val="center"/>
              <w:rPr>
                <w:rFonts w:ascii="Times New Roman" w:hAnsi="Times New Roman" w:cs="Times New Roman"/>
                <w:lang w:val="tr-TR"/>
              </w:rPr>
            </w:pPr>
          </w:p>
          <w:p w14:paraId="2E56F672" w14:textId="77777777" w:rsidR="009F4881" w:rsidRDefault="009F4881" w:rsidP="00825F63">
            <w:pPr>
              <w:jc w:val="center"/>
              <w:rPr>
                <w:rFonts w:ascii="Times New Roman" w:hAnsi="Times New Roman" w:cs="Times New Roman"/>
                <w:lang w:val="tr-TR"/>
              </w:rPr>
            </w:pPr>
            <w:r>
              <w:rPr>
                <w:rFonts w:ascii="Times New Roman" w:hAnsi="Times New Roman" w:cs="Times New Roman"/>
                <w:color w:val="000000"/>
                <w:lang w:val="tr-TR"/>
              </w:rPr>
              <w:t>p&gt;</w:t>
            </w:r>
            <w:r>
              <w:rPr>
                <w:rFonts w:ascii="Times New Roman" w:hAnsi="Times New Roman" w:cs="Times New Roman"/>
                <w:color w:val="000000"/>
              </w:rPr>
              <w:t>0.05</w:t>
            </w:r>
            <w:r>
              <w:rPr>
                <w:rFonts w:ascii="Times New Roman" w:hAnsi="Times New Roman" w:cs="Times New Roman"/>
                <w:lang w:val="tr-TR"/>
              </w:rPr>
              <w:t>*</w:t>
            </w:r>
          </w:p>
        </w:tc>
        <w:tc>
          <w:tcPr>
            <w:tcW w:w="1908" w:type="dxa"/>
          </w:tcPr>
          <w:p w14:paraId="59392C82" w14:textId="77777777" w:rsidR="009F4881" w:rsidRDefault="009F4881" w:rsidP="00825F63">
            <w:pPr>
              <w:jc w:val="center"/>
              <w:rPr>
                <w:rFonts w:ascii="Times New Roman" w:hAnsi="Times New Roman" w:cs="Times New Roman"/>
                <w:b/>
                <w:bCs/>
                <w:lang w:val="tr-TR"/>
              </w:rPr>
            </w:pPr>
          </w:p>
          <w:p w14:paraId="016D60CE"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28 (41.2)</w:t>
            </w:r>
          </w:p>
          <w:p w14:paraId="5C276FB0"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 xml:space="preserve">20 (29.4) </w:t>
            </w:r>
          </w:p>
        </w:tc>
        <w:tc>
          <w:tcPr>
            <w:tcW w:w="1920" w:type="dxa"/>
          </w:tcPr>
          <w:p w14:paraId="6FF49D42" w14:textId="77777777" w:rsidR="009F4881" w:rsidRDefault="009F4881" w:rsidP="00825F63">
            <w:pPr>
              <w:jc w:val="center"/>
              <w:rPr>
                <w:rFonts w:ascii="Times New Roman" w:hAnsi="Times New Roman" w:cs="Times New Roman"/>
                <w:b/>
                <w:bCs/>
                <w:lang w:val="tr-TR"/>
              </w:rPr>
            </w:pPr>
          </w:p>
          <w:p w14:paraId="1641EEFB"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12 (17.6)</w:t>
            </w:r>
          </w:p>
          <w:p w14:paraId="7A79CC5A"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8 (11.8)</w:t>
            </w:r>
          </w:p>
        </w:tc>
        <w:tc>
          <w:tcPr>
            <w:tcW w:w="1104" w:type="dxa"/>
          </w:tcPr>
          <w:p w14:paraId="2DA1893D" w14:textId="77777777" w:rsidR="009F4881" w:rsidRDefault="009F4881" w:rsidP="00825F63">
            <w:pPr>
              <w:jc w:val="center"/>
              <w:rPr>
                <w:rFonts w:ascii="Times New Roman" w:hAnsi="Times New Roman" w:cs="Times New Roman"/>
                <w:b/>
                <w:bCs/>
                <w:lang w:val="tr-TR"/>
              </w:rPr>
            </w:pPr>
          </w:p>
          <w:p w14:paraId="291ABC68" w14:textId="77777777" w:rsidR="009F4881" w:rsidRDefault="009F4881" w:rsidP="00825F63">
            <w:pPr>
              <w:jc w:val="center"/>
              <w:rPr>
                <w:rFonts w:ascii="Times New Roman" w:hAnsi="Times New Roman" w:cs="Times New Roman"/>
                <w:lang w:val="tr-TR"/>
              </w:rPr>
            </w:pPr>
            <w:r>
              <w:rPr>
                <w:rFonts w:ascii="Times New Roman" w:hAnsi="Times New Roman" w:cs="Times New Roman"/>
                <w:color w:val="000000"/>
                <w:lang w:val="tr-TR"/>
              </w:rPr>
              <w:t>p&gt;</w:t>
            </w:r>
            <w:r>
              <w:rPr>
                <w:rFonts w:ascii="Times New Roman" w:hAnsi="Times New Roman" w:cs="Times New Roman"/>
                <w:color w:val="000000"/>
              </w:rPr>
              <w:t>0.05</w:t>
            </w:r>
            <w:r>
              <w:rPr>
                <w:rFonts w:ascii="Times New Roman" w:hAnsi="Times New Roman" w:cs="Times New Roman"/>
                <w:lang w:val="tr-TR"/>
              </w:rPr>
              <w:t>*</w:t>
            </w:r>
          </w:p>
          <w:p w14:paraId="01BAB40F" w14:textId="77777777" w:rsidR="009F4881" w:rsidRDefault="009F4881" w:rsidP="00825F63">
            <w:pPr>
              <w:jc w:val="center"/>
              <w:rPr>
                <w:rFonts w:ascii="Times New Roman" w:hAnsi="Times New Roman" w:cs="Times New Roman"/>
                <w:b/>
                <w:bCs/>
                <w:lang w:val="tr-TR"/>
              </w:rPr>
            </w:pPr>
          </w:p>
        </w:tc>
        <w:tc>
          <w:tcPr>
            <w:tcW w:w="1920" w:type="dxa"/>
          </w:tcPr>
          <w:p w14:paraId="729A417E" w14:textId="77777777" w:rsidR="009F4881" w:rsidRDefault="009F4881" w:rsidP="00825F63">
            <w:pPr>
              <w:jc w:val="center"/>
              <w:rPr>
                <w:rFonts w:ascii="Times New Roman" w:hAnsi="Times New Roman" w:cs="Times New Roman"/>
                <w:b/>
                <w:bCs/>
                <w:lang w:val="tr-TR"/>
              </w:rPr>
            </w:pPr>
          </w:p>
          <w:p w14:paraId="22CF78C3"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40 (58.8)</w:t>
            </w:r>
          </w:p>
          <w:p w14:paraId="0C58904F"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28 (41.2)</w:t>
            </w:r>
          </w:p>
        </w:tc>
      </w:tr>
      <w:tr w:rsidR="009F4881" w14:paraId="25BC39A0" w14:textId="77777777" w:rsidTr="00825F63">
        <w:trPr>
          <w:trHeight w:val="271"/>
        </w:trPr>
        <w:tc>
          <w:tcPr>
            <w:tcW w:w="14557" w:type="dxa"/>
            <w:gridSpan w:val="8"/>
            <w:tcBorders>
              <w:top w:val="single" w:sz="4" w:space="0" w:color="auto"/>
              <w:left w:val="single" w:sz="4" w:space="0" w:color="auto"/>
            </w:tcBorders>
          </w:tcPr>
          <w:p w14:paraId="1A756BFB" w14:textId="77777777" w:rsidR="009F4881" w:rsidRDefault="009F4881" w:rsidP="00825F63">
            <w:pPr>
              <w:jc w:val="left"/>
              <w:rPr>
                <w:rFonts w:ascii="Times New Roman" w:hAnsi="Times New Roman" w:cs="Times New Roman"/>
                <w:lang w:val="tr-TR"/>
              </w:rPr>
            </w:pPr>
            <w:r>
              <w:rPr>
                <w:rFonts w:ascii="Times New Roman" w:hAnsi="Times New Roman" w:cs="Times New Roman"/>
                <w:b/>
                <w:bCs/>
                <w:lang w:val="tr-TR"/>
              </w:rPr>
              <w:t>Parameters, median (min-max)</w:t>
            </w:r>
          </w:p>
        </w:tc>
      </w:tr>
      <w:tr w:rsidR="009F4881" w14:paraId="59065BBF" w14:textId="77777777" w:rsidTr="00825F63">
        <w:trPr>
          <w:trHeight w:val="237"/>
        </w:trPr>
        <w:tc>
          <w:tcPr>
            <w:tcW w:w="2869" w:type="dxa"/>
            <w:tcBorders>
              <w:top w:val="single" w:sz="4" w:space="0" w:color="auto"/>
              <w:left w:val="single" w:sz="4" w:space="0" w:color="auto"/>
            </w:tcBorders>
          </w:tcPr>
          <w:p w14:paraId="40FB86DE" w14:textId="77777777" w:rsidR="009F4881" w:rsidRDefault="009F4881" w:rsidP="00825F63">
            <w:pPr>
              <w:jc w:val="left"/>
              <w:rPr>
                <w:rFonts w:ascii="Times New Roman" w:hAnsi="Times New Roman" w:cs="Times New Roman"/>
                <w:b/>
                <w:bCs/>
                <w:lang w:val="tr-TR"/>
              </w:rPr>
            </w:pPr>
            <w:r>
              <w:rPr>
                <w:rFonts w:ascii="Times New Roman" w:hAnsi="Times New Roman" w:cs="Times New Roman"/>
                <w:b/>
                <w:bCs/>
                <w:lang w:val="tr-TR"/>
              </w:rPr>
              <w:t xml:space="preserve">Age, years </w:t>
            </w:r>
          </w:p>
        </w:tc>
        <w:tc>
          <w:tcPr>
            <w:tcW w:w="1920" w:type="dxa"/>
          </w:tcPr>
          <w:p w14:paraId="0C71C107"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35 (18-89)</w:t>
            </w:r>
          </w:p>
        </w:tc>
        <w:tc>
          <w:tcPr>
            <w:tcW w:w="1824" w:type="dxa"/>
          </w:tcPr>
          <w:p w14:paraId="0306DCDF"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32.5 (21-69)</w:t>
            </w:r>
          </w:p>
        </w:tc>
        <w:tc>
          <w:tcPr>
            <w:tcW w:w="1092" w:type="dxa"/>
          </w:tcPr>
          <w:p w14:paraId="39541ABF" w14:textId="77777777" w:rsidR="009F4881" w:rsidRDefault="009F4881" w:rsidP="00825F63">
            <w:pPr>
              <w:jc w:val="center"/>
              <w:rPr>
                <w:rFonts w:ascii="Times New Roman" w:hAnsi="Times New Roman" w:cs="Times New Roman"/>
                <w:lang w:val="tr-TR"/>
              </w:rPr>
            </w:pPr>
            <w:r>
              <w:rPr>
                <w:rFonts w:ascii="Times New Roman" w:hAnsi="Times New Roman" w:cs="Times New Roman"/>
                <w:color w:val="000000"/>
                <w:lang w:val="tr-TR"/>
              </w:rPr>
              <w:t>p&gt;</w:t>
            </w:r>
            <w:r>
              <w:rPr>
                <w:rFonts w:ascii="Times New Roman" w:hAnsi="Times New Roman" w:cs="Times New Roman"/>
                <w:color w:val="000000"/>
              </w:rPr>
              <w:t>0.05</w:t>
            </w:r>
            <w:r>
              <w:rPr>
                <w:rFonts w:ascii="Times New Roman" w:hAnsi="Times New Roman" w:cs="Times New Roman"/>
                <w:lang w:val="tr-TR"/>
              </w:rPr>
              <w:t>**</w:t>
            </w:r>
          </w:p>
        </w:tc>
        <w:tc>
          <w:tcPr>
            <w:tcW w:w="1908" w:type="dxa"/>
          </w:tcPr>
          <w:p w14:paraId="6A92F305"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34 (18-78)</w:t>
            </w:r>
          </w:p>
        </w:tc>
        <w:tc>
          <w:tcPr>
            <w:tcW w:w="1920" w:type="dxa"/>
          </w:tcPr>
          <w:p w14:paraId="2281EB4C" w14:textId="77777777" w:rsidR="009F4881" w:rsidRDefault="009F4881" w:rsidP="00825F63">
            <w:pPr>
              <w:jc w:val="center"/>
              <w:rPr>
                <w:rFonts w:ascii="Times New Roman" w:hAnsi="Times New Roman" w:cs="Times New Roman"/>
                <w:b/>
                <w:bCs/>
                <w:lang w:val="tr-TR"/>
              </w:rPr>
            </w:pPr>
            <w:r>
              <w:rPr>
                <w:rFonts w:ascii="Times New Roman" w:hAnsi="Times New Roman" w:cs="Times New Roman"/>
                <w:lang w:val="tr-TR"/>
              </w:rPr>
              <w:t>44 (18-89)</w:t>
            </w:r>
          </w:p>
        </w:tc>
        <w:tc>
          <w:tcPr>
            <w:tcW w:w="1104" w:type="dxa"/>
          </w:tcPr>
          <w:p w14:paraId="6D2C8C56" w14:textId="77777777" w:rsidR="009F4881" w:rsidRDefault="009F4881" w:rsidP="00825F63">
            <w:pPr>
              <w:jc w:val="center"/>
              <w:rPr>
                <w:rFonts w:ascii="Times New Roman" w:hAnsi="Times New Roman" w:cs="Times New Roman"/>
                <w:lang w:val="tr-TR"/>
              </w:rPr>
            </w:pPr>
            <w:r>
              <w:rPr>
                <w:rFonts w:ascii="Times New Roman" w:hAnsi="Times New Roman" w:cs="Times New Roman"/>
                <w:color w:val="000000"/>
                <w:lang w:val="tr-TR"/>
              </w:rPr>
              <w:t>p&gt;</w:t>
            </w:r>
            <w:r>
              <w:rPr>
                <w:rFonts w:ascii="Times New Roman" w:hAnsi="Times New Roman" w:cs="Times New Roman"/>
                <w:color w:val="000000"/>
              </w:rPr>
              <w:t>0.05</w:t>
            </w:r>
            <w:r>
              <w:rPr>
                <w:rFonts w:ascii="Times New Roman" w:hAnsi="Times New Roman" w:cs="Times New Roman"/>
                <w:lang w:val="tr-TR"/>
              </w:rPr>
              <w:t>**</w:t>
            </w:r>
          </w:p>
        </w:tc>
        <w:tc>
          <w:tcPr>
            <w:tcW w:w="1920" w:type="dxa"/>
          </w:tcPr>
          <w:p w14:paraId="6110B541"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35 (18-89)</w:t>
            </w:r>
          </w:p>
        </w:tc>
      </w:tr>
      <w:tr w:rsidR="009F4881" w14:paraId="6FAD3562" w14:textId="77777777" w:rsidTr="00825F63">
        <w:trPr>
          <w:trHeight w:val="239"/>
        </w:trPr>
        <w:tc>
          <w:tcPr>
            <w:tcW w:w="2869" w:type="dxa"/>
          </w:tcPr>
          <w:p w14:paraId="63FAA61F" w14:textId="77777777" w:rsidR="009F4881" w:rsidRDefault="009F4881" w:rsidP="00825F63">
            <w:pPr>
              <w:rPr>
                <w:rFonts w:ascii="Times New Roman" w:hAnsi="Times New Roman" w:cs="Times New Roman"/>
                <w:b/>
                <w:bCs/>
                <w:lang w:val="tr-TR"/>
              </w:rPr>
            </w:pPr>
            <w:r>
              <w:rPr>
                <w:rFonts w:ascii="Times New Roman" w:hAnsi="Times New Roman" w:cs="Times New Roman"/>
                <w:b/>
                <w:bCs/>
                <w:lang w:val="tr-TR"/>
              </w:rPr>
              <w:t>Neutrophil, 10</w:t>
            </w:r>
            <w:r>
              <w:rPr>
                <w:rFonts w:ascii="Times New Roman" w:hAnsi="Times New Roman" w:cs="Times New Roman"/>
                <w:b/>
                <w:bCs/>
                <w:vertAlign w:val="superscript"/>
                <w:lang w:val="tr-TR"/>
              </w:rPr>
              <w:t>9</w:t>
            </w:r>
            <w:r>
              <w:rPr>
                <w:rFonts w:ascii="Times New Roman" w:hAnsi="Times New Roman" w:cs="Times New Roman"/>
                <w:b/>
                <w:bCs/>
                <w:lang w:val="tr-TR"/>
              </w:rPr>
              <w:t>/L</w:t>
            </w:r>
          </w:p>
        </w:tc>
        <w:tc>
          <w:tcPr>
            <w:tcW w:w="1920" w:type="dxa"/>
          </w:tcPr>
          <w:p w14:paraId="21C3D725"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11200 (3890-25090)</w:t>
            </w:r>
          </w:p>
        </w:tc>
        <w:tc>
          <w:tcPr>
            <w:tcW w:w="1824" w:type="dxa"/>
          </w:tcPr>
          <w:p w14:paraId="71215EC9"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7460 (2620-15640)</w:t>
            </w:r>
          </w:p>
        </w:tc>
        <w:tc>
          <w:tcPr>
            <w:tcW w:w="1092" w:type="dxa"/>
          </w:tcPr>
          <w:p w14:paraId="283E35A3" w14:textId="77777777" w:rsidR="009F4881" w:rsidRDefault="009F4881" w:rsidP="00825F63">
            <w:pPr>
              <w:jc w:val="center"/>
              <w:rPr>
                <w:rFonts w:ascii="Times New Roman" w:hAnsi="Times New Roman" w:cs="Times New Roman"/>
                <w:lang w:val="tr-TR"/>
              </w:rPr>
            </w:pPr>
            <w:r>
              <w:rPr>
                <w:rFonts w:ascii="Times New Roman" w:hAnsi="Times New Roman" w:cs="Times New Roman"/>
                <w:color w:val="000000"/>
              </w:rPr>
              <w:t>p&lt;0.05</w:t>
            </w:r>
            <w:r>
              <w:rPr>
                <w:rFonts w:ascii="Times New Roman" w:hAnsi="Times New Roman" w:cs="Times New Roman"/>
                <w:lang w:val="tr-TR"/>
              </w:rPr>
              <w:t>***</w:t>
            </w:r>
          </w:p>
        </w:tc>
        <w:tc>
          <w:tcPr>
            <w:tcW w:w="1908" w:type="dxa"/>
          </w:tcPr>
          <w:p w14:paraId="759C885A"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10090 (2620-19210)</w:t>
            </w:r>
          </w:p>
        </w:tc>
        <w:tc>
          <w:tcPr>
            <w:tcW w:w="1920" w:type="dxa"/>
          </w:tcPr>
          <w:p w14:paraId="1127D23E"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11520 (7370-25090)</w:t>
            </w:r>
          </w:p>
        </w:tc>
        <w:tc>
          <w:tcPr>
            <w:tcW w:w="1104" w:type="dxa"/>
          </w:tcPr>
          <w:p w14:paraId="3FB95D94" w14:textId="77777777" w:rsidR="009F4881" w:rsidRDefault="009F4881" w:rsidP="00825F63">
            <w:pPr>
              <w:jc w:val="center"/>
              <w:rPr>
                <w:rFonts w:ascii="Times New Roman" w:hAnsi="Times New Roman" w:cs="Times New Roman"/>
                <w:lang w:val="tr-TR"/>
              </w:rPr>
            </w:pPr>
            <w:r>
              <w:rPr>
                <w:rFonts w:ascii="Times New Roman" w:hAnsi="Times New Roman" w:cs="Times New Roman"/>
                <w:color w:val="000000"/>
              </w:rPr>
              <w:t>p&lt;0.05</w:t>
            </w:r>
            <w:r>
              <w:rPr>
                <w:rFonts w:ascii="Times New Roman" w:hAnsi="Times New Roman" w:cs="Times New Roman"/>
                <w:lang w:val="tr-TR"/>
              </w:rPr>
              <w:t>**</w:t>
            </w:r>
          </w:p>
        </w:tc>
        <w:tc>
          <w:tcPr>
            <w:tcW w:w="1920" w:type="dxa"/>
          </w:tcPr>
          <w:p w14:paraId="4547D46D"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10420 (2620-25090)</w:t>
            </w:r>
          </w:p>
        </w:tc>
      </w:tr>
      <w:tr w:rsidR="009F4881" w14:paraId="6A5DB6B9" w14:textId="77777777" w:rsidTr="00825F63">
        <w:trPr>
          <w:trHeight w:val="239"/>
        </w:trPr>
        <w:tc>
          <w:tcPr>
            <w:tcW w:w="2869" w:type="dxa"/>
          </w:tcPr>
          <w:p w14:paraId="62E5DDFF" w14:textId="77777777" w:rsidR="009F4881" w:rsidRDefault="009F4881" w:rsidP="00825F63">
            <w:pPr>
              <w:rPr>
                <w:rFonts w:ascii="Times New Roman" w:hAnsi="Times New Roman" w:cs="Times New Roman"/>
                <w:b/>
                <w:bCs/>
                <w:lang w:val="tr-TR"/>
              </w:rPr>
            </w:pPr>
            <w:r>
              <w:rPr>
                <w:rFonts w:ascii="Times New Roman" w:hAnsi="Times New Roman" w:cs="Times New Roman"/>
                <w:b/>
                <w:bCs/>
                <w:lang w:val="tr-TR"/>
              </w:rPr>
              <w:t>Lymphocyte, 10</w:t>
            </w:r>
            <w:r>
              <w:rPr>
                <w:rFonts w:ascii="Times New Roman" w:hAnsi="Times New Roman" w:cs="Times New Roman"/>
                <w:b/>
                <w:bCs/>
                <w:vertAlign w:val="superscript"/>
                <w:lang w:val="tr-TR"/>
              </w:rPr>
              <w:t>9</w:t>
            </w:r>
            <w:r>
              <w:rPr>
                <w:rFonts w:ascii="Times New Roman" w:hAnsi="Times New Roman" w:cs="Times New Roman"/>
                <w:b/>
                <w:bCs/>
                <w:lang w:val="tr-TR"/>
              </w:rPr>
              <w:t>/L</w:t>
            </w:r>
          </w:p>
        </w:tc>
        <w:tc>
          <w:tcPr>
            <w:tcW w:w="1920" w:type="dxa"/>
          </w:tcPr>
          <w:p w14:paraId="278260F8"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1870 (460-4300)</w:t>
            </w:r>
          </w:p>
        </w:tc>
        <w:tc>
          <w:tcPr>
            <w:tcW w:w="1824" w:type="dxa"/>
          </w:tcPr>
          <w:p w14:paraId="4FCEE20F"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2240 (900-3810)</w:t>
            </w:r>
          </w:p>
        </w:tc>
        <w:tc>
          <w:tcPr>
            <w:tcW w:w="1092" w:type="dxa"/>
          </w:tcPr>
          <w:p w14:paraId="4EC33CBB" w14:textId="77777777" w:rsidR="009F4881" w:rsidRDefault="009F4881" w:rsidP="00825F63">
            <w:pPr>
              <w:jc w:val="center"/>
              <w:rPr>
                <w:rFonts w:ascii="Times New Roman" w:hAnsi="Times New Roman" w:cs="Times New Roman"/>
                <w:lang w:val="tr-TR"/>
              </w:rPr>
            </w:pPr>
            <w:r>
              <w:rPr>
                <w:rFonts w:ascii="Times New Roman" w:hAnsi="Times New Roman" w:cs="Times New Roman"/>
                <w:color w:val="000000"/>
                <w:lang w:val="tr-TR"/>
              </w:rPr>
              <w:t>p&gt;</w:t>
            </w:r>
            <w:r>
              <w:rPr>
                <w:rFonts w:ascii="Times New Roman" w:hAnsi="Times New Roman" w:cs="Times New Roman"/>
                <w:color w:val="000000"/>
              </w:rPr>
              <w:t>0.05</w:t>
            </w:r>
            <w:r>
              <w:rPr>
                <w:rFonts w:ascii="Times New Roman" w:hAnsi="Times New Roman" w:cs="Times New Roman"/>
                <w:lang w:val="tr-TR"/>
              </w:rPr>
              <w:t>**</w:t>
            </w:r>
          </w:p>
        </w:tc>
        <w:tc>
          <w:tcPr>
            <w:tcW w:w="1908" w:type="dxa"/>
          </w:tcPr>
          <w:p w14:paraId="32FD9F43"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1980 (460-4300)</w:t>
            </w:r>
          </w:p>
        </w:tc>
        <w:tc>
          <w:tcPr>
            <w:tcW w:w="1920" w:type="dxa"/>
          </w:tcPr>
          <w:p w14:paraId="46D39233"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1715 (730-3660)</w:t>
            </w:r>
          </w:p>
        </w:tc>
        <w:tc>
          <w:tcPr>
            <w:tcW w:w="1104" w:type="dxa"/>
          </w:tcPr>
          <w:p w14:paraId="3D9C8598" w14:textId="77777777" w:rsidR="009F4881" w:rsidRDefault="009F4881" w:rsidP="00825F63">
            <w:pPr>
              <w:jc w:val="center"/>
              <w:rPr>
                <w:rFonts w:ascii="Times New Roman" w:hAnsi="Times New Roman" w:cs="Times New Roman"/>
                <w:lang w:val="tr-TR"/>
              </w:rPr>
            </w:pPr>
            <w:r>
              <w:rPr>
                <w:rFonts w:ascii="Times New Roman" w:hAnsi="Times New Roman" w:cs="Times New Roman"/>
                <w:color w:val="000000"/>
                <w:lang w:val="tr-TR"/>
              </w:rPr>
              <w:t>p&gt;</w:t>
            </w:r>
            <w:r>
              <w:rPr>
                <w:rFonts w:ascii="Times New Roman" w:hAnsi="Times New Roman" w:cs="Times New Roman"/>
                <w:color w:val="000000"/>
              </w:rPr>
              <w:t>0.05</w:t>
            </w:r>
            <w:r>
              <w:rPr>
                <w:rFonts w:ascii="Times New Roman" w:hAnsi="Times New Roman" w:cs="Times New Roman"/>
                <w:lang w:val="tr-TR"/>
              </w:rPr>
              <w:t>***</w:t>
            </w:r>
          </w:p>
        </w:tc>
        <w:tc>
          <w:tcPr>
            <w:tcW w:w="1920" w:type="dxa"/>
          </w:tcPr>
          <w:p w14:paraId="38BDF49B"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1900 (460-4300)</w:t>
            </w:r>
          </w:p>
        </w:tc>
      </w:tr>
      <w:tr w:rsidR="009F4881" w14:paraId="65139C58" w14:textId="77777777" w:rsidTr="00825F63">
        <w:trPr>
          <w:trHeight w:val="239"/>
        </w:trPr>
        <w:tc>
          <w:tcPr>
            <w:tcW w:w="2869" w:type="dxa"/>
          </w:tcPr>
          <w:p w14:paraId="2837BDEF" w14:textId="77777777" w:rsidR="009F4881" w:rsidRDefault="009F4881" w:rsidP="00825F63">
            <w:pPr>
              <w:rPr>
                <w:rFonts w:ascii="Times New Roman" w:hAnsi="Times New Roman" w:cs="Times New Roman"/>
                <w:b/>
                <w:bCs/>
                <w:lang w:val="tr-TR"/>
              </w:rPr>
            </w:pPr>
            <w:r>
              <w:rPr>
                <w:rFonts w:ascii="Times New Roman" w:hAnsi="Times New Roman" w:cs="Times New Roman"/>
                <w:b/>
                <w:bCs/>
                <w:lang w:val="tr-TR"/>
              </w:rPr>
              <w:t>Neu/Lymp Ratio</w:t>
            </w:r>
          </w:p>
        </w:tc>
        <w:tc>
          <w:tcPr>
            <w:tcW w:w="1920" w:type="dxa"/>
          </w:tcPr>
          <w:p w14:paraId="7D7E54C9"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5.8 (2.1-41.1)</w:t>
            </w:r>
          </w:p>
        </w:tc>
        <w:tc>
          <w:tcPr>
            <w:tcW w:w="1824" w:type="dxa"/>
          </w:tcPr>
          <w:p w14:paraId="7287907D"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3.7 (1-15.3)</w:t>
            </w:r>
          </w:p>
        </w:tc>
        <w:tc>
          <w:tcPr>
            <w:tcW w:w="1092" w:type="dxa"/>
          </w:tcPr>
          <w:p w14:paraId="55BEF3C9" w14:textId="77777777" w:rsidR="009F4881" w:rsidRDefault="009F4881" w:rsidP="00825F63">
            <w:pPr>
              <w:jc w:val="center"/>
              <w:rPr>
                <w:rFonts w:ascii="Times New Roman" w:hAnsi="Times New Roman" w:cs="Times New Roman"/>
                <w:lang w:val="tr-TR"/>
              </w:rPr>
            </w:pPr>
            <w:r>
              <w:rPr>
                <w:rFonts w:ascii="Times New Roman" w:hAnsi="Times New Roman" w:cs="Times New Roman"/>
                <w:color w:val="000000"/>
              </w:rPr>
              <w:t>p&lt;0.05</w:t>
            </w:r>
            <w:r>
              <w:rPr>
                <w:rFonts w:ascii="Times New Roman" w:hAnsi="Times New Roman" w:cs="Times New Roman"/>
                <w:lang w:val="tr-TR"/>
              </w:rPr>
              <w:t>**</w:t>
            </w:r>
          </w:p>
        </w:tc>
        <w:tc>
          <w:tcPr>
            <w:tcW w:w="1908" w:type="dxa"/>
          </w:tcPr>
          <w:p w14:paraId="199B40E9"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4.2 (1-41.1)</w:t>
            </w:r>
          </w:p>
        </w:tc>
        <w:tc>
          <w:tcPr>
            <w:tcW w:w="1920" w:type="dxa"/>
          </w:tcPr>
          <w:p w14:paraId="7415EAC8"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7.3 (3.2-18.1)</w:t>
            </w:r>
          </w:p>
        </w:tc>
        <w:tc>
          <w:tcPr>
            <w:tcW w:w="1104" w:type="dxa"/>
          </w:tcPr>
          <w:p w14:paraId="07DCE715" w14:textId="77777777" w:rsidR="009F4881" w:rsidRDefault="009F4881" w:rsidP="00825F63">
            <w:pPr>
              <w:jc w:val="center"/>
              <w:rPr>
                <w:rFonts w:ascii="Times New Roman" w:hAnsi="Times New Roman" w:cs="Times New Roman"/>
                <w:lang w:val="tr-TR"/>
              </w:rPr>
            </w:pPr>
            <w:r>
              <w:rPr>
                <w:rFonts w:ascii="Times New Roman" w:hAnsi="Times New Roman" w:cs="Times New Roman"/>
                <w:color w:val="000000"/>
              </w:rPr>
              <w:t>p&lt;0.05</w:t>
            </w:r>
            <w:r>
              <w:rPr>
                <w:rFonts w:ascii="Times New Roman" w:hAnsi="Times New Roman" w:cs="Times New Roman"/>
                <w:lang w:val="tr-TR"/>
              </w:rPr>
              <w:t>**</w:t>
            </w:r>
          </w:p>
        </w:tc>
        <w:tc>
          <w:tcPr>
            <w:tcW w:w="1920" w:type="dxa"/>
          </w:tcPr>
          <w:p w14:paraId="4099BDD0"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5.08 (1-41.1)</w:t>
            </w:r>
          </w:p>
        </w:tc>
      </w:tr>
      <w:tr w:rsidR="009F4881" w14:paraId="229BE07E" w14:textId="77777777" w:rsidTr="00825F63">
        <w:trPr>
          <w:trHeight w:val="239"/>
        </w:trPr>
        <w:tc>
          <w:tcPr>
            <w:tcW w:w="2869" w:type="dxa"/>
          </w:tcPr>
          <w:p w14:paraId="3C61B642" w14:textId="77777777" w:rsidR="009F4881" w:rsidRDefault="009F4881" w:rsidP="00825F63">
            <w:pPr>
              <w:rPr>
                <w:rFonts w:ascii="Times New Roman" w:hAnsi="Times New Roman" w:cs="Times New Roman"/>
                <w:b/>
                <w:bCs/>
                <w:lang w:val="tr-TR"/>
              </w:rPr>
            </w:pPr>
            <w:r>
              <w:rPr>
                <w:rFonts w:ascii="Times New Roman" w:hAnsi="Times New Roman" w:cs="Times New Roman"/>
                <w:b/>
                <w:bCs/>
                <w:lang w:val="tr-TR"/>
              </w:rPr>
              <w:t>CRP, mg/L</w:t>
            </w:r>
          </w:p>
        </w:tc>
        <w:tc>
          <w:tcPr>
            <w:tcW w:w="1920" w:type="dxa"/>
          </w:tcPr>
          <w:p w14:paraId="0B99D719"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38.4 (0.9-364)</w:t>
            </w:r>
          </w:p>
        </w:tc>
        <w:tc>
          <w:tcPr>
            <w:tcW w:w="1824" w:type="dxa"/>
          </w:tcPr>
          <w:p w14:paraId="27DD9ABF"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19.3 (3.5-85.8)</w:t>
            </w:r>
          </w:p>
        </w:tc>
        <w:tc>
          <w:tcPr>
            <w:tcW w:w="1092" w:type="dxa"/>
          </w:tcPr>
          <w:p w14:paraId="7B8661DB" w14:textId="77777777" w:rsidR="009F4881" w:rsidRDefault="009F4881" w:rsidP="00825F63">
            <w:pPr>
              <w:jc w:val="center"/>
              <w:rPr>
                <w:rFonts w:ascii="Times New Roman" w:hAnsi="Times New Roman" w:cs="Times New Roman"/>
                <w:lang w:val="tr-TR"/>
              </w:rPr>
            </w:pPr>
            <w:r>
              <w:rPr>
                <w:rFonts w:ascii="Times New Roman" w:hAnsi="Times New Roman" w:cs="Times New Roman"/>
                <w:color w:val="000000"/>
                <w:lang w:val="tr-TR"/>
              </w:rPr>
              <w:t>p&gt;</w:t>
            </w:r>
            <w:r>
              <w:rPr>
                <w:rFonts w:ascii="Times New Roman" w:hAnsi="Times New Roman" w:cs="Times New Roman"/>
                <w:color w:val="000000"/>
              </w:rPr>
              <w:t>0.05</w:t>
            </w:r>
            <w:r>
              <w:rPr>
                <w:rFonts w:ascii="Times New Roman" w:hAnsi="Times New Roman" w:cs="Times New Roman"/>
                <w:lang w:val="tr-TR"/>
              </w:rPr>
              <w:t>**</w:t>
            </w:r>
          </w:p>
        </w:tc>
        <w:tc>
          <w:tcPr>
            <w:tcW w:w="1908" w:type="dxa"/>
          </w:tcPr>
          <w:p w14:paraId="6D6511E8"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28.7 (0.9-146)</w:t>
            </w:r>
          </w:p>
        </w:tc>
        <w:tc>
          <w:tcPr>
            <w:tcW w:w="1920" w:type="dxa"/>
          </w:tcPr>
          <w:p w14:paraId="596CDB27"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79.4 (2.9-364)</w:t>
            </w:r>
          </w:p>
        </w:tc>
        <w:tc>
          <w:tcPr>
            <w:tcW w:w="1104" w:type="dxa"/>
          </w:tcPr>
          <w:p w14:paraId="40205A55" w14:textId="77777777" w:rsidR="009F4881" w:rsidRDefault="009F4881" w:rsidP="00825F63">
            <w:pPr>
              <w:jc w:val="center"/>
              <w:rPr>
                <w:rFonts w:ascii="Times New Roman" w:hAnsi="Times New Roman" w:cs="Times New Roman"/>
                <w:lang w:val="tr-TR"/>
              </w:rPr>
            </w:pPr>
            <w:r>
              <w:rPr>
                <w:rFonts w:ascii="Times New Roman" w:hAnsi="Times New Roman" w:cs="Times New Roman"/>
                <w:color w:val="000000"/>
              </w:rPr>
              <w:t>p&lt;0.05</w:t>
            </w:r>
            <w:r>
              <w:rPr>
                <w:rFonts w:ascii="Times New Roman" w:hAnsi="Times New Roman" w:cs="Times New Roman"/>
                <w:lang w:val="tr-TR"/>
              </w:rPr>
              <w:t>**</w:t>
            </w:r>
          </w:p>
        </w:tc>
        <w:tc>
          <w:tcPr>
            <w:tcW w:w="1920" w:type="dxa"/>
          </w:tcPr>
          <w:p w14:paraId="34364FB0"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35.1 (0.9-364)</w:t>
            </w:r>
          </w:p>
        </w:tc>
      </w:tr>
      <w:tr w:rsidR="009F4881" w14:paraId="7F48F841" w14:textId="77777777" w:rsidTr="00825F63">
        <w:trPr>
          <w:trHeight w:val="239"/>
        </w:trPr>
        <w:tc>
          <w:tcPr>
            <w:tcW w:w="2869" w:type="dxa"/>
          </w:tcPr>
          <w:p w14:paraId="50FFF52C" w14:textId="77777777" w:rsidR="009F4881" w:rsidRDefault="009F4881" w:rsidP="00825F63">
            <w:pPr>
              <w:rPr>
                <w:rFonts w:ascii="Times New Roman" w:hAnsi="Times New Roman" w:cs="Times New Roman"/>
                <w:b/>
                <w:bCs/>
                <w:lang w:val="tr-TR"/>
              </w:rPr>
            </w:pPr>
            <w:r>
              <w:rPr>
                <w:rFonts w:ascii="Times New Roman" w:hAnsi="Times New Roman" w:cs="Times New Roman"/>
                <w:b/>
                <w:bCs/>
                <w:lang w:val="tr-TR"/>
              </w:rPr>
              <w:t>PDW, fL</w:t>
            </w:r>
          </w:p>
        </w:tc>
        <w:tc>
          <w:tcPr>
            <w:tcW w:w="1920" w:type="dxa"/>
          </w:tcPr>
          <w:p w14:paraId="066D8A0E"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16.8 (15.9-18.4)</w:t>
            </w:r>
          </w:p>
        </w:tc>
        <w:tc>
          <w:tcPr>
            <w:tcW w:w="1824" w:type="dxa"/>
          </w:tcPr>
          <w:p w14:paraId="3355F23C"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17.1 (16.2-17.8)</w:t>
            </w:r>
          </w:p>
        </w:tc>
        <w:tc>
          <w:tcPr>
            <w:tcW w:w="1092" w:type="dxa"/>
          </w:tcPr>
          <w:p w14:paraId="033AB5A7" w14:textId="77777777" w:rsidR="009F4881" w:rsidRDefault="009F4881" w:rsidP="00825F63">
            <w:pPr>
              <w:jc w:val="center"/>
              <w:rPr>
                <w:rFonts w:ascii="Times New Roman" w:hAnsi="Times New Roman" w:cs="Times New Roman"/>
                <w:lang w:val="tr-TR"/>
              </w:rPr>
            </w:pPr>
            <w:r>
              <w:rPr>
                <w:rFonts w:ascii="Times New Roman" w:hAnsi="Times New Roman" w:cs="Times New Roman"/>
                <w:color w:val="000000"/>
                <w:lang w:val="tr-TR"/>
              </w:rPr>
              <w:t>p&gt;</w:t>
            </w:r>
            <w:r>
              <w:rPr>
                <w:rFonts w:ascii="Times New Roman" w:hAnsi="Times New Roman" w:cs="Times New Roman"/>
                <w:color w:val="000000"/>
              </w:rPr>
              <w:t>0.05</w:t>
            </w:r>
            <w:r>
              <w:rPr>
                <w:rFonts w:ascii="Times New Roman" w:hAnsi="Times New Roman" w:cs="Times New Roman"/>
                <w:lang w:val="tr-TR"/>
              </w:rPr>
              <w:t>***</w:t>
            </w:r>
          </w:p>
        </w:tc>
        <w:tc>
          <w:tcPr>
            <w:tcW w:w="1908" w:type="dxa"/>
          </w:tcPr>
          <w:p w14:paraId="7E577093"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16.9 (16.2-18.1)</w:t>
            </w:r>
          </w:p>
        </w:tc>
        <w:tc>
          <w:tcPr>
            <w:tcW w:w="1920" w:type="dxa"/>
          </w:tcPr>
          <w:p w14:paraId="7B86BE59"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17.1 (15.9-18.4)</w:t>
            </w:r>
          </w:p>
        </w:tc>
        <w:tc>
          <w:tcPr>
            <w:tcW w:w="1104" w:type="dxa"/>
          </w:tcPr>
          <w:p w14:paraId="7B415257" w14:textId="77777777" w:rsidR="009F4881" w:rsidRDefault="009F4881" w:rsidP="00825F63">
            <w:pPr>
              <w:jc w:val="center"/>
              <w:rPr>
                <w:rFonts w:ascii="Times New Roman" w:hAnsi="Times New Roman" w:cs="Times New Roman"/>
                <w:lang w:val="tr-TR"/>
              </w:rPr>
            </w:pPr>
            <w:r>
              <w:rPr>
                <w:rFonts w:ascii="Times New Roman" w:hAnsi="Times New Roman" w:cs="Times New Roman"/>
                <w:color w:val="000000"/>
                <w:lang w:val="tr-TR"/>
              </w:rPr>
              <w:t>p&gt;</w:t>
            </w:r>
            <w:r>
              <w:rPr>
                <w:rFonts w:ascii="Times New Roman" w:hAnsi="Times New Roman" w:cs="Times New Roman"/>
                <w:color w:val="000000"/>
              </w:rPr>
              <w:t>0.05</w:t>
            </w:r>
            <w:r>
              <w:rPr>
                <w:rFonts w:ascii="Times New Roman" w:hAnsi="Times New Roman" w:cs="Times New Roman"/>
                <w:lang w:val="tr-TR"/>
              </w:rPr>
              <w:t>**</w:t>
            </w:r>
          </w:p>
        </w:tc>
        <w:tc>
          <w:tcPr>
            <w:tcW w:w="1920" w:type="dxa"/>
          </w:tcPr>
          <w:p w14:paraId="1400D71C"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16.9 (15.9-18.4)</w:t>
            </w:r>
          </w:p>
        </w:tc>
      </w:tr>
      <w:tr w:rsidR="009F4881" w14:paraId="0CBE1A69" w14:textId="77777777" w:rsidTr="00825F63">
        <w:trPr>
          <w:trHeight w:val="239"/>
        </w:trPr>
        <w:tc>
          <w:tcPr>
            <w:tcW w:w="2869" w:type="dxa"/>
          </w:tcPr>
          <w:p w14:paraId="2D68C076" w14:textId="77777777" w:rsidR="009F4881" w:rsidRDefault="009F4881" w:rsidP="00825F63">
            <w:pPr>
              <w:rPr>
                <w:rFonts w:ascii="Times New Roman" w:hAnsi="Times New Roman" w:cs="Times New Roman"/>
                <w:b/>
                <w:bCs/>
                <w:lang w:val="tr-TR"/>
              </w:rPr>
            </w:pPr>
            <w:r>
              <w:rPr>
                <w:rFonts w:ascii="Times New Roman" w:hAnsi="Times New Roman" w:cs="Times New Roman"/>
                <w:b/>
                <w:bCs/>
                <w:lang w:val="tr-TR"/>
              </w:rPr>
              <w:t>MPV, fL</w:t>
            </w:r>
          </w:p>
        </w:tc>
        <w:tc>
          <w:tcPr>
            <w:tcW w:w="1920" w:type="dxa"/>
          </w:tcPr>
          <w:p w14:paraId="26AC499B"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8.2 (6.8-10.3)</w:t>
            </w:r>
          </w:p>
        </w:tc>
        <w:tc>
          <w:tcPr>
            <w:tcW w:w="1824" w:type="dxa"/>
          </w:tcPr>
          <w:p w14:paraId="3A9097E0"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8.3 (6.5-10.5)</w:t>
            </w:r>
          </w:p>
        </w:tc>
        <w:tc>
          <w:tcPr>
            <w:tcW w:w="1092" w:type="dxa"/>
          </w:tcPr>
          <w:p w14:paraId="581F3AAD" w14:textId="77777777" w:rsidR="009F4881" w:rsidRDefault="009F4881" w:rsidP="00825F63">
            <w:pPr>
              <w:jc w:val="center"/>
              <w:rPr>
                <w:rFonts w:ascii="Times New Roman" w:hAnsi="Times New Roman" w:cs="Times New Roman"/>
                <w:lang w:val="tr-TR"/>
              </w:rPr>
            </w:pPr>
            <w:r>
              <w:rPr>
                <w:rFonts w:ascii="Times New Roman" w:hAnsi="Times New Roman" w:cs="Times New Roman"/>
                <w:color w:val="000000"/>
                <w:lang w:val="tr-TR"/>
              </w:rPr>
              <w:t>p&gt;</w:t>
            </w:r>
            <w:r>
              <w:rPr>
                <w:rFonts w:ascii="Times New Roman" w:hAnsi="Times New Roman" w:cs="Times New Roman"/>
                <w:color w:val="000000"/>
              </w:rPr>
              <w:t>0.05</w:t>
            </w:r>
            <w:r>
              <w:rPr>
                <w:rFonts w:ascii="Times New Roman" w:hAnsi="Times New Roman" w:cs="Times New Roman"/>
                <w:lang w:val="tr-TR"/>
              </w:rPr>
              <w:t>***</w:t>
            </w:r>
          </w:p>
        </w:tc>
        <w:tc>
          <w:tcPr>
            <w:tcW w:w="1908" w:type="dxa"/>
          </w:tcPr>
          <w:p w14:paraId="411AD192"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8.3 (6.5-10.5)</w:t>
            </w:r>
          </w:p>
        </w:tc>
        <w:tc>
          <w:tcPr>
            <w:tcW w:w="1920" w:type="dxa"/>
          </w:tcPr>
          <w:p w14:paraId="3CE695E5"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8.1 (6.8-9.9)</w:t>
            </w:r>
          </w:p>
        </w:tc>
        <w:tc>
          <w:tcPr>
            <w:tcW w:w="1104" w:type="dxa"/>
          </w:tcPr>
          <w:p w14:paraId="75115372" w14:textId="77777777" w:rsidR="009F4881" w:rsidRDefault="009F4881" w:rsidP="00825F63">
            <w:pPr>
              <w:jc w:val="center"/>
              <w:rPr>
                <w:rFonts w:ascii="Times New Roman" w:hAnsi="Times New Roman" w:cs="Times New Roman"/>
                <w:lang w:val="tr-TR"/>
              </w:rPr>
            </w:pPr>
            <w:r>
              <w:rPr>
                <w:rFonts w:ascii="Times New Roman" w:hAnsi="Times New Roman" w:cs="Times New Roman"/>
                <w:color w:val="000000"/>
                <w:lang w:val="tr-TR"/>
              </w:rPr>
              <w:t>p&gt;</w:t>
            </w:r>
            <w:r>
              <w:rPr>
                <w:rFonts w:ascii="Times New Roman" w:hAnsi="Times New Roman" w:cs="Times New Roman"/>
                <w:color w:val="000000"/>
              </w:rPr>
              <w:t>0.05</w:t>
            </w:r>
            <w:r>
              <w:rPr>
                <w:rFonts w:ascii="Times New Roman" w:hAnsi="Times New Roman" w:cs="Times New Roman"/>
                <w:lang w:val="tr-TR"/>
              </w:rPr>
              <w:t>***</w:t>
            </w:r>
          </w:p>
        </w:tc>
        <w:tc>
          <w:tcPr>
            <w:tcW w:w="1920" w:type="dxa"/>
          </w:tcPr>
          <w:p w14:paraId="34BB33C7"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8.2 (6.5-10.5)</w:t>
            </w:r>
          </w:p>
        </w:tc>
      </w:tr>
      <w:tr w:rsidR="009F4881" w14:paraId="7D74EA73" w14:textId="77777777" w:rsidTr="00825F63">
        <w:trPr>
          <w:trHeight w:val="239"/>
        </w:trPr>
        <w:tc>
          <w:tcPr>
            <w:tcW w:w="2869" w:type="dxa"/>
          </w:tcPr>
          <w:p w14:paraId="7407DBB3" w14:textId="77777777" w:rsidR="009F4881" w:rsidRDefault="009F4881" w:rsidP="00825F63">
            <w:pPr>
              <w:rPr>
                <w:rFonts w:ascii="Times New Roman" w:hAnsi="Times New Roman" w:cs="Times New Roman"/>
                <w:b/>
                <w:bCs/>
                <w:lang w:val="tr-TR"/>
              </w:rPr>
            </w:pPr>
            <w:r>
              <w:rPr>
                <w:rFonts w:ascii="Times New Roman" w:hAnsi="Times New Roman" w:cs="Times New Roman"/>
                <w:b/>
                <w:bCs/>
                <w:lang w:val="tr-TR"/>
              </w:rPr>
              <w:t>Dur. of Hosp.days</w:t>
            </w:r>
          </w:p>
        </w:tc>
        <w:tc>
          <w:tcPr>
            <w:tcW w:w="1920" w:type="dxa"/>
          </w:tcPr>
          <w:p w14:paraId="6C844CA6"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3 (1-15)</w:t>
            </w:r>
          </w:p>
        </w:tc>
        <w:tc>
          <w:tcPr>
            <w:tcW w:w="1824" w:type="dxa"/>
          </w:tcPr>
          <w:p w14:paraId="2A7D686E"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3 (1-5)</w:t>
            </w:r>
          </w:p>
        </w:tc>
        <w:tc>
          <w:tcPr>
            <w:tcW w:w="1092" w:type="dxa"/>
          </w:tcPr>
          <w:p w14:paraId="281BFBA2" w14:textId="77777777" w:rsidR="009F4881" w:rsidRDefault="009F4881" w:rsidP="00825F63">
            <w:pPr>
              <w:jc w:val="center"/>
              <w:rPr>
                <w:rFonts w:ascii="Times New Roman" w:hAnsi="Times New Roman" w:cs="Times New Roman"/>
                <w:lang w:val="tr-TR"/>
              </w:rPr>
            </w:pPr>
            <w:r>
              <w:rPr>
                <w:rFonts w:ascii="Times New Roman" w:hAnsi="Times New Roman" w:cs="Times New Roman"/>
                <w:color w:val="000000"/>
                <w:lang w:val="tr-TR"/>
              </w:rPr>
              <w:t>p&gt;</w:t>
            </w:r>
            <w:r>
              <w:rPr>
                <w:rFonts w:ascii="Times New Roman" w:hAnsi="Times New Roman" w:cs="Times New Roman"/>
                <w:color w:val="000000"/>
              </w:rPr>
              <w:t>0.05</w:t>
            </w:r>
            <w:r>
              <w:rPr>
                <w:rFonts w:ascii="Times New Roman" w:hAnsi="Times New Roman" w:cs="Times New Roman"/>
                <w:lang w:val="tr-TR"/>
              </w:rPr>
              <w:t>**</w:t>
            </w:r>
          </w:p>
        </w:tc>
        <w:tc>
          <w:tcPr>
            <w:tcW w:w="1908" w:type="dxa"/>
          </w:tcPr>
          <w:p w14:paraId="54914E1E"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2 (1-6)</w:t>
            </w:r>
          </w:p>
        </w:tc>
        <w:tc>
          <w:tcPr>
            <w:tcW w:w="1920" w:type="dxa"/>
          </w:tcPr>
          <w:p w14:paraId="656EADB0"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3.5 (1-15)</w:t>
            </w:r>
          </w:p>
        </w:tc>
        <w:tc>
          <w:tcPr>
            <w:tcW w:w="1104" w:type="dxa"/>
          </w:tcPr>
          <w:p w14:paraId="620A1C24" w14:textId="77777777" w:rsidR="009F4881" w:rsidRDefault="009F4881" w:rsidP="00825F63">
            <w:pPr>
              <w:jc w:val="center"/>
              <w:rPr>
                <w:rFonts w:ascii="Times New Roman" w:hAnsi="Times New Roman" w:cs="Times New Roman"/>
                <w:lang w:val="tr-TR"/>
              </w:rPr>
            </w:pPr>
            <w:r>
              <w:rPr>
                <w:rFonts w:ascii="Times New Roman" w:hAnsi="Times New Roman" w:cs="Times New Roman"/>
                <w:color w:val="000000"/>
              </w:rPr>
              <w:t>p&lt;0.05</w:t>
            </w:r>
            <w:r>
              <w:rPr>
                <w:rFonts w:ascii="Times New Roman" w:hAnsi="Times New Roman" w:cs="Times New Roman"/>
                <w:lang w:val="tr-TR"/>
              </w:rPr>
              <w:t>**</w:t>
            </w:r>
          </w:p>
        </w:tc>
        <w:tc>
          <w:tcPr>
            <w:tcW w:w="1920" w:type="dxa"/>
          </w:tcPr>
          <w:p w14:paraId="38E67DCD"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3 (1-15)</w:t>
            </w:r>
          </w:p>
        </w:tc>
      </w:tr>
      <w:tr w:rsidR="009F4881" w14:paraId="330BEA96" w14:textId="77777777" w:rsidTr="00825F63">
        <w:trPr>
          <w:trHeight w:val="249"/>
        </w:trPr>
        <w:tc>
          <w:tcPr>
            <w:tcW w:w="2869" w:type="dxa"/>
          </w:tcPr>
          <w:p w14:paraId="09533AD6" w14:textId="77777777" w:rsidR="009F4881" w:rsidRDefault="009F4881" w:rsidP="00825F63">
            <w:pPr>
              <w:rPr>
                <w:rFonts w:ascii="Times New Roman" w:hAnsi="Times New Roman" w:cs="Times New Roman"/>
                <w:b/>
                <w:bCs/>
                <w:lang w:val="tr-TR"/>
              </w:rPr>
            </w:pPr>
            <w:r>
              <w:rPr>
                <w:rFonts w:ascii="Times New Roman" w:hAnsi="Times New Roman" w:cs="Times New Roman"/>
                <w:b/>
                <w:bCs/>
                <w:lang w:val="tr-TR"/>
              </w:rPr>
              <w:t>Karaman Score</w:t>
            </w:r>
          </w:p>
        </w:tc>
        <w:tc>
          <w:tcPr>
            <w:tcW w:w="1920" w:type="dxa"/>
          </w:tcPr>
          <w:p w14:paraId="5904DD5C"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9 (1-12)</w:t>
            </w:r>
          </w:p>
        </w:tc>
        <w:tc>
          <w:tcPr>
            <w:tcW w:w="1824" w:type="dxa"/>
          </w:tcPr>
          <w:p w14:paraId="2AAD066A"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6 (1-12)</w:t>
            </w:r>
          </w:p>
        </w:tc>
        <w:tc>
          <w:tcPr>
            <w:tcW w:w="1092" w:type="dxa"/>
          </w:tcPr>
          <w:p w14:paraId="4ADBCAE0" w14:textId="77777777" w:rsidR="009F4881" w:rsidRDefault="009F4881" w:rsidP="00825F63">
            <w:pPr>
              <w:jc w:val="center"/>
              <w:rPr>
                <w:rFonts w:ascii="Times New Roman" w:hAnsi="Times New Roman" w:cs="Times New Roman"/>
                <w:lang w:val="tr-TR"/>
              </w:rPr>
            </w:pPr>
            <w:r>
              <w:rPr>
                <w:rFonts w:ascii="Times New Roman" w:hAnsi="Times New Roman" w:cs="Times New Roman"/>
                <w:color w:val="000000"/>
              </w:rPr>
              <w:t>p&lt;0.05</w:t>
            </w:r>
            <w:r>
              <w:rPr>
                <w:rFonts w:ascii="Times New Roman" w:hAnsi="Times New Roman" w:cs="Times New Roman"/>
                <w:lang w:val="tr-TR"/>
              </w:rPr>
              <w:t>**</w:t>
            </w:r>
          </w:p>
        </w:tc>
        <w:tc>
          <w:tcPr>
            <w:tcW w:w="1908" w:type="dxa"/>
          </w:tcPr>
          <w:p w14:paraId="6D02E051"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9 (1-12)</w:t>
            </w:r>
          </w:p>
        </w:tc>
        <w:tc>
          <w:tcPr>
            <w:tcW w:w="1920" w:type="dxa"/>
          </w:tcPr>
          <w:p w14:paraId="226487AD"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10.5 (4-12)</w:t>
            </w:r>
          </w:p>
        </w:tc>
        <w:tc>
          <w:tcPr>
            <w:tcW w:w="1104" w:type="dxa"/>
          </w:tcPr>
          <w:p w14:paraId="05B5C241" w14:textId="77777777" w:rsidR="009F4881" w:rsidRDefault="009F4881" w:rsidP="00825F63">
            <w:pPr>
              <w:jc w:val="center"/>
              <w:rPr>
                <w:rFonts w:ascii="Times New Roman" w:hAnsi="Times New Roman" w:cs="Times New Roman"/>
                <w:lang w:val="tr-TR"/>
              </w:rPr>
            </w:pPr>
            <w:r>
              <w:rPr>
                <w:rFonts w:ascii="Times New Roman" w:hAnsi="Times New Roman" w:cs="Times New Roman"/>
                <w:color w:val="000000"/>
              </w:rPr>
              <w:t>p&lt;0.05</w:t>
            </w:r>
            <w:r>
              <w:rPr>
                <w:rFonts w:ascii="Times New Roman" w:hAnsi="Times New Roman" w:cs="Times New Roman"/>
                <w:lang w:val="tr-TR"/>
              </w:rPr>
              <w:t>**</w:t>
            </w:r>
          </w:p>
        </w:tc>
        <w:tc>
          <w:tcPr>
            <w:tcW w:w="1920" w:type="dxa"/>
          </w:tcPr>
          <w:p w14:paraId="28E9F941"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9 (1-12)</w:t>
            </w:r>
          </w:p>
        </w:tc>
      </w:tr>
    </w:tbl>
    <w:p w14:paraId="6B334A44" w14:textId="77777777" w:rsidR="009F4881" w:rsidRDefault="009F4881" w:rsidP="009F4881">
      <w:pPr>
        <w:rPr>
          <w:rFonts w:ascii="Times New Roman" w:hAnsi="Times New Roman" w:cs="Times New Roman"/>
          <w:lang w:val="tr-TR"/>
        </w:rPr>
        <w:sectPr w:rsidR="009F4881" w:rsidSect="009F4881">
          <w:headerReference w:type="even" r:id="rId9"/>
          <w:headerReference w:type="default" r:id="rId10"/>
          <w:footerReference w:type="even" r:id="rId11"/>
          <w:footerReference w:type="default" r:id="rId12"/>
          <w:headerReference w:type="first" r:id="rId13"/>
          <w:footerReference w:type="first" r:id="rId14"/>
          <w:pgSz w:w="16838" w:h="11906" w:orient="landscape"/>
          <w:pgMar w:top="1800" w:right="1440" w:bottom="1800" w:left="1440" w:header="720" w:footer="720" w:gutter="0"/>
          <w:cols w:space="720"/>
          <w:docGrid w:linePitch="360"/>
        </w:sectPr>
      </w:pPr>
      <w:r>
        <w:rPr>
          <w:rFonts w:ascii="Times New Roman" w:hAnsi="Times New Roman" w:cs="Times New Roman"/>
          <w:lang w:val="tr-TR"/>
        </w:rPr>
        <w:t>*Chi-Square  **Mann-Whitney U ***student-t test</w:t>
      </w:r>
    </w:p>
    <w:p w14:paraId="29B50160" w14:textId="77777777" w:rsidR="009F4881" w:rsidRDefault="009F4881" w:rsidP="009F4881">
      <w:pPr>
        <w:rPr>
          <w:rFonts w:ascii="Times New Roman" w:hAnsi="Times New Roman" w:cs="Times New Roman"/>
          <w:lang w:val="tr-TR"/>
        </w:rPr>
      </w:pPr>
      <w:r>
        <w:rPr>
          <w:rFonts w:ascii="Times New Roman" w:hAnsi="Times New Roman" w:cs="Times New Roman"/>
          <w:b/>
          <w:bCs/>
          <w:lang w:val="tr-TR"/>
        </w:rPr>
        <w:lastRenderedPageBreak/>
        <w:t>Table-4</w:t>
      </w:r>
      <w:r>
        <w:rPr>
          <w:rFonts w:ascii="Times New Roman" w:hAnsi="Times New Roman" w:cs="Times New Roman"/>
          <w:lang w:val="tr-TR"/>
        </w:rPr>
        <w:t xml:space="preserve"> </w:t>
      </w:r>
      <w:r>
        <w:rPr>
          <w:rFonts w:ascii="Times New Roman" w:hAnsi="Times New Roman"/>
          <w:lang w:val="tr-TR"/>
        </w:rPr>
        <w:t>The power of the Karaman Score levels in treatment selection and prognosis prediction</w:t>
      </w:r>
    </w:p>
    <w:tbl>
      <w:tblPr>
        <w:tblStyle w:val="TableGrid"/>
        <w:tblW w:w="0" w:type="auto"/>
        <w:tblLayout w:type="fixed"/>
        <w:tblLook w:val="04A0" w:firstRow="1" w:lastRow="0" w:firstColumn="1" w:lastColumn="0" w:noHBand="0" w:noVBand="1"/>
      </w:tblPr>
      <w:tblGrid>
        <w:gridCol w:w="2074"/>
        <w:gridCol w:w="1474"/>
        <w:gridCol w:w="1414"/>
        <w:gridCol w:w="1558"/>
        <w:gridCol w:w="1378"/>
      </w:tblGrid>
      <w:tr w:rsidR="009F4881" w14:paraId="0D0B89F7" w14:textId="77777777" w:rsidTr="00825F63">
        <w:trPr>
          <w:trHeight w:val="238"/>
        </w:trPr>
        <w:tc>
          <w:tcPr>
            <w:tcW w:w="2074" w:type="dxa"/>
            <w:tcBorders>
              <w:top w:val="nil"/>
              <w:left w:val="nil"/>
              <w:bottom w:val="nil"/>
              <w:right w:val="single" w:sz="4" w:space="0" w:color="auto"/>
            </w:tcBorders>
          </w:tcPr>
          <w:p w14:paraId="20027E4B" w14:textId="77777777" w:rsidR="009F4881" w:rsidRDefault="009F4881" w:rsidP="00825F63">
            <w:pPr>
              <w:rPr>
                <w:rFonts w:ascii="Times New Roman" w:hAnsi="Times New Roman" w:cs="Times New Roman"/>
                <w:lang w:val="tr-TR"/>
              </w:rPr>
            </w:pPr>
          </w:p>
        </w:tc>
        <w:tc>
          <w:tcPr>
            <w:tcW w:w="2888" w:type="dxa"/>
            <w:gridSpan w:val="2"/>
            <w:tcBorders>
              <w:top w:val="single" w:sz="4" w:space="0" w:color="000000"/>
              <w:left w:val="single" w:sz="4" w:space="0" w:color="auto"/>
              <w:right w:val="single" w:sz="18" w:space="0" w:color="auto"/>
            </w:tcBorders>
          </w:tcPr>
          <w:p w14:paraId="1AB3C27D" w14:textId="77777777" w:rsidR="009F4881" w:rsidRDefault="009F4881" w:rsidP="00825F63">
            <w:pPr>
              <w:jc w:val="center"/>
              <w:rPr>
                <w:rFonts w:ascii="Times New Roman" w:hAnsi="Times New Roman" w:cs="Times New Roman"/>
                <w:b/>
                <w:bCs/>
                <w:lang w:val="tr-TR"/>
              </w:rPr>
            </w:pPr>
            <w:r>
              <w:rPr>
                <w:rFonts w:ascii="Times New Roman" w:hAnsi="Times New Roman" w:cs="Times New Roman"/>
                <w:b/>
                <w:bCs/>
                <w:lang w:val="tr-TR"/>
              </w:rPr>
              <w:t>Surgery</w:t>
            </w:r>
          </w:p>
        </w:tc>
        <w:tc>
          <w:tcPr>
            <w:tcW w:w="2936" w:type="dxa"/>
            <w:gridSpan w:val="2"/>
            <w:tcBorders>
              <w:left w:val="single" w:sz="18" w:space="0" w:color="auto"/>
            </w:tcBorders>
          </w:tcPr>
          <w:p w14:paraId="7D38F492" w14:textId="77777777" w:rsidR="009F4881" w:rsidRDefault="009F4881" w:rsidP="00825F63">
            <w:pPr>
              <w:jc w:val="center"/>
              <w:rPr>
                <w:rFonts w:ascii="Times New Roman" w:hAnsi="Times New Roman" w:cs="Times New Roman"/>
                <w:b/>
                <w:bCs/>
                <w:lang w:val="tr-TR"/>
              </w:rPr>
            </w:pPr>
            <w:r>
              <w:rPr>
                <w:rFonts w:ascii="Times New Roman" w:hAnsi="Times New Roman" w:cs="Times New Roman"/>
                <w:b/>
                <w:bCs/>
                <w:lang w:val="tr-TR"/>
              </w:rPr>
              <w:t>Complicated</w:t>
            </w:r>
          </w:p>
        </w:tc>
      </w:tr>
      <w:tr w:rsidR="009F4881" w14:paraId="4A533AD8" w14:textId="77777777" w:rsidTr="00825F63">
        <w:trPr>
          <w:trHeight w:val="238"/>
        </w:trPr>
        <w:tc>
          <w:tcPr>
            <w:tcW w:w="2074" w:type="dxa"/>
            <w:tcBorders>
              <w:top w:val="nil"/>
              <w:left w:val="nil"/>
              <w:bottom w:val="single" w:sz="4" w:space="0" w:color="auto"/>
              <w:right w:val="single" w:sz="4" w:space="0" w:color="auto"/>
            </w:tcBorders>
          </w:tcPr>
          <w:p w14:paraId="0EB88533" w14:textId="77777777" w:rsidR="009F4881" w:rsidRDefault="009F4881" w:rsidP="00825F63">
            <w:pPr>
              <w:rPr>
                <w:rFonts w:ascii="Times New Roman" w:hAnsi="Times New Roman" w:cs="Times New Roman"/>
                <w:lang w:val="tr-TR"/>
              </w:rPr>
            </w:pPr>
          </w:p>
        </w:tc>
        <w:tc>
          <w:tcPr>
            <w:tcW w:w="1474" w:type="dxa"/>
            <w:tcBorders>
              <w:left w:val="single" w:sz="4" w:space="0" w:color="auto"/>
              <w:bottom w:val="single" w:sz="4" w:space="0" w:color="auto"/>
            </w:tcBorders>
          </w:tcPr>
          <w:p w14:paraId="57DABF68" w14:textId="77777777" w:rsidR="009F4881" w:rsidRDefault="009F4881" w:rsidP="00825F63">
            <w:pPr>
              <w:jc w:val="center"/>
              <w:rPr>
                <w:rFonts w:ascii="Times New Roman" w:hAnsi="Times New Roman" w:cs="Times New Roman"/>
                <w:lang w:val="tr-TR"/>
              </w:rPr>
            </w:pPr>
            <w:r>
              <w:rPr>
                <w:rFonts w:ascii="Times New Roman" w:hAnsi="Times New Roman" w:cs="Times New Roman"/>
                <w:b/>
                <w:bCs/>
                <w:lang w:val="tr-TR"/>
              </w:rPr>
              <w:t>Karaman</w:t>
            </w:r>
            <w:r>
              <w:rPr>
                <w:rFonts w:ascii="Times New Roman" w:eastAsia="Inter" w:hAnsi="Times New Roman" w:cs="Times New Roman"/>
                <w:b/>
                <w:bCs/>
                <w:color w:val="333333"/>
                <w:shd w:val="clear" w:color="auto" w:fill="FFFFFF"/>
              </w:rPr>
              <w:t>≥</w:t>
            </w:r>
            <w:r>
              <w:rPr>
                <w:rFonts w:ascii="Times New Roman" w:eastAsia="Inter" w:hAnsi="Times New Roman" w:cs="Times New Roman"/>
                <w:b/>
                <w:bCs/>
                <w:color w:val="333333"/>
                <w:shd w:val="clear" w:color="auto" w:fill="FFFFFF"/>
                <w:lang w:val="tr-TR"/>
              </w:rPr>
              <w:t>9</w:t>
            </w:r>
          </w:p>
        </w:tc>
        <w:tc>
          <w:tcPr>
            <w:tcW w:w="1414" w:type="dxa"/>
            <w:tcBorders>
              <w:bottom w:val="single" w:sz="4" w:space="0" w:color="auto"/>
              <w:right w:val="single" w:sz="18" w:space="0" w:color="auto"/>
            </w:tcBorders>
          </w:tcPr>
          <w:p w14:paraId="7DEDD65D" w14:textId="77777777" w:rsidR="009F4881" w:rsidRDefault="009F4881" w:rsidP="00825F63">
            <w:pPr>
              <w:jc w:val="center"/>
              <w:rPr>
                <w:rFonts w:ascii="Times New Roman" w:hAnsi="Times New Roman" w:cs="Times New Roman"/>
                <w:lang w:val="tr-TR"/>
              </w:rPr>
            </w:pPr>
            <w:r>
              <w:rPr>
                <w:rFonts w:ascii="Times New Roman" w:hAnsi="Times New Roman" w:cs="Times New Roman"/>
                <w:b/>
                <w:bCs/>
                <w:lang w:val="tr-TR"/>
              </w:rPr>
              <w:t>Karaman</w:t>
            </w:r>
            <w:r>
              <w:rPr>
                <w:rFonts w:ascii="Times New Roman" w:eastAsia="Inter" w:hAnsi="Times New Roman" w:cs="Times New Roman"/>
                <w:b/>
                <w:bCs/>
                <w:color w:val="333333"/>
                <w:shd w:val="clear" w:color="auto" w:fill="FFFFFF"/>
              </w:rPr>
              <w:t>≥</w:t>
            </w:r>
            <w:r>
              <w:rPr>
                <w:rFonts w:ascii="Times New Roman" w:eastAsia="Inter" w:hAnsi="Times New Roman" w:cs="Times New Roman"/>
                <w:b/>
                <w:bCs/>
                <w:color w:val="333333"/>
                <w:shd w:val="clear" w:color="auto" w:fill="FFFFFF"/>
                <w:lang w:val="tr-TR"/>
              </w:rPr>
              <w:t>10</w:t>
            </w:r>
          </w:p>
        </w:tc>
        <w:tc>
          <w:tcPr>
            <w:tcW w:w="1558" w:type="dxa"/>
            <w:tcBorders>
              <w:left w:val="single" w:sz="18" w:space="0" w:color="auto"/>
              <w:bottom w:val="single" w:sz="4" w:space="0" w:color="auto"/>
            </w:tcBorders>
          </w:tcPr>
          <w:p w14:paraId="2845A8F8" w14:textId="77777777" w:rsidR="009F4881" w:rsidRDefault="009F4881" w:rsidP="00825F63">
            <w:pPr>
              <w:jc w:val="center"/>
              <w:rPr>
                <w:rFonts w:ascii="Times New Roman" w:hAnsi="Times New Roman" w:cs="Times New Roman"/>
                <w:lang w:val="tr-TR"/>
              </w:rPr>
            </w:pPr>
            <w:r>
              <w:rPr>
                <w:rFonts w:ascii="Times New Roman" w:hAnsi="Times New Roman" w:cs="Times New Roman"/>
                <w:b/>
                <w:bCs/>
                <w:lang w:val="tr-TR"/>
              </w:rPr>
              <w:t>Karaman</w:t>
            </w:r>
            <w:r>
              <w:rPr>
                <w:rFonts w:ascii="Times New Roman" w:eastAsia="Inter" w:hAnsi="Times New Roman" w:cs="Times New Roman"/>
                <w:b/>
                <w:bCs/>
                <w:color w:val="333333"/>
                <w:shd w:val="clear" w:color="auto" w:fill="FFFFFF"/>
              </w:rPr>
              <w:t>≥</w:t>
            </w:r>
            <w:r>
              <w:rPr>
                <w:rFonts w:ascii="Times New Roman" w:eastAsia="Inter" w:hAnsi="Times New Roman" w:cs="Times New Roman"/>
                <w:b/>
                <w:bCs/>
                <w:color w:val="333333"/>
                <w:shd w:val="clear" w:color="auto" w:fill="FFFFFF"/>
                <w:lang w:val="tr-TR"/>
              </w:rPr>
              <w:t>9</w:t>
            </w:r>
          </w:p>
        </w:tc>
        <w:tc>
          <w:tcPr>
            <w:tcW w:w="1378" w:type="dxa"/>
            <w:tcBorders>
              <w:bottom w:val="single" w:sz="4" w:space="0" w:color="auto"/>
            </w:tcBorders>
          </w:tcPr>
          <w:p w14:paraId="136FFD40" w14:textId="77777777" w:rsidR="009F4881" w:rsidRDefault="009F4881" w:rsidP="00825F63">
            <w:pPr>
              <w:jc w:val="center"/>
              <w:rPr>
                <w:rFonts w:ascii="Times New Roman" w:hAnsi="Times New Roman" w:cs="Times New Roman"/>
                <w:lang w:val="tr-TR"/>
              </w:rPr>
            </w:pPr>
            <w:r>
              <w:rPr>
                <w:rFonts w:ascii="Times New Roman" w:hAnsi="Times New Roman" w:cs="Times New Roman"/>
                <w:b/>
                <w:bCs/>
                <w:lang w:val="tr-TR"/>
              </w:rPr>
              <w:t>Karaman</w:t>
            </w:r>
            <w:r>
              <w:rPr>
                <w:rFonts w:ascii="Times New Roman" w:eastAsia="Inter" w:hAnsi="Times New Roman" w:cs="Times New Roman"/>
                <w:b/>
                <w:bCs/>
                <w:color w:val="333333"/>
                <w:shd w:val="clear" w:color="auto" w:fill="FFFFFF"/>
              </w:rPr>
              <w:t>≥</w:t>
            </w:r>
            <w:r>
              <w:rPr>
                <w:rFonts w:ascii="Times New Roman" w:eastAsia="Inter" w:hAnsi="Times New Roman" w:cs="Times New Roman"/>
                <w:b/>
                <w:bCs/>
                <w:color w:val="333333"/>
                <w:shd w:val="clear" w:color="auto" w:fill="FFFFFF"/>
                <w:lang w:val="tr-TR"/>
              </w:rPr>
              <w:t>10</w:t>
            </w:r>
          </w:p>
        </w:tc>
      </w:tr>
      <w:tr w:rsidR="009F4881" w14:paraId="4C4F8416" w14:textId="77777777" w:rsidTr="00825F63">
        <w:trPr>
          <w:trHeight w:val="238"/>
        </w:trPr>
        <w:tc>
          <w:tcPr>
            <w:tcW w:w="2074" w:type="dxa"/>
            <w:tcBorders>
              <w:top w:val="single" w:sz="4" w:space="0" w:color="auto"/>
            </w:tcBorders>
          </w:tcPr>
          <w:p w14:paraId="76054BF4" w14:textId="77777777" w:rsidR="009F4881" w:rsidRDefault="009F4881" w:rsidP="00825F63">
            <w:pPr>
              <w:rPr>
                <w:rFonts w:ascii="Times New Roman" w:hAnsi="Times New Roman" w:cs="Times New Roman"/>
                <w:b/>
                <w:bCs/>
                <w:lang w:val="tr-TR"/>
              </w:rPr>
            </w:pPr>
            <w:r>
              <w:rPr>
                <w:rFonts w:ascii="Times New Roman" w:hAnsi="Times New Roman" w:cs="Times New Roman"/>
                <w:b/>
                <w:bCs/>
                <w:lang w:val="tr-TR"/>
              </w:rPr>
              <w:t>Sensitivity (%)</w:t>
            </w:r>
          </w:p>
        </w:tc>
        <w:tc>
          <w:tcPr>
            <w:tcW w:w="1474" w:type="dxa"/>
            <w:tcBorders>
              <w:top w:val="single" w:sz="4" w:space="0" w:color="auto"/>
            </w:tcBorders>
          </w:tcPr>
          <w:p w14:paraId="443FC787"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70,6</w:t>
            </w:r>
          </w:p>
        </w:tc>
        <w:tc>
          <w:tcPr>
            <w:tcW w:w="1414" w:type="dxa"/>
            <w:tcBorders>
              <w:top w:val="single" w:sz="4" w:space="0" w:color="auto"/>
              <w:right w:val="single" w:sz="18" w:space="0" w:color="auto"/>
            </w:tcBorders>
          </w:tcPr>
          <w:p w14:paraId="5DD6517F"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37.3</w:t>
            </w:r>
          </w:p>
        </w:tc>
        <w:tc>
          <w:tcPr>
            <w:tcW w:w="1558" w:type="dxa"/>
            <w:tcBorders>
              <w:top w:val="single" w:sz="4" w:space="0" w:color="auto"/>
              <w:left w:val="single" w:sz="18" w:space="0" w:color="auto"/>
            </w:tcBorders>
          </w:tcPr>
          <w:p w14:paraId="02014B9C"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75</w:t>
            </w:r>
          </w:p>
        </w:tc>
        <w:tc>
          <w:tcPr>
            <w:tcW w:w="1378" w:type="dxa"/>
            <w:tcBorders>
              <w:top w:val="single" w:sz="4" w:space="0" w:color="auto"/>
            </w:tcBorders>
          </w:tcPr>
          <w:p w14:paraId="06BE4451"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50</w:t>
            </w:r>
          </w:p>
        </w:tc>
      </w:tr>
      <w:tr w:rsidR="009F4881" w14:paraId="452F1DE6" w14:textId="77777777" w:rsidTr="00825F63">
        <w:trPr>
          <w:trHeight w:val="238"/>
        </w:trPr>
        <w:tc>
          <w:tcPr>
            <w:tcW w:w="2074" w:type="dxa"/>
          </w:tcPr>
          <w:p w14:paraId="218B145B" w14:textId="77777777" w:rsidR="009F4881" w:rsidRDefault="009F4881" w:rsidP="00825F63">
            <w:pPr>
              <w:rPr>
                <w:rFonts w:ascii="Times New Roman" w:hAnsi="Times New Roman" w:cs="Times New Roman"/>
                <w:b/>
                <w:bCs/>
                <w:lang w:val="tr-TR"/>
              </w:rPr>
            </w:pPr>
            <w:r>
              <w:rPr>
                <w:rFonts w:ascii="Times New Roman" w:hAnsi="Times New Roman" w:cs="Times New Roman"/>
                <w:b/>
                <w:bCs/>
                <w:lang w:val="tr-TR"/>
              </w:rPr>
              <w:t>Specifity (%)</w:t>
            </w:r>
          </w:p>
        </w:tc>
        <w:tc>
          <w:tcPr>
            <w:tcW w:w="1474" w:type="dxa"/>
          </w:tcPr>
          <w:p w14:paraId="6F989F7A"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77.8</w:t>
            </w:r>
          </w:p>
        </w:tc>
        <w:tc>
          <w:tcPr>
            <w:tcW w:w="1414" w:type="dxa"/>
            <w:tcBorders>
              <w:right w:val="single" w:sz="18" w:space="0" w:color="auto"/>
            </w:tcBorders>
          </w:tcPr>
          <w:p w14:paraId="4D2B02E8"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88.9</w:t>
            </w:r>
          </w:p>
        </w:tc>
        <w:tc>
          <w:tcPr>
            <w:tcW w:w="1558" w:type="dxa"/>
            <w:tcBorders>
              <w:left w:val="single" w:sz="18" w:space="0" w:color="auto"/>
            </w:tcBorders>
          </w:tcPr>
          <w:p w14:paraId="061B543A"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50</w:t>
            </w:r>
          </w:p>
        </w:tc>
        <w:tc>
          <w:tcPr>
            <w:tcW w:w="1378" w:type="dxa"/>
          </w:tcPr>
          <w:p w14:paraId="617AF5A8"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79.2</w:t>
            </w:r>
          </w:p>
        </w:tc>
      </w:tr>
      <w:tr w:rsidR="009F4881" w14:paraId="487FAA6F" w14:textId="77777777" w:rsidTr="00825F63">
        <w:trPr>
          <w:trHeight w:val="238"/>
        </w:trPr>
        <w:tc>
          <w:tcPr>
            <w:tcW w:w="2074" w:type="dxa"/>
          </w:tcPr>
          <w:p w14:paraId="3B9AE1AA" w14:textId="77777777" w:rsidR="009F4881" w:rsidRDefault="009F4881" w:rsidP="00825F63">
            <w:pPr>
              <w:jc w:val="left"/>
              <w:rPr>
                <w:rFonts w:ascii="Times New Roman" w:hAnsi="Times New Roman" w:cs="Times New Roman"/>
                <w:b/>
                <w:bCs/>
                <w:lang w:val="tr-TR"/>
              </w:rPr>
            </w:pPr>
            <w:r>
              <w:rPr>
                <w:rFonts w:ascii="Times New Roman" w:hAnsi="Times New Roman" w:cs="Times New Roman"/>
                <w:b/>
                <w:bCs/>
                <w:lang w:val="tr-TR"/>
              </w:rPr>
              <w:t>PPV (%)</w:t>
            </w:r>
          </w:p>
        </w:tc>
        <w:tc>
          <w:tcPr>
            <w:tcW w:w="1474" w:type="dxa"/>
          </w:tcPr>
          <w:p w14:paraId="3FCFF9D2"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90</w:t>
            </w:r>
          </w:p>
        </w:tc>
        <w:tc>
          <w:tcPr>
            <w:tcW w:w="1414" w:type="dxa"/>
            <w:tcBorders>
              <w:right w:val="single" w:sz="18" w:space="0" w:color="auto"/>
            </w:tcBorders>
          </w:tcPr>
          <w:p w14:paraId="28AFB692"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90.5</w:t>
            </w:r>
          </w:p>
        </w:tc>
        <w:tc>
          <w:tcPr>
            <w:tcW w:w="1558" w:type="dxa"/>
            <w:tcBorders>
              <w:left w:val="single" w:sz="18" w:space="0" w:color="auto"/>
            </w:tcBorders>
          </w:tcPr>
          <w:p w14:paraId="77FBCB3D"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38.5</w:t>
            </w:r>
          </w:p>
        </w:tc>
        <w:tc>
          <w:tcPr>
            <w:tcW w:w="1378" w:type="dxa"/>
          </w:tcPr>
          <w:p w14:paraId="11B0D8F3"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50</w:t>
            </w:r>
          </w:p>
        </w:tc>
      </w:tr>
      <w:tr w:rsidR="009F4881" w14:paraId="359C82AC" w14:textId="77777777" w:rsidTr="00825F63">
        <w:trPr>
          <w:trHeight w:val="238"/>
        </w:trPr>
        <w:tc>
          <w:tcPr>
            <w:tcW w:w="2074" w:type="dxa"/>
          </w:tcPr>
          <w:p w14:paraId="64BA3B17" w14:textId="77777777" w:rsidR="009F4881" w:rsidRDefault="009F4881" w:rsidP="00825F63">
            <w:pPr>
              <w:jc w:val="left"/>
              <w:rPr>
                <w:rFonts w:ascii="Times New Roman" w:hAnsi="Times New Roman" w:cs="Times New Roman"/>
                <w:b/>
                <w:bCs/>
                <w:lang w:val="tr-TR"/>
              </w:rPr>
            </w:pPr>
            <w:r>
              <w:rPr>
                <w:rFonts w:ascii="Times New Roman" w:hAnsi="Times New Roman" w:cs="Times New Roman"/>
                <w:b/>
                <w:bCs/>
                <w:lang w:val="tr-TR"/>
              </w:rPr>
              <w:t>NPV (%)</w:t>
            </w:r>
          </w:p>
        </w:tc>
        <w:tc>
          <w:tcPr>
            <w:tcW w:w="1474" w:type="dxa"/>
          </w:tcPr>
          <w:p w14:paraId="5779C83B"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48.3</w:t>
            </w:r>
          </w:p>
        </w:tc>
        <w:tc>
          <w:tcPr>
            <w:tcW w:w="1414" w:type="dxa"/>
            <w:tcBorders>
              <w:right w:val="single" w:sz="18" w:space="0" w:color="auto"/>
            </w:tcBorders>
          </w:tcPr>
          <w:p w14:paraId="76036855"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33.3</w:t>
            </w:r>
          </w:p>
        </w:tc>
        <w:tc>
          <w:tcPr>
            <w:tcW w:w="1558" w:type="dxa"/>
            <w:tcBorders>
              <w:left w:val="single" w:sz="18" w:space="0" w:color="auto"/>
            </w:tcBorders>
          </w:tcPr>
          <w:p w14:paraId="7BC66A1B"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82.8</w:t>
            </w:r>
          </w:p>
        </w:tc>
        <w:tc>
          <w:tcPr>
            <w:tcW w:w="1378" w:type="dxa"/>
          </w:tcPr>
          <w:p w14:paraId="05E176F0"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79.2</w:t>
            </w:r>
          </w:p>
        </w:tc>
      </w:tr>
      <w:tr w:rsidR="009F4881" w14:paraId="18FC747E" w14:textId="77777777" w:rsidTr="00825F63">
        <w:trPr>
          <w:trHeight w:val="238"/>
        </w:trPr>
        <w:tc>
          <w:tcPr>
            <w:tcW w:w="2074" w:type="dxa"/>
          </w:tcPr>
          <w:p w14:paraId="504DBDC6" w14:textId="77777777" w:rsidR="009F4881" w:rsidRDefault="009F4881" w:rsidP="00825F63">
            <w:pPr>
              <w:rPr>
                <w:rFonts w:ascii="Times New Roman" w:hAnsi="Times New Roman" w:cs="Times New Roman"/>
                <w:b/>
                <w:bCs/>
                <w:lang w:val="tr-TR"/>
              </w:rPr>
            </w:pPr>
            <w:r>
              <w:rPr>
                <w:rFonts w:ascii="Times New Roman" w:hAnsi="Times New Roman" w:cs="Times New Roman"/>
                <w:b/>
                <w:bCs/>
                <w:lang w:val="tr-TR"/>
              </w:rPr>
              <w:t>+LR</w:t>
            </w:r>
          </w:p>
        </w:tc>
        <w:tc>
          <w:tcPr>
            <w:tcW w:w="1474" w:type="dxa"/>
          </w:tcPr>
          <w:p w14:paraId="51764519"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3.18</w:t>
            </w:r>
          </w:p>
        </w:tc>
        <w:tc>
          <w:tcPr>
            <w:tcW w:w="1414" w:type="dxa"/>
            <w:tcBorders>
              <w:right w:val="single" w:sz="18" w:space="0" w:color="auto"/>
            </w:tcBorders>
          </w:tcPr>
          <w:p w14:paraId="4145A6B3"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3.35</w:t>
            </w:r>
          </w:p>
        </w:tc>
        <w:tc>
          <w:tcPr>
            <w:tcW w:w="1558" w:type="dxa"/>
            <w:tcBorders>
              <w:left w:val="single" w:sz="18" w:space="0" w:color="auto"/>
            </w:tcBorders>
          </w:tcPr>
          <w:p w14:paraId="2818F9F8"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1.5</w:t>
            </w:r>
          </w:p>
        </w:tc>
        <w:tc>
          <w:tcPr>
            <w:tcW w:w="1378" w:type="dxa"/>
          </w:tcPr>
          <w:p w14:paraId="613A69DF"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2.4</w:t>
            </w:r>
          </w:p>
        </w:tc>
      </w:tr>
      <w:tr w:rsidR="009F4881" w14:paraId="2E3F1478" w14:textId="77777777" w:rsidTr="00825F63">
        <w:trPr>
          <w:trHeight w:val="238"/>
        </w:trPr>
        <w:tc>
          <w:tcPr>
            <w:tcW w:w="2074" w:type="dxa"/>
          </w:tcPr>
          <w:p w14:paraId="280DCF81" w14:textId="77777777" w:rsidR="009F4881" w:rsidRDefault="009F4881" w:rsidP="00825F63">
            <w:pPr>
              <w:rPr>
                <w:rFonts w:ascii="Times New Roman" w:hAnsi="Times New Roman" w:cs="Times New Roman"/>
                <w:b/>
                <w:bCs/>
                <w:lang w:val="tr-TR"/>
              </w:rPr>
            </w:pPr>
            <w:r>
              <w:rPr>
                <w:rFonts w:ascii="Times New Roman" w:hAnsi="Times New Roman" w:cs="Times New Roman"/>
                <w:b/>
                <w:bCs/>
                <w:lang w:val="tr-TR"/>
              </w:rPr>
              <w:t>-LR</w:t>
            </w:r>
          </w:p>
        </w:tc>
        <w:tc>
          <w:tcPr>
            <w:tcW w:w="1474" w:type="dxa"/>
          </w:tcPr>
          <w:p w14:paraId="34DE5783"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0.38</w:t>
            </w:r>
          </w:p>
        </w:tc>
        <w:tc>
          <w:tcPr>
            <w:tcW w:w="1414" w:type="dxa"/>
            <w:tcBorders>
              <w:right w:val="single" w:sz="18" w:space="0" w:color="auto"/>
            </w:tcBorders>
          </w:tcPr>
          <w:p w14:paraId="50D019A6"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0.71</w:t>
            </w:r>
          </w:p>
        </w:tc>
        <w:tc>
          <w:tcPr>
            <w:tcW w:w="1558" w:type="dxa"/>
            <w:tcBorders>
              <w:left w:val="single" w:sz="18" w:space="0" w:color="auto"/>
            </w:tcBorders>
          </w:tcPr>
          <w:p w14:paraId="5A74E612"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0.5</w:t>
            </w:r>
          </w:p>
        </w:tc>
        <w:tc>
          <w:tcPr>
            <w:tcW w:w="1378" w:type="dxa"/>
          </w:tcPr>
          <w:p w14:paraId="51AB288A"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0.63</w:t>
            </w:r>
          </w:p>
        </w:tc>
      </w:tr>
      <w:tr w:rsidR="009F4881" w14:paraId="7E2FF0D3" w14:textId="77777777" w:rsidTr="00825F63">
        <w:trPr>
          <w:trHeight w:val="238"/>
        </w:trPr>
        <w:tc>
          <w:tcPr>
            <w:tcW w:w="2074" w:type="dxa"/>
          </w:tcPr>
          <w:p w14:paraId="45010D5F" w14:textId="77777777" w:rsidR="009F4881" w:rsidRDefault="009F4881" w:rsidP="00825F63">
            <w:pPr>
              <w:rPr>
                <w:rFonts w:ascii="Times New Roman" w:hAnsi="Times New Roman" w:cs="Times New Roman"/>
                <w:b/>
                <w:bCs/>
                <w:lang w:val="tr-TR"/>
              </w:rPr>
            </w:pPr>
            <w:r>
              <w:rPr>
                <w:rFonts w:ascii="Times New Roman" w:hAnsi="Times New Roman" w:cs="Times New Roman"/>
                <w:b/>
                <w:bCs/>
                <w:lang w:val="tr-TR"/>
              </w:rPr>
              <w:t>p*</w:t>
            </w:r>
          </w:p>
        </w:tc>
        <w:tc>
          <w:tcPr>
            <w:tcW w:w="1474" w:type="dxa"/>
          </w:tcPr>
          <w:p w14:paraId="546ABDD1" w14:textId="77777777" w:rsidR="009F4881" w:rsidRDefault="009F4881" w:rsidP="00825F63">
            <w:pPr>
              <w:jc w:val="center"/>
              <w:rPr>
                <w:rFonts w:ascii="Times New Roman" w:hAnsi="Times New Roman" w:cs="Times New Roman"/>
                <w:lang w:val="tr-TR"/>
              </w:rPr>
            </w:pPr>
            <w:r>
              <w:rPr>
                <w:rFonts w:ascii="Times New Roman" w:hAnsi="Times New Roman" w:cs="Times New Roman"/>
                <w:color w:val="000000"/>
              </w:rPr>
              <w:t>p&lt;0.05</w:t>
            </w:r>
          </w:p>
        </w:tc>
        <w:tc>
          <w:tcPr>
            <w:tcW w:w="1414" w:type="dxa"/>
            <w:tcBorders>
              <w:right w:val="single" w:sz="18" w:space="0" w:color="auto"/>
            </w:tcBorders>
          </w:tcPr>
          <w:p w14:paraId="1E00DFA2" w14:textId="77777777" w:rsidR="009F4881" w:rsidRDefault="009F4881" w:rsidP="00825F63">
            <w:pPr>
              <w:jc w:val="center"/>
              <w:rPr>
                <w:rFonts w:ascii="Times New Roman" w:hAnsi="Times New Roman" w:cs="Times New Roman"/>
                <w:lang w:val="tr-TR"/>
              </w:rPr>
            </w:pPr>
            <w:r>
              <w:rPr>
                <w:rFonts w:ascii="Times New Roman" w:hAnsi="Times New Roman" w:cs="Times New Roman"/>
                <w:color w:val="000000"/>
              </w:rPr>
              <w:t>p&lt;0.05</w:t>
            </w:r>
          </w:p>
        </w:tc>
        <w:tc>
          <w:tcPr>
            <w:tcW w:w="1558" w:type="dxa"/>
            <w:tcBorders>
              <w:left w:val="single" w:sz="18" w:space="0" w:color="auto"/>
            </w:tcBorders>
          </w:tcPr>
          <w:p w14:paraId="22900220" w14:textId="77777777" w:rsidR="009F4881" w:rsidRDefault="009F4881" w:rsidP="00825F63">
            <w:pPr>
              <w:jc w:val="center"/>
              <w:rPr>
                <w:rFonts w:ascii="Times New Roman" w:hAnsi="Times New Roman" w:cs="Times New Roman"/>
                <w:lang w:val="tr-TR"/>
              </w:rPr>
            </w:pPr>
            <w:r>
              <w:rPr>
                <w:rFonts w:ascii="Times New Roman" w:hAnsi="Times New Roman" w:cs="Times New Roman"/>
                <w:color w:val="000000"/>
                <w:lang w:val="tr-TR"/>
              </w:rPr>
              <w:t>p&gt;</w:t>
            </w:r>
            <w:r>
              <w:rPr>
                <w:rFonts w:ascii="Times New Roman" w:hAnsi="Times New Roman" w:cs="Times New Roman"/>
                <w:color w:val="000000"/>
              </w:rPr>
              <w:t>0.05</w:t>
            </w:r>
          </w:p>
        </w:tc>
        <w:tc>
          <w:tcPr>
            <w:tcW w:w="1378" w:type="dxa"/>
          </w:tcPr>
          <w:p w14:paraId="09AE48EA" w14:textId="77777777" w:rsidR="009F4881" w:rsidRDefault="009F4881" w:rsidP="00825F63">
            <w:pPr>
              <w:jc w:val="center"/>
              <w:rPr>
                <w:rFonts w:ascii="Times New Roman" w:hAnsi="Times New Roman" w:cs="Times New Roman"/>
                <w:lang w:val="tr-TR"/>
              </w:rPr>
            </w:pPr>
            <w:r>
              <w:rPr>
                <w:rFonts w:ascii="Times New Roman" w:hAnsi="Times New Roman" w:cs="Times New Roman"/>
                <w:color w:val="000000"/>
              </w:rPr>
              <w:t>p&lt;0.05</w:t>
            </w:r>
          </w:p>
        </w:tc>
      </w:tr>
      <w:tr w:rsidR="009F4881" w14:paraId="7DC5694F" w14:textId="77777777" w:rsidTr="00825F63">
        <w:trPr>
          <w:trHeight w:val="238"/>
        </w:trPr>
        <w:tc>
          <w:tcPr>
            <w:tcW w:w="2074" w:type="dxa"/>
          </w:tcPr>
          <w:p w14:paraId="1036DB39" w14:textId="77777777" w:rsidR="009F4881" w:rsidRDefault="009F4881" w:rsidP="00825F63">
            <w:pPr>
              <w:rPr>
                <w:rFonts w:ascii="Times New Roman" w:hAnsi="Times New Roman" w:cs="Times New Roman"/>
                <w:b/>
                <w:bCs/>
                <w:lang w:val="tr-TR"/>
              </w:rPr>
            </w:pPr>
            <w:r>
              <w:rPr>
                <w:rFonts w:ascii="Times New Roman" w:hAnsi="Times New Roman" w:cs="Times New Roman"/>
                <w:b/>
                <w:bCs/>
                <w:lang w:val="tr-TR"/>
              </w:rPr>
              <w:t>odds ratio</w:t>
            </w:r>
          </w:p>
        </w:tc>
        <w:tc>
          <w:tcPr>
            <w:tcW w:w="1474" w:type="dxa"/>
          </w:tcPr>
          <w:p w14:paraId="2384C3E5"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7.933</w:t>
            </w:r>
          </w:p>
        </w:tc>
        <w:tc>
          <w:tcPr>
            <w:tcW w:w="1414" w:type="dxa"/>
            <w:tcBorders>
              <w:right w:val="single" w:sz="18" w:space="0" w:color="auto"/>
            </w:tcBorders>
          </w:tcPr>
          <w:p w14:paraId="375BE5C9"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1.118</w:t>
            </w:r>
          </w:p>
        </w:tc>
        <w:tc>
          <w:tcPr>
            <w:tcW w:w="1558" w:type="dxa"/>
            <w:tcBorders>
              <w:left w:val="single" w:sz="18" w:space="0" w:color="auto"/>
            </w:tcBorders>
          </w:tcPr>
          <w:p w14:paraId="5B8B0F55"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1.714</w:t>
            </w:r>
          </w:p>
        </w:tc>
        <w:tc>
          <w:tcPr>
            <w:tcW w:w="1378" w:type="dxa"/>
          </w:tcPr>
          <w:p w14:paraId="00D81C61"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2.8</w:t>
            </w:r>
          </w:p>
        </w:tc>
      </w:tr>
      <w:tr w:rsidR="009F4881" w14:paraId="463655F5" w14:textId="77777777" w:rsidTr="00825F63">
        <w:trPr>
          <w:trHeight w:val="238"/>
        </w:trPr>
        <w:tc>
          <w:tcPr>
            <w:tcW w:w="2074" w:type="dxa"/>
          </w:tcPr>
          <w:p w14:paraId="1966051F" w14:textId="77777777" w:rsidR="009F4881" w:rsidRDefault="009F4881" w:rsidP="00825F63">
            <w:pPr>
              <w:rPr>
                <w:rFonts w:ascii="Times New Roman" w:hAnsi="Times New Roman" w:cs="Times New Roman"/>
                <w:b/>
                <w:bCs/>
                <w:lang w:val="tr-TR"/>
              </w:rPr>
            </w:pPr>
            <w:r>
              <w:rPr>
                <w:rFonts w:ascii="Times New Roman" w:hAnsi="Times New Roman" w:cs="Times New Roman"/>
                <w:b/>
                <w:bCs/>
                <w:lang w:val="tr-TR"/>
              </w:rPr>
              <w:t>95% C.I. for EXP</w:t>
            </w:r>
          </w:p>
        </w:tc>
        <w:tc>
          <w:tcPr>
            <w:tcW w:w="1474" w:type="dxa"/>
          </w:tcPr>
          <w:p w14:paraId="79DF3A38"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1.545-40.743</w:t>
            </w:r>
          </w:p>
        </w:tc>
        <w:tc>
          <w:tcPr>
            <w:tcW w:w="1414" w:type="dxa"/>
            <w:tcBorders>
              <w:right w:val="single" w:sz="18" w:space="0" w:color="auto"/>
            </w:tcBorders>
          </w:tcPr>
          <w:p w14:paraId="03C96CE2"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0.142-8.824</w:t>
            </w:r>
          </w:p>
        </w:tc>
        <w:tc>
          <w:tcPr>
            <w:tcW w:w="1558" w:type="dxa"/>
            <w:tcBorders>
              <w:left w:val="single" w:sz="18" w:space="0" w:color="auto"/>
            </w:tcBorders>
          </w:tcPr>
          <w:p w14:paraId="6162DB5D"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0.421-6.979</w:t>
            </w:r>
          </w:p>
        </w:tc>
        <w:tc>
          <w:tcPr>
            <w:tcW w:w="1378" w:type="dxa"/>
          </w:tcPr>
          <w:p w14:paraId="288660A5"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0.729-10.755</w:t>
            </w:r>
          </w:p>
        </w:tc>
      </w:tr>
      <w:tr w:rsidR="009F4881" w14:paraId="754E9199" w14:textId="77777777" w:rsidTr="00825F63">
        <w:trPr>
          <w:trHeight w:val="238"/>
        </w:trPr>
        <w:tc>
          <w:tcPr>
            <w:tcW w:w="2074" w:type="dxa"/>
          </w:tcPr>
          <w:p w14:paraId="2D8C84CD" w14:textId="77777777" w:rsidR="009F4881" w:rsidRDefault="009F4881" w:rsidP="00825F63">
            <w:pPr>
              <w:rPr>
                <w:rFonts w:ascii="Times New Roman" w:hAnsi="Times New Roman" w:cs="Times New Roman"/>
                <w:b/>
                <w:bCs/>
                <w:lang w:val="tr-TR"/>
              </w:rPr>
            </w:pPr>
            <w:r>
              <w:rPr>
                <w:rFonts w:ascii="Times New Roman" w:hAnsi="Times New Roman" w:cs="Times New Roman"/>
                <w:b/>
                <w:bCs/>
                <w:lang w:val="tr-TR"/>
              </w:rPr>
              <w:t>p**</w:t>
            </w:r>
          </w:p>
        </w:tc>
        <w:tc>
          <w:tcPr>
            <w:tcW w:w="1474" w:type="dxa"/>
          </w:tcPr>
          <w:p w14:paraId="02CF7C6D" w14:textId="77777777" w:rsidR="009F4881" w:rsidRDefault="009F4881" w:rsidP="00825F63">
            <w:pPr>
              <w:jc w:val="center"/>
              <w:rPr>
                <w:rFonts w:ascii="Times New Roman" w:hAnsi="Times New Roman" w:cs="Times New Roman"/>
                <w:lang w:val="tr-TR"/>
              </w:rPr>
            </w:pPr>
            <w:r>
              <w:rPr>
                <w:rFonts w:ascii="Times New Roman" w:hAnsi="Times New Roman" w:cs="Times New Roman"/>
                <w:color w:val="000000"/>
              </w:rPr>
              <w:t>p&lt;0.05</w:t>
            </w:r>
          </w:p>
        </w:tc>
        <w:tc>
          <w:tcPr>
            <w:tcW w:w="1414" w:type="dxa"/>
            <w:tcBorders>
              <w:right w:val="single" w:sz="18" w:space="0" w:color="auto"/>
            </w:tcBorders>
          </w:tcPr>
          <w:p w14:paraId="6CE50DCE" w14:textId="77777777" w:rsidR="009F4881" w:rsidRDefault="009F4881" w:rsidP="00825F63">
            <w:pPr>
              <w:jc w:val="center"/>
              <w:rPr>
                <w:rFonts w:ascii="Times New Roman" w:hAnsi="Times New Roman" w:cs="Times New Roman"/>
                <w:lang w:val="tr-TR"/>
              </w:rPr>
            </w:pPr>
            <w:r>
              <w:rPr>
                <w:rFonts w:ascii="Times New Roman" w:hAnsi="Times New Roman" w:cs="Times New Roman"/>
                <w:color w:val="000000"/>
                <w:lang w:val="tr-TR"/>
              </w:rPr>
              <w:t>p&gt;</w:t>
            </w:r>
            <w:r>
              <w:rPr>
                <w:rFonts w:ascii="Times New Roman" w:hAnsi="Times New Roman" w:cs="Times New Roman"/>
                <w:color w:val="000000"/>
              </w:rPr>
              <w:t>0.05</w:t>
            </w:r>
          </w:p>
        </w:tc>
        <w:tc>
          <w:tcPr>
            <w:tcW w:w="1558" w:type="dxa"/>
            <w:tcBorders>
              <w:left w:val="single" w:sz="18" w:space="0" w:color="auto"/>
            </w:tcBorders>
          </w:tcPr>
          <w:p w14:paraId="2A4F781F" w14:textId="77777777" w:rsidR="009F4881" w:rsidRDefault="009F4881" w:rsidP="00825F63">
            <w:pPr>
              <w:jc w:val="center"/>
              <w:rPr>
                <w:rFonts w:ascii="Times New Roman" w:hAnsi="Times New Roman" w:cs="Times New Roman"/>
                <w:lang w:val="tr-TR"/>
              </w:rPr>
            </w:pPr>
            <w:r>
              <w:rPr>
                <w:rFonts w:ascii="Times New Roman" w:hAnsi="Times New Roman" w:cs="Times New Roman"/>
                <w:color w:val="000000"/>
                <w:lang w:val="tr-TR"/>
              </w:rPr>
              <w:t>p&gt;</w:t>
            </w:r>
            <w:r>
              <w:rPr>
                <w:rFonts w:ascii="Times New Roman" w:hAnsi="Times New Roman" w:cs="Times New Roman"/>
                <w:color w:val="000000"/>
              </w:rPr>
              <w:t>0.05</w:t>
            </w:r>
          </w:p>
        </w:tc>
        <w:tc>
          <w:tcPr>
            <w:tcW w:w="1378" w:type="dxa"/>
          </w:tcPr>
          <w:p w14:paraId="45C01767" w14:textId="77777777" w:rsidR="009F4881" w:rsidRDefault="009F4881" w:rsidP="00825F63">
            <w:pPr>
              <w:jc w:val="center"/>
              <w:rPr>
                <w:rFonts w:ascii="Times New Roman" w:hAnsi="Times New Roman" w:cs="Times New Roman"/>
                <w:lang w:val="tr-TR"/>
              </w:rPr>
            </w:pPr>
            <w:r>
              <w:rPr>
                <w:rFonts w:ascii="Times New Roman" w:hAnsi="Times New Roman" w:cs="Times New Roman"/>
                <w:color w:val="000000"/>
                <w:lang w:val="tr-TR"/>
              </w:rPr>
              <w:t>p&gt;</w:t>
            </w:r>
            <w:r>
              <w:rPr>
                <w:rFonts w:ascii="Times New Roman" w:hAnsi="Times New Roman" w:cs="Times New Roman"/>
                <w:color w:val="000000"/>
              </w:rPr>
              <w:t>0.05</w:t>
            </w:r>
          </w:p>
        </w:tc>
      </w:tr>
    </w:tbl>
    <w:p w14:paraId="623489D9" w14:textId="77777777" w:rsidR="009F4881" w:rsidRDefault="009F4881" w:rsidP="009F4881">
      <w:pPr>
        <w:rPr>
          <w:rFonts w:ascii="Times New Roman" w:hAnsi="Times New Roman"/>
          <w:lang w:val="tr-TR"/>
        </w:rPr>
      </w:pPr>
      <w:r>
        <w:rPr>
          <w:rFonts w:ascii="Times New Roman" w:hAnsi="Times New Roman"/>
          <w:lang w:val="tr-TR"/>
        </w:rPr>
        <w:t>*Chi-Square **Logistic Regression Analyse</w:t>
      </w:r>
    </w:p>
    <w:p w14:paraId="14993FFF" w14:textId="77777777" w:rsidR="009F4881" w:rsidRDefault="009F4881" w:rsidP="009F4881">
      <w:pPr>
        <w:rPr>
          <w:rFonts w:ascii="Times New Roman" w:hAnsi="Times New Roman"/>
          <w:lang w:val="tr-TR"/>
        </w:rPr>
      </w:pPr>
      <w:r>
        <w:rPr>
          <w:rFonts w:ascii="Times New Roman" w:hAnsi="Times New Roman"/>
          <w:lang w:val="tr-TR"/>
        </w:rPr>
        <w:t>PPV:Positive Predictive Value NPV:Negative Predictive Value +LR:Positive Likehood Ratio -LR:Negative Likehood Ratio</w:t>
      </w:r>
    </w:p>
    <w:p w14:paraId="5638DE45" w14:textId="77777777" w:rsidR="009F4881" w:rsidRDefault="009F4881" w:rsidP="009F4881">
      <w:pPr>
        <w:rPr>
          <w:rFonts w:ascii="Times New Roman" w:hAnsi="Times New Roman" w:cs="Times New Roman"/>
          <w:lang w:val="tr-TR"/>
        </w:rPr>
      </w:pPr>
    </w:p>
    <w:p w14:paraId="5EB3E597" w14:textId="77777777" w:rsidR="009F4881" w:rsidRDefault="009F4881" w:rsidP="009F4881">
      <w:pPr>
        <w:rPr>
          <w:rFonts w:ascii="Times New Roman" w:hAnsi="Times New Roman" w:cs="Times New Roman"/>
          <w:lang w:val="tr-TR"/>
        </w:rPr>
      </w:pPr>
    </w:p>
    <w:p w14:paraId="367BBA9B" w14:textId="77777777" w:rsidR="009F4881" w:rsidRDefault="009F4881" w:rsidP="009F4881">
      <w:pPr>
        <w:rPr>
          <w:rFonts w:ascii="Times New Roman" w:hAnsi="Times New Roman" w:cs="Times New Roman"/>
          <w:lang w:val="tr-TR"/>
        </w:rPr>
      </w:pPr>
      <w:r>
        <w:rPr>
          <w:rFonts w:ascii="Times New Roman" w:hAnsi="Times New Roman" w:cs="Times New Roman"/>
          <w:b/>
          <w:bCs/>
          <w:lang w:val="tr-TR"/>
        </w:rPr>
        <w:t xml:space="preserve">Table-5 </w:t>
      </w:r>
      <w:r>
        <w:rPr>
          <w:rFonts w:ascii="Times New Roman" w:eastAsia="Arial" w:hAnsi="Times New Roman"/>
          <w:color w:val="0F0F0F"/>
          <w:shd w:val="clear" w:color="auto" w:fill="FFFFFF"/>
        </w:rPr>
        <w:t>Operating Characteristic</w:t>
      </w:r>
      <w:r>
        <w:rPr>
          <w:rFonts w:ascii="Times New Roman" w:eastAsia="Arial" w:hAnsi="Times New Roman"/>
          <w:color w:val="0F0F0F"/>
          <w:shd w:val="clear" w:color="auto" w:fill="FFFFFF"/>
          <w:lang w:val="tr-TR"/>
        </w:rPr>
        <w:t xml:space="preserve"> (ROC) Analysis of Karaman Score, Neutrophil count, </w:t>
      </w:r>
      <w:r>
        <w:rPr>
          <w:rFonts w:ascii="Times New Roman" w:hAnsi="Times New Roman" w:cs="Times New Roman"/>
          <w:lang w:val="tr-TR"/>
        </w:rPr>
        <w:t>Neutrophil/Lymphocyte Ratio, CRP level for treatment selection and prognosis prediction</w:t>
      </w:r>
    </w:p>
    <w:tbl>
      <w:tblPr>
        <w:tblStyle w:val="TableGrid"/>
        <w:tblW w:w="0" w:type="auto"/>
        <w:tblLayout w:type="fixed"/>
        <w:tblLook w:val="04A0" w:firstRow="1" w:lastRow="0" w:firstColumn="1" w:lastColumn="0" w:noHBand="0" w:noVBand="1"/>
      </w:tblPr>
      <w:tblGrid>
        <w:gridCol w:w="2113"/>
        <w:gridCol w:w="1188"/>
        <w:gridCol w:w="1188"/>
        <w:gridCol w:w="1224"/>
        <w:gridCol w:w="1188"/>
        <w:gridCol w:w="1284"/>
        <w:gridCol w:w="1236"/>
        <w:gridCol w:w="1212"/>
        <w:gridCol w:w="1308"/>
      </w:tblGrid>
      <w:tr w:rsidR="009F4881" w14:paraId="03A78374" w14:textId="77777777" w:rsidTr="00825F63">
        <w:trPr>
          <w:trHeight w:val="231"/>
        </w:trPr>
        <w:tc>
          <w:tcPr>
            <w:tcW w:w="2113" w:type="dxa"/>
            <w:vMerge w:val="restart"/>
          </w:tcPr>
          <w:p w14:paraId="43B2A39A" w14:textId="77777777" w:rsidR="009F4881" w:rsidRDefault="009F4881" w:rsidP="00825F63">
            <w:pPr>
              <w:rPr>
                <w:rFonts w:ascii="Times New Roman" w:hAnsi="Times New Roman" w:cs="Times New Roman"/>
                <w:lang w:val="tr-TR"/>
              </w:rPr>
            </w:pPr>
          </w:p>
        </w:tc>
        <w:tc>
          <w:tcPr>
            <w:tcW w:w="4788" w:type="dxa"/>
            <w:gridSpan w:val="4"/>
            <w:tcBorders>
              <w:right w:val="single" w:sz="12" w:space="0" w:color="000000"/>
            </w:tcBorders>
          </w:tcPr>
          <w:p w14:paraId="373B15E0" w14:textId="77777777" w:rsidR="009F4881" w:rsidRDefault="009F4881" w:rsidP="00825F63">
            <w:pPr>
              <w:jc w:val="center"/>
              <w:rPr>
                <w:rFonts w:ascii="Times New Roman" w:hAnsi="Times New Roman" w:cs="Times New Roman"/>
                <w:lang w:val="tr-TR"/>
              </w:rPr>
            </w:pPr>
            <w:r>
              <w:rPr>
                <w:rFonts w:ascii="Times New Roman" w:hAnsi="Times New Roman" w:cs="Times New Roman"/>
                <w:b/>
                <w:bCs/>
                <w:lang w:val="tr-TR"/>
              </w:rPr>
              <w:t>Surgery</w:t>
            </w:r>
          </w:p>
        </w:tc>
        <w:tc>
          <w:tcPr>
            <w:tcW w:w="5040" w:type="dxa"/>
            <w:gridSpan w:val="4"/>
            <w:tcBorders>
              <w:left w:val="single" w:sz="12" w:space="0" w:color="000000"/>
            </w:tcBorders>
          </w:tcPr>
          <w:p w14:paraId="70C2FE6D" w14:textId="77777777" w:rsidR="009F4881" w:rsidRDefault="009F4881" w:rsidP="00825F63">
            <w:pPr>
              <w:jc w:val="center"/>
              <w:rPr>
                <w:rFonts w:ascii="Times New Roman" w:hAnsi="Times New Roman" w:cs="Times New Roman"/>
                <w:lang w:val="tr-TR"/>
              </w:rPr>
            </w:pPr>
            <w:r>
              <w:rPr>
                <w:rFonts w:ascii="Times New Roman" w:hAnsi="Times New Roman" w:cs="Times New Roman"/>
                <w:b/>
                <w:bCs/>
                <w:lang w:val="tr-TR"/>
              </w:rPr>
              <w:t>Complicated</w:t>
            </w:r>
          </w:p>
        </w:tc>
      </w:tr>
      <w:tr w:rsidR="009F4881" w14:paraId="0C1E0348" w14:textId="77777777" w:rsidTr="00825F63">
        <w:trPr>
          <w:trHeight w:val="231"/>
        </w:trPr>
        <w:tc>
          <w:tcPr>
            <w:tcW w:w="2113" w:type="dxa"/>
            <w:vMerge/>
          </w:tcPr>
          <w:p w14:paraId="4C6AA353" w14:textId="77777777" w:rsidR="009F4881" w:rsidRDefault="009F4881" w:rsidP="00825F63">
            <w:pPr>
              <w:rPr>
                <w:rFonts w:ascii="Times New Roman" w:hAnsi="Times New Roman" w:cs="Times New Roman"/>
                <w:lang w:val="tr-TR"/>
              </w:rPr>
            </w:pPr>
          </w:p>
        </w:tc>
        <w:tc>
          <w:tcPr>
            <w:tcW w:w="1188" w:type="dxa"/>
          </w:tcPr>
          <w:p w14:paraId="32088B1C" w14:textId="77777777" w:rsidR="009F4881" w:rsidRDefault="009F4881" w:rsidP="00825F63">
            <w:pPr>
              <w:jc w:val="center"/>
              <w:rPr>
                <w:rFonts w:ascii="Times New Roman" w:hAnsi="Times New Roman" w:cs="Times New Roman"/>
                <w:b/>
                <w:bCs/>
                <w:lang w:val="tr-TR"/>
              </w:rPr>
            </w:pPr>
            <w:r>
              <w:rPr>
                <w:rFonts w:ascii="Times New Roman" w:hAnsi="Times New Roman" w:cs="Times New Roman"/>
                <w:b/>
                <w:bCs/>
                <w:lang w:val="tr-TR"/>
              </w:rPr>
              <w:t>Karaman</w:t>
            </w:r>
          </w:p>
        </w:tc>
        <w:tc>
          <w:tcPr>
            <w:tcW w:w="1188" w:type="dxa"/>
          </w:tcPr>
          <w:p w14:paraId="0CCD707D" w14:textId="77777777" w:rsidR="009F4881" w:rsidRDefault="009F4881" w:rsidP="00825F63">
            <w:pPr>
              <w:jc w:val="center"/>
              <w:rPr>
                <w:rFonts w:ascii="Times New Roman" w:hAnsi="Times New Roman" w:cs="Times New Roman"/>
                <w:b/>
                <w:bCs/>
                <w:lang w:val="tr-TR"/>
              </w:rPr>
            </w:pPr>
            <w:r>
              <w:rPr>
                <w:rFonts w:ascii="Times New Roman" w:hAnsi="Times New Roman" w:cs="Times New Roman"/>
                <w:b/>
                <w:bCs/>
                <w:lang w:val="tr-TR"/>
              </w:rPr>
              <w:t>Neutrophil</w:t>
            </w:r>
          </w:p>
        </w:tc>
        <w:tc>
          <w:tcPr>
            <w:tcW w:w="1224" w:type="dxa"/>
            <w:tcBorders>
              <w:right w:val="single" w:sz="8" w:space="0" w:color="000000"/>
            </w:tcBorders>
          </w:tcPr>
          <w:p w14:paraId="4061318B" w14:textId="77777777" w:rsidR="009F4881" w:rsidRDefault="009F4881" w:rsidP="00825F63">
            <w:pPr>
              <w:jc w:val="center"/>
              <w:rPr>
                <w:rFonts w:ascii="Times New Roman" w:hAnsi="Times New Roman" w:cs="Times New Roman"/>
                <w:b/>
                <w:bCs/>
                <w:lang w:val="tr-TR"/>
              </w:rPr>
            </w:pPr>
            <w:r>
              <w:rPr>
                <w:rFonts w:ascii="Times New Roman" w:hAnsi="Times New Roman" w:cs="Times New Roman"/>
                <w:b/>
                <w:bCs/>
                <w:lang w:val="tr-TR"/>
              </w:rPr>
              <w:t>NLR</w:t>
            </w:r>
          </w:p>
        </w:tc>
        <w:tc>
          <w:tcPr>
            <w:tcW w:w="1188" w:type="dxa"/>
            <w:tcBorders>
              <w:top w:val="single" w:sz="8" w:space="0" w:color="000000"/>
              <w:left w:val="single" w:sz="8" w:space="0" w:color="000000"/>
              <w:right w:val="single" w:sz="12" w:space="0" w:color="000000"/>
            </w:tcBorders>
          </w:tcPr>
          <w:p w14:paraId="6BB67BEF" w14:textId="77777777" w:rsidR="009F4881" w:rsidRDefault="009F4881" w:rsidP="00825F63">
            <w:pPr>
              <w:jc w:val="center"/>
              <w:rPr>
                <w:rFonts w:ascii="Times New Roman" w:hAnsi="Times New Roman" w:cs="Times New Roman"/>
                <w:b/>
                <w:bCs/>
                <w:lang w:val="tr-TR"/>
              </w:rPr>
            </w:pPr>
            <w:r>
              <w:rPr>
                <w:rFonts w:ascii="Times New Roman" w:hAnsi="Times New Roman" w:cs="Times New Roman"/>
                <w:b/>
                <w:bCs/>
                <w:lang w:val="tr-TR"/>
              </w:rPr>
              <w:t>CRP</w:t>
            </w:r>
          </w:p>
        </w:tc>
        <w:tc>
          <w:tcPr>
            <w:tcW w:w="1284" w:type="dxa"/>
            <w:tcBorders>
              <w:top w:val="single" w:sz="8" w:space="0" w:color="000000"/>
              <w:left w:val="single" w:sz="12" w:space="0" w:color="000000"/>
              <w:right w:val="single" w:sz="8" w:space="0" w:color="000000"/>
            </w:tcBorders>
          </w:tcPr>
          <w:p w14:paraId="52BD62E1" w14:textId="77777777" w:rsidR="009F4881" w:rsidRDefault="009F4881" w:rsidP="00825F63">
            <w:pPr>
              <w:jc w:val="center"/>
              <w:rPr>
                <w:rFonts w:ascii="Times New Roman" w:hAnsi="Times New Roman" w:cs="Times New Roman"/>
                <w:b/>
                <w:bCs/>
                <w:lang w:val="tr-TR"/>
              </w:rPr>
            </w:pPr>
            <w:r>
              <w:rPr>
                <w:rFonts w:ascii="Times New Roman" w:hAnsi="Times New Roman" w:cs="Times New Roman"/>
                <w:b/>
                <w:bCs/>
                <w:lang w:val="tr-TR"/>
              </w:rPr>
              <w:t>Karaman</w:t>
            </w:r>
          </w:p>
        </w:tc>
        <w:tc>
          <w:tcPr>
            <w:tcW w:w="1236" w:type="dxa"/>
            <w:tcBorders>
              <w:left w:val="single" w:sz="8" w:space="0" w:color="000000"/>
            </w:tcBorders>
          </w:tcPr>
          <w:p w14:paraId="468730AC" w14:textId="77777777" w:rsidR="009F4881" w:rsidRDefault="009F4881" w:rsidP="00825F63">
            <w:pPr>
              <w:jc w:val="center"/>
              <w:rPr>
                <w:rFonts w:ascii="Times New Roman" w:hAnsi="Times New Roman" w:cs="Times New Roman"/>
                <w:b/>
                <w:bCs/>
                <w:lang w:val="tr-TR"/>
              </w:rPr>
            </w:pPr>
            <w:r>
              <w:rPr>
                <w:rFonts w:ascii="Times New Roman" w:hAnsi="Times New Roman" w:cs="Times New Roman"/>
                <w:b/>
                <w:bCs/>
                <w:lang w:val="tr-TR"/>
              </w:rPr>
              <w:t>Neutrophil</w:t>
            </w:r>
          </w:p>
        </w:tc>
        <w:tc>
          <w:tcPr>
            <w:tcW w:w="1212" w:type="dxa"/>
          </w:tcPr>
          <w:p w14:paraId="4B6315A5" w14:textId="77777777" w:rsidR="009F4881" w:rsidRDefault="009F4881" w:rsidP="00825F63">
            <w:pPr>
              <w:jc w:val="center"/>
              <w:rPr>
                <w:rFonts w:ascii="Times New Roman" w:hAnsi="Times New Roman" w:cs="Times New Roman"/>
                <w:b/>
                <w:bCs/>
                <w:lang w:val="tr-TR"/>
              </w:rPr>
            </w:pPr>
            <w:r>
              <w:rPr>
                <w:rFonts w:ascii="Times New Roman" w:hAnsi="Times New Roman" w:cs="Times New Roman"/>
                <w:b/>
                <w:bCs/>
                <w:lang w:val="tr-TR"/>
              </w:rPr>
              <w:t>NLR</w:t>
            </w:r>
          </w:p>
        </w:tc>
        <w:tc>
          <w:tcPr>
            <w:tcW w:w="1308" w:type="dxa"/>
          </w:tcPr>
          <w:p w14:paraId="334228A5" w14:textId="77777777" w:rsidR="009F4881" w:rsidRDefault="009F4881" w:rsidP="00825F63">
            <w:pPr>
              <w:jc w:val="center"/>
              <w:rPr>
                <w:rFonts w:ascii="Times New Roman" w:hAnsi="Times New Roman" w:cs="Times New Roman"/>
                <w:b/>
                <w:bCs/>
                <w:lang w:val="tr-TR"/>
              </w:rPr>
            </w:pPr>
            <w:r>
              <w:rPr>
                <w:rFonts w:ascii="Times New Roman" w:hAnsi="Times New Roman" w:cs="Times New Roman"/>
                <w:b/>
                <w:bCs/>
                <w:lang w:val="tr-TR"/>
              </w:rPr>
              <w:t>CRP</w:t>
            </w:r>
          </w:p>
        </w:tc>
      </w:tr>
      <w:tr w:rsidR="009F4881" w14:paraId="51EA9A98" w14:textId="77777777" w:rsidTr="00825F63">
        <w:trPr>
          <w:trHeight w:val="243"/>
        </w:trPr>
        <w:tc>
          <w:tcPr>
            <w:tcW w:w="2113" w:type="dxa"/>
          </w:tcPr>
          <w:p w14:paraId="7670A39D" w14:textId="77777777" w:rsidR="009F4881" w:rsidRDefault="009F4881" w:rsidP="00825F63">
            <w:pPr>
              <w:rPr>
                <w:rFonts w:ascii="Times New Roman" w:hAnsi="Times New Roman" w:cs="Times New Roman"/>
                <w:b/>
                <w:bCs/>
                <w:lang w:val="tr-TR"/>
              </w:rPr>
            </w:pPr>
            <w:r>
              <w:rPr>
                <w:rFonts w:ascii="Times New Roman" w:hAnsi="Times New Roman" w:cs="Times New Roman"/>
                <w:b/>
                <w:bCs/>
                <w:lang w:val="tr-TR"/>
              </w:rPr>
              <w:t>AUC</w:t>
            </w:r>
          </w:p>
        </w:tc>
        <w:tc>
          <w:tcPr>
            <w:tcW w:w="1188" w:type="dxa"/>
          </w:tcPr>
          <w:p w14:paraId="5A41C2A8"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0.693</w:t>
            </w:r>
          </w:p>
        </w:tc>
        <w:tc>
          <w:tcPr>
            <w:tcW w:w="1188" w:type="dxa"/>
          </w:tcPr>
          <w:p w14:paraId="27D5945A"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0.736</w:t>
            </w:r>
          </w:p>
        </w:tc>
        <w:tc>
          <w:tcPr>
            <w:tcW w:w="1224" w:type="dxa"/>
            <w:tcBorders>
              <w:right w:val="single" w:sz="8" w:space="0" w:color="000000"/>
            </w:tcBorders>
          </w:tcPr>
          <w:p w14:paraId="47A91B0F"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0.706</w:t>
            </w:r>
          </w:p>
        </w:tc>
        <w:tc>
          <w:tcPr>
            <w:tcW w:w="1188" w:type="dxa"/>
            <w:tcBorders>
              <w:left w:val="single" w:sz="8" w:space="0" w:color="000000"/>
              <w:right w:val="single" w:sz="12" w:space="0" w:color="000000"/>
            </w:tcBorders>
          </w:tcPr>
          <w:p w14:paraId="3D7FEA89"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0.622</w:t>
            </w:r>
          </w:p>
        </w:tc>
        <w:tc>
          <w:tcPr>
            <w:tcW w:w="1284" w:type="dxa"/>
            <w:tcBorders>
              <w:left w:val="single" w:sz="12" w:space="0" w:color="000000"/>
              <w:right w:val="single" w:sz="8" w:space="0" w:color="000000"/>
            </w:tcBorders>
          </w:tcPr>
          <w:p w14:paraId="6F556CAC"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0.695</w:t>
            </w:r>
          </w:p>
        </w:tc>
        <w:tc>
          <w:tcPr>
            <w:tcW w:w="1236" w:type="dxa"/>
            <w:tcBorders>
              <w:left w:val="single" w:sz="8" w:space="0" w:color="000000"/>
            </w:tcBorders>
          </w:tcPr>
          <w:p w14:paraId="3B36F9B2"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0.680</w:t>
            </w:r>
          </w:p>
        </w:tc>
        <w:tc>
          <w:tcPr>
            <w:tcW w:w="1212" w:type="dxa"/>
          </w:tcPr>
          <w:p w14:paraId="4715FB34"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0.737</w:t>
            </w:r>
          </w:p>
        </w:tc>
        <w:tc>
          <w:tcPr>
            <w:tcW w:w="1308" w:type="dxa"/>
          </w:tcPr>
          <w:p w14:paraId="3152D60E"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0.681</w:t>
            </w:r>
          </w:p>
        </w:tc>
      </w:tr>
      <w:tr w:rsidR="009F4881" w14:paraId="064D6577" w14:textId="77777777" w:rsidTr="00825F63">
        <w:tc>
          <w:tcPr>
            <w:tcW w:w="2113" w:type="dxa"/>
          </w:tcPr>
          <w:p w14:paraId="3039AC4F" w14:textId="77777777" w:rsidR="009F4881" w:rsidRDefault="009F4881" w:rsidP="00825F63">
            <w:pPr>
              <w:rPr>
                <w:rFonts w:ascii="Times New Roman" w:hAnsi="Times New Roman" w:cs="Times New Roman"/>
                <w:b/>
                <w:bCs/>
                <w:lang w:val="tr-TR"/>
              </w:rPr>
            </w:pPr>
            <w:r>
              <w:rPr>
                <w:rFonts w:ascii="Times New Roman" w:hAnsi="Times New Roman"/>
                <w:b/>
                <w:bCs/>
                <w:lang w:val="tr-TR"/>
              </w:rPr>
              <w:t>Asymptotic 95% C.I.</w:t>
            </w:r>
          </w:p>
        </w:tc>
        <w:tc>
          <w:tcPr>
            <w:tcW w:w="1188" w:type="dxa"/>
          </w:tcPr>
          <w:p w14:paraId="2F942C8A"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0.549-0.837</w:t>
            </w:r>
          </w:p>
        </w:tc>
        <w:tc>
          <w:tcPr>
            <w:tcW w:w="1188" w:type="dxa"/>
          </w:tcPr>
          <w:p w14:paraId="627D7BCE"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0.596-0.876</w:t>
            </w:r>
          </w:p>
        </w:tc>
        <w:tc>
          <w:tcPr>
            <w:tcW w:w="1224" w:type="dxa"/>
            <w:tcBorders>
              <w:right w:val="single" w:sz="8" w:space="0" w:color="000000"/>
            </w:tcBorders>
          </w:tcPr>
          <w:p w14:paraId="0303673B"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0.555-0.857</w:t>
            </w:r>
          </w:p>
        </w:tc>
        <w:tc>
          <w:tcPr>
            <w:tcW w:w="1188" w:type="dxa"/>
            <w:tcBorders>
              <w:left w:val="single" w:sz="8" w:space="0" w:color="000000"/>
              <w:right w:val="single" w:sz="12" w:space="0" w:color="000000"/>
            </w:tcBorders>
          </w:tcPr>
          <w:p w14:paraId="349BEA4C"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0.477-0.767</w:t>
            </w:r>
          </w:p>
        </w:tc>
        <w:tc>
          <w:tcPr>
            <w:tcW w:w="1284" w:type="dxa"/>
            <w:tcBorders>
              <w:left w:val="single" w:sz="12" w:space="0" w:color="000000"/>
              <w:right w:val="single" w:sz="8" w:space="0" w:color="000000"/>
            </w:tcBorders>
          </w:tcPr>
          <w:p w14:paraId="5C78315D"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0.552-0.838</w:t>
            </w:r>
          </w:p>
        </w:tc>
        <w:tc>
          <w:tcPr>
            <w:tcW w:w="1236" w:type="dxa"/>
            <w:tcBorders>
              <w:left w:val="single" w:sz="8" w:space="0" w:color="000000"/>
            </w:tcBorders>
          </w:tcPr>
          <w:p w14:paraId="0A0A9FC5"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0.544-0.816</w:t>
            </w:r>
          </w:p>
        </w:tc>
        <w:tc>
          <w:tcPr>
            <w:tcW w:w="1212" w:type="dxa"/>
          </w:tcPr>
          <w:p w14:paraId="549FFA05"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0.612-0.861</w:t>
            </w:r>
          </w:p>
        </w:tc>
        <w:tc>
          <w:tcPr>
            <w:tcW w:w="1308" w:type="dxa"/>
          </w:tcPr>
          <w:p w14:paraId="1847672A" w14:textId="77777777" w:rsidR="009F4881" w:rsidRDefault="009F4881" w:rsidP="00825F63">
            <w:pPr>
              <w:jc w:val="center"/>
              <w:rPr>
                <w:rFonts w:ascii="Times New Roman" w:hAnsi="Times New Roman" w:cs="Times New Roman"/>
                <w:lang w:val="tr-TR"/>
              </w:rPr>
            </w:pPr>
            <w:r>
              <w:rPr>
                <w:rFonts w:ascii="Times New Roman" w:hAnsi="Times New Roman" w:cs="Times New Roman"/>
                <w:lang w:val="tr-TR"/>
              </w:rPr>
              <w:t>0.524-0.837</w:t>
            </w:r>
          </w:p>
        </w:tc>
      </w:tr>
      <w:tr w:rsidR="009F4881" w14:paraId="5A070BC0" w14:textId="77777777" w:rsidTr="00825F63">
        <w:tc>
          <w:tcPr>
            <w:tcW w:w="2113" w:type="dxa"/>
          </w:tcPr>
          <w:p w14:paraId="623A4A57" w14:textId="77777777" w:rsidR="009F4881" w:rsidRDefault="009F4881" w:rsidP="00825F63">
            <w:pPr>
              <w:rPr>
                <w:rFonts w:ascii="Times New Roman" w:hAnsi="Times New Roman" w:cs="Times New Roman"/>
                <w:b/>
                <w:bCs/>
                <w:lang w:val="tr-TR"/>
              </w:rPr>
            </w:pPr>
            <w:r>
              <w:rPr>
                <w:rFonts w:ascii="Times New Roman" w:hAnsi="Times New Roman" w:cs="Times New Roman"/>
                <w:b/>
                <w:bCs/>
                <w:lang w:val="tr-TR"/>
              </w:rPr>
              <w:t>p*</w:t>
            </w:r>
          </w:p>
        </w:tc>
        <w:tc>
          <w:tcPr>
            <w:tcW w:w="1188" w:type="dxa"/>
            <w:tcBorders>
              <w:bottom w:val="single" w:sz="8" w:space="0" w:color="000000"/>
            </w:tcBorders>
          </w:tcPr>
          <w:p w14:paraId="7142C9B6" w14:textId="77777777" w:rsidR="009F4881" w:rsidRDefault="009F4881" w:rsidP="00825F63">
            <w:pPr>
              <w:jc w:val="center"/>
              <w:rPr>
                <w:rFonts w:ascii="Times New Roman" w:hAnsi="Times New Roman" w:cs="Times New Roman"/>
                <w:lang w:val="tr-TR"/>
              </w:rPr>
            </w:pPr>
            <w:r>
              <w:rPr>
                <w:rFonts w:ascii="Times New Roman" w:hAnsi="Times New Roman" w:cs="Times New Roman"/>
                <w:color w:val="000000"/>
              </w:rPr>
              <w:t>p&lt;0.05</w:t>
            </w:r>
          </w:p>
        </w:tc>
        <w:tc>
          <w:tcPr>
            <w:tcW w:w="1188" w:type="dxa"/>
            <w:tcBorders>
              <w:bottom w:val="single" w:sz="8" w:space="0" w:color="000000"/>
            </w:tcBorders>
          </w:tcPr>
          <w:p w14:paraId="2A4150B7" w14:textId="77777777" w:rsidR="009F4881" w:rsidRDefault="009F4881" w:rsidP="00825F63">
            <w:pPr>
              <w:jc w:val="center"/>
              <w:rPr>
                <w:rFonts w:ascii="Times New Roman" w:hAnsi="Times New Roman" w:cs="Times New Roman"/>
                <w:lang w:val="tr-TR"/>
              </w:rPr>
            </w:pPr>
            <w:r>
              <w:rPr>
                <w:rFonts w:ascii="Times New Roman" w:hAnsi="Times New Roman" w:cs="Times New Roman"/>
                <w:color w:val="000000"/>
              </w:rPr>
              <w:t>p&lt;0.05</w:t>
            </w:r>
          </w:p>
        </w:tc>
        <w:tc>
          <w:tcPr>
            <w:tcW w:w="1224" w:type="dxa"/>
            <w:tcBorders>
              <w:bottom w:val="single" w:sz="8" w:space="0" w:color="000000"/>
              <w:right w:val="single" w:sz="8" w:space="0" w:color="000000"/>
            </w:tcBorders>
          </w:tcPr>
          <w:p w14:paraId="26C2513A" w14:textId="77777777" w:rsidR="009F4881" w:rsidRDefault="009F4881" w:rsidP="00825F63">
            <w:pPr>
              <w:jc w:val="center"/>
              <w:rPr>
                <w:rFonts w:ascii="Times New Roman" w:hAnsi="Times New Roman" w:cs="Times New Roman"/>
                <w:lang w:val="tr-TR"/>
              </w:rPr>
            </w:pPr>
            <w:r>
              <w:rPr>
                <w:rFonts w:ascii="Times New Roman" w:hAnsi="Times New Roman" w:cs="Times New Roman"/>
                <w:color w:val="000000"/>
              </w:rPr>
              <w:t>p&lt;0.05</w:t>
            </w:r>
          </w:p>
        </w:tc>
        <w:tc>
          <w:tcPr>
            <w:tcW w:w="1188" w:type="dxa"/>
            <w:tcBorders>
              <w:left w:val="single" w:sz="8" w:space="0" w:color="000000"/>
              <w:bottom w:val="single" w:sz="8" w:space="0" w:color="000000"/>
              <w:right w:val="single" w:sz="12" w:space="0" w:color="000000"/>
            </w:tcBorders>
          </w:tcPr>
          <w:p w14:paraId="07B2E242" w14:textId="77777777" w:rsidR="009F4881" w:rsidRDefault="009F4881" w:rsidP="00825F63">
            <w:pPr>
              <w:jc w:val="center"/>
              <w:rPr>
                <w:rFonts w:ascii="Times New Roman" w:hAnsi="Times New Roman" w:cs="Times New Roman"/>
                <w:lang w:val="tr-TR"/>
              </w:rPr>
            </w:pPr>
            <w:r>
              <w:rPr>
                <w:rFonts w:ascii="Times New Roman" w:hAnsi="Times New Roman" w:cs="Times New Roman"/>
                <w:color w:val="000000"/>
              </w:rPr>
              <w:t>P</w:t>
            </w:r>
            <w:r>
              <w:rPr>
                <w:rFonts w:ascii="Times New Roman" w:hAnsi="Times New Roman" w:cs="Times New Roman"/>
                <w:color w:val="000000"/>
                <w:lang w:val="tr-TR"/>
              </w:rPr>
              <w:t>&gt;</w:t>
            </w:r>
            <w:r>
              <w:rPr>
                <w:rFonts w:ascii="Times New Roman" w:hAnsi="Times New Roman" w:cs="Times New Roman"/>
                <w:color w:val="000000"/>
              </w:rPr>
              <w:t>0.05</w:t>
            </w:r>
          </w:p>
        </w:tc>
        <w:tc>
          <w:tcPr>
            <w:tcW w:w="1284" w:type="dxa"/>
            <w:tcBorders>
              <w:left w:val="single" w:sz="12" w:space="0" w:color="000000"/>
              <w:bottom w:val="single" w:sz="8" w:space="0" w:color="000000"/>
              <w:right w:val="single" w:sz="8" w:space="0" w:color="000000"/>
            </w:tcBorders>
          </w:tcPr>
          <w:p w14:paraId="749EBCB0" w14:textId="77777777" w:rsidR="009F4881" w:rsidRDefault="009F4881" w:rsidP="00825F63">
            <w:pPr>
              <w:jc w:val="center"/>
              <w:rPr>
                <w:rFonts w:ascii="Times New Roman" w:hAnsi="Times New Roman" w:cs="Times New Roman"/>
                <w:lang w:val="tr-TR"/>
              </w:rPr>
            </w:pPr>
            <w:r>
              <w:rPr>
                <w:rFonts w:ascii="Times New Roman" w:hAnsi="Times New Roman" w:cs="Times New Roman"/>
                <w:color w:val="000000"/>
              </w:rPr>
              <w:t>p&lt;0.05</w:t>
            </w:r>
          </w:p>
        </w:tc>
        <w:tc>
          <w:tcPr>
            <w:tcW w:w="1236" w:type="dxa"/>
            <w:tcBorders>
              <w:left w:val="single" w:sz="8" w:space="0" w:color="000000"/>
            </w:tcBorders>
          </w:tcPr>
          <w:p w14:paraId="08B9AD6B" w14:textId="77777777" w:rsidR="009F4881" w:rsidRDefault="009F4881" w:rsidP="00825F63">
            <w:pPr>
              <w:jc w:val="center"/>
              <w:rPr>
                <w:rFonts w:ascii="Times New Roman" w:hAnsi="Times New Roman" w:cs="Times New Roman"/>
                <w:lang w:val="tr-TR"/>
              </w:rPr>
            </w:pPr>
            <w:r>
              <w:rPr>
                <w:rFonts w:ascii="Times New Roman" w:hAnsi="Times New Roman" w:cs="Times New Roman"/>
                <w:color w:val="000000"/>
              </w:rPr>
              <w:t>p&lt;0.05</w:t>
            </w:r>
          </w:p>
        </w:tc>
        <w:tc>
          <w:tcPr>
            <w:tcW w:w="1212" w:type="dxa"/>
          </w:tcPr>
          <w:p w14:paraId="563E908D" w14:textId="77777777" w:rsidR="009F4881" w:rsidRDefault="009F4881" w:rsidP="00825F63">
            <w:pPr>
              <w:jc w:val="center"/>
              <w:rPr>
                <w:rFonts w:ascii="Times New Roman" w:hAnsi="Times New Roman" w:cs="Times New Roman"/>
                <w:lang w:val="tr-TR"/>
              </w:rPr>
            </w:pPr>
            <w:r>
              <w:rPr>
                <w:rFonts w:ascii="Times New Roman" w:hAnsi="Times New Roman" w:cs="Times New Roman"/>
                <w:color w:val="000000"/>
              </w:rPr>
              <w:t>p&lt;0.05</w:t>
            </w:r>
          </w:p>
        </w:tc>
        <w:tc>
          <w:tcPr>
            <w:tcW w:w="1308" w:type="dxa"/>
          </w:tcPr>
          <w:p w14:paraId="393C5148" w14:textId="77777777" w:rsidR="009F4881" w:rsidRDefault="009F4881" w:rsidP="00825F63">
            <w:pPr>
              <w:jc w:val="center"/>
              <w:rPr>
                <w:rFonts w:ascii="Times New Roman" w:hAnsi="Times New Roman" w:cs="Times New Roman"/>
                <w:lang w:val="tr-TR"/>
              </w:rPr>
            </w:pPr>
            <w:r>
              <w:rPr>
                <w:rFonts w:ascii="Times New Roman" w:hAnsi="Times New Roman" w:cs="Times New Roman"/>
                <w:color w:val="000000"/>
              </w:rPr>
              <w:t>p&lt;0.05</w:t>
            </w:r>
          </w:p>
        </w:tc>
      </w:tr>
    </w:tbl>
    <w:p w14:paraId="5B5AA15C" w14:textId="77777777" w:rsidR="009F4881" w:rsidRDefault="009F4881" w:rsidP="009F4881">
      <w:pPr>
        <w:pStyle w:val="Heading1"/>
        <w:shd w:val="clear" w:color="auto" w:fill="FFFFFF"/>
        <w:spacing w:beforeAutospacing="0" w:afterAutospacing="0"/>
        <w:rPr>
          <w:rFonts w:ascii="Times New Roman" w:hAnsi="Times New Roman" w:hint="default"/>
          <w:lang w:val="tr-TR"/>
        </w:rPr>
      </w:pPr>
      <w:r>
        <w:rPr>
          <w:rFonts w:ascii="Times New Roman" w:hAnsi="Times New Roman" w:hint="default"/>
          <w:b w:val="0"/>
          <w:bCs w:val="0"/>
          <w:sz w:val="20"/>
          <w:szCs w:val="20"/>
          <w:lang w:val="tr-TR"/>
        </w:rPr>
        <w:t>*</w:t>
      </w:r>
      <w:r>
        <w:rPr>
          <w:rFonts w:ascii="Times New Roman" w:eastAsia="Arial" w:hAnsi="Times New Roman" w:hint="default"/>
          <w:b w:val="0"/>
          <w:bCs w:val="0"/>
          <w:color w:val="0F0F0F"/>
          <w:sz w:val="20"/>
          <w:szCs w:val="20"/>
          <w:shd w:val="clear" w:color="auto" w:fill="FFFFFF"/>
        </w:rPr>
        <w:t>Receiver Operating Characteristic</w:t>
      </w:r>
      <w:r>
        <w:rPr>
          <w:rFonts w:ascii="Times New Roman" w:eastAsia="Arial" w:hAnsi="Times New Roman" w:hint="default"/>
          <w:b w:val="0"/>
          <w:bCs w:val="0"/>
          <w:color w:val="0F0F0F"/>
          <w:sz w:val="20"/>
          <w:szCs w:val="20"/>
          <w:shd w:val="clear" w:color="auto" w:fill="FFFFFF"/>
          <w:lang w:val="tr-TR"/>
        </w:rPr>
        <w:t xml:space="preserve"> (ROC) Analysis  </w:t>
      </w:r>
      <w:r>
        <w:rPr>
          <w:rFonts w:ascii="Times New Roman" w:hAnsi="Times New Roman"/>
          <w:b w:val="0"/>
          <w:bCs w:val="0"/>
          <w:sz w:val="20"/>
          <w:szCs w:val="20"/>
          <w:lang w:val="tr-TR"/>
        </w:rPr>
        <w:t>AUC: Area under the curve</w:t>
      </w:r>
      <w:r>
        <w:rPr>
          <w:rFonts w:ascii="Times New Roman" w:hAnsi="Times New Roman" w:hint="default"/>
          <w:b w:val="0"/>
          <w:bCs w:val="0"/>
          <w:sz w:val="20"/>
          <w:szCs w:val="20"/>
          <w:lang w:val="tr-TR"/>
        </w:rPr>
        <w:t xml:space="preserve">  NLR:Neutrophil/Lymphocyte Ratio</w:t>
      </w:r>
    </w:p>
    <w:p w14:paraId="3EED33BE" w14:textId="77777777" w:rsidR="009F4881" w:rsidRDefault="009F4881" w:rsidP="009F4881">
      <w:pPr>
        <w:rPr>
          <w:rFonts w:ascii="Times New Roman" w:hAnsi="Times New Roman" w:cs="Times New Roman"/>
          <w:lang w:val="tr-TR"/>
        </w:rPr>
      </w:pPr>
    </w:p>
    <w:p w14:paraId="2CE6DA63" w14:textId="77777777" w:rsidR="009F4881" w:rsidRDefault="009F4881" w:rsidP="009F4881">
      <w:pPr>
        <w:pStyle w:val="NormalWeb"/>
        <w:rPr>
          <w:lang w:val="tr-TR"/>
        </w:rPr>
      </w:pPr>
    </w:p>
    <w:p w14:paraId="51ECE5C3" w14:textId="77777777" w:rsidR="000A5A77" w:rsidRDefault="000A5A77">
      <w:pPr>
        <w:pStyle w:val="NormalWeb"/>
        <w:rPr>
          <w:lang w:val="tr-TR"/>
        </w:rPr>
      </w:pPr>
    </w:p>
    <w:sectPr w:rsidR="000A5A7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CFA9B" w14:textId="77777777" w:rsidR="00A976BF" w:rsidRDefault="00A976BF"/>
  </w:endnote>
  <w:endnote w:type="continuationSeparator" w:id="0">
    <w:p w14:paraId="42ABEC01" w14:textId="77777777" w:rsidR="00A976BF" w:rsidRDefault="00A976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Inter">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EE083" w14:textId="77777777" w:rsidR="009F4881" w:rsidRDefault="009F48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E678D" w14:textId="77777777" w:rsidR="009F4881" w:rsidRDefault="009F48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D2F3E" w14:textId="77777777" w:rsidR="009F4881" w:rsidRDefault="009F4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0793D" w14:textId="77777777" w:rsidR="00A976BF" w:rsidRDefault="00A976BF"/>
  </w:footnote>
  <w:footnote w:type="continuationSeparator" w:id="0">
    <w:p w14:paraId="318218AC" w14:textId="77777777" w:rsidR="00A976BF" w:rsidRDefault="00A976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41FE9" w14:textId="77777777" w:rsidR="009F4881" w:rsidRDefault="00A976BF">
    <w:pPr>
      <w:pStyle w:val="Header"/>
    </w:pPr>
    <w:r>
      <w:rPr>
        <w:noProof/>
      </w:rPr>
      <w:pict w14:anchorId="2313C6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996016" o:spid="_x0000_s2049" type="#_x0000_t136" style="position:absolute;margin-left:0;margin-top:0;width:492.55pt;height:92.9pt;rotation:315;z-index:-2516597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384EB" w14:textId="77777777" w:rsidR="009F4881" w:rsidRDefault="00A976BF">
    <w:pPr>
      <w:pStyle w:val="Header"/>
    </w:pPr>
    <w:r>
      <w:rPr>
        <w:noProof/>
      </w:rPr>
      <w:pict w14:anchorId="1E6B89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996017" o:spid="_x0000_s2050" type="#_x0000_t136" style="position:absolute;margin-left:0;margin-top:0;width:492.55pt;height:92.9pt;rotation:315;z-index:-2516587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0D6A5" w14:textId="77777777" w:rsidR="009F4881" w:rsidRDefault="00A976BF">
    <w:pPr>
      <w:pStyle w:val="Header"/>
    </w:pPr>
    <w:r>
      <w:rPr>
        <w:noProof/>
      </w:rPr>
      <w:pict w14:anchorId="15D385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996015" o:spid="_x0000_s2051" type="#_x0000_t136" style="position:absolute;margin-left:0;margin-top:0;width:492.55pt;height:92.9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349D8"/>
    <w:multiLevelType w:val="singleLevel"/>
    <w:tmpl w:val="13D349D8"/>
    <w:lvl w:ilvl="0">
      <w:start w:val="1"/>
      <w:numFmt w:val="decimal"/>
      <w:lvlText w:val="%1."/>
      <w:lvlJc w:val="left"/>
      <w:pPr>
        <w:tabs>
          <w:tab w:val="left" w:pos="312"/>
        </w:tabs>
      </w:pPr>
      <w:rPr>
        <w:rFonts w:ascii="Times New Roman" w:hAnsi="Times New Roman" w:cs="Times New Roman" w:hint="default"/>
        <w:sz w:val="24"/>
        <w:szCs w:val="24"/>
      </w:rPr>
    </w:lvl>
  </w:abstractNum>
  <w:abstractNum w:abstractNumId="1" w15:restartNumberingAfterBreak="0">
    <w:nsid w:val="536A5A33"/>
    <w:multiLevelType w:val="hybridMultilevel"/>
    <w:tmpl w:val="4FA61D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proofState w:spelling="clean" w:grammar="clean"/>
  <w:defaultTabStop w:val="720"/>
  <w:hyphenationZone w:val="425"/>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60B3"/>
    <w:rsid w:val="000A5A77"/>
    <w:rsid w:val="00132686"/>
    <w:rsid w:val="001F0127"/>
    <w:rsid w:val="001F70B9"/>
    <w:rsid w:val="002C2330"/>
    <w:rsid w:val="002E1F9E"/>
    <w:rsid w:val="00367993"/>
    <w:rsid w:val="0037186F"/>
    <w:rsid w:val="00396CCE"/>
    <w:rsid w:val="003D7D2A"/>
    <w:rsid w:val="003E2419"/>
    <w:rsid w:val="003E4CA1"/>
    <w:rsid w:val="004A5598"/>
    <w:rsid w:val="004E592B"/>
    <w:rsid w:val="004E60B3"/>
    <w:rsid w:val="00506D4D"/>
    <w:rsid w:val="006053AC"/>
    <w:rsid w:val="00855E67"/>
    <w:rsid w:val="00867580"/>
    <w:rsid w:val="008B23F8"/>
    <w:rsid w:val="00910FE9"/>
    <w:rsid w:val="00950769"/>
    <w:rsid w:val="009B1C94"/>
    <w:rsid w:val="009F0E2E"/>
    <w:rsid w:val="009F4881"/>
    <w:rsid w:val="00A976BF"/>
    <w:rsid w:val="00AA313F"/>
    <w:rsid w:val="00AA3F4D"/>
    <w:rsid w:val="00B25627"/>
    <w:rsid w:val="00B32841"/>
    <w:rsid w:val="00B75995"/>
    <w:rsid w:val="00BF3140"/>
    <w:rsid w:val="00C45E9B"/>
    <w:rsid w:val="00CA11BD"/>
    <w:rsid w:val="00E14965"/>
    <w:rsid w:val="00E46F3E"/>
    <w:rsid w:val="00E8349F"/>
    <w:rsid w:val="00EF3817"/>
    <w:rsid w:val="00F016C8"/>
    <w:rsid w:val="00F6550B"/>
    <w:rsid w:val="00F942A6"/>
    <w:rsid w:val="0D372B9F"/>
    <w:rsid w:val="1B267DFA"/>
    <w:rsid w:val="1B32006A"/>
    <w:rsid w:val="1CE57172"/>
    <w:rsid w:val="1EA4292E"/>
    <w:rsid w:val="2671223C"/>
    <w:rsid w:val="2A1C2DED"/>
    <w:rsid w:val="2A936348"/>
    <w:rsid w:val="30A51649"/>
    <w:rsid w:val="3513480D"/>
    <w:rsid w:val="39B36DBC"/>
    <w:rsid w:val="3B003874"/>
    <w:rsid w:val="3E0962E3"/>
    <w:rsid w:val="4A4D7237"/>
    <w:rsid w:val="4CE72A24"/>
    <w:rsid w:val="4DD57D56"/>
    <w:rsid w:val="4E724CE4"/>
    <w:rsid w:val="4EFC7F3D"/>
    <w:rsid w:val="52E752A1"/>
    <w:rsid w:val="5B6A773A"/>
    <w:rsid w:val="5C3A4B46"/>
    <w:rsid w:val="62E20557"/>
    <w:rsid w:val="66077BF3"/>
    <w:rsid w:val="670B63D5"/>
    <w:rsid w:val="688949EA"/>
    <w:rsid w:val="6B9C24AC"/>
    <w:rsid w:val="6CDC124E"/>
    <w:rsid w:val="6DAD6B0C"/>
    <w:rsid w:val="6E6354B6"/>
    <w:rsid w:val="6FE15E11"/>
    <w:rsid w:val="74463A0D"/>
    <w:rsid w:val="75D9284A"/>
    <w:rsid w:val="768E0C37"/>
    <w:rsid w:val="7753397A"/>
    <w:rsid w:val="782C7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3C6BF1A"/>
  <w15:docId w15:val="{D389BE33-E64B-4617-BF8D-2804BDE9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endnote text"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next w:val="Normal"/>
    <w:link w:val="Heading1Char"/>
    <w:qFormat/>
    <w:pPr>
      <w:spacing w:beforeAutospacing="1" w:afterAutospacing="1"/>
      <w:outlineLvl w:val="0"/>
    </w:pPr>
    <w:rPr>
      <w:rFonts w:ascii="SimSun" w:hAnsi="SimSun" w:hint="eastAsia"/>
      <w:b/>
      <w:bCs/>
      <w:kern w:val="44"/>
      <w:sz w:val="48"/>
      <w:szCs w:val="4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EndnoteText">
    <w:name w:val="endnote text"/>
    <w:basedOn w:val="Normal"/>
    <w:qFormat/>
    <w:pPr>
      <w:snapToGrid w:val="0"/>
    </w:pPr>
  </w:style>
  <w:style w:type="character" w:styleId="FootnoteReference">
    <w:name w:val="footnote reference"/>
    <w:basedOn w:val="DefaultParagraphFont"/>
    <w:qFormat/>
    <w:rPr>
      <w:vertAlign w:val="superscript"/>
    </w:rPr>
  </w:style>
  <w:style w:type="paragraph" w:styleId="FootnoteText">
    <w:name w:val="footnote text"/>
    <w:qFormat/>
    <w:pPr>
      <w:snapToGrid w:val="0"/>
    </w:pPr>
    <w:rPr>
      <w:rFonts w:ascii="Calibri" w:eastAsia="DengXian" w:hAnsi="Calibri"/>
      <w:sz w:val="18"/>
      <w:szCs w:val="18"/>
      <w:lang w:val="en-US" w:eastAsia="zh-CN"/>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qFormat/>
    <w:pPr>
      <w:widowControl w:val="0"/>
      <w:jc w:val="both"/>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0" w:type="dxa"/>
        <w:bottom w:w="0" w:type="dxa"/>
        <w:right w:w="100" w:type="dxa"/>
      </w:tblCellMar>
    </w:tblPr>
    <w:tcPr>
      <w:tcBorders>
        <w:top w:val="single" w:sz="2" w:space="0" w:color="auto"/>
        <w:left w:val="single" w:sz="2" w:space="0" w:color="auto"/>
        <w:bottom w:val="single" w:sz="2" w:space="0" w:color="auto"/>
        <w:right w:val="single" w:sz="2" w:space="0" w:color="auto"/>
      </w:tcBorders>
    </w:tcPr>
  </w:style>
  <w:style w:type="character" w:customStyle="1" w:styleId="DipnotMetniChar">
    <w:name w:val="Dipnot Metni Char"/>
    <w:qFormat/>
    <w:rPr>
      <w:sz w:val="18"/>
      <w:szCs w:val="18"/>
      <w:lang w:val="en-US" w:eastAsia="zh-CN"/>
    </w:rPr>
  </w:style>
  <w:style w:type="paragraph" w:styleId="NoSpacing">
    <w:name w:val="No Spacing"/>
    <w:uiPriority w:val="1"/>
    <w:qFormat/>
    <w:rsid w:val="003D7D2A"/>
    <w:rPr>
      <w:rFonts w:asciiTheme="minorHAnsi" w:eastAsiaTheme="minorHAnsi" w:hAnsiTheme="minorHAnsi" w:cstheme="minorBidi"/>
      <w:kern w:val="2"/>
      <w:sz w:val="22"/>
      <w:szCs w:val="22"/>
      <w:lang w:val="en-US" w:eastAsia="en-US"/>
      <w14:ligatures w14:val="standardContextual"/>
    </w:rPr>
  </w:style>
  <w:style w:type="paragraph" w:styleId="ListParagraph">
    <w:name w:val="List Paragraph"/>
    <w:basedOn w:val="Normal"/>
    <w:uiPriority w:val="99"/>
    <w:unhideWhenUsed/>
    <w:rsid w:val="009F4881"/>
    <w:pPr>
      <w:ind w:left="720"/>
      <w:contextualSpacing/>
    </w:pPr>
  </w:style>
  <w:style w:type="character" w:customStyle="1" w:styleId="Heading1Char">
    <w:name w:val="Heading 1 Char"/>
    <w:basedOn w:val="DefaultParagraphFont"/>
    <w:link w:val="Heading1"/>
    <w:rsid w:val="009F4881"/>
    <w:rPr>
      <w:rFonts w:ascii="SimSun" w:hAnsi="SimSun"/>
      <w:b/>
      <w:bCs/>
      <w:kern w:val="44"/>
      <w:sz w:val="48"/>
      <w:szCs w:val="48"/>
      <w:lang w:val="en-US" w:eastAsia="zh-CN"/>
    </w:rPr>
  </w:style>
  <w:style w:type="paragraph" w:styleId="Header">
    <w:name w:val="header"/>
    <w:basedOn w:val="Normal"/>
    <w:link w:val="HeaderChar"/>
    <w:rsid w:val="009F4881"/>
    <w:pPr>
      <w:tabs>
        <w:tab w:val="center" w:pos="4680"/>
        <w:tab w:val="right" w:pos="9360"/>
      </w:tabs>
    </w:pPr>
  </w:style>
  <w:style w:type="character" w:customStyle="1" w:styleId="HeaderChar">
    <w:name w:val="Header Char"/>
    <w:basedOn w:val="DefaultParagraphFont"/>
    <w:link w:val="Header"/>
    <w:rsid w:val="009F4881"/>
    <w:rPr>
      <w:rFonts w:asciiTheme="minorHAnsi" w:eastAsiaTheme="minorEastAsia" w:hAnsiTheme="minorHAnsi" w:cstheme="minorBidi"/>
      <w:lang w:val="en-US" w:eastAsia="zh-CN"/>
    </w:rPr>
  </w:style>
  <w:style w:type="paragraph" w:styleId="Footer">
    <w:name w:val="footer"/>
    <w:basedOn w:val="Normal"/>
    <w:link w:val="FooterChar"/>
    <w:rsid w:val="009F4881"/>
    <w:pPr>
      <w:tabs>
        <w:tab w:val="center" w:pos="4680"/>
        <w:tab w:val="right" w:pos="9360"/>
      </w:tabs>
    </w:pPr>
  </w:style>
  <w:style w:type="character" w:customStyle="1" w:styleId="FooterChar">
    <w:name w:val="Footer Char"/>
    <w:basedOn w:val="DefaultParagraphFont"/>
    <w:link w:val="Footer"/>
    <w:rsid w:val="009F4881"/>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437623">
      <w:bodyDiv w:val="1"/>
      <w:marLeft w:val="0"/>
      <w:marRight w:val="0"/>
      <w:marTop w:val="0"/>
      <w:marBottom w:val="0"/>
      <w:divBdr>
        <w:top w:val="none" w:sz="0" w:space="0" w:color="auto"/>
        <w:left w:val="none" w:sz="0" w:space="0" w:color="auto"/>
        <w:bottom w:val="none" w:sz="0" w:space="0" w:color="auto"/>
        <w:right w:val="none" w:sz="0" w:space="0" w:color="auto"/>
      </w:divBdr>
    </w:div>
    <w:div w:id="450981246">
      <w:bodyDiv w:val="1"/>
      <w:marLeft w:val="0"/>
      <w:marRight w:val="0"/>
      <w:marTop w:val="0"/>
      <w:marBottom w:val="0"/>
      <w:divBdr>
        <w:top w:val="none" w:sz="0" w:space="0" w:color="auto"/>
        <w:left w:val="none" w:sz="0" w:space="0" w:color="auto"/>
        <w:bottom w:val="none" w:sz="0" w:space="0" w:color="auto"/>
        <w:right w:val="none" w:sz="0" w:space="0" w:color="auto"/>
      </w:divBdr>
    </w:div>
    <w:div w:id="1327047898">
      <w:bodyDiv w:val="1"/>
      <w:marLeft w:val="0"/>
      <w:marRight w:val="0"/>
      <w:marTop w:val="0"/>
      <w:marBottom w:val="0"/>
      <w:divBdr>
        <w:top w:val="none" w:sz="0" w:space="0" w:color="auto"/>
        <w:left w:val="none" w:sz="0" w:space="0" w:color="auto"/>
        <w:bottom w:val="none" w:sz="0" w:space="0" w:color="auto"/>
        <w:right w:val="none" w:sz="0" w:space="0" w:color="auto"/>
      </w:divBdr>
    </w:div>
    <w:div w:id="1493570868">
      <w:bodyDiv w:val="1"/>
      <w:marLeft w:val="0"/>
      <w:marRight w:val="0"/>
      <w:marTop w:val="0"/>
      <w:marBottom w:val="0"/>
      <w:divBdr>
        <w:top w:val="none" w:sz="0" w:space="0" w:color="auto"/>
        <w:left w:val="none" w:sz="0" w:space="0" w:color="auto"/>
        <w:bottom w:val="none" w:sz="0" w:space="0" w:color="auto"/>
        <w:right w:val="none" w:sz="0" w:space="0" w:color="auto"/>
      </w:divBdr>
    </w:div>
    <w:div w:id="1540363023">
      <w:bodyDiv w:val="1"/>
      <w:marLeft w:val="0"/>
      <w:marRight w:val="0"/>
      <w:marTop w:val="0"/>
      <w:marBottom w:val="0"/>
      <w:divBdr>
        <w:top w:val="none" w:sz="0" w:space="0" w:color="auto"/>
        <w:left w:val="none" w:sz="0" w:space="0" w:color="auto"/>
        <w:bottom w:val="none" w:sz="0" w:space="0" w:color="auto"/>
        <w:right w:val="none" w:sz="0" w:space="0" w:color="auto"/>
      </w:divBdr>
    </w:div>
    <w:div w:id="1743599890">
      <w:bodyDiv w:val="1"/>
      <w:marLeft w:val="0"/>
      <w:marRight w:val="0"/>
      <w:marTop w:val="0"/>
      <w:marBottom w:val="0"/>
      <w:divBdr>
        <w:top w:val="none" w:sz="0" w:space="0" w:color="auto"/>
        <w:left w:val="none" w:sz="0" w:space="0" w:color="auto"/>
        <w:bottom w:val="none" w:sz="0" w:space="0" w:color="auto"/>
        <w:right w:val="none" w:sz="0" w:space="0" w:color="auto"/>
      </w:divBdr>
    </w:div>
    <w:div w:id="1819299327">
      <w:bodyDiv w:val="1"/>
      <w:marLeft w:val="0"/>
      <w:marRight w:val="0"/>
      <w:marTop w:val="0"/>
      <w:marBottom w:val="0"/>
      <w:divBdr>
        <w:top w:val="none" w:sz="0" w:space="0" w:color="auto"/>
        <w:left w:val="none" w:sz="0" w:space="0" w:color="auto"/>
        <w:bottom w:val="none" w:sz="0" w:space="0" w:color="auto"/>
        <w:right w:val="none" w:sz="0" w:space="0" w:color="auto"/>
      </w:divBdr>
    </w:div>
    <w:div w:id="1986741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15</Pages>
  <Words>4099</Words>
  <Characters>23367</Characters>
  <Application>Microsoft Office Word</Application>
  <DocSecurity>0</DocSecurity>
  <Lines>194</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dc:creator>
  <cp:lastModifiedBy>Editor GP 005</cp:lastModifiedBy>
  <cp:revision>18</cp:revision>
  <dcterms:created xsi:type="dcterms:W3CDTF">2025-05-15T11:27:00Z</dcterms:created>
  <dcterms:modified xsi:type="dcterms:W3CDTF">2026-01-29T08:08:00Z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1055-12.2.0.22549</vt:lpwstr>
  </property>
  <property fmtid="{D5CDD505-2E9C-101B-9397-08002B2CF9AE}" pid="3" name="ICV">
    <vt:lpwstr>57F33775E0BB4DE4AA2F637BA1C1B7A2_12</vt:lpwstr>
  </property>
</Properties>
</file>