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0205" w:rsidRDefault="00E8643D">
      <w:pPr>
        <w:widowControl w:val="0"/>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Cumulative Occupational Sunlight Exposure Associated with Oxidative Stress, Thyroid Hormone Alterations and Endocrine Dysregulation Among Commercial Motorcycle Riders in A Tropical Setting</w:t>
      </w:r>
    </w:p>
    <w:p w:rsidR="00900205" w:rsidRDefault="00900205">
      <w:pPr>
        <w:rPr>
          <w:rFonts w:ascii="Times New Roman" w:eastAsia="Times New Roman" w:hAnsi="Times New Roman" w:cs="Times New Roman"/>
          <w:b/>
          <w:bCs/>
          <w:sz w:val="24"/>
          <w:szCs w:val="24"/>
        </w:rPr>
      </w:pPr>
    </w:p>
    <w:p w:rsidR="00900205" w:rsidRDefault="0068219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ABSTRACT</w:t>
      </w:r>
    </w:p>
    <w:p w:rsidR="00900205" w:rsidRDefault="0068219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motorcycle riders in tropical regions experience prolonged occupational exposure to intense sunlight and heat, which may influence oxidative and endocrine regulation. This study examined the association between cumulative occu</w:t>
      </w:r>
      <w:r>
        <w:rPr>
          <w:rFonts w:ascii="Times New Roman" w:eastAsia="Times New Roman" w:hAnsi="Times New Roman" w:cs="Times New Roman"/>
          <w:sz w:val="24"/>
          <w:szCs w:val="24"/>
        </w:rPr>
        <w:t>pational sunlight exposure and oxidative stress, thyroid hormone alterations, and endocrine dysregulation among commercial motorcycle riders in a tropical setting. A comparative cross-sectional design was used to evaluate 100 riders and 50 age-comparable c</w:t>
      </w:r>
      <w:r>
        <w:rPr>
          <w:rFonts w:ascii="Times New Roman" w:eastAsia="Times New Roman" w:hAnsi="Times New Roman" w:cs="Times New Roman"/>
          <w:sz w:val="24"/>
          <w:szCs w:val="24"/>
        </w:rPr>
        <w:t>ontrols. Oxidative stress markers (superoxide dismutase, catalase, malondialdehyde) and endocrine parameters (triiodothyronine, thyroxine, thyroid-stimulating hormone, luteinizing hormone, and prolactin) were measured using standard laboratory methods. Rid</w:t>
      </w:r>
      <w:r>
        <w:rPr>
          <w:rFonts w:ascii="Times New Roman" w:eastAsia="Times New Roman" w:hAnsi="Times New Roman" w:cs="Times New Roman"/>
          <w:sz w:val="24"/>
          <w:szCs w:val="24"/>
        </w:rPr>
        <w:t>ers exhibited significantly reduced antioxidant enzyme activities and elevated lipid peroxidation compared with controls. Thyroid hormones T3 and T4 were significantly higher among riders, while thyroid-stimulating hormone showed no significant difference.</w:t>
      </w:r>
      <w:r>
        <w:rPr>
          <w:rFonts w:ascii="Times New Roman" w:eastAsia="Times New Roman" w:hAnsi="Times New Roman" w:cs="Times New Roman"/>
          <w:sz w:val="24"/>
          <w:szCs w:val="24"/>
        </w:rPr>
        <w:t xml:space="preserve"> Duration of riding demonstrated strong exposure-dependent associations with oxidative stress markers and thyroid hormone levels, alongside inverse relationships with pituitary hormones. These findings suggest that cumulative occupational sunlight exposure</w:t>
      </w:r>
      <w:r>
        <w:rPr>
          <w:rFonts w:ascii="Times New Roman" w:eastAsia="Times New Roman" w:hAnsi="Times New Roman" w:cs="Times New Roman"/>
          <w:sz w:val="24"/>
          <w:szCs w:val="24"/>
        </w:rPr>
        <w:t xml:space="preserve"> is associated with progressive oxidative stress and endocrine dysregulation, highlighting potential subclinical health risks among outdoor workers in tropical environments.</w:t>
      </w:r>
    </w:p>
    <w:p w:rsidR="00900205" w:rsidRDefault="00682199">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Occupational sunlight exposure, Oxidative stress, Thyroid hormones, Endo</w:t>
      </w:r>
      <w:r>
        <w:rPr>
          <w:rFonts w:ascii="Times New Roman" w:eastAsia="Times New Roman" w:hAnsi="Times New Roman" w:cs="Times New Roman"/>
          <w:sz w:val="24"/>
          <w:szCs w:val="24"/>
        </w:rPr>
        <w:t>crine dysregulation, Commercial motorcycle riders, Nigeria</w:t>
      </w: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682199">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Occupational exposure to sunlight is an increasingly important environmental health concern, particularly in tropical regions where outdoor workers experience sustained ultraviolet (U</w:t>
      </w:r>
      <w:r>
        <w:rPr>
          <w:rFonts w:ascii="Times New Roman" w:eastAsia="Times New Roman" w:hAnsi="Times New Roman" w:cs="Times New Roman"/>
          <w:sz w:val="24"/>
          <w:szCs w:val="24"/>
        </w:rPr>
        <w:t>V) radiation and heat throughout the year. In many low- and middle-income countries, informal occupations dominate the labor force, and workers often lack structured occupational health protections (1, 2). Commercial motorcycle riders represent a prominent</w:t>
      </w:r>
      <w:r>
        <w:rPr>
          <w:rFonts w:ascii="Times New Roman" w:eastAsia="Times New Roman" w:hAnsi="Times New Roman" w:cs="Times New Roman"/>
          <w:sz w:val="24"/>
          <w:szCs w:val="24"/>
        </w:rPr>
        <w:t xml:space="preserve"> example of such workers, as their daily activities involve prolonged outdoor mobility with direct exposure to solar radiation, elevated ambient temperatures, and limited opportunities for physiological recovery (3).</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Sunlight exposure exerts systemic biolo</w:t>
      </w:r>
      <w:r>
        <w:rPr>
          <w:rFonts w:ascii="Times New Roman" w:eastAsia="Times New Roman" w:hAnsi="Times New Roman" w:cs="Times New Roman"/>
          <w:sz w:val="24"/>
          <w:szCs w:val="24"/>
        </w:rPr>
        <w:t>gical effects beyond its cutaneous impact. Ultraviolet radiation and thermal stress have been shown to increase the generation of reactive oxygen species (ROS), leading to oxidative stress when antioxidant defenses are insufficient. Chronic oxidative stres</w:t>
      </w:r>
      <w:r>
        <w:rPr>
          <w:rFonts w:ascii="Times New Roman" w:eastAsia="Times New Roman" w:hAnsi="Times New Roman" w:cs="Times New Roman"/>
          <w:sz w:val="24"/>
          <w:szCs w:val="24"/>
        </w:rPr>
        <w:t xml:space="preserve">s is characterized by depletion of endogenous antioxidant enzymes, such as superoxide dismutase (SOD) and catalase (CAT), alongside increased lipid peroxidation products such as malondialdehyde (MDA). Recent environmental and occupational studies indicate </w:t>
      </w:r>
      <w:r>
        <w:rPr>
          <w:rFonts w:ascii="Times New Roman" w:eastAsia="Times New Roman" w:hAnsi="Times New Roman" w:cs="Times New Roman"/>
          <w:sz w:val="24"/>
          <w:szCs w:val="24"/>
        </w:rPr>
        <w:t>that repeated exposure to heat and UV radiation may progressively impair redox homeostasis, contributing to cellular injury and altered physiological regulation over time (4, 5).</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endocrine system, particularly thyroid hormone regulation,</w:t>
      </w:r>
      <w:r>
        <w:rPr>
          <w:rFonts w:ascii="Times New Roman" w:eastAsia="Times New Roman" w:hAnsi="Times New Roman" w:cs="Times New Roman"/>
          <w:sz w:val="24"/>
          <w:szCs w:val="24"/>
          <w:lang w:val="en-US"/>
        </w:rPr>
        <w:t xml:space="preserve"> a</w:t>
      </w:r>
      <w:proofErr w:type="spellStart"/>
      <w:r>
        <w:rPr>
          <w:rFonts w:ascii="Times New Roman" w:eastAsia="SimSun" w:hAnsi="Times New Roman" w:cs="Times New Roman"/>
          <w:sz w:val="24"/>
          <w:szCs w:val="24"/>
        </w:rPr>
        <w:t>lterations</w:t>
      </w:r>
      <w:proofErr w:type="spellEnd"/>
      <w:r>
        <w:rPr>
          <w:rFonts w:ascii="Times New Roman" w:eastAsia="SimSun" w:hAnsi="Times New Roman" w:cs="Times New Roman"/>
          <w:sz w:val="24"/>
          <w:szCs w:val="24"/>
        </w:rPr>
        <w:t xml:space="preserve"> in</w:t>
      </w:r>
      <w:r>
        <w:rPr>
          <w:rFonts w:ascii="Times New Roman" w:eastAsia="SimSun" w:hAnsi="Times New Roman" w:cs="Times New Roman"/>
          <w:sz w:val="24"/>
          <w:szCs w:val="24"/>
        </w:rPr>
        <w:t xml:space="preserve"> circulating thyroid hormone levels may occur even in the absence of overt thyroid pathology, reflecting adaptive or stress-related physiological responses (</w:t>
      </w:r>
      <w:r>
        <w:rPr>
          <w:rFonts w:ascii="Times New Roman" w:eastAsia="SimSun" w:hAnsi="Times New Roman" w:cs="Times New Roman"/>
          <w:sz w:val="24"/>
          <w:szCs w:val="24"/>
          <w:lang w:val="en-US"/>
        </w:rPr>
        <w:t>25</w:t>
      </w:r>
      <w:r>
        <w:rPr>
          <w:rFonts w:ascii="Times New Roman" w:eastAsia="SimSun" w:hAnsi="Times New Roman" w:cs="Times New Roman"/>
          <w:sz w:val="24"/>
          <w:szCs w:val="24"/>
        </w:rPr>
        <w:t>)</w:t>
      </w:r>
      <w:r>
        <w:rPr>
          <w:rFonts w:ascii="Times New Roman" w:eastAsia="Times New Roman" w:hAnsi="Times New Roman" w:cs="Times New Roman"/>
          <w:sz w:val="24"/>
          <w:szCs w:val="24"/>
        </w:rPr>
        <w:t xml:space="preserve"> plays a central role in adaptation to environmental stress. Thyroid hormones, triiodothyronine </w:t>
      </w:r>
      <w:r>
        <w:rPr>
          <w:rFonts w:ascii="Times New Roman" w:eastAsia="Times New Roman" w:hAnsi="Times New Roman" w:cs="Times New Roman"/>
          <w:sz w:val="24"/>
          <w:szCs w:val="24"/>
        </w:rPr>
        <w:t>(T3) and thyroxine (T4), govern basal metabolic rate, thermogenesis, and energy expenditure, making them highly responsive to heat and metabolic demand (6). Alterations in circulating thyroid hormone levels may occur as adaptive or maladaptive responses to</w:t>
      </w:r>
      <w:r>
        <w:rPr>
          <w:rFonts w:ascii="Times New Roman" w:eastAsia="Times New Roman" w:hAnsi="Times New Roman" w:cs="Times New Roman"/>
          <w:sz w:val="24"/>
          <w:szCs w:val="24"/>
        </w:rPr>
        <w:t xml:space="preserve"> chronic environmental stress, even in the absence of overt thyroid disease or significant changes in thyroid-stimulating hormone (TSH). Experimental and epidemiological evidence suggests that oxidative stress can influence thyroid hormone synthesis, perip</w:t>
      </w:r>
      <w:r>
        <w:rPr>
          <w:rFonts w:ascii="Times New Roman" w:eastAsia="Times New Roman" w:hAnsi="Times New Roman" w:cs="Times New Roman"/>
          <w:sz w:val="24"/>
          <w:szCs w:val="24"/>
        </w:rPr>
        <w:t>heral conversion, and hormone signaling, thereby linking redox imbalance with endocrine dysregulation (7, 8).</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thyroid hormones, pituitary hormones such as luteinizing hormone (LH) and prolactin are sensitive to prolonged physiological stress</w:t>
      </w:r>
      <w:r>
        <w:rPr>
          <w:rFonts w:ascii="Times New Roman" w:eastAsia="Times New Roman" w:hAnsi="Times New Roman" w:cs="Times New Roman"/>
          <w:sz w:val="24"/>
          <w:szCs w:val="24"/>
        </w:rPr>
        <w:t xml:space="preserve">. Chronic activation of stress-related neuroendocrine pathways may suppress hypothalamic–pituitary signaling, leading to subtle hormonal alterations that may not immediately manifest as clinical disease. Oxidative stress has been implicated as a mediating </w:t>
      </w:r>
      <w:r>
        <w:rPr>
          <w:rFonts w:ascii="Times New Roman" w:eastAsia="Times New Roman" w:hAnsi="Times New Roman" w:cs="Times New Roman"/>
          <w:sz w:val="24"/>
          <w:szCs w:val="24"/>
        </w:rPr>
        <w:t>mechanism in this process by interfering with hormone receptor function and intracellular signaling cascades (9, 10). These interactions suggest a complex oxidative stress–endocrine axis through which environmental exposures may influence systemic health.</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cumulative exposure duration is a critical determinant of biological impact. Rather than acute exposure alone, repeated daily exposure to sunlight and heat over months or years may lead to progressive oxidative and endocrine alterations. Durat</w:t>
      </w:r>
      <w:r>
        <w:rPr>
          <w:rFonts w:ascii="Times New Roman" w:eastAsia="Times New Roman" w:hAnsi="Times New Roman" w:cs="Times New Roman"/>
          <w:sz w:val="24"/>
          <w:szCs w:val="24"/>
        </w:rPr>
        <w:t>ion-based analyses allow detection of exposure–response relationships that may remain obscured in simple group comparisons. However, data examining cumulative occupational sunlight exposure in relation to oxidative stress and thyroid-centered endocrine out</w:t>
      </w:r>
      <w:r>
        <w:rPr>
          <w:rFonts w:ascii="Times New Roman" w:eastAsia="Times New Roman" w:hAnsi="Times New Roman" w:cs="Times New Roman"/>
          <w:sz w:val="24"/>
          <w:szCs w:val="24"/>
        </w:rPr>
        <w:t>comes among outdoor workers in sub-Saharan Africa remain scarce.</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this study examined the association between cumulative occupational sunlight exposure and oxidative stress, thyroid hormone alterations, and endocrine dysregulation among commercia</w:t>
      </w:r>
      <w:r>
        <w:rPr>
          <w:rFonts w:ascii="Times New Roman" w:eastAsia="Times New Roman" w:hAnsi="Times New Roman" w:cs="Times New Roman"/>
          <w:sz w:val="24"/>
          <w:szCs w:val="24"/>
        </w:rPr>
        <w:t>l motorcycle riders in a tropical setting. By evaluating antioxidant enzyme activity (SOD, CAT), lipid peroxidation (MDA), thyroid hormones (T3, T4, TSH), and selected pituitary hormones in relation to duration of riding, this study aims to provide mechani</w:t>
      </w:r>
      <w:r>
        <w:rPr>
          <w:rFonts w:ascii="Times New Roman" w:eastAsia="Times New Roman" w:hAnsi="Times New Roman" w:cs="Times New Roman"/>
          <w:sz w:val="24"/>
          <w:szCs w:val="24"/>
        </w:rPr>
        <w:t>stic insight into exposure-related physiological adaptations and potential early health risks among chronically exposed outdoor workers.</w:t>
      </w:r>
    </w:p>
    <w:p w:rsidR="00900205" w:rsidRDefault="00900205">
      <w:pPr>
        <w:spacing w:before="240" w:after="240" w:line="240" w:lineRule="auto"/>
        <w:ind w:firstLine="720"/>
        <w:jc w:val="both"/>
        <w:rPr>
          <w:rFonts w:ascii="Times New Roman" w:eastAsia="Times New Roman" w:hAnsi="Times New Roman" w:cs="Times New Roman"/>
          <w:sz w:val="24"/>
          <w:szCs w:val="24"/>
        </w:rPr>
      </w:pP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682199">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rsidR="00900205" w:rsidRDefault="0068219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 Design and Study Area</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study adopted a comparative cross-sectional design with an </w:t>
      </w:r>
      <w:r>
        <w:rPr>
          <w:rFonts w:ascii="Times New Roman" w:eastAsia="Times New Roman" w:hAnsi="Times New Roman" w:cs="Times New Roman"/>
          <w:sz w:val="24"/>
          <w:szCs w:val="24"/>
        </w:rPr>
        <w:t>exposure–response analytical approach to evaluate the association between cumulative occupational sunlight exposure and oxidative stress, thyroid hormone alterations, and endocrine dysregulation among commercial motorcycle riders. The study was conducted i</w:t>
      </w:r>
      <w:r>
        <w:rPr>
          <w:rFonts w:ascii="Times New Roman" w:eastAsia="Times New Roman" w:hAnsi="Times New Roman" w:cs="Times New Roman"/>
          <w:sz w:val="24"/>
          <w:szCs w:val="24"/>
        </w:rPr>
        <w:t xml:space="preserve">n Rivers State, located in the Niger Delta region of southern Nigeria. The area is characterized by a tropical climate with persistently high ambient temperatures, high humidity, and substantial year-round solar radiation, making it suitable for assessing </w:t>
      </w:r>
      <w:r>
        <w:rPr>
          <w:rFonts w:ascii="Times New Roman" w:eastAsia="Times New Roman" w:hAnsi="Times New Roman" w:cs="Times New Roman"/>
          <w:sz w:val="24"/>
          <w:szCs w:val="24"/>
        </w:rPr>
        <w:t>the biological effects of chronic occupational sunlight exposure.</w:t>
      </w:r>
    </w:p>
    <w:p w:rsidR="00900205" w:rsidRDefault="0068219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 Population</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population consisted of adult male commercial motorcycle riders and a control group of adult males with minimal occupational sunlight exposure. One hundred (100) c</w:t>
      </w:r>
      <w:r>
        <w:rPr>
          <w:rFonts w:ascii="Times New Roman" w:eastAsia="Times New Roman" w:hAnsi="Times New Roman" w:cs="Times New Roman"/>
          <w:sz w:val="24"/>
          <w:szCs w:val="24"/>
        </w:rPr>
        <w:t xml:space="preserve">ommercial motorcycle riders who were actively engaged in motorcycle riding as their primary occupation were recruited. The control group comprised fifty (50) apparently healthy males engaged predominantly in indoor occupations and not routinely exposed to </w:t>
      </w:r>
      <w:r>
        <w:rPr>
          <w:rFonts w:ascii="Times New Roman" w:eastAsia="Times New Roman" w:hAnsi="Times New Roman" w:cs="Times New Roman"/>
          <w:sz w:val="24"/>
          <w:szCs w:val="24"/>
        </w:rPr>
        <w:t>prolonged outdoor sunlight. Controls were selected to be comparable to riders in terms of age distribution to minimize age-related confounding effects on oxidative and endocrine parameters.</w:t>
      </w:r>
    </w:p>
    <w:p w:rsidR="00900205" w:rsidRDefault="0068219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Inclusion and Exclusion Criteria</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Eligible participants were males </w:t>
      </w:r>
      <w:r>
        <w:rPr>
          <w:rFonts w:ascii="Times New Roman" w:eastAsia="Times New Roman" w:hAnsi="Times New Roman" w:cs="Times New Roman"/>
          <w:sz w:val="24"/>
          <w:szCs w:val="24"/>
        </w:rPr>
        <w:t>aged 18 years and above. Inclusion criteria for riders included active engagement in commercial motorcycle riding and availability of information on duration of riding. Control participants were required to have no history of sustained outdoor occupational</w:t>
      </w:r>
      <w:r>
        <w:rPr>
          <w:rFonts w:ascii="Times New Roman" w:eastAsia="Times New Roman" w:hAnsi="Times New Roman" w:cs="Times New Roman"/>
          <w:sz w:val="24"/>
          <w:szCs w:val="24"/>
        </w:rPr>
        <w:t xml:space="preserve"> exposure. Participants with self-reported histories of thyroid disorders, cardiovascular disease, diabetes mellitus, chronic inflammatory conditions, or known endocrine disorders were excluded. Individuals currently using antioxidant supplements, hormonal</w:t>
      </w:r>
      <w:r>
        <w:rPr>
          <w:rFonts w:ascii="Times New Roman" w:eastAsia="Times New Roman" w:hAnsi="Times New Roman" w:cs="Times New Roman"/>
          <w:sz w:val="24"/>
          <w:szCs w:val="24"/>
        </w:rPr>
        <w:t xml:space="preserve"> therapy, or medications known to affect oxidative stress or endocrine function were also excluded. Participants with acute illness at the time of sample collection were not included in the study.</w:t>
      </w:r>
    </w:p>
    <w:p w:rsidR="00900205" w:rsidRDefault="0068219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Considerations</w:t>
      </w:r>
      <w:r w:rsidR="00E8643D">
        <w:rPr>
          <w:rFonts w:ascii="Times New Roman" w:eastAsia="Times New Roman" w:hAnsi="Times New Roman" w:cs="Times New Roman"/>
          <w:sz w:val="24"/>
          <w:szCs w:val="24"/>
        </w:rPr>
        <w:t xml:space="preserve">: </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non-invasive n</w:t>
      </w:r>
      <w:r>
        <w:rPr>
          <w:rFonts w:ascii="Times New Roman" w:eastAsia="Times New Roman" w:hAnsi="Times New Roman" w:cs="Times New Roman"/>
          <w:sz w:val="24"/>
          <w:szCs w:val="24"/>
        </w:rPr>
        <w:t xml:space="preserve">ature of the study and the minimal risk involved, </w:t>
      </w:r>
      <w:r w:rsidR="00E8643D">
        <w:rPr>
          <w:rFonts w:ascii="Times New Roman" w:eastAsia="Times New Roman" w:hAnsi="Times New Roman" w:cs="Times New Roman"/>
          <w:sz w:val="24"/>
          <w:szCs w:val="24"/>
        </w:rPr>
        <w:t>written</w:t>
      </w:r>
      <w:r>
        <w:rPr>
          <w:rFonts w:ascii="Times New Roman" w:eastAsia="Times New Roman" w:hAnsi="Times New Roman" w:cs="Times New Roman"/>
          <w:sz w:val="24"/>
          <w:szCs w:val="24"/>
        </w:rPr>
        <w:t xml:space="preserve"> informed consent was obtained from all participants prior to enrollment. Participants were adequately informed about the study objectives, procedures, potential risks, and their right to withdraw at </w:t>
      </w:r>
      <w:r>
        <w:rPr>
          <w:rFonts w:ascii="Times New Roman" w:eastAsia="Times New Roman" w:hAnsi="Times New Roman" w:cs="Times New Roman"/>
          <w:sz w:val="24"/>
          <w:szCs w:val="24"/>
        </w:rPr>
        <w:t>any time without consequences. Confidentiality and anonymity of all personal and laboratory data were strictly maintained throughout the study in accordance with internationally accepted ethical principles for human research.</w:t>
      </w:r>
    </w:p>
    <w:p w:rsidR="00900205" w:rsidRDefault="0068219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of Occupational Sun</w:t>
      </w:r>
      <w:r>
        <w:rPr>
          <w:rFonts w:ascii="Times New Roman" w:eastAsia="Times New Roman" w:hAnsi="Times New Roman" w:cs="Times New Roman"/>
          <w:sz w:val="24"/>
          <w:szCs w:val="24"/>
        </w:rPr>
        <w:t>light Exposure</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occupational sunlight exposure was assessed using duration of motorcycle riding, recorded in years, as a proxy indicator. Information on duration of riding was obtained through structured interviews. Where duration was reported in</w:t>
      </w:r>
      <w:r>
        <w:rPr>
          <w:rFonts w:ascii="Times New Roman" w:eastAsia="Times New Roman" w:hAnsi="Times New Roman" w:cs="Times New Roman"/>
          <w:sz w:val="24"/>
          <w:szCs w:val="24"/>
        </w:rPr>
        <w:t xml:space="preserve"> months or weeks, values were converted into years. Duration of riding was treated as a continuous variable and used to evaluate exposure–response relationships between cumulative sunlight exposure and biochemical parameters.</w:t>
      </w:r>
    </w:p>
    <w:p w:rsidR="00900205" w:rsidRDefault="0068219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Blood Sample Collection and </w:t>
      </w:r>
      <w:r>
        <w:rPr>
          <w:rFonts w:ascii="Times New Roman" w:eastAsia="Times New Roman" w:hAnsi="Times New Roman" w:cs="Times New Roman"/>
          <w:sz w:val="24"/>
          <w:szCs w:val="24"/>
        </w:rPr>
        <w:t>Processing</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Venous blood samples were collected from participants under aseptic conditions by trained personnel. Blood samples were drawn into appropriate collection tubes for serum and plasma separation. Samples were centrifuged, and the separated serum an</w:t>
      </w:r>
      <w:r>
        <w:rPr>
          <w:rFonts w:ascii="Times New Roman" w:eastAsia="Times New Roman" w:hAnsi="Times New Roman" w:cs="Times New Roman"/>
          <w:sz w:val="24"/>
          <w:szCs w:val="24"/>
        </w:rPr>
        <w:t>d plasma were stored under recommended conditions until laboratory analysis. All procedures followed standard laboratory protocols to ensure sample integrity and analytical accuracy.</w:t>
      </w:r>
    </w:p>
    <w:p w:rsidR="00900205" w:rsidRDefault="0068219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Analyses</w:t>
      </w:r>
    </w:p>
    <w:p w:rsidR="00900205" w:rsidRDefault="00682199">
      <w:pPr>
        <w:spacing w:before="240" w:after="240" w:line="240" w:lineRule="auto"/>
        <w:ind w:firstLine="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Oxidative stress markers, including superoxide dismut</w:t>
      </w:r>
      <w:r>
        <w:rPr>
          <w:rFonts w:ascii="Times New Roman" w:eastAsia="Times New Roman" w:hAnsi="Times New Roman" w:cs="Times New Roman"/>
          <w:sz w:val="24"/>
          <w:szCs w:val="24"/>
        </w:rPr>
        <w:t>ase (SOD), catalase (CAT), and malondialdehyde (MDA), were analyzed using validated spectrophotometric methods. Thyroid hormones, thyroid-stimulating hormone (TSH), triiodothyronine (T3), and thyroxine (T4), as well as selected pituitary hormones (luteiniz</w:t>
      </w:r>
      <w:r>
        <w:rPr>
          <w:rFonts w:ascii="Times New Roman" w:eastAsia="Times New Roman" w:hAnsi="Times New Roman" w:cs="Times New Roman"/>
          <w:sz w:val="24"/>
          <w:szCs w:val="24"/>
        </w:rPr>
        <w:t>ing hormone and prolactin) were quantified using enzyme-linked immunosorbent assay (ELISA) techniques. Laboratory analyses were performed using ELISA analyzers, ABIO analyzers, and spectrophotometers, strictly following manufacturers’ instructions. Interna</w:t>
      </w:r>
      <w:r>
        <w:rPr>
          <w:rFonts w:ascii="Times New Roman" w:eastAsia="Times New Roman" w:hAnsi="Times New Roman" w:cs="Times New Roman"/>
          <w:sz w:val="24"/>
          <w:szCs w:val="24"/>
        </w:rPr>
        <w:t>l quality-control procedures were applied throughout the analytical process to ensure reliability and reproducibility of results.</w:t>
      </w:r>
    </w:p>
    <w:p w:rsidR="00900205" w:rsidRDefault="00682199">
      <w:p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Analysis</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entered into Microsoft Excel and analyzed using the Statistical Package for the Social Sciences</w:t>
      </w:r>
      <w:r>
        <w:rPr>
          <w:rFonts w:ascii="Times New Roman" w:eastAsia="Times New Roman" w:hAnsi="Times New Roman" w:cs="Times New Roman"/>
          <w:sz w:val="24"/>
          <w:szCs w:val="24"/>
        </w:rPr>
        <w:t xml:space="preserve"> (SPSS). The distribution of continuous variables was assessed using the Shapiro–Wilk test. Because most variables showed non-normal distributions, results were summarized as median and interquartile range (IQR). Comparisons between motorcycle riders and c</w:t>
      </w:r>
      <w:r>
        <w:rPr>
          <w:rFonts w:ascii="Times New Roman" w:eastAsia="Times New Roman" w:hAnsi="Times New Roman" w:cs="Times New Roman"/>
          <w:sz w:val="24"/>
          <w:szCs w:val="24"/>
        </w:rPr>
        <w:t>ontrols were performed using the Mann–Whitney U test. Associations between duration of motorcycle riding and oxidative stress and endocrine parameters among riders were assessed using Spearman’s rank correlation coefficient. All statistical tests were two-</w:t>
      </w:r>
      <w:r>
        <w:rPr>
          <w:rFonts w:ascii="Times New Roman" w:eastAsia="Times New Roman" w:hAnsi="Times New Roman" w:cs="Times New Roman"/>
          <w:sz w:val="24"/>
          <w:szCs w:val="24"/>
        </w:rPr>
        <w:t>tailed, and statistical significance was set at p &lt; 0.05.</w:t>
      </w:r>
    </w:p>
    <w:p w:rsidR="00900205" w:rsidRDefault="00900205">
      <w:pPr>
        <w:spacing w:before="240" w:after="240" w:line="240" w:lineRule="auto"/>
        <w:ind w:firstLine="720"/>
        <w:jc w:val="both"/>
        <w:rPr>
          <w:rFonts w:ascii="Times New Roman" w:eastAsia="Times New Roman" w:hAnsi="Times New Roman" w:cs="Times New Roman"/>
          <w:sz w:val="24"/>
          <w:szCs w:val="24"/>
        </w:rPr>
      </w:pPr>
    </w:p>
    <w:p w:rsidR="00900205" w:rsidRDefault="00900205">
      <w:pPr>
        <w:spacing w:before="240" w:after="240" w:line="240" w:lineRule="auto"/>
        <w:ind w:firstLine="720"/>
        <w:jc w:val="both"/>
        <w:rPr>
          <w:rFonts w:ascii="Times New Roman" w:eastAsia="Times New Roman" w:hAnsi="Times New Roman" w:cs="Times New Roman"/>
          <w:sz w:val="24"/>
          <w:szCs w:val="24"/>
        </w:rPr>
      </w:pPr>
    </w:p>
    <w:p w:rsidR="00900205" w:rsidRDefault="00682199">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150 male participants were included in this analysis, comprising 100 commercial motorcycle riders and 50 age-comparable controls. Among riders, the duration of motorcycle riding</w:t>
      </w:r>
      <w:r>
        <w:rPr>
          <w:rFonts w:ascii="Times New Roman" w:eastAsia="Times New Roman" w:hAnsi="Times New Roman" w:cs="Times New Roman"/>
          <w:sz w:val="24"/>
          <w:szCs w:val="24"/>
        </w:rPr>
        <w:t xml:space="preserve"> varied widely, indicating heterogeneous cumulative occupational sunlight exposure within the study population. This variability provided a suitable basis for evaluating exposure–response relationships between riding duration and oxidative stress and endoc</w:t>
      </w:r>
      <w:r>
        <w:rPr>
          <w:rFonts w:ascii="Times New Roman" w:eastAsia="Times New Roman" w:hAnsi="Times New Roman" w:cs="Times New Roman"/>
          <w:sz w:val="24"/>
          <w:szCs w:val="24"/>
        </w:rPr>
        <w:t>rine parameters.</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Comparative analysis revealed marked differences in oxidative stress profiles between commercial motorcycle riders and controls. Riders demonstrated significantly lower antioxidant enzyme activities, with reduced levels of superoxide </w:t>
      </w:r>
      <w:r>
        <w:rPr>
          <w:rFonts w:ascii="Times New Roman" w:eastAsia="Times New Roman" w:hAnsi="Times New Roman" w:cs="Times New Roman"/>
          <w:sz w:val="24"/>
          <w:szCs w:val="24"/>
        </w:rPr>
        <w:t xml:space="preserve">dismutase (SOD) and catalase (CAT), alongside significantly higher malondialdehyde (MDA) concentrations, indicating increased lipid </w:t>
      </w:r>
      <w:r>
        <w:rPr>
          <w:rFonts w:ascii="Times New Roman" w:eastAsia="Times New Roman" w:hAnsi="Times New Roman" w:cs="Times New Roman"/>
          <w:sz w:val="24"/>
          <w:szCs w:val="24"/>
        </w:rPr>
        <w:lastRenderedPageBreak/>
        <w:t>peroxidation. These findings reflect an imbalance between oxidative burden and antioxidant defense among riders.</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Exposure–re</w:t>
      </w:r>
      <w:r>
        <w:rPr>
          <w:rFonts w:ascii="Times New Roman" w:eastAsia="Times New Roman" w:hAnsi="Times New Roman" w:cs="Times New Roman"/>
          <w:sz w:val="24"/>
          <w:szCs w:val="24"/>
        </w:rPr>
        <w:t>sponse analysis showed that duration of motorcycle riding was significantly and inversely correlated with antioxidant enzyme activity. Riding duration demonstrated a moderate negative correlation with SOD and a strong negative correlation with CAT. In cont</w:t>
      </w:r>
      <w:r>
        <w:rPr>
          <w:rFonts w:ascii="Times New Roman" w:eastAsia="Times New Roman" w:hAnsi="Times New Roman" w:cs="Times New Roman"/>
          <w:sz w:val="24"/>
          <w:szCs w:val="24"/>
        </w:rPr>
        <w:t>rast, MDA exhibited a strong positive correlation with riding duration, indicating progressive lipid peroxidation with increasing cumulative occupational sunlight exposure.</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of thyroid function revealed significant alterations in circulating thyr</w:t>
      </w:r>
      <w:r>
        <w:rPr>
          <w:rFonts w:ascii="Times New Roman" w:eastAsia="Times New Roman" w:hAnsi="Times New Roman" w:cs="Times New Roman"/>
          <w:sz w:val="24"/>
          <w:szCs w:val="24"/>
        </w:rPr>
        <w:t>oid hormone levels among riders. Median concentrations of triiodothyronine (T3) and thyroxine (T4) were significantly higher in riders compared with controls, while thyroid-stimulating hormone (TSH) did not differ significantly between groups. This pattern</w:t>
      </w:r>
      <w:r>
        <w:rPr>
          <w:rFonts w:ascii="Times New Roman" w:eastAsia="Times New Roman" w:hAnsi="Times New Roman" w:cs="Times New Roman"/>
          <w:sz w:val="24"/>
          <w:szCs w:val="24"/>
        </w:rPr>
        <w:t xml:space="preserve"> suggests peripheral thyroid hormone modulation rather than overt central thyroid axis dysfunction.</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 analysis further demonstrated significant positive associations between duration of motorcycle riding and both T3 and T4 levels. TSH showed no s</w:t>
      </w:r>
      <w:r>
        <w:rPr>
          <w:rFonts w:ascii="Times New Roman" w:eastAsia="Times New Roman" w:hAnsi="Times New Roman" w:cs="Times New Roman"/>
          <w:sz w:val="24"/>
          <w:szCs w:val="24"/>
        </w:rPr>
        <w:t>ignificant correlation with riding duration. These findings indicate that cumulative occupational sunlight exposure is associated with progressive increases in peripheral thyroid hormone levels independent of TSH-mediated regulation.</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of pituitar</w:t>
      </w:r>
      <w:r>
        <w:rPr>
          <w:rFonts w:ascii="Times New Roman" w:eastAsia="Times New Roman" w:hAnsi="Times New Roman" w:cs="Times New Roman"/>
          <w:sz w:val="24"/>
          <w:szCs w:val="24"/>
        </w:rPr>
        <w:t>y hormones revealed selective endocrine alterations among riders. Luteinizing hormone (LH) and prolactin concentrations were significantly lower in riders compared with controls. Duration of riding exhibited significant inverse correlations with both LH an</w:t>
      </w:r>
      <w:r>
        <w:rPr>
          <w:rFonts w:ascii="Times New Roman" w:eastAsia="Times New Roman" w:hAnsi="Times New Roman" w:cs="Times New Roman"/>
          <w:sz w:val="24"/>
          <w:szCs w:val="24"/>
        </w:rPr>
        <w:t>d prolactin levels, suggesting suppression of pituitary hormone output with increasing cumulative exposure. No evidence of exposure-related amplification of pituitary hormones was observed.</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Taken together, the results demonstrate a consistent exposure-depe</w:t>
      </w:r>
      <w:r>
        <w:rPr>
          <w:rFonts w:ascii="Times New Roman" w:eastAsia="Times New Roman" w:hAnsi="Times New Roman" w:cs="Times New Roman"/>
          <w:sz w:val="24"/>
          <w:szCs w:val="24"/>
        </w:rPr>
        <w:t>ndent pattern linking cumulative occupational sunlight exposure with oxidative stress and endocrine dysregulation. Progressive depletion of antioxidant defenses and increasing lipid peroxidation were accompanied by thyroid hormone elevation and pituitary h</w:t>
      </w:r>
      <w:r>
        <w:rPr>
          <w:rFonts w:ascii="Times New Roman" w:eastAsia="Times New Roman" w:hAnsi="Times New Roman" w:cs="Times New Roman"/>
          <w:sz w:val="24"/>
          <w:szCs w:val="24"/>
        </w:rPr>
        <w:t>ormone suppression as riding duration increased. These findings support a duration-dependent biological response to chronic occupational sunlight exposure, highlighting oxidative stress as a central feature associated with endocrine modulation among commer</w:t>
      </w:r>
      <w:r>
        <w:rPr>
          <w:rFonts w:ascii="Times New Roman" w:eastAsia="Times New Roman" w:hAnsi="Times New Roman" w:cs="Times New Roman"/>
          <w:sz w:val="24"/>
          <w:szCs w:val="24"/>
        </w:rPr>
        <w:t>cial motorcycle riders.</w:t>
      </w:r>
    </w:p>
    <w:p w:rsidR="00900205" w:rsidRDefault="00900205">
      <w:pPr>
        <w:spacing w:line="240" w:lineRule="auto"/>
        <w:rPr>
          <w:rFonts w:ascii="Times New Roman" w:eastAsia="Times New Roman" w:hAnsi="Times New Roman" w:cs="Times New Roman"/>
          <w:sz w:val="24"/>
          <w:szCs w:val="24"/>
        </w:rPr>
      </w:pPr>
    </w:p>
    <w:tbl>
      <w:tblPr>
        <w:tblStyle w:val="Style12"/>
        <w:tblW w:w="9735" w:type="dxa"/>
        <w:tblInd w:w="-135" w:type="dxa"/>
        <w:tblLayout w:type="fixed"/>
        <w:tblLook w:val="04A0" w:firstRow="1" w:lastRow="0" w:firstColumn="1" w:lastColumn="0" w:noHBand="0" w:noVBand="1"/>
      </w:tblPr>
      <w:tblGrid>
        <w:gridCol w:w="2415"/>
        <w:gridCol w:w="1920"/>
        <w:gridCol w:w="2115"/>
        <w:gridCol w:w="2085"/>
        <w:gridCol w:w="1200"/>
      </w:tblGrid>
      <w:tr w:rsidR="00900205">
        <w:trPr>
          <w:trHeight w:val="480"/>
        </w:trPr>
        <w:tc>
          <w:tcPr>
            <w:tcW w:w="9735" w:type="dxa"/>
            <w:gridSpan w:val="5"/>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Oxidative stress markers among commercial motorcycle riders and controls</w:t>
            </w:r>
          </w:p>
        </w:tc>
      </w:tr>
      <w:tr w:rsidR="00900205">
        <w:trPr>
          <w:trHeight w:val="626"/>
        </w:trPr>
        <w:tc>
          <w:tcPr>
            <w:tcW w:w="241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192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Riders (n = 100) Median (IQR)</w:t>
            </w:r>
          </w:p>
        </w:tc>
        <w:tc>
          <w:tcPr>
            <w:tcW w:w="211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Controls (n = 50) Median (IQR)</w:t>
            </w:r>
          </w:p>
        </w:tc>
        <w:tc>
          <w:tcPr>
            <w:tcW w:w="208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Test statistic</w:t>
            </w:r>
          </w:p>
        </w:tc>
        <w:tc>
          <w:tcPr>
            <w:tcW w:w="120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p-value</w:t>
            </w:r>
          </w:p>
        </w:tc>
      </w:tr>
      <w:tr w:rsidR="00900205">
        <w:trPr>
          <w:trHeight w:val="330"/>
        </w:trPr>
        <w:tc>
          <w:tcPr>
            <w:tcW w:w="241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SOD (U/mg protein)</w:t>
            </w:r>
          </w:p>
        </w:tc>
        <w:tc>
          <w:tcPr>
            <w:tcW w:w="192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(1.8–7.6)</w:t>
            </w:r>
          </w:p>
        </w:tc>
        <w:tc>
          <w:tcPr>
            <w:tcW w:w="211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 (6.4–14.2)</w:t>
            </w:r>
          </w:p>
        </w:tc>
        <w:tc>
          <w:tcPr>
            <w:tcW w:w="208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20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900205">
        <w:trPr>
          <w:trHeight w:val="345"/>
        </w:trPr>
        <w:tc>
          <w:tcPr>
            <w:tcW w:w="241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 (U/mg protein)</w:t>
            </w:r>
          </w:p>
        </w:tc>
        <w:tc>
          <w:tcPr>
            <w:tcW w:w="192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(4.0–12.6)</w:t>
            </w:r>
          </w:p>
        </w:tc>
        <w:tc>
          <w:tcPr>
            <w:tcW w:w="211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56.4 (45.2–70.6)</w:t>
            </w:r>
          </w:p>
        </w:tc>
        <w:tc>
          <w:tcPr>
            <w:tcW w:w="208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20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900205">
        <w:trPr>
          <w:trHeight w:val="785"/>
        </w:trPr>
        <w:tc>
          <w:tcPr>
            <w:tcW w:w="241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MDA (U/mg protein)</w:t>
            </w:r>
          </w:p>
        </w:tc>
        <w:tc>
          <w:tcPr>
            <w:tcW w:w="192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(4.5–18.2)</w:t>
            </w:r>
          </w:p>
        </w:tc>
        <w:tc>
          <w:tcPr>
            <w:tcW w:w="211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(2.9–10.2)</w:t>
            </w:r>
          </w:p>
        </w:tc>
        <w:tc>
          <w:tcPr>
            <w:tcW w:w="208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20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Values are presented as median and interquartile range (IQR). SOD, superoxide </w:t>
      </w:r>
      <w:r>
        <w:rPr>
          <w:rFonts w:ascii="Times New Roman" w:eastAsia="Times New Roman" w:hAnsi="Times New Roman" w:cs="Times New Roman"/>
          <w:sz w:val="24"/>
          <w:szCs w:val="24"/>
        </w:rPr>
        <w:t xml:space="preserve">dismutase; CAT, catalase; MDA, malondialdehyde. Oxidative stress markers were measured using validated spectrophotometric methods. Comparisons between commercial motorcycle riders and controls were performed using the Mann–Whitney U test due to non-normal </w:t>
      </w:r>
      <w:r>
        <w:rPr>
          <w:rFonts w:ascii="Times New Roman" w:eastAsia="Times New Roman" w:hAnsi="Times New Roman" w:cs="Times New Roman"/>
          <w:sz w:val="24"/>
          <w:szCs w:val="24"/>
        </w:rPr>
        <w:t>distribution of variables. A p-value &lt; 0.05 was considered statistically significant.</w:t>
      </w:r>
    </w:p>
    <w:p w:rsidR="00900205" w:rsidRDefault="00900205">
      <w:pPr>
        <w:spacing w:before="240" w:after="240" w:line="240" w:lineRule="auto"/>
        <w:jc w:val="both"/>
        <w:rPr>
          <w:rFonts w:ascii="Times New Roman" w:eastAsia="Times New Roman" w:hAnsi="Times New Roman" w:cs="Times New Roman"/>
          <w:sz w:val="24"/>
          <w:szCs w:val="24"/>
        </w:rPr>
      </w:pPr>
    </w:p>
    <w:p w:rsidR="00900205" w:rsidRDefault="00682199">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Thyroid hormone levels among commercial motorcycle riders and controls</w:t>
      </w:r>
    </w:p>
    <w:tbl>
      <w:tblPr>
        <w:tblStyle w:val="Style13"/>
        <w:tblW w:w="9360" w:type="dxa"/>
        <w:tblInd w:w="0" w:type="dxa"/>
        <w:tblLayout w:type="fixed"/>
        <w:tblLook w:val="04A0" w:firstRow="1" w:lastRow="0" w:firstColumn="1" w:lastColumn="0" w:noHBand="0" w:noVBand="1"/>
      </w:tblPr>
      <w:tblGrid>
        <w:gridCol w:w="1635"/>
        <w:gridCol w:w="2235"/>
        <w:gridCol w:w="2280"/>
        <w:gridCol w:w="2130"/>
        <w:gridCol w:w="1080"/>
      </w:tblGrid>
      <w:tr w:rsidR="00900205">
        <w:trPr>
          <w:trHeight w:val="705"/>
        </w:trPr>
        <w:tc>
          <w:tcPr>
            <w:tcW w:w="163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223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Riders (n = 100) Median (IQR)</w:t>
            </w:r>
          </w:p>
        </w:tc>
        <w:tc>
          <w:tcPr>
            <w:tcW w:w="22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Controls (n = 50) Median (IQR)</w:t>
            </w:r>
          </w:p>
        </w:tc>
        <w:tc>
          <w:tcPr>
            <w:tcW w:w="21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Test statistic</w:t>
            </w:r>
          </w:p>
        </w:tc>
        <w:tc>
          <w:tcPr>
            <w:tcW w:w="10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p-v</w:t>
            </w:r>
            <w:r>
              <w:rPr>
                <w:rFonts w:ascii="Times New Roman" w:eastAsia="Times New Roman" w:hAnsi="Times New Roman" w:cs="Times New Roman"/>
                <w:b/>
                <w:bCs/>
                <w:sz w:val="24"/>
                <w:szCs w:val="24"/>
              </w:rPr>
              <w:t>alue</w:t>
            </w:r>
          </w:p>
        </w:tc>
      </w:tr>
      <w:tr w:rsidR="00900205">
        <w:trPr>
          <w:trHeight w:val="535"/>
        </w:trPr>
        <w:tc>
          <w:tcPr>
            <w:tcW w:w="163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TSH (nmol/L)</w:t>
            </w:r>
          </w:p>
        </w:tc>
        <w:tc>
          <w:tcPr>
            <w:tcW w:w="223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(44–96)</w:t>
            </w:r>
          </w:p>
        </w:tc>
        <w:tc>
          <w:tcPr>
            <w:tcW w:w="22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(56–88)</w:t>
            </w:r>
          </w:p>
        </w:tc>
        <w:tc>
          <w:tcPr>
            <w:tcW w:w="21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0.192</w:t>
            </w:r>
          </w:p>
        </w:tc>
      </w:tr>
      <w:tr w:rsidR="00900205">
        <w:trPr>
          <w:trHeight w:val="285"/>
        </w:trPr>
        <w:tc>
          <w:tcPr>
            <w:tcW w:w="163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T3 (ng/dL)</w:t>
            </w:r>
          </w:p>
        </w:tc>
        <w:tc>
          <w:tcPr>
            <w:tcW w:w="223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 (87–302)</w:t>
            </w:r>
          </w:p>
        </w:tc>
        <w:tc>
          <w:tcPr>
            <w:tcW w:w="22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 (75–150)</w:t>
            </w:r>
          </w:p>
        </w:tc>
        <w:tc>
          <w:tcPr>
            <w:tcW w:w="21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900205">
        <w:trPr>
          <w:trHeight w:val="785"/>
        </w:trPr>
        <w:tc>
          <w:tcPr>
            <w:tcW w:w="163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T4 (µg/dL)</w:t>
            </w:r>
          </w:p>
        </w:tc>
        <w:tc>
          <w:tcPr>
            <w:tcW w:w="223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(6.7–18.3)</w:t>
            </w:r>
          </w:p>
        </w:tc>
        <w:tc>
          <w:tcPr>
            <w:tcW w:w="22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 (3.4–10.4)</w:t>
            </w:r>
          </w:p>
        </w:tc>
        <w:tc>
          <w:tcPr>
            <w:tcW w:w="21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rsidR="00900205" w:rsidRDefault="00682199">
      <w:pPr>
        <w:spacing w:before="240" w:after="24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Values are presented as median and interquartile range (IQR). TSH, </w:t>
      </w:r>
      <w:r>
        <w:rPr>
          <w:rFonts w:ascii="Times New Roman" w:eastAsia="Times New Roman" w:hAnsi="Times New Roman" w:cs="Times New Roman"/>
          <w:sz w:val="24"/>
          <w:szCs w:val="24"/>
        </w:rPr>
        <w:t xml:space="preserve">thyroid-stimulating hormone; T3, triiodothyronine; T4, thyroxine. Thyroid hormone levels were quantified using enzyme-linked immunosorbent assay (ELISA) methods following manufacturers’ instructions. Group comparisons were performed using the Mann–Whitney </w:t>
      </w:r>
      <w:r>
        <w:rPr>
          <w:rFonts w:ascii="Times New Roman" w:eastAsia="Times New Roman" w:hAnsi="Times New Roman" w:cs="Times New Roman"/>
          <w:sz w:val="24"/>
          <w:szCs w:val="24"/>
        </w:rPr>
        <w:t>U test due to non-normal data distribution. Statistical significance was defined as p &lt; 0.05.</w:t>
      </w:r>
    </w:p>
    <w:p w:rsidR="00900205" w:rsidRDefault="00900205">
      <w:pPr>
        <w:spacing w:before="240" w:after="240" w:line="240" w:lineRule="auto"/>
        <w:jc w:val="both"/>
        <w:rPr>
          <w:rFonts w:ascii="Times New Roman" w:eastAsia="Times New Roman" w:hAnsi="Times New Roman" w:cs="Times New Roman"/>
          <w:b/>
          <w:bCs/>
          <w:sz w:val="24"/>
          <w:szCs w:val="24"/>
        </w:rPr>
      </w:pPr>
    </w:p>
    <w:p w:rsidR="00900205" w:rsidRDefault="00682199">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Pituitary hormone levels among commercial motorcycle riders and controls</w:t>
      </w:r>
    </w:p>
    <w:tbl>
      <w:tblPr>
        <w:tblStyle w:val="Style14"/>
        <w:tblW w:w="9375" w:type="dxa"/>
        <w:tblInd w:w="0" w:type="dxa"/>
        <w:tblLayout w:type="fixed"/>
        <w:tblLook w:val="04A0" w:firstRow="1" w:lastRow="0" w:firstColumn="1" w:lastColumn="0" w:noHBand="0" w:noVBand="1"/>
      </w:tblPr>
      <w:tblGrid>
        <w:gridCol w:w="1680"/>
        <w:gridCol w:w="2205"/>
        <w:gridCol w:w="2505"/>
        <w:gridCol w:w="1980"/>
        <w:gridCol w:w="1005"/>
      </w:tblGrid>
      <w:tr w:rsidR="00900205">
        <w:trPr>
          <w:trHeight w:val="750"/>
        </w:trPr>
        <w:tc>
          <w:tcPr>
            <w:tcW w:w="16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220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Riders (n = 100) Median (IQR)</w:t>
            </w:r>
          </w:p>
        </w:tc>
        <w:tc>
          <w:tcPr>
            <w:tcW w:w="250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Controls (n = 50) Median (IQR)</w:t>
            </w:r>
          </w:p>
        </w:tc>
        <w:tc>
          <w:tcPr>
            <w:tcW w:w="19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Test sta</w:t>
            </w:r>
            <w:r>
              <w:rPr>
                <w:rFonts w:ascii="Times New Roman" w:eastAsia="Times New Roman" w:hAnsi="Times New Roman" w:cs="Times New Roman"/>
                <w:b/>
                <w:bCs/>
                <w:sz w:val="24"/>
                <w:szCs w:val="24"/>
              </w:rPr>
              <w:t>tistic</w:t>
            </w:r>
          </w:p>
        </w:tc>
        <w:tc>
          <w:tcPr>
            <w:tcW w:w="100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p-value</w:t>
            </w:r>
          </w:p>
        </w:tc>
      </w:tr>
      <w:tr w:rsidR="00900205">
        <w:trPr>
          <w:trHeight w:val="450"/>
        </w:trPr>
        <w:tc>
          <w:tcPr>
            <w:tcW w:w="16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 (</w:t>
            </w:r>
            <w:proofErr w:type="spellStart"/>
            <w:r>
              <w:rPr>
                <w:rFonts w:ascii="Times New Roman" w:eastAsia="Times New Roman" w:hAnsi="Times New Roman" w:cs="Times New Roman"/>
                <w:sz w:val="24"/>
                <w:szCs w:val="24"/>
              </w:rPr>
              <w:t>mIU</w:t>
            </w:r>
            <w:proofErr w:type="spellEnd"/>
            <w:r>
              <w:rPr>
                <w:rFonts w:ascii="Times New Roman" w:eastAsia="Times New Roman" w:hAnsi="Times New Roman" w:cs="Times New Roman"/>
                <w:sz w:val="24"/>
                <w:szCs w:val="24"/>
              </w:rPr>
              <w:t>/mL)</w:t>
            </w:r>
          </w:p>
        </w:tc>
        <w:tc>
          <w:tcPr>
            <w:tcW w:w="220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(1.2–4.8)</w:t>
            </w:r>
          </w:p>
        </w:tc>
        <w:tc>
          <w:tcPr>
            <w:tcW w:w="250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(2.0–6.6)</w:t>
            </w:r>
          </w:p>
        </w:tc>
        <w:tc>
          <w:tcPr>
            <w:tcW w:w="19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0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r>
      <w:tr w:rsidR="00900205">
        <w:trPr>
          <w:trHeight w:val="785"/>
        </w:trPr>
        <w:tc>
          <w:tcPr>
            <w:tcW w:w="16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Prolactin (ng/mL)</w:t>
            </w:r>
          </w:p>
        </w:tc>
        <w:tc>
          <w:tcPr>
            <w:tcW w:w="220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(0.7–4.4)</w:t>
            </w:r>
          </w:p>
        </w:tc>
        <w:tc>
          <w:tcPr>
            <w:tcW w:w="250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(1.0–7.1)</w:t>
            </w:r>
          </w:p>
        </w:tc>
        <w:tc>
          <w:tcPr>
            <w:tcW w:w="198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Mann–Whitney U</w:t>
            </w:r>
          </w:p>
        </w:tc>
        <w:tc>
          <w:tcPr>
            <w:tcW w:w="100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p>
        </w:tc>
      </w:tr>
    </w:tbl>
    <w:p w:rsidR="00900205" w:rsidRDefault="00900205">
      <w:pPr>
        <w:spacing w:line="240" w:lineRule="auto"/>
        <w:jc w:val="both"/>
        <w:rPr>
          <w:rFonts w:ascii="Times New Roman" w:eastAsia="Times New Roman" w:hAnsi="Times New Roman" w:cs="Times New Roman"/>
          <w:sz w:val="24"/>
          <w:szCs w:val="24"/>
        </w:rPr>
      </w:pPr>
    </w:p>
    <w:p w:rsidR="00900205" w:rsidRDefault="00682199">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Values are presented as median and interquartile range (IQR). LH, luteinizing hormone. Pituitary hormone </w:t>
      </w:r>
      <w:r>
        <w:rPr>
          <w:rFonts w:ascii="Times New Roman" w:eastAsia="Times New Roman" w:hAnsi="Times New Roman" w:cs="Times New Roman"/>
          <w:sz w:val="24"/>
          <w:szCs w:val="24"/>
        </w:rPr>
        <w:t>concentrations were measured using enzyme-linked immunosorbent assay (ELISA) techniques according to manufacturers’ protocols. Comparisons between commercial motorcycle riders and controls were performed using the Mann–Whitney U test due to non-normal data</w:t>
      </w:r>
      <w:r>
        <w:rPr>
          <w:rFonts w:ascii="Times New Roman" w:eastAsia="Times New Roman" w:hAnsi="Times New Roman" w:cs="Times New Roman"/>
          <w:sz w:val="24"/>
          <w:szCs w:val="24"/>
        </w:rPr>
        <w:t xml:space="preserve"> distribution. A p-value &lt; 0.05 was considered statistically significant.</w:t>
      </w:r>
    </w:p>
    <w:p w:rsidR="00900205" w:rsidRDefault="00900205">
      <w:pPr>
        <w:spacing w:line="240" w:lineRule="auto"/>
        <w:jc w:val="both"/>
        <w:rPr>
          <w:rFonts w:ascii="Times New Roman" w:eastAsia="Times New Roman" w:hAnsi="Times New Roman" w:cs="Times New Roman"/>
          <w:sz w:val="24"/>
          <w:szCs w:val="24"/>
        </w:rPr>
      </w:pPr>
    </w:p>
    <w:p w:rsidR="00900205" w:rsidRDefault="00682199">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Spearman correlation between duration of motorcycle riding and oxidative stress and endocrine parameters among riders</w:t>
      </w:r>
    </w:p>
    <w:tbl>
      <w:tblPr>
        <w:tblStyle w:val="Style15"/>
        <w:tblW w:w="9135" w:type="dxa"/>
        <w:tblInd w:w="0" w:type="dxa"/>
        <w:tblLayout w:type="fixed"/>
        <w:tblLook w:val="04A0" w:firstRow="1" w:lastRow="0" w:firstColumn="1" w:lastColumn="0" w:noHBand="0" w:noVBand="1"/>
      </w:tblPr>
      <w:tblGrid>
        <w:gridCol w:w="2430"/>
        <w:gridCol w:w="2010"/>
        <w:gridCol w:w="2370"/>
        <w:gridCol w:w="2325"/>
      </w:tblGrid>
      <w:tr w:rsidR="00900205">
        <w:trPr>
          <w:trHeight w:val="450"/>
        </w:trPr>
        <w:tc>
          <w:tcPr>
            <w:tcW w:w="24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201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Spearman’s ρ</w:t>
            </w:r>
          </w:p>
        </w:tc>
        <w:tc>
          <w:tcPr>
            <w:tcW w:w="237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p-value</w:t>
            </w:r>
          </w:p>
        </w:tc>
        <w:tc>
          <w:tcPr>
            <w:tcW w:w="232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Direction</w:t>
            </w:r>
          </w:p>
        </w:tc>
      </w:tr>
      <w:tr w:rsidR="00900205">
        <w:trPr>
          <w:trHeight w:val="297"/>
        </w:trPr>
        <w:tc>
          <w:tcPr>
            <w:tcW w:w="24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SOD</w:t>
            </w:r>
          </w:p>
        </w:tc>
        <w:tc>
          <w:tcPr>
            <w:tcW w:w="201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0.46</w:t>
            </w:r>
          </w:p>
        </w:tc>
        <w:tc>
          <w:tcPr>
            <w:tcW w:w="237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negative</w:t>
            </w:r>
          </w:p>
        </w:tc>
      </w:tr>
      <w:tr w:rsidR="00900205">
        <w:trPr>
          <w:trHeight w:val="327"/>
        </w:trPr>
        <w:tc>
          <w:tcPr>
            <w:tcW w:w="24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w:t>
            </w:r>
          </w:p>
        </w:tc>
        <w:tc>
          <w:tcPr>
            <w:tcW w:w="201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0.62</w:t>
            </w:r>
          </w:p>
        </w:tc>
        <w:tc>
          <w:tcPr>
            <w:tcW w:w="237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 negative</w:t>
            </w:r>
          </w:p>
        </w:tc>
      </w:tr>
      <w:tr w:rsidR="00900205">
        <w:trPr>
          <w:trHeight w:val="267"/>
        </w:trPr>
        <w:tc>
          <w:tcPr>
            <w:tcW w:w="24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MDA</w:t>
            </w:r>
          </w:p>
        </w:tc>
        <w:tc>
          <w:tcPr>
            <w:tcW w:w="201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237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 positive</w:t>
            </w:r>
          </w:p>
        </w:tc>
      </w:tr>
      <w:tr w:rsidR="00900205">
        <w:trPr>
          <w:trHeight w:val="237"/>
        </w:trPr>
        <w:tc>
          <w:tcPr>
            <w:tcW w:w="24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T3</w:t>
            </w:r>
          </w:p>
        </w:tc>
        <w:tc>
          <w:tcPr>
            <w:tcW w:w="201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237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positive</w:t>
            </w:r>
          </w:p>
        </w:tc>
      </w:tr>
      <w:tr w:rsidR="00900205">
        <w:trPr>
          <w:trHeight w:val="162"/>
        </w:trPr>
        <w:tc>
          <w:tcPr>
            <w:tcW w:w="24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p>
        </w:tc>
        <w:tc>
          <w:tcPr>
            <w:tcW w:w="201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237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32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positive</w:t>
            </w:r>
          </w:p>
        </w:tc>
      </w:tr>
      <w:tr w:rsidR="00900205">
        <w:trPr>
          <w:trHeight w:val="330"/>
        </w:trPr>
        <w:tc>
          <w:tcPr>
            <w:tcW w:w="24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TSH</w:t>
            </w:r>
          </w:p>
        </w:tc>
        <w:tc>
          <w:tcPr>
            <w:tcW w:w="201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0.06</w:t>
            </w:r>
          </w:p>
        </w:tc>
        <w:tc>
          <w:tcPr>
            <w:tcW w:w="237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0.542</w:t>
            </w:r>
          </w:p>
        </w:tc>
        <w:tc>
          <w:tcPr>
            <w:tcW w:w="232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significant</w:t>
            </w:r>
          </w:p>
        </w:tc>
      </w:tr>
      <w:tr w:rsidR="00900205">
        <w:trPr>
          <w:trHeight w:val="267"/>
        </w:trPr>
        <w:tc>
          <w:tcPr>
            <w:tcW w:w="24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w:t>
            </w:r>
          </w:p>
        </w:tc>
        <w:tc>
          <w:tcPr>
            <w:tcW w:w="201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0.24</w:t>
            </w:r>
          </w:p>
        </w:tc>
        <w:tc>
          <w:tcPr>
            <w:tcW w:w="237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c>
          <w:tcPr>
            <w:tcW w:w="232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Weak negative</w:t>
            </w:r>
          </w:p>
        </w:tc>
      </w:tr>
      <w:tr w:rsidR="00900205">
        <w:trPr>
          <w:trHeight w:val="515"/>
        </w:trPr>
        <w:tc>
          <w:tcPr>
            <w:tcW w:w="243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Prolactin</w:t>
            </w:r>
          </w:p>
        </w:tc>
        <w:tc>
          <w:tcPr>
            <w:tcW w:w="201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Gungsuh" w:eastAsia="Gungsuh" w:hAnsi="Gungsuh" w:cs="Gungsuh"/>
                <w:sz w:val="24"/>
                <w:szCs w:val="24"/>
              </w:rPr>
              <w:t>−</w:t>
            </w:r>
            <w:r>
              <w:rPr>
                <w:rFonts w:ascii="Gungsuh" w:eastAsia="Gungsuh" w:hAnsi="Gungsuh" w:cs="Gungsuh"/>
                <w:sz w:val="24"/>
                <w:szCs w:val="24"/>
              </w:rPr>
              <w:t>0.26</w:t>
            </w:r>
          </w:p>
        </w:tc>
        <w:tc>
          <w:tcPr>
            <w:tcW w:w="2370"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2325" w:type="dxa"/>
            <w:tcBorders>
              <w:top w:val="nil"/>
              <w:left w:val="nil"/>
              <w:bottom w:val="nil"/>
              <w:right w:val="nil"/>
            </w:tcBorders>
            <w:tcMar>
              <w:top w:w="100" w:type="dxa"/>
              <w:left w:w="100" w:type="dxa"/>
              <w:bottom w:w="100" w:type="dxa"/>
              <w:right w:w="100" w:type="dxa"/>
            </w:tcMar>
          </w:tcPr>
          <w:p w:rsidR="00900205" w:rsidRDefault="0068219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Weak </w:t>
            </w:r>
            <w:r>
              <w:rPr>
                <w:rFonts w:ascii="Times New Roman" w:eastAsia="Times New Roman" w:hAnsi="Times New Roman" w:cs="Times New Roman"/>
                <w:sz w:val="24"/>
                <w:szCs w:val="24"/>
              </w:rPr>
              <w:t>negative</w:t>
            </w:r>
          </w:p>
        </w:tc>
      </w:tr>
    </w:tbl>
    <w:p w:rsidR="00900205" w:rsidRDefault="00900205">
      <w:pPr>
        <w:spacing w:after="80" w:line="240" w:lineRule="auto"/>
        <w:ind w:firstLine="720"/>
        <w:jc w:val="both"/>
        <w:rPr>
          <w:rFonts w:ascii="Times New Roman" w:eastAsia="Cardo" w:hAnsi="Times New Roman" w:cs="Times New Roman"/>
          <w:sz w:val="24"/>
          <w:szCs w:val="24"/>
        </w:rPr>
      </w:pPr>
    </w:p>
    <w:p w:rsidR="00900205" w:rsidRDefault="00682199">
      <w:pPr>
        <w:spacing w:after="80" w:line="240" w:lineRule="auto"/>
        <w:ind w:firstLine="720"/>
        <w:jc w:val="both"/>
        <w:rPr>
          <w:rFonts w:ascii="Times New Roman" w:eastAsia="Times New Roman" w:hAnsi="Times New Roman" w:cs="Times New Roman"/>
          <w:sz w:val="24"/>
          <w:szCs w:val="24"/>
        </w:rPr>
      </w:pPr>
      <w:r>
        <w:rPr>
          <w:rFonts w:ascii="Times New Roman" w:eastAsia="Cardo" w:hAnsi="Times New Roman" w:cs="Times New Roman"/>
          <w:sz w:val="24"/>
          <w:szCs w:val="24"/>
        </w:rPr>
        <w:t xml:space="preserve">Spearman’s rank correlation coefficient (ρ) was used to assess the association between duration of motorcycle riding (years) and oxidative stress and endocrine parameters among riders (n = 100). SOD, superoxide dismutase; CAT, catalase; MDA, </w:t>
      </w:r>
      <w:r>
        <w:rPr>
          <w:rFonts w:ascii="Times New Roman" w:eastAsia="Cardo" w:hAnsi="Times New Roman" w:cs="Times New Roman"/>
          <w:sz w:val="24"/>
          <w:szCs w:val="24"/>
        </w:rPr>
        <w:t>malondialdehyde; T3, triiodothyronine; T4, thyroxine; TSH, thyroid-stimulating hormone; LH, luteinizing hormone. Correlation strength was interpreted as weak (|ρ| = 0.10–0.29), moderate (|ρ| = 0.30–0.49), and strong (|ρ| ≥ 0.50). A p-value &lt; 0.05 was consi</w:t>
      </w:r>
      <w:r>
        <w:rPr>
          <w:rFonts w:ascii="Times New Roman" w:eastAsia="Cardo" w:hAnsi="Times New Roman" w:cs="Times New Roman"/>
          <w:sz w:val="24"/>
          <w:szCs w:val="24"/>
        </w:rPr>
        <w:t>dered statistically significant.</w:t>
      </w:r>
    </w:p>
    <w:p w:rsidR="00900205" w:rsidRDefault="00900205">
      <w:pPr>
        <w:spacing w:after="80" w:line="240" w:lineRule="auto"/>
        <w:jc w:val="both"/>
        <w:rPr>
          <w:rFonts w:ascii="Times New Roman" w:eastAsia="Times New Roman" w:hAnsi="Times New Roman" w:cs="Times New Roman"/>
          <w:sz w:val="24"/>
          <w:szCs w:val="24"/>
        </w:rPr>
      </w:pP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682199">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examined the association between cumulative occupational sunlight exposure and oxidative stress, thyroid hormone alterations, and endocrine dysregulation among commercial motorcycle riders in a tr</w:t>
      </w:r>
      <w:r>
        <w:rPr>
          <w:rFonts w:ascii="Times New Roman" w:eastAsia="Times New Roman" w:hAnsi="Times New Roman" w:cs="Times New Roman"/>
          <w:sz w:val="24"/>
          <w:szCs w:val="24"/>
        </w:rPr>
        <w:t xml:space="preserve">opical setting. By focusing on duration of exposure rather than </w:t>
      </w:r>
      <w:r>
        <w:rPr>
          <w:rFonts w:ascii="Times New Roman" w:eastAsia="Times New Roman" w:hAnsi="Times New Roman" w:cs="Times New Roman"/>
          <w:sz w:val="24"/>
          <w:szCs w:val="24"/>
        </w:rPr>
        <w:lastRenderedPageBreak/>
        <w:t>occupational status alone, the findings provide evidence of progressive, exposure-dependent biological changes that may precede overt clinical disease. The results demonstrate a consistent pat</w:t>
      </w:r>
      <w:r>
        <w:rPr>
          <w:rFonts w:ascii="Times New Roman" w:eastAsia="Times New Roman" w:hAnsi="Times New Roman" w:cs="Times New Roman"/>
          <w:sz w:val="24"/>
          <w:szCs w:val="24"/>
        </w:rPr>
        <w:t xml:space="preserve">tern in which prolonged outdoor occupational exposure is associated with increased oxidative stress, altered peripheral thyroid hormone levels, and selective suppression of pituitary hormones, consistent with emerging occupational and environmental health </w:t>
      </w:r>
      <w:r>
        <w:rPr>
          <w:rFonts w:ascii="Times New Roman" w:eastAsia="Times New Roman" w:hAnsi="Times New Roman" w:cs="Times New Roman"/>
          <w:sz w:val="24"/>
          <w:szCs w:val="24"/>
        </w:rPr>
        <w:t>literature (11, 12).</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pronounced findings were observed in oxidative stress markers. Riders exhibited significantly reduced activities of the antioxidant enzymes superoxide dismutase (SOD) and catalase (CAT), alongside markedly elevated malondialde</w:t>
      </w:r>
      <w:r>
        <w:rPr>
          <w:rFonts w:ascii="Times New Roman" w:eastAsia="Times New Roman" w:hAnsi="Times New Roman" w:cs="Times New Roman"/>
          <w:sz w:val="24"/>
          <w:szCs w:val="24"/>
        </w:rPr>
        <w:t>hyde (MDA) concentrations. Furthermore, the duration of motorcycle riding showed strong inverse correlations with SOD and CAT and a strong positive correlation with MDA. These findings indicate a cumulative depletion of antioxidant defenses and progressive</w:t>
      </w:r>
      <w:r>
        <w:rPr>
          <w:rFonts w:ascii="Times New Roman" w:eastAsia="Times New Roman" w:hAnsi="Times New Roman" w:cs="Times New Roman"/>
          <w:sz w:val="24"/>
          <w:szCs w:val="24"/>
        </w:rPr>
        <w:t xml:space="preserve"> lipid peroxidation with increasing occupational exposure. Chronic exposure to ultraviolet radiation and heat is known to enhance reactive oxygen species generation, and repeated exposure without adequate recovery may overwhelm endogenous antioxidant syste</w:t>
      </w:r>
      <w:r>
        <w:rPr>
          <w:rFonts w:ascii="Times New Roman" w:eastAsia="Times New Roman" w:hAnsi="Times New Roman" w:cs="Times New Roman"/>
          <w:sz w:val="24"/>
          <w:szCs w:val="24"/>
        </w:rPr>
        <w:t>ms, resulting in sustained oxidative imbalance (13). This oxidative burden is biologically relevant, as it can disrupt cellular signaling, membrane integrity, and hormonal regulation (14).</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Alterations in thyroid hormone levels constituted a key endocrine f</w:t>
      </w:r>
      <w:r>
        <w:rPr>
          <w:rFonts w:ascii="Times New Roman" w:eastAsia="Times New Roman" w:hAnsi="Times New Roman" w:cs="Times New Roman"/>
          <w:sz w:val="24"/>
          <w:szCs w:val="24"/>
        </w:rPr>
        <w:t>inding of this study. Riders demonstrated significantly higher circulating triiodothyronine (T3) and thyroxine (T4) levels compared with controls, while thyroid-stimulating hormone (TSH) did not differ significantly between groups and showed no association</w:t>
      </w:r>
      <w:r>
        <w:rPr>
          <w:rFonts w:ascii="Times New Roman" w:eastAsia="Times New Roman" w:hAnsi="Times New Roman" w:cs="Times New Roman"/>
          <w:sz w:val="24"/>
          <w:szCs w:val="24"/>
        </w:rPr>
        <w:t xml:space="preserve"> with exposure duration. This dissociation suggests that cumulative sunlight exposure may influence peripheral thyroid hormone metabolism rather than inducing a primary central thyroid axis disturbance. Increased T3 and T4 levels in the absence of TSH elev</w:t>
      </w:r>
      <w:r>
        <w:rPr>
          <w:rFonts w:ascii="Times New Roman" w:eastAsia="Times New Roman" w:hAnsi="Times New Roman" w:cs="Times New Roman"/>
          <w:sz w:val="24"/>
          <w:szCs w:val="24"/>
        </w:rPr>
        <w:t>ation may reflect adaptive metabolic responses to sustained heat exposure, as thyroid hormones play a critical role in thermogenesis, energy expenditure, and heat dissipation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(15, 16). Alternatively, oxidative stress may alter deiodinase activity or </w:t>
      </w:r>
      <w:r>
        <w:rPr>
          <w:rFonts w:ascii="Times New Roman" w:eastAsia="Times New Roman" w:hAnsi="Times New Roman" w:cs="Times New Roman"/>
          <w:sz w:val="24"/>
          <w:szCs w:val="24"/>
        </w:rPr>
        <w:t>hormone clearance, resulting in elevated peripheral hormone levels without corresponding changes in pituitary feedback (17).</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observed associations between exposure duration and thyroid hormones further support a cumulative biological effect. Positive c</w:t>
      </w:r>
      <w:r>
        <w:rPr>
          <w:rFonts w:ascii="Times New Roman" w:eastAsia="Times New Roman" w:hAnsi="Times New Roman" w:cs="Times New Roman"/>
          <w:sz w:val="24"/>
          <w:szCs w:val="24"/>
        </w:rPr>
        <w:t>orrelations between riding duration and both T3 and T4 indicate that prolonged occupational exposure may progressively modulate thyroid hormone dynamics. Such alterations may initially serve adaptive functions but could contribute to endocrine dysregulatio</w:t>
      </w:r>
      <w:r>
        <w:rPr>
          <w:rFonts w:ascii="Times New Roman" w:eastAsia="Times New Roman" w:hAnsi="Times New Roman" w:cs="Times New Roman"/>
          <w:sz w:val="24"/>
          <w:szCs w:val="24"/>
        </w:rPr>
        <w:t>n if sustained over long periods. Importantly, these changes occurred in a population without known thyroid disease, highlighting the potential for environmental exposures to influence endocrine physiology before clinical thresholds are reached (18).</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w:t>
      </w:r>
      <w:r>
        <w:rPr>
          <w:rFonts w:ascii="Times New Roman" w:eastAsia="Times New Roman" w:hAnsi="Times New Roman" w:cs="Times New Roman"/>
          <w:sz w:val="24"/>
          <w:szCs w:val="24"/>
        </w:rPr>
        <w:t xml:space="preserve">dition to thyroid hormones, pituitary hormones exhibited selective suppression among riders. Luteinizing hormone (LH) and prolactin levels were significantly lower in riders compared with controls, with inverse correlations observed between these hormones </w:t>
      </w:r>
      <w:r>
        <w:rPr>
          <w:rFonts w:ascii="Times New Roman" w:eastAsia="Times New Roman" w:hAnsi="Times New Roman" w:cs="Times New Roman"/>
          <w:sz w:val="24"/>
          <w:szCs w:val="24"/>
        </w:rPr>
        <w:t>and duration of riding. Chronic environmental stress is known to suppress hypothalamic–pituitary signaling through sustained activation of stress-responsive neuroendocrine pathways (19). Oxidative stress may further exacerbate this effect by impairing horm</w:t>
      </w:r>
      <w:r>
        <w:rPr>
          <w:rFonts w:ascii="Times New Roman" w:eastAsia="Times New Roman" w:hAnsi="Times New Roman" w:cs="Times New Roman"/>
          <w:sz w:val="24"/>
          <w:szCs w:val="24"/>
        </w:rPr>
        <w:t xml:space="preserve">one synthesis, receptor sensitivity, and intracellular signaling (20). The preservation of thyroid-stimulating hormone levels alongside suppression of LH and prolactin suggests differential sensitivity of pituitary axes to chronic </w:t>
      </w:r>
      <w:r>
        <w:rPr>
          <w:rFonts w:ascii="Times New Roman" w:eastAsia="Times New Roman" w:hAnsi="Times New Roman" w:cs="Times New Roman"/>
          <w:sz w:val="24"/>
          <w:szCs w:val="24"/>
        </w:rPr>
        <w:lastRenderedPageBreak/>
        <w:t>environmental stress, wit</w:t>
      </w:r>
      <w:r>
        <w:rPr>
          <w:rFonts w:ascii="Times New Roman" w:eastAsia="Times New Roman" w:hAnsi="Times New Roman" w:cs="Times New Roman"/>
          <w:sz w:val="24"/>
          <w:szCs w:val="24"/>
        </w:rPr>
        <w:t xml:space="preserve">h reproductive and </w:t>
      </w:r>
      <w:proofErr w:type="spellStart"/>
      <w:r>
        <w:rPr>
          <w:rFonts w:ascii="Times New Roman" w:eastAsia="Times New Roman" w:hAnsi="Times New Roman" w:cs="Times New Roman"/>
          <w:sz w:val="24"/>
          <w:szCs w:val="24"/>
        </w:rPr>
        <w:t>lactotropic</w:t>
      </w:r>
      <w:proofErr w:type="spellEnd"/>
      <w:r>
        <w:rPr>
          <w:rFonts w:ascii="Times New Roman" w:eastAsia="Times New Roman" w:hAnsi="Times New Roman" w:cs="Times New Roman"/>
          <w:sz w:val="24"/>
          <w:szCs w:val="24"/>
        </w:rPr>
        <w:t xml:space="preserve"> pathways potentially more vulnerable than the thyroid axis (21, 22).</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Taken together, the findings support an integrated oxidative stress–endocrine axis through which cumulative occupational sunlight exposure may exert systemi</w:t>
      </w:r>
      <w:r>
        <w:rPr>
          <w:rFonts w:ascii="Times New Roman" w:eastAsia="Times New Roman" w:hAnsi="Times New Roman" w:cs="Times New Roman"/>
          <w:sz w:val="24"/>
          <w:szCs w:val="24"/>
        </w:rPr>
        <w:t>c biological effects. Progressive oxidative stress appears to be a central feature associated with both thyroid hormone alterations and pituitary hormone suppression. These exposure-dependent changes may represent early adaptive or maladaptive responses th</w:t>
      </w:r>
      <w:r>
        <w:rPr>
          <w:rFonts w:ascii="Times New Roman" w:eastAsia="Times New Roman" w:hAnsi="Times New Roman" w:cs="Times New Roman"/>
          <w:sz w:val="24"/>
          <w:szCs w:val="24"/>
        </w:rPr>
        <w:t>at precede clinically overt endocrine or metabolic disorders. From an occupational health perspective, this is particularly relevant for informal outdoor workers, who often lack routine health surveillance and protective interventions (23).</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has </w:t>
      </w:r>
      <w:r>
        <w:rPr>
          <w:rFonts w:ascii="Times New Roman" w:eastAsia="Times New Roman" w:hAnsi="Times New Roman" w:cs="Times New Roman"/>
          <w:sz w:val="24"/>
          <w:szCs w:val="24"/>
        </w:rPr>
        <w:t>limitations that should be acknowledged. Its cross-sectional design precludes causal inference, and direct measurements of ultraviolet radiation or heat exposure were not available. Duration of motorcycle riding was used as a proxy for cumulative exposure,</w:t>
      </w:r>
      <w:r>
        <w:rPr>
          <w:rFonts w:ascii="Times New Roman" w:eastAsia="Times New Roman" w:hAnsi="Times New Roman" w:cs="Times New Roman"/>
          <w:sz w:val="24"/>
          <w:szCs w:val="24"/>
        </w:rPr>
        <w:t xml:space="preserve"> which, while practical and commonly applied in occupational studies, may not fully capture individual variability in exposure intensity (24). Additionally, potential confounders such as dietary antioxidant intake, hydration status, and lifestyle factors w</w:t>
      </w:r>
      <w:r>
        <w:rPr>
          <w:rFonts w:ascii="Times New Roman" w:eastAsia="Times New Roman" w:hAnsi="Times New Roman" w:cs="Times New Roman"/>
          <w:sz w:val="24"/>
          <w:szCs w:val="24"/>
        </w:rPr>
        <w:t>ere not formally quantified. Nonetheless, the consistent exposure–response relationships observed across multiple oxidative and endocrine markers strengthen the biological plausibility of the findings.</w:t>
      </w:r>
    </w:p>
    <w:p w:rsidR="00900205" w:rsidRDefault="00682199">
      <w:pPr>
        <w:spacing w:before="240" w:after="240"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In summary, cumulative occupational sunlight exposure </w:t>
      </w:r>
      <w:r>
        <w:rPr>
          <w:rFonts w:ascii="Times New Roman" w:eastAsia="Times New Roman" w:hAnsi="Times New Roman" w:cs="Times New Roman"/>
          <w:sz w:val="24"/>
          <w:szCs w:val="24"/>
        </w:rPr>
        <w:t>among commercial motorcycle riders is associated with pronounced oxidative stress, altered thyroid hormone levels, and selective endocrine dysregulation. These findings underscore the importance of considering duration-dependent environmental exposure in o</w:t>
      </w:r>
      <w:r>
        <w:rPr>
          <w:rFonts w:ascii="Times New Roman" w:eastAsia="Times New Roman" w:hAnsi="Times New Roman" w:cs="Times New Roman"/>
          <w:sz w:val="24"/>
          <w:szCs w:val="24"/>
        </w:rPr>
        <w:t>ccupational health research and highlight oxidative stress as a plausible mechanistic link between chronic sunlight exposure and endocrine modulation in tropical outdoor workers.</w:t>
      </w:r>
    </w:p>
    <w:p w:rsidR="00900205" w:rsidRDefault="00900205">
      <w:pPr>
        <w:spacing w:after="80" w:line="240" w:lineRule="auto"/>
        <w:jc w:val="both"/>
        <w:rPr>
          <w:rFonts w:ascii="Times New Roman" w:eastAsia="Times New Roman" w:hAnsi="Times New Roman" w:cs="Times New Roman"/>
          <w:b/>
          <w:bCs/>
          <w:sz w:val="24"/>
          <w:szCs w:val="24"/>
        </w:rPr>
      </w:pPr>
    </w:p>
    <w:p w:rsidR="00900205" w:rsidRDefault="00682199">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900205"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demonstrates that cumulative occupational sunlight </w:t>
      </w:r>
      <w:r>
        <w:rPr>
          <w:rFonts w:ascii="Times New Roman" w:eastAsia="Times New Roman" w:hAnsi="Times New Roman" w:cs="Times New Roman"/>
          <w:sz w:val="24"/>
          <w:szCs w:val="24"/>
        </w:rPr>
        <w:t>exposure among commercial motorcycle riders in a tropical setting is associated with pronounced oxidative stress, thyroid hormone alterations, and selective endocrine dysregulation. Progressive depletion of antioxidant defenses, evidenced by reduced supero</w:t>
      </w:r>
      <w:r>
        <w:rPr>
          <w:rFonts w:ascii="Times New Roman" w:eastAsia="Times New Roman" w:hAnsi="Times New Roman" w:cs="Times New Roman"/>
          <w:sz w:val="24"/>
          <w:szCs w:val="24"/>
        </w:rPr>
        <w:t xml:space="preserve">xide dismutase and catalase activities alongside increased lipid peroxidation, was strongly linked to longer duration of occupational exposure. Concurrently, elevated peripheral thyroid hormones in the absence of significant changes in thyroid-stimulating </w:t>
      </w:r>
      <w:r>
        <w:rPr>
          <w:rFonts w:ascii="Times New Roman" w:eastAsia="Times New Roman" w:hAnsi="Times New Roman" w:cs="Times New Roman"/>
          <w:sz w:val="24"/>
          <w:szCs w:val="24"/>
        </w:rPr>
        <w:t>hormone suggest adaptive or stress-related modulation of thyroid hormone metabolism rather than overt central thyroid axis dysfunction. The observed suppression of pituitary hormones, particularly luteinizing hormone and prolactin, further indicates sensit</w:t>
      </w:r>
      <w:r>
        <w:rPr>
          <w:rFonts w:ascii="Times New Roman" w:eastAsia="Times New Roman" w:hAnsi="Times New Roman" w:cs="Times New Roman"/>
          <w:sz w:val="24"/>
          <w:szCs w:val="24"/>
        </w:rPr>
        <w:t>ivity of hypothalamic–pituitary pathways to chronic environmental stress. Collectively, these findings support an integrated oxidative stress–endocrine axis through which prolonged occupational sunlight exposure may exert early, subclinical biological effe</w:t>
      </w:r>
      <w:r>
        <w:rPr>
          <w:rFonts w:ascii="Times New Roman" w:eastAsia="Times New Roman" w:hAnsi="Times New Roman" w:cs="Times New Roman"/>
          <w:sz w:val="24"/>
          <w:szCs w:val="24"/>
        </w:rPr>
        <w:t>cts. Recognition of duration-dependent exposure as a key determinant of risk underscores the need for targeted occupational health strategies for outdoor workers in tropical environments.</w:t>
      </w:r>
    </w:p>
    <w:p w:rsidR="00900205" w:rsidRDefault="00682199">
      <w:pPr>
        <w:spacing w:after="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p>
    <w:p w:rsidR="00E8643D" w:rsidRDefault="00682199">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Based on these findings, occupational health interve</w:t>
      </w:r>
      <w:r>
        <w:rPr>
          <w:rFonts w:ascii="Times New Roman" w:eastAsia="Times New Roman" w:hAnsi="Times New Roman" w:cs="Times New Roman"/>
          <w:sz w:val="24"/>
          <w:szCs w:val="24"/>
        </w:rPr>
        <w:t>ntions for commercial motorcycle riders should prioritize mitigation of cumulative sunlight exposure and its biological consequences. Practical measures such as structured rest periods, adequate hydration, and the use of protective clothing or sun-shieldin</w:t>
      </w:r>
      <w:r>
        <w:rPr>
          <w:rFonts w:ascii="Times New Roman" w:eastAsia="Times New Roman" w:hAnsi="Times New Roman" w:cs="Times New Roman"/>
          <w:sz w:val="24"/>
          <w:szCs w:val="24"/>
        </w:rPr>
        <w:t>g equipment should be encouraged to reduce oxidative burden. Periodic health monitoring focusing on oxidative stress markers and thyroid-related endocrine parameters is recommended, particularly for individuals with longer exposure durations, to enable ear</w:t>
      </w:r>
      <w:r>
        <w:rPr>
          <w:rFonts w:ascii="Times New Roman" w:eastAsia="Times New Roman" w:hAnsi="Times New Roman" w:cs="Times New Roman"/>
          <w:sz w:val="24"/>
          <w:szCs w:val="24"/>
        </w:rPr>
        <w:t>ly identification of subclinical alterations. Health education programs should be implemented to improve awareness of the potential endocrine and oxidative effects of prolonged sunlight exposure and promote preventive behaviors among riders. At a policy le</w:t>
      </w:r>
      <w:r>
        <w:rPr>
          <w:rFonts w:ascii="Times New Roman" w:eastAsia="Times New Roman" w:hAnsi="Times New Roman" w:cs="Times New Roman"/>
          <w:sz w:val="24"/>
          <w:szCs w:val="24"/>
        </w:rPr>
        <w:t>vel, occupational health frameworks should explicitly recognize chronic outdoor sunlight exposure as a multisystem risk and incorporate protective guidelines for informal outdoor workers. Finally, future research should employ longitudinal designs and dire</w:t>
      </w:r>
      <w:r>
        <w:rPr>
          <w:rFonts w:ascii="Times New Roman" w:eastAsia="Times New Roman" w:hAnsi="Times New Roman" w:cs="Times New Roman"/>
          <w:sz w:val="24"/>
          <w:szCs w:val="24"/>
        </w:rPr>
        <w:t xml:space="preserve">ct measurements of ultraviolet and thermal exposure to clarify causal pathways and evaluate the effectiveness of targeted preventive </w:t>
      </w:r>
      <w:r w:rsidR="00E8643D">
        <w:rPr>
          <w:rFonts w:ascii="Times New Roman" w:eastAsia="Times New Roman" w:hAnsi="Times New Roman" w:cs="Times New Roman"/>
          <w:sz w:val="24"/>
          <w:szCs w:val="24"/>
        </w:rPr>
        <w:t>interventions.</w:t>
      </w:r>
    </w:p>
    <w:p w:rsidR="00E8643D" w:rsidRPr="00E8643D" w:rsidRDefault="00E8643D" w:rsidP="00E8643D">
      <w:pPr>
        <w:spacing w:before="240" w:after="240" w:line="240" w:lineRule="auto"/>
        <w:jc w:val="both"/>
        <w:rPr>
          <w:rFonts w:ascii="Times New Roman" w:eastAsia="Times New Roman" w:hAnsi="Times New Roman" w:cs="Times New Roman"/>
          <w:b/>
          <w:sz w:val="24"/>
          <w:szCs w:val="24"/>
        </w:rPr>
      </w:pPr>
      <w:r w:rsidRPr="00E8643D">
        <w:rPr>
          <w:rFonts w:ascii="Times New Roman" w:eastAsia="Times New Roman" w:hAnsi="Times New Roman" w:cs="Times New Roman"/>
          <w:b/>
          <w:sz w:val="24"/>
          <w:szCs w:val="24"/>
        </w:rPr>
        <w:t>Ethical Approval:</w:t>
      </w:r>
    </w:p>
    <w:p w:rsidR="00E8643D" w:rsidRPr="00E8643D" w:rsidRDefault="00E8643D" w:rsidP="00E8643D">
      <w:pPr>
        <w:spacing w:before="240" w:after="240" w:line="240" w:lineRule="auto"/>
        <w:ind w:firstLine="720"/>
        <w:jc w:val="both"/>
        <w:rPr>
          <w:rFonts w:ascii="Times New Roman" w:eastAsia="Times New Roman" w:hAnsi="Times New Roman" w:cs="Times New Roman"/>
          <w:sz w:val="24"/>
          <w:szCs w:val="24"/>
        </w:rPr>
      </w:pPr>
    </w:p>
    <w:p w:rsidR="00900205" w:rsidRDefault="00E8643D" w:rsidP="00E8643D">
      <w:pPr>
        <w:spacing w:before="240" w:after="240" w:line="240" w:lineRule="auto"/>
        <w:ind w:firstLine="720"/>
        <w:jc w:val="both"/>
        <w:rPr>
          <w:rFonts w:ascii="Times New Roman" w:eastAsia="Times New Roman" w:hAnsi="Times New Roman" w:cs="Times New Roman"/>
          <w:sz w:val="24"/>
          <w:szCs w:val="24"/>
        </w:rPr>
      </w:pPr>
      <w:r w:rsidRPr="00E8643D">
        <w:rPr>
          <w:rFonts w:ascii="Times New Roman" w:eastAsia="Times New Roman" w:hAnsi="Times New Roman" w:cs="Times New Roman"/>
          <w:sz w:val="24"/>
          <w:szCs w:val="24"/>
        </w:rPr>
        <w:t>As per international standards or university standards written ethical approval has been collected and preserved by the author(s).</w:t>
      </w:r>
    </w:p>
    <w:p w:rsidR="00E8643D" w:rsidRPr="00E8643D" w:rsidRDefault="00E8643D" w:rsidP="00E8643D">
      <w:pPr>
        <w:spacing w:before="240" w:after="240" w:line="240" w:lineRule="auto"/>
        <w:jc w:val="both"/>
        <w:rPr>
          <w:rFonts w:ascii="Times New Roman" w:eastAsia="Times New Roman" w:hAnsi="Times New Roman" w:cs="Times New Roman"/>
          <w:b/>
          <w:sz w:val="24"/>
          <w:szCs w:val="24"/>
        </w:rPr>
      </w:pPr>
      <w:r w:rsidRPr="00E8643D">
        <w:rPr>
          <w:rFonts w:ascii="Times New Roman" w:eastAsia="Times New Roman" w:hAnsi="Times New Roman" w:cs="Times New Roman"/>
          <w:b/>
          <w:sz w:val="24"/>
          <w:szCs w:val="24"/>
        </w:rPr>
        <w:t xml:space="preserve">Consent </w:t>
      </w:r>
    </w:p>
    <w:p w:rsidR="00E8643D" w:rsidRDefault="00E8643D" w:rsidP="00E8643D">
      <w:pPr>
        <w:spacing w:before="240" w:after="240" w:line="240" w:lineRule="auto"/>
        <w:ind w:firstLine="720"/>
        <w:jc w:val="both"/>
        <w:rPr>
          <w:rFonts w:ascii="Times New Roman" w:eastAsia="Times New Roman" w:hAnsi="Times New Roman" w:cs="Times New Roman"/>
          <w:sz w:val="24"/>
          <w:szCs w:val="24"/>
        </w:rPr>
      </w:pPr>
      <w:r w:rsidRPr="00E8643D">
        <w:rPr>
          <w:rFonts w:ascii="Times New Roman" w:eastAsia="Times New Roman" w:hAnsi="Times New Roman" w:cs="Times New Roman"/>
          <w:sz w:val="24"/>
          <w:szCs w:val="24"/>
        </w:rPr>
        <w:t>As per international standards or university standards, Participants’ written consent has been collected and preserved by the author(s).</w:t>
      </w:r>
    </w:p>
    <w:p w:rsidR="00900205" w:rsidRDefault="00900205">
      <w:pPr>
        <w:widowControl w:val="0"/>
        <w:spacing w:before="240" w:after="240" w:line="240" w:lineRule="auto"/>
        <w:jc w:val="both"/>
        <w:rPr>
          <w:rFonts w:ascii="Times New Roman" w:eastAsia="Times New Roman" w:hAnsi="Times New Roman" w:cs="Times New Roman"/>
          <w:sz w:val="24"/>
          <w:szCs w:val="24"/>
        </w:rPr>
      </w:pPr>
    </w:p>
    <w:p w:rsidR="00900205" w:rsidRDefault="00682199">
      <w:pPr>
        <w:widowControl w:val="0"/>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900205" w:rsidRDefault="00682199">
      <w:pPr>
        <w:numPr>
          <w:ilvl w:val="0"/>
          <w:numId w:val="1"/>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Afolabi FJ, de Beer P, </w:t>
      </w:r>
      <w:proofErr w:type="spellStart"/>
      <w:r>
        <w:rPr>
          <w:rFonts w:ascii="Times New Roman" w:eastAsia="Times New Roman" w:hAnsi="Times New Roman" w:cs="Times New Roman"/>
          <w:sz w:val="24"/>
          <w:szCs w:val="24"/>
        </w:rPr>
        <w:t>Haafkens</w:t>
      </w:r>
      <w:proofErr w:type="spellEnd"/>
      <w:r>
        <w:rPr>
          <w:rFonts w:ascii="Times New Roman" w:eastAsia="Times New Roman" w:hAnsi="Times New Roman" w:cs="Times New Roman"/>
          <w:sz w:val="24"/>
          <w:szCs w:val="24"/>
        </w:rPr>
        <w:t xml:space="preserve"> JA. Can occupational safety and health problems be prevented or not? Exploring the perception of informal automobile artisans</w:t>
      </w:r>
      <w:r>
        <w:rPr>
          <w:rFonts w:ascii="Times New Roman" w:eastAsia="Times New Roman" w:hAnsi="Times New Roman" w:cs="Times New Roman"/>
          <w:sz w:val="24"/>
          <w:szCs w:val="24"/>
        </w:rPr>
        <w:t xml:space="preserve"> in Nigeria. </w:t>
      </w:r>
      <w:proofErr w:type="spellStart"/>
      <w:r>
        <w:rPr>
          <w:rFonts w:ascii="Times New Roman" w:eastAsia="Times New Roman" w:hAnsi="Times New Roman" w:cs="Times New Roman"/>
          <w:i/>
          <w:iCs/>
          <w:sz w:val="24"/>
          <w:szCs w:val="24"/>
        </w:rPr>
        <w:t>Saf</w:t>
      </w:r>
      <w:proofErr w:type="spellEnd"/>
      <w:r>
        <w:rPr>
          <w:rFonts w:ascii="Times New Roman" w:eastAsia="Times New Roman" w:hAnsi="Times New Roman" w:cs="Times New Roman"/>
          <w:i/>
          <w:iCs/>
          <w:sz w:val="24"/>
          <w:szCs w:val="24"/>
        </w:rPr>
        <w:t xml:space="preserve"> Sci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2021;135:105097</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doi:10.1016/j.ssci</w:t>
      </w:r>
      <w:proofErr w:type="gramEnd"/>
      <w:r>
        <w:rPr>
          <w:rFonts w:ascii="Times New Roman" w:eastAsia="Times New Roman" w:hAnsi="Times New Roman" w:cs="Times New Roman"/>
          <w:sz w:val="24"/>
          <w:szCs w:val="24"/>
        </w:rPr>
        <w:t>.2020.105097</w:t>
      </w:r>
    </w:p>
    <w:p w:rsidR="00900205" w:rsidRDefault="0068219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Carvalho F, </w:t>
      </w:r>
      <w:proofErr w:type="spellStart"/>
      <w:r>
        <w:rPr>
          <w:rFonts w:ascii="Times New Roman" w:eastAsia="Times New Roman" w:hAnsi="Times New Roman" w:cs="Times New Roman"/>
          <w:sz w:val="24"/>
          <w:szCs w:val="24"/>
        </w:rPr>
        <w:t>Strehl</w:t>
      </w:r>
      <w:proofErr w:type="spellEnd"/>
      <w:r>
        <w:rPr>
          <w:rFonts w:ascii="Times New Roman" w:eastAsia="Times New Roman" w:hAnsi="Times New Roman" w:cs="Times New Roman"/>
          <w:sz w:val="24"/>
          <w:szCs w:val="24"/>
        </w:rPr>
        <w:t xml:space="preserve"> C, Barroso-Dias J, </w:t>
      </w:r>
      <w:proofErr w:type="spellStart"/>
      <w:r>
        <w:rPr>
          <w:rFonts w:ascii="Times New Roman" w:eastAsia="Times New Roman" w:hAnsi="Times New Roman" w:cs="Times New Roman"/>
          <w:sz w:val="24"/>
          <w:szCs w:val="24"/>
        </w:rPr>
        <w:t>Castela</w:t>
      </w:r>
      <w:proofErr w:type="spellEnd"/>
      <w:r>
        <w:rPr>
          <w:rFonts w:ascii="Times New Roman" w:eastAsia="Times New Roman" w:hAnsi="Times New Roman" w:cs="Times New Roman"/>
          <w:sz w:val="24"/>
          <w:szCs w:val="24"/>
        </w:rPr>
        <w:t xml:space="preserve"> MM, </w:t>
      </w:r>
      <w:proofErr w:type="spellStart"/>
      <w:r>
        <w:rPr>
          <w:rFonts w:ascii="Times New Roman" w:eastAsia="Times New Roman" w:hAnsi="Times New Roman" w:cs="Times New Roman"/>
          <w:sz w:val="24"/>
          <w:szCs w:val="24"/>
        </w:rPr>
        <w:t>Gobba</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Lapão</w:t>
      </w:r>
      <w:proofErr w:type="spellEnd"/>
      <w:r>
        <w:rPr>
          <w:rFonts w:ascii="Times New Roman" w:eastAsia="Times New Roman" w:hAnsi="Times New Roman" w:cs="Times New Roman"/>
          <w:sz w:val="24"/>
          <w:szCs w:val="24"/>
        </w:rPr>
        <w:t xml:space="preserve"> LV, et al. Occupational exposure to solar ultraviolet radiation among outdoor workers in Lisbon, 2023—first results of th</w:t>
      </w:r>
      <w:r>
        <w:rPr>
          <w:rFonts w:ascii="Times New Roman" w:eastAsia="Times New Roman" w:hAnsi="Times New Roman" w:cs="Times New Roman"/>
          <w:sz w:val="24"/>
          <w:szCs w:val="24"/>
        </w:rPr>
        <w:t xml:space="preserve">e MEAOW study. </w:t>
      </w:r>
      <w:r>
        <w:rPr>
          <w:rFonts w:ascii="Times New Roman" w:eastAsia="Times New Roman" w:hAnsi="Times New Roman" w:cs="Times New Roman"/>
          <w:i/>
          <w:iCs/>
          <w:sz w:val="24"/>
          <w:szCs w:val="24"/>
        </w:rPr>
        <w:t>Front Public Health</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2025;13:1659663</w:t>
      </w:r>
      <w:proofErr w:type="gramEnd"/>
      <w:r>
        <w:rPr>
          <w:rFonts w:ascii="Times New Roman" w:eastAsia="Times New Roman" w:hAnsi="Times New Roman" w:cs="Times New Roman"/>
          <w:sz w:val="24"/>
          <w:szCs w:val="24"/>
        </w:rPr>
        <w:t>. doi:10.3389/fpubh.2025.1659663</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Kwaghgba</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Tyozenda</w:t>
      </w:r>
      <w:proofErr w:type="spellEnd"/>
      <w:r>
        <w:rPr>
          <w:rFonts w:ascii="Times New Roman" w:eastAsia="Times New Roman" w:hAnsi="Times New Roman" w:cs="Times New Roman"/>
          <w:sz w:val="24"/>
          <w:szCs w:val="24"/>
        </w:rPr>
        <w:t xml:space="preserve"> AJ. The effect of economic policies on urban transport patterns: A review of motorcycle usage for urban mobility in Nigeria. </w:t>
      </w:r>
      <w:r>
        <w:rPr>
          <w:rFonts w:ascii="Times New Roman" w:eastAsia="Times New Roman" w:hAnsi="Times New Roman" w:cs="Times New Roman"/>
          <w:i/>
          <w:iCs/>
          <w:sz w:val="24"/>
          <w:szCs w:val="24"/>
        </w:rPr>
        <w:t xml:space="preserve">J Sustain Dev </w:t>
      </w:r>
      <w:proofErr w:type="spellStart"/>
      <w:r>
        <w:rPr>
          <w:rFonts w:ascii="Times New Roman" w:eastAsia="Times New Roman" w:hAnsi="Times New Roman" w:cs="Times New Roman"/>
          <w:i/>
          <w:iCs/>
          <w:sz w:val="24"/>
          <w:szCs w:val="24"/>
        </w:rPr>
        <w:t>Transp</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Logis</w:t>
      </w:r>
      <w:r>
        <w:rPr>
          <w:rFonts w:ascii="Times New Roman" w:eastAsia="Times New Roman" w:hAnsi="Times New Roman" w:cs="Times New Roman"/>
          <w:i/>
          <w:iCs/>
          <w:sz w:val="24"/>
          <w:szCs w:val="24"/>
        </w:rPr>
        <w:t>t</w:t>
      </w:r>
      <w:proofErr w:type="spellEnd"/>
      <w:r>
        <w:rPr>
          <w:rFonts w:ascii="Times New Roman" w:eastAsia="Times New Roman" w:hAnsi="Times New Roman" w:cs="Times New Roman"/>
          <w:sz w:val="24"/>
          <w:szCs w:val="24"/>
        </w:rPr>
        <w:t>. 2024;9(2):32–42. doi:10.14254/jsdtl.2024.9-2.3</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Pizzino</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Irrera</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Cucinotta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Pallio</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Mannino</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Arcoraci</w:t>
      </w:r>
      <w:proofErr w:type="spellEnd"/>
      <w:r>
        <w:rPr>
          <w:rFonts w:ascii="Times New Roman" w:eastAsia="Times New Roman" w:hAnsi="Times New Roman" w:cs="Times New Roman"/>
          <w:sz w:val="24"/>
          <w:szCs w:val="24"/>
        </w:rPr>
        <w:t xml:space="preserve"> V, et al. Oxidative stress: Harms and benefits for human health. </w:t>
      </w:r>
      <w:r>
        <w:rPr>
          <w:rFonts w:ascii="Times New Roman" w:eastAsia="Times New Roman" w:hAnsi="Times New Roman" w:cs="Times New Roman"/>
          <w:i/>
          <w:iCs/>
          <w:sz w:val="24"/>
          <w:szCs w:val="24"/>
        </w:rPr>
        <w:t xml:space="preserve">Oxid Med Cell </w:t>
      </w:r>
      <w:proofErr w:type="spellStart"/>
      <w:r>
        <w:rPr>
          <w:rFonts w:ascii="Times New Roman" w:eastAsia="Times New Roman" w:hAnsi="Times New Roman" w:cs="Times New Roman"/>
          <w:i/>
          <w:iCs/>
          <w:sz w:val="24"/>
          <w:szCs w:val="24"/>
        </w:rPr>
        <w:t>Longev</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2017;2017:8416763</w:t>
      </w:r>
      <w:proofErr w:type="gramEnd"/>
      <w:r>
        <w:rPr>
          <w:rFonts w:ascii="Times New Roman" w:eastAsia="Times New Roman" w:hAnsi="Times New Roman" w:cs="Times New Roman"/>
          <w:sz w:val="24"/>
          <w:szCs w:val="24"/>
        </w:rPr>
        <w:t>. doi:10.1155/2017/8416763</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Kunda</w:t>
      </w:r>
      <w:proofErr w:type="spellEnd"/>
      <w:r>
        <w:rPr>
          <w:rFonts w:ascii="Times New Roman" w:eastAsia="Times New Roman" w:hAnsi="Times New Roman" w:cs="Times New Roman"/>
          <w:sz w:val="24"/>
          <w:szCs w:val="24"/>
        </w:rPr>
        <w:t xml:space="preserve"> JJ, G</w:t>
      </w:r>
      <w:r>
        <w:rPr>
          <w:rFonts w:ascii="Times New Roman" w:eastAsia="Times New Roman" w:hAnsi="Times New Roman" w:cs="Times New Roman"/>
          <w:sz w:val="24"/>
          <w:szCs w:val="24"/>
        </w:rPr>
        <w:t xml:space="preserve">osling SN, Foody GM. The effects of extreme heat on human health in tropical Africa. </w:t>
      </w:r>
      <w:r>
        <w:rPr>
          <w:rFonts w:ascii="Times New Roman" w:eastAsia="Times New Roman" w:hAnsi="Times New Roman" w:cs="Times New Roman"/>
          <w:i/>
          <w:iCs/>
          <w:sz w:val="24"/>
          <w:szCs w:val="24"/>
        </w:rPr>
        <w:t xml:space="preserve">Int J </w:t>
      </w:r>
      <w:proofErr w:type="spellStart"/>
      <w:r>
        <w:rPr>
          <w:rFonts w:ascii="Times New Roman" w:eastAsia="Times New Roman" w:hAnsi="Times New Roman" w:cs="Times New Roman"/>
          <w:i/>
          <w:iCs/>
          <w:sz w:val="24"/>
          <w:szCs w:val="24"/>
        </w:rPr>
        <w:t>Biometeorol</w:t>
      </w:r>
      <w:proofErr w:type="spellEnd"/>
      <w:r>
        <w:rPr>
          <w:rFonts w:ascii="Times New Roman" w:eastAsia="Times New Roman" w:hAnsi="Times New Roman" w:cs="Times New Roman"/>
          <w:sz w:val="24"/>
          <w:szCs w:val="24"/>
        </w:rPr>
        <w:t>. 2024;68(6):1015–1033. doi:10.1007/s00484-024-02650-4</w:t>
      </w:r>
    </w:p>
    <w:p w:rsidR="00E8643D" w:rsidRDefault="00E8643D">
      <w:pPr>
        <w:numPr>
          <w:ilvl w:val="0"/>
          <w:numId w:val="1"/>
        </w:numPr>
        <w:spacing w:line="240" w:lineRule="auto"/>
        <w:jc w:val="both"/>
        <w:rPr>
          <w:rFonts w:ascii="Times New Roman" w:eastAsia="Times New Roman" w:hAnsi="Times New Roman" w:cs="Times New Roman"/>
          <w:sz w:val="24"/>
          <w:szCs w:val="24"/>
        </w:rPr>
      </w:pPr>
      <w:r w:rsidRPr="00E8643D">
        <w:rPr>
          <w:rFonts w:ascii="Times New Roman" w:eastAsia="Times New Roman" w:hAnsi="Times New Roman" w:cs="Times New Roman"/>
          <w:sz w:val="24"/>
          <w:szCs w:val="24"/>
        </w:rPr>
        <w:t xml:space="preserve">Shahid, M. A., Ashraf, M. A., &amp; Sharma, S. (2023). Physiology, Thyroid Hormone. In </w:t>
      </w:r>
      <w:proofErr w:type="spellStart"/>
      <w:r w:rsidRPr="00E8643D">
        <w:rPr>
          <w:rFonts w:ascii="Times New Roman" w:eastAsia="Times New Roman" w:hAnsi="Times New Roman" w:cs="Times New Roman"/>
          <w:sz w:val="24"/>
          <w:szCs w:val="24"/>
        </w:rPr>
        <w:t>StatPearls</w:t>
      </w:r>
      <w:proofErr w:type="spellEnd"/>
      <w:r w:rsidRPr="00E8643D">
        <w:rPr>
          <w:rFonts w:ascii="Times New Roman" w:eastAsia="Times New Roman" w:hAnsi="Times New Roman" w:cs="Times New Roman"/>
          <w:sz w:val="24"/>
          <w:szCs w:val="24"/>
        </w:rPr>
        <w:t xml:space="preserve">. Treasure Island (FL): </w:t>
      </w:r>
      <w:proofErr w:type="spellStart"/>
      <w:r w:rsidRPr="00E8643D">
        <w:rPr>
          <w:rFonts w:ascii="Times New Roman" w:eastAsia="Times New Roman" w:hAnsi="Times New Roman" w:cs="Times New Roman"/>
          <w:sz w:val="24"/>
          <w:szCs w:val="24"/>
        </w:rPr>
        <w:t>StatPearls</w:t>
      </w:r>
      <w:proofErr w:type="spellEnd"/>
      <w:r w:rsidRPr="00E8643D">
        <w:rPr>
          <w:rFonts w:ascii="Times New Roman" w:eastAsia="Times New Roman" w:hAnsi="Times New Roman" w:cs="Times New Roman"/>
          <w:sz w:val="24"/>
          <w:szCs w:val="24"/>
        </w:rPr>
        <w:t xml:space="preserve"> Publishing. </w:t>
      </w:r>
      <w:hyperlink r:id="rId8" w:history="1">
        <w:r w:rsidRPr="001073C3">
          <w:rPr>
            <w:rStyle w:val="Hyperlink"/>
            <w:rFonts w:ascii="Times New Roman" w:eastAsia="Times New Roman" w:hAnsi="Times New Roman" w:cs="Times New Roman"/>
            <w:sz w:val="24"/>
            <w:szCs w:val="24"/>
          </w:rPr>
          <w:t>https://www.ncbi.nlm.nih.gov/books/NBK500006/</w:t>
        </w:r>
      </w:hyperlink>
    </w:p>
    <w:p w:rsidR="00900205" w:rsidRDefault="0068219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Levy SB, </w:t>
      </w:r>
      <w:proofErr w:type="spellStart"/>
      <w:r>
        <w:rPr>
          <w:rFonts w:ascii="Times New Roman" w:eastAsia="Times New Roman" w:hAnsi="Times New Roman" w:cs="Times New Roman"/>
          <w:sz w:val="24"/>
          <w:szCs w:val="24"/>
        </w:rPr>
        <w:t>Bribiescas</w:t>
      </w:r>
      <w:proofErr w:type="spellEnd"/>
      <w:r>
        <w:rPr>
          <w:rFonts w:ascii="Times New Roman" w:eastAsia="Times New Roman" w:hAnsi="Times New Roman" w:cs="Times New Roman"/>
          <w:sz w:val="24"/>
          <w:szCs w:val="24"/>
        </w:rPr>
        <w:t xml:space="preserve"> RG. Hierarchies in the energy budget: Thyroid hormones and the evolution of human life history patterns. </w:t>
      </w:r>
      <w:proofErr w:type="spellStart"/>
      <w:r>
        <w:rPr>
          <w:rFonts w:ascii="Times New Roman" w:eastAsia="Times New Roman" w:hAnsi="Times New Roman" w:cs="Times New Roman"/>
          <w:i/>
          <w:iCs/>
          <w:sz w:val="24"/>
          <w:szCs w:val="24"/>
        </w:rPr>
        <w:t>Evol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Anthropol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2023;32:219</w:t>
      </w:r>
      <w:proofErr w:type="gramEnd"/>
      <w:r>
        <w:rPr>
          <w:rFonts w:ascii="Times New Roman" w:eastAsia="Times New Roman" w:hAnsi="Times New Roman" w:cs="Times New Roman"/>
          <w:sz w:val="24"/>
          <w:szCs w:val="24"/>
        </w:rPr>
        <w:t>–232. doi:10.1002/evan.22000</w:t>
      </w:r>
    </w:p>
    <w:p w:rsidR="00900205" w:rsidRDefault="0068219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Teixeira PF, dos Santos PB, </w:t>
      </w:r>
      <w:proofErr w:type="spellStart"/>
      <w:r>
        <w:rPr>
          <w:rFonts w:ascii="Times New Roman" w:eastAsia="Times New Roman" w:hAnsi="Times New Roman" w:cs="Times New Roman"/>
          <w:sz w:val="24"/>
          <w:szCs w:val="24"/>
        </w:rPr>
        <w:t>Pazos</w:t>
      </w:r>
      <w:proofErr w:type="spellEnd"/>
      <w:r>
        <w:rPr>
          <w:rFonts w:ascii="Times New Roman" w:eastAsia="Times New Roman" w:hAnsi="Times New Roman" w:cs="Times New Roman"/>
          <w:sz w:val="24"/>
          <w:szCs w:val="24"/>
        </w:rPr>
        <w:t xml:space="preserve">-Moura CC. The role of thyroid hormone in </w:t>
      </w:r>
      <w:r>
        <w:rPr>
          <w:rFonts w:ascii="Times New Roman" w:eastAsia="Times New Roman" w:hAnsi="Times New Roman" w:cs="Times New Roman"/>
          <w:sz w:val="24"/>
          <w:szCs w:val="24"/>
        </w:rPr>
        <w:t xml:space="preserve">metabolism and metabolic syndrome. </w:t>
      </w:r>
      <w:proofErr w:type="spellStart"/>
      <w:r>
        <w:rPr>
          <w:rFonts w:ascii="Times New Roman" w:eastAsia="Times New Roman" w:hAnsi="Times New Roman" w:cs="Times New Roman"/>
          <w:i/>
          <w:iCs/>
          <w:sz w:val="24"/>
          <w:szCs w:val="24"/>
        </w:rPr>
        <w:t>Ther</w:t>
      </w:r>
      <w:proofErr w:type="spellEnd"/>
      <w:r>
        <w:rPr>
          <w:rFonts w:ascii="Times New Roman" w:eastAsia="Times New Roman" w:hAnsi="Times New Roman" w:cs="Times New Roman"/>
          <w:i/>
          <w:iCs/>
          <w:sz w:val="24"/>
          <w:szCs w:val="24"/>
        </w:rPr>
        <w:t xml:space="preserve"> Adv Endocrinol </w:t>
      </w:r>
      <w:proofErr w:type="spellStart"/>
      <w:r>
        <w:rPr>
          <w:rFonts w:ascii="Times New Roman" w:eastAsia="Times New Roman" w:hAnsi="Times New Roman" w:cs="Times New Roman"/>
          <w:i/>
          <w:iCs/>
          <w:sz w:val="24"/>
          <w:szCs w:val="24"/>
        </w:rPr>
        <w:t>Metab</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2020;11:2042018820917869</w:t>
      </w:r>
      <w:proofErr w:type="gramEnd"/>
      <w:r>
        <w:rPr>
          <w:rFonts w:ascii="Times New Roman" w:eastAsia="Times New Roman" w:hAnsi="Times New Roman" w:cs="Times New Roman"/>
          <w:sz w:val="24"/>
          <w:szCs w:val="24"/>
        </w:rPr>
        <w:t>. doi:10.1177/2042018820917869</w:t>
      </w:r>
    </w:p>
    <w:p w:rsidR="00900205" w:rsidRDefault="0068219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McCosh RB, Breen KM, Kauffman AS. Neural and endocrine mechanisms underlying stress-induced suppression of pulsatile LH secretion. </w:t>
      </w:r>
      <w:r>
        <w:rPr>
          <w:rFonts w:ascii="Times New Roman" w:eastAsia="Times New Roman" w:hAnsi="Times New Roman" w:cs="Times New Roman"/>
          <w:i/>
          <w:iCs/>
          <w:sz w:val="24"/>
          <w:szCs w:val="24"/>
        </w:rPr>
        <w:t>Mol Cell</w:t>
      </w:r>
      <w:r>
        <w:rPr>
          <w:rFonts w:ascii="Times New Roman" w:eastAsia="Times New Roman" w:hAnsi="Times New Roman" w:cs="Times New Roman"/>
          <w:i/>
          <w:iCs/>
          <w:sz w:val="24"/>
          <w:szCs w:val="24"/>
        </w:rPr>
        <w:t xml:space="preserve"> Endocrinol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2019;498:110579</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doi:10.1016/j.mce</w:t>
      </w:r>
      <w:proofErr w:type="gramEnd"/>
      <w:r>
        <w:rPr>
          <w:rFonts w:ascii="Times New Roman" w:eastAsia="Times New Roman" w:hAnsi="Times New Roman" w:cs="Times New Roman"/>
          <w:sz w:val="24"/>
          <w:szCs w:val="24"/>
        </w:rPr>
        <w:t>.2019.110579</w:t>
      </w:r>
    </w:p>
    <w:p w:rsidR="00E8643D" w:rsidRDefault="00E8643D">
      <w:pPr>
        <w:numPr>
          <w:ilvl w:val="0"/>
          <w:numId w:val="1"/>
        </w:numPr>
        <w:spacing w:line="240" w:lineRule="auto"/>
        <w:jc w:val="both"/>
        <w:rPr>
          <w:rFonts w:ascii="Times New Roman" w:eastAsia="Times New Roman" w:hAnsi="Times New Roman" w:cs="Times New Roman"/>
          <w:sz w:val="24"/>
          <w:szCs w:val="24"/>
        </w:rPr>
      </w:pPr>
      <w:r w:rsidRPr="00E8643D">
        <w:rPr>
          <w:rFonts w:ascii="Times New Roman" w:eastAsia="Times New Roman" w:hAnsi="Times New Roman" w:cs="Times New Roman"/>
          <w:sz w:val="24"/>
          <w:szCs w:val="24"/>
        </w:rPr>
        <w:t xml:space="preserve">Sadiq, N. M., &amp; </w:t>
      </w:r>
      <w:proofErr w:type="spellStart"/>
      <w:r w:rsidRPr="00E8643D">
        <w:rPr>
          <w:rFonts w:ascii="Times New Roman" w:eastAsia="Times New Roman" w:hAnsi="Times New Roman" w:cs="Times New Roman"/>
          <w:sz w:val="24"/>
          <w:szCs w:val="24"/>
        </w:rPr>
        <w:t>Tadi</w:t>
      </w:r>
      <w:proofErr w:type="spellEnd"/>
      <w:r w:rsidRPr="00E8643D">
        <w:rPr>
          <w:rFonts w:ascii="Times New Roman" w:eastAsia="Times New Roman" w:hAnsi="Times New Roman" w:cs="Times New Roman"/>
          <w:sz w:val="24"/>
          <w:szCs w:val="24"/>
        </w:rPr>
        <w:t xml:space="preserve">, P. (2023). Physiology, pituitary hormones. In </w:t>
      </w:r>
      <w:proofErr w:type="spellStart"/>
      <w:r w:rsidRPr="00E8643D">
        <w:rPr>
          <w:rFonts w:ascii="Times New Roman" w:eastAsia="Times New Roman" w:hAnsi="Times New Roman" w:cs="Times New Roman"/>
          <w:sz w:val="24"/>
          <w:szCs w:val="24"/>
        </w:rPr>
        <w:t>StatPearls</w:t>
      </w:r>
      <w:proofErr w:type="spellEnd"/>
      <w:r w:rsidRPr="00E8643D">
        <w:rPr>
          <w:rFonts w:ascii="Times New Roman" w:eastAsia="Times New Roman" w:hAnsi="Times New Roman" w:cs="Times New Roman"/>
          <w:sz w:val="24"/>
          <w:szCs w:val="24"/>
        </w:rPr>
        <w:t xml:space="preserve"> [Internet]. </w:t>
      </w:r>
      <w:proofErr w:type="spellStart"/>
      <w:r w:rsidRPr="00E8643D">
        <w:rPr>
          <w:rFonts w:ascii="Times New Roman" w:eastAsia="Times New Roman" w:hAnsi="Times New Roman" w:cs="Times New Roman"/>
          <w:sz w:val="24"/>
          <w:szCs w:val="24"/>
        </w:rPr>
        <w:t>StatPearls</w:t>
      </w:r>
      <w:proofErr w:type="spellEnd"/>
      <w:r w:rsidRPr="00E8643D">
        <w:rPr>
          <w:rFonts w:ascii="Times New Roman" w:eastAsia="Times New Roman" w:hAnsi="Times New Roman" w:cs="Times New Roman"/>
          <w:sz w:val="24"/>
          <w:szCs w:val="24"/>
        </w:rPr>
        <w:t xml:space="preserve"> Publishing. </w:t>
      </w:r>
      <w:hyperlink r:id="rId9" w:history="1">
        <w:r w:rsidRPr="001073C3">
          <w:rPr>
            <w:rStyle w:val="Hyperlink"/>
            <w:rFonts w:ascii="Times New Roman" w:eastAsia="Times New Roman" w:hAnsi="Times New Roman" w:cs="Times New Roman"/>
            <w:sz w:val="24"/>
            <w:szCs w:val="24"/>
          </w:rPr>
          <w:t>https://www.ncbi.nlm.nih.gov/books/NBK557556/</w:t>
        </w:r>
      </w:hyperlink>
    </w:p>
    <w:p w:rsidR="00900205" w:rsidRDefault="00682199">
      <w:pPr>
        <w:numPr>
          <w:ilvl w:val="0"/>
          <w:numId w:val="1"/>
        </w:numPr>
        <w:spacing w:line="240" w:lineRule="auto"/>
        <w:jc w:val="both"/>
        <w:rPr>
          <w:rFonts w:ascii="Times New Roman" w:eastAsia="Times New Roman" w:hAnsi="Times New Roman" w:cs="Times New Roman"/>
          <w:sz w:val="24"/>
          <w:szCs w:val="24"/>
        </w:rPr>
      </w:pPr>
      <w:bookmarkStart w:id="0" w:name="_GoBack"/>
      <w:bookmarkEnd w:id="0"/>
      <w:proofErr w:type="spellStart"/>
      <w:r>
        <w:rPr>
          <w:rFonts w:ascii="Times New Roman" w:eastAsia="Times New Roman" w:hAnsi="Times New Roman" w:cs="Times New Roman"/>
          <w:sz w:val="24"/>
          <w:szCs w:val="24"/>
        </w:rPr>
        <w:t>Męczekalski</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Niwczyk</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Battipaglia</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Troia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Kostrzak</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Bala</w:t>
      </w:r>
      <w:proofErr w:type="spellEnd"/>
      <w:r>
        <w:rPr>
          <w:rFonts w:ascii="Times New Roman" w:eastAsia="Times New Roman" w:hAnsi="Times New Roman" w:cs="Times New Roman"/>
          <w:sz w:val="24"/>
          <w:szCs w:val="24"/>
        </w:rPr>
        <w:t xml:space="preserve"> G, et al. Neuroendocrine disturbances in women with functional hypothalamic amenorrhea: An update and future directions. </w:t>
      </w:r>
      <w:r>
        <w:rPr>
          <w:rFonts w:ascii="Times New Roman" w:eastAsia="Times New Roman" w:hAnsi="Times New Roman" w:cs="Times New Roman"/>
          <w:i/>
          <w:iCs/>
          <w:sz w:val="24"/>
          <w:szCs w:val="24"/>
        </w:rPr>
        <w:t>Endocrine</w:t>
      </w:r>
      <w:r>
        <w:rPr>
          <w:rFonts w:ascii="Times New Roman" w:eastAsia="Times New Roman" w:hAnsi="Times New Roman" w:cs="Times New Roman"/>
          <w:sz w:val="24"/>
          <w:szCs w:val="24"/>
        </w:rPr>
        <w:t>. 2024;84(3):769–785. doi:10.1007/s12020-023-03619-w</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Rial-Pensado</w:t>
      </w:r>
      <w:proofErr w:type="spellEnd"/>
      <w:r>
        <w:rPr>
          <w:rFonts w:ascii="Times New Roman" w:eastAsia="Times New Roman" w:hAnsi="Times New Roman" w:cs="Times New Roman"/>
          <w:sz w:val="24"/>
          <w:szCs w:val="24"/>
        </w:rPr>
        <w:t xml:space="preserve"> E, Rivas-</w:t>
      </w:r>
      <w:proofErr w:type="spellStart"/>
      <w:r>
        <w:rPr>
          <w:rFonts w:ascii="Times New Roman" w:eastAsia="Times New Roman" w:hAnsi="Times New Roman" w:cs="Times New Roman"/>
          <w:sz w:val="24"/>
          <w:szCs w:val="24"/>
        </w:rPr>
        <w:t>Limeres</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Grijota</w:t>
      </w:r>
      <w:proofErr w:type="spellEnd"/>
      <w:r>
        <w:rPr>
          <w:rFonts w:ascii="Times New Roman" w:eastAsia="Times New Roman" w:hAnsi="Times New Roman" w:cs="Times New Roman"/>
          <w:sz w:val="24"/>
          <w:szCs w:val="24"/>
        </w:rPr>
        <w:t xml:space="preserve">-Martínez C, Rodríguez-Díaz A, </w:t>
      </w:r>
      <w:proofErr w:type="spellStart"/>
      <w:r>
        <w:rPr>
          <w:rFonts w:ascii="Times New Roman" w:eastAsia="Times New Roman" w:hAnsi="Times New Roman" w:cs="Times New Roman"/>
          <w:sz w:val="24"/>
          <w:szCs w:val="24"/>
        </w:rPr>
        <w:t>Capelli</w:t>
      </w:r>
      <w:proofErr w:type="spellEnd"/>
      <w:r>
        <w:rPr>
          <w:rFonts w:ascii="Times New Roman" w:eastAsia="Times New Roman" w:hAnsi="Times New Roman" w:cs="Times New Roman"/>
          <w:sz w:val="24"/>
          <w:szCs w:val="24"/>
        </w:rPr>
        <w:t xml:space="preserve"> V, Barca-Mayo O, et al. Temperature modulates systemic and central actions of thyroid hormones on BAT thermogenesis. </w:t>
      </w:r>
      <w:r>
        <w:rPr>
          <w:rFonts w:ascii="Times New Roman" w:eastAsia="Times New Roman" w:hAnsi="Times New Roman" w:cs="Times New Roman"/>
          <w:i/>
          <w:iCs/>
          <w:sz w:val="24"/>
          <w:szCs w:val="24"/>
        </w:rPr>
        <w:t xml:space="preserve">Front </w:t>
      </w:r>
      <w:r>
        <w:rPr>
          <w:rFonts w:ascii="Times New Roman" w:eastAsia="Times New Roman" w:hAnsi="Times New Roman" w:cs="Times New Roman"/>
          <w:i/>
          <w:iCs/>
          <w:sz w:val="24"/>
          <w:szCs w:val="24"/>
        </w:rPr>
        <w:t>Physiol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2022;13:1017381</w:t>
      </w:r>
      <w:proofErr w:type="gramEnd"/>
      <w:r>
        <w:rPr>
          <w:rFonts w:ascii="Times New Roman" w:eastAsia="Times New Roman" w:hAnsi="Times New Roman" w:cs="Times New Roman"/>
          <w:sz w:val="24"/>
          <w:szCs w:val="24"/>
        </w:rPr>
        <w:t>. doi:10.3389/fphys.2022.1017381</w:t>
      </w:r>
    </w:p>
    <w:p w:rsidR="00900205" w:rsidRDefault="0068219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Modenese A, </w:t>
      </w:r>
      <w:proofErr w:type="spellStart"/>
      <w:r>
        <w:rPr>
          <w:rFonts w:ascii="Times New Roman" w:eastAsia="Times New Roman" w:hAnsi="Times New Roman" w:cs="Times New Roman"/>
          <w:sz w:val="24"/>
          <w:szCs w:val="24"/>
        </w:rPr>
        <w:t>Korpinen</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Gobba</w:t>
      </w:r>
      <w:proofErr w:type="spellEnd"/>
      <w:r>
        <w:rPr>
          <w:rFonts w:ascii="Times New Roman" w:eastAsia="Times New Roman" w:hAnsi="Times New Roman" w:cs="Times New Roman"/>
          <w:sz w:val="24"/>
          <w:szCs w:val="24"/>
        </w:rPr>
        <w:t xml:space="preserve"> F. Solar radiation exposure and outdoor work: An underestimated occupational risk. </w:t>
      </w:r>
      <w:r>
        <w:rPr>
          <w:rFonts w:ascii="Times New Roman" w:eastAsia="Times New Roman" w:hAnsi="Times New Roman" w:cs="Times New Roman"/>
          <w:i/>
          <w:iCs/>
          <w:sz w:val="24"/>
          <w:szCs w:val="24"/>
        </w:rPr>
        <w:t>Int J Environ Res Public Health</w:t>
      </w:r>
      <w:r>
        <w:rPr>
          <w:rFonts w:ascii="Times New Roman" w:eastAsia="Times New Roman" w:hAnsi="Times New Roman" w:cs="Times New Roman"/>
          <w:sz w:val="24"/>
          <w:szCs w:val="24"/>
        </w:rPr>
        <w:t>. 2018;15(10):2063. doi:10.3390/ijerph15102063</w:t>
      </w:r>
    </w:p>
    <w:p w:rsidR="00900205" w:rsidRDefault="0068219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Mancini </w:t>
      </w:r>
      <w:r>
        <w:rPr>
          <w:rFonts w:ascii="Times New Roman" w:eastAsia="Times New Roman" w:hAnsi="Times New Roman" w:cs="Times New Roman"/>
          <w:sz w:val="24"/>
          <w:szCs w:val="24"/>
        </w:rPr>
        <w:t xml:space="preserve">A, Di </w:t>
      </w:r>
      <w:proofErr w:type="spellStart"/>
      <w:r>
        <w:rPr>
          <w:rFonts w:ascii="Times New Roman" w:eastAsia="Times New Roman" w:hAnsi="Times New Roman" w:cs="Times New Roman"/>
          <w:sz w:val="24"/>
          <w:szCs w:val="24"/>
        </w:rPr>
        <w:t>Segni</w:t>
      </w:r>
      <w:proofErr w:type="spellEnd"/>
      <w:r>
        <w:rPr>
          <w:rFonts w:ascii="Times New Roman" w:eastAsia="Times New Roman" w:hAnsi="Times New Roman" w:cs="Times New Roman"/>
          <w:sz w:val="24"/>
          <w:szCs w:val="24"/>
        </w:rPr>
        <w:t xml:space="preserve"> C, Raimondo S, </w:t>
      </w:r>
      <w:proofErr w:type="spellStart"/>
      <w:r>
        <w:rPr>
          <w:rFonts w:ascii="Times New Roman" w:eastAsia="Times New Roman" w:hAnsi="Times New Roman" w:cs="Times New Roman"/>
          <w:sz w:val="24"/>
          <w:szCs w:val="24"/>
        </w:rPr>
        <w:t>Olivieri</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Silvestrini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Meucci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Currò</w:t>
      </w:r>
      <w:proofErr w:type="spellEnd"/>
      <w:r>
        <w:rPr>
          <w:rFonts w:ascii="Times New Roman" w:eastAsia="Times New Roman" w:hAnsi="Times New Roman" w:cs="Times New Roman"/>
          <w:sz w:val="24"/>
          <w:szCs w:val="24"/>
        </w:rPr>
        <w:t xml:space="preserve"> D. Thyroid hormones, oxidative stress, and inflammation. </w:t>
      </w:r>
      <w:r>
        <w:rPr>
          <w:rFonts w:ascii="Times New Roman" w:eastAsia="Times New Roman" w:hAnsi="Times New Roman" w:cs="Times New Roman"/>
          <w:i/>
          <w:iCs/>
          <w:sz w:val="24"/>
          <w:szCs w:val="24"/>
        </w:rPr>
        <w:t xml:space="preserve">Mediators </w:t>
      </w:r>
      <w:proofErr w:type="spellStart"/>
      <w:r>
        <w:rPr>
          <w:rFonts w:ascii="Times New Roman" w:eastAsia="Times New Roman" w:hAnsi="Times New Roman" w:cs="Times New Roman"/>
          <w:i/>
          <w:iCs/>
          <w:sz w:val="24"/>
          <w:szCs w:val="24"/>
        </w:rPr>
        <w:t>Inflamm</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2016;2016:6757154</w:t>
      </w:r>
      <w:proofErr w:type="gramEnd"/>
      <w:r>
        <w:rPr>
          <w:rFonts w:ascii="Times New Roman" w:eastAsia="Times New Roman" w:hAnsi="Times New Roman" w:cs="Times New Roman"/>
          <w:sz w:val="24"/>
          <w:szCs w:val="24"/>
        </w:rPr>
        <w:t>. doi:10.1155/2016/6757154</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Emokpae</w:t>
      </w:r>
      <w:proofErr w:type="spellEnd"/>
      <w:r>
        <w:rPr>
          <w:rFonts w:ascii="Times New Roman" w:eastAsia="Times New Roman" w:hAnsi="Times New Roman" w:cs="Times New Roman"/>
          <w:sz w:val="24"/>
          <w:szCs w:val="24"/>
        </w:rPr>
        <w:t xml:space="preserve"> MA, </w:t>
      </w:r>
      <w:proofErr w:type="spellStart"/>
      <w:r>
        <w:rPr>
          <w:rFonts w:ascii="Times New Roman" w:eastAsia="Times New Roman" w:hAnsi="Times New Roman" w:cs="Times New Roman"/>
          <w:sz w:val="24"/>
          <w:szCs w:val="24"/>
        </w:rPr>
        <w:t>Obazelu</w:t>
      </w:r>
      <w:proofErr w:type="spellEnd"/>
      <w:r>
        <w:rPr>
          <w:rFonts w:ascii="Times New Roman" w:eastAsia="Times New Roman" w:hAnsi="Times New Roman" w:cs="Times New Roman"/>
          <w:sz w:val="24"/>
          <w:szCs w:val="24"/>
        </w:rPr>
        <w:t xml:space="preserve"> PA. The association of triiodothyronine-to-thy</w:t>
      </w:r>
      <w:r>
        <w:rPr>
          <w:rFonts w:ascii="Times New Roman" w:eastAsia="Times New Roman" w:hAnsi="Times New Roman" w:cs="Times New Roman"/>
          <w:sz w:val="24"/>
          <w:szCs w:val="24"/>
        </w:rPr>
        <w:t xml:space="preserve">roxine ratio with body mass index in obese Nigerian children and adolescents. </w:t>
      </w:r>
      <w:r>
        <w:rPr>
          <w:rFonts w:ascii="Times New Roman" w:eastAsia="Times New Roman" w:hAnsi="Times New Roman" w:cs="Times New Roman"/>
          <w:i/>
          <w:iCs/>
          <w:sz w:val="24"/>
          <w:szCs w:val="24"/>
        </w:rPr>
        <w:t>Med Sci (Basel)</w:t>
      </w:r>
      <w:r>
        <w:rPr>
          <w:rFonts w:ascii="Times New Roman" w:eastAsia="Times New Roman" w:hAnsi="Times New Roman" w:cs="Times New Roman"/>
          <w:sz w:val="24"/>
          <w:szCs w:val="24"/>
        </w:rPr>
        <w:t>. 2017;5(4):36. doi:10.3390/medsci5040036</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Zwahlen</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Gairin</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Vianello</w:t>
      </w:r>
      <w:proofErr w:type="spellEnd"/>
      <w:r>
        <w:rPr>
          <w:rFonts w:ascii="Times New Roman" w:eastAsia="Times New Roman" w:hAnsi="Times New Roman" w:cs="Times New Roman"/>
          <w:sz w:val="24"/>
          <w:szCs w:val="24"/>
        </w:rPr>
        <w:t xml:space="preserve"> S, Mercader M, Roux N, </w:t>
      </w:r>
      <w:proofErr w:type="spellStart"/>
      <w:r>
        <w:rPr>
          <w:rFonts w:ascii="Times New Roman" w:eastAsia="Times New Roman" w:hAnsi="Times New Roman" w:cs="Times New Roman"/>
          <w:sz w:val="24"/>
          <w:szCs w:val="24"/>
        </w:rPr>
        <w:t>Laudet</w:t>
      </w:r>
      <w:proofErr w:type="spellEnd"/>
      <w:r>
        <w:rPr>
          <w:rFonts w:ascii="Times New Roman" w:eastAsia="Times New Roman" w:hAnsi="Times New Roman" w:cs="Times New Roman"/>
          <w:sz w:val="24"/>
          <w:szCs w:val="24"/>
        </w:rPr>
        <w:t xml:space="preserve"> V. The ecological function of thyroid hormones. </w:t>
      </w:r>
      <w:proofErr w:type="spellStart"/>
      <w:r>
        <w:rPr>
          <w:rFonts w:ascii="Times New Roman" w:eastAsia="Times New Roman" w:hAnsi="Times New Roman" w:cs="Times New Roman"/>
          <w:i/>
          <w:iCs/>
          <w:sz w:val="24"/>
          <w:szCs w:val="24"/>
        </w:rPr>
        <w:t>Philos</w:t>
      </w:r>
      <w:proofErr w:type="spellEnd"/>
      <w:r>
        <w:rPr>
          <w:rFonts w:ascii="Times New Roman" w:eastAsia="Times New Roman" w:hAnsi="Times New Roman" w:cs="Times New Roman"/>
          <w:i/>
          <w:iCs/>
          <w:sz w:val="24"/>
          <w:szCs w:val="24"/>
        </w:rPr>
        <w:t xml:space="preserve"> Trans </w:t>
      </w:r>
      <w:r>
        <w:rPr>
          <w:rFonts w:ascii="Times New Roman" w:eastAsia="Times New Roman" w:hAnsi="Times New Roman" w:cs="Times New Roman"/>
          <w:i/>
          <w:iCs/>
          <w:sz w:val="24"/>
          <w:szCs w:val="24"/>
        </w:rPr>
        <w:t xml:space="preserve">R Soc </w:t>
      </w:r>
      <w:proofErr w:type="spellStart"/>
      <w:r>
        <w:rPr>
          <w:rFonts w:ascii="Times New Roman" w:eastAsia="Times New Roman" w:hAnsi="Times New Roman" w:cs="Times New Roman"/>
          <w:i/>
          <w:iCs/>
          <w:sz w:val="24"/>
          <w:szCs w:val="24"/>
        </w:rPr>
        <w:t>Lond</w:t>
      </w:r>
      <w:proofErr w:type="spellEnd"/>
      <w:r>
        <w:rPr>
          <w:rFonts w:ascii="Times New Roman" w:eastAsia="Times New Roman" w:hAnsi="Times New Roman" w:cs="Times New Roman"/>
          <w:i/>
          <w:iCs/>
          <w:sz w:val="24"/>
          <w:szCs w:val="24"/>
        </w:rPr>
        <w:t xml:space="preserve"> B Biol Sci</w:t>
      </w:r>
      <w:r>
        <w:rPr>
          <w:rFonts w:ascii="Times New Roman" w:eastAsia="Times New Roman" w:hAnsi="Times New Roman" w:cs="Times New Roman"/>
          <w:sz w:val="24"/>
          <w:szCs w:val="24"/>
        </w:rPr>
        <w:t>. 2024;379(1898):20220511. doi:10.1098/rstb.2022.0511</w:t>
      </w:r>
    </w:p>
    <w:p w:rsidR="00900205" w:rsidRDefault="0068219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TC, Braun AC, Dutra RPD, </w:t>
      </w:r>
      <w:proofErr w:type="spellStart"/>
      <w:r>
        <w:rPr>
          <w:rFonts w:ascii="Times New Roman" w:eastAsia="Times New Roman" w:hAnsi="Times New Roman" w:cs="Times New Roman"/>
          <w:sz w:val="24"/>
          <w:szCs w:val="24"/>
        </w:rPr>
        <w:t>Breit</w:t>
      </w:r>
      <w:proofErr w:type="spellEnd"/>
      <w:r>
        <w:rPr>
          <w:rFonts w:ascii="Times New Roman" w:eastAsia="Times New Roman" w:hAnsi="Times New Roman" w:cs="Times New Roman"/>
          <w:sz w:val="24"/>
          <w:szCs w:val="24"/>
        </w:rPr>
        <w:t xml:space="preserve"> MMM, Abib JB, </w:t>
      </w:r>
      <w:proofErr w:type="spellStart"/>
      <w:r>
        <w:rPr>
          <w:rFonts w:ascii="Times New Roman" w:eastAsia="Times New Roman" w:hAnsi="Times New Roman" w:cs="Times New Roman"/>
          <w:sz w:val="24"/>
          <w:szCs w:val="24"/>
        </w:rPr>
        <w:t>Thomazini</w:t>
      </w:r>
      <w:proofErr w:type="spellEnd"/>
      <w:r>
        <w:rPr>
          <w:rFonts w:ascii="Times New Roman" w:eastAsia="Times New Roman" w:hAnsi="Times New Roman" w:cs="Times New Roman"/>
          <w:sz w:val="24"/>
          <w:szCs w:val="24"/>
        </w:rPr>
        <w:t xml:space="preserve"> LCD, et al. Induction of type 2 and 3 </w:t>
      </w:r>
      <w:proofErr w:type="gramStart"/>
      <w:r>
        <w:rPr>
          <w:rFonts w:ascii="Times New Roman" w:eastAsia="Times New Roman" w:hAnsi="Times New Roman" w:cs="Times New Roman"/>
          <w:sz w:val="24"/>
          <w:szCs w:val="24"/>
        </w:rPr>
        <w:t>deiodinase</w:t>
      </w:r>
      <w:proofErr w:type="gramEnd"/>
      <w:r>
        <w:rPr>
          <w:rFonts w:ascii="Times New Roman" w:eastAsia="Times New Roman" w:hAnsi="Times New Roman" w:cs="Times New Roman"/>
          <w:sz w:val="24"/>
          <w:szCs w:val="24"/>
        </w:rPr>
        <w:t xml:space="preserve"> in the blood cells of critically ill patients. </w:t>
      </w:r>
      <w:proofErr w:type="spellStart"/>
      <w:r>
        <w:rPr>
          <w:rFonts w:ascii="Times New Roman" w:eastAsia="Times New Roman" w:hAnsi="Times New Roman" w:cs="Times New Roman"/>
          <w:i/>
          <w:iCs/>
          <w:sz w:val="24"/>
          <w:szCs w:val="24"/>
        </w:rPr>
        <w:t>Endocr</w:t>
      </w:r>
      <w:proofErr w:type="spellEnd"/>
      <w:r>
        <w:rPr>
          <w:rFonts w:ascii="Times New Roman" w:eastAsia="Times New Roman" w:hAnsi="Times New Roman" w:cs="Times New Roman"/>
          <w:i/>
          <w:iCs/>
          <w:sz w:val="24"/>
          <w:szCs w:val="24"/>
        </w:rPr>
        <w:t xml:space="preserve"> Connect</w:t>
      </w:r>
      <w:r>
        <w:rPr>
          <w:rFonts w:ascii="Times New Roman" w:eastAsia="Times New Roman" w:hAnsi="Times New Roman" w:cs="Times New Roman"/>
          <w:sz w:val="24"/>
          <w:szCs w:val="24"/>
        </w:rPr>
        <w:t>. 2025;</w:t>
      </w:r>
      <w:r>
        <w:rPr>
          <w:rFonts w:ascii="Times New Roman" w:eastAsia="Times New Roman" w:hAnsi="Times New Roman" w:cs="Times New Roman"/>
          <w:sz w:val="24"/>
          <w:szCs w:val="24"/>
        </w:rPr>
        <w:t>14(4</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240677. doi:10.1530/EC-24-0677</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Erhunmwunse</w:t>
      </w:r>
      <w:proofErr w:type="spellEnd"/>
      <w:r>
        <w:rPr>
          <w:rFonts w:ascii="Times New Roman" w:eastAsia="Times New Roman" w:hAnsi="Times New Roman" w:cs="Times New Roman"/>
          <w:sz w:val="24"/>
          <w:szCs w:val="24"/>
        </w:rPr>
        <w:t xml:space="preserve"> RU, </w:t>
      </w:r>
      <w:proofErr w:type="spellStart"/>
      <w:r>
        <w:rPr>
          <w:rFonts w:ascii="Times New Roman" w:eastAsia="Times New Roman" w:hAnsi="Times New Roman" w:cs="Times New Roman"/>
          <w:sz w:val="24"/>
          <w:szCs w:val="24"/>
        </w:rPr>
        <w:t>Imene</w:t>
      </w:r>
      <w:proofErr w:type="spellEnd"/>
      <w:r>
        <w:rPr>
          <w:rFonts w:ascii="Times New Roman" w:eastAsia="Times New Roman" w:hAnsi="Times New Roman" w:cs="Times New Roman"/>
          <w:sz w:val="24"/>
          <w:szCs w:val="24"/>
        </w:rPr>
        <w:t xml:space="preserve"> SO, </w:t>
      </w:r>
      <w:proofErr w:type="spellStart"/>
      <w:r>
        <w:rPr>
          <w:rFonts w:ascii="Times New Roman" w:eastAsia="Times New Roman" w:hAnsi="Times New Roman" w:cs="Times New Roman"/>
          <w:sz w:val="24"/>
          <w:szCs w:val="24"/>
        </w:rPr>
        <w:t>Akpata</w:t>
      </w:r>
      <w:proofErr w:type="spellEnd"/>
      <w:r>
        <w:rPr>
          <w:rFonts w:ascii="Times New Roman" w:eastAsia="Times New Roman" w:hAnsi="Times New Roman" w:cs="Times New Roman"/>
          <w:sz w:val="24"/>
          <w:szCs w:val="24"/>
        </w:rPr>
        <w:t xml:space="preserve"> CBN. Effect of continuous exposure under high voltage overhead powerline on thyroid function. </w:t>
      </w:r>
      <w:r>
        <w:rPr>
          <w:rFonts w:ascii="Times New Roman" w:eastAsia="Times New Roman" w:hAnsi="Times New Roman" w:cs="Times New Roman"/>
          <w:i/>
          <w:iCs/>
          <w:sz w:val="24"/>
          <w:szCs w:val="24"/>
        </w:rPr>
        <w:t>Asian J Res Rep Endocrinol</w:t>
      </w:r>
      <w:r>
        <w:rPr>
          <w:rFonts w:ascii="Times New Roman" w:eastAsia="Times New Roman" w:hAnsi="Times New Roman" w:cs="Times New Roman"/>
          <w:sz w:val="24"/>
          <w:szCs w:val="24"/>
        </w:rPr>
        <w:t>. 2025;8(1):110–117. doi:10.9734/</w:t>
      </w:r>
      <w:proofErr w:type="spellStart"/>
      <w:r>
        <w:rPr>
          <w:rFonts w:ascii="Times New Roman" w:eastAsia="Times New Roman" w:hAnsi="Times New Roman" w:cs="Times New Roman"/>
          <w:sz w:val="24"/>
          <w:szCs w:val="24"/>
        </w:rPr>
        <w:t>ajrre</w:t>
      </w:r>
      <w:proofErr w:type="spellEnd"/>
      <w:r>
        <w:rPr>
          <w:rFonts w:ascii="Times New Roman" w:eastAsia="Times New Roman" w:hAnsi="Times New Roman" w:cs="Times New Roman"/>
          <w:sz w:val="24"/>
          <w:szCs w:val="24"/>
        </w:rPr>
        <w:t>/2025/v8i1111</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Gopichandani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 Arora P, </w:t>
      </w:r>
      <w:proofErr w:type="spellStart"/>
      <w:r>
        <w:rPr>
          <w:rFonts w:ascii="Times New Roman" w:eastAsia="Times New Roman" w:hAnsi="Times New Roman" w:cs="Times New Roman"/>
          <w:sz w:val="24"/>
          <w:szCs w:val="24"/>
        </w:rPr>
        <w:t>Garga</w:t>
      </w:r>
      <w:proofErr w:type="spellEnd"/>
      <w:r>
        <w:rPr>
          <w:rFonts w:ascii="Times New Roman" w:eastAsia="Times New Roman" w:hAnsi="Times New Roman" w:cs="Times New Roman"/>
          <w:sz w:val="24"/>
          <w:szCs w:val="24"/>
        </w:rPr>
        <w:t xml:space="preserve"> U, Bhardwaj M, Sharma N, Gautam RK. Hormonal profile of melasma in Indian females. </w:t>
      </w:r>
      <w:r>
        <w:rPr>
          <w:rFonts w:ascii="Times New Roman" w:eastAsia="Times New Roman" w:hAnsi="Times New Roman" w:cs="Times New Roman"/>
          <w:i/>
          <w:iCs/>
          <w:sz w:val="24"/>
          <w:szCs w:val="24"/>
        </w:rPr>
        <w:t>Pigment Int</w:t>
      </w:r>
      <w:r>
        <w:rPr>
          <w:rFonts w:ascii="Times New Roman" w:eastAsia="Times New Roman" w:hAnsi="Times New Roman" w:cs="Times New Roman"/>
          <w:sz w:val="24"/>
          <w:szCs w:val="24"/>
        </w:rPr>
        <w:t>. 2015;2(2):85–90. doi:10.4103/2349-5847.172776</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Ogunro</w:t>
      </w:r>
      <w:proofErr w:type="spellEnd"/>
      <w:r>
        <w:rPr>
          <w:rFonts w:ascii="Times New Roman" w:eastAsia="Times New Roman" w:hAnsi="Times New Roman" w:cs="Times New Roman"/>
          <w:sz w:val="24"/>
          <w:szCs w:val="24"/>
        </w:rPr>
        <w:t xml:space="preserve"> OB, </w:t>
      </w:r>
      <w:proofErr w:type="spellStart"/>
      <w:r>
        <w:rPr>
          <w:rFonts w:ascii="Times New Roman" w:eastAsia="Times New Roman" w:hAnsi="Times New Roman" w:cs="Times New Roman"/>
          <w:sz w:val="24"/>
          <w:szCs w:val="24"/>
        </w:rPr>
        <w:t>Asejeje</w:t>
      </w:r>
      <w:proofErr w:type="spellEnd"/>
      <w:r>
        <w:rPr>
          <w:rFonts w:ascii="Times New Roman" w:eastAsia="Times New Roman" w:hAnsi="Times New Roman" w:cs="Times New Roman"/>
          <w:sz w:val="24"/>
          <w:szCs w:val="24"/>
        </w:rPr>
        <w:t xml:space="preserve"> FO, </w:t>
      </w:r>
      <w:proofErr w:type="spellStart"/>
      <w:r>
        <w:rPr>
          <w:rFonts w:ascii="Times New Roman" w:eastAsia="Times New Roman" w:hAnsi="Times New Roman" w:cs="Times New Roman"/>
          <w:sz w:val="24"/>
          <w:szCs w:val="24"/>
        </w:rPr>
        <w:t>Hamzat</w:t>
      </w:r>
      <w:proofErr w:type="spellEnd"/>
      <w:r>
        <w:rPr>
          <w:rFonts w:ascii="Times New Roman" w:eastAsia="Times New Roman" w:hAnsi="Times New Roman" w:cs="Times New Roman"/>
          <w:sz w:val="24"/>
          <w:szCs w:val="24"/>
        </w:rPr>
        <w:t xml:space="preserve"> ZO. Monosodium glutamate exacerbated the lipopolysaccharide-induce</w:t>
      </w:r>
      <w:r>
        <w:rPr>
          <w:rFonts w:ascii="Times New Roman" w:eastAsia="Times New Roman" w:hAnsi="Times New Roman" w:cs="Times New Roman"/>
          <w:sz w:val="24"/>
          <w:szCs w:val="24"/>
        </w:rPr>
        <w:t xml:space="preserve">d reproductive toxicity of male Wistar rats. </w:t>
      </w:r>
      <w:r>
        <w:rPr>
          <w:rFonts w:ascii="Times New Roman" w:eastAsia="Times New Roman" w:hAnsi="Times New Roman" w:cs="Times New Roman"/>
          <w:i/>
          <w:iCs/>
          <w:sz w:val="24"/>
          <w:szCs w:val="24"/>
        </w:rPr>
        <w:t xml:space="preserve">BMC </w:t>
      </w:r>
      <w:proofErr w:type="spellStart"/>
      <w:r>
        <w:rPr>
          <w:rFonts w:ascii="Times New Roman" w:eastAsia="Times New Roman" w:hAnsi="Times New Roman" w:cs="Times New Roman"/>
          <w:i/>
          <w:iCs/>
          <w:sz w:val="24"/>
          <w:szCs w:val="24"/>
        </w:rPr>
        <w:t>Pharmacol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Toxicol</w:t>
      </w:r>
      <w:proofErr w:type="spellEnd"/>
      <w:r>
        <w:rPr>
          <w:rFonts w:ascii="Times New Roman" w:eastAsia="Times New Roman" w:hAnsi="Times New Roman" w:cs="Times New Roman"/>
          <w:sz w:val="24"/>
          <w:szCs w:val="24"/>
        </w:rPr>
        <w:t>. 2025;26(1):140. doi:10.1186/s40360-025-00982-4</w:t>
      </w:r>
    </w:p>
    <w:p w:rsidR="00900205" w:rsidRDefault="0068219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Nath CK, Barman B, Das A, </w:t>
      </w:r>
      <w:proofErr w:type="spellStart"/>
      <w:r>
        <w:rPr>
          <w:rFonts w:ascii="Times New Roman" w:eastAsia="Times New Roman" w:hAnsi="Times New Roman" w:cs="Times New Roman"/>
          <w:sz w:val="24"/>
          <w:szCs w:val="24"/>
        </w:rPr>
        <w:t>Rajkhowa</w:t>
      </w:r>
      <w:proofErr w:type="spellEnd"/>
      <w:r>
        <w:rPr>
          <w:rFonts w:ascii="Times New Roman" w:eastAsia="Times New Roman" w:hAnsi="Times New Roman" w:cs="Times New Roman"/>
          <w:sz w:val="24"/>
          <w:szCs w:val="24"/>
        </w:rPr>
        <w:t xml:space="preserve"> P, Baruah P, Baruah M, et al. Prolactin and thyroid stimulating hormone affecting the pattern of LH/FSH se</w:t>
      </w:r>
      <w:r>
        <w:rPr>
          <w:rFonts w:ascii="Times New Roman" w:eastAsia="Times New Roman" w:hAnsi="Times New Roman" w:cs="Times New Roman"/>
          <w:sz w:val="24"/>
          <w:szCs w:val="24"/>
        </w:rPr>
        <w:t xml:space="preserve">cretion in patients with polycystic </w:t>
      </w:r>
      <w:r>
        <w:rPr>
          <w:rFonts w:ascii="Times New Roman" w:eastAsia="Times New Roman" w:hAnsi="Times New Roman" w:cs="Times New Roman"/>
          <w:sz w:val="24"/>
          <w:szCs w:val="24"/>
        </w:rPr>
        <w:lastRenderedPageBreak/>
        <w:t xml:space="preserve">ovary syndrome: A hospital-based study from North East India. </w:t>
      </w:r>
      <w:r>
        <w:rPr>
          <w:rFonts w:ascii="Times New Roman" w:eastAsia="Times New Roman" w:hAnsi="Times New Roman" w:cs="Times New Roman"/>
          <w:i/>
          <w:iCs/>
          <w:sz w:val="24"/>
          <w:szCs w:val="24"/>
        </w:rPr>
        <w:t>J Family Med Prim Care</w:t>
      </w:r>
      <w:r>
        <w:rPr>
          <w:rFonts w:ascii="Times New Roman" w:eastAsia="Times New Roman" w:hAnsi="Times New Roman" w:cs="Times New Roman"/>
          <w:sz w:val="24"/>
          <w:szCs w:val="24"/>
        </w:rPr>
        <w:t xml:space="preserve">. 2019;8(1):256–260. </w:t>
      </w:r>
      <w:proofErr w:type="gramStart"/>
      <w:r>
        <w:rPr>
          <w:rFonts w:ascii="Times New Roman" w:eastAsia="Times New Roman" w:hAnsi="Times New Roman" w:cs="Times New Roman"/>
          <w:sz w:val="24"/>
          <w:szCs w:val="24"/>
        </w:rPr>
        <w:t>doi:10.4103/jfmpc.jfmpc</w:t>
      </w:r>
      <w:proofErr w:type="gramEnd"/>
      <w:r>
        <w:rPr>
          <w:rFonts w:ascii="Times New Roman" w:eastAsia="Times New Roman" w:hAnsi="Times New Roman" w:cs="Times New Roman"/>
          <w:sz w:val="24"/>
          <w:szCs w:val="24"/>
        </w:rPr>
        <w:t>_281_18</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Picci</w:t>
      </w:r>
      <w:proofErr w:type="spellEnd"/>
      <w:r>
        <w:rPr>
          <w:rFonts w:ascii="Times New Roman" w:eastAsia="Times New Roman" w:hAnsi="Times New Roman" w:cs="Times New Roman"/>
          <w:sz w:val="24"/>
          <w:szCs w:val="24"/>
        </w:rPr>
        <w:t xml:space="preserve"> G, Casagrande CC, Ott LR, Petro NM, Christopher-Hayes NJ, Johnson HJ, et al. D</w:t>
      </w:r>
      <w:r>
        <w:rPr>
          <w:rFonts w:ascii="Times New Roman" w:eastAsia="Times New Roman" w:hAnsi="Times New Roman" w:cs="Times New Roman"/>
          <w:sz w:val="24"/>
          <w:szCs w:val="24"/>
        </w:rPr>
        <w:t xml:space="preserve">ehydroepiandrosterone mediates associations between trauma-related symptoms and anterior pituitary volume in children and adolescents. </w:t>
      </w:r>
      <w:r>
        <w:rPr>
          <w:rFonts w:ascii="Times New Roman" w:eastAsia="Times New Roman" w:hAnsi="Times New Roman" w:cs="Times New Roman"/>
          <w:i/>
          <w:iCs/>
          <w:sz w:val="24"/>
          <w:szCs w:val="24"/>
        </w:rPr>
        <w:t>Hum Brain Mapp</w:t>
      </w:r>
      <w:r>
        <w:rPr>
          <w:rFonts w:ascii="Times New Roman" w:eastAsia="Times New Roman" w:hAnsi="Times New Roman" w:cs="Times New Roman"/>
          <w:sz w:val="24"/>
          <w:szCs w:val="24"/>
        </w:rPr>
        <w:t>. 2023;44(18):6388–6398. doi:10.1002/hbm.26516</w:t>
      </w:r>
    </w:p>
    <w:p w:rsidR="00900205" w:rsidRDefault="00682199">
      <w:pPr>
        <w:numPr>
          <w:ilvl w:val="0"/>
          <w:numId w:val="1"/>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Mullur</w:t>
      </w:r>
      <w:proofErr w:type="spellEnd"/>
      <w:r>
        <w:rPr>
          <w:rFonts w:ascii="Times New Roman" w:eastAsia="Times New Roman" w:hAnsi="Times New Roman" w:cs="Times New Roman"/>
          <w:sz w:val="24"/>
          <w:szCs w:val="24"/>
        </w:rPr>
        <w:t xml:space="preserve"> R, Liu YY, Brent GA. Thyroid hormone regulation of me</w:t>
      </w:r>
      <w:r>
        <w:rPr>
          <w:rFonts w:ascii="Times New Roman" w:eastAsia="Times New Roman" w:hAnsi="Times New Roman" w:cs="Times New Roman"/>
          <w:sz w:val="24"/>
          <w:szCs w:val="24"/>
        </w:rPr>
        <w:t xml:space="preserve">tabolism. </w:t>
      </w:r>
      <w:proofErr w:type="spellStart"/>
      <w:r>
        <w:rPr>
          <w:rFonts w:ascii="Times New Roman" w:eastAsia="Times New Roman" w:hAnsi="Times New Roman" w:cs="Times New Roman"/>
          <w:i/>
          <w:iCs/>
          <w:sz w:val="24"/>
          <w:szCs w:val="24"/>
        </w:rPr>
        <w:t>Physiol</w:t>
      </w:r>
      <w:proofErr w:type="spellEnd"/>
      <w:r>
        <w:rPr>
          <w:rFonts w:ascii="Times New Roman" w:eastAsia="Times New Roman" w:hAnsi="Times New Roman" w:cs="Times New Roman"/>
          <w:i/>
          <w:iCs/>
          <w:sz w:val="24"/>
          <w:szCs w:val="24"/>
        </w:rPr>
        <w:t xml:space="preserve"> Rev</w:t>
      </w:r>
      <w:r>
        <w:rPr>
          <w:rFonts w:ascii="Times New Roman" w:eastAsia="Times New Roman" w:hAnsi="Times New Roman" w:cs="Times New Roman"/>
          <w:sz w:val="24"/>
          <w:szCs w:val="24"/>
        </w:rPr>
        <w:t>. 2014;94(2):355–382. doi:10.1152/physrev.00030.2013</w:t>
      </w:r>
    </w:p>
    <w:p w:rsidR="00900205" w:rsidRDefault="00682199">
      <w:pPr>
        <w:numPr>
          <w:ilvl w:val="0"/>
          <w:numId w:val="1"/>
        </w:numPr>
        <w:spacing w:after="240" w:line="240" w:lineRule="auto"/>
        <w:jc w:val="both"/>
        <w:rPr>
          <w:rFonts w:ascii="Times New Roman" w:hAnsi="Times New Roman" w:cs="Times New Roman"/>
          <w:color w:val="333333"/>
          <w:sz w:val="24"/>
          <w:szCs w:val="24"/>
          <w:lang w:eastAsia="en-IN"/>
        </w:rPr>
      </w:pPr>
      <w:proofErr w:type="spellStart"/>
      <w:r>
        <w:rPr>
          <w:rFonts w:ascii="Times New Roman" w:eastAsia="Times New Roman" w:hAnsi="Times New Roman" w:cs="Times New Roman"/>
          <w:sz w:val="24"/>
          <w:szCs w:val="24"/>
        </w:rPr>
        <w:t>Ioannou</w:t>
      </w:r>
      <w:proofErr w:type="spellEnd"/>
      <w:r>
        <w:rPr>
          <w:rFonts w:ascii="Times New Roman" w:eastAsia="Times New Roman" w:hAnsi="Times New Roman" w:cs="Times New Roman"/>
          <w:sz w:val="24"/>
          <w:szCs w:val="24"/>
        </w:rPr>
        <w:t xml:space="preserve"> LG, Foster J, Morris NB, </w:t>
      </w:r>
      <w:proofErr w:type="spellStart"/>
      <w:r>
        <w:rPr>
          <w:rFonts w:ascii="Times New Roman" w:eastAsia="Times New Roman" w:hAnsi="Times New Roman" w:cs="Times New Roman"/>
          <w:sz w:val="24"/>
          <w:szCs w:val="24"/>
        </w:rPr>
        <w:t>Piil</w:t>
      </w:r>
      <w:proofErr w:type="spellEnd"/>
      <w:r>
        <w:rPr>
          <w:rFonts w:ascii="Times New Roman" w:eastAsia="Times New Roman" w:hAnsi="Times New Roman" w:cs="Times New Roman"/>
          <w:sz w:val="24"/>
          <w:szCs w:val="24"/>
        </w:rPr>
        <w:t xml:space="preserve"> JF, </w:t>
      </w:r>
      <w:proofErr w:type="spellStart"/>
      <w:r>
        <w:rPr>
          <w:rFonts w:ascii="Times New Roman" w:eastAsia="Times New Roman" w:hAnsi="Times New Roman" w:cs="Times New Roman"/>
          <w:sz w:val="24"/>
          <w:szCs w:val="24"/>
        </w:rPr>
        <w:t>Havenith</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Mekjavic</w:t>
      </w:r>
      <w:proofErr w:type="spellEnd"/>
      <w:r>
        <w:rPr>
          <w:rFonts w:ascii="Times New Roman" w:eastAsia="Times New Roman" w:hAnsi="Times New Roman" w:cs="Times New Roman"/>
          <w:sz w:val="24"/>
          <w:szCs w:val="24"/>
        </w:rPr>
        <w:t xml:space="preserve"> IB, et al. Occupational heat strain in outdoor workers: A comprehensive review and meta-analysis. </w:t>
      </w:r>
      <w:r>
        <w:rPr>
          <w:rFonts w:ascii="Times New Roman" w:eastAsia="Times New Roman" w:hAnsi="Times New Roman" w:cs="Times New Roman"/>
          <w:i/>
          <w:iCs/>
          <w:sz w:val="24"/>
          <w:szCs w:val="24"/>
        </w:rPr>
        <w:t>Temperature (Austin)</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2022;9(1):67–102. doi:10.1080/23328940.2022.2030634</w:t>
      </w:r>
    </w:p>
    <w:p w:rsidR="00900205" w:rsidRDefault="00682199">
      <w:pPr>
        <w:numPr>
          <w:ilvl w:val="0"/>
          <w:numId w:val="1"/>
        </w:numPr>
        <w:spacing w:after="240" w:line="240" w:lineRule="auto"/>
        <w:jc w:val="both"/>
        <w:rPr>
          <w:rFonts w:ascii="Times New Roman" w:hAnsi="Times New Roman" w:cs="Times New Roman"/>
          <w:color w:val="333333"/>
          <w:sz w:val="24"/>
          <w:szCs w:val="24"/>
          <w:lang w:eastAsia="en-IN"/>
        </w:rPr>
      </w:pPr>
      <w:r>
        <w:rPr>
          <w:rFonts w:ascii="Times New Roman" w:hAnsi="Times New Roman" w:cs="Times New Roman"/>
          <w:color w:val="333333"/>
          <w:sz w:val="24"/>
          <w:szCs w:val="24"/>
          <w:lang w:eastAsia="en-IN"/>
        </w:rPr>
        <w:t xml:space="preserve">Mukherjee Ankita </w:t>
      </w:r>
      <w:proofErr w:type="spellStart"/>
      <w:r>
        <w:rPr>
          <w:rFonts w:ascii="Times New Roman" w:hAnsi="Times New Roman" w:cs="Times New Roman"/>
          <w:color w:val="333333"/>
          <w:sz w:val="24"/>
          <w:szCs w:val="24"/>
          <w:lang w:eastAsia="en-IN"/>
        </w:rPr>
        <w:t>Atin</w:t>
      </w:r>
      <w:proofErr w:type="spellEnd"/>
      <w:r>
        <w:rPr>
          <w:rFonts w:ascii="Times New Roman" w:hAnsi="Times New Roman" w:cs="Times New Roman"/>
          <w:color w:val="333333"/>
          <w:sz w:val="24"/>
          <w:szCs w:val="24"/>
          <w:lang w:eastAsia="en-IN"/>
        </w:rPr>
        <w:t xml:space="preserve">, </w:t>
      </w:r>
      <w:proofErr w:type="spellStart"/>
      <w:r>
        <w:rPr>
          <w:rFonts w:ascii="Times New Roman" w:hAnsi="Times New Roman" w:cs="Times New Roman"/>
          <w:color w:val="333333"/>
          <w:sz w:val="24"/>
          <w:szCs w:val="24"/>
          <w:lang w:eastAsia="en-IN"/>
        </w:rPr>
        <w:t>Indranil</w:t>
      </w:r>
      <w:proofErr w:type="spellEnd"/>
      <w:r>
        <w:rPr>
          <w:rFonts w:ascii="Times New Roman" w:hAnsi="Times New Roman" w:cs="Times New Roman"/>
          <w:color w:val="333333"/>
          <w:sz w:val="24"/>
          <w:szCs w:val="24"/>
          <w:lang w:eastAsia="en-IN"/>
        </w:rPr>
        <w:t xml:space="preserve"> Pal, </w:t>
      </w:r>
      <w:proofErr w:type="spellStart"/>
      <w:r>
        <w:rPr>
          <w:rFonts w:ascii="Times New Roman" w:hAnsi="Times New Roman" w:cs="Times New Roman"/>
          <w:color w:val="333333"/>
          <w:sz w:val="24"/>
          <w:szCs w:val="24"/>
          <w:lang w:eastAsia="en-IN"/>
        </w:rPr>
        <w:t>Saumitra</w:t>
      </w:r>
      <w:proofErr w:type="spellEnd"/>
      <w:r>
        <w:rPr>
          <w:rFonts w:ascii="Times New Roman" w:hAnsi="Times New Roman" w:cs="Times New Roman"/>
          <w:color w:val="333333"/>
          <w:sz w:val="24"/>
          <w:szCs w:val="24"/>
          <w:lang w:eastAsia="en-IN"/>
        </w:rPr>
        <w:t xml:space="preserve"> Kumar, </w:t>
      </w:r>
      <w:proofErr w:type="spellStart"/>
      <w:r>
        <w:rPr>
          <w:rFonts w:ascii="Times New Roman" w:hAnsi="Times New Roman" w:cs="Times New Roman"/>
          <w:color w:val="333333"/>
          <w:sz w:val="24"/>
          <w:szCs w:val="24"/>
          <w:lang w:eastAsia="en-IN"/>
        </w:rPr>
        <w:t>Mrityunjoy</w:t>
      </w:r>
      <w:proofErr w:type="spellEnd"/>
      <w:r>
        <w:rPr>
          <w:rFonts w:ascii="Times New Roman" w:hAnsi="Times New Roman" w:cs="Times New Roman"/>
          <w:color w:val="333333"/>
          <w:sz w:val="24"/>
          <w:szCs w:val="24"/>
          <w:lang w:eastAsia="en-IN"/>
        </w:rPr>
        <w:t xml:space="preserve"> Halder, and </w:t>
      </w:r>
      <w:proofErr w:type="spellStart"/>
      <w:r>
        <w:rPr>
          <w:rFonts w:ascii="Times New Roman" w:hAnsi="Times New Roman" w:cs="Times New Roman"/>
          <w:color w:val="333333"/>
          <w:sz w:val="24"/>
          <w:szCs w:val="24"/>
          <w:lang w:eastAsia="en-IN"/>
        </w:rPr>
        <w:t>Ritesh</w:t>
      </w:r>
      <w:proofErr w:type="spellEnd"/>
      <w:r>
        <w:rPr>
          <w:rFonts w:ascii="Times New Roman" w:hAnsi="Times New Roman" w:cs="Times New Roman"/>
          <w:color w:val="333333"/>
          <w:sz w:val="24"/>
          <w:szCs w:val="24"/>
          <w:lang w:eastAsia="en-IN"/>
        </w:rPr>
        <w:t xml:space="preserve"> Singh. 2022. “Alterations in Blood Thyroid Hormone Levels on Palpation of Thyroid Gland”. </w:t>
      </w:r>
      <w:r>
        <w:rPr>
          <w:rFonts w:ascii="Times New Roman" w:hAnsi="Times New Roman" w:cs="Times New Roman"/>
          <w:i/>
          <w:iCs/>
          <w:color w:val="333333"/>
          <w:sz w:val="24"/>
          <w:szCs w:val="24"/>
          <w:lang w:eastAsia="en-IN"/>
        </w:rPr>
        <w:t>Journal of Advances in Medicin</w:t>
      </w:r>
      <w:r>
        <w:rPr>
          <w:rFonts w:ascii="Times New Roman" w:hAnsi="Times New Roman" w:cs="Times New Roman"/>
          <w:i/>
          <w:iCs/>
          <w:color w:val="333333"/>
          <w:sz w:val="24"/>
          <w:szCs w:val="24"/>
          <w:lang w:eastAsia="en-IN"/>
        </w:rPr>
        <w:t>e and Medical Research</w:t>
      </w:r>
      <w:r>
        <w:rPr>
          <w:rFonts w:ascii="Times New Roman" w:hAnsi="Times New Roman" w:cs="Times New Roman"/>
          <w:color w:val="333333"/>
          <w:sz w:val="24"/>
          <w:szCs w:val="24"/>
          <w:lang w:eastAsia="en-IN"/>
        </w:rPr>
        <w:t> 34 (20):383–388. https://doi.org/10.9734/jammr/2022/v34i2031506.</w:t>
      </w:r>
    </w:p>
    <w:p w:rsidR="00900205" w:rsidRDefault="00900205">
      <w:pPr>
        <w:spacing w:after="240" w:line="240" w:lineRule="auto"/>
        <w:jc w:val="both"/>
        <w:rPr>
          <w:rFonts w:ascii="Times New Roman" w:eastAsia="Times New Roman" w:hAnsi="Times New Roman" w:cs="Times New Roman"/>
          <w:sz w:val="24"/>
          <w:szCs w:val="24"/>
        </w:rPr>
      </w:pPr>
    </w:p>
    <w:p w:rsidR="00900205" w:rsidRDefault="00900205">
      <w:pPr>
        <w:spacing w:line="240" w:lineRule="auto"/>
        <w:jc w:val="both"/>
        <w:rPr>
          <w:rFonts w:ascii="Times New Roman" w:eastAsia="Times New Roman" w:hAnsi="Times New Roman" w:cs="Times New Roman"/>
          <w:sz w:val="24"/>
          <w:szCs w:val="24"/>
        </w:rPr>
      </w:pPr>
    </w:p>
    <w:p w:rsidR="00900205" w:rsidRDefault="00900205">
      <w:pPr>
        <w:spacing w:line="240" w:lineRule="auto"/>
        <w:jc w:val="both"/>
        <w:rPr>
          <w:rFonts w:ascii="Times New Roman" w:eastAsia="Times New Roman" w:hAnsi="Times New Roman" w:cs="Times New Roman"/>
          <w:sz w:val="24"/>
          <w:szCs w:val="24"/>
        </w:rPr>
      </w:pPr>
    </w:p>
    <w:p w:rsidR="00900205" w:rsidRDefault="00900205">
      <w:pPr>
        <w:spacing w:line="240" w:lineRule="auto"/>
        <w:jc w:val="both"/>
        <w:rPr>
          <w:rFonts w:ascii="Times New Roman" w:eastAsia="Times New Roman" w:hAnsi="Times New Roman" w:cs="Times New Roman"/>
          <w:sz w:val="24"/>
          <w:szCs w:val="24"/>
        </w:rPr>
      </w:pPr>
    </w:p>
    <w:p w:rsidR="00900205" w:rsidRDefault="00900205">
      <w:pPr>
        <w:spacing w:line="240" w:lineRule="auto"/>
        <w:jc w:val="both"/>
        <w:rPr>
          <w:rFonts w:ascii="Times New Roman" w:eastAsia="Times New Roman" w:hAnsi="Times New Roman" w:cs="Times New Roman"/>
          <w:sz w:val="24"/>
          <w:szCs w:val="24"/>
        </w:rPr>
      </w:pPr>
    </w:p>
    <w:sectPr w:rsidR="0090020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2199" w:rsidRDefault="00682199">
      <w:pPr>
        <w:spacing w:line="240" w:lineRule="auto"/>
      </w:pPr>
      <w:r>
        <w:separator/>
      </w:r>
    </w:p>
  </w:endnote>
  <w:endnote w:type="continuationSeparator" w:id="0">
    <w:p w:rsidR="00682199" w:rsidRDefault="006821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E93FFF01-FA21-466E-B597-F07F9FE56C9C}"/>
  </w:font>
  <w:font w:name="Cardo">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B74D9BB6-A4D4-4FE9-85C3-54DBDDC18ECE}"/>
  </w:font>
  <w:font w:name="Cambria">
    <w:panose1 w:val="02040503050406030204"/>
    <w:charset w:val="00"/>
    <w:family w:val="roman"/>
    <w:pitch w:val="variable"/>
    <w:sig w:usb0="E00006FF" w:usb1="420024FF" w:usb2="02000000" w:usb3="00000000" w:csb0="0000019F" w:csb1="00000000"/>
    <w:embedRegular r:id="rId3" w:fontKey="{85BDC310-DA4B-4234-A0F3-E19B72CBC7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205" w:rsidRDefault="00900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205" w:rsidRDefault="009002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205" w:rsidRDefault="00900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2199" w:rsidRDefault="00682199">
      <w:r>
        <w:separator/>
      </w:r>
    </w:p>
  </w:footnote>
  <w:footnote w:type="continuationSeparator" w:id="0">
    <w:p w:rsidR="00682199" w:rsidRDefault="00682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205" w:rsidRDefault="00682199">
    <w:pPr>
      <w:pStyle w:val="Header"/>
    </w:pPr>
    <w:r>
      <w:pict w14:anchorId="0BC4E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44" o:spid="_x0000_s2050" type="#_x0000_t136" style="position:absolute;margin-left:0;margin-top:0;width:592.85pt;height:66.9pt;rotation:315;z-index:-251656192;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205" w:rsidRDefault="00682199">
    <w:pPr>
      <w:jc w:val="center"/>
    </w:pPr>
    <w:r>
      <w:pict w14:anchorId="4A269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45" o:spid="_x0000_s2051" type="#_x0000_t136" style="position:absolute;left:0;text-align:left;margin-left:0;margin-top:0;width:592.85pt;height:66.9pt;rotation:315;z-index:-251655168;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0205" w:rsidRDefault="00682199">
    <w:pPr>
      <w:pStyle w:val="Header"/>
    </w:pPr>
    <w:r>
      <w:pict w14:anchorId="6B7C6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43" o:spid="_x0000_s2049" type="#_x0000_t136" style="position:absolute;margin-left:0;margin-top:0;width:592.85pt;height:66.9pt;rotation:315;z-index:-251657216;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76DCB"/>
    <w:multiLevelType w:val="multilevel"/>
    <w:tmpl w:val="2A676DC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42"/>
    <w:rsid w:val="001A322E"/>
    <w:rsid w:val="001E42F4"/>
    <w:rsid w:val="00352337"/>
    <w:rsid w:val="004954F3"/>
    <w:rsid w:val="00577C83"/>
    <w:rsid w:val="00577F54"/>
    <w:rsid w:val="00682199"/>
    <w:rsid w:val="007F3B33"/>
    <w:rsid w:val="00822CBF"/>
    <w:rsid w:val="00900205"/>
    <w:rsid w:val="00934565"/>
    <w:rsid w:val="00C45CE9"/>
    <w:rsid w:val="00E8643D"/>
    <w:rsid w:val="00ED6DC2"/>
    <w:rsid w:val="00FD3242"/>
    <w:rsid w:val="3778301A"/>
    <w:rsid w:val="447C5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336355"/>
  <w15:docId w15:val="{76DC090A-29AC-4FDC-A5AF-B2BB3BDB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rFonts w:ascii="Arial" w:eastAsia="Arial" w:hAnsi="Arial" w:cs="Arial"/>
      <w:sz w:val="22"/>
      <w:szCs w:val="22"/>
      <w:lang w:val="e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yperlink">
    <w:name w:val="Hyperlink"/>
    <w:basedOn w:val="DefaultParagraphFont"/>
    <w:uiPriority w:val="99"/>
    <w:unhideWhenUsed/>
    <w:qFormat/>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Style12">
    <w:name w:val="_Style 12"/>
    <w:basedOn w:val="TableNormal0"/>
    <w:tblPr/>
  </w:style>
  <w:style w:type="table" w:customStyle="1" w:styleId="Style13">
    <w:name w:val="_Style 13"/>
    <w:basedOn w:val="TableNormal0"/>
    <w:tblPr/>
  </w:style>
  <w:style w:type="table" w:customStyle="1" w:styleId="Style14">
    <w:name w:val="_Style 14"/>
    <w:basedOn w:val="TableNormal0"/>
    <w:tblPr/>
  </w:style>
  <w:style w:type="table" w:customStyle="1" w:styleId="Style15">
    <w:name w:val="_Style 15"/>
    <w:basedOn w:val="TableNormal0"/>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E86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cbi.nlm.nih.gov/books/NBK500006/"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cbi.nlm.nih.gov/books/NBK557556/"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4764</Words>
  <Characters>27160</Characters>
  <Application>Microsoft Office Word</Application>
  <DocSecurity>0</DocSecurity>
  <Lines>226</Lines>
  <Paragraphs>63</Paragraphs>
  <ScaleCrop>false</ScaleCrop>
  <Company/>
  <LinksUpToDate>false</LinksUpToDate>
  <CharactersWithSpaces>31861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Editor-1183</cp:lastModifiedBy>
  <cp:revision>14</cp:revision>
  <dcterms:created xsi:type="dcterms:W3CDTF">2026-01-07T06:08:00Z</dcterms:created>
  <dcterms:modified xsi:type="dcterms:W3CDTF">2026-01-10T08:54:00Z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FCFF8E5ABF4E4549A8AF4AEC0B7E9D42_12</vt:lpwstr>
  </property>
</Properties>
</file>