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0C5" w:rsidRPr="00896E01" w:rsidRDefault="00503689">
      <w:pPr>
        <w:spacing w:line="360" w:lineRule="auto"/>
        <w:jc w:val="center"/>
        <w:rPr>
          <w:rFonts w:ascii="Times New Roman" w:eastAsia="Arial Narrow" w:hAnsi="Times New Roman" w:cs="Times New Roman"/>
          <w:b/>
          <w:bCs/>
          <w:kern w:val="0"/>
          <w:sz w:val="36"/>
          <w:szCs w:val="24"/>
          <w:lang w:val="en-IN"/>
          <w14:ligatures w14:val="none"/>
        </w:rPr>
      </w:pPr>
      <w:r w:rsidRPr="00896E01">
        <w:rPr>
          <w:rFonts w:ascii="Times New Roman" w:eastAsia="Arial Narrow" w:hAnsi="Times New Roman" w:cs="Times New Roman"/>
          <w:b/>
          <w:bCs/>
          <w:kern w:val="0"/>
          <w:sz w:val="36"/>
          <w:szCs w:val="24"/>
          <w:lang w:val="en-IN"/>
          <w14:ligatures w14:val="none"/>
        </w:rPr>
        <w:t>Awareness and Perception of Eye Donation among the Literate Population: A Cross-Sectional Study</w:t>
      </w:r>
    </w:p>
    <w:p w:rsidR="00DF30C5" w:rsidRPr="00896E01" w:rsidRDefault="00DF30C5">
      <w:pPr>
        <w:spacing w:line="360" w:lineRule="auto"/>
        <w:jc w:val="center"/>
        <w:rPr>
          <w:rFonts w:ascii="Times New Roman" w:eastAsia="Arial Narrow" w:hAnsi="Times New Roman" w:cs="Times New Roman"/>
          <w:b/>
          <w:bCs/>
          <w:kern w:val="0"/>
          <w:sz w:val="24"/>
          <w:szCs w:val="24"/>
          <w:lang w:val="en-IN"/>
          <w14:ligatures w14:val="none"/>
        </w:rPr>
      </w:pPr>
    </w:p>
    <w:p w:rsidR="00325A50" w:rsidRPr="00896E01" w:rsidRDefault="00325A50">
      <w:pPr>
        <w:spacing w:line="360" w:lineRule="auto"/>
        <w:jc w:val="center"/>
        <w:rPr>
          <w:rFonts w:ascii="Times New Roman" w:eastAsia="Arial Narrow" w:hAnsi="Times New Roman" w:cs="Times New Roman"/>
          <w:b/>
          <w:bCs/>
          <w:kern w:val="0"/>
          <w:sz w:val="24"/>
          <w:szCs w:val="24"/>
          <w:lang w:val="en-IN"/>
          <w14:ligatures w14:val="none"/>
        </w:rPr>
      </w:pPr>
    </w:p>
    <w:p w:rsidR="00DF30C5" w:rsidRPr="00896E01" w:rsidRDefault="00503689">
      <w:pPr>
        <w:spacing w:line="360" w:lineRule="auto"/>
        <w:jc w:val="both"/>
        <w:rPr>
          <w:rFonts w:ascii="Times New Roman" w:hAnsi="Times New Roman" w:cs="Times New Roman"/>
          <w:b/>
          <w:bCs/>
          <w:sz w:val="24"/>
          <w:szCs w:val="24"/>
          <w:lang w:val="en-IN"/>
        </w:rPr>
      </w:pPr>
      <w:r w:rsidRPr="00896E01">
        <w:rPr>
          <w:rFonts w:ascii="Times New Roman" w:hAnsi="Times New Roman" w:cs="Times New Roman"/>
          <w:b/>
          <w:bCs/>
          <w:sz w:val="24"/>
          <w:szCs w:val="24"/>
          <w:lang w:val="en-IN"/>
        </w:rPr>
        <w:t>Abstract</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b/>
          <w:bCs/>
          <w:sz w:val="24"/>
          <w:szCs w:val="24"/>
          <w:lang w:val="en-IN"/>
        </w:rPr>
        <w:t>Background:</w:t>
      </w:r>
      <w:r w:rsidRPr="00896E01">
        <w:rPr>
          <w:rFonts w:ascii="Times New Roman" w:hAnsi="Times New Roman" w:cs="Times New Roman"/>
          <w:sz w:val="24"/>
          <w:szCs w:val="24"/>
          <w:lang w:val="en-IN"/>
        </w:rPr>
        <w:t xml:space="preserve"> </w:t>
      </w:r>
      <w:r w:rsidR="002708F9" w:rsidRPr="00896E01">
        <w:rPr>
          <w:rFonts w:ascii="Times New Roman" w:hAnsi="Times New Roman" w:cs="Times New Roman"/>
          <w:sz w:val="24"/>
          <w:szCs w:val="24"/>
          <w:lang w:val="en-IN"/>
        </w:rPr>
        <w:t xml:space="preserve">Preventing corneal blindness requires a multifaceted approach. Public health interventions aimed at promoting hygiene, early diagnosis, and timely treatment of corneal infections are essential. Awareness regarding the harmful effects of using unregulated eye products, the importance of protective eyewear in hazardous occupations, and access to affordable eye care services can significantly reduce the burden of corneal blindness. </w:t>
      </w:r>
      <w:r w:rsidRPr="00896E01">
        <w:rPr>
          <w:rFonts w:ascii="Times New Roman" w:hAnsi="Times New Roman" w:cs="Times New Roman"/>
          <w:sz w:val="24"/>
          <w:szCs w:val="24"/>
          <w:lang w:val="en-IN"/>
        </w:rPr>
        <w:t>Corneal blindness is a major cause of avoidable visual impairment in India. Eye donation can restore vision, yet awareness and willingness to donate remain inadequate.</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b/>
          <w:bCs/>
          <w:sz w:val="24"/>
          <w:szCs w:val="24"/>
          <w:lang w:val="en-IN"/>
        </w:rPr>
        <w:t>Objective:</w:t>
      </w:r>
      <w:r w:rsidRPr="00896E01">
        <w:rPr>
          <w:rFonts w:ascii="Times New Roman" w:hAnsi="Times New Roman" w:cs="Times New Roman"/>
          <w:sz w:val="24"/>
          <w:szCs w:val="24"/>
          <w:lang w:val="en-IN"/>
        </w:rPr>
        <w:t xml:space="preserve"> </w:t>
      </w:r>
      <w:r w:rsidR="002708F9" w:rsidRPr="00896E01">
        <w:rPr>
          <w:rFonts w:ascii="Times New Roman" w:hAnsi="Times New Roman" w:cs="Times New Roman"/>
          <w:sz w:val="24"/>
          <w:szCs w:val="24"/>
          <w:lang w:val="en-IN"/>
        </w:rPr>
        <w:t>The present study</w:t>
      </w:r>
      <w:r w:rsidRPr="00896E01">
        <w:rPr>
          <w:rFonts w:ascii="Times New Roman" w:hAnsi="Times New Roman" w:cs="Times New Roman"/>
          <w:sz w:val="24"/>
          <w:szCs w:val="24"/>
          <w:lang w:val="en-IN"/>
        </w:rPr>
        <w:t xml:space="preserve"> assess</w:t>
      </w:r>
      <w:r w:rsidR="002708F9" w:rsidRPr="00896E01">
        <w:rPr>
          <w:rFonts w:ascii="Times New Roman" w:hAnsi="Times New Roman" w:cs="Times New Roman"/>
          <w:sz w:val="24"/>
          <w:szCs w:val="24"/>
          <w:lang w:val="en-IN"/>
        </w:rPr>
        <w:t>es</w:t>
      </w:r>
      <w:r w:rsidRPr="00896E01">
        <w:rPr>
          <w:rFonts w:ascii="Times New Roman" w:hAnsi="Times New Roman" w:cs="Times New Roman"/>
          <w:sz w:val="24"/>
          <w:szCs w:val="24"/>
          <w:lang w:val="en-IN"/>
        </w:rPr>
        <w:t xml:space="preserve"> awareness, perception, and willingness toward eye donation among literate individuals in India.</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b/>
          <w:bCs/>
          <w:sz w:val="24"/>
          <w:szCs w:val="24"/>
          <w:lang w:val="en-IN"/>
        </w:rPr>
        <w:t>Methods:</w:t>
      </w:r>
      <w:r w:rsidRPr="00896E01">
        <w:rPr>
          <w:rFonts w:ascii="Times New Roman" w:hAnsi="Times New Roman" w:cs="Times New Roman"/>
          <w:sz w:val="24"/>
          <w:szCs w:val="24"/>
          <w:lang w:val="en-IN"/>
        </w:rPr>
        <w:t xml:space="preserve"> A descriptive cross-sectional survey was conducted among </w:t>
      </w:r>
      <w:r w:rsidRPr="00896E01">
        <w:rPr>
          <w:rFonts w:ascii="Times New Roman" w:hAnsi="Times New Roman" w:cs="Times New Roman"/>
          <w:sz w:val="24"/>
          <w:szCs w:val="24"/>
        </w:rPr>
        <w:t>170</w:t>
      </w:r>
      <w:r w:rsidRPr="00896E01">
        <w:rPr>
          <w:rFonts w:ascii="Times New Roman" w:hAnsi="Times New Roman" w:cs="Times New Roman"/>
          <w:sz w:val="24"/>
          <w:szCs w:val="24"/>
          <w:lang w:val="en-IN"/>
        </w:rPr>
        <w:t xml:space="preserve"> literate participants aged ≥18 years. Data were collected using a structured self-administered questionnaire assessing awareness, myths, procedural knowledge, and willingness. Descriptive statistics were applied to </w:t>
      </w:r>
      <w:proofErr w:type="spellStart"/>
      <w:r w:rsidRPr="00896E01">
        <w:rPr>
          <w:rFonts w:ascii="Times New Roman" w:hAnsi="Times New Roman" w:cs="Times New Roman"/>
          <w:sz w:val="24"/>
          <w:szCs w:val="24"/>
          <w:lang w:val="en-IN"/>
        </w:rPr>
        <w:t>analyze</w:t>
      </w:r>
      <w:proofErr w:type="spellEnd"/>
      <w:r w:rsidRPr="00896E01">
        <w:rPr>
          <w:rFonts w:ascii="Times New Roman" w:hAnsi="Times New Roman" w:cs="Times New Roman"/>
          <w:sz w:val="24"/>
          <w:szCs w:val="24"/>
          <w:lang w:val="en-IN"/>
        </w:rPr>
        <w:t xml:space="preserve"> responses.</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b/>
          <w:bCs/>
          <w:sz w:val="24"/>
          <w:szCs w:val="24"/>
          <w:lang w:val="en-IN"/>
        </w:rPr>
        <w:t>Results:</w:t>
      </w:r>
      <w:r w:rsidRPr="00896E01">
        <w:rPr>
          <w:rFonts w:ascii="Times New Roman" w:hAnsi="Times New Roman" w:cs="Times New Roman"/>
          <w:sz w:val="24"/>
          <w:szCs w:val="24"/>
          <w:lang w:val="en-IN"/>
        </w:rPr>
        <w:t xml:space="preserve"> Awareness of eye donation was high (92.9%), yet knowledge of procedural details was limited. Only 62.4% correctly identified the cornea as the donated part. While 77.6% knew that eye donation does not disfigure the face, misconceptions persisted regarding living donation (42.3% incorrect) and time limits for retrieval. The majority (87.1%) were aware that family consent is required. Although 70% expressed willingness to donate, only a small proportion had pledged or discussed donation with family.</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b/>
          <w:bCs/>
          <w:sz w:val="24"/>
          <w:szCs w:val="24"/>
          <w:lang w:val="en-IN"/>
        </w:rPr>
        <w:t>Conclusion:</w:t>
      </w:r>
      <w:r w:rsidRPr="00896E01">
        <w:rPr>
          <w:rFonts w:ascii="Times New Roman" w:hAnsi="Times New Roman" w:cs="Times New Roman"/>
          <w:sz w:val="24"/>
          <w:szCs w:val="24"/>
          <w:lang w:val="en-IN"/>
        </w:rPr>
        <w:t xml:space="preserve"> The study demonstrates satisfactory awareness but inadequate procedural understanding and limited willingness to pledge eyes. Misconceptions, cultural barriers, and lack of family dialogue remain key deterrents. Educational campaigns emphasizing factual, procedural, and emotional aspects are essential to improve eye donation rates in India.</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b/>
          <w:bCs/>
          <w:sz w:val="24"/>
          <w:szCs w:val="24"/>
          <w:lang w:val="en-IN"/>
        </w:rPr>
        <w:t>Keywords:</w:t>
      </w:r>
      <w:r w:rsidRPr="00896E01">
        <w:rPr>
          <w:rFonts w:ascii="Times New Roman" w:hAnsi="Times New Roman" w:cs="Times New Roman"/>
          <w:sz w:val="24"/>
          <w:szCs w:val="24"/>
          <w:lang w:val="en-IN"/>
        </w:rPr>
        <w:t xml:space="preserve"> Eye donation, Awareness, Corneal blindness, Willingness.</w:t>
      </w:r>
    </w:p>
    <w:p w:rsidR="00DF30C5" w:rsidRPr="00896E01" w:rsidRDefault="00DF30C5">
      <w:pPr>
        <w:spacing w:line="360" w:lineRule="auto"/>
        <w:jc w:val="both"/>
        <w:rPr>
          <w:rFonts w:ascii="Times New Roman" w:hAnsi="Times New Roman" w:cs="Times New Roman"/>
          <w:sz w:val="24"/>
          <w:szCs w:val="24"/>
          <w:lang w:val="en-IN"/>
        </w:rPr>
      </w:pPr>
    </w:p>
    <w:p w:rsidR="00DF30C5" w:rsidRPr="00896E01" w:rsidRDefault="00503689">
      <w:pPr>
        <w:spacing w:line="360" w:lineRule="auto"/>
        <w:jc w:val="both"/>
        <w:rPr>
          <w:rFonts w:ascii="Times New Roman" w:hAnsi="Times New Roman" w:cs="Times New Roman"/>
          <w:b/>
          <w:bCs/>
          <w:sz w:val="24"/>
          <w:szCs w:val="24"/>
          <w:lang w:val="en-IN"/>
        </w:rPr>
      </w:pPr>
      <w:r w:rsidRPr="00896E01">
        <w:rPr>
          <w:rFonts w:ascii="Times New Roman" w:hAnsi="Times New Roman" w:cs="Times New Roman"/>
          <w:b/>
          <w:bCs/>
          <w:sz w:val="24"/>
          <w:szCs w:val="24"/>
          <w:lang w:val="en-IN"/>
        </w:rPr>
        <w:t>1. Introduction</w:t>
      </w:r>
    </w:p>
    <w:p w:rsidR="00DF30C5" w:rsidRPr="00896E01" w:rsidRDefault="00503689" w:rsidP="0007651B">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 xml:space="preserve">Corneal blindness remains a leading cause of visual disability in India, affecting millions across all age groups. Eye donation is the only effective method to restore sight in such cases. Despite awareness campaigns, eye donation rates remain significantly lower than the annual requirement of approximately 250,000 corneas, largely due to misconceptions and cultural barriers </w:t>
      </w:r>
      <w:r w:rsidRPr="00896E01">
        <w:rPr>
          <w:rFonts w:ascii="Times New Roman" w:hAnsi="Times New Roman" w:cs="Times New Roman"/>
          <w:sz w:val="24"/>
          <w:szCs w:val="24"/>
          <w:vertAlign w:val="superscript"/>
        </w:rPr>
        <w:t>(1)</w:t>
      </w:r>
      <w:r w:rsidRPr="00896E01">
        <w:rPr>
          <w:rFonts w:ascii="Times New Roman" w:hAnsi="Times New Roman" w:cs="Times New Roman"/>
          <w:sz w:val="24"/>
          <w:szCs w:val="24"/>
          <w:vertAlign w:val="superscript"/>
          <w:lang w:val="en-IN"/>
        </w:rPr>
        <w:t>.</w:t>
      </w:r>
      <w:r w:rsidR="00E66F8F" w:rsidRPr="00896E01">
        <w:rPr>
          <w:rFonts w:ascii="Times New Roman" w:hAnsi="Times New Roman" w:cs="Times New Roman"/>
          <w:sz w:val="24"/>
          <w:szCs w:val="24"/>
          <w:vertAlign w:val="superscript"/>
          <w:lang w:val="en-IN"/>
        </w:rPr>
        <w:t xml:space="preserve"> </w:t>
      </w:r>
      <w:r w:rsidR="00E66F8F" w:rsidRPr="00896E01">
        <w:rPr>
          <w:color w:val="001E42"/>
        </w:rPr>
        <w:t>There is a huge need for donor corneas worldwide to minimize the gap between demand and supply of corneas. A shortage of transplantable corneas is the major problem in reducing blindness due to corneal opacity. In developing countries like India, alternatives to corneal transplantation are being sought due to a lack of adequate donor corneas (</w:t>
      </w:r>
      <w:proofErr w:type="spellStart"/>
      <w:r w:rsidR="00E66F8F" w:rsidRPr="00896E01">
        <w:rPr>
          <w:color w:val="001E42"/>
        </w:rPr>
        <w:t>Ronanki</w:t>
      </w:r>
      <w:proofErr w:type="spellEnd"/>
      <w:r w:rsidR="00E66F8F" w:rsidRPr="00896E01">
        <w:rPr>
          <w:color w:val="001E42"/>
        </w:rPr>
        <w:t xml:space="preserve"> et al., 2014).</w:t>
      </w:r>
      <w:r w:rsidR="00E66F8F" w:rsidRPr="00896E01">
        <w:t xml:space="preserve"> Since the only known treatment to corneal blindness is corneal transplant and with a huge proportion of people with corneal blindness waiting for restoration of vision through donor corneas it is essential to increase awareness and more importantly dispel the myths and false perception on eye donation among common people to fill the demand and supply gap of corneal tissue (</w:t>
      </w:r>
      <w:proofErr w:type="spellStart"/>
      <w:r w:rsidR="0007651B" w:rsidRPr="00896E01">
        <w:t>Wagh</w:t>
      </w:r>
      <w:proofErr w:type="spellEnd"/>
      <w:r w:rsidR="0007651B" w:rsidRPr="00896E01">
        <w:t xml:space="preserve"> &amp; </w:t>
      </w:r>
      <w:proofErr w:type="spellStart"/>
      <w:r w:rsidR="0007651B" w:rsidRPr="00896E01">
        <w:t>Tidake</w:t>
      </w:r>
      <w:proofErr w:type="spellEnd"/>
      <w:r w:rsidR="0007651B" w:rsidRPr="00896E01">
        <w:t xml:space="preserve">, 2021; </w:t>
      </w:r>
      <w:r w:rsidR="00E66F8F" w:rsidRPr="00896E01">
        <w:t xml:space="preserve">Kumar &amp; </w:t>
      </w:r>
      <w:proofErr w:type="spellStart"/>
      <w:r w:rsidR="00E66F8F" w:rsidRPr="00896E01">
        <w:t>Metgud</w:t>
      </w:r>
      <w:proofErr w:type="spellEnd"/>
      <w:r w:rsidR="00E66F8F" w:rsidRPr="00896E01">
        <w:t>, 2024).</w:t>
      </w:r>
    </w:p>
    <w:p w:rsidR="00DF30C5" w:rsidRPr="00896E01" w:rsidRDefault="00503689" w:rsidP="002708F9">
      <w:pPr>
        <w:spacing w:line="360" w:lineRule="auto"/>
        <w:jc w:val="both"/>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 xml:space="preserve">The human eye is an extraordinary organ that plays a vital role in interpreting the world around us. It serves as the window to the world, allowing individuals to experience their surroundings, perform daily activities, and lead independent, productive lives. Among all the senses, vision is regarded as one of the most crucial for quality of life and social participation. However, the loss of vision due to various ocular diseases severely impacts individuals' physical, emotional, and economic well-being (WHO, </w:t>
      </w:r>
      <w:proofErr w:type="gramStart"/>
      <w:r w:rsidRPr="00896E01">
        <w:rPr>
          <w:rFonts w:ascii="Times New Roman" w:eastAsia="Times New Roman" w:hAnsi="Times New Roman" w:cs="Times New Roman"/>
          <w:sz w:val="24"/>
          <w:szCs w:val="24"/>
        </w:rPr>
        <w:t>2023)</w:t>
      </w:r>
      <w:r w:rsidRPr="00896E01">
        <w:rPr>
          <w:rFonts w:ascii="Times New Roman" w:eastAsia="Times New Roman" w:hAnsi="Times New Roman" w:cs="Times New Roman"/>
          <w:sz w:val="24"/>
          <w:szCs w:val="24"/>
          <w:vertAlign w:val="superscript"/>
        </w:rPr>
        <w:t>(</w:t>
      </w:r>
      <w:proofErr w:type="gramEnd"/>
      <w:r w:rsidRPr="00896E01">
        <w:rPr>
          <w:rFonts w:ascii="Times New Roman" w:eastAsia="Times New Roman" w:hAnsi="Times New Roman" w:cs="Times New Roman"/>
          <w:sz w:val="24"/>
          <w:szCs w:val="24"/>
          <w:vertAlign w:val="superscript"/>
        </w:rPr>
        <w:t>2)</w:t>
      </w:r>
      <w:r w:rsidRPr="00896E01">
        <w:rPr>
          <w:rFonts w:ascii="Times New Roman" w:eastAsia="Times New Roman" w:hAnsi="Times New Roman" w:cs="Times New Roman"/>
          <w:sz w:val="24"/>
          <w:szCs w:val="24"/>
        </w:rPr>
        <w:t>.</w:t>
      </w:r>
      <w:r w:rsidR="002708F9" w:rsidRPr="00896E01">
        <w:rPr>
          <w:rFonts w:ascii="Times New Roman" w:eastAsia="Times New Roman" w:hAnsi="Times New Roman" w:cs="Times New Roman"/>
          <w:sz w:val="24"/>
          <w:szCs w:val="24"/>
        </w:rPr>
        <w:t xml:space="preserve"> </w:t>
      </w:r>
      <w:r w:rsidRPr="00896E01">
        <w:rPr>
          <w:rFonts w:ascii="Times New Roman" w:eastAsia="Times New Roman" w:hAnsi="Times New Roman" w:cs="Times New Roman"/>
          <w:sz w:val="24"/>
          <w:szCs w:val="24"/>
        </w:rPr>
        <w:t xml:space="preserve">Corneal transplantation, also known as keratoplasty, involves replacing the diseased or damaged cornea with healthy donor tissue from a deceased individual. This surgical procedure has restored sight to millions of people worldwide and continues to be the most effective intervention for treating corneal blindness. However, the success of corneal transplantation heavily depends on the availability of donor corneas (Sharma et al., </w:t>
      </w:r>
      <w:proofErr w:type="gramStart"/>
      <w:r w:rsidRPr="00896E01">
        <w:rPr>
          <w:rFonts w:ascii="Times New Roman" w:eastAsia="Times New Roman" w:hAnsi="Times New Roman" w:cs="Times New Roman"/>
          <w:sz w:val="24"/>
          <w:szCs w:val="24"/>
        </w:rPr>
        <w:t>2022)</w:t>
      </w:r>
      <w:r w:rsidRPr="00896E01">
        <w:rPr>
          <w:rFonts w:ascii="Times New Roman" w:eastAsia="Times New Roman" w:hAnsi="Times New Roman" w:cs="Times New Roman"/>
          <w:sz w:val="24"/>
          <w:szCs w:val="24"/>
          <w:vertAlign w:val="superscript"/>
        </w:rPr>
        <w:t>(</w:t>
      </w:r>
      <w:proofErr w:type="gramEnd"/>
      <w:r w:rsidRPr="00896E01">
        <w:rPr>
          <w:rFonts w:ascii="Times New Roman" w:eastAsia="Times New Roman" w:hAnsi="Times New Roman" w:cs="Times New Roman"/>
          <w:sz w:val="24"/>
          <w:szCs w:val="24"/>
          <w:vertAlign w:val="superscript"/>
        </w:rPr>
        <w:t>3)</w:t>
      </w:r>
      <w:r w:rsidRPr="00896E01">
        <w:rPr>
          <w:rFonts w:ascii="Times New Roman" w:eastAsia="Times New Roman" w:hAnsi="Times New Roman" w:cs="Times New Roman"/>
          <w:sz w:val="24"/>
          <w:szCs w:val="24"/>
        </w:rPr>
        <w:t>.</w:t>
      </w:r>
      <w:r w:rsidRPr="00896E01">
        <w:rPr>
          <w:rFonts w:ascii="Times New Roman" w:eastAsia="Times New Roman" w:hAnsi="Times New Roman" w:cs="Times New Roman"/>
          <w:sz w:val="24"/>
          <w:szCs w:val="24"/>
          <w:vertAlign w:val="superscript"/>
        </w:rPr>
        <w:t xml:space="preserve"> </w:t>
      </w:r>
    </w:p>
    <w:p w:rsidR="00DF30C5" w:rsidRPr="00896E01" w:rsidRDefault="00503689">
      <w:pPr>
        <w:spacing w:line="360" w:lineRule="auto"/>
        <w:jc w:val="both"/>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Despite significant medical advancements and a well-established network of eye banks in India, the demand for corneal tissue far exceeds the supply. It is estimated that to address the backlog of corneal blindness in the country, at least 200,000 corneas need to be collected annually. Unfortunately, only about 50,000 corneas are retrieved each year, creating a substantial gap between the need and the available resources (EBAI, 2023)</w:t>
      </w:r>
      <w:r w:rsidRPr="00896E01">
        <w:rPr>
          <w:rFonts w:ascii="Times New Roman" w:eastAsia="Times New Roman" w:hAnsi="Times New Roman" w:cs="Times New Roman"/>
          <w:sz w:val="24"/>
          <w:szCs w:val="24"/>
          <w:vertAlign w:val="superscript"/>
        </w:rPr>
        <w:t>(4)</w:t>
      </w:r>
      <w:r w:rsidRPr="00896E01">
        <w:rPr>
          <w:rFonts w:ascii="Times New Roman" w:eastAsia="Times New Roman" w:hAnsi="Times New Roman" w:cs="Times New Roman"/>
          <w:sz w:val="24"/>
          <w:szCs w:val="24"/>
        </w:rPr>
        <w:t>.</w:t>
      </w:r>
    </w:p>
    <w:p w:rsidR="00DF30C5" w:rsidRPr="00896E01" w:rsidRDefault="00503689">
      <w:pPr>
        <w:spacing w:line="600" w:lineRule="auto"/>
        <w:jc w:val="both"/>
        <w:rPr>
          <w:rFonts w:ascii="Arial" w:hAnsi="Arial" w:cs="Arial"/>
          <w:color w:val="212529"/>
          <w:sz w:val="21"/>
          <w:szCs w:val="21"/>
          <w:shd w:val="clear" w:color="auto" w:fill="FFFFFF"/>
        </w:rPr>
      </w:pPr>
      <w:r w:rsidRPr="00896E01">
        <w:rPr>
          <w:rFonts w:ascii="Times New Roman" w:eastAsia="Times New Roman" w:hAnsi="Times New Roman" w:cs="Times New Roman"/>
          <w:sz w:val="24"/>
          <w:szCs w:val="24"/>
        </w:rPr>
        <w:lastRenderedPageBreak/>
        <w:t xml:space="preserve">Preventing corneal blindness requires a multifaceted approach. Public health interventions aimed at promoting hygiene, early diagnosis, and timely treatment of corneal infections are essential. Awareness regarding the harmful effects of using unregulated eye products, the importance of protective eyewear in hazardous occupations, and access to affordable eye care services can significantly reduce the burden of corneal blindness (WHO, </w:t>
      </w:r>
      <w:proofErr w:type="gramStart"/>
      <w:r w:rsidRPr="00896E01">
        <w:rPr>
          <w:rFonts w:ascii="Times New Roman" w:eastAsia="Times New Roman" w:hAnsi="Times New Roman" w:cs="Times New Roman"/>
          <w:sz w:val="24"/>
          <w:szCs w:val="24"/>
        </w:rPr>
        <w:t>2023)</w:t>
      </w:r>
      <w:r w:rsidRPr="00896E01">
        <w:rPr>
          <w:rFonts w:ascii="Times New Roman" w:eastAsia="Times New Roman" w:hAnsi="Times New Roman" w:cs="Times New Roman"/>
          <w:sz w:val="24"/>
          <w:szCs w:val="24"/>
          <w:vertAlign w:val="superscript"/>
        </w:rPr>
        <w:t>(</w:t>
      </w:r>
      <w:proofErr w:type="gramEnd"/>
      <w:r w:rsidRPr="00896E01">
        <w:rPr>
          <w:rFonts w:ascii="Times New Roman" w:eastAsia="Times New Roman" w:hAnsi="Times New Roman" w:cs="Times New Roman"/>
          <w:sz w:val="24"/>
          <w:szCs w:val="24"/>
          <w:vertAlign w:val="superscript"/>
        </w:rPr>
        <w:t>5).</w:t>
      </w:r>
      <w:r w:rsidR="00B13713" w:rsidRPr="00896E01">
        <w:rPr>
          <w:rFonts w:ascii="Times New Roman" w:eastAsia="Times New Roman" w:hAnsi="Times New Roman" w:cs="Times New Roman"/>
          <w:sz w:val="24"/>
          <w:szCs w:val="24"/>
          <w:vertAlign w:val="superscript"/>
        </w:rPr>
        <w:t xml:space="preserve"> </w:t>
      </w:r>
      <w:r w:rsidR="00B13713" w:rsidRPr="00896E01">
        <w:rPr>
          <w:rFonts w:ascii="Arial" w:hAnsi="Arial" w:cs="Arial"/>
          <w:color w:val="212529"/>
          <w:sz w:val="21"/>
          <w:szCs w:val="21"/>
          <w:shd w:val="clear" w:color="auto" w:fill="FFFFFF"/>
        </w:rPr>
        <w:t>Eye donation is voluntary donation of one’s eyes after his/her death. As per Eye Bank Association of India current corneal procurement rate is 49,000 per year,</w:t>
      </w:r>
      <w:hyperlink r:id="rId7" w:anchor="R146219625342063" w:history="1">
        <w:r w:rsidR="00B13713" w:rsidRPr="00896E01">
          <w:rPr>
            <w:rFonts w:ascii="Arial" w:hAnsi="Arial" w:cs="Arial"/>
            <w:color w:val="0D6EFD"/>
            <w:sz w:val="18"/>
            <w:szCs w:val="18"/>
            <w:u w:val="single"/>
            <w:shd w:val="clear" w:color="auto" w:fill="FFFFFF"/>
            <w:vertAlign w:val="superscript"/>
          </w:rPr>
          <w:t>[2]</w:t>
        </w:r>
      </w:hyperlink>
      <w:r w:rsidR="00B13713" w:rsidRPr="00896E01">
        <w:rPr>
          <w:rFonts w:ascii="Arial" w:hAnsi="Arial" w:cs="Arial"/>
          <w:b/>
          <w:bCs/>
          <w:color w:val="212529"/>
          <w:sz w:val="21"/>
          <w:szCs w:val="21"/>
          <w:shd w:val="clear" w:color="auto" w:fill="FFFFFF"/>
        </w:rPr>
        <w:t> </w:t>
      </w:r>
      <w:r w:rsidR="00B13713" w:rsidRPr="00896E01">
        <w:rPr>
          <w:rFonts w:ascii="Arial" w:hAnsi="Arial" w:cs="Arial"/>
          <w:color w:val="212529"/>
          <w:sz w:val="21"/>
          <w:szCs w:val="21"/>
          <w:shd w:val="clear" w:color="auto" w:fill="FFFFFF"/>
        </w:rPr>
        <w:t>however large number of these cornea are deemed unfit for transplantation donor corneas are unfit for corneal transplantation. According to some studies 277,000 donor eyes are needed to perform 100,000 corneal transplants in a year in India (Prasad, 2022</w:t>
      </w:r>
      <w:r w:rsidR="0007651B" w:rsidRPr="00896E01">
        <w:rPr>
          <w:rFonts w:ascii="Arial" w:hAnsi="Arial" w:cs="Arial"/>
          <w:color w:val="212529"/>
          <w:sz w:val="21"/>
          <w:szCs w:val="21"/>
          <w:shd w:val="clear" w:color="auto" w:fill="FFFFFF"/>
        </w:rPr>
        <w:t xml:space="preserve">; </w:t>
      </w:r>
      <w:proofErr w:type="spellStart"/>
      <w:r w:rsidR="0007651B" w:rsidRPr="00896E01">
        <w:rPr>
          <w:rFonts w:ascii="Arial" w:hAnsi="Arial" w:cs="Arial"/>
          <w:color w:val="212529"/>
          <w:sz w:val="21"/>
          <w:szCs w:val="21"/>
          <w:shd w:val="clear" w:color="auto" w:fill="FFFFFF"/>
        </w:rPr>
        <w:t>Pallerla</w:t>
      </w:r>
      <w:proofErr w:type="spellEnd"/>
      <w:r w:rsidR="0007651B" w:rsidRPr="00896E01">
        <w:rPr>
          <w:rFonts w:ascii="Arial" w:hAnsi="Arial" w:cs="Arial"/>
          <w:color w:val="212529"/>
          <w:sz w:val="21"/>
          <w:szCs w:val="21"/>
          <w:shd w:val="clear" w:color="auto" w:fill="FFFFFF"/>
        </w:rPr>
        <w:t xml:space="preserve"> et al., 2023</w:t>
      </w:r>
      <w:r w:rsidR="00B13713" w:rsidRPr="00896E01">
        <w:rPr>
          <w:rFonts w:ascii="Arial" w:hAnsi="Arial" w:cs="Arial"/>
          <w:color w:val="212529"/>
          <w:sz w:val="21"/>
          <w:szCs w:val="21"/>
          <w:shd w:val="clear" w:color="auto" w:fill="FFFFFF"/>
        </w:rPr>
        <w:t>)</w:t>
      </w:r>
      <w:r w:rsidR="002C00EC" w:rsidRPr="00896E01">
        <w:rPr>
          <w:rFonts w:ascii="Arial" w:hAnsi="Arial" w:cs="Arial"/>
          <w:color w:val="212529"/>
          <w:sz w:val="21"/>
          <w:szCs w:val="21"/>
          <w:shd w:val="clear" w:color="auto" w:fill="FFFFFF"/>
        </w:rPr>
        <w:t>.</w:t>
      </w:r>
    </w:p>
    <w:p w:rsidR="00DF30C5" w:rsidRPr="00896E01" w:rsidRDefault="00503689">
      <w:pPr>
        <w:spacing w:line="360" w:lineRule="auto"/>
        <w:jc w:val="both"/>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 xml:space="preserve">The literate population, with access to information and the ability to comprehend health messages, can serve as catalysts for change in society. Their positive perception and proactive participation in eye donation initiatives can significantly influence others in their communities. Therefore, creating targeted educational programs and fostering positive attitudes towards eye donation among this group can help address the existing gap between the demand and availability of donor corneas (Bharti et al., </w:t>
      </w:r>
      <w:proofErr w:type="gramStart"/>
      <w:r w:rsidRPr="00896E01">
        <w:rPr>
          <w:rFonts w:ascii="Times New Roman" w:eastAsia="Times New Roman" w:hAnsi="Times New Roman" w:cs="Times New Roman"/>
          <w:sz w:val="24"/>
          <w:szCs w:val="24"/>
        </w:rPr>
        <w:t>2019)</w:t>
      </w:r>
      <w:r w:rsidRPr="00896E01">
        <w:rPr>
          <w:rFonts w:ascii="Times New Roman" w:eastAsia="Times New Roman" w:hAnsi="Times New Roman" w:cs="Times New Roman"/>
          <w:sz w:val="24"/>
          <w:szCs w:val="24"/>
          <w:vertAlign w:val="superscript"/>
        </w:rPr>
        <w:t>(</w:t>
      </w:r>
      <w:proofErr w:type="gramEnd"/>
      <w:r w:rsidRPr="00896E01">
        <w:rPr>
          <w:rFonts w:ascii="Times New Roman" w:eastAsia="Times New Roman" w:hAnsi="Times New Roman" w:cs="Times New Roman"/>
          <w:sz w:val="24"/>
          <w:szCs w:val="24"/>
          <w:vertAlign w:val="superscript"/>
        </w:rPr>
        <w:t>6)</w:t>
      </w:r>
      <w:r w:rsidRPr="00896E01">
        <w:rPr>
          <w:rFonts w:ascii="Times New Roman" w:eastAsia="Times New Roman" w:hAnsi="Times New Roman" w:cs="Times New Roman"/>
          <w:sz w:val="24"/>
          <w:szCs w:val="24"/>
        </w:rPr>
        <w:t>.</w:t>
      </w:r>
      <w:r w:rsidR="007C1B0C" w:rsidRPr="00896E01">
        <w:rPr>
          <w:rFonts w:ascii="Times New Roman" w:eastAsia="Times New Roman" w:hAnsi="Times New Roman" w:cs="Times New Roman"/>
          <w:sz w:val="24"/>
          <w:szCs w:val="24"/>
        </w:rPr>
        <w:t xml:space="preserve"> One of the obstacles in eye donation is lack of awareness and a negative attitude among general population. The prerequisite, therefore, is to make the common people more aware about eye donation in an effort to increase the procurement of cornea</w:t>
      </w:r>
      <w:r w:rsidR="00B13713" w:rsidRPr="00896E01">
        <w:rPr>
          <w:rFonts w:ascii="Times New Roman" w:eastAsia="Times New Roman" w:hAnsi="Times New Roman" w:cs="Times New Roman"/>
          <w:sz w:val="24"/>
          <w:szCs w:val="24"/>
        </w:rPr>
        <w:t xml:space="preserve"> (Patil et al., 2015)</w:t>
      </w:r>
      <w:r w:rsidR="007C1B0C" w:rsidRPr="00896E01">
        <w:rPr>
          <w:rFonts w:ascii="Times New Roman" w:eastAsia="Times New Roman" w:hAnsi="Times New Roman" w:cs="Times New Roman"/>
          <w:sz w:val="24"/>
          <w:szCs w:val="24"/>
        </w:rPr>
        <w:t>.</w:t>
      </w:r>
    </w:p>
    <w:p w:rsidR="00DF30C5" w:rsidRPr="00896E01" w:rsidRDefault="00DF30C5">
      <w:pPr>
        <w:spacing w:line="360" w:lineRule="auto"/>
        <w:jc w:val="both"/>
        <w:rPr>
          <w:rFonts w:ascii="Times New Roman" w:eastAsia="Times New Roman" w:hAnsi="Times New Roman" w:cs="Times New Roman"/>
          <w:sz w:val="24"/>
          <w:szCs w:val="24"/>
          <w:lang w:val="en-IN"/>
        </w:rPr>
      </w:pPr>
    </w:p>
    <w:p w:rsidR="00DF30C5" w:rsidRPr="00896E01" w:rsidRDefault="00503689">
      <w:pPr>
        <w:spacing w:line="600" w:lineRule="auto"/>
        <w:jc w:val="both"/>
        <w:rPr>
          <w:rFonts w:ascii="Times New Roman" w:eastAsia="Times New Roman" w:hAnsi="Times New Roman" w:cs="Times New Roman"/>
          <w:sz w:val="24"/>
          <w:szCs w:val="24"/>
          <w:vertAlign w:val="superscript"/>
        </w:rPr>
      </w:pPr>
      <w:r w:rsidRPr="00896E01">
        <w:rPr>
          <w:rFonts w:ascii="Times New Roman" w:eastAsia="Times New Roman" w:hAnsi="Times New Roman" w:cs="Times New Roman"/>
          <w:sz w:val="24"/>
          <w:szCs w:val="24"/>
        </w:rPr>
        <w:t xml:space="preserve">Corneal transplantation, also known as keratoplasty, involves replacing the diseased or damaged cornea with healthy donor tissue from a deceased individual. This surgical procedure has restored sight to millions of people worldwide and continues to be the most effective </w:t>
      </w:r>
      <w:r w:rsidRPr="00896E01">
        <w:rPr>
          <w:rFonts w:ascii="Times New Roman" w:eastAsia="Times New Roman" w:hAnsi="Times New Roman" w:cs="Times New Roman"/>
          <w:sz w:val="24"/>
          <w:szCs w:val="24"/>
        </w:rPr>
        <w:lastRenderedPageBreak/>
        <w:t>intervention for treating corneal blindness. However, the success of corneal transplantation heavily depends on the availability of donor corneas (Sharma et al., 2022)</w:t>
      </w:r>
      <w:r w:rsidRPr="00896E01">
        <w:rPr>
          <w:rFonts w:ascii="Times New Roman" w:eastAsia="Times New Roman" w:hAnsi="Times New Roman" w:cs="Times New Roman"/>
          <w:sz w:val="24"/>
          <w:szCs w:val="24"/>
          <w:vertAlign w:val="superscript"/>
        </w:rPr>
        <w:t>(3)</w:t>
      </w:r>
      <w:r w:rsidRPr="00896E01">
        <w:rPr>
          <w:rFonts w:ascii="Times New Roman" w:eastAsia="Times New Roman" w:hAnsi="Times New Roman" w:cs="Times New Roman"/>
          <w:sz w:val="24"/>
          <w:szCs w:val="24"/>
        </w:rPr>
        <w:t>.</w:t>
      </w:r>
      <w:r w:rsidRPr="00896E01">
        <w:rPr>
          <w:rFonts w:ascii="Times New Roman" w:eastAsia="Times New Roman" w:hAnsi="Times New Roman" w:cs="Times New Roman"/>
          <w:sz w:val="24"/>
          <w:szCs w:val="24"/>
          <w:vertAlign w:val="superscript"/>
        </w:rPr>
        <w:t xml:space="preserve"> </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This study assesses awareness and perception of eye donation among literate individuals, aiming to identify knowledge gaps and factors influencing willingness to donate.</w:t>
      </w:r>
    </w:p>
    <w:p w:rsidR="00DF30C5" w:rsidRPr="00896E01" w:rsidRDefault="00DF30C5">
      <w:pPr>
        <w:spacing w:line="360" w:lineRule="auto"/>
        <w:jc w:val="both"/>
        <w:rPr>
          <w:rFonts w:ascii="Times New Roman" w:hAnsi="Times New Roman" w:cs="Times New Roman"/>
          <w:b/>
          <w:bCs/>
          <w:sz w:val="24"/>
          <w:szCs w:val="24"/>
          <w:lang w:val="en-IN"/>
        </w:rPr>
      </w:pPr>
    </w:p>
    <w:p w:rsidR="00DF30C5" w:rsidRPr="00896E01" w:rsidRDefault="00503689">
      <w:pPr>
        <w:numPr>
          <w:ilvl w:val="0"/>
          <w:numId w:val="1"/>
        </w:numPr>
        <w:spacing w:line="360" w:lineRule="auto"/>
        <w:jc w:val="both"/>
        <w:rPr>
          <w:rFonts w:ascii="Times New Roman" w:hAnsi="Times New Roman" w:cs="Times New Roman"/>
          <w:b/>
          <w:bCs/>
          <w:sz w:val="28"/>
          <w:szCs w:val="28"/>
          <w:lang w:val="en-IN"/>
        </w:rPr>
      </w:pPr>
      <w:r w:rsidRPr="00896E01">
        <w:rPr>
          <w:rFonts w:ascii="Times New Roman" w:hAnsi="Times New Roman" w:cs="Times New Roman"/>
          <w:b/>
          <w:bCs/>
          <w:sz w:val="28"/>
          <w:szCs w:val="28"/>
          <w:lang w:val="en-IN"/>
        </w:rPr>
        <w:t>Materials and Methods</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Study Design</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The present study employed a cross-sectional, questionnaire-based survey design to assess the level of awareness, perception, and willingness toward eye donation among literate individuals in Uttar Pradesh, India. A cross-sectional approach was chosen as it allows assessment of knowledge and attitudes at a single point in time, providing a snapshot of the prevailing status of awareness regarding eye donation without the need for follow-up of participants.</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Study Setting and Location</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The study was conducted among literate individuals residing in various districts of Uttar Pradesh, India. Uttar Pradesh is one of the most populous states in the country and exhibits wide socio-cultural, economic, and educational diversity. Inclusion of participants from urban, semi-urban, and rural areas ensured representation of diverse backgrounds and enhanced the generalizability of the findings to the broader literate population of the state.</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Study Population</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The study population comprised literate adults aged 18 years and above who were permanent residents of Uttar Pradesh. Literate individuals were selected to ensure adequate comprehension of the self-administered questionnaire and reliable responses to knowledge-based questions.</w:t>
      </w:r>
    </w:p>
    <w:p w:rsidR="00DF30C5" w:rsidRPr="00896E01" w:rsidRDefault="00DF30C5">
      <w:pPr>
        <w:spacing w:line="360" w:lineRule="auto"/>
        <w:jc w:val="both"/>
        <w:rPr>
          <w:rFonts w:ascii="Times New Roman" w:hAnsi="Times New Roman"/>
          <w:b/>
          <w:bCs/>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Sampling Technique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lastRenderedPageBreak/>
        <w:t>A simple random sampling technique was used to select participants from the target population. This method ensured that every eligible literate individual above 18 years of age had an equal probability of being included in the study, thereby minimizing selection bias. Randomization was performed using a computer-generated random number table after preparing a list of potential participants from different districts.</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Sample Size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A total of</w:t>
      </w:r>
      <w:r w:rsidRPr="00896E01">
        <w:rPr>
          <w:rFonts w:ascii="Times New Roman" w:hAnsi="Times New Roman"/>
          <w:sz w:val="24"/>
          <w:szCs w:val="24"/>
        </w:rPr>
        <w:t xml:space="preserve"> 170 </w:t>
      </w:r>
      <w:r w:rsidRPr="00896E01">
        <w:rPr>
          <w:rFonts w:ascii="Times New Roman" w:hAnsi="Times New Roman"/>
          <w:sz w:val="24"/>
          <w:szCs w:val="24"/>
          <w:lang w:val="en-IN"/>
        </w:rPr>
        <w:t xml:space="preserve"> participants were included in the study. The sample size was determined based on feasibility, availability of participants, and time constraints. Although modest, the sample size was considered sufficient to provide meaningful preliminary insights into awareness, perceptions, and willingness toward eye donation among the literate population.</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Eligibility Criteria</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Inclusion Criteria</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Individuals aged 18 years and above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Participants of all genders</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Literate individuals who were able to read and write in any recognized language</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Exclusion Criteria</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Individuals below 18 years of age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Medical professionals, including doctors, optometrists, and other eye-care personnel, to avoid bias due to prior specialized knowledge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Illiterate individuals, as the questionnaire required reading comprehension</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Study Tool</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Questionnaire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 xml:space="preserve">Data were collected using a structured and pre-validated questionnaire designed to assess knowledge, awareness, perception, and willingness toward eye donation. The questionnaire </w:t>
      </w:r>
      <w:r w:rsidRPr="00896E01">
        <w:rPr>
          <w:rFonts w:ascii="Times New Roman" w:hAnsi="Times New Roman"/>
          <w:sz w:val="24"/>
          <w:szCs w:val="24"/>
          <w:lang w:val="en-IN"/>
        </w:rPr>
        <w:lastRenderedPageBreak/>
        <w:t>comprised both closed-ended and multiple-choice questions and was divided into the following sections:</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Socio-demographic details</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Awareness and knowledge regarding eye donation</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Attitudes and perceptions toward eye donation</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Willingness to donate eyes and perceived barriers</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The questionnaire was developed using simple and clear language to ensure ease of understanding. It was made available in both paper-based and digital formats to improve accessibility and participation.</w:t>
      </w:r>
    </w:p>
    <w:p w:rsidR="00DF30C5" w:rsidRPr="00896E01" w:rsidRDefault="00DF30C5">
      <w:pPr>
        <w:spacing w:line="360" w:lineRule="auto"/>
        <w:jc w:val="both"/>
        <w:rPr>
          <w:rFonts w:ascii="Times New Roman" w:hAnsi="Times New Roman"/>
          <w:b/>
          <w:bCs/>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Data Collection Instruments</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Laptop: Used for digital data entry, storage, and preliminary analysis</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Mobile Phone: Used to contact participants and circulate the questionnaire via digital platforms such as Google Forms, WhatsApp, and email. Mobile communication was also utilized to clarify participant queries and ensure completeness of responses</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Data Collection Procedure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Prior to data collection, the questionnaire was pre-tested through a pilot study on a small group of individuals to assess clarity, relevance, and time required for completion. Necessary modifications were made based on feedback.</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Participants were selected randomly from different districts of Uttar Pradesh. The purpose of the study was explained, and informed consent was obtained from all participants before administering the questionnaire. The questionnaire was either self-administered in printed</w:t>
      </w:r>
      <w:r w:rsidRPr="00896E01">
        <w:rPr>
          <w:rFonts w:ascii="Times New Roman" w:hAnsi="Times New Roman"/>
          <w:sz w:val="24"/>
          <w:szCs w:val="24"/>
        </w:rPr>
        <w:t xml:space="preserve"> </w:t>
      </w:r>
      <w:r w:rsidRPr="00896E01">
        <w:rPr>
          <w:rFonts w:ascii="Times New Roman" w:hAnsi="Times New Roman"/>
          <w:sz w:val="24"/>
          <w:szCs w:val="24"/>
          <w:lang w:val="en-IN"/>
        </w:rPr>
        <w:t>form or sent electronically through email or messaging applications. Participants were given adequate time to complete the questionnaire.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lastRenderedPageBreak/>
        <w:t>Follow-up was conducted via mobile phone to address incomplete responses or clarify ambiguous answers. Completed questionnaires were reviewed for completeness and accuracy before data entry.</w:t>
      </w:r>
    </w:p>
    <w:p w:rsidR="00DF30C5" w:rsidRPr="00896E01" w:rsidRDefault="00DF30C5">
      <w:pPr>
        <w:spacing w:line="360" w:lineRule="auto"/>
        <w:jc w:val="both"/>
        <w:rPr>
          <w:rFonts w:ascii="Times New Roman" w:hAnsi="Times New Roman"/>
          <w:sz w:val="24"/>
          <w:szCs w:val="24"/>
          <w:lang w:val="en-IN"/>
        </w:rPr>
      </w:pPr>
    </w:p>
    <w:p w:rsidR="00DF30C5" w:rsidRPr="00896E01" w:rsidRDefault="00DF30C5">
      <w:pPr>
        <w:spacing w:line="360" w:lineRule="auto"/>
        <w:jc w:val="both"/>
        <w:rPr>
          <w:rFonts w:ascii="Times New Roman" w:hAnsi="Times New Roman"/>
          <w:b/>
          <w:bCs/>
          <w:sz w:val="24"/>
          <w:szCs w:val="24"/>
          <w:lang w:val="en-IN"/>
        </w:rPr>
      </w:pPr>
    </w:p>
    <w:p w:rsidR="00DF30C5" w:rsidRPr="00896E01" w:rsidRDefault="00DF30C5">
      <w:pPr>
        <w:spacing w:line="360" w:lineRule="auto"/>
        <w:jc w:val="both"/>
        <w:rPr>
          <w:rFonts w:ascii="Times New Roman" w:hAnsi="Times New Roman"/>
          <w:b/>
          <w:bCs/>
          <w:sz w:val="24"/>
          <w:szCs w:val="24"/>
          <w:lang w:val="en-IN"/>
        </w:rPr>
      </w:pPr>
    </w:p>
    <w:p w:rsidR="00DF30C5" w:rsidRPr="00896E01" w:rsidRDefault="00DF30C5">
      <w:pPr>
        <w:spacing w:line="360" w:lineRule="auto"/>
        <w:jc w:val="both"/>
        <w:rPr>
          <w:rFonts w:ascii="Times New Roman" w:hAnsi="Times New Roman"/>
          <w:b/>
          <w:bCs/>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Data Management and Analysis</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Collected data were entered systematically into Microsoft Excel and checked for consistency and errors. Data analysis was performed using descriptive statistical methods. Frequencies and percentages were calculated to summarize socio-demographic variables, levels of awareness, perceptions, misconceptions, and willingness toward eye donation.</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Ethical Considerations</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sz w:val="24"/>
          <w:szCs w:val="24"/>
          <w:lang w:val="en-IN"/>
        </w:rPr>
        <w:t>The study was conducted in accordance with accepted ethical principles. Participation was entirely voluntary, and participants were informed of their right to withdraw at any time without any consequences. Informed consent was obtained from all participants prior to data collection. Confidentiality and anonymity were strictly maintained, and no personal identifiers were included in the data analysis or final report.</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 xml:space="preserve">Ethical approval was obtained from the Departmental Research Committee, </w:t>
      </w:r>
      <w:proofErr w:type="spellStart"/>
      <w:r w:rsidRPr="00896E01">
        <w:rPr>
          <w:rFonts w:ascii="Times New Roman" w:hAnsi="Times New Roman" w:cs="Times New Roman"/>
          <w:sz w:val="24"/>
          <w:szCs w:val="24"/>
          <w:lang w:val="en-IN"/>
        </w:rPr>
        <w:t>Galgotias</w:t>
      </w:r>
      <w:proofErr w:type="spellEnd"/>
      <w:r w:rsidRPr="00896E01">
        <w:rPr>
          <w:rFonts w:ascii="Times New Roman" w:hAnsi="Times New Roman" w:cs="Times New Roman"/>
          <w:sz w:val="24"/>
          <w:szCs w:val="24"/>
          <w:lang w:val="en-IN"/>
        </w:rPr>
        <w:t xml:space="preserve"> University.</w:t>
      </w:r>
    </w:p>
    <w:p w:rsidR="00DF30C5" w:rsidRPr="00896E01" w:rsidRDefault="00DF30C5">
      <w:pPr>
        <w:spacing w:line="360" w:lineRule="auto"/>
        <w:jc w:val="both"/>
        <w:rPr>
          <w:rFonts w:ascii="Times New Roman" w:hAnsi="Times New Roman" w:cs="Times New Roman"/>
          <w:b/>
          <w:bCs/>
          <w:sz w:val="24"/>
          <w:szCs w:val="24"/>
          <w:lang w:val="en-IN"/>
        </w:rPr>
      </w:pPr>
    </w:p>
    <w:p w:rsidR="00DF30C5" w:rsidRPr="00896E01" w:rsidRDefault="00DF30C5">
      <w:pPr>
        <w:spacing w:line="360" w:lineRule="auto"/>
        <w:jc w:val="both"/>
        <w:rPr>
          <w:rFonts w:ascii="Times New Roman" w:hAnsi="Times New Roman" w:cs="Times New Roman"/>
          <w:b/>
          <w:bCs/>
          <w:sz w:val="24"/>
          <w:szCs w:val="24"/>
          <w:lang w:val="en-IN"/>
        </w:rPr>
      </w:pPr>
    </w:p>
    <w:p w:rsidR="00DF30C5" w:rsidRPr="00896E01" w:rsidRDefault="00503689">
      <w:pPr>
        <w:spacing w:line="360" w:lineRule="auto"/>
        <w:jc w:val="both"/>
        <w:rPr>
          <w:rFonts w:ascii="Times New Roman" w:hAnsi="Times New Roman" w:cs="Times New Roman"/>
          <w:b/>
          <w:bCs/>
          <w:sz w:val="24"/>
          <w:szCs w:val="24"/>
          <w:lang w:val="en-IN"/>
        </w:rPr>
      </w:pPr>
      <w:r w:rsidRPr="00896E01">
        <w:rPr>
          <w:rFonts w:ascii="Times New Roman" w:hAnsi="Times New Roman" w:cs="Times New Roman"/>
          <w:b/>
          <w:bCs/>
          <w:sz w:val="24"/>
          <w:szCs w:val="24"/>
          <w:lang w:val="en-IN"/>
        </w:rPr>
        <w:t>3. Results</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 xml:space="preserve">A total of </w:t>
      </w:r>
      <w:r w:rsidRPr="00896E01">
        <w:rPr>
          <w:rFonts w:ascii="Times New Roman" w:hAnsi="Times New Roman" w:cs="Times New Roman"/>
          <w:sz w:val="24"/>
          <w:szCs w:val="24"/>
        </w:rPr>
        <w:t>170</w:t>
      </w:r>
      <w:r w:rsidRPr="00896E01">
        <w:rPr>
          <w:rFonts w:ascii="Times New Roman" w:hAnsi="Times New Roman" w:cs="Times New Roman"/>
          <w:sz w:val="24"/>
          <w:szCs w:val="24"/>
          <w:lang w:val="en-IN"/>
        </w:rPr>
        <w:t xml:space="preserve"> literate individuals participated in the study. The findings indicated a generally high level of awareness but persistent misconceptions in certain areas.</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 xml:space="preserve">When asked whether a living person can donate eyes, </w:t>
      </w:r>
      <w:r w:rsidRPr="00896E01">
        <w:rPr>
          <w:rFonts w:ascii="Times New Roman" w:hAnsi="Times New Roman" w:cs="Times New Roman"/>
          <w:sz w:val="24"/>
          <w:szCs w:val="24"/>
        </w:rPr>
        <w:t>72</w:t>
      </w:r>
      <w:r w:rsidRPr="00896E01">
        <w:rPr>
          <w:rFonts w:ascii="Times New Roman" w:hAnsi="Times New Roman" w:cs="Times New Roman"/>
          <w:sz w:val="24"/>
          <w:szCs w:val="24"/>
          <w:lang w:val="en-IN"/>
        </w:rPr>
        <w:t xml:space="preserve"> participants (42.3%) incorrectly answered “Yes,” while </w:t>
      </w:r>
      <w:r w:rsidRPr="00896E01">
        <w:rPr>
          <w:rFonts w:ascii="Times New Roman" w:hAnsi="Times New Roman" w:cs="Times New Roman"/>
          <w:sz w:val="24"/>
          <w:szCs w:val="24"/>
        </w:rPr>
        <w:t xml:space="preserve">158 </w:t>
      </w:r>
      <w:r w:rsidRPr="00896E01">
        <w:rPr>
          <w:rFonts w:ascii="Times New Roman" w:hAnsi="Times New Roman" w:cs="Times New Roman"/>
          <w:sz w:val="24"/>
          <w:szCs w:val="24"/>
          <w:lang w:val="en-IN"/>
        </w:rPr>
        <w:t xml:space="preserve">(57.7%) correctly responded “No.” Regarding disfigurement, </w:t>
      </w:r>
      <w:r w:rsidRPr="00896E01">
        <w:rPr>
          <w:rFonts w:ascii="Times New Roman" w:hAnsi="Times New Roman" w:cs="Times New Roman"/>
          <w:sz w:val="24"/>
          <w:szCs w:val="24"/>
        </w:rPr>
        <w:t xml:space="preserve">132 </w:t>
      </w:r>
      <w:r w:rsidRPr="00896E01">
        <w:rPr>
          <w:rFonts w:ascii="Times New Roman" w:hAnsi="Times New Roman" w:cs="Times New Roman"/>
          <w:sz w:val="24"/>
          <w:szCs w:val="24"/>
          <w:lang w:val="en-IN"/>
        </w:rPr>
        <w:lastRenderedPageBreak/>
        <w:t xml:space="preserve">respondents (77.6%) knew that eye donation does not cause facial disfigurement, though </w:t>
      </w:r>
      <w:r w:rsidRPr="00896E01">
        <w:rPr>
          <w:rFonts w:ascii="Times New Roman" w:hAnsi="Times New Roman" w:cs="Times New Roman"/>
          <w:sz w:val="24"/>
          <w:szCs w:val="24"/>
        </w:rPr>
        <w:t xml:space="preserve">38 </w:t>
      </w:r>
      <w:r w:rsidRPr="00896E01">
        <w:rPr>
          <w:rFonts w:ascii="Times New Roman" w:hAnsi="Times New Roman" w:cs="Times New Roman"/>
          <w:sz w:val="24"/>
          <w:szCs w:val="24"/>
          <w:lang w:val="en-IN"/>
        </w:rPr>
        <w:t>participants (22.4%) were either unsure or misinformed.</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 xml:space="preserve">In response to whether there is an age limit for eye donation, </w:t>
      </w:r>
      <w:r w:rsidRPr="00896E01">
        <w:rPr>
          <w:rFonts w:ascii="Times New Roman" w:hAnsi="Times New Roman" w:cs="Times New Roman"/>
          <w:sz w:val="24"/>
          <w:szCs w:val="24"/>
        </w:rPr>
        <w:t xml:space="preserve">108 </w:t>
      </w:r>
      <w:r w:rsidRPr="00896E01">
        <w:rPr>
          <w:rFonts w:ascii="Times New Roman" w:hAnsi="Times New Roman" w:cs="Times New Roman"/>
          <w:sz w:val="24"/>
          <w:szCs w:val="24"/>
          <w:lang w:val="en-IN"/>
        </w:rPr>
        <w:t xml:space="preserve">(63.5%) correctly stated that there is no limit, while </w:t>
      </w:r>
      <w:r w:rsidRPr="00896E01">
        <w:rPr>
          <w:rFonts w:ascii="Times New Roman" w:hAnsi="Times New Roman" w:cs="Times New Roman"/>
          <w:sz w:val="24"/>
          <w:szCs w:val="24"/>
        </w:rPr>
        <w:t xml:space="preserve">44 </w:t>
      </w:r>
      <w:r w:rsidRPr="00896E01">
        <w:rPr>
          <w:rFonts w:ascii="Times New Roman" w:hAnsi="Times New Roman" w:cs="Times New Roman"/>
          <w:sz w:val="24"/>
          <w:szCs w:val="24"/>
          <w:lang w:val="en-IN"/>
        </w:rPr>
        <w:t xml:space="preserve">(25.9%) believed otherwise. Awareness about home retrieval was moderate: </w:t>
      </w:r>
      <w:r w:rsidRPr="00896E01">
        <w:rPr>
          <w:rFonts w:ascii="Times New Roman" w:hAnsi="Times New Roman" w:cs="Times New Roman"/>
          <w:sz w:val="24"/>
          <w:szCs w:val="24"/>
        </w:rPr>
        <w:t xml:space="preserve">72 </w:t>
      </w:r>
      <w:r w:rsidRPr="00896E01">
        <w:rPr>
          <w:rFonts w:ascii="Times New Roman" w:hAnsi="Times New Roman" w:cs="Times New Roman"/>
          <w:sz w:val="24"/>
          <w:szCs w:val="24"/>
          <w:lang w:val="en-IN"/>
        </w:rPr>
        <w:t>participants (42.4%) correctly stated that eyes can be removed at the donor’s home by trained personnel.</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 xml:space="preserve">Knowledge about the critical time for retrieval was low, with few participants aware that eyes must be removed within 4–6 hours post-mortem. However, </w:t>
      </w:r>
      <w:r w:rsidRPr="00896E01">
        <w:rPr>
          <w:rFonts w:ascii="Times New Roman" w:hAnsi="Times New Roman" w:cs="Times New Roman"/>
          <w:sz w:val="24"/>
          <w:szCs w:val="24"/>
        </w:rPr>
        <w:t xml:space="preserve">148 </w:t>
      </w:r>
      <w:r w:rsidRPr="00896E01">
        <w:rPr>
          <w:rFonts w:ascii="Times New Roman" w:hAnsi="Times New Roman" w:cs="Times New Roman"/>
          <w:sz w:val="24"/>
          <w:szCs w:val="24"/>
          <w:lang w:val="en-IN"/>
        </w:rPr>
        <w:t>respondents (87.1%) correctly recognized that consent from a first-degree relative is required before eye removal, demonstrating good awareness of legal and ethical aspects.</w:t>
      </w:r>
    </w:p>
    <w:p w:rsidR="00DF30C5" w:rsidRPr="00896E01" w:rsidRDefault="00503689">
      <w:pPr>
        <w:spacing w:line="360" w:lineRule="auto"/>
        <w:jc w:val="center"/>
        <w:rPr>
          <w:rFonts w:ascii="Times New Roman" w:hAnsi="Times New Roman" w:cs="Times New Roman"/>
          <w:b/>
          <w:bCs/>
          <w:sz w:val="24"/>
          <w:szCs w:val="24"/>
          <w:lang w:val="en-IN"/>
        </w:rPr>
      </w:pPr>
      <w:r w:rsidRPr="00896E01">
        <w:rPr>
          <w:rFonts w:ascii="Times New Roman" w:hAnsi="Times New Roman" w:cs="Times New Roman"/>
          <w:b/>
          <w:bCs/>
          <w:sz w:val="24"/>
          <w:szCs w:val="24"/>
          <w:lang w:val="en-IN"/>
        </w:rPr>
        <w:t>Table 1. Awareness and Perception Regarding Eye Donation (n = 85)</w:t>
      </w:r>
    </w:p>
    <w:tbl>
      <w:tblPr>
        <w:tblStyle w:val="TableGrid"/>
        <w:tblW w:w="9180" w:type="dxa"/>
        <w:tblInd w:w="-5" w:type="dxa"/>
        <w:tblLook w:val="04A0" w:firstRow="1" w:lastRow="0" w:firstColumn="1" w:lastColumn="0" w:noHBand="0" w:noVBand="1"/>
      </w:tblPr>
      <w:tblGrid>
        <w:gridCol w:w="3874"/>
        <w:gridCol w:w="2696"/>
        <w:gridCol w:w="2610"/>
      </w:tblGrid>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b/>
                <w:bCs/>
                <w:lang w:val="en-IN"/>
              </w:rPr>
            </w:pPr>
            <w:r w:rsidRPr="00896E01">
              <w:rPr>
                <w:rFonts w:ascii="Times New Roman" w:hAnsi="Times New Roman" w:cs="Times New Roman"/>
                <w:b/>
                <w:bCs/>
                <w:lang w:val="en-IN"/>
              </w:rPr>
              <w:t>Parameter</w:t>
            </w:r>
          </w:p>
        </w:tc>
        <w:tc>
          <w:tcPr>
            <w:tcW w:w="2696" w:type="dxa"/>
            <w:vAlign w:val="center"/>
          </w:tcPr>
          <w:p w:rsidR="00DF30C5" w:rsidRPr="00896E01" w:rsidRDefault="00503689">
            <w:pPr>
              <w:spacing w:after="0" w:line="360" w:lineRule="auto"/>
              <w:rPr>
                <w:rFonts w:ascii="Times New Roman" w:hAnsi="Times New Roman" w:cs="Times New Roman"/>
                <w:b/>
                <w:bCs/>
                <w:lang w:val="en-IN"/>
              </w:rPr>
            </w:pPr>
            <w:r w:rsidRPr="00896E01">
              <w:rPr>
                <w:rFonts w:ascii="Times New Roman" w:hAnsi="Times New Roman" w:cs="Times New Roman"/>
                <w:b/>
                <w:bCs/>
                <w:lang w:val="en-IN"/>
              </w:rPr>
              <w:t>Correct Response (n, %)</w:t>
            </w:r>
          </w:p>
        </w:tc>
        <w:tc>
          <w:tcPr>
            <w:tcW w:w="2610" w:type="dxa"/>
            <w:vAlign w:val="center"/>
          </w:tcPr>
          <w:p w:rsidR="00DF30C5" w:rsidRPr="00896E01" w:rsidRDefault="00503689">
            <w:pPr>
              <w:spacing w:after="0" w:line="360" w:lineRule="auto"/>
              <w:rPr>
                <w:rFonts w:ascii="Times New Roman" w:hAnsi="Times New Roman" w:cs="Times New Roman"/>
                <w:b/>
                <w:bCs/>
                <w:lang w:val="en-IN"/>
              </w:rPr>
            </w:pPr>
            <w:r w:rsidRPr="00896E01">
              <w:rPr>
                <w:rFonts w:ascii="Times New Roman" w:hAnsi="Times New Roman" w:cs="Times New Roman"/>
                <w:b/>
                <w:bCs/>
                <w:lang w:val="en-IN"/>
              </w:rPr>
              <w:t>Incorrect/Unsure (n, %)</w:t>
            </w:r>
          </w:p>
        </w:tc>
      </w:tr>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lang w:val="en-IN"/>
              </w:rPr>
              <w:t>Heard about eye donation</w:t>
            </w:r>
          </w:p>
        </w:tc>
        <w:tc>
          <w:tcPr>
            <w:tcW w:w="2696"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158 </w:t>
            </w:r>
            <w:r w:rsidRPr="00896E01">
              <w:rPr>
                <w:rFonts w:ascii="Times New Roman" w:hAnsi="Times New Roman" w:cs="Times New Roman"/>
                <w:lang w:val="en-IN"/>
              </w:rPr>
              <w:t>(92.9%)</w:t>
            </w:r>
          </w:p>
        </w:tc>
        <w:tc>
          <w:tcPr>
            <w:tcW w:w="2610"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12 </w:t>
            </w:r>
            <w:r w:rsidRPr="00896E01">
              <w:rPr>
                <w:rFonts w:ascii="Times New Roman" w:hAnsi="Times New Roman" w:cs="Times New Roman"/>
                <w:lang w:val="en-IN"/>
              </w:rPr>
              <w:t>(7.1%)</w:t>
            </w:r>
          </w:p>
        </w:tc>
      </w:tr>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lang w:val="en-IN"/>
              </w:rPr>
              <w:t>Eye donation possible from living person</w:t>
            </w:r>
          </w:p>
        </w:tc>
        <w:tc>
          <w:tcPr>
            <w:tcW w:w="2696"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98 </w:t>
            </w:r>
            <w:r w:rsidRPr="00896E01">
              <w:rPr>
                <w:rFonts w:ascii="Times New Roman" w:hAnsi="Times New Roman" w:cs="Times New Roman"/>
                <w:lang w:val="en-IN"/>
              </w:rPr>
              <w:t>(57.7%)</w:t>
            </w:r>
          </w:p>
        </w:tc>
        <w:tc>
          <w:tcPr>
            <w:tcW w:w="2610"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72 </w:t>
            </w:r>
            <w:r w:rsidRPr="00896E01">
              <w:rPr>
                <w:rFonts w:ascii="Times New Roman" w:hAnsi="Times New Roman" w:cs="Times New Roman"/>
                <w:lang w:val="en-IN"/>
              </w:rPr>
              <w:t>(42.3%)</w:t>
            </w:r>
          </w:p>
        </w:tc>
      </w:tr>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lang w:val="en-IN"/>
              </w:rPr>
              <w:t>Eye donation disfigures face</w:t>
            </w:r>
          </w:p>
        </w:tc>
        <w:tc>
          <w:tcPr>
            <w:tcW w:w="2696"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132 </w:t>
            </w:r>
            <w:r w:rsidRPr="00896E01">
              <w:rPr>
                <w:rFonts w:ascii="Times New Roman" w:hAnsi="Times New Roman" w:cs="Times New Roman"/>
                <w:lang w:val="en-IN"/>
              </w:rPr>
              <w:t>(77.6%)</w:t>
            </w:r>
          </w:p>
        </w:tc>
        <w:tc>
          <w:tcPr>
            <w:tcW w:w="2610"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38 </w:t>
            </w:r>
            <w:r w:rsidRPr="00896E01">
              <w:rPr>
                <w:rFonts w:ascii="Times New Roman" w:hAnsi="Times New Roman" w:cs="Times New Roman"/>
                <w:lang w:val="en-IN"/>
              </w:rPr>
              <w:t>(22.4%)</w:t>
            </w:r>
          </w:p>
        </w:tc>
      </w:tr>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lang w:val="en-IN"/>
              </w:rPr>
              <w:t>Age limit for donation</w:t>
            </w:r>
          </w:p>
        </w:tc>
        <w:tc>
          <w:tcPr>
            <w:tcW w:w="2696"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108 </w:t>
            </w:r>
            <w:r w:rsidRPr="00896E01">
              <w:rPr>
                <w:rFonts w:ascii="Times New Roman" w:hAnsi="Times New Roman" w:cs="Times New Roman"/>
                <w:lang w:val="en-IN"/>
              </w:rPr>
              <w:t>(63.5%)</w:t>
            </w:r>
          </w:p>
        </w:tc>
        <w:tc>
          <w:tcPr>
            <w:tcW w:w="2610"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62 </w:t>
            </w:r>
            <w:r w:rsidRPr="00896E01">
              <w:rPr>
                <w:rFonts w:ascii="Times New Roman" w:hAnsi="Times New Roman" w:cs="Times New Roman"/>
                <w:lang w:val="en-IN"/>
              </w:rPr>
              <w:t>(36.5%)</w:t>
            </w:r>
          </w:p>
        </w:tc>
      </w:tr>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lang w:val="en-IN"/>
              </w:rPr>
              <w:t>Eyes can be removed at home</w:t>
            </w:r>
          </w:p>
        </w:tc>
        <w:tc>
          <w:tcPr>
            <w:tcW w:w="2696"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72 </w:t>
            </w:r>
            <w:r w:rsidRPr="00896E01">
              <w:rPr>
                <w:rFonts w:ascii="Times New Roman" w:hAnsi="Times New Roman" w:cs="Times New Roman"/>
                <w:lang w:val="en-IN"/>
              </w:rPr>
              <w:t>(42.4%)</w:t>
            </w:r>
          </w:p>
        </w:tc>
        <w:tc>
          <w:tcPr>
            <w:tcW w:w="2610"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98 </w:t>
            </w:r>
            <w:r w:rsidRPr="00896E01">
              <w:rPr>
                <w:rFonts w:ascii="Times New Roman" w:hAnsi="Times New Roman" w:cs="Times New Roman"/>
                <w:lang w:val="en-IN"/>
              </w:rPr>
              <w:t>(57.6%)</w:t>
            </w:r>
          </w:p>
        </w:tc>
      </w:tr>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lang w:val="en-IN"/>
              </w:rPr>
              <w:t>Consent from family required</w:t>
            </w:r>
          </w:p>
        </w:tc>
        <w:tc>
          <w:tcPr>
            <w:tcW w:w="2696"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148 </w:t>
            </w:r>
            <w:r w:rsidRPr="00896E01">
              <w:rPr>
                <w:rFonts w:ascii="Times New Roman" w:hAnsi="Times New Roman" w:cs="Times New Roman"/>
                <w:lang w:val="en-IN"/>
              </w:rPr>
              <w:t>(87.1%)</w:t>
            </w:r>
          </w:p>
        </w:tc>
        <w:tc>
          <w:tcPr>
            <w:tcW w:w="2610"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22 </w:t>
            </w:r>
            <w:r w:rsidRPr="00896E01">
              <w:rPr>
                <w:rFonts w:ascii="Times New Roman" w:hAnsi="Times New Roman" w:cs="Times New Roman"/>
                <w:lang w:val="en-IN"/>
              </w:rPr>
              <w:t>(12.9%)</w:t>
            </w:r>
          </w:p>
        </w:tc>
      </w:tr>
      <w:tr w:rsidR="00DF30C5" w:rsidRPr="00896E01">
        <w:trPr>
          <w:trHeight w:val="20"/>
        </w:trPr>
        <w:tc>
          <w:tcPr>
            <w:tcW w:w="3874"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lang w:val="en-IN"/>
              </w:rPr>
              <w:t>Willing to donate eyes</w:t>
            </w:r>
          </w:p>
        </w:tc>
        <w:tc>
          <w:tcPr>
            <w:tcW w:w="2696"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120 </w:t>
            </w:r>
            <w:r w:rsidRPr="00896E01">
              <w:rPr>
                <w:rFonts w:ascii="Times New Roman" w:hAnsi="Times New Roman" w:cs="Times New Roman"/>
                <w:lang w:val="en-IN"/>
              </w:rPr>
              <w:t>(70.6%)</w:t>
            </w:r>
          </w:p>
        </w:tc>
        <w:tc>
          <w:tcPr>
            <w:tcW w:w="2610" w:type="dxa"/>
            <w:vAlign w:val="center"/>
          </w:tcPr>
          <w:p w:rsidR="00DF30C5" w:rsidRPr="00896E01" w:rsidRDefault="00503689">
            <w:pPr>
              <w:spacing w:after="0" w:line="360" w:lineRule="auto"/>
              <w:rPr>
                <w:rFonts w:ascii="Times New Roman" w:hAnsi="Times New Roman" w:cs="Times New Roman"/>
                <w:lang w:val="en-IN"/>
              </w:rPr>
            </w:pPr>
            <w:r w:rsidRPr="00896E01">
              <w:rPr>
                <w:rFonts w:ascii="Times New Roman" w:hAnsi="Times New Roman" w:cs="Times New Roman"/>
              </w:rPr>
              <w:t xml:space="preserve">50 </w:t>
            </w:r>
            <w:r w:rsidRPr="00896E01">
              <w:rPr>
                <w:rFonts w:ascii="Times New Roman" w:hAnsi="Times New Roman" w:cs="Times New Roman"/>
                <w:lang w:val="en-IN"/>
              </w:rPr>
              <w:t>(29.4%)</w:t>
            </w:r>
          </w:p>
        </w:tc>
      </w:tr>
    </w:tbl>
    <w:p w:rsidR="00DF30C5" w:rsidRPr="00896E01" w:rsidRDefault="00DF30C5">
      <w:pPr>
        <w:spacing w:line="360" w:lineRule="auto"/>
        <w:jc w:val="both"/>
        <w:rPr>
          <w:rFonts w:ascii="Times New Roman" w:hAnsi="Times New Roman" w:cs="Times New Roman"/>
          <w:sz w:val="24"/>
          <w:szCs w:val="24"/>
          <w:lang w:val="en-IN"/>
        </w:rPr>
      </w:pP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The study revealed the following trends among literate participants:</w:t>
      </w:r>
    </w:p>
    <w:p w:rsidR="00DF30C5" w:rsidRPr="00896E01" w:rsidRDefault="00503689">
      <w:pPr>
        <w:numPr>
          <w:ilvl w:val="0"/>
          <w:numId w:val="2"/>
        </w:num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General awareness about eye donation was moderate to high.</w:t>
      </w:r>
    </w:p>
    <w:p w:rsidR="00DF30C5" w:rsidRPr="00896E01" w:rsidRDefault="00503689">
      <w:pPr>
        <w:numPr>
          <w:ilvl w:val="0"/>
          <w:numId w:val="2"/>
        </w:num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Significant gaps existed in procedural knowledge, including eligibility criteria and timing of retrieval.</w:t>
      </w:r>
    </w:p>
    <w:p w:rsidR="00DF30C5" w:rsidRPr="00896E01" w:rsidRDefault="00503689">
      <w:pPr>
        <w:numPr>
          <w:ilvl w:val="0"/>
          <w:numId w:val="2"/>
        </w:num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Misconceptions regarding living donation and logistical concerns persisted.</w:t>
      </w:r>
    </w:p>
    <w:p w:rsidR="00DF30C5" w:rsidRPr="00896E01" w:rsidRDefault="00503689">
      <w:pPr>
        <w:numPr>
          <w:ilvl w:val="0"/>
          <w:numId w:val="2"/>
        </w:num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Legal awareness, particularly regarding the need for family consent, was strong.</w:t>
      </w:r>
    </w:p>
    <w:p w:rsidR="00DF30C5" w:rsidRPr="00896E01" w:rsidRDefault="00503689">
      <w:pPr>
        <w:numPr>
          <w:ilvl w:val="0"/>
          <w:numId w:val="2"/>
        </w:num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Willingness to donate was moderate, often limited by emotional and cultural hesitancy.</w:t>
      </w:r>
    </w:p>
    <w:p w:rsidR="00DF30C5" w:rsidRPr="00896E01" w:rsidRDefault="00503689">
      <w:pPr>
        <w:spacing w:after="0" w:line="360" w:lineRule="auto"/>
        <w:jc w:val="center"/>
        <w:rPr>
          <w:rFonts w:ascii="Times New Roman" w:hAnsi="Times New Roman" w:cs="Times New Roman"/>
          <w:b/>
          <w:bCs/>
          <w:sz w:val="24"/>
          <w:szCs w:val="24"/>
          <w:lang w:val="en-IN"/>
        </w:rPr>
      </w:pPr>
      <w:r w:rsidRPr="00896E01">
        <w:rPr>
          <w:noProof/>
        </w:rPr>
        <w:lastRenderedPageBreak/>
        <w:drawing>
          <wp:inline distT="0" distB="0" distL="0" distR="0">
            <wp:extent cx="5467350" cy="2268855"/>
            <wp:effectExtent l="0" t="0" r="0" b="17145"/>
            <wp:docPr id="20484554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30C5" w:rsidRPr="00896E01" w:rsidRDefault="00503689">
      <w:pPr>
        <w:spacing w:after="0" w:line="240" w:lineRule="auto"/>
        <w:jc w:val="both"/>
        <w:rPr>
          <w:i/>
          <w:iCs/>
          <w:lang w:val="en-IN"/>
        </w:rPr>
      </w:pPr>
      <w:r w:rsidRPr="00896E01">
        <w:rPr>
          <w:rFonts w:ascii="Times New Roman" w:hAnsi="Times New Roman" w:cs="Times New Roman"/>
          <w:b/>
          <w:bCs/>
          <w:sz w:val="24"/>
          <w:szCs w:val="24"/>
          <w:lang w:val="en-IN"/>
        </w:rPr>
        <w:t>Figure 1. Awareness and willingness toward eye donation among participants</w:t>
      </w:r>
      <w:r w:rsidRPr="00896E01">
        <w:rPr>
          <w:rFonts w:ascii="Times New Roman" w:hAnsi="Times New Roman" w:cs="Times New Roman"/>
          <w:sz w:val="24"/>
          <w:szCs w:val="24"/>
          <w:lang w:val="en-IN"/>
        </w:rPr>
        <w:br/>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Bar chart illustrating the percentage of participants aware of eye donation, correct knowledge of corneal donation, belief regarding disfigurement, legal consent awareness, and willingness to donate.</w:t>
      </w:r>
    </w:p>
    <w:p w:rsidR="00DF30C5" w:rsidRPr="00896E01" w:rsidRDefault="00503689">
      <w:pPr>
        <w:spacing w:line="360" w:lineRule="auto"/>
        <w:jc w:val="both"/>
        <w:rPr>
          <w:rFonts w:ascii="Times New Roman" w:hAnsi="Times New Roman" w:cs="Times New Roman"/>
          <w:sz w:val="24"/>
          <w:szCs w:val="24"/>
          <w:lang w:val="en-IN"/>
        </w:rPr>
      </w:pPr>
      <w:r w:rsidRPr="00896E01">
        <w:rPr>
          <w:rFonts w:ascii="Times New Roman" w:hAnsi="Times New Roman" w:cs="Times New Roman"/>
          <w:sz w:val="24"/>
          <w:szCs w:val="24"/>
          <w:lang w:val="en-IN"/>
        </w:rPr>
        <w:t>Most participants were aware of eye donation; however, knowledge regarding procedural aspects—such as the critical retrieval window of 4–6 hours post-mortem—was low. While willingness to donate was moderate, few participants had taken proactive steps to pledge their eyes or discuss donation with family members, highlighting a gap between awareness and actionable commitment.</w:t>
      </w:r>
    </w:p>
    <w:p w:rsidR="00DF30C5" w:rsidRPr="00896E01" w:rsidRDefault="00DF30C5">
      <w:pPr>
        <w:spacing w:line="360" w:lineRule="auto"/>
        <w:jc w:val="both"/>
        <w:rPr>
          <w:rFonts w:ascii="Times New Roman" w:hAnsi="Times New Roman" w:cs="Times New Roman"/>
          <w:sz w:val="24"/>
          <w:szCs w:val="24"/>
          <w:lang w:val="en-IN"/>
        </w:rPr>
      </w:pPr>
    </w:p>
    <w:p w:rsidR="00DF30C5" w:rsidRPr="00896E01" w:rsidRDefault="00503689">
      <w:pPr>
        <w:numPr>
          <w:ilvl w:val="0"/>
          <w:numId w:val="1"/>
        </w:numPr>
        <w:spacing w:line="360" w:lineRule="auto"/>
        <w:jc w:val="both"/>
        <w:rPr>
          <w:rFonts w:ascii="Times New Roman" w:hAnsi="Times New Roman" w:cs="Times New Roman"/>
          <w:b/>
          <w:bCs/>
          <w:sz w:val="28"/>
          <w:szCs w:val="28"/>
          <w:lang w:val="en-IN"/>
        </w:rPr>
      </w:pPr>
      <w:r w:rsidRPr="00896E01">
        <w:rPr>
          <w:rFonts w:ascii="Times New Roman" w:hAnsi="Times New Roman" w:cs="Times New Roman"/>
          <w:b/>
          <w:bCs/>
          <w:sz w:val="28"/>
          <w:szCs w:val="28"/>
          <w:lang w:val="en-IN"/>
        </w:rPr>
        <w:t>Discussion</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Awareness and Knowledge Regarding Eye Donation</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In the present study, 92.9% of respondents were aware that eyes can be donated. This finding is comparable to the results reported by Sharma et al. (2023)</w:t>
      </w:r>
      <w:r w:rsidRPr="00896E01">
        <w:rPr>
          <w:rFonts w:ascii="Times New Roman" w:hAnsi="Times New Roman"/>
          <w:sz w:val="24"/>
          <w:szCs w:val="24"/>
          <w:vertAlign w:val="superscript"/>
        </w:rPr>
        <w:t>(7)</w:t>
      </w:r>
      <w:r w:rsidRPr="00896E01">
        <w:rPr>
          <w:rFonts w:ascii="Times New Roman" w:hAnsi="Times New Roman"/>
          <w:sz w:val="24"/>
          <w:szCs w:val="24"/>
          <w:vertAlign w:val="superscript"/>
          <w:lang w:val="en-IN"/>
        </w:rPr>
        <w:t xml:space="preserve"> </w:t>
      </w:r>
      <w:r w:rsidRPr="00896E01">
        <w:rPr>
          <w:rFonts w:ascii="Times New Roman" w:hAnsi="Times New Roman"/>
          <w:sz w:val="24"/>
          <w:szCs w:val="24"/>
          <w:lang w:val="en-IN"/>
        </w:rPr>
        <w:t>where 88.7% of college students in Delhi were aware of eye donation. Similar results were noted by Singh et al. (2024)</w:t>
      </w:r>
      <w:r w:rsidRPr="00896E01">
        <w:rPr>
          <w:rFonts w:ascii="Times New Roman" w:hAnsi="Times New Roman"/>
          <w:sz w:val="24"/>
          <w:szCs w:val="24"/>
          <w:vertAlign w:val="superscript"/>
        </w:rPr>
        <w:t>(8)</w:t>
      </w:r>
      <w:r w:rsidRPr="00896E01">
        <w:rPr>
          <w:rFonts w:ascii="Times New Roman" w:hAnsi="Times New Roman"/>
          <w:sz w:val="24"/>
          <w:szCs w:val="24"/>
          <w:lang w:val="en-IN"/>
        </w:rPr>
        <w:t xml:space="preserve"> in Uttar Pradesh, who reported 90.2% awareness among educated adults. These findings suggest that general awareness about eye donation is reasonably high among literate populations across different regions of India.</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 xml:space="preserve">However, despite high awareness, detailed knowledge was limited. Only 62.4% of participants correctly identified the cornea as the part removed from the donor eye. This is consistent with </w:t>
      </w:r>
      <w:r w:rsidRPr="00896E01">
        <w:rPr>
          <w:rFonts w:ascii="Times New Roman" w:hAnsi="Times New Roman"/>
          <w:sz w:val="24"/>
          <w:szCs w:val="24"/>
          <w:lang w:val="en-IN"/>
        </w:rPr>
        <w:lastRenderedPageBreak/>
        <w:t>the findings of Kumar et al. (2022)</w:t>
      </w:r>
      <w:r w:rsidRPr="00896E01">
        <w:rPr>
          <w:rFonts w:ascii="Times New Roman" w:hAnsi="Times New Roman"/>
          <w:sz w:val="24"/>
          <w:szCs w:val="24"/>
          <w:vertAlign w:val="superscript"/>
        </w:rPr>
        <w:t>(9)</w:t>
      </w:r>
      <w:r w:rsidRPr="00896E01">
        <w:rPr>
          <w:rFonts w:ascii="Times New Roman" w:hAnsi="Times New Roman"/>
          <w:sz w:val="24"/>
          <w:szCs w:val="24"/>
          <w:lang w:val="en-IN"/>
        </w:rPr>
        <w:t xml:space="preserve"> where only 58% correctly identified the cornea as the transplantable tissue. In the current study, 14.1% of respondents incorrectly believed that the whole eye is removed, while 16.5% admitted that they did not know, highlighting persistent knowledge gaps and the need for targeted educational interventions.</w:t>
      </w:r>
    </w:p>
    <w:p w:rsidR="00DF30C5" w:rsidRPr="00896E01" w:rsidRDefault="00DF30C5">
      <w:pPr>
        <w:spacing w:line="360" w:lineRule="auto"/>
        <w:jc w:val="both"/>
        <w:rPr>
          <w:rFonts w:ascii="Times New Roman" w:hAnsi="Times New Roman"/>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Knowledge Regarding Timing of Eye Retrieval</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The majority of participants (57.6%) correctly stated that eyes should ideally be removed within 6 hours after death, which aligns with scientific recommendations and NPCB guidelines (2024)</w:t>
      </w:r>
      <w:r w:rsidRPr="00896E01">
        <w:rPr>
          <w:rFonts w:ascii="Times New Roman" w:hAnsi="Times New Roman"/>
          <w:sz w:val="24"/>
          <w:szCs w:val="24"/>
          <w:vertAlign w:val="superscript"/>
        </w:rPr>
        <w:t>(10)</w:t>
      </w:r>
      <w:r w:rsidRPr="00896E01">
        <w:rPr>
          <w:rFonts w:ascii="Times New Roman" w:hAnsi="Times New Roman"/>
          <w:sz w:val="24"/>
          <w:szCs w:val="24"/>
        </w:rPr>
        <w:t xml:space="preserve">. </w:t>
      </w:r>
      <w:r w:rsidRPr="00896E01">
        <w:rPr>
          <w:rFonts w:ascii="Times New Roman" w:hAnsi="Times New Roman"/>
          <w:sz w:val="24"/>
          <w:szCs w:val="24"/>
          <w:lang w:val="en-IN"/>
        </w:rPr>
        <w:t>However, 17.6% of respondents reported not knowing the ideal timing for eye removal, a finding similar to that reported by Patel et al. (2022)</w:t>
      </w:r>
      <w:r w:rsidRPr="00896E01">
        <w:rPr>
          <w:rFonts w:ascii="Times New Roman" w:hAnsi="Times New Roman"/>
          <w:sz w:val="24"/>
          <w:szCs w:val="24"/>
          <w:vertAlign w:val="superscript"/>
        </w:rPr>
        <w:t>(11)</w:t>
      </w:r>
      <w:r w:rsidRPr="00896E01">
        <w:rPr>
          <w:rFonts w:ascii="Times New Roman" w:hAnsi="Times New Roman"/>
          <w:sz w:val="24"/>
          <w:szCs w:val="24"/>
          <w:vertAlign w:val="superscript"/>
          <w:lang w:val="en-IN"/>
        </w:rPr>
        <w:t xml:space="preserve"> </w:t>
      </w:r>
      <w:r w:rsidRPr="00896E01">
        <w:rPr>
          <w:rFonts w:ascii="Times New Roman" w:hAnsi="Times New Roman"/>
          <w:sz w:val="24"/>
          <w:szCs w:val="24"/>
          <w:lang w:val="en-IN"/>
        </w:rPr>
        <w:t>who observed poor public knowledge regarding post-mortem donation timelines.</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Understanding of What is Transplanted </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In this study, 64.7% of participants correctly stated that only the cornea is transplanted to the recipient. Nevertheless, misconceptions persisted, with some respondents believing that the whole eye, lens, or retina is transplanted. These findings are consistent with those reported by Joseph and Nair (2023)</w:t>
      </w:r>
      <w:r w:rsidRPr="00896E01">
        <w:rPr>
          <w:rFonts w:ascii="Times New Roman" w:hAnsi="Times New Roman"/>
          <w:sz w:val="24"/>
          <w:szCs w:val="24"/>
          <w:vertAlign w:val="superscript"/>
        </w:rPr>
        <w:t>(12)</w:t>
      </w:r>
      <w:r w:rsidRPr="00896E01">
        <w:rPr>
          <w:rFonts w:ascii="Times New Roman" w:hAnsi="Times New Roman"/>
          <w:sz w:val="24"/>
          <w:szCs w:val="24"/>
          <w:lang w:val="en-IN"/>
        </w:rPr>
        <w:t xml:space="preserve"> who emphasized that while general awareness exists, technical understanding of eye donation remains inadequate.</w:t>
      </w:r>
    </w:p>
    <w:p w:rsidR="00DF30C5" w:rsidRPr="00896E01" w:rsidRDefault="00DF30C5">
      <w:pPr>
        <w:spacing w:line="360" w:lineRule="auto"/>
        <w:jc w:val="both"/>
        <w:rPr>
          <w:rFonts w:ascii="Times New Roman" w:hAnsi="Times New Roman"/>
          <w:b/>
          <w:bCs/>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Misconceptions and Myths </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Disfigurement Concerns</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Only 10.6% of respondents believed that eye donation leads to facial disfigurement. This proportion is lower than the 18.4% reported by Singh et al. (2024)</w:t>
      </w:r>
      <w:r w:rsidRPr="00896E01">
        <w:rPr>
          <w:rFonts w:ascii="Times New Roman" w:hAnsi="Times New Roman"/>
          <w:sz w:val="24"/>
          <w:szCs w:val="24"/>
          <w:vertAlign w:val="superscript"/>
        </w:rPr>
        <w:t>(8)</w:t>
      </w:r>
      <w:r w:rsidRPr="00896E01">
        <w:rPr>
          <w:rFonts w:ascii="Times New Roman" w:hAnsi="Times New Roman"/>
          <w:sz w:val="24"/>
          <w:szCs w:val="24"/>
          <w:lang w:val="en-IN"/>
        </w:rPr>
        <w:t xml:space="preserve"> suggesting relatively better awareness and acceptance among the current study population.</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Can a Living Person Donate Eyes? </w:t>
      </w:r>
    </w:p>
    <w:p w:rsidR="00DF30C5" w:rsidRPr="00896E01" w:rsidRDefault="00503689">
      <w:pPr>
        <w:spacing w:line="360" w:lineRule="auto"/>
        <w:jc w:val="both"/>
        <w:rPr>
          <w:rFonts w:ascii="Times New Roman" w:hAnsi="Times New Roman"/>
          <w:sz w:val="24"/>
          <w:szCs w:val="24"/>
        </w:rPr>
      </w:pPr>
      <w:r w:rsidRPr="00896E01">
        <w:rPr>
          <w:rFonts w:ascii="Times New Roman" w:hAnsi="Times New Roman"/>
          <w:sz w:val="24"/>
          <w:szCs w:val="24"/>
          <w:lang w:val="en-IN"/>
        </w:rPr>
        <w:t>A notable 42.4% of participants incorrectly believed that living persons can donate eyes, reflecting poor awareness of the fact that eye donation is possible only after death. Similar misconceptions have been reported by Bansal et al. (2023)</w:t>
      </w:r>
      <w:r w:rsidRPr="00896E01">
        <w:rPr>
          <w:rFonts w:ascii="Times New Roman" w:hAnsi="Times New Roman"/>
          <w:sz w:val="24"/>
          <w:szCs w:val="24"/>
          <w:vertAlign w:val="superscript"/>
        </w:rPr>
        <w:t>(13)</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Eye Removal at the Donor’s Home </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lastRenderedPageBreak/>
        <w:t>In the present study, 42.4% of respondents believed that eyes can be removed at the donor’s home, while 47.1% correctly stated that this is not possible. Such confusion regarding the logistics of eye donation has also been documented by Gupta et al. (2022)</w:t>
      </w:r>
      <w:r w:rsidRPr="00896E01">
        <w:rPr>
          <w:rFonts w:ascii="Times New Roman" w:hAnsi="Times New Roman"/>
          <w:sz w:val="24"/>
          <w:szCs w:val="24"/>
          <w:vertAlign w:val="superscript"/>
        </w:rPr>
        <w:t>(14)</w:t>
      </w:r>
      <w:r w:rsidRPr="00896E01">
        <w:rPr>
          <w:rFonts w:ascii="Times New Roman" w:hAnsi="Times New Roman"/>
          <w:sz w:val="24"/>
          <w:szCs w:val="24"/>
        </w:rPr>
        <w:t xml:space="preserve">, </w:t>
      </w:r>
      <w:r w:rsidRPr="00896E01">
        <w:rPr>
          <w:rFonts w:ascii="Times New Roman" w:hAnsi="Times New Roman"/>
          <w:sz w:val="24"/>
          <w:szCs w:val="24"/>
          <w:lang w:val="en-IN"/>
        </w:rPr>
        <w:t>indicating the need for clearer public information.</w:t>
      </w:r>
    </w:p>
    <w:p w:rsidR="00DF30C5" w:rsidRPr="00896E01" w:rsidRDefault="00DF30C5">
      <w:pPr>
        <w:spacing w:line="360" w:lineRule="auto"/>
        <w:jc w:val="both"/>
        <w:rPr>
          <w:rFonts w:ascii="Times New Roman" w:hAnsi="Times New Roman"/>
          <w:b/>
          <w:bCs/>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Awareness About Legal and Ethical Aspects</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Anonymity of Donor and Recipient </w:t>
      </w:r>
    </w:p>
    <w:p w:rsidR="00DF30C5" w:rsidRPr="00896E01" w:rsidRDefault="00503689">
      <w:pPr>
        <w:spacing w:line="360" w:lineRule="auto"/>
        <w:jc w:val="both"/>
        <w:rPr>
          <w:rFonts w:ascii="Times New Roman" w:hAnsi="Times New Roman"/>
          <w:sz w:val="24"/>
          <w:szCs w:val="24"/>
        </w:rPr>
      </w:pPr>
      <w:r w:rsidRPr="00896E01">
        <w:rPr>
          <w:rFonts w:ascii="Times New Roman" w:hAnsi="Times New Roman"/>
          <w:sz w:val="24"/>
          <w:szCs w:val="24"/>
          <w:lang w:val="en-IN"/>
        </w:rPr>
        <w:t>Approximately 61.2% of participants were aware that the identities of donors and recipients generally remain anonymous. However, 20% believed otherwise, indicating a need for greater awareness regarding confidentiality in eye donation, as emphasized by the World Health Organization (2024)</w:t>
      </w:r>
      <w:r w:rsidRPr="00896E01">
        <w:rPr>
          <w:rFonts w:ascii="Times New Roman" w:hAnsi="Times New Roman"/>
          <w:sz w:val="24"/>
          <w:szCs w:val="24"/>
          <w:vertAlign w:val="superscript"/>
        </w:rPr>
        <w:t>(15)</w:t>
      </w:r>
      <w:r w:rsidRPr="00896E01">
        <w:rPr>
          <w:rFonts w:ascii="Times New Roman" w:hAnsi="Times New Roman"/>
          <w:sz w:val="24"/>
          <w:szCs w:val="24"/>
        </w:rPr>
        <w:t>.</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Consent from First-Degree Relatives </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 xml:space="preserve">A significant majority (87.1%) of respondents were aware that consent from first-degree relatives is required for eye donation. </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Misconceptions Regarding Eligibility and Contraindications</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Age Limit for Eye Donation </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Only 25.9% of respondents were aware that there is no strict age limit for eye donation, while 63.5% believed that age is a limiting factor. This misconception aligns with findings by Patel et al. (2022)</w:t>
      </w:r>
      <w:r w:rsidRPr="00896E01">
        <w:rPr>
          <w:rFonts w:ascii="Times New Roman" w:hAnsi="Times New Roman"/>
          <w:sz w:val="24"/>
          <w:szCs w:val="24"/>
          <w:vertAlign w:val="superscript"/>
        </w:rPr>
        <w:t>(11)</w:t>
      </w:r>
      <w:r w:rsidRPr="00896E01">
        <w:rPr>
          <w:rFonts w:ascii="Times New Roman" w:hAnsi="Times New Roman"/>
          <w:sz w:val="24"/>
          <w:szCs w:val="24"/>
          <w:lang w:val="en-IN"/>
        </w:rPr>
        <w:t>, who reported widespread misunderstanding regarding age-related eligibility.</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 xml:space="preserve">Contraindications to Eye Donation </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While some respondents correctly identified contraindications such as HIV, hepatitis, poisoning, and malignancies, misconceptions were common regarding conditions like diabetes, hypertension, and the use of spectacles. Similar trends have been reported by Bansal et al. (2023)</w:t>
      </w:r>
      <w:r w:rsidRPr="00896E01">
        <w:rPr>
          <w:rFonts w:ascii="Times New Roman" w:hAnsi="Times New Roman"/>
          <w:sz w:val="24"/>
          <w:szCs w:val="24"/>
          <w:vertAlign w:val="superscript"/>
        </w:rPr>
        <w:t>(13)</w:t>
      </w:r>
      <w:r w:rsidRPr="00896E01">
        <w:rPr>
          <w:rFonts w:ascii="Times New Roman" w:hAnsi="Times New Roman"/>
          <w:sz w:val="24"/>
          <w:szCs w:val="24"/>
        </w:rPr>
        <w:t xml:space="preserve"> </w:t>
      </w:r>
      <w:r w:rsidRPr="00896E01">
        <w:rPr>
          <w:rFonts w:ascii="Times New Roman" w:hAnsi="Times New Roman"/>
          <w:sz w:val="24"/>
          <w:szCs w:val="24"/>
          <w:lang w:val="en-IN"/>
        </w:rPr>
        <w:t>and Joseph and Nair (2023)</w:t>
      </w:r>
      <w:r w:rsidRPr="00896E01">
        <w:rPr>
          <w:rFonts w:ascii="Times New Roman" w:hAnsi="Times New Roman"/>
          <w:sz w:val="24"/>
          <w:szCs w:val="24"/>
          <w:vertAlign w:val="superscript"/>
        </w:rPr>
        <w:t>(12)</w:t>
      </w:r>
      <w:r w:rsidRPr="00896E01">
        <w:rPr>
          <w:rFonts w:ascii="Times New Roman" w:hAnsi="Times New Roman"/>
          <w:sz w:val="24"/>
          <w:szCs w:val="24"/>
          <w:lang w:val="en-IN"/>
        </w:rPr>
        <w:t xml:space="preserve"> indicating persistent misinformation even among educated groups.</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Implications for Practice</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Despite encouraging levels of general awareness, the presence of significant knowledge gaps and misconceptions highlights the need for:</w:t>
      </w: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lastRenderedPageBreak/>
        <w:t>Targeted awareness campaigns focusing on medical accuracy</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Greater involvement of healthcare professionals in public education</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Effective use of social media platforms for information dissemination (Bansal et al., 2023)</w:t>
      </w:r>
      <w:r w:rsidRPr="00896E01">
        <w:rPr>
          <w:rFonts w:ascii="Times New Roman" w:hAnsi="Times New Roman"/>
          <w:sz w:val="24"/>
          <w:szCs w:val="24"/>
          <w:vertAlign w:val="superscript"/>
        </w:rPr>
        <w:t>(13)</w:t>
      </w:r>
      <w:r w:rsidRPr="00896E01">
        <w:rPr>
          <w:rFonts w:ascii="Times New Roman" w:hAnsi="Times New Roman"/>
          <w:sz w:val="24"/>
          <w:szCs w:val="24"/>
          <w:vertAlign w:val="superscript"/>
          <w:lang w:val="en-IN"/>
        </w:rPr>
        <w:t xml:space="preserve"> </w:t>
      </w:r>
    </w:p>
    <w:p w:rsidR="00DF30C5" w:rsidRPr="00896E01" w:rsidRDefault="00503689">
      <w:pPr>
        <w:spacing w:line="360" w:lineRule="auto"/>
        <w:jc w:val="both"/>
        <w:rPr>
          <w:rFonts w:ascii="Times New Roman" w:hAnsi="Times New Roman"/>
          <w:sz w:val="24"/>
          <w:szCs w:val="24"/>
          <w:lang w:val="en-IN"/>
        </w:rPr>
      </w:pPr>
      <w:r w:rsidRPr="00896E01">
        <w:rPr>
          <w:rFonts w:ascii="Times New Roman" w:hAnsi="Times New Roman"/>
          <w:sz w:val="24"/>
          <w:szCs w:val="24"/>
          <w:lang w:val="en-IN"/>
        </w:rPr>
        <w:t>Community-based educational initiatives in collaboration with eye banks and NGOs</w:t>
      </w:r>
    </w:p>
    <w:p w:rsidR="00DF30C5" w:rsidRPr="00896E01" w:rsidRDefault="00DF30C5">
      <w:pPr>
        <w:spacing w:line="360" w:lineRule="auto"/>
        <w:jc w:val="both"/>
        <w:rPr>
          <w:rFonts w:ascii="Times New Roman" w:hAnsi="Times New Roman"/>
          <w:b/>
          <w:bCs/>
          <w:sz w:val="24"/>
          <w:szCs w:val="24"/>
          <w:lang w:val="en-IN"/>
        </w:rPr>
      </w:pPr>
    </w:p>
    <w:p w:rsidR="00DF30C5" w:rsidRPr="00896E01" w:rsidRDefault="00503689">
      <w:pPr>
        <w:spacing w:line="360" w:lineRule="auto"/>
        <w:jc w:val="both"/>
        <w:rPr>
          <w:rFonts w:ascii="Times New Roman" w:hAnsi="Times New Roman"/>
          <w:b/>
          <w:bCs/>
          <w:sz w:val="24"/>
          <w:szCs w:val="24"/>
          <w:lang w:val="en-IN"/>
        </w:rPr>
      </w:pPr>
      <w:r w:rsidRPr="00896E01">
        <w:rPr>
          <w:rFonts w:ascii="Times New Roman" w:hAnsi="Times New Roman"/>
          <w:b/>
          <w:bCs/>
          <w:sz w:val="24"/>
          <w:szCs w:val="24"/>
          <w:lang w:val="en-IN"/>
        </w:rPr>
        <w:t>Comparison with the Global Scenario</w:t>
      </w:r>
    </w:p>
    <w:p w:rsidR="00DF30C5" w:rsidRPr="00896E01" w:rsidRDefault="00503689">
      <w:pPr>
        <w:spacing w:line="360" w:lineRule="auto"/>
        <w:jc w:val="both"/>
        <w:rPr>
          <w:rFonts w:ascii="Times New Roman" w:hAnsi="Times New Roman"/>
          <w:sz w:val="24"/>
          <w:szCs w:val="24"/>
        </w:rPr>
      </w:pPr>
      <w:r w:rsidRPr="00896E01">
        <w:rPr>
          <w:rFonts w:ascii="Times New Roman" w:hAnsi="Times New Roman"/>
          <w:sz w:val="24"/>
          <w:szCs w:val="24"/>
          <w:lang w:val="en-IN"/>
        </w:rPr>
        <w:t>Similar knowledge gaps have been reported in other developing countries. In contrast, countries with well-established eye banking systems, such as Spain and the USA, demonstrate higher levels of accurate knowledge and eye donation pledging, attributed to structured awareness programs and strong healthcare infrastructure (WHO, 2024)</w:t>
      </w:r>
      <w:r w:rsidRPr="00896E01">
        <w:rPr>
          <w:rFonts w:ascii="Times New Roman" w:hAnsi="Times New Roman"/>
          <w:sz w:val="24"/>
          <w:szCs w:val="24"/>
          <w:vertAlign w:val="superscript"/>
        </w:rPr>
        <w:t>(16)</w:t>
      </w:r>
      <w:r w:rsidRPr="00896E01">
        <w:rPr>
          <w:rFonts w:ascii="Times New Roman" w:hAnsi="Times New Roman"/>
          <w:sz w:val="24"/>
          <w:szCs w:val="24"/>
        </w:rPr>
        <w:t>.</w:t>
      </w:r>
    </w:p>
    <w:p w:rsidR="00DF30C5" w:rsidRPr="00896E01" w:rsidRDefault="00DF30C5">
      <w:pPr>
        <w:spacing w:line="360" w:lineRule="auto"/>
        <w:jc w:val="both"/>
        <w:rPr>
          <w:rFonts w:ascii="Times New Roman" w:hAnsi="Times New Roman"/>
          <w:sz w:val="24"/>
          <w:szCs w:val="24"/>
        </w:rPr>
      </w:pPr>
    </w:p>
    <w:p w:rsidR="00DF30C5" w:rsidRPr="00896E01" w:rsidRDefault="00503689">
      <w:pPr>
        <w:spacing w:line="360" w:lineRule="auto"/>
        <w:jc w:val="both"/>
        <w:rPr>
          <w:rFonts w:ascii="Times New Roman" w:hAnsi="Times New Roman"/>
          <w:b/>
          <w:bCs/>
          <w:sz w:val="28"/>
          <w:szCs w:val="28"/>
        </w:rPr>
      </w:pPr>
      <w:r w:rsidRPr="00896E01">
        <w:rPr>
          <w:rFonts w:ascii="Times New Roman" w:hAnsi="Times New Roman"/>
          <w:b/>
          <w:bCs/>
          <w:sz w:val="28"/>
          <w:szCs w:val="28"/>
        </w:rPr>
        <w:t>Conclusion</w:t>
      </w:r>
    </w:p>
    <w:p w:rsidR="00DF30C5" w:rsidRPr="00896E01" w:rsidRDefault="00503689">
      <w:pPr>
        <w:spacing w:line="360" w:lineRule="auto"/>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The study Awareness and Perception of Eye Donation among the Literate Population: reveals a significant gap between knowledge and actual willingness to pledge eyes for donation. While most of the literate population is aware of the concept of eye donation, the actual commitment to donating remains low due to various influencing factors. These factors include cultural and religious beliefs, misconceptions about the donation process, family objections, and a lack of detailed knowledge about the ideal timing and procedures involved in eye donation.</w:t>
      </w:r>
    </w:p>
    <w:p w:rsidR="00DF30C5" w:rsidRPr="00896E01" w:rsidRDefault="00503689">
      <w:pPr>
        <w:spacing w:line="360" w:lineRule="auto"/>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Despite the widespread awareness of the importance of eye donation in reducing blindness, many individuals hesitate to pledge their eyes due to perceived risks, such as concerns about disfigurement or discomfort with the idea of post-mortem procedures. Additionally, family members' objections and misunderstandings about the eye donation process often pose significant barriers.</w:t>
      </w:r>
    </w:p>
    <w:p w:rsidR="00DF30C5" w:rsidRPr="00896E01" w:rsidRDefault="00503689">
      <w:pPr>
        <w:spacing w:line="360" w:lineRule="auto"/>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 xml:space="preserve">This study also highlights the crucial role of educational background, with those in health-related fields showing greater awareness and willingness to donate. The findings point to the need for targeted educational interventions in schools, colleges, and workplaces to enhance knowledge about eye donation and dispel common myths. Furthermore, the use of mass </w:t>
      </w:r>
      <w:r w:rsidRPr="00896E01">
        <w:rPr>
          <w:rFonts w:ascii="Times New Roman" w:eastAsia="Times New Roman" w:hAnsi="Times New Roman" w:cs="Times New Roman"/>
          <w:sz w:val="24"/>
          <w:szCs w:val="24"/>
        </w:rPr>
        <w:lastRenderedPageBreak/>
        <w:t>media—particularly television, radio, and online platforms—should be leveraged to spread accurate and comprehensive information, helping to create a more informed public.</w:t>
      </w:r>
    </w:p>
    <w:p w:rsidR="00DF30C5" w:rsidRPr="00896E01" w:rsidRDefault="00503689">
      <w:pPr>
        <w:spacing w:line="360" w:lineRule="auto"/>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To address the barriers, a multi-faceted approach is necessary. Public awareness campaigns should not only focus on disseminating information but also aim to challenge and reshape negative perceptions and cultural taboos around eye donation. Collaboration with religious leaders and community influencers can help address cultural barriers and foster more positive attitudes toward eye donation.</w:t>
      </w:r>
    </w:p>
    <w:p w:rsidR="00DF30C5" w:rsidRPr="00896E01" w:rsidRDefault="00503689">
      <w:pPr>
        <w:spacing w:line="360" w:lineRule="auto"/>
        <w:rPr>
          <w:rFonts w:ascii="Times New Roman" w:eastAsia="Times New Roman" w:hAnsi="Times New Roman" w:cs="Times New Roman"/>
          <w:sz w:val="24"/>
          <w:szCs w:val="24"/>
        </w:rPr>
      </w:pPr>
      <w:r w:rsidRPr="00896E01">
        <w:rPr>
          <w:rFonts w:ascii="Times New Roman" w:eastAsia="Times New Roman" w:hAnsi="Times New Roman" w:cs="Times New Roman"/>
          <w:sz w:val="24"/>
          <w:szCs w:val="24"/>
        </w:rPr>
        <w:t xml:space="preserve">In conclusion, while the literate population demonstrates a basic level of awareness, there is a critical need to bridge the gap between knowledge and action. The findings of this study provide valuable insights into the factors that hinder eye donation and offer a foundation for developing more effective strategies to increase donation rates. These strategies should include education, improved communication, and community-based interventions that tackle misconceptions and promote a culture of eye donation, ultimately contributing to the reduction of corneal blindness and enhancing the quality of life for those in need of corneal transplants. </w:t>
      </w:r>
    </w:p>
    <w:p w:rsidR="00DF30C5" w:rsidRPr="00896E01" w:rsidRDefault="00DF30C5">
      <w:pPr>
        <w:spacing w:line="360" w:lineRule="auto"/>
        <w:jc w:val="both"/>
        <w:rPr>
          <w:rFonts w:ascii="Times New Roman" w:hAnsi="Times New Roman"/>
          <w:b/>
          <w:bCs/>
          <w:sz w:val="28"/>
          <w:szCs w:val="28"/>
        </w:rPr>
      </w:pPr>
    </w:p>
    <w:p w:rsidR="00DF6BAF" w:rsidRPr="00896E01" w:rsidRDefault="00DF6BAF" w:rsidP="00DF6BAF">
      <w:pPr>
        <w:rPr>
          <w:rFonts w:ascii="Calibri" w:eastAsia="Calibri" w:hAnsi="Calibri" w:cs="Times New Roman"/>
          <w:b/>
        </w:rPr>
      </w:pPr>
      <w:bookmarkStart w:id="0" w:name="_Hlk204003461"/>
      <w:bookmarkStart w:id="1" w:name="_Hlk213070710"/>
      <w:r w:rsidRPr="00896E01">
        <w:rPr>
          <w:rFonts w:ascii="Calibri" w:eastAsia="Calibri" w:hAnsi="Calibri" w:cs="Times New Roman"/>
          <w:b/>
        </w:rPr>
        <w:t>Disclaimer (Artificial intelligence)</w:t>
      </w:r>
    </w:p>
    <w:p w:rsidR="00DF6BAF" w:rsidRPr="00896E01" w:rsidRDefault="00DF6BAF" w:rsidP="00DF6BAF">
      <w:pPr>
        <w:rPr>
          <w:rFonts w:ascii="Calibri" w:eastAsia="Calibri" w:hAnsi="Calibri" w:cs="Times New Roman"/>
        </w:rPr>
      </w:pPr>
      <w:r w:rsidRPr="00896E01">
        <w:rPr>
          <w:rFonts w:ascii="Calibri" w:eastAsia="Calibri" w:hAnsi="Calibri" w:cs="Times New Roman"/>
        </w:rPr>
        <w:t>Author(s) hereby declare that NO generative AI technologies such as Large Language Models (</w:t>
      </w:r>
      <w:proofErr w:type="spellStart"/>
      <w:r w:rsidRPr="00896E01">
        <w:rPr>
          <w:rFonts w:ascii="Calibri" w:eastAsia="Calibri" w:hAnsi="Calibri" w:cs="Times New Roman"/>
        </w:rPr>
        <w:t>ChatGPT</w:t>
      </w:r>
      <w:proofErr w:type="spellEnd"/>
      <w:r w:rsidRPr="00896E01">
        <w:rPr>
          <w:rFonts w:ascii="Calibri" w:eastAsia="Calibri" w:hAnsi="Calibri" w:cs="Times New Roman"/>
        </w:rPr>
        <w:t xml:space="preserve">, COPILOT, etc.) and text-to-image generators have been used during the writing or editing of this manuscript. </w:t>
      </w:r>
    </w:p>
    <w:p w:rsidR="00DF30C5" w:rsidRPr="00896E01" w:rsidRDefault="00DF30C5">
      <w:pPr>
        <w:spacing w:line="360" w:lineRule="auto"/>
        <w:jc w:val="both"/>
        <w:rPr>
          <w:rFonts w:ascii="Times New Roman" w:hAnsi="Times New Roman" w:cs="Times New Roman"/>
          <w:b/>
          <w:bCs/>
          <w:sz w:val="24"/>
          <w:szCs w:val="24"/>
          <w:lang w:val="en-IN"/>
        </w:rPr>
      </w:pPr>
      <w:bookmarkStart w:id="2" w:name="_GoBack"/>
      <w:bookmarkEnd w:id="0"/>
      <w:bookmarkEnd w:id="1"/>
      <w:bookmarkEnd w:id="2"/>
    </w:p>
    <w:p w:rsidR="00DF30C5" w:rsidRPr="00896E01" w:rsidRDefault="00DF30C5">
      <w:pPr>
        <w:spacing w:line="360" w:lineRule="auto"/>
        <w:jc w:val="both"/>
        <w:rPr>
          <w:rFonts w:ascii="Times New Roman" w:hAnsi="Times New Roman" w:cs="Times New Roman"/>
          <w:b/>
          <w:bCs/>
          <w:sz w:val="24"/>
          <w:szCs w:val="24"/>
          <w:lang w:val="en-IN"/>
        </w:rPr>
      </w:pPr>
    </w:p>
    <w:p w:rsidR="00DF30C5" w:rsidRPr="00896E01" w:rsidRDefault="00503689">
      <w:pPr>
        <w:spacing w:line="360" w:lineRule="auto"/>
        <w:jc w:val="both"/>
        <w:rPr>
          <w:rFonts w:ascii="Times New Roman" w:hAnsi="Times New Roman" w:cs="Times New Roman"/>
          <w:b/>
          <w:bCs/>
          <w:sz w:val="28"/>
          <w:szCs w:val="28"/>
          <w:lang w:val="en-IN"/>
        </w:rPr>
      </w:pPr>
      <w:r w:rsidRPr="00896E01">
        <w:rPr>
          <w:rFonts w:ascii="Times New Roman" w:hAnsi="Times New Roman" w:cs="Times New Roman"/>
          <w:b/>
          <w:bCs/>
          <w:sz w:val="28"/>
          <w:szCs w:val="28"/>
          <w:lang w:val="en-IN"/>
        </w:rPr>
        <w:t>References</w:t>
      </w:r>
    </w:p>
    <w:p w:rsidR="0077365A" w:rsidRPr="00896E01" w:rsidRDefault="0077365A">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t xml:space="preserve">Sharma, B., Shrivastava, U., Kumar, K., </w:t>
      </w:r>
      <w:proofErr w:type="spellStart"/>
      <w:r w:rsidRPr="00896E01">
        <w:rPr>
          <w:rFonts w:ascii="Times New Roman" w:eastAsia="SimSun" w:hAnsi="Times New Roman" w:cs="Times New Roman"/>
          <w:sz w:val="24"/>
          <w:szCs w:val="24"/>
        </w:rPr>
        <w:t>Baghel</w:t>
      </w:r>
      <w:proofErr w:type="spellEnd"/>
      <w:r w:rsidRPr="00896E01">
        <w:rPr>
          <w:rFonts w:ascii="Times New Roman" w:eastAsia="SimSun" w:hAnsi="Times New Roman" w:cs="Times New Roman"/>
          <w:sz w:val="24"/>
          <w:szCs w:val="24"/>
        </w:rPr>
        <w:t xml:space="preserve">, R., Khan, F., &amp; Kulkarni, S. (2017). Eye donation awareness and conversion rate in hospital cornea retrieval </w:t>
      </w:r>
      <w:proofErr w:type="spellStart"/>
      <w:r w:rsidRPr="00896E01">
        <w:rPr>
          <w:rFonts w:ascii="Times New Roman" w:eastAsia="SimSun" w:hAnsi="Times New Roman" w:cs="Times New Roman"/>
          <w:sz w:val="24"/>
          <w:szCs w:val="24"/>
        </w:rPr>
        <w:t>programme</w:t>
      </w:r>
      <w:proofErr w:type="spellEnd"/>
      <w:r w:rsidRPr="00896E01">
        <w:rPr>
          <w:rFonts w:ascii="Times New Roman" w:eastAsia="SimSun" w:hAnsi="Times New Roman" w:cs="Times New Roman"/>
          <w:sz w:val="24"/>
          <w:szCs w:val="24"/>
        </w:rPr>
        <w:t xml:space="preserve"> in a tertiary hospital of central India. Journal of Clinical and Diagnostic Research, 11(8), NC12–NC15. </w:t>
      </w:r>
      <w:hyperlink r:id="rId9" w:history="1">
        <w:r w:rsidRPr="00896E01">
          <w:rPr>
            <w:rStyle w:val="Hyperlink"/>
            <w:rFonts w:ascii="Times New Roman" w:eastAsia="SimSun" w:hAnsi="Times New Roman" w:cs="Times New Roman"/>
            <w:sz w:val="24"/>
            <w:szCs w:val="24"/>
          </w:rPr>
          <w:t>https://doi.org/10.7860/JCDR/2017/27287.10421</w:t>
        </w:r>
      </w:hyperlink>
      <w:r w:rsidRPr="00896E01">
        <w:rPr>
          <w:rFonts w:ascii="Times New Roman" w:eastAsia="SimSun" w:hAnsi="Times New Roman" w:cs="Times New Roman"/>
          <w:sz w:val="24"/>
          <w:szCs w:val="24"/>
        </w:rPr>
        <w:t xml:space="preserve"> </w:t>
      </w:r>
    </w:p>
    <w:p w:rsidR="0077365A" w:rsidRPr="00896E01" w:rsidRDefault="0077365A">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t xml:space="preserve">World Health Organization. (2023). Blindness and vision impairment. </w:t>
      </w:r>
      <w:hyperlink r:id="rId10" w:history="1">
        <w:r w:rsidRPr="00896E01">
          <w:rPr>
            <w:rStyle w:val="Hyperlink"/>
            <w:rFonts w:ascii="Times New Roman" w:eastAsia="SimSun" w:hAnsi="Times New Roman" w:cs="Times New Roman"/>
            <w:sz w:val="24"/>
            <w:szCs w:val="24"/>
          </w:rPr>
          <w:t>https://www.who.int/en/news-room/fact-sheets/detail/blindness-and-visual-impairment</w:t>
        </w:r>
      </w:hyperlink>
      <w:r w:rsidRPr="00896E01">
        <w:rPr>
          <w:rFonts w:ascii="Times New Roman" w:eastAsia="SimSun" w:hAnsi="Times New Roman" w:cs="Times New Roman"/>
          <w:sz w:val="24"/>
          <w:szCs w:val="24"/>
        </w:rPr>
        <w:t xml:space="preserve"> </w:t>
      </w:r>
    </w:p>
    <w:p w:rsidR="00DF30C5" w:rsidRPr="00896E01" w:rsidRDefault="00503689">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lastRenderedPageBreak/>
        <w:t xml:space="preserve">Sharma N, Arora T, </w:t>
      </w:r>
      <w:proofErr w:type="spellStart"/>
      <w:r w:rsidRPr="00896E01">
        <w:rPr>
          <w:rFonts w:ascii="Times New Roman" w:eastAsia="SimSun" w:hAnsi="Times New Roman" w:cs="Times New Roman"/>
          <w:sz w:val="24"/>
          <w:szCs w:val="24"/>
        </w:rPr>
        <w:t>Titiyal</w:t>
      </w:r>
      <w:proofErr w:type="spellEnd"/>
      <w:r w:rsidRPr="00896E01">
        <w:rPr>
          <w:rFonts w:ascii="Times New Roman" w:eastAsia="SimSun" w:hAnsi="Times New Roman" w:cs="Times New Roman"/>
          <w:sz w:val="24"/>
          <w:szCs w:val="24"/>
        </w:rPr>
        <w:t xml:space="preserve"> JS. Changing trends in eye banking and corneal transplantation in India. </w:t>
      </w:r>
      <w:r w:rsidRPr="00896E01">
        <w:rPr>
          <w:rStyle w:val="Emphasis"/>
          <w:rFonts w:ascii="Times New Roman" w:eastAsia="SimSun" w:hAnsi="Times New Roman" w:cs="Times New Roman"/>
          <w:sz w:val="24"/>
          <w:szCs w:val="24"/>
        </w:rPr>
        <w:t xml:space="preserve">Indian J </w:t>
      </w:r>
      <w:proofErr w:type="spellStart"/>
      <w:r w:rsidRPr="00896E01">
        <w:rPr>
          <w:rStyle w:val="Emphasis"/>
          <w:rFonts w:ascii="Times New Roman" w:eastAsia="SimSun" w:hAnsi="Times New Roman" w:cs="Times New Roman"/>
          <w:sz w:val="24"/>
          <w:szCs w:val="24"/>
        </w:rPr>
        <w:t>Ophthalmol</w:t>
      </w:r>
      <w:proofErr w:type="spellEnd"/>
      <w:r w:rsidRPr="00896E01">
        <w:rPr>
          <w:rFonts w:ascii="Times New Roman" w:eastAsia="SimSun" w:hAnsi="Times New Roman" w:cs="Times New Roman"/>
          <w:sz w:val="24"/>
          <w:szCs w:val="24"/>
        </w:rPr>
        <w:t>. 2022;70(1):22–28.</w:t>
      </w:r>
    </w:p>
    <w:p w:rsidR="0077365A" w:rsidRPr="00896E01" w:rsidRDefault="0077365A">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t xml:space="preserve">Eye Bank Association of India. (2023). Eye Bank Association of India. </w:t>
      </w:r>
      <w:hyperlink r:id="rId11" w:history="1">
        <w:r w:rsidRPr="00896E01">
          <w:rPr>
            <w:rStyle w:val="Hyperlink"/>
            <w:rFonts w:ascii="Times New Roman" w:eastAsia="SimSun" w:hAnsi="Times New Roman" w:cs="Times New Roman"/>
            <w:sz w:val="24"/>
            <w:szCs w:val="24"/>
          </w:rPr>
          <w:t>https://ebai.org/</w:t>
        </w:r>
      </w:hyperlink>
      <w:r w:rsidRPr="00896E01">
        <w:rPr>
          <w:rFonts w:ascii="Times New Roman" w:eastAsia="SimSun" w:hAnsi="Times New Roman" w:cs="Times New Roman"/>
          <w:sz w:val="24"/>
          <w:szCs w:val="24"/>
        </w:rPr>
        <w:t xml:space="preserve"> </w:t>
      </w:r>
    </w:p>
    <w:p w:rsidR="0077365A" w:rsidRPr="00896E01" w:rsidRDefault="0077365A">
      <w:pPr>
        <w:pStyle w:val="NormalWeb"/>
        <w:numPr>
          <w:ilvl w:val="0"/>
          <w:numId w:val="3"/>
        </w:numPr>
        <w:spacing w:beforeAutospacing="1"/>
      </w:pPr>
      <w:r w:rsidRPr="00896E01">
        <w:rPr>
          <w:rFonts w:eastAsia="SimSun"/>
        </w:rPr>
        <w:t xml:space="preserve">World Health Organization. (2023). Blindness and vision impairment. </w:t>
      </w:r>
      <w:hyperlink r:id="rId12" w:history="1">
        <w:r w:rsidRPr="00896E01">
          <w:rPr>
            <w:rStyle w:val="Hyperlink"/>
            <w:rFonts w:eastAsia="SimSun"/>
          </w:rPr>
          <w:t>https://www.who.int/en/news-room/fact-sheets/detail/blindness-and-visual-impairment</w:t>
        </w:r>
      </w:hyperlink>
      <w:r w:rsidRPr="00896E01">
        <w:rPr>
          <w:rFonts w:eastAsia="SimSun"/>
        </w:rPr>
        <w:t xml:space="preserve"> </w:t>
      </w:r>
    </w:p>
    <w:p w:rsidR="00DF30C5" w:rsidRPr="00896E01" w:rsidRDefault="00503689">
      <w:pPr>
        <w:pStyle w:val="NormalWeb"/>
        <w:numPr>
          <w:ilvl w:val="0"/>
          <w:numId w:val="3"/>
        </w:numPr>
        <w:spacing w:beforeAutospacing="1"/>
      </w:pPr>
      <w:r w:rsidRPr="00896E01">
        <w:t xml:space="preserve">Bharti MK, Singh R, Kaur A. Awareness and willingness regarding eye donation among adult population in India: a systematic review. </w:t>
      </w:r>
      <w:r w:rsidRPr="00896E01">
        <w:rPr>
          <w:rStyle w:val="Emphasis"/>
        </w:rPr>
        <w:t>Indian J Community Health</w:t>
      </w:r>
      <w:r w:rsidRPr="00896E01">
        <w:t>. 2019;31(4):526–31.</w:t>
      </w:r>
    </w:p>
    <w:p w:rsidR="00DF30C5" w:rsidRPr="00896E01" w:rsidRDefault="00503689">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t xml:space="preserve">Sharma N, Kaur J, Yadav P. Awareness, knowledge, and attitude towards eye donation among college students in Delhi. </w:t>
      </w:r>
      <w:r w:rsidRPr="00896E01">
        <w:rPr>
          <w:rStyle w:val="Emphasis"/>
          <w:rFonts w:ascii="Times New Roman" w:eastAsia="SimSun" w:hAnsi="Times New Roman" w:cs="Times New Roman"/>
          <w:sz w:val="24"/>
          <w:szCs w:val="24"/>
        </w:rPr>
        <w:t xml:space="preserve">Delhi J </w:t>
      </w:r>
      <w:proofErr w:type="spellStart"/>
      <w:r w:rsidRPr="00896E01">
        <w:rPr>
          <w:rStyle w:val="Emphasis"/>
          <w:rFonts w:ascii="Times New Roman" w:eastAsia="SimSun" w:hAnsi="Times New Roman" w:cs="Times New Roman"/>
          <w:sz w:val="24"/>
          <w:szCs w:val="24"/>
        </w:rPr>
        <w:t>Ophthalmol</w:t>
      </w:r>
      <w:proofErr w:type="spellEnd"/>
      <w:r w:rsidRPr="00896E01">
        <w:rPr>
          <w:rFonts w:ascii="Times New Roman" w:eastAsia="SimSun" w:hAnsi="Times New Roman" w:cs="Times New Roman"/>
          <w:sz w:val="24"/>
          <w:szCs w:val="24"/>
        </w:rPr>
        <w:t>. 2023;33(1):45–9.</w:t>
      </w:r>
    </w:p>
    <w:p w:rsidR="0077365A" w:rsidRPr="00896E01" w:rsidRDefault="0077365A">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t xml:space="preserve">Zhang, W., </w:t>
      </w:r>
      <w:proofErr w:type="spellStart"/>
      <w:r w:rsidRPr="00896E01">
        <w:rPr>
          <w:rFonts w:ascii="Times New Roman" w:eastAsia="SimSun" w:hAnsi="Times New Roman" w:cs="Times New Roman"/>
          <w:sz w:val="24"/>
          <w:szCs w:val="24"/>
        </w:rPr>
        <w:t>Rokohl</w:t>
      </w:r>
      <w:proofErr w:type="spellEnd"/>
      <w:r w:rsidRPr="00896E01">
        <w:rPr>
          <w:rFonts w:ascii="Times New Roman" w:eastAsia="SimSun" w:hAnsi="Times New Roman" w:cs="Times New Roman"/>
          <w:sz w:val="24"/>
          <w:szCs w:val="24"/>
        </w:rPr>
        <w:t xml:space="preserve">, A. C., Guo, Y., Yao, K., Fan, W., &amp; </w:t>
      </w:r>
      <w:proofErr w:type="spellStart"/>
      <w:r w:rsidRPr="00896E01">
        <w:rPr>
          <w:rFonts w:ascii="Times New Roman" w:eastAsia="SimSun" w:hAnsi="Times New Roman" w:cs="Times New Roman"/>
          <w:sz w:val="24"/>
          <w:szCs w:val="24"/>
        </w:rPr>
        <w:t>Heindl</w:t>
      </w:r>
      <w:proofErr w:type="spellEnd"/>
      <w:r w:rsidRPr="00896E01">
        <w:rPr>
          <w:rFonts w:ascii="Times New Roman" w:eastAsia="SimSun" w:hAnsi="Times New Roman" w:cs="Times New Roman"/>
          <w:sz w:val="24"/>
          <w:szCs w:val="24"/>
        </w:rPr>
        <w:t xml:space="preserve">, L. M. (2024). Global incidence and prevalence of malignant orbital tumors. Adv </w:t>
      </w:r>
      <w:proofErr w:type="spellStart"/>
      <w:r w:rsidRPr="00896E01">
        <w:rPr>
          <w:rFonts w:ascii="Times New Roman" w:eastAsia="SimSun" w:hAnsi="Times New Roman" w:cs="Times New Roman"/>
          <w:sz w:val="24"/>
          <w:szCs w:val="24"/>
        </w:rPr>
        <w:t>Ophthalmol</w:t>
      </w:r>
      <w:proofErr w:type="spellEnd"/>
      <w:r w:rsidRPr="00896E01">
        <w:rPr>
          <w:rFonts w:ascii="Times New Roman" w:eastAsia="SimSun" w:hAnsi="Times New Roman" w:cs="Times New Roman"/>
          <w:sz w:val="24"/>
          <w:szCs w:val="24"/>
        </w:rPr>
        <w:t xml:space="preserve"> </w:t>
      </w:r>
      <w:proofErr w:type="spellStart"/>
      <w:r w:rsidRPr="00896E01">
        <w:rPr>
          <w:rFonts w:ascii="Times New Roman" w:eastAsia="SimSun" w:hAnsi="Times New Roman" w:cs="Times New Roman"/>
          <w:sz w:val="24"/>
          <w:szCs w:val="24"/>
        </w:rPr>
        <w:t>Pract</w:t>
      </w:r>
      <w:proofErr w:type="spellEnd"/>
      <w:r w:rsidRPr="00896E01">
        <w:rPr>
          <w:rFonts w:ascii="Times New Roman" w:eastAsia="SimSun" w:hAnsi="Times New Roman" w:cs="Times New Roman"/>
          <w:sz w:val="24"/>
          <w:szCs w:val="24"/>
        </w:rPr>
        <w:t xml:space="preserve"> Res. </w:t>
      </w:r>
      <w:hyperlink r:id="rId13" w:history="1">
        <w:r w:rsidRPr="00896E01">
          <w:rPr>
            <w:rStyle w:val="Hyperlink"/>
            <w:rFonts w:ascii="Times New Roman" w:eastAsia="SimSun" w:hAnsi="Times New Roman" w:cs="Times New Roman"/>
            <w:sz w:val="24"/>
            <w:szCs w:val="24"/>
          </w:rPr>
          <w:t>https://doi.org/10.1016/j.aopr.2024.04.002</w:t>
        </w:r>
      </w:hyperlink>
      <w:r w:rsidRPr="00896E01">
        <w:rPr>
          <w:rFonts w:ascii="Times New Roman" w:eastAsia="SimSun" w:hAnsi="Times New Roman" w:cs="Times New Roman"/>
          <w:sz w:val="24"/>
          <w:szCs w:val="24"/>
        </w:rPr>
        <w:t xml:space="preserve"> </w:t>
      </w:r>
    </w:p>
    <w:p w:rsidR="00DF30C5" w:rsidRPr="00896E01" w:rsidRDefault="00503689">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t xml:space="preserve">Kumar R, Patel D, Sharma M. Awareness and perception of eye donation among literate adults in rural Gujarat. </w:t>
      </w:r>
      <w:r w:rsidRPr="00896E01">
        <w:rPr>
          <w:rStyle w:val="Emphasis"/>
          <w:rFonts w:ascii="Times New Roman" w:eastAsia="SimSun" w:hAnsi="Times New Roman" w:cs="Times New Roman"/>
          <w:sz w:val="24"/>
          <w:szCs w:val="24"/>
        </w:rPr>
        <w:t xml:space="preserve">Ophthalmic Res </w:t>
      </w:r>
      <w:proofErr w:type="spellStart"/>
      <w:r w:rsidRPr="00896E01">
        <w:rPr>
          <w:rStyle w:val="Emphasis"/>
          <w:rFonts w:ascii="Times New Roman" w:eastAsia="SimSun" w:hAnsi="Times New Roman" w:cs="Times New Roman"/>
          <w:sz w:val="24"/>
          <w:szCs w:val="24"/>
        </w:rPr>
        <w:t>Pract</w:t>
      </w:r>
      <w:proofErr w:type="spellEnd"/>
      <w:r w:rsidRPr="00896E01">
        <w:rPr>
          <w:rFonts w:ascii="Times New Roman" w:eastAsia="SimSun" w:hAnsi="Times New Roman" w:cs="Times New Roman"/>
          <w:sz w:val="24"/>
          <w:szCs w:val="24"/>
        </w:rPr>
        <w:t>. 2022;14(1):33–9.</w:t>
      </w:r>
    </w:p>
    <w:p w:rsidR="0077365A" w:rsidRPr="00896E01" w:rsidRDefault="0077365A">
      <w:pPr>
        <w:pStyle w:val="NormalWeb"/>
        <w:numPr>
          <w:ilvl w:val="0"/>
          <w:numId w:val="3"/>
        </w:numPr>
        <w:spacing w:beforeAutospacing="1"/>
        <w:rPr>
          <w:rFonts w:eastAsia="SimSun"/>
        </w:rPr>
      </w:pPr>
      <w:r w:rsidRPr="00896E01">
        <w:t xml:space="preserve">Ministry of Health and Family Welfare, Government of India. (2024). Annual Report 2023-24 of the Department of Health and Family Welfare. </w:t>
      </w:r>
      <w:hyperlink r:id="rId14" w:history="1">
        <w:r w:rsidRPr="00896E01">
          <w:rPr>
            <w:rStyle w:val="Hyperlink"/>
          </w:rPr>
          <w:t>https://mohfw.nic.in/sites/default/files/Annual%20Report%202023-24.pdf</w:t>
        </w:r>
      </w:hyperlink>
      <w:r w:rsidRPr="00896E01">
        <w:t xml:space="preserve"> </w:t>
      </w:r>
    </w:p>
    <w:p w:rsidR="00DF30C5" w:rsidRPr="00896E01" w:rsidRDefault="00503689">
      <w:pPr>
        <w:pStyle w:val="NormalWeb"/>
        <w:numPr>
          <w:ilvl w:val="0"/>
          <w:numId w:val="3"/>
        </w:numPr>
        <w:spacing w:beforeAutospacing="1"/>
        <w:rPr>
          <w:rFonts w:eastAsia="SimSun"/>
        </w:rPr>
      </w:pPr>
      <w:r w:rsidRPr="00896E01">
        <w:rPr>
          <w:rFonts w:eastAsia="SimSun"/>
        </w:rPr>
        <w:t xml:space="preserve">Patel S, Raj A, Menon S. Barriers to eye donation in India: a qualitative review. </w:t>
      </w:r>
      <w:r w:rsidRPr="00896E01">
        <w:rPr>
          <w:rStyle w:val="Emphasis"/>
          <w:rFonts w:eastAsia="SimSun"/>
        </w:rPr>
        <w:t xml:space="preserve">Asian J </w:t>
      </w:r>
      <w:proofErr w:type="spellStart"/>
      <w:r w:rsidRPr="00896E01">
        <w:rPr>
          <w:rStyle w:val="Emphasis"/>
          <w:rFonts w:eastAsia="SimSun"/>
        </w:rPr>
        <w:t>Ophthalmol</w:t>
      </w:r>
      <w:proofErr w:type="spellEnd"/>
      <w:r w:rsidRPr="00896E01">
        <w:rPr>
          <w:rFonts w:eastAsia="SimSun"/>
        </w:rPr>
        <w:t>. 2022;24(2):123–30.</w:t>
      </w:r>
    </w:p>
    <w:p w:rsidR="00DF30C5" w:rsidRPr="00896E01" w:rsidRDefault="00503689">
      <w:pPr>
        <w:pStyle w:val="NormalWeb"/>
        <w:numPr>
          <w:ilvl w:val="0"/>
          <w:numId w:val="3"/>
        </w:numPr>
        <w:spacing w:beforeAutospacing="1"/>
        <w:rPr>
          <w:rFonts w:eastAsia="SimSun"/>
        </w:rPr>
      </w:pPr>
      <w:r w:rsidRPr="00896E01">
        <w:rPr>
          <w:rFonts w:eastAsia="SimSun"/>
        </w:rPr>
        <w:t xml:space="preserve">Joseph L, Nair S. Eye donation in India: a systematic review of knowledge, attitudes, and practices. </w:t>
      </w:r>
      <w:r w:rsidRPr="00896E01">
        <w:rPr>
          <w:rStyle w:val="Emphasis"/>
          <w:rFonts w:eastAsia="SimSun"/>
        </w:rPr>
        <w:t xml:space="preserve">Indian J </w:t>
      </w:r>
      <w:proofErr w:type="spellStart"/>
      <w:r w:rsidRPr="00896E01">
        <w:rPr>
          <w:rStyle w:val="Emphasis"/>
          <w:rFonts w:eastAsia="SimSun"/>
        </w:rPr>
        <w:t>Ophthalmol</w:t>
      </w:r>
      <w:proofErr w:type="spellEnd"/>
      <w:r w:rsidRPr="00896E01">
        <w:rPr>
          <w:rFonts w:eastAsia="SimSun"/>
        </w:rPr>
        <w:t>. 2023;71(3):567–74.</w:t>
      </w:r>
    </w:p>
    <w:p w:rsidR="00DF30C5" w:rsidRPr="00896E01" w:rsidRDefault="00503689">
      <w:pPr>
        <w:pStyle w:val="NormalWeb"/>
        <w:numPr>
          <w:ilvl w:val="0"/>
          <w:numId w:val="3"/>
        </w:numPr>
        <w:spacing w:beforeAutospacing="1"/>
      </w:pPr>
      <w:r w:rsidRPr="00896E01">
        <w:t xml:space="preserve">Bansal P, Verma R, Choudhary S. Role of social media in promoting awareness of eye donation among youth: a mixed-method study. </w:t>
      </w:r>
      <w:r w:rsidRPr="00896E01">
        <w:rPr>
          <w:rStyle w:val="Emphasis"/>
        </w:rPr>
        <w:t>Indian J Community Health</w:t>
      </w:r>
      <w:r w:rsidRPr="00896E01">
        <w:t>. 2023;35(1):72–7.</w:t>
      </w:r>
    </w:p>
    <w:p w:rsidR="00DF30C5" w:rsidRPr="00896E01" w:rsidRDefault="00503689">
      <w:pPr>
        <w:pStyle w:val="NormalWeb"/>
        <w:numPr>
          <w:ilvl w:val="0"/>
          <w:numId w:val="3"/>
        </w:numPr>
        <w:spacing w:beforeAutospacing="1"/>
      </w:pPr>
      <w:r w:rsidRPr="00896E01">
        <w:t xml:space="preserve">Gupta S, Mehta A, Singh P. Impact of school-based eye donation awareness programs in North India: a pilot project. </w:t>
      </w:r>
      <w:r w:rsidRPr="00896E01">
        <w:rPr>
          <w:rStyle w:val="Emphasis"/>
        </w:rPr>
        <w:t>J Public Health</w:t>
      </w:r>
      <w:r w:rsidRPr="00896E01">
        <w:t>. 2022;30(4):512–9.</w:t>
      </w:r>
    </w:p>
    <w:p w:rsidR="00DF30C5" w:rsidRPr="00896E01" w:rsidRDefault="00503689">
      <w:pPr>
        <w:pStyle w:val="NormalWeb"/>
        <w:numPr>
          <w:ilvl w:val="0"/>
          <w:numId w:val="3"/>
        </w:numPr>
        <w:spacing w:beforeAutospacing="1"/>
        <w:rPr>
          <w:rFonts w:eastAsia="SimSun"/>
        </w:rPr>
      </w:pPr>
      <w:r w:rsidRPr="00896E01">
        <w:rPr>
          <w:rFonts w:eastAsia="SimSun"/>
        </w:rPr>
        <w:t xml:space="preserve">World Health Organization. </w:t>
      </w:r>
      <w:r w:rsidRPr="00896E01">
        <w:rPr>
          <w:rStyle w:val="Strong"/>
          <w:rFonts w:eastAsia="SimSun"/>
        </w:rPr>
        <w:t>Global status of corneal transplantation and eye banking</w:t>
      </w:r>
      <w:r w:rsidRPr="00896E01">
        <w:rPr>
          <w:rFonts w:eastAsia="SimSun"/>
        </w:rPr>
        <w:t>. Geneva: WHO Press; 2024.</w:t>
      </w:r>
    </w:p>
    <w:p w:rsidR="00DF30C5" w:rsidRPr="00896E01" w:rsidRDefault="00503689">
      <w:pPr>
        <w:numPr>
          <w:ilvl w:val="0"/>
          <w:numId w:val="3"/>
        </w:numPr>
        <w:spacing w:line="360" w:lineRule="auto"/>
        <w:jc w:val="both"/>
        <w:rPr>
          <w:rFonts w:ascii="Times New Roman" w:eastAsia="SimSun" w:hAnsi="Times New Roman" w:cs="Times New Roman"/>
          <w:sz w:val="24"/>
          <w:szCs w:val="24"/>
        </w:rPr>
      </w:pPr>
      <w:r w:rsidRPr="00896E01">
        <w:rPr>
          <w:rFonts w:ascii="Times New Roman" w:eastAsia="SimSun" w:hAnsi="Times New Roman" w:cs="Times New Roman"/>
          <w:sz w:val="24"/>
          <w:szCs w:val="24"/>
        </w:rPr>
        <w:t xml:space="preserve">World Health Organization. </w:t>
      </w:r>
      <w:r w:rsidRPr="00896E01">
        <w:rPr>
          <w:rStyle w:val="Strong"/>
          <w:rFonts w:ascii="Times New Roman" w:eastAsia="SimSun" w:hAnsi="Times New Roman" w:cs="Times New Roman"/>
          <w:sz w:val="24"/>
          <w:szCs w:val="24"/>
        </w:rPr>
        <w:t>Global status of corneal transplantation and eye banking</w:t>
      </w:r>
      <w:r w:rsidRPr="00896E01">
        <w:rPr>
          <w:rFonts w:ascii="Times New Roman" w:eastAsia="SimSun" w:hAnsi="Times New Roman" w:cs="Times New Roman"/>
          <w:sz w:val="24"/>
          <w:szCs w:val="24"/>
        </w:rPr>
        <w:t>. Geneva: World Health Organization; 2024.</w:t>
      </w:r>
    </w:p>
    <w:p w:rsidR="00E66F8F" w:rsidRPr="00896E01" w:rsidRDefault="00E66F8F">
      <w:pPr>
        <w:numPr>
          <w:ilvl w:val="0"/>
          <w:numId w:val="3"/>
        </w:numPr>
        <w:spacing w:line="360" w:lineRule="auto"/>
        <w:jc w:val="both"/>
        <w:rPr>
          <w:rFonts w:ascii="Times New Roman" w:eastAsia="SimSun" w:hAnsi="Times New Roman" w:cs="Times New Roman"/>
          <w:sz w:val="24"/>
          <w:szCs w:val="24"/>
        </w:rPr>
      </w:pPr>
      <w:r w:rsidRPr="00896E01">
        <w:t xml:space="preserve">Kumar SV, </w:t>
      </w:r>
      <w:proofErr w:type="spellStart"/>
      <w:r w:rsidRPr="00896E01">
        <w:t>Metgud</w:t>
      </w:r>
      <w:proofErr w:type="spellEnd"/>
      <w:r w:rsidRPr="00896E01">
        <w:t xml:space="preserve"> CS. Knowledge and practice regarding eye donation among degree college students of Belagavi city. Indian J Health Sci Biomed Res </w:t>
      </w:r>
      <w:proofErr w:type="gramStart"/>
      <w:r w:rsidRPr="00896E01">
        <w:t>2024;17:285</w:t>
      </w:r>
      <w:proofErr w:type="gramEnd"/>
      <w:r w:rsidRPr="00896E01">
        <w:t xml:space="preserve">-90. </w:t>
      </w:r>
      <w:r w:rsidRPr="00896E01">
        <w:lastRenderedPageBreak/>
        <w:t>10.4103/kleuhsj.kleuhsj_274_24</w:t>
      </w:r>
      <w:r w:rsidRPr="00896E01">
        <w:cr/>
      </w:r>
    </w:p>
    <w:p w:rsidR="00E66F8F" w:rsidRPr="00896E01" w:rsidRDefault="00E66F8F">
      <w:pPr>
        <w:numPr>
          <w:ilvl w:val="0"/>
          <w:numId w:val="3"/>
        </w:numPr>
        <w:spacing w:line="360" w:lineRule="auto"/>
        <w:jc w:val="both"/>
        <w:rPr>
          <w:rFonts w:ascii="Times New Roman" w:eastAsia="SimSun" w:hAnsi="Times New Roman" w:cs="Times New Roman"/>
          <w:sz w:val="24"/>
          <w:szCs w:val="24"/>
        </w:rPr>
      </w:pPr>
      <w:proofErr w:type="spellStart"/>
      <w:r w:rsidRPr="00896E01">
        <w:rPr>
          <w:rFonts w:ascii="Times New Roman" w:eastAsia="SimSun" w:hAnsi="Times New Roman" w:cs="Times New Roman"/>
          <w:sz w:val="24"/>
          <w:szCs w:val="24"/>
        </w:rPr>
        <w:t>Ronanki</w:t>
      </w:r>
      <w:proofErr w:type="spellEnd"/>
      <w:r w:rsidRPr="00896E01">
        <w:rPr>
          <w:rFonts w:ascii="Times New Roman" w:eastAsia="SimSun" w:hAnsi="Times New Roman" w:cs="Times New Roman"/>
          <w:sz w:val="24"/>
          <w:szCs w:val="24"/>
        </w:rPr>
        <w:t xml:space="preserve">, V. R., </w:t>
      </w:r>
      <w:proofErr w:type="spellStart"/>
      <w:r w:rsidRPr="00896E01">
        <w:rPr>
          <w:rFonts w:ascii="Times New Roman" w:eastAsia="SimSun" w:hAnsi="Times New Roman" w:cs="Times New Roman"/>
          <w:sz w:val="24"/>
          <w:szCs w:val="24"/>
        </w:rPr>
        <w:t>Sheeladevi</w:t>
      </w:r>
      <w:proofErr w:type="spellEnd"/>
      <w:r w:rsidRPr="00896E01">
        <w:rPr>
          <w:rFonts w:ascii="Times New Roman" w:eastAsia="SimSun" w:hAnsi="Times New Roman" w:cs="Times New Roman"/>
          <w:sz w:val="24"/>
          <w:szCs w:val="24"/>
        </w:rPr>
        <w:t xml:space="preserve">, S., Ramachandran, B. P., &amp; </w:t>
      </w:r>
      <w:proofErr w:type="spellStart"/>
      <w:r w:rsidRPr="00896E01">
        <w:rPr>
          <w:rFonts w:ascii="Times New Roman" w:eastAsia="SimSun" w:hAnsi="Times New Roman" w:cs="Times New Roman"/>
          <w:sz w:val="24"/>
          <w:szCs w:val="24"/>
        </w:rPr>
        <w:t>Jalbert</w:t>
      </w:r>
      <w:proofErr w:type="spellEnd"/>
      <w:r w:rsidRPr="00896E01">
        <w:rPr>
          <w:rFonts w:ascii="Times New Roman" w:eastAsia="SimSun" w:hAnsi="Times New Roman" w:cs="Times New Roman"/>
          <w:sz w:val="24"/>
          <w:szCs w:val="24"/>
        </w:rPr>
        <w:t xml:space="preserve">, I. (2014). Awareness regarding eye donation among stakeholders in Srikakulam district in South India. BMC ophthalmology, 14(1), 25. </w:t>
      </w:r>
      <w:hyperlink r:id="rId15" w:history="1">
        <w:r w:rsidRPr="00896E01">
          <w:rPr>
            <w:rStyle w:val="Hyperlink"/>
            <w:rFonts w:ascii="Times New Roman" w:eastAsia="SimSun" w:hAnsi="Times New Roman" w:cs="Times New Roman"/>
            <w:sz w:val="24"/>
            <w:szCs w:val="24"/>
          </w:rPr>
          <w:t>https://www.springermedizin.de/awareness-regarding-eye-donation-among-stakeholders-in-srikakula/9474120</w:t>
        </w:r>
      </w:hyperlink>
      <w:r w:rsidRPr="00896E01">
        <w:rPr>
          <w:rFonts w:ascii="Times New Roman" w:eastAsia="SimSun" w:hAnsi="Times New Roman" w:cs="Times New Roman"/>
          <w:sz w:val="24"/>
          <w:szCs w:val="24"/>
        </w:rPr>
        <w:t xml:space="preserve"> </w:t>
      </w:r>
    </w:p>
    <w:p w:rsidR="00B13713" w:rsidRPr="00896E01" w:rsidRDefault="00B13713" w:rsidP="00B13713">
      <w:pPr>
        <w:pStyle w:val="ListParagraph"/>
        <w:numPr>
          <w:ilvl w:val="0"/>
          <w:numId w:val="3"/>
        </w:numPr>
        <w:spacing w:after="0" w:line="240" w:lineRule="auto"/>
        <w:rPr>
          <w:rFonts w:ascii="Consolas" w:eastAsia="Times New Roman" w:hAnsi="Consolas" w:cs="Times New Roman"/>
          <w:kern w:val="0"/>
          <w:sz w:val="24"/>
          <w:szCs w:val="24"/>
          <w14:ligatures w14:val="none"/>
        </w:rPr>
      </w:pPr>
      <w:r w:rsidRPr="00896E01">
        <w:rPr>
          <w:rFonts w:ascii="Consolas" w:eastAsia="Times New Roman" w:hAnsi="Consolas" w:cs="Times New Roman"/>
          <w:kern w:val="0"/>
          <w:sz w:val="24"/>
          <w:szCs w:val="24"/>
          <w14:ligatures w14:val="none"/>
        </w:rPr>
        <w:t xml:space="preserve">Patil R, E RP, </w:t>
      </w:r>
      <w:proofErr w:type="spellStart"/>
      <w:r w:rsidRPr="00896E01">
        <w:rPr>
          <w:rFonts w:ascii="Consolas" w:eastAsia="Times New Roman" w:hAnsi="Consolas" w:cs="Times New Roman"/>
          <w:kern w:val="0"/>
          <w:sz w:val="24"/>
          <w:szCs w:val="24"/>
          <w14:ligatures w14:val="none"/>
        </w:rPr>
        <w:t>Boratne</w:t>
      </w:r>
      <w:proofErr w:type="spellEnd"/>
      <w:r w:rsidRPr="00896E01">
        <w:rPr>
          <w:rFonts w:ascii="Consolas" w:eastAsia="Times New Roman" w:hAnsi="Consolas" w:cs="Times New Roman"/>
          <w:kern w:val="0"/>
          <w:sz w:val="24"/>
          <w:szCs w:val="24"/>
          <w14:ligatures w14:val="none"/>
        </w:rPr>
        <w:t xml:space="preserve"> A, Gupta SK, Datta SS. Status of eye donation awareness and its associated factors among adults in rural </w:t>
      </w:r>
      <w:proofErr w:type="spellStart"/>
      <w:r w:rsidRPr="00896E01">
        <w:rPr>
          <w:rFonts w:ascii="Consolas" w:eastAsia="Times New Roman" w:hAnsi="Consolas" w:cs="Times New Roman"/>
          <w:kern w:val="0"/>
          <w:sz w:val="24"/>
          <w:szCs w:val="24"/>
          <w14:ligatures w14:val="none"/>
        </w:rPr>
        <w:t>pondicherry</w:t>
      </w:r>
      <w:proofErr w:type="spellEnd"/>
      <w:r w:rsidRPr="00896E01">
        <w:rPr>
          <w:rFonts w:ascii="Consolas" w:eastAsia="Times New Roman" w:hAnsi="Consolas" w:cs="Times New Roman"/>
          <w:kern w:val="0"/>
          <w:sz w:val="24"/>
          <w:szCs w:val="24"/>
          <w14:ligatures w14:val="none"/>
        </w:rPr>
        <w:t xml:space="preserve">. J Clin Diagn Res. 2015 Feb;9(2):LC01-4. </w:t>
      </w:r>
      <w:proofErr w:type="spellStart"/>
      <w:r w:rsidRPr="00896E01">
        <w:rPr>
          <w:rFonts w:ascii="Consolas" w:eastAsia="Times New Roman" w:hAnsi="Consolas" w:cs="Times New Roman"/>
          <w:kern w:val="0"/>
          <w:sz w:val="24"/>
          <w:szCs w:val="24"/>
          <w14:ligatures w14:val="none"/>
        </w:rPr>
        <w:t>doi</w:t>
      </w:r>
      <w:proofErr w:type="spellEnd"/>
      <w:r w:rsidRPr="00896E01">
        <w:rPr>
          <w:rFonts w:ascii="Consolas" w:eastAsia="Times New Roman" w:hAnsi="Consolas" w:cs="Times New Roman"/>
          <w:kern w:val="0"/>
          <w:sz w:val="24"/>
          <w:szCs w:val="24"/>
          <w14:ligatures w14:val="none"/>
        </w:rPr>
        <w:t xml:space="preserve">: 10.7860/JCDR/2015/9157.5509. </w:t>
      </w:r>
      <w:proofErr w:type="spellStart"/>
      <w:r w:rsidRPr="00896E01">
        <w:rPr>
          <w:rFonts w:ascii="Consolas" w:eastAsia="Times New Roman" w:hAnsi="Consolas" w:cs="Times New Roman"/>
          <w:kern w:val="0"/>
          <w:sz w:val="24"/>
          <w:szCs w:val="24"/>
          <w14:ligatures w14:val="none"/>
        </w:rPr>
        <w:t>Epub</w:t>
      </w:r>
      <w:proofErr w:type="spellEnd"/>
      <w:r w:rsidRPr="00896E01">
        <w:rPr>
          <w:rFonts w:ascii="Consolas" w:eastAsia="Times New Roman" w:hAnsi="Consolas" w:cs="Times New Roman"/>
          <w:kern w:val="0"/>
          <w:sz w:val="24"/>
          <w:szCs w:val="24"/>
          <w14:ligatures w14:val="none"/>
        </w:rPr>
        <w:t xml:space="preserve"> 2015 Feb 1. PMID: 25859469; PMCID: PMC4378751.</w:t>
      </w:r>
    </w:p>
    <w:p w:rsidR="00B13713" w:rsidRPr="00896E01" w:rsidRDefault="00B13713" w:rsidP="00B13713">
      <w:pPr>
        <w:pStyle w:val="ListParagraph"/>
        <w:numPr>
          <w:ilvl w:val="0"/>
          <w:numId w:val="3"/>
        </w:numPr>
        <w:spacing w:after="0" w:line="240" w:lineRule="auto"/>
        <w:rPr>
          <w:rFonts w:ascii="Arial" w:eastAsia="Times New Roman" w:hAnsi="Arial" w:cs="Arial"/>
          <w:color w:val="212529"/>
          <w:kern w:val="0"/>
          <w:sz w:val="21"/>
          <w:szCs w:val="21"/>
          <w14:ligatures w14:val="none"/>
        </w:rPr>
      </w:pPr>
      <w:r w:rsidRPr="00896E01">
        <w:rPr>
          <w:rFonts w:ascii="Arial" w:eastAsia="Times New Roman" w:hAnsi="Arial" w:cs="Arial"/>
          <w:color w:val="212529"/>
          <w:kern w:val="0"/>
          <w:sz w:val="21"/>
          <w:szCs w:val="21"/>
          <w14:ligatures w14:val="none"/>
        </w:rPr>
        <w:t>Prasad RV. Awareness and attitude towards eye donation among rural population. </w:t>
      </w:r>
      <w:r w:rsidRPr="00896E01">
        <w:rPr>
          <w:rFonts w:ascii="Arial" w:eastAsia="Times New Roman" w:hAnsi="Arial" w:cs="Arial"/>
          <w:b/>
          <w:bCs/>
          <w:i/>
          <w:iCs/>
          <w:color w:val="212529"/>
          <w:kern w:val="0"/>
          <w:sz w:val="21"/>
          <w:szCs w:val="21"/>
          <w14:ligatures w14:val="none"/>
        </w:rPr>
        <w:t xml:space="preserve">Indian J Clin Exp </w:t>
      </w:r>
      <w:proofErr w:type="spellStart"/>
      <w:r w:rsidRPr="00896E01">
        <w:rPr>
          <w:rFonts w:ascii="Arial" w:eastAsia="Times New Roman" w:hAnsi="Arial" w:cs="Arial"/>
          <w:b/>
          <w:bCs/>
          <w:i/>
          <w:iCs/>
          <w:color w:val="212529"/>
          <w:kern w:val="0"/>
          <w:sz w:val="21"/>
          <w:szCs w:val="21"/>
          <w14:ligatures w14:val="none"/>
        </w:rPr>
        <w:t>Ophthalmol</w:t>
      </w:r>
      <w:proofErr w:type="spellEnd"/>
      <w:r w:rsidRPr="00896E01">
        <w:rPr>
          <w:rFonts w:ascii="Arial" w:eastAsia="Times New Roman" w:hAnsi="Arial" w:cs="Arial"/>
          <w:color w:val="212529"/>
          <w:kern w:val="0"/>
          <w:sz w:val="21"/>
          <w:szCs w:val="21"/>
          <w14:ligatures w14:val="none"/>
        </w:rPr>
        <w:t>. 2022;8(2):259-264. Available from: https://doi.org/10.18231/j.ijceo.2022.052</w:t>
      </w:r>
    </w:p>
    <w:p w:rsidR="0007651B" w:rsidRPr="00896E01" w:rsidRDefault="0007651B" w:rsidP="0007651B">
      <w:pPr>
        <w:pStyle w:val="ListParagraph"/>
        <w:numPr>
          <w:ilvl w:val="0"/>
          <w:numId w:val="3"/>
        </w:numPr>
        <w:shd w:val="clear" w:color="auto" w:fill="FFFFFF"/>
        <w:spacing w:after="0" w:line="240" w:lineRule="auto"/>
        <w:rPr>
          <w:rFonts w:ascii="Arial" w:eastAsia="Times New Roman" w:hAnsi="Arial" w:cs="Arial"/>
          <w:color w:val="333333"/>
          <w:kern w:val="0"/>
          <w:sz w:val="20"/>
          <w:szCs w:val="27"/>
          <w14:ligatures w14:val="none"/>
        </w:rPr>
      </w:pPr>
      <w:r w:rsidRPr="00896E01">
        <w:rPr>
          <w:rFonts w:ascii="Arial" w:eastAsia="Times New Roman" w:hAnsi="Arial" w:cs="Arial"/>
          <w:color w:val="333333"/>
          <w:kern w:val="0"/>
          <w:sz w:val="20"/>
          <w:szCs w:val="27"/>
          <w14:ligatures w14:val="none"/>
        </w:rPr>
        <w:t xml:space="preserve">Vishal </w:t>
      </w:r>
      <w:proofErr w:type="spellStart"/>
      <w:r w:rsidRPr="00896E01">
        <w:rPr>
          <w:rFonts w:ascii="Arial" w:eastAsia="Times New Roman" w:hAnsi="Arial" w:cs="Arial"/>
          <w:color w:val="333333"/>
          <w:kern w:val="0"/>
          <w:sz w:val="20"/>
          <w:szCs w:val="27"/>
          <w14:ligatures w14:val="none"/>
        </w:rPr>
        <w:t>Wagh</w:t>
      </w:r>
      <w:proofErr w:type="spellEnd"/>
      <w:r w:rsidRPr="00896E01">
        <w:rPr>
          <w:rFonts w:ascii="Arial" w:eastAsia="Times New Roman" w:hAnsi="Arial" w:cs="Arial"/>
          <w:color w:val="333333"/>
          <w:kern w:val="0"/>
          <w:sz w:val="20"/>
          <w:szCs w:val="27"/>
          <w14:ligatures w14:val="none"/>
        </w:rPr>
        <w:t xml:space="preserve">, and Pravin </w:t>
      </w:r>
      <w:proofErr w:type="spellStart"/>
      <w:r w:rsidRPr="00896E01">
        <w:rPr>
          <w:rFonts w:ascii="Arial" w:eastAsia="Times New Roman" w:hAnsi="Arial" w:cs="Arial"/>
          <w:color w:val="333333"/>
          <w:kern w:val="0"/>
          <w:sz w:val="20"/>
          <w:szCs w:val="27"/>
          <w14:ligatures w14:val="none"/>
        </w:rPr>
        <w:t>Tidake</w:t>
      </w:r>
      <w:proofErr w:type="spellEnd"/>
      <w:r w:rsidRPr="00896E01">
        <w:rPr>
          <w:rFonts w:ascii="Arial" w:eastAsia="Times New Roman" w:hAnsi="Arial" w:cs="Arial"/>
          <w:color w:val="333333"/>
          <w:kern w:val="0"/>
          <w:sz w:val="20"/>
          <w:szCs w:val="27"/>
          <w14:ligatures w14:val="none"/>
        </w:rPr>
        <w:t xml:space="preserve">. 2021. “Demographic Profile of Patients </w:t>
      </w:r>
      <w:proofErr w:type="gramStart"/>
      <w:r w:rsidRPr="00896E01">
        <w:rPr>
          <w:rFonts w:ascii="Arial" w:eastAsia="Times New Roman" w:hAnsi="Arial" w:cs="Arial"/>
          <w:color w:val="333333"/>
          <w:kern w:val="0"/>
          <w:sz w:val="20"/>
          <w:szCs w:val="27"/>
          <w14:ligatures w14:val="none"/>
        </w:rPr>
        <w:t>With</w:t>
      </w:r>
      <w:proofErr w:type="gramEnd"/>
      <w:r w:rsidRPr="00896E01">
        <w:rPr>
          <w:rFonts w:ascii="Arial" w:eastAsia="Times New Roman" w:hAnsi="Arial" w:cs="Arial"/>
          <w:color w:val="333333"/>
          <w:kern w:val="0"/>
          <w:sz w:val="20"/>
          <w:szCs w:val="27"/>
          <w14:ligatures w14:val="none"/>
        </w:rPr>
        <w:t xml:space="preserve"> Corneal Blindness at Tertiary Health Care Centre”. </w:t>
      </w:r>
      <w:r w:rsidRPr="00896E01">
        <w:rPr>
          <w:rFonts w:ascii="Arial" w:eastAsia="Times New Roman" w:hAnsi="Arial" w:cs="Arial"/>
          <w:i/>
          <w:iCs/>
          <w:color w:val="333333"/>
          <w:kern w:val="0"/>
          <w:sz w:val="20"/>
          <w:szCs w:val="27"/>
          <w14:ligatures w14:val="none"/>
        </w:rPr>
        <w:t>Ophthalmology Research: An International Journal</w:t>
      </w:r>
      <w:r w:rsidRPr="00896E01">
        <w:rPr>
          <w:rFonts w:ascii="Arial" w:eastAsia="Times New Roman" w:hAnsi="Arial" w:cs="Arial"/>
          <w:color w:val="333333"/>
          <w:kern w:val="0"/>
          <w:sz w:val="20"/>
          <w:szCs w:val="27"/>
          <w14:ligatures w14:val="none"/>
        </w:rPr>
        <w:t> 15 (4):40–47. https://doi.org/10.9734/or/2021/v15i430232.</w:t>
      </w:r>
    </w:p>
    <w:p w:rsidR="0007651B" w:rsidRPr="00896E01" w:rsidRDefault="0007651B" w:rsidP="0007651B">
      <w:pPr>
        <w:pStyle w:val="ListParagraph"/>
        <w:numPr>
          <w:ilvl w:val="0"/>
          <w:numId w:val="3"/>
        </w:numPr>
        <w:shd w:val="clear" w:color="auto" w:fill="FFFFFF"/>
        <w:spacing w:after="0" w:line="240" w:lineRule="auto"/>
        <w:rPr>
          <w:rFonts w:ascii="Segoe UI" w:eastAsia="Times New Roman" w:hAnsi="Segoe UI" w:cs="Segoe UI"/>
          <w:kern w:val="0"/>
          <w:sz w:val="16"/>
          <w:szCs w:val="16"/>
          <w14:ligatures w14:val="none"/>
        </w:rPr>
      </w:pPr>
      <w:r w:rsidRPr="00896E01">
        <w:rPr>
          <w:rFonts w:ascii="Segoe UI" w:eastAsia="Times New Roman" w:hAnsi="Segoe UI" w:cs="Segoe UI"/>
          <w:kern w:val="0"/>
          <w:sz w:val="16"/>
          <w:szCs w:val="16"/>
          <w14:ligatures w14:val="none"/>
        </w:rPr>
        <w:t xml:space="preserve">Srinivasa Reddy </w:t>
      </w:r>
      <w:proofErr w:type="spellStart"/>
      <w:r w:rsidRPr="00896E01">
        <w:rPr>
          <w:rFonts w:ascii="Segoe UI" w:eastAsia="Times New Roman" w:hAnsi="Segoe UI" w:cs="Segoe UI"/>
          <w:kern w:val="0"/>
          <w:sz w:val="16"/>
          <w:szCs w:val="16"/>
          <w14:ligatures w14:val="none"/>
        </w:rPr>
        <w:t>Pallerla</w:t>
      </w:r>
      <w:proofErr w:type="spellEnd"/>
      <w:r w:rsidRPr="00896E01">
        <w:rPr>
          <w:rFonts w:ascii="Segoe UI" w:eastAsia="Times New Roman" w:hAnsi="Segoe UI" w:cs="Segoe UI"/>
          <w:kern w:val="0"/>
          <w:sz w:val="16"/>
          <w:szCs w:val="16"/>
          <w14:ligatures w14:val="none"/>
        </w:rPr>
        <w:t xml:space="preserve">, Rohit C. Khanna, S. </w:t>
      </w:r>
      <w:proofErr w:type="spellStart"/>
      <w:r w:rsidRPr="00896E01">
        <w:rPr>
          <w:rFonts w:ascii="Segoe UI" w:eastAsia="Times New Roman" w:hAnsi="Segoe UI" w:cs="Segoe UI"/>
          <w:kern w:val="0"/>
          <w:sz w:val="16"/>
          <w:szCs w:val="16"/>
          <w14:ligatures w14:val="none"/>
        </w:rPr>
        <w:t>Krishnaiah</w:t>
      </w:r>
      <w:proofErr w:type="spellEnd"/>
      <w:r w:rsidRPr="00896E01">
        <w:rPr>
          <w:rFonts w:ascii="Segoe UI" w:eastAsia="Times New Roman" w:hAnsi="Segoe UI" w:cs="Segoe UI"/>
          <w:kern w:val="0"/>
          <w:sz w:val="16"/>
          <w:szCs w:val="16"/>
          <w14:ligatures w14:val="none"/>
        </w:rPr>
        <w:t xml:space="preserve">, &amp; Jill </w:t>
      </w:r>
      <w:proofErr w:type="spellStart"/>
      <w:r w:rsidRPr="00896E01">
        <w:rPr>
          <w:rFonts w:ascii="Segoe UI" w:eastAsia="Times New Roman" w:hAnsi="Segoe UI" w:cs="Segoe UI"/>
          <w:kern w:val="0"/>
          <w:sz w:val="16"/>
          <w:szCs w:val="16"/>
          <w14:ligatures w14:val="none"/>
        </w:rPr>
        <w:t>Keeffe</w:t>
      </w:r>
      <w:proofErr w:type="spellEnd"/>
      <w:r w:rsidRPr="00896E01">
        <w:rPr>
          <w:rFonts w:ascii="Segoe UI" w:eastAsia="Times New Roman" w:hAnsi="Segoe UI" w:cs="Segoe UI"/>
          <w:kern w:val="0"/>
          <w:sz w:val="16"/>
          <w:szCs w:val="16"/>
          <w14:ligatures w14:val="none"/>
        </w:rPr>
        <w:t>. (2023). A Study on Awareness, Knowledge and Willingness about Eye Donation among General Public in Southern India. </w:t>
      </w:r>
      <w:r w:rsidRPr="00896E01">
        <w:rPr>
          <w:rFonts w:ascii="Segoe UI" w:eastAsia="Times New Roman" w:hAnsi="Segoe UI" w:cs="Segoe UI"/>
          <w:i/>
          <w:iCs/>
          <w:kern w:val="0"/>
          <w:sz w:val="16"/>
          <w:szCs w:val="16"/>
          <w14:ligatures w14:val="none"/>
        </w:rPr>
        <w:t>Recent Trends in Arts and Social Studies Vol. 9</w:t>
      </w:r>
      <w:r w:rsidRPr="00896E01">
        <w:rPr>
          <w:rFonts w:ascii="Segoe UI" w:eastAsia="Times New Roman" w:hAnsi="Segoe UI" w:cs="Segoe UI"/>
          <w:kern w:val="0"/>
          <w:sz w:val="16"/>
          <w:szCs w:val="16"/>
          <w14:ligatures w14:val="none"/>
        </w:rPr>
        <w:t>, 1–8. https://doi.org/10.9734/bpi/rtass/v9/6444C</w:t>
      </w:r>
    </w:p>
    <w:p w:rsidR="00B13713" w:rsidRPr="00896E01" w:rsidRDefault="00B13713">
      <w:pPr>
        <w:numPr>
          <w:ilvl w:val="0"/>
          <w:numId w:val="3"/>
        </w:num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SimSun" w:eastAsia="SimSun" w:hAnsi="SimSun" w:cs="SimSun"/>
          <w:sz w:val="24"/>
          <w:szCs w:val="24"/>
          <w:lang w:val="en-IN"/>
        </w:rPr>
      </w:pPr>
    </w:p>
    <w:p w:rsidR="00DF30C5" w:rsidRDefault="00DF30C5">
      <w:pPr>
        <w:spacing w:line="360" w:lineRule="auto"/>
        <w:jc w:val="both"/>
        <w:rPr>
          <w:rFonts w:ascii="Times New Roman" w:hAnsi="Times New Roman" w:cs="Times New Roman"/>
          <w:sz w:val="24"/>
          <w:szCs w:val="24"/>
          <w:lang w:val="en-IN"/>
        </w:rPr>
      </w:pPr>
    </w:p>
    <w:sectPr w:rsidR="00DF30C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84" w:rsidRDefault="00BC0684">
      <w:pPr>
        <w:spacing w:line="240" w:lineRule="auto"/>
      </w:pPr>
      <w:r>
        <w:separator/>
      </w:r>
    </w:p>
  </w:endnote>
  <w:endnote w:type="continuationSeparator" w:id="0">
    <w:p w:rsidR="00BC0684" w:rsidRDefault="00BC0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84" w:rsidRDefault="00BC0684">
      <w:pPr>
        <w:spacing w:after="0"/>
      </w:pPr>
      <w:r>
        <w:separator/>
      </w:r>
    </w:p>
  </w:footnote>
  <w:footnote w:type="continuationSeparator" w:id="0">
    <w:p w:rsidR="00BC0684" w:rsidRDefault="00BC06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BC0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BC0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BC0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447B5"/>
    <w:multiLevelType w:val="multilevel"/>
    <w:tmpl w:val="F8C447B5"/>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9170D7"/>
    <w:multiLevelType w:val="multilevel"/>
    <w:tmpl w:val="379170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F0733A6"/>
    <w:multiLevelType w:val="multilevel"/>
    <w:tmpl w:val="3F0733A6"/>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3MTQxNjU3szAwNrJU0lEKTi0uzszPAykwrAUASrpiOywAAAA="/>
  </w:docVars>
  <w:rsids>
    <w:rsidRoot w:val="005C7517"/>
    <w:rsid w:val="0007651B"/>
    <w:rsid w:val="001D455A"/>
    <w:rsid w:val="002232AC"/>
    <w:rsid w:val="002708F9"/>
    <w:rsid w:val="0027130E"/>
    <w:rsid w:val="002C00EC"/>
    <w:rsid w:val="00325A50"/>
    <w:rsid w:val="00503689"/>
    <w:rsid w:val="005269CE"/>
    <w:rsid w:val="00527DCC"/>
    <w:rsid w:val="005C7517"/>
    <w:rsid w:val="006933D6"/>
    <w:rsid w:val="006A570E"/>
    <w:rsid w:val="007104B9"/>
    <w:rsid w:val="00751F4A"/>
    <w:rsid w:val="0077365A"/>
    <w:rsid w:val="007C1B0C"/>
    <w:rsid w:val="00810914"/>
    <w:rsid w:val="008150C7"/>
    <w:rsid w:val="008555B9"/>
    <w:rsid w:val="00896E01"/>
    <w:rsid w:val="009119E3"/>
    <w:rsid w:val="009A4DEB"/>
    <w:rsid w:val="009A538B"/>
    <w:rsid w:val="00AA5F46"/>
    <w:rsid w:val="00B13713"/>
    <w:rsid w:val="00B278FC"/>
    <w:rsid w:val="00B37620"/>
    <w:rsid w:val="00BB39C7"/>
    <w:rsid w:val="00BC0684"/>
    <w:rsid w:val="00C12A86"/>
    <w:rsid w:val="00C71817"/>
    <w:rsid w:val="00C73829"/>
    <w:rsid w:val="00CE4099"/>
    <w:rsid w:val="00D51BE1"/>
    <w:rsid w:val="00D8797B"/>
    <w:rsid w:val="00DF30C5"/>
    <w:rsid w:val="00DF6BAF"/>
    <w:rsid w:val="00E66F8F"/>
    <w:rsid w:val="00EE629D"/>
    <w:rsid w:val="00FD108F"/>
    <w:rsid w:val="036A24C5"/>
    <w:rsid w:val="0FE80928"/>
    <w:rsid w:val="18AA39C9"/>
    <w:rsid w:val="1E713FBB"/>
    <w:rsid w:val="1F5216F6"/>
    <w:rsid w:val="267C0033"/>
    <w:rsid w:val="370224BF"/>
    <w:rsid w:val="43D25CCA"/>
    <w:rsid w:val="4FF61AB0"/>
    <w:rsid w:val="50676FFB"/>
    <w:rsid w:val="67D4081C"/>
    <w:rsid w:val="6DDA46B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848EB"/>
  <w15:docId w15:val="{AD611211-A26E-421A-979C-5D3059CE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US"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US"/>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77365A"/>
    <w:rPr>
      <w:color w:val="605E5C"/>
      <w:shd w:val="clear" w:color="auto" w:fill="E1DFDD"/>
    </w:rPr>
  </w:style>
  <w:style w:type="paragraph" w:styleId="Header">
    <w:name w:val="header"/>
    <w:basedOn w:val="Normal"/>
    <w:link w:val="HeaderChar"/>
    <w:uiPriority w:val="99"/>
    <w:unhideWhenUsed/>
    <w:rsid w:val="0032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50"/>
    <w:rPr>
      <w:rFonts w:asciiTheme="minorHAnsi" w:eastAsiaTheme="minorHAnsi" w:hAnsiTheme="minorHAnsi" w:cstheme="minorBidi"/>
      <w:kern w:val="2"/>
      <w:sz w:val="22"/>
      <w:szCs w:val="22"/>
      <w:lang w:val="en-US" w:eastAsia="en-US" w:bidi="ar-SA"/>
      <w14:ligatures w14:val="standardContextual"/>
    </w:rPr>
  </w:style>
  <w:style w:type="paragraph" w:styleId="Footer">
    <w:name w:val="footer"/>
    <w:basedOn w:val="Normal"/>
    <w:link w:val="FooterChar"/>
    <w:uiPriority w:val="99"/>
    <w:unhideWhenUsed/>
    <w:rsid w:val="0032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50"/>
    <w:rPr>
      <w:rFonts w:asciiTheme="minorHAnsi" w:eastAsiaTheme="minorHAnsi" w:hAnsiTheme="minorHAnsi" w:cstheme="minorBidi"/>
      <w:kern w:val="2"/>
      <w:sz w:val="22"/>
      <w:szCs w:val="22"/>
      <w:lang w:val="en-US" w:eastAsia="en-US" w:bidi="ar-SA"/>
      <w14:ligatures w14:val="standardContextual"/>
    </w:rPr>
  </w:style>
  <w:style w:type="paragraph" w:styleId="BalloonText">
    <w:name w:val="Balloon Text"/>
    <w:basedOn w:val="Normal"/>
    <w:link w:val="BalloonTextChar"/>
    <w:uiPriority w:val="99"/>
    <w:semiHidden/>
    <w:unhideWhenUsed/>
    <w:rsid w:val="00270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F9"/>
    <w:rPr>
      <w:rFonts w:ascii="Segoe UI" w:eastAsiaTheme="minorHAnsi" w:hAnsi="Segoe UI" w:cs="Segoe UI"/>
      <w:kern w:val="2"/>
      <w:sz w:val="18"/>
      <w:szCs w:val="18"/>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81073">
      <w:bodyDiv w:val="1"/>
      <w:marLeft w:val="0"/>
      <w:marRight w:val="0"/>
      <w:marTop w:val="0"/>
      <w:marBottom w:val="0"/>
      <w:divBdr>
        <w:top w:val="none" w:sz="0" w:space="0" w:color="auto"/>
        <w:left w:val="none" w:sz="0" w:space="0" w:color="auto"/>
        <w:bottom w:val="none" w:sz="0" w:space="0" w:color="auto"/>
        <w:right w:val="none" w:sz="0" w:space="0" w:color="auto"/>
      </w:divBdr>
      <w:divsChild>
        <w:div w:id="1114059146">
          <w:marLeft w:val="0"/>
          <w:marRight w:val="0"/>
          <w:marTop w:val="0"/>
          <w:marBottom w:val="0"/>
          <w:divBdr>
            <w:top w:val="none" w:sz="0" w:space="0" w:color="auto"/>
            <w:left w:val="none" w:sz="0" w:space="0" w:color="auto"/>
            <w:bottom w:val="none" w:sz="0" w:space="0" w:color="auto"/>
            <w:right w:val="none" w:sz="0" w:space="0" w:color="auto"/>
          </w:divBdr>
          <w:divsChild>
            <w:div w:id="1520123947">
              <w:marLeft w:val="0"/>
              <w:marRight w:val="0"/>
              <w:marTop w:val="0"/>
              <w:marBottom w:val="0"/>
              <w:divBdr>
                <w:top w:val="none" w:sz="0" w:space="0" w:color="auto"/>
                <w:left w:val="none" w:sz="0" w:space="0" w:color="auto"/>
                <w:bottom w:val="none" w:sz="0" w:space="0" w:color="auto"/>
                <w:right w:val="none" w:sz="0" w:space="0" w:color="auto"/>
              </w:divBdr>
              <w:divsChild>
                <w:div w:id="1315570564">
                  <w:marLeft w:val="0"/>
                  <w:marRight w:val="0"/>
                  <w:marTop w:val="0"/>
                  <w:marBottom w:val="0"/>
                  <w:divBdr>
                    <w:top w:val="none" w:sz="0" w:space="0" w:color="auto"/>
                    <w:left w:val="none" w:sz="0" w:space="0" w:color="auto"/>
                    <w:bottom w:val="none" w:sz="0" w:space="0" w:color="auto"/>
                    <w:right w:val="none" w:sz="0" w:space="0" w:color="auto"/>
                  </w:divBdr>
                  <w:divsChild>
                    <w:div w:id="19599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62534">
      <w:bodyDiv w:val="1"/>
      <w:marLeft w:val="0"/>
      <w:marRight w:val="0"/>
      <w:marTop w:val="0"/>
      <w:marBottom w:val="0"/>
      <w:divBdr>
        <w:top w:val="none" w:sz="0" w:space="0" w:color="auto"/>
        <w:left w:val="none" w:sz="0" w:space="0" w:color="auto"/>
        <w:bottom w:val="none" w:sz="0" w:space="0" w:color="auto"/>
        <w:right w:val="none" w:sz="0" w:space="0" w:color="auto"/>
      </w:divBdr>
    </w:div>
    <w:div w:id="630792060">
      <w:bodyDiv w:val="1"/>
      <w:marLeft w:val="0"/>
      <w:marRight w:val="0"/>
      <w:marTop w:val="0"/>
      <w:marBottom w:val="0"/>
      <w:divBdr>
        <w:top w:val="none" w:sz="0" w:space="0" w:color="auto"/>
        <w:left w:val="none" w:sz="0" w:space="0" w:color="auto"/>
        <w:bottom w:val="none" w:sz="0" w:space="0" w:color="auto"/>
        <w:right w:val="none" w:sz="0" w:space="0" w:color="auto"/>
      </w:divBdr>
      <w:divsChild>
        <w:div w:id="199152287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87450606">
      <w:bodyDiv w:val="1"/>
      <w:marLeft w:val="0"/>
      <w:marRight w:val="0"/>
      <w:marTop w:val="0"/>
      <w:marBottom w:val="0"/>
      <w:divBdr>
        <w:top w:val="none" w:sz="0" w:space="0" w:color="auto"/>
        <w:left w:val="none" w:sz="0" w:space="0" w:color="auto"/>
        <w:bottom w:val="none" w:sz="0" w:space="0" w:color="auto"/>
        <w:right w:val="none" w:sz="0" w:space="0" w:color="auto"/>
      </w:divBdr>
      <w:divsChild>
        <w:div w:id="2044673655">
          <w:marLeft w:val="0"/>
          <w:marRight w:val="0"/>
          <w:marTop w:val="0"/>
          <w:marBottom w:val="0"/>
          <w:divBdr>
            <w:top w:val="none" w:sz="0" w:space="0" w:color="auto"/>
            <w:left w:val="none" w:sz="0" w:space="0" w:color="auto"/>
            <w:bottom w:val="none" w:sz="0" w:space="0" w:color="auto"/>
            <w:right w:val="none" w:sz="0" w:space="0" w:color="auto"/>
          </w:divBdr>
          <w:divsChild>
            <w:div w:id="1141654666">
              <w:marLeft w:val="0"/>
              <w:marRight w:val="0"/>
              <w:marTop w:val="0"/>
              <w:marBottom w:val="0"/>
              <w:divBdr>
                <w:top w:val="none" w:sz="0" w:space="0" w:color="auto"/>
                <w:left w:val="none" w:sz="0" w:space="0" w:color="auto"/>
                <w:bottom w:val="none" w:sz="0" w:space="0" w:color="auto"/>
                <w:right w:val="none" w:sz="0" w:space="0" w:color="auto"/>
              </w:divBdr>
              <w:divsChild>
                <w:div w:id="13391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aopr.2024.04.00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jceo.org/archive/volume/8/issue/2/article/21369" TargetMode="External"/><Relationship Id="rId12" Type="http://schemas.openxmlformats.org/officeDocument/2006/relationships/hyperlink" Target="https://www.who.int/en/news-room/fact-sheets/detail/blindness-and-visual-impairmen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ai.org/" TargetMode="External"/><Relationship Id="rId5" Type="http://schemas.openxmlformats.org/officeDocument/2006/relationships/footnotes" Target="footnotes.xml"/><Relationship Id="rId15" Type="http://schemas.openxmlformats.org/officeDocument/2006/relationships/hyperlink" Target="https://www.springermedizin.de/awareness-regarding-eye-donation-among-stakeholders-in-srikakula/9474120" TargetMode="External"/><Relationship Id="rId23" Type="http://schemas.openxmlformats.org/officeDocument/2006/relationships/theme" Target="theme/theme1.xml"/><Relationship Id="rId10" Type="http://schemas.openxmlformats.org/officeDocument/2006/relationships/hyperlink" Target="https://www.who.int/en/news-room/fact-sheets/detail/blindness-and-visual-impairme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7860/JCDR/2017/27287.10421" TargetMode="External"/><Relationship Id="rId14" Type="http://schemas.openxmlformats.org/officeDocument/2006/relationships/hyperlink" Target="https://mohfw.nic.in/sites/default/files/Annual%20Report%202023-24.pd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ccba53246824801/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Awareness and willingness toward eye donation among participants</a:t>
            </a:r>
            <a:endParaRPr lang="en-IN" sz="1100"/>
          </a:p>
        </c:rich>
      </c:tx>
      <c:overlay val="0"/>
      <c:spPr>
        <a:noFill/>
        <a:ln>
          <a:noFill/>
        </a:ln>
        <a:effectLst/>
      </c:spPr>
      <c:txPr>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Sheet1!$A$2:$A$6</c:f>
              <c:strCache>
                <c:ptCount val="5"/>
                <c:pt idx="0">
                  <c:v>Awareness of eye donation</c:v>
                </c:pt>
                <c:pt idx="1">
                  <c:v>Correct knowledge (cornea identified)</c:v>
                </c:pt>
                <c:pt idx="2">
                  <c:v>Belief that donation doesn’t disfigure face</c:v>
                </c:pt>
                <c:pt idx="3">
                  <c:v>Knowledge that family consent is needed</c:v>
                </c:pt>
                <c:pt idx="4">
                  <c:v>Willingness to donate eyes</c:v>
                </c:pt>
              </c:strCache>
            </c:strRef>
          </c:cat>
          <c:val>
            <c:numRef>
              <c:f>Sheet1!$B$2:$B$6</c:f>
              <c:numCache>
                <c:formatCode>General</c:formatCode>
                <c:ptCount val="5"/>
                <c:pt idx="0">
                  <c:v>92.9</c:v>
                </c:pt>
                <c:pt idx="1">
                  <c:v>62.4</c:v>
                </c:pt>
                <c:pt idx="2">
                  <c:v>77.599999999999994</c:v>
                </c:pt>
                <c:pt idx="3">
                  <c:v>87.1</c:v>
                </c:pt>
                <c:pt idx="4">
                  <c:v>70.599999999999994</c:v>
                </c:pt>
              </c:numCache>
            </c:numRef>
          </c:val>
          <c:extLst>
            <c:ext xmlns:c16="http://schemas.microsoft.com/office/drawing/2014/chart" uri="{C3380CC4-5D6E-409C-BE32-E72D297353CC}">
              <c16:uniqueId val="{00000000-5940-4113-B6E7-FAA3444B65C0}"/>
            </c:ext>
          </c:extLst>
        </c:ser>
        <c:dLbls>
          <c:showLegendKey val="0"/>
          <c:showVal val="0"/>
          <c:showCatName val="0"/>
          <c:showSerName val="0"/>
          <c:showPercent val="0"/>
          <c:showBubbleSize val="0"/>
        </c:dLbls>
        <c:gapWidth val="219"/>
        <c:overlap val="-27"/>
        <c:axId val="506459167"/>
        <c:axId val="506461087"/>
      </c:barChart>
      <c:catAx>
        <c:axId val="50645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6461087"/>
        <c:crosses val="autoZero"/>
        <c:auto val="1"/>
        <c:lblAlgn val="ctr"/>
        <c:lblOffset val="100"/>
        <c:noMultiLvlLbl val="0"/>
      </c:catAx>
      <c:valAx>
        <c:axId val="506461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6459167"/>
        <c:crosses val="autoZero"/>
        <c:crossBetween val="between"/>
      </c:valAx>
      <c:spPr>
        <a:noFill/>
        <a:ln>
          <a:noFill/>
        </a:ln>
        <a:effectLst/>
      </c:spPr>
    </c:plotArea>
    <c:plotVisOnly val="1"/>
    <c:dispBlanksAs val="gap"/>
    <c:showDLblsOverMax val="0"/>
    <c:extLst>
      <c:ext uri="{0b15fc19-7d7d-44ad-8c2d-2c3a37ce22c3}">
        <chartProps xmlns="https://web.wps.cn/et/2018/main" chartId="{7a7677e0-2baa-40c3-a6ab-c827357952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Ragni Kumari</dc:creator>
  <cp:lastModifiedBy>SDI 1158</cp:lastModifiedBy>
  <cp:revision>22</cp:revision>
  <dcterms:created xsi:type="dcterms:W3CDTF">2025-11-07T04:22:00Z</dcterms:created>
  <dcterms:modified xsi:type="dcterms:W3CDTF">2026-01-09T11:40:00Z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DF155C5890C6434FBBF6202AC68D1167_13</vt:lpwstr>
  </property>
</Properties>
</file>