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E752E" w14:textId="0279D546" w:rsidR="00BF3F30" w:rsidRDefault="00BF3F30" w:rsidP="00BF3F30">
      <w:pPr>
        <w:pStyle w:val="s10"/>
        <w:spacing w:before="0" w:beforeAutospacing="0" w:after="120" w:afterAutospacing="0"/>
        <w:rPr>
          <w:rStyle w:val="bumpedfont15"/>
          <w:b/>
          <w:bCs/>
          <w:color w:val="000000"/>
          <w:sz w:val="28"/>
          <w:szCs w:val="28"/>
          <w:u w:val="single"/>
        </w:rPr>
      </w:pPr>
      <w:r w:rsidRPr="00BF3F30">
        <w:rPr>
          <w:rStyle w:val="bumpedfont15"/>
          <w:b/>
          <w:bCs/>
          <w:color w:val="000000"/>
          <w:sz w:val="28"/>
          <w:szCs w:val="28"/>
          <w:u w:val="single"/>
        </w:rPr>
        <w:t xml:space="preserve">Original Research Article </w:t>
      </w:r>
    </w:p>
    <w:p w14:paraId="16F79E1F" w14:textId="77777777" w:rsidR="002840E7" w:rsidRDefault="002840E7" w:rsidP="00BF3F30">
      <w:pPr>
        <w:pStyle w:val="s10"/>
        <w:spacing w:before="0" w:beforeAutospacing="0" w:after="120" w:afterAutospacing="0"/>
        <w:rPr>
          <w:rStyle w:val="bumpedfont15"/>
          <w:b/>
          <w:bCs/>
          <w:color w:val="000000"/>
          <w:sz w:val="28"/>
          <w:szCs w:val="28"/>
          <w:u w:val="single"/>
        </w:rPr>
      </w:pPr>
    </w:p>
    <w:p w14:paraId="3850BC75" w14:textId="1263D754" w:rsidR="0068605D" w:rsidRDefault="0040507C" w:rsidP="004B0948">
      <w:pPr>
        <w:pStyle w:val="s10"/>
        <w:spacing w:before="0" w:beforeAutospacing="0" w:after="120" w:afterAutospacing="0"/>
        <w:jc w:val="center"/>
        <w:rPr>
          <w:rStyle w:val="bumpedfont15"/>
          <w:b/>
          <w:bCs/>
          <w:color w:val="000000"/>
          <w:sz w:val="28"/>
          <w:szCs w:val="28"/>
        </w:rPr>
      </w:pPr>
      <w:r w:rsidRPr="0040507C">
        <w:rPr>
          <w:rStyle w:val="bumpedfont15"/>
          <w:b/>
          <w:bCs/>
          <w:color w:val="000000"/>
          <w:sz w:val="28"/>
          <w:szCs w:val="28"/>
          <w:highlight w:val="yellow"/>
        </w:rPr>
        <w:t xml:space="preserve">Evaluation </w:t>
      </w:r>
      <w:r>
        <w:rPr>
          <w:rStyle w:val="bumpedfont15"/>
          <w:b/>
          <w:bCs/>
          <w:color w:val="000000"/>
          <w:sz w:val="28"/>
          <w:szCs w:val="28"/>
          <w:highlight w:val="yellow"/>
        </w:rPr>
        <w:t>o</w:t>
      </w:r>
      <w:r w:rsidRPr="0040507C">
        <w:rPr>
          <w:rStyle w:val="bumpedfont15"/>
          <w:b/>
          <w:bCs/>
          <w:color w:val="000000"/>
          <w:sz w:val="28"/>
          <w:szCs w:val="28"/>
          <w:highlight w:val="yellow"/>
        </w:rPr>
        <w:t xml:space="preserve">f The Knowledge </w:t>
      </w:r>
      <w:r>
        <w:rPr>
          <w:rStyle w:val="bumpedfont15"/>
          <w:b/>
          <w:bCs/>
          <w:color w:val="000000"/>
          <w:sz w:val="28"/>
          <w:szCs w:val="28"/>
          <w:highlight w:val="yellow"/>
        </w:rPr>
        <w:t>a</w:t>
      </w:r>
      <w:r w:rsidRPr="0040507C">
        <w:rPr>
          <w:rStyle w:val="bumpedfont15"/>
          <w:b/>
          <w:bCs/>
          <w:color w:val="000000"/>
          <w:sz w:val="28"/>
          <w:szCs w:val="28"/>
          <w:highlight w:val="yellow"/>
        </w:rPr>
        <w:t xml:space="preserve">nd Practical Attitudes </w:t>
      </w:r>
      <w:r>
        <w:rPr>
          <w:rStyle w:val="bumpedfont15"/>
          <w:b/>
          <w:bCs/>
          <w:color w:val="000000"/>
          <w:sz w:val="28"/>
          <w:szCs w:val="28"/>
          <w:highlight w:val="yellow"/>
        </w:rPr>
        <w:t>o</w:t>
      </w:r>
      <w:r w:rsidRPr="0040507C">
        <w:rPr>
          <w:rStyle w:val="bumpedfont15"/>
          <w:b/>
          <w:bCs/>
          <w:color w:val="000000"/>
          <w:sz w:val="28"/>
          <w:szCs w:val="28"/>
          <w:highlight w:val="yellow"/>
        </w:rPr>
        <w:t xml:space="preserve">f General Practitioners Regarding </w:t>
      </w:r>
      <w:r w:rsidRPr="00637B63">
        <w:rPr>
          <w:rStyle w:val="bumpedfont15"/>
          <w:b/>
          <w:bCs/>
          <w:i/>
          <w:color w:val="000000"/>
          <w:sz w:val="28"/>
          <w:szCs w:val="28"/>
          <w:highlight w:val="yellow"/>
        </w:rPr>
        <w:t>Helicobacter Pylori</w:t>
      </w:r>
      <w:r w:rsidRPr="0040507C">
        <w:rPr>
          <w:rStyle w:val="bumpedfont15"/>
          <w:b/>
          <w:bCs/>
          <w:color w:val="000000"/>
          <w:sz w:val="28"/>
          <w:szCs w:val="28"/>
          <w:highlight w:val="yellow"/>
        </w:rPr>
        <w:t xml:space="preserve"> Infection </w:t>
      </w:r>
      <w:r>
        <w:rPr>
          <w:rStyle w:val="bumpedfont15"/>
          <w:b/>
          <w:bCs/>
          <w:color w:val="000000"/>
          <w:sz w:val="28"/>
          <w:szCs w:val="28"/>
          <w:highlight w:val="yellow"/>
        </w:rPr>
        <w:t>i</w:t>
      </w:r>
      <w:r w:rsidRPr="0040507C">
        <w:rPr>
          <w:rStyle w:val="bumpedfont15"/>
          <w:b/>
          <w:bCs/>
          <w:color w:val="000000"/>
          <w:sz w:val="28"/>
          <w:szCs w:val="28"/>
          <w:highlight w:val="yellow"/>
        </w:rPr>
        <w:t xml:space="preserve">n </w:t>
      </w:r>
      <w:r>
        <w:rPr>
          <w:rStyle w:val="bumpedfont15"/>
          <w:b/>
          <w:bCs/>
          <w:color w:val="000000"/>
          <w:sz w:val="28"/>
          <w:szCs w:val="28"/>
          <w:highlight w:val="yellow"/>
        </w:rPr>
        <w:t>t</w:t>
      </w:r>
      <w:r w:rsidRPr="0040507C">
        <w:rPr>
          <w:rStyle w:val="bumpedfont15"/>
          <w:b/>
          <w:bCs/>
          <w:color w:val="000000"/>
          <w:sz w:val="28"/>
          <w:szCs w:val="28"/>
          <w:highlight w:val="yellow"/>
        </w:rPr>
        <w:t>he Bamako District, Mali</w:t>
      </w:r>
    </w:p>
    <w:p w14:paraId="436CC1C7" w14:textId="77777777" w:rsidR="009832DA" w:rsidRDefault="009832DA" w:rsidP="00045FC9">
      <w:pPr>
        <w:pStyle w:val="s10"/>
        <w:spacing w:after="120"/>
        <w:ind w:left="405"/>
        <w:rPr>
          <w:color w:val="000000"/>
          <w:sz w:val="20"/>
          <w:szCs w:val="20"/>
          <w:lang w:val="fr-FR"/>
        </w:rPr>
      </w:pPr>
    </w:p>
    <w:p w14:paraId="2834937C" w14:textId="77777777" w:rsidR="00E44805" w:rsidRDefault="00E44805" w:rsidP="00045FC9">
      <w:pPr>
        <w:pStyle w:val="s10"/>
        <w:spacing w:after="120"/>
        <w:ind w:left="405"/>
        <w:rPr>
          <w:color w:val="000000"/>
          <w:sz w:val="20"/>
          <w:szCs w:val="20"/>
          <w:lang w:val="fr-FR"/>
        </w:rPr>
      </w:pPr>
    </w:p>
    <w:p w14:paraId="2AA809D5" w14:textId="1D2C1A3F" w:rsidR="00E44805" w:rsidRPr="00045FC9" w:rsidRDefault="00E44805" w:rsidP="00E44805">
      <w:pPr>
        <w:pStyle w:val="s10"/>
        <w:spacing w:after="120"/>
        <w:rPr>
          <w:color w:val="000000"/>
          <w:sz w:val="20"/>
          <w:szCs w:val="20"/>
          <w:lang w:val="fr-FR"/>
        </w:rPr>
      </w:pPr>
      <w:r w:rsidRPr="00B51CA3">
        <w:rPr>
          <w:rStyle w:val="bumpedfont15"/>
          <w:b/>
          <w:bCs/>
          <w:color w:val="000000"/>
          <w:sz w:val="28"/>
          <w:szCs w:val="28"/>
        </w:rPr>
        <w:t>ABSTRACT</w:t>
      </w:r>
    </w:p>
    <w:p w14:paraId="1E88C77F" w14:textId="4A904628" w:rsidR="0068605D" w:rsidRDefault="00C8378A" w:rsidP="0050651A">
      <w:pPr>
        <w:pStyle w:val="s12"/>
        <w:spacing w:before="0" w:beforeAutospacing="0" w:after="120" w:afterAutospacing="0"/>
        <w:jc w:val="both"/>
        <w:rPr>
          <w:rStyle w:val="bumpedfont15"/>
          <w:color w:val="000000"/>
          <w:sz w:val="28"/>
          <w:szCs w:val="28"/>
        </w:rPr>
      </w:pPr>
      <w:r>
        <w:rPr>
          <w:rStyle w:val="bumpedfont15"/>
          <w:b/>
          <w:bCs/>
          <w:color w:val="000000"/>
          <w:sz w:val="28"/>
          <w:szCs w:val="28"/>
          <w:highlight w:val="yellow"/>
        </w:rPr>
        <w:t>Background</w:t>
      </w:r>
      <w:r w:rsidRPr="00C3196C">
        <w:rPr>
          <w:rStyle w:val="bumpedfont15"/>
          <w:b/>
          <w:bCs/>
          <w:color w:val="000000"/>
          <w:sz w:val="28"/>
          <w:szCs w:val="28"/>
          <w:highlight w:val="yellow"/>
        </w:rPr>
        <w:t xml:space="preserve"> :</w:t>
      </w:r>
      <w:r w:rsidR="004B0948" w:rsidRPr="00C3196C">
        <w:rPr>
          <w:rStyle w:val="bumpedfont15"/>
          <w:b/>
          <w:bCs/>
          <w:color w:val="000000"/>
          <w:sz w:val="28"/>
          <w:szCs w:val="28"/>
          <w:highlight w:val="yellow"/>
        </w:rPr>
        <w:t xml:space="preserve"> </w:t>
      </w:r>
      <w:r w:rsidR="0068605D" w:rsidRPr="00C3196C">
        <w:rPr>
          <w:rStyle w:val="bumpedfont15"/>
          <w:i/>
          <w:iCs/>
          <w:color w:val="000000"/>
          <w:sz w:val="28"/>
          <w:szCs w:val="28"/>
          <w:highlight w:val="yellow"/>
        </w:rPr>
        <w:t>Helicobacter</w:t>
      </w:r>
      <w:r w:rsidR="0068605D" w:rsidRPr="004B0948">
        <w:rPr>
          <w:rStyle w:val="bumpedfont15"/>
          <w:i/>
          <w:iCs/>
          <w:color w:val="000000"/>
          <w:sz w:val="28"/>
          <w:szCs w:val="28"/>
        </w:rPr>
        <w:t xml:space="preserve"> pylori</w:t>
      </w:r>
      <w:r w:rsidR="004B0948">
        <w:rPr>
          <w:rStyle w:val="bumpedfont15"/>
          <w:i/>
          <w:iCs/>
          <w:color w:val="000000"/>
          <w:sz w:val="28"/>
          <w:szCs w:val="28"/>
        </w:rPr>
        <w:t xml:space="preserve"> (H. pylori)</w:t>
      </w:r>
      <w:r w:rsidR="0068605D" w:rsidRPr="00B51CA3">
        <w:rPr>
          <w:rStyle w:val="bumpedfont15"/>
          <w:color w:val="000000"/>
          <w:sz w:val="28"/>
          <w:szCs w:val="28"/>
        </w:rPr>
        <w:t xml:space="preserve"> infection is one of the most widespread bacterial infections worldwide and a major public health problem in developing countries. It is implicated in the development of numerous digestive disorders, including chronic gastritis, peptic ulcers, and certain gastric cancers. In Mali, the high prevalence of the infection and the heterogeneity of medical practices justify an assessment of general practitioners' knowledge and attitudes toward this disease.</w:t>
      </w:r>
      <w:r w:rsidR="00F07FF0">
        <w:rPr>
          <w:rStyle w:val="bumpedfont15"/>
          <w:color w:val="000000"/>
          <w:sz w:val="28"/>
          <w:szCs w:val="28"/>
        </w:rPr>
        <w:t xml:space="preserve"> </w:t>
      </w:r>
      <w:r w:rsidR="00B43C94" w:rsidRPr="00AF38DE">
        <w:rPr>
          <w:rStyle w:val="bumpedfont15"/>
          <w:b/>
          <w:bCs/>
          <w:color w:val="000000"/>
          <w:sz w:val="28"/>
          <w:szCs w:val="28"/>
          <w:highlight w:val="yellow"/>
        </w:rPr>
        <w:t>Objective :</w:t>
      </w:r>
      <w:r w:rsidR="003B0FB4" w:rsidRPr="00AF38DE">
        <w:rPr>
          <w:rStyle w:val="bumpedfont15"/>
          <w:b/>
          <w:bCs/>
          <w:color w:val="000000"/>
          <w:sz w:val="28"/>
          <w:szCs w:val="28"/>
          <w:highlight w:val="yellow"/>
        </w:rPr>
        <w:t xml:space="preserve"> </w:t>
      </w:r>
      <w:r w:rsidR="00B402D8" w:rsidRPr="00AF38DE">
        <w:rPr>
          <w:rStyle w:val="bumpedfont15"/>
          <w:bCs/>
          <w:color w:val="000000"/>
          <w:sz w:val="28"/>
          <w:szCs w:val="28"/>
          <w:highlight w:val="yellow"/>
        </w:rPr>
        <w:t>The study aims to e</w:t>
      </w:r>
      <w:r w:rsidR="0068605D" w:rsidRPr="00AF38DE">
        <w:rPr>
          <w:rStyle w:val="bumpedfont15"/>
          <w:color w:val="000000"/>
          <w:sz w:val="28"/>
          <w:szCs w:val="28"/>
          <w:highlight w:val="yellow"/>
        </w:rPr>
        <w:t xml:space="preserve">valuate the knowledge and practical attitudes of general practitioners working in the Reference Health </w:t>
      </w:r>
      <w:r w:rsidR="001D1244" w:rsidRPr="00AF38DE">
        <w:rPr>
          <w:rStyle w:val="bumpedfont15"/>
          <w:color w:val="000000"/>
          <w:sz w:val="28"/>
          <w:szCs w:val="28"/>
          <w:highlight w:val="yellow"/>
        </w:rPr>
        <w:t>Cent</w:t>
      </w:r>
      <w:r w:rsidR="001D1244">
        <w:rPr>
          <w:rStyle w:val="bumpedfont15"/>
          <w:color w:val="000000"/>
          <w:sz w:val="28"/>
          <w:szCs w:val="28"/>
          <w:highlight w:val="yellow"/>
        </w:rPr>
        <w:t>re</w:t>
      </w:r>
      <w:r w:rsidR="001D1244" w:rsidRPr="00AF38DE">
        <w:rPr>
          <w:rStyle w:val="bumpedfont15"/>
          <w:color w:val="000000"/>
          <w:sz w:val="28"/>
          <w:szCs w:val="28"/>
          <w:highlight w:val="yellow"/>
        </w:rPr>
        <w:t xml:space="preserve">s </w:t>
      </w:r>
      <w:r w:rsidR="0068605D" w:rsidRPr="00AF38DE">
        <w:rPr>
          <w:rStyle w:val="bumpedfont15"/>
          <w:color w:val="000000"/>
          <w:sz w:val="28"/>
          <w:szCs w:val="28"/>
          <w:highlight w:val="yellow"/>
        </w:rPr>
        <w:t>(CSREF) of the Bamako district</w:t>
      </w:r>
      <w:r w:rsidR="0068605D" w:rsidRPr="00B51CA3">
        <w:rPr>
          <w:rStyle w:val="bumpedfont15"/>
          <w:color w:val="000000"/>
          <w:sz w:val="28"/>
          <w:szCs w:val="28"/>
        </w:rPr>
        <w:t>.</w:t>
      </w:r>
      <w:r w:rsidR="00F07FF0">
        <w:rPr>
          <w:rStyle w:val="bumpedfont15"/>
          <w:color w:val="000000"/>
          <w:sz w:val="28"/>
          <w:szCs w:val="28"/>
        </w:rPr>
        <w:t xml:space="preserve"> </w:t>
      </w:r>
      <w:r w:rsidR="00B43C94" w:rsidRPr="00C3196C">
        <w:rPr>
          <w:rStyle w:val="bumpedfont15"/>
          <w:b/>
          <w:bCs/>
          <w:color w:val="000000"/>
          <w:sz w:val="28"/>
          <w:szCs w:val="28"/>
          <w:highlight w:val="yellow"/>
        </w:rPr>
        <w:t>Methodology :</w:t>
      </w:r>
      <w:r w:rsidR="00C3196C" w:rsidRPr="00C3196C">
        <w:rPr>
          <w:rStyle w:val="bumpedfont15"/>
          <w:color w:val="000000"/>
          <w:sz w:val="28"/>
          <w:szCs w:val="28"/>
          <w:highlight w:val="yellow"/>
        </w:rPr>
        <w:t xml:space="preserve"> This</w:t>
      </w:r>
      <w:r w:rsidR="0068605D" w:rsidRPr="00C3196C">
        <w:rPr>
          <w:rStyle w:val="bumpedfont15"/>
          <w:color w:val="000000"/>
          <w:sz w:val="28"/>
          <w:szCs w:val="28"/>
          <w:highlight w:val="yellow"/>
        </w:rPr>
        <w:t xml:space="preserve"> wa</w:t>
      </w:r>
      <w:r w:rsidR="0068605D" w:rsidRPr="00B51CA3">
        <w:rPr>
          <w:rStyle w:val="bumpedfont15"/>
          <w:color w:val="000000"/>
          <w:sz w:val="28"/>
          <w:szCs w:val="28"/>
        </w:rPr>
        <w:t xml:space="preserve">s a descriptive cross-sectional study conducted from March 20, 2024, to March 31, 2025, among general practitioners at community </w:t>
      </w:r>
      <w:r w:rsidR="0068605D" w:rsidRPr="00B43C94">
        <w:rPr>
          <w:rStyle w:val="bumpedfont15"/>
          <w:color w:val="000000"/>
          <w:sz w:val="28"/>
          <w:szCs w:val="28"/>
          <w:highlight w:val="yellow"/>
        </w:rPr>
        <w:t xml:space="preserve">health </w:t>
      </w:r>
      <w:r w:rsidR="001D1244" w:rsidRPr="00B43C94">
        <w:rPr>
          <w:rStyle w:val="bumpedfont15"/>
          <w:color w:val="000000"/>
          <w:sz w:val="28"/>
          <w:szCs w:val="28"/>
          <w:highlight w:val="yellow"/>
        </w:rPr>
        <w:t>cent</w:t>
      </w:r>
      <w:r w:rsidR="001D1244" w:rsidRPr="00B43C94">
        <w:rPr>
          <w:rStyle w:val="bumpedfont15"/>
          <w:color w:val="000000"/>
          <w:sz w:val="28"/>
          <w:szCs w:val="28"/>
          <w:highlight w:val="yellow"/>
        </w:rPr>
        <w:t>re</w:t>
      </w:r>
      <w:r w:rsidR="001D1244" w:rsidRPr="00B43C94">
        <w:rPr>
          <w:rStyle w:val="bumpedfont15"/>
          <w:color w:val="000000"/>
          <w:sz w:val="28"/>
          <w:szCs w:val="28"/>
          <w:highlight w:val="yellow"/>
        </w:rPr>
        <w:t xml:space="preserve">s </w:t>
      </w:r>
      <w:r w:rsidR="0068605D" w:rsidRPr="00B43C94">
        <w:rPr>
          <w:rStyle w:val="bumpedfont15"/>
          <w:color w:val="000000"/>
          <w:sz w:val="28"/>
          <w:szCs w:val="28"/>
          <w:highlight w:val="yellow"/>
        </w:rPr>
        <w:t>(CS</w:t>
      </w:r>
      <w:r w:rsidR="0068605D" w:rsidRPr="00B51CA3">
        <w:rPr>
          <w:rStyle w:val="bumpedfont15"/>
          <w:color w:val="000000"/>
          <w:sz w:val="28"/>
          <w:szCs w:val="28"/>
        </w:rPr>
        <w:t>REFs) in the six communes of the Bamako district. Data were collected using a structured questionnaire assessing knowledge, diagnostic attitudes, and therapeutic practices. Statistical analysis was performed using SPSS software, employing the chi-square and Fisher's exact tests with a significance threshold set at p &lt; 0.05.</w:t>
      </w:r>
      <w:r w:rsidR="00F07FF0">
        <w:rPr>
          <w:rStyle w:val="bumpedfont15"/>
          <w:color w:val="000000"/>
          <w:sz w:val="28"/>
          <w:szCs w:val="28"/>
        </w:rPr>
        <w:t xml:space="preserve"> </w:t>
      </w:r>
      <w:r w:rsidR="00B43C94" w:rsidRPr="00173B09">
        <w:rPr>
          <w:rStyle w:val="bumpedfont15"/>
          <w:b/>
          <w:bCs/>
          <w:color w:val="000000"/>
          <w:sz w:val="28"/>
          <w:szCs w:val="28"/>
          <w:highlight w:val="yellow"/>
        </w:rPr>
        <w:t>Results :</w:t>
      </w:r>
      <w:r w:rsidR="00047B4C" w:rsidRPr="00173B09">
        <w:rPr>
          <w:rStyle w:val="bumpedfont15"/>
          <w:b/>
          <w:bCs/>
          <w:color w:val="000000"/>
          <w:sz w:val="28"/>
          <w:szCs w:val="28"/>
          <w:highlight w:val="yellow"/>
        </w:rPr>
        <w:t xml:space="preserve"> </w:t>
      </w:r>
      <w:r w:rsidR="0068605D" w:rsidRPr="00173B09">
        <w:rPr>
          <w:rStyle w:val="bumpedfont15"/>
          <w:color w:val="000000"/>
          <w:sz w:val="28"/>
          <w:szCs w:val="28"/>
          <w:highlight w:val="yellow"/>
        </w:rPr>
        <w:t>The study inclu</w:t>
      </w:r>
      <w:r w:rsidR="0068605D" w:rsidRPr="00B51CA3">
        <w:rPr>
          <w:rStyle w:val="bumpedfont15"/>
          <w:color w:val="000000"/>
          <w:sz w:val="28"/>
          <w:szCs w:val="28"/>
        </w:rPr>
        <w:t xml:space="preserve">ded 109 general practitioners, predominantly male (65.1%), with a predominance of practitioners under 30 years of age (40.4%). Almost all (92.7%) had already diagnosed </w:t>
      </w:r>
      <w:r w:rsidR="001D1244" w:rsidRPr="00B43C94">
        <w:rPr>
          <w:rStyle w:val="bumpedfont15"/>
          <w:color w:val="000000"/>
          <w:sz w:val="28"/>
          <w:szCs w:val="28"/>
          <w:highlight w:val="yellow"/>
        </w:rPr>
        <w:t xml:space="preserve">with </w:t>
      </w:r>
      <w:r w:rsidR="0068605D" w:rsidRPr="00B43C94">
        <w:rPr>
          <w:rStyle w:val="bumpedfont15"/>
          <w:color w:val="000000"/>
          <w:sz w:val="28"/>
          <w:szCs w:val="28"/>
          <w:highlight w:val="yellow"/>
        </w:rPr>
        <w:t xml:space="preserve">a case of </w:t>
      </w:r>
      <w:r w:rsidR="0068605D" w:rsidRPr="00B43C94">
        <w:rPr>
          <w:rStyle w:val="bumpedfont15"/>
          <w:i/>
          <w:iCs/>
          <w:color w:val="000000"/>
          <w:sz w:val="28"/>
          <w:szCs w:val="28"/>
          <w:highlight w:val="yellow"/>
        </w:rPr>
        <w:t>H.</w:t>
      </w:r>
      <w:r w:rsidR="0068605D" w:rsidRPr="004B0948">
        <w:rPr>
          <w:rStyle w:val="bumpedfont15"/>
          <w:i/>
          <w:iCs/>
          <w:color w:val="000000"/>
          <w:sz w:val="28"/>
          <w:szCs w:val="28"/>
        </w:rPr>
        <w:t xml:space="preserve"> pylori</w:t>
      </w:r>
      <w:r w:rsidR="0068605D" w:rsidRPr="00B51CA3">
        <w:rPr>
          <w:rStyle w:val="bumpedfont15"/>
          <w:color w:val="000000"/>
          <w:sz w:val="28"/>
          <w:szCs w:val="28"/>
        </w:rPr>
        <w:t xml:space="preserve"> infection. Epigastric pain was the most frequently reported symptom (86.2%). The most commonly mentioned routes of transmission were oral-oral (63.3%) </w:t>
      </w:r>
      <w:r w:rsidR="0068605D" w:rsidRPr="00B43C94">
        <w:rPr>
          <w:rStyle w:val="bumpedfont15"/>
          <w:color w:val="000000"/>
          <w:sz w:val="28"/>
          <w:szCs w:val="28"/>
          <w:highlight w:val="yellow"/>
        </w:rPr>
        <w:t>and f</w:t>
      </w:r>
      <w:r w:rsidR="001D1244" w:rsidRPr="00B43C94">
        <w:rPr>
          <w:rStyle w:val="bumpedfont15"/>
          <w:color w:val="000000"/>
          <w:sz w:val="28"/>
          <w:szCs w:val="28"/>
          <w:highlight w:val="yellow"/>
        </w:rPr>
        <w:t>a</w:t>
      </w:r>
      <w:r w:rsidR="0068605D" w:rsidRPr="00B43C94">
        <w:rPr>
          <w:rStyle w:val="bumpedfont15"/>
          <w:color w:val="000000"/>
          <w:sz w:val="28"/>
          <w:szCs w:val="28"/>
          <w:highlight w:val="yellow"/>
        </w:rPr>
        <w:t>eca</w:t>
      </w:r>
      <w:r w:rsidR="0068605D" w:rsidRPr="00B51CA3">
        <w:rPr>
          <w:rStyle w:val="bumpedfont15"/>
          <w:color w:val="000000"/>
          <w:sz w:val="28"/>
          <w:szCs w:val="28"/>
        </w:rPr>
        <w:t xml:space="preserve">l-oral (55.9%). Gastroduodenal ulcer (98.2%), gastric cancer (70.6%), and chronic gastritis (64.2%) were the most frequently associated pathologies. Regarding indications for </w:t>
      </w:r>
      <w:r w:rsidR="0068605D" w:rsidRPr="00B43C94">
        <w:rPr>
          <w:rStyle w:val="bumpedfont15"/>
          <w:color w:val="000000"/>
          <w:sz w:val="28"/>
          <w:szCs w:val="28"/>
          <w:highlight w:val="yellow"/>
        </w:rPr>
        <w:t xml:space="preserve">screening, </w:t>
      </w:r>
      <w:r w:rsidR="001D1244" w:rsidRPr="00B43C94">
        <w:rPr>
          <w:rStyle w:val="bumpedfont15"/>
          <w:color w:val="000000"/>
          <w:sz w:val="28"/>
          <w:szCs w:val="28"/>
          <w:highlight w:val="yellow"/>
        </w:rPr>
        <w:t xml:space="preserve">a </w:t>
      </w:r>
      <w:r w:rsidR="0068605D" w:rsidRPr="00B43C94">
        <w:rPr>
          <w:rStyle w:val="bumpedfont15"/>
          <w:color w:val="000000"/>
          <w:sz w:val="28"/>
          <w:szCs w:val="28"/>
          <w:highlight w:val="yellow"/>
        </w:rPr>
        <w:t>gast</w:t>
      </w:r>
      <w:r w:rsidR="0068605D" w:rsidRPr="00B51CA3">
        <w:rPr>
          <w:rStyle w:val="bumpedfont15"/>
          <w:color w:val="000000"/>
          <w:sz w:val="28"/>
          <w:szCs w:val="28"/>
        </w:rPr>
        <w:t>roduodenal ulcer was the most frequently cited (97.2%). Serology was the most commonly used first-line diagnostic test (68.8%), while only 19.3% used the breath test. Therapeutic practices were variable</w:t>
      </w:r>
      <w:r w:rsidR="001D1244">
        <w:rPr>
          <w:rStyle w:val="bumpedfont15"/>
          <w:color w:val="000000"/>
          <w:sz w:val="28"/>
          <w:szCs w:val="28"/>
        </w:rPr>
        <w:t>,</w:t>
      </w:r>
      <w:r w:rsidR="0068605D" w:rsidRPr="00B51CA3">
        <w:rPr>
          <w:rStyle w:val="bumpedfont15"/>
          <w:color w:val="000000"/>
          <w:sz w:val="28"/>
          <w:szCs w:val="28"/>
        </w:rPr>
        <w:t xml:space="preserve"> and the use of recommended protocols remained uneven.</w:t>
      </w:r>
      <w:r w:rsidR="00F07FF0">
        <w:rPr>
          <w:rStyle w:val="bumpedfont15"/>
          <w:color w:val="000000"/>
          <w:sz w:val="28"/>
          <w:szCs w:val="28"/>
        </w:rPr>
        <w:t xml:space="preserve"> </w:t>
      </w:r>
      <w:r w:rsidR="00B43C94" w:rsidRPr="00C3196C">
        <w:rPr>
          <w:rStyle w:val="bumpedfont15"/>
          <w:b/>
          <w:bCs/>
          <w:color w:val="000000"/>
          <w:sz w:val="28"/>
          <w:szCs w:val="28"/>
          <w:highlight w:val="yellow"/>
        </w:rPr>
        <w:t>Conclusion :</w:t>
      </w:r>
      <w:r w:rsidR="001D3A12" w:rsidRPr="00C3196C">
        <w:rPr>
          <w:rStyle w:val="bumpedfont15"/>
          <w:color w:val="000000"/>
          <w:sz w:val="28"/>
          <w:szCs w:val="28"/>
          <w:highlight w:val="yellow"/>
        </w:rPr>
        <w:t xml:space="preserve"> This</w:t>
      </w:r>
      <w:r w:rsidR="0068605D" w:rsidRPr="00C3196C">
        <w:rPr>
          <w:rStyle w:val="bumpedfont15"/>
          <w:color w:val="000000"/>
          <w:sz w:val="28"/>
          <w:szCs w:val="28"/>
          <w:highlight w:val="yellow"/>
        </w:rPr>
        <w:t xml:space="preserve"> study</w:t>
      </w:r>
      <w:r w:rsidR="0068605D" w:rsidRPr="00B51CA3">
        <w:rPr>
          <w:rStyle w:val="bumpedfont15"/>
          <w:color w:val="000000"/>
          <w:sz w:val="28"/>
          <w:szCs w:val="28"/>
        </w:rPr>
        <w:t xml:space="preserve"> highlights significant disparities in the knowledge and practices of general practitioners regarding </w:t>
      </w:r>
      <w:r w:rsidR="0068605D" w:rsidRPr="004B0948">
        <w:rPr>
          <w:rStyle w:val="bumpedfont15"/>
          <w:i/>
          <w:iCs/>
          <w:color w:val="000000"/>
          <w:sz w:val="28"/>
          <w:szCs w:val="28"/>
        </w:rPr>
        <w:t>H. pylori</w:t>
      </w:r>
      <w:r w:rsidR="0068605D" w:rsidRPr="00B51CA3">
        <w:rPr>
          <w:rStyle w:val="bumpedfont15"/>
          <w:color w:val="000000"/>
          <w:sz w:val="28"/>
          <w:szCs w:val="28"/>
        </w:rPr>
        <w:t xml:space="preserve"> infection in the Bamako district and international guidelines. Improved </w:t>
      </w:r>
      <w:r w:rsidR="0068605D" w:rsidRPr="00B43C94">
        <w:rPr>
          <w:rStyle w:val="bumpedfont15"/>
          <w:color w:val="000000"/>
          <w:sz w:val="28"/>
          <w:szCs w:val="28"/>
          <w:highlight w:val="yellow"/>
        </w:rPr>
        <w:t xml:space="preserve">continuing education and the dissemination of updated recommendations are necessary to </w:t>
      </w:r>
      <w:r w:rsidR="001D1244" w:rsidRPr="00B43C94">
        <w:rPr>
          <w:rStyle w:val="bumpedfont15"/>
          <w:color w:val="000000"/>
          <w:sz w:val="28"/>
          <w:szCs w:val="28"/>
          <w:highlight w:val="yellow"/>
        </w:rPr>
        <w:t>optimi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e</w:t>
      </w:r>
      <w:r w:rsidR="001D1244" w:rsidRPr="00B51CA3">
        <w:rPr>
          <w:rStyle w:val="bumpedfont15"/>
          <w:color w:val="000000"/>
          <w:sz w:val="28"/>
          <w:szCs w:val="28"/>
        </w:rPr>
        <w:t xml:space="preserve"> </w:t>
      </w:r>
      <w:r w:rsidR="0068605D" w:rsidRPr="00B51CA3">
        <w:rPr>
          <w:rStyle w:val="bumpedfont15"/>
          <w:color w:val="000000"/>
          <w:sz w:val="28"/>
          <w:szCs w:val="28"/>
        </w:rPr>
        <w:t>the management of this infection.</w:t>
      </w:r>
    </w:p>
    <w:p w14:paraId="2AB749D8" w14:textId="77777777" w:rsidR="00280A08" w:rsidRPr="00B51CA3" w:rsidRDefault="00280A08" w:rsidP="0050651A">
      <w:pPr>
        <w:pStyle w:val="s12"/>
        <w:spacing w:before="0" w:beforeAutospacing="0" w:after="120" w:afterAutospacing="0"/>
        <w:jc w:val="both"/>
        <w:rPr>
          <w:color w:val="000000"/>
          <w:sz w:val="20"/>
          <w:szCs w:val="20"/>
        </w:rPr>
      </w:pPr>
    </w:p>
    <w:p w14:paraId="005A13BB" w14:textId="355FF47E" w:rsidR="0068605D" w:rsidRPr="00B51CA3" w:rsidRDefault="002B01D5" w:rsidP="0050651A">
      <w:pPr>
        <w:pStyle w:val="s12"/>
        <w:spacing w:before="0" w:beforeAutospacing="0" w:after="120" w:afterAutospacing="0"/>
        <w:jc w:val="both"/>
        <w:rPr>
          <w:color w:val="000000"/>
          <w:sz w:val="20"/>
          <w:szCs w:val="20"/>
        </w:rPr>
      </w:pPr>
      <w:bookmarkStart w:id="0" w:name="_GoBack"/>
      <w:bookmarkEnd w:id="0"/>
      <w:r w:rsidRPr="00D613C1">
        <w:rPr>
          <w:rStyle w:val="bumpedfont15"/>
          <w:color w:val="000000"/>
          <w:sz w:val="28"/>
          <w:szCs w:val="28"/>
          <w:highlight w:val="yellow"/>
        </w:rPr>
        <w:lastRenderedPageBreak/>
        <w:t>Keywords :</w:t>
      </w:r>
      <w:r w:rsidR="0068605D" w:rsidRPr="00D613C1">
        <w:rPr>
          <w:rStyle w:val="bumpedfont15"/>
          <w:color w:val="000000"/>
          <w:sz w:val="28"/>
          <w:szCs w:val="28"/>
          <w:highlight w:val="yellow"/>
        </w:rPr>
        <w:t xml:space="preserve"> </w:t>
      </w:r>
      <w:r w:rsidR="0068605D" w:rsidRPr="00D613C1">
        <w:rPr>
          <w:rStyle w:val="bumpedfont15"/>
          <w:i/>
          <w:iCs/>
          <w:color w:val="000000"/>
          <w:sz w:val="28"/>
          <w:szCs w:val="28"/>
          <w:highlight w:val="yellow"/>
        </w:rPr>
        <w:t>Helicobacter pylori</w:t>
      </w:r>
      <w:r w:rsidR="0068605D" w:rsidRPr="00D613C1">
        <w:rPr>
          <w:rStyle w:val="bumpedfont15"/>
          <w:color w:val="000000"/>
          <w:sz w:val="28"/>
          <w:szCs w:val="28"/>
          <w:highlight w:val="yellow"/>
        </w:rPr>
        <w:t xml:space="preserve">, </w:t>
      </w:r>
      <w:r w:rsidR="00620A5C" w:rsidRPr="00D613C1">
        <w:rPr>
          <w:rStyle w:val="bumpedfont15"/>
          <w:color w:val="000000"/>
          <w:sz w:val="28"/>
          <w:szCs w:val="28"/>
          <w:highlight w:val="yellow"/>
        </w:rPr>
        <w:t xml:space="preserve">infection, </w:t>
      </w:r>
      <w:r w:rsidR="0068605D" w:rsidRPr="00D613C1">
        <w:rPr>
          <w:rStyle w:val="bumpedfont15"/>
          <w:color w:val="000000"/>
          <w:sz w:val="28"/>
          <w:szCs w:val="28"/>
          <w:highlight w:val="yellow"/>
        </w:rPr>
        <w:t>practices, knowledge</w:t>
      </w:r>
    </w:p>
    <w:p w14:paraId="006347BC" w14:textId="77777777" w:rsidR="00B51CA3" w:rsidRDefault="00B51CA3" w:rsidP="0068605D">
      <w:pPr>
        <w:pStyle w:val="s10"/>
        <w:spacing w:before="0" w:beforeAutospacing="0" w:after="120" w:afterAutospacing="0"/>
        <w:rPr>
          <w:rStyle w:val="bumpedfont15"/>
          <w:b/>
          <w:bCs/>
          <w:color w:val="000000"/>
          <w:sz w:val="28"/>
          <w:szCs w:val="28"/>
        </w:rPr>
      </w:pPr>
    </w:p>
    <w:p w14:paraId="1B30AE7A" w14:textId="77777777" w:rsidR="00B51CA3" w:rsidRDefault="00B51CA3" w:rsidP="0068605D">
      <w:pPr>
        <w:pStyle w:val="s10"/>
        <w:spacing w:before="0" w:beforeAutospacing="0" w:after="120" w:afterAutospacing="0"/>
        <w:rPr>
          <w:rStyle w:val="bumpedfont15"/>
          <w:b/>
          <w:bCs/>
          <w:color w:val="000000"/>
          <w:sz w:val="28"/>
          <w:szCs w:val="28"/>
        </w:rPr>
      </w:pPr>
    </w:p>
    <w:p w14:paraId="2E7F0131" w14:textId="77777777" w:rsidR="00B51CA3" w:rsidRDefault="00B51CA3" w:rsidP="0068605D">
      <w:pPr>
        <w:pStyle w:val="s10"/>
        <w:spacing w:before="0" w:beforeAutospacing="0" w:after="120" w:afterAutospacing="0"/>
        <w:rPr>
          <w:rStyle w:val="bumpedfont15"/>
          <w:b/>
          <w:bCs/>
          <w:color w:val="000000"/>
          <w:sz w:val="28"/>
          <w:szCs w:val="28"/>
        </w:rPr>
      </w:pPr>
    </w:p>
    <w:p w14:paraId="7216DF33" w14:textId="77777777" w:rsidR="00B51CA3" w:rsidRDefault="00B51CA3" w:rsidP="0068605D">
      <w:pPr>
        <w:pStyle w:val="s10"/>
        <w:spacing w:before="0" w:beforeAutospacing="0" w:after="120" w:afterAutospacing="0"/>
        <w:rPr>
          <w:rStyle w:val="bumpedfont15"/>
          <w:b/>
          <w:bCs/>
          <w:color w:val="000000"/>
          <w:sz w:val="28"/>
          <w:szCs w:val="28"/>
        </w:rPr>
      </w:pPr>
    </w:p>
    <w:p w14:paraId="58BE0C82" w14:textId="77777777" w:rsidR="00B51CA3" w:rsidRDefault="00B51CA3" w:rsidP="0068605D">
      <w:pPr>
        <w:pStyle w:val="s12"/>
        <w:spacing w:before="0" w:beforeAutospacing="0" w:after="120" w:afterAutospacing="0"/>
        <w:rPr>
          <w:rStyle w:val="bumpedfont15"/>
          <w:b/>
          <w:bCs/>
          <w:color w:val="000000"/>
          <w:sz w:val="28"/>
          <w:szCs w:val="28"/>
        </w:rPr>
      </w:pPr>
    </w:p>
    <w:p w14:paraId="346E149B" w14:textId="77777777" w:rsidR="00B51CA3" w:rsidRDefault="00B51CA3" w:rsidP="0068605D">
      <w:pPr>
        <w:pStyle w:val="s12"/>
        <w:spacing w:before="0" w:beforeAutospacing="0" w:after="120" w:afterAutospacing="0"/>
        <w:rPr>
          <w:rStyle w:val="bumpedfont15"/>
          <w:b/>
          <w:bCs/>
          <w:color w:val="000000"/>
          <w:sz w:val="28"/>
          <w:szCs w:val="28"/>
        </w:rPr>
      </w:pPr>
    </w:p>
    <w:p w14:paraId="2A88DBCF" w14:textId="77777777" w:rsidR="00B51CA3" w:rsidRDefault="00B51CA3" w:rsidP="0068605D">
      <w:pPr>
        <w:pStyle w:val="s12"/>
        <w:spacing w:before="0" w:beforeAutospacing="0" w:after="120" w:afterAutospacing="0"/>
        <w:rPr>
          <w:rStyle w:val="bumpedfont15"/>
          <w:b/>
          <w:bCs/>
          <w:color w:val="000000"/>
          <w:sz w:val="28"/>
          <w:szCs w:val="28"/>
        </w:rPr>
      </w:pPr>
    </w:p>
    <w:p w14:paraId="505551A6" w14:textId="77777777" w:rsidR="00B51CA3" w:rsidRDefault="00B51CA3" w:rsidP="0068605D">
      <w:pPr>
        <w:pStyle w:val="s12"/>
        <w:spacing w:before="0" w:beforeAutospacing="0" w:after="120" w:afterAutospacing="0"/>
        <w:rPr>
          <w:rStyle w:val="bumpedfont15"/>
          <w:b/>
          <w:bCs/>
          <w:color w:val="000000"/>
          <w:sz w:val="28"/>
          <w:szCs w:val="28"/>
        </w:rPr>
      </w:pPr>
    </w:p>
    <w:p w14:paraId="66A68130" w14:textId="5F65680B" w:rsidR="0068605D" w:rsidRPr="00B51CA3" w:rsidRDefault="0068605D" w:rsidP="0068605D">
      <w:pPr>
        <w:pStyle w:val="s12"/>
        <w:spacing w:before="0" w:beforeAutospacing="0" w:after="120" w:afterAutospacing="0"/>
        <w:rPr>
          <w:color w:val="000000"/>
          <w:sz w:val="20"/>
          <w:szCs w:val="20"/>
        </w:rPr>
      </w:pPr>
      <w:r w:rsidRPr="00B51CA3">
        <w:rPr>
          <w:rStyle w:val="bumpedfont15"/>
          <w:b/>
          <w:bCs/>
          <w:color w:val="000000"/>
          <w:sz w:val="28"/>
          <w:szCs w:val="28"/>
        </w:rPr>
        <w:t>Introduction</w:t>
      </w:r>
    </w:p>
    <w:p w14:paraId="1CB6EF19" w14:textId="075A68C8" w:rsidR="0068605D" w:rsidRPr="00B51CA3" w:rsidRDefault="0068605D" w:rsidP="00B7244E">
      <w:pPr>
        <w:pStyle w:val="s12"/>
        <w:spacing w:before="0" w:beforeAutospacing="0" w:after="120" w:afterAutospacing="0"/>
        <w:jc w:val="both"/>
        <w:rPr>
          <w:color w:val="000000"/>
          <w:sz w:val="20"/>
          <w:szCs w:val="20"/>
        </w:rPr>
      </w:pPr>
      <w:r w:rsidRPr="004B0948">
        <w:rPr>
          <w:rStyle w:val="bumpedfont15"/>
          <w:i/>
          <w:iCs/>
          <w:color w:val="000000"/>
          <w:sz w:val="28"/>
          <w:szCs w:val="28"/>
        </w:rPr>
        <w:t>Helicobacter pylori</w:t>
      </w:r>
      <w:r w:rsidR="004B0948" w:rsidRPr="004B0948">
        <w:rPr>
          <w:rStyle w:val="bumpedfont15"/>
          <w:i/>
          <w:iCs/>
          <w:color w:val="000000"/>
          <w:sz w:val="28"/>
          <w:szCs w:val="28"/>
        </w:rPr>
        <w:t xml:space="preserve"> </w:t>
      </w:r>
      <w:r w:rsidRPr="004B0948">
        <w:rPr>
          <w:rStyle w:val="bumpedfont15"/>
          <w:i/>
          <w:iCs/>
          <w:color w:val="000000"/>
          <w:sz w:val="28"/>
          <w:szCs w:val="28"/>
        </w:rPr>
        <w:t>(H. pylori)</w:t>
      </w:r>
      <w:r w:rsidRPr="00B51CA3">
        <w:rPr>
          <w:rStyle w:val="bumpedfont15"/>
          <w:color w:val="000000"/>
          <w:sz w:val="28"/>
          <w:szCs w:val="28"/>
        </w:rPr>
        <w:t xml:space="preserve"> is a Gram-negative, spiral-shaped, flagellated bacillus that was first isolated and cultured in 1982 from gastric biopsies by two Australian researchers, J. Robin Warren and Barry J. Marshall</w:t>
      </w:r>
      <w:r w:rsidR="00786E48">
        <w:rPr>
          <w:rStyle w:val="bumpedfont15"/>
          <w:color w:val="000000"/>
          <w:sz w:val="28"/>
          <w:szCs w:val="28"/>
        </w:rPr>
        <w:t xml:space="preserve"> </w:t>
      </w:r>
      <w:r w:rsidRPr="00B51CA3">
        <w:rPr>
          <w:rStyle w:val="bumpedfont15"/>
          <w:color w:val="000000"/>
          <w:sz w:val="28"/>
          <w:szCs w:val="28"/>
        </w:rPr>
        <w:t>[1].</w:t>
      </w:r>
    </w:p>
    <w:p w14:paraId="30FF51B3" w14:textId="05698BA5" w:rsidR="0068605D" w:rsidRPr="00B51CA3" w:rsidRDefault="0068605D" w:rsidP="00B7244E">
      <w:pPr>
        <w:pStyle w:val="s12"/>
        <w:spacing w:before="0" w:beforeAutospacing="0" w:after="120" w:afterAutospacing="0"/>
        <w:jc w:val="both"/>
        <w:rPr>
          <w:color w:val="000000"/>
          <w:sz w:val="20"/>
          <w:szCs w:val="20"/>
        </w:rPr>
      </w:pPr>
      <w:r w:rsidRPr="00B51CA3">
        <w:rPr>
          <w:rStyle w:val="bumpedfont15"/>
          <w:color w:val="000000"/>
          <w:sz w:val="28"/>
          <w:szCs w:val="28"/>
        </w:rPr>
        <w:t>Its role in the development of digestive diseases is well established. The lesions caused are primarily chronic gastritis, gastroduodenal ulcers, MALT lymphoma, and gastric adenocarcinoma</w:t>
      </w:r>
      <w:r w:rsidR="00C92AA8">
        <w:rPr>
          <w:rStyle w:val="bumpedfont15"/>
          <w:color w:val="000000"/>
          <w:sz w:val="28"/>
          <w:szCs w:val="28"/>
        </w:rPr>
        <w:t xml:space="preserve"> </w:t>
      </w:r>
      <w:r w:rsidRPr="00B51CA3">
        <w:rPr>
          <w:rStyle w:val="bumpedfont15"/>
          <w:color w:val="000000"/>
          <w:sz w:val="28"/>
          <w:szCs w:val="28"/>
        </w:rPr>
        <w:t>[2]</w:t>
      </w:r>
      <w:r w:rsidR="004B0948">
        <w:rPr>
          <w:rStyle w:val="bumpedfont15"/>
          <w:color w:val="000000"/>
          <w:sz w:val="28"/>
          <w:szCs w:val="28"/>
        </w:rPr>
        <w:t xml:space="preserve">. </w:t>
      </w:r>
      <w:r w:rsidRPr="004B0948">
        <w:rPr>
          <w:rStyle w:val="bumpedfont15"/>
          <w:i/>
          <w:iCs/>
          <w:color w:val="000000"/>
          <w:sz w:val="28"/>
          <w:szCs w:val="28"/>
        </w:rPr>
        <w:t>H. pylori</w:t>
      </w:r>
      <w:r w:rsidRPr="00B51CA3">
        <w:rPr>
          <w:rStyle w:val="bumpedfont15"/>
          <w:color w:val="000000"/>
          <w:sz w:val="28"/>
          <w:szCs w:val="28"/>
        </w:rPr>
        <w:t xml:space="preserve"> is also </w:t>
      </w:r>
      <w:r w:rsidR="001D1244" w:rsidRPr="00B43C94">
        <w:rPr>
          <w:rStyle w:val="bumpedfont15"/>
          <w:color w:val="000000"/>
          <w:sz w:val="28"/>
          <w:szCs w:val="28"/>
          <w:highlight w:val="yellow"/>
        </w:rPr>
        <w:t>recogni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ed </w:t>
      </w:r>
      <w:r w:rsidRPr="00B43C94">
        <w:rPr>
          <w:rStyle w:val="bumpedfont15"/>
          <w:color w:val="000000"/>
          <w:sz w:val="28"/>
          <w:szCs w:val="28"/>
          <w:highlight w:val="yellow"/>
        </w:rPr>
        <w:t>as a human carcinogen by the WHO.</w:t>
      </w:r>
    </w:p>
    <w:p w14:paraId="06B6421B" w14:textId="3D1EDABC" w:rsidR="00D93990" w:rsidRDefault="0068605D" w:rsidP="00B7244E">
      <w:pPr>
        <w:pStyle w:val="s12"/>
        <w:spacing w:before="0" w:beforeAutospacing="0" w:after="120" w:afterAutospacing="0"/>
        <w:jc w:val="both"/>
        <w:rPr>
          <w:rStyle w:val="bumpedfont15"/>
          <w:color w:val="000000"/>
          <w:sz w:val="28"/>
          <w:szCs w:val="28"/>
        </w:rPr>
      </w:pPr>
      <w:r w:rsidRPr="00B51CA3">
        <w:rPr>
          <w:rStyle w:val="bumpedfont15"/>
          <w:color w:val="000000"/>
          <w:sz w:val="28"/>
          <w:szCs w:val="28"/>
        </w:rPr>
        <w:t xml:space="preserve">Eradication of </w:t>
      </w:r>
      <w:r w:rsidRPr="004B0948">
        <w:rPr>
          <w:rStyle w:val="bumpedfont15"/>
          <w:i/>
          <w:iCs/>
          <w:color w:val="000000"/>
          <w:sz w:val="28"/>
          <w:szCs w:val="28"/>
        </w:rPr>
        <w:t>Helicobacter pylori</w:t>
      </w:r>
      <w:r w:rsidRPr="00B51CA3">
        <w:rPr>
          <w:rStyle w:val="bumpedfont15"/>
          <w:color w:val="000000"/>
          <w:sz w:val="28"/>
          <w:szCs w:val="28"/>
        </w:rPr>
        <w:t xml:space="preserve"> makes it possible to modify the natural history of gastroduodenal pathologies related to it.</w:t>
      </w:r>
      <w:r w:rsidR="00D93990">
        <w:rPr>
          <w:rStyle w:val="bumpedfont15"/>
          <w:color w:val="000000"/>
          <w:sz w:val="28"/>
          <w:szCs w:val="28"/>
        </w:rPr>
        <w:t xml:space="preserve"> </w:t>
      </w:r>
      <w:r w:rsidR="00452859" w:rsidRPr="00D24DF7">
        <w:rPr>
          <w:rStyle w:val="bumpedfont15"/>
          <w:color w:val="000000"/>
          <w:sz w:val="28"/>
          <w:szCs w:val="28"/>
          <w:highlight w:val="yellow"/>
        </w:rPr>
        <w:t xml:space="preserve">The bacterium's ability to survive in the acidic environment of the stomach is facilitated by its production of urease, which </w:t>
      </w:r>
      <w:r w:rsidR="001D1244" w:rsidRPr="00D24DF7">
        <w:rPr>
          <w:rStyle w:val="bumpedfont15"/>
          <w:color w:val="000000"/>
          <w:sz w:val="28"/>
          <w:szCs w:val="28"/>
          <w:highlight w:val="yellow"/>
        </w:rPr>
        <w:t>neutrali</w:t>
      </w:r>
      <w:r w:rsidR="001D1244">
        <w:rPr>
          <w:rStyle w:val="bumpedfont15"/>
          <w:color w:val="000000"/>
          <w:sz w:val="28"/>
          <w:szCs w:val="28"/>
          <w:highlight w:val="yellow"/>
        </w:rPr>
        <w:t>s</w:t>
      </w:r>
      <w:r w:rsidR="001D1244" w:rsidRPr="00D24DF7">
        <w:rPr>
          <w:rStyle w:val="bumpedfont15"/>
          <w:color w:val="000000"/>
          <w:sz w:val="28"/>
          <w:szCs w:val="28"/>
          <w:highlight w:val="yellow"/>
        </w:rPr>
        <w:t xml:space="preserve">es </w:t>
      </w:r>
      <w:r w:rsidR="00452859" w:rsidRPr="00D24DF7">
        <w:rPr>
          <w:rStyle w:val="bumpedfont15"/>
          <w:color w:val="000000"/>
          <w:sz w:val="28"/>
          <w:szCs w:val="28"/>
          <w:highlight w:val="yellow"/>
        </w:rPr>
        <w:t>stomach acid</w:t>
      </w:r>
      <w:r w:rsidR="00A2005E" w:rsidRPr="00D24DF7">
        <w:rPr>
          <w:rStyle w:val="bumpedfont15"/>
          <w:color w:val="000000"/>
          <w:sz w:val="28"/>
          <w:szCs w:val="28"/>
          <w:highlight w:val="yellow"/>
        </w:rPr>
        <w:t xml:space="preserve"> (Maqbul et al., 2024)</w:t>
      </w:r>
      <w:r w:rsidR="00452859" w:rsidRPr="00D24DF7">
        <w:rPr>
          <w:rStyle w:val="bumpedfont15"/>
          <w:color w:val="000000"/>
          <w:sz w:val="28"/>
          <w:szCs w:val="28"/>
          <w:highlight w:val="yellow"/>
        </w:rPr>
        <w:t>.</w:t>
      </w:r>
    </w:p>
    <w:p w14:paraId="4DEDFBAB" w14:textId="63BA3510" w:rsidR="0068605D" w:rsidRPr="00B51CA3" w:rsidRDefault="00D60DF6" w:rsidP="00B7244E">
      <w:pPr>
        <w:pStyle w:val="s12"/>
        <w:spacing w:before="0" w:beforeAutospacing="0" w:after="120" w:afterAutospacing="0"/>
        <w:jc w:val="both"/>
        <w:rPr>
          <w:color w:val="000000"/>
          <w:sz w:val="20"/>
          <w:szCs w:val="20"/>
        </w:rPr>
      </w:pPr>
      <w:r w:rsidRPr="00D93990">
        <w:rPr>
          <w:rStyle w:val="bumpedfont15"/>
          <w:color w:val="000000"/>
          <w:sz w:val="28"/>
          <w:szCs w:val="28"/>
          <w:highlight w:val="yellow"/>
        </w:rPr>
        <w:t>The transmission of</w:t>
      </w:r>
      <w:r w:rsidR="00D93990">
        <w:rPr>
          <w:rStyle w:val="bumpedfont15"/>
          <w:color w:val="000000"/>
          <w:sz w:val="28"/>
          <w:szCs w:val="28"/>
          <w:highlight w:val="yellow"/>
        </w:rPr>
        <w:t xml:space="preserve"> </w:t>
      </w:r>
      <w:r w:rsidR="00D93990" w:rsidRPr="00D93990">
        <w:rPr>
          <w:rStyle w:val="bumpedfont15"/>
          <w:i/>
          <w:color w:val="000000"/>
          <w:sz w:val="28"/>
          <w:szCs w:val="28"/>
          <w:highlight w:val="yellow"/>
        </w:rPr>
        <w:t xml:space="preserve">H.  </w:t>
      </w:r>
      <w:r w:rsidRPr="00D93990">
        <w:rPr>
          <w:rStyle w:val="bumpedfont15"/>
          <w:i/>
          <w:color w:val="000000"/>
          <w:sz w:val="28"/>
          <w:szCs w:val="28"/>
          <w:highlight w:val="yellow"/>
        </w:rPr>
        <w:t>Pylori</w:t>
      </w:r>
      <w:r w:rsidR="00264F3F" w:rsidRPr="00F73A73">
        <w:rPr>
          <w:rStyle w:val="bumpedfont15"/>
          <w:i/>
          <w:color w:val="000000"/>
          <w:sz w:val="28"/>
          <w:szCs w:val="28"/>
          <w:highlight w:val="yellow"/>
        </w:rPr>
        <w:t xml:space="preserve"> </w:t>
      </w:r>
      <w:r w:rsidRPr="00F73A73">
        <w:rPr>
          <w:rStyle w:val="bumpedfont15"/>
          <w:color w:val="000000"/>
          <w:sz w:val="28"/>
          <w:szCs w:val="28"/>
          <w:highlight w:val="yellow"/>
        </w:rPr>
        <w:t>is</w:t>
      </w:r>
      <w:r w:rsidRPr="00F73A73">
        <w:rPr>
          <w:rStyle w:val="bumpedfont15"/>
          <w:b/>
          <w:color w:val="000000"/>
          <w:sz w:val="28"/>
          <w:szCs w:val="28"/>
          <w:highlight w:val="yellow"/>
        </w:rPr>
        <w:t xml:space="preserve"> </w:t>
      </w:r>
      <w:r w:rsidRPr="00D93990">
        <w:rPr>
          <w:rStyle w:val="bumpedfont15"/>
          <w:color w:val="000000"/>
          <w:sz w:val="28"/>
          <w:szCs w:val="28"/>
          <w:highlight w:val="yellow"/>
        </w:rPr>
        <w:t>to</w:t>
      </w:r>
      <w:r w:rsidR="00D93990" w:rsidRPr="00D93990">
        <w:rPr>
          <w:rStyle w:val="bumpedfont15"/>
          <w:color w:val="000000"/>
          <w:sz w:val="28"/>
          <w:szCs w:val="28"/>
          <w:highlight w:val="yellow"/>
        </w:rPr>
        <w:t xml:space="preserve"> a greater</w:t>
      </w:r>
      <w:r w:rsidR="001D1244">
        <w:rPr>
          <w:rStyle w:val="bumpedfont15"/>
          <w:color w:val="000000"/>
          <w:sz w:val="28"/>
          <w:szCs w:val="28"/>
          <w:highlight w:val="yellow"/>
        </w:rPr>
        <w:t xml:space="preserve"> </w:t>
      </w:r>
      <w:r w:rsidR="00D93990" w:rsidRPr="00D93990">
        <w:rPr>
          <w:rStyle w:val="bumpedfont15"/>
          <w:color w:val="000000"/>
          <w:sz w:val="28"/>
          <w:szCs w:val="28"/>
          <w:highlight w:val="yellow"/>
        </w:rPr>
        <w:t xml:space="preserve">extent by </w:t>
      </w:r>
      <w:r w:rsidR="001D1244">
        <w:rPr>
          <w:rStyle w:val="bumpedfont15"/>
          <w:color w:val="000000"/>
          <w:sz w:val="28"/>
          <w:szCs w:val="28"/>
          <w:highlight w:val="yellow"/>
        </w:rPr>
        <w:t>the oral-fa</w:t>
      </w:r>
      <w:r w:rsidR="00D93990" w:rsidRPr="00D93990">
        <w:rPr>
          <w:rStyle w:val="bumpedfont15"/>
          <w:color w:val="000000"/>
          <w:sz w:val="28"/>
          <w:szCs w:val="28"/>
          <w:highlight w:val="yellow"/>
        </w:rPr>
        <w:t xml:space="preserve">ecal route. </w:t>
      </w:r>
      <w:r w:rsidRPr="00D93990">
        <w:rPr>
          <w:rStyle w:val="bumpedfont15"/>
          <w:color w:val="000000"/>
          <w:sz w:val="28"/>
          <w:szCs w:val="28"/>
          <w:highlight w:val="yellow"/>
        </w:rPr>
        <w:t xml:space="preserve">This </w:t>
      </w:r>
      <w:r w:rsidR="00C27AB1" w:rsidRPr="00D93990">
        <w:rPr>
          <w:rStyle w:val="bumpedfont15"/>
          <w:color w:val="000000"/>
          <w:sz w:val="28"/>
          <w:szCs w:val="28"/>
          <w:highlight w:val="yellow"/>
        </w:rPr>
        <w:t>is due to the</w:t>
      </w:r>
      <w:r w:rsidR="00C27AB1">
        <w:rPr>
          <w:rStyle w:val="bumpedfont15"/>
          <w:color w:val="000000"/>
          <w:sz w:val="28"/>
          <w:szCs w:val="28"/>
          <w:highlight w:val="yellow"/>
        </w:rPr>
        <w:t xml:space="preserve"> </w:t>
      </w:r>
      <w:r w:rsidR="00C27AB1" w:rsidRPr="00D93990">
        <w:rPr>
          <w:rStyle w:val="bumpedfont15"/>
          <w:color w:val="000000"/>
          <w:sz w:val="28"/>
          <w:szCs w:val="28"/>
          <w:highlight w:val="yellow"/>
        </w:rPr>
        <w:t>absence</w:t>
      </w:r>
      <w:r w:rsidR="00D93990" w:rsidRPr="00D93990">
        <w:rPr>
          <w:rStyle w:val="bumpedfont15"/>
          <w:color w:val="000000"/>
          <w:sz w:val="28"/>
          <w:szCs w:val="28"/>
          <w:highlight w:val="yellow"/>
        </w:rPr>
        <w:t xml:space="preserve"> of good</w:t>
      </w:r>
      <w:r w:rsidR="00C27AB1">
        <w:rPr>
          <w:rStyle w:val="bumpedfont15"/>
          <w:color w:val="000000"/>
          <w:sz w:val="28"/>
          <w:szCs w:val="28"/>
          <w:highlight w:val="yellow"/>
        </w:rPr>
        <w:t xml:space="preserve"> </w:t>
      </w:r>
      <w:r w:rsidR="00D93990" w:rsidRPr="00D93990">
        <w:rPr>
          <w:rStyle w:val="bumpedfont15"/>
          <w:color w:val="000000"/>
          <w:sz w:val="28"/>
          <w:szCs w:val="28"/>
          <w:highlight w:val="yellow"/>
        </w:rPr>
        <w:t>sanitation,</w:t>
      </w:r>
      <w:r w:rsidR="00020198">
        <w:rPr>
          <w:rStyle w:val="bumpedfont15"/>
          <w:color w:val="000000"/>
          <w:sz w:val="28"/>
          <w:szCs w:val="28"/>
          <w:highlight w:val="yellow"/>
        </w:rPr>
        <w:t xml:space="preserve"> </w:t>
      </w:r>
      <w:r w:rsidR="00D93990" w:rsidRPr="00D93990">
        <w:rPr>
          <w:rStyle w:val="bumpedfont15"/>
          <w:color w:val="000000"/>
          <w:sz w:val="28"/>
          <w:szCs w:val="28"/>
          <w:highlight w:val="yellow"/>
        </w:rPr>
        <w:t>safe drinking water,</w:t>
      </w:r>
      <w:r w:rsidR="00C27AB1">
        <w:rPr>
          <w:rStyle w:val="bumpedfont15"/>
          <w:color w:val="000000"/>
          <w:sz w:val="28"/>
          <w:szCs w:val="28"/>
          <w:highlight w:val="yellow"/>
        </w:rPr>
        <w:t xml:space="preserve"> </w:t>
      </w:r>
      <w:r w:rsidR="00D93990" w:rsidRPr="00D93990">
        <w:rPr>
          <w:rStyle w:val="bumpedfont15"/>
          <w:color w:val="000000"/>
          <w:sz w:val="28"/>
          <w:szCs w:val="28"/>
          <w:highlight w:val="yellow"/>
        </w:rPr>
        <w:t>essential</w:t>
      </w:r>
      <w:r w:rsidR="00C27AB1">
        <w:rPr>
          <w:rStyle w:val="bumpedfont15"/>
          <w:color w:val="000000"/>
          <w:sz w:val="28"/>
          <w:szCs w:val="28"/>
          <w:highlight w:val="yellow"/>
        </w:rPr>
        <w:t xml:space="preserve"> </w:t>
      </w:r>
      <w:r w:rsidR="00D93990" w:rsidRPr="00D93990">
        <w:rPr>
          <w:rStyle w:val="bumpedfont15"/>
          <w:color w:val="000000"/>
          <w:sz w:val="28"/>
          <w:szCs w:val="28"/>
          <w:highlight w:val="yellow"/>
        </w:rPr>
        <w:t>cleanliness,</w:t>
      </w:r>
      <w:r w:rsidR="00C27AB1">
        <w:rPr>
          <w:rStyle w:val="bumpedfont15"/>
          <w:color w:val="000000"/>
          <w:sz w:val="28"/>
          <w:szCs w:val="28"/>
          <w:highlight w:val="yellow"/>
        </w:rPr>
        <w:t xml:space="preserve"> </w:t>
      </w:r>
      <w:r w:rsidR="00D93990" w:rsidRPr="00D93990">
        <w:rPr>
          <w:rStyle w:val="bumpedfont15"/>
          <w:color w:val="000000"/>
          <w:sz w:val="28"/>
          <w:szCs w:val="28"/>
          <w:highlight w:val="yellow"/>
        </w:rPr>
        <w:t>bad</w:t>
      </w:r>
      <w:r w:rsidR="001D1244">
        <w:rPr>
          <w:rStyle w:val="bumpedfont15"/>
          <w:color w:val="000000"/>
          <w:sz w:val="28"/>
          <w:szCs w:val="28"/>
          <w:highlight w:val="yellow"/>
        </w:rPr>
        <w:t xml:space="preserve"> </w:t>
      </w:r>
      <w:r w:rsidR="00D93990" w:rsidRPr="00D93990">
        <w:rPr>
          <w:rStyle w:val="bumpedfont15"/>
          <w:color w:val="000000"/>
          <w:sz w:val="28"/>
          <w:szCs w:val="28"/>
          <w:highlight w:val="yellow"/>
        </w:rPr>
        <w:t>eating habits</w:t>
      </w:r>
      <w:r w:rsidR="00C27AB1">
        <w:rPr>
          <w:rStyle w:val="bumpedfont15"/>
          <w:color w:val="000000"/>
          <w:sz w:val="28"/>
          <w:szCs w:val="28"/>
          <w:highlight w:val="yellow"/>
        </w:rPr>
        <w:t xml:space="preserve"> </w:t>
      </w:r>
      <w:r w:rsidR="00D93990" w:rsidRPr="00D93990">
        <w:rPr>
          <w:rStyle w:val="bumpedfont15"/>
          <w:color w:val="000000"/>
          <w:sz w:val="28"/>
          <w:szCs w:val="28"/>
          <w:highlight w:val="yellow"/>
        </w:rPr>
        <w:t xml:space="preserve">and overcrowding. They all </w:t>
      </w:r>
      <w:r w:rsidR="006B4CE0" w:rsidRPr="00D93990">
        <w:rPr>
          <w:rStyle w:val="bumpedfont15"/>
          <w:color w:val="000000"/>
          <w:sz w:val="28"/>
          <w:szCs w:val="28"/>
          <w:highlight w:val="yellow"/>
        </w:rPr>
        <w:t>play</w:t>
      </w:r>
      <w:r w:rsidR="006B4CE0">
        <w:rPr>
          <w:rStyle w:val="bumpedfont15"/>
          <w:color w:val="000000"/>
          <w:sz w:val="28"/>
          <w:szCs w:val="28"/>
          <w:highlight w:val="yellow"/>
        </w:rPr>
        <w:t xml:space="preserve"> </w:t>
      </w:r>
      <w:r w:rsidR="006B4CE0" w:rsidRPr="00D93990">
        <w:rPr>
          <w:rStyle w:val="bumpedfont15"/>
          <w:color w:val="000000"/>
          <w:sz w:val="28"/>
          <w:szCs w:val="28"/>
          <w:highlight w:val="yellow"/>
        </w:rPr>
        <w:t>a certain role in</w:t>
      </w:r>
      <w:r w:rsidR="00D93990" w:rsidRPr="00D93990">
        <w:rPr>
          <w:rStyle w:val="bumpedfont15"/>
          <w:color w:val="000000"/>
          <w:sz w:val="28"/>
          <w:szCs w:val="28"/>
          <w:highlight w:val="yellow"/>
        </w:rPr>
        <w:t xml:space="preserve"> </w:t>
      </w:r>
      <w:r w:rsidR="001D1244">
        <w:rPr>
          <w:rStyle w:val="bumpedfont15"/>
          <w:color w:val="000000"/>
          <w:sz w:val="28"/>
          <w:szCs w:val="28"/>
          <w:highlight w:val="yellow"/>
        </w:rPr>
        <w:t xml:space="preserve">the </w:t>
      </w:r>
      <w:r w:rsidR="00D93990" w:rsidRPr="00D93990">
        <w:rPr>
          <w:rStyle w:val="bumpedfont15"/>
          <w:color w:val="000000"/>
          <w:sz w:val="28"/>
          <w:szCs w:val="28"/>
          <w:highlight w:val="yellow"/>
        </w:rPr>
        <w:t>predominance of the contamination</w:t>
      </w:r>
      <w:r w:rsidR="00272773">
        <w:rPr>
          <w:rStyle w:val="bumpedfont15"/>
          <w:color w:val="000000"/>
          <w:sz w:val="28"/>
          <w:szCs w:val="28"/>
          <w:highlight w:val="yellow"/>
        </w:rPr>
        <w:t xml:space="preserve"> (</w:t>
      </w:r>
      <w:r w:rsidR="00272773" w:rsidRPr="00272773">
        <w:rPr>
          <w:rStyle w:val="bumpedfont15"/>
          <w:color w:val="000000"/>
          <w:sz w:val="28"/>
          <w:szCs w:val="28"/>
        </w:rPr>
        <w:t>Gide</w:t>
      </w:r>
      <w:r w:rsidR="00272773">
        <w:rPr>
          <w:rStyle w:val="bumpedfont15"/>
          <w:color w:val="000000"/>
          <w:sz w:val="28"/>
          <w:szCs w:val="28"/>
        </w:rPr>
        <w:t xml:space="preserve"> et al., 2019)</w:t>
      </w:r>
      <w:r w:rsidR="00D93990" w:rsidRPr="00D93990">
        <w:rPr>
          <w:rStyle w:val="bumpedfont15"/>
          <w:color w:val="000000"/>
          <w:sz w:val="28"/>
          <w:szCs w:val="28"/>
          <w:highlight w:val="yellow"/>
        </w:rPr>
        <w:t>.</w:t>
      </w:r>
    </w:p>
    <w:p w14:paraId="3DDCBF70" w14:textId="065281D7" w:rsidR="0068605D" w:rsidRPr="00B51CA3" w:rsidRDefault="0068605D" w:rsidP="00B7244E">
      <w:pPr>
        <w:pStyle w:val="s12"/>
        <w:spacing w:before="0" w:beforeAutospacing="0" w:after="120" w:afterAutospacing="0"/>
        <w:jc w:val="both"/>
        <w:rPr>
          <w:color w:val="000000"/>
          <w:sz w:val="20"/>
          <w:szCs w:val="20"/>
        </w:rPr>
      </w:pPr>
      <w:r w:rsidRPr="00B51CA3">
        <w:rPr>
          <w:rStyle w:val="bumpedfont15"/>
          <w:color w:val="000000"/>
          <w:sz w:val="28"/>
          <w:szCs w:val="28"/>
        </w:rPr>
        <w:t xml:space="preserve">The prevalence of </w:t>
      </w:r>
      <w:r w:rsidRPr="004B0948">
        <w:rPr>
          <w:rStyle w:val="bumpedfont15"/>
          <w:i/>
          <w:iCs/>
          <w:color w:val="000000"/>
          <w:sz w:val="28"/>
          <w:szCs w:val="28"/>
        </w:rPr>
        <w:t>Helicobacter pylori</w:t>
      </w:r>
      <w:r w:rsidRPr="00B51CA3">
        <w:rPr>
          <w:rStyle w:val="bumpedfont15"/>
          <w:color w:val="000000"/>
          <w:sz w:val="28"/>
          <w:szCs w:val="28"/>
        </w:rPr>
        <w:t xml:space="preserve"> varies from one geographical location to another. </w:t>
      </w:r>
      <w:r w:rsidR="00982FEC" w:rsidRPr="00982FEC">
        <w:rPr>
          <w:rStyle w:val="bumpedfont15"/>
          <w:color w:val="000000"/>
          <w:sz w:val="28"/>
          <w:szCs w:val="28"/>
          <w:highlight w:val="yellow"/>
        </w:rPr>
        <w:t>The prevalence was higher in developing countries, 50.8%     and lower     in developed countries, 34.7%</w:t>
      </w:r>
      <w:r w:rsidR="0067601D">
        <w:rPr>
          <w:rStyle w:val="bumpedfont15"/>
          <w:color w:val="000000"/>
          <w:sz w:val="28"/>
          <w:szCs w:val="28"/>
          <w:highlight w:val="yellow"/>
        </w:rPr>
        <w:t xml:space="preserve"> (</w:t>
      </w:r>
      <w:r w:rsidR="0067601D" w:rsidRPr="0067601D">
        <w:rPr>
          <w:rStyle w:val="bumpedfont15"/>
          <w:color w:val="000000"/>
          <w:sz w:val="28"/>
          <w:szCs w:val="28"/>
        </w:rPr>
        <w:t>Oluwole</w:t>
      </w:r>
      <w:r w:rsidR="0067601D">
        <w:rPr>
          <w:rStyle w:val="bumpedfont15"/>
          <w:color w:val="000000"/>
          <w:sz w:val="28"/>
          <w:szCs w:val="28"/>
        </w:rPr>
        <w:t xml:space="preserve"> et al., 2024)</w:t>
      </w:r>
      <w:r w:rsidR="00982FEC" w:rsidRPr="00982FEC">
        <w:rPr>
          <w:rStyle w:val="bumpedfont15"/>
          <w:color w:val="000000"/>
          <w:sz w:val="28"/>
          <w:szCs w:val="28"/>
          <w:highlight w:val="yellow"/>
        </w:rPr>
        <w:t>.</w:t>
      </w:r>
      <w:r w:rsidR="00982FEC">
        <w:rPr>
          <w:rStyle w:val="bumpedfont15"/>
          <w:color w:val="000000"/>
          <w:sz w:val="28"/>
          <w:szCs w:val="28"/>
        </w:rPr>
        <w:t xml:space="preserve"> </w:t>
      </w:r>
      <w:r w:rsidRPr="00B51CA3">
        <w:rPr>
          <w:rStyle w:val="bumpedfont15"/>
          <w:color w:val="000000"/>
          <w:sz w:val="28"/>
          <w:szCs w:val="28"/>
        </w:rPr>
        <w:t>The infection rate can exceed 90% in developing countries like Mali because the infection is strongly associated with socioeconomic conditions</w:t>
      </w:r>
      <w:r w:rsidR="00C47E38">
        <w:rPr>
          <w:rStyle w:val="bumpedfont15"/>
          <w:color w:val="000000"/>
          <w:sz w:val="28"/>
          <w:szCs w:val="28"/>
        </w:rPr>
        <w:t xml:space="preserve"> </w:t>
      </w:r>
      <w:r w:rsidRPr="00B51CA3">
        <w:rPr>
          <w:rStyle w:val="bumpedfont15"/>
          <w:color w:val="000000"/>
          <w:sz w:val="28"/>
          <w:szCs w:val="28"/>
        </w:rPr>
        <w:t>[3].</w:t>
      </w:r>
      <w:r w:rsidR="006A47A1">
        <w:rPr>
          <w:rStyle w:val="bumpedfont15"/>
          <w:color w:val="000000"/>
          <w:sz w:val="28"/>
          <w:szCs w:val="28"/>
        </w:rPr>
        <w:t xml:space="preserve"> </w:t>
      </w:r>
    </w:p>
    <w:p w14:paraId="58A9103D" w14:textId="460FBA25" w:rsidR="0068605D" w:rsidRPr="00B51CA3" w:rsidRDefault="0068605D" w:rsidP="00B7244E">
      <w:pPr>
        <w:pStyle w:val="s12"/>
        <w:spacing w:before="0" w:beforeAutospacing="0" w:after="120" w:afterAutospacing="0"/>
        <w:jc w:val="both"/>
        <w:rPr>
          <w:color w:val="000000"/>
          <w:sz w:val="20"/>
          <w:szCs w:val="20"/>
        </w:rPr>
      </w:pPr>
      <w:r w:rsidRPr="00B51CA3">
        <w:rPr>
          <w:rStyle w:val="bumpedfont15"/>
          <w:color w:val="000000"/>
          <w:sz w:val="28"/>
          <w:szCs w:val="28"/>
        </w:rPr>
        <w:t xml:space="preserve">A 2014 </w:t>
      </w:r>
      <w:proofErr w:type="gramStart"/>
      <w:r w:rsidRPr="00B51CA3">
        <w:rPr>
          <w:rStyle w:val="bumpedfont15"/>
          <w:color w:val="000000"/>
          <w:sz w:val="28"/>
          <w:szCs w:val="28"/>
        </w:rPr>
        <w:t>email</w:t>
      </w:r>
      <w:proofErr w:type="gramEnd"/>
      <w:r w:rsidRPr="00B51CA3">
        <w:rPr>
          <w:rStyle w:val="bumpedfont15"/>
          <w:color w:val="000000"/>
          <w:sz w:val="28"/>
          <w:szCs w:val="28"/>
        </w:rPr>
        <w:t xml:space="preserve"> survey of 411 general practitioners revealed that their knowledge is sometimes inaccurate regarding eradication indications, diagnostic methods, and treatment modalities. A family history of gastric cancer or the use of NSAIDs </w:t>
      </w:r>
      <w:r w:rsidR="001D1244" w:rsidRPr="00B43C94">
        <w:rPr>
          <w:rStyle w:val="bumpedfont15"/>
          <w:color w:val="000000"/>
          <w:sz w:val="28"/>
          <w:szCs w:val="28"/>
          <w:highlight w:val="yellow"/>
        </w:rPr>
        <w:t>w</w:t>
      </w:r>
      <w:r w:rsidR="001D1244" w:rsidRPr="00B43C94">
        <w:rPr>
          <w:rStyle w:val="bumpedfont15"/>
          <w:color w:val="000000"/>
          <w:sz w:val="28"/>
          <w:szCs w:val="28"/>
          <w:highlight w:val="yellow"/>
        </w:rPr>
        <w:t>as</w:t>
      </w:r>
      <w:r w:rsidR="001D1244" w:rsidRPr="00B43C94">
        <w:rPr>
          <w:rStyle w:val="bumpedfont15"/>
          <w:color w:val="000000"/>
          <w:sz w:val="28"/>
          <w:szCs w:val="28"/>
          <w:highlight w:val="yellow"/>
        </w:rPr>
        <w:t xml:space="preserve"> </w:t>
      </w:r>
      <w:r w:rsidRPr="00B43C94">
        <w:rPr>
          <w:rStyle w:val="bumpedfont15"/>
          <w:color w:val="000000"/>
          <w:sz w:val="28"/>
          <w:szCs w:val="28"/>
          <w:highlight w:val="yellow"/>
        </w:rPr>
        <w:t xml:space="preserve">overlooked as </w:t>
      </w:r>
      <w:r w:rsidR="001D1244" w:rsidRPr="00B43C94">
        <w:rPr>
          <w:rStyle w:val="bumpedfont15"/>
          <w:color w:val="000000"/>
          <w:sz w:val="28"/>
          <w:szCs w:val="28"/>
          <w:highlight w:val="yellow"/>
        </w:rPr>
        <w:t>an indication</w:t>
      </w:r>
      <w:r w:rsidR="001D1244" w:rsidRPr="00B43C94">
        <w:rPr>
          <w:rStyle w:val="bumpedfont15"/>
          <w:color w:val="000000"/>
          <w:sz w:val="28"/>
          <w:szCs w:val="28"/>
          <w:highlight w:val="yellow"/>
        </w:rPr>
        <w:t xml:space="preserve"> </w:t>
      </w:r>
      <w:r w:rsidRPr="00B43C94">
        <w:rPr>
          <w:rStyle w:val="bumpedfont15"/>
          <w:color w:val="000000"/>
          <w:sz w:val="28"/>
          <w:szCs w:val="28"/>
          <w:highlight w:val="yellow"/>
        </w:rPr>
        <w:t>by 39% and 76% of physicians, respectively. Serology was incorrectly considered a diagnostic test for detecting an ongoing infection by 38% of physicians and essential for monitoring</w:t>
      </w:r>
      <w:r w:rsidRPr="00B51CA3">
        <w:rPr>
          <w:rStyle w:val="bumpedfont15"/>
          <w:color w:val="000000"/>
          <w:sz w:val="28"/>
          <w:szCs w:val="28"/>
        </w:rPr>
        <w:t xml:space="preserve"> eradication by 26%. The various treatment protocols are followed by only a minority. Sequential </w:t>
      </w:r>
      <w:r w:rsidRPr="00B51CA3">
        <w:rPr>
          <w:rStyle w:val="bumpedfont15"/>
          <w:color w:val="000000"/>
          <w:sz w:val="28"/>
          <w:szCs w:val="28"/>
        </w:rPr>
        <w:lastRenderedPageBreak/>
        <w:t xml:space="preserve">therapy and bismuth-based quadruple therapy were used as first-line treatment in 23% and 16% of cases, respectively. Standard triple therapy was still prescribed in 22% of cases, and numerous other treatment modalities were observed, including the prescription of single antibiotics without proton pump inhibitors (PPIs). Eradication testing using a breath test was systematically performed by only 68% of the physicians surveyed, and the conditions for performing this test (fasting, 4 weeks after stopping antibiotics, 2 weeks after stopping PPIs) were known by 75% of them. In the event of first-line treatment failure, 16% of general practitioners prescribed the same line of treatment, possibly with </w:t>
      </w:r>
      <w:proofErr w:type="gramStart"/>
      <w:r w:rsidRPr="00B51CA3">
        <w:rPr>
          <w:rStyle w:val="bumpedfont15"/>
          <w:color w:val="000000"/>
          <w:sz w:val="28"/>
          <w:szCs w:val="28"/>
        </w:rPr>
        <w:t>a</w:t>
      </w:r>
      <w:proofErr w:type="gramEnd"/>
      <w:r w:rsidRPr="00B51CA3">
        <w:rPr>
          <w:rStyle w:val="bumpedfont15"/>
          <w:color w:val="000000"/>
          <w:sz w:val="28"/>
          <w:szCs w:val="28"/>
        </w:rPr>
        <w:t xml:space="preserve"> longer duration</w:t>
      </w:r>
      <w:r w:rsidR="007B233D">
        <w:rPr>
          <w:rStyle w:val="bumpedfont15"/>
          <w:color w:val="000000"/>
          <w:sz w:val="28"/>
          <w:szCs w:val="28"/>
        </w:rPr>
        <w:t xml:space="preserve"> </w:t>
      </w:r>
      <w:r w:rsidRPr="00B51CA3">
        <w:rPr>
          <w:rStyle w:val="bumpedfont15"/>
          <w:color w:val="000000"/>
          <w:sz w:val="28"/>
          <w:szCs w:val="28"/>
        </w:rPr>
        <w:t>[4].</w:t>
      </w:r>
    </w:p>
    <w:p w14:paraId="68E0EB38" w14:textId="437A4088" w:rsidR="0068605D" w:rsidRPr="00B51CA3" w:rsidRDefault="0068605D" w:rsidP="00B7244E">
      <w:pPr>
        <w:pStyle w:val="s12"/>
        <w:spacing w:before="0" w:beforeAutospacing="0" w:after="120" w:afterAutospacing="0"/>
        <w:jc w:val="both"/>
        <w:rPr>
          <w:color w:val="000000"/>
          <w:sz w:val="20"/>
          <w:szCs w:val="20"/>
        </w:rPr>
      </w:pPr>
      <w:r w:rsidRPr="00B51CA3">
        <w:rPr>
          <w:rStyle w:val="bumpedfont15"/>
          <w:color w:val="000000"/>
          <w:sz w:val="28"/>
          <w:szCs w:val="28"/>
        </w:rPr>
        <w:t>Recently, a new class of gastric antisecretory agents, the PCABs (Potassium-Competitive Acid Blockers), has been introduced. These molecules reversibly and competitively inhibit the H⁺/K⁺ ATPase of gastric parietal cells, ensuring faster and more stable acid suppression than PPIs. Vonoprazan, the leading representative, has demonstrated superior efficacy in certain Helicobacter pylori eradication protocols. Although their availability remains limited, PCABs represent a promising therapeutic alternative</w:t>
      </w:r>
      <w:r w:rsidR="004C2AA5">
        <w:rPr>
          <w:rStyle w:val="bumpedfont15"/>
          <w:color w:val="000000"/>
          <w:sz w:val="28"/>
          <w:szCs w:val="28"/>
        </w:rPr>
        <w:t xml:space="preserve"> </w:t>
      </w:r>
      <w:r w:rsidRPr="00B51CA3">
        <w:rPr>
          <w:rStyle w:val="bumpedfont15"/>
          <w:color w:val="000000"/>
          <w:sz w:val="28"/>
          <w:szCs w:val="28"/>
        </w:rPr>
        <w:t>[5]</w:t>
      </w:r>
      <w:r w:rsidR="009D4B2A">
        <w:rPr>
          <w:rStyle w:val="bumpedfont15"/>
          <w:color w:val="000000"/>
          <w:sz w:val="28"/>
          <w:szCs w:val="28"/>
        </w:rPr>
        <w:t>.</w:t>
      </w:r>
    </w:p>
    <w:p w14:paraId="17ACB53D" w14:textId="6464EA3E" w:rsidR="0068605D" w:rsidRPr="00B51CA3" w:rsidRDefault="0068605D" w:rsidP="00B7244E">
      <w:pPr>
        <w:pStyle w:val="s12"/>
        <w:spacing w:before="0" w:beforeAutospacing="0" w:after="120" w:afterAutospacing="0"/>
        <w:jc w:val="both"/>
        <w:rPr>
          <w:color w:val="000000"/>
          <w:sz w:val="20"/>
          <w:szCs w:val="20"/>
        </w:rPr>
      </w:pPr>
      <w:r w:rsidRPr="00B51CA3">
        <w:rPr>
          <w:rStyle w:val="bumpedfont15"/>
          <w:color w:val="000000"/>
          <w:sz w:val="28"/>
          <w:szCs w:val="28"/>
        </w:rPr>
        <w:t xml:space="preserve">In Africa, there are no consensus guidelines for the diagnosis and treatment of </w:t>
      </w:r>
      <w:r w:rsidRPr="004B0948">
        <w:rPr>
          <w:rStyle w:val="bumpedfont15"/>
          <w:i/>
          <w:iCs/>
          <w:color w:val="000000"/>
          <w:sz w:val="28"/>
          <w:szCs w:val="28"/>
        </w:rPr>
        <w:t>Helicobacter pylori</w:t>
      </w:r>
      <w:r w:rsidRPr="00B51CA3">
        <w:rPr>
          <w:rStyle w:val="bumpedfont15"/>
          <w:color w:val="000000"/>
          <w:sz w:val="28"/>
          <w:szCs w:val="28"/>
        </w:rPr>
        <w:t xml:space="preserve"> infection. Although several reports from the continent have used existing invasive and non-invasive methods for diagnosis and various </w:t>
      </w:r>
      <w:r w:rsidRPr="00B43C94">
        <w:rPr>
          <w:rStyle w:val="bumpedfont15"/>
          <w:color w:val="000000"/>
          <w:sz w:val="28"/>
          <w:szCs w:val="28"/>
          <w:highlight w:val="yellow"/>
        </w:rPr>
        <w:t xml:space="preserve">treatment regimens for disease management and eradication, it is imperative to </w:t>
      </w:r>
      <w:r w:rsidR="001D1244" w:rsidRPr="00B43C94">
        <w:rPr>
          <w:rStyle w:val="bumpedfont15"/>
          <w:color w:val="000000"/>
          <w:sz w:val="28"/>
          <w:szCs w:val="28"/>
          <w:highlight w:val="yellow"/>
        </w:rPr>
        <w:t>harmoni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 </w:t>
      </w:r>
      <w:r w:rsidRPr="00B43C94">
        <w:rPr>
          <w:rStyle w:val="bumpedfont15"/>
          <w:color w:val="000000"/>
          <w:sz w:val="28"/>
          <w:szCs w:val="28"/>
          <w:highlight w:val="yellow"/>
        </w:rPr>
        <w:t>prot</w:t>
      </w:r>
      <w:r w:rsidRPr="00B51CA3">
        <w:rPr>
          <w:rStyle w:val="bumpedfont15"/>
          <w:color w:val="000000"/>
          <w:sz w:val="28"/>
          <w:szCs w:val="28"/>
        </w:rPr>
        <w:t>ocols. Inadequate health systems and the increasing number of treatment failures due to antibiotic resistance, among other challenges, are pervasive in Africa</w:t>
      </w:r>
      <w:r w:rsidR="00107B4C">
        <w:rPr>
          <w:rStyle w:val="bumpedfont15"/>
          <w:color w:val="000000"/>
          <w:sz w:val="28"/>
          <w:szCs w:val="28"/>
        </w:rPr>
        <w:t xml:space="preserve"> </w:t>
      </w:r>
      <w:r w:rsidRPr="00B51CA3">
        <w:rPr>
          <w:rStyle w:val="bumpedfont15"/>
          <w:color w:val="000000"/>
          <w:sz w:val="28"/>
          <w:szCs w:val="28"/>
        </w:rPr>
        <w:t>[6].</w:t>
      </w:r>
    </w:p>
    <w:p w14:paraId="57B19C3B" w14:textId="77777777" w:rsidR="0068605D" w:rsidRPr="00B51CA3" w:rsidRDefault="0068605D" w:rsidP="00B7244E">
      <w:pPr>
        <w:pStyle w:val="s12"/>
        <w:spacing w:before="0" w:beforeAutospacing="0" w:after="120" w:afterAutospacing="0"/>
        <w:jc w:val="both"/>
        <w:rPr>
          <w:color w:val="000000"/>
          <w:sz w:val="20"/>
          <w:szCs w:val="20"/>
        </w:rPr>
      </w:pPr>
      <w:r w:rsidRPr="00B51CA3">
        <w:rPr>
          <w:rStyle w:val="bumpedfont15"/>
          <w:color w:val="000000"/>
          <w:sz w:val="28"/>
          <w:szCs w:val="28"/>
        </w:rPr>
        <w:t xml:space="preserve">We are therefore conducting this study in order to assess the knowledge and practical attitudes of general practitioners towards </w:t>
      </w:r>
      <w:r w:rsidRPr="004B0948">
        <w:rPr>
          <w:rStyle w:val="bumpedfont15"/>
          <w:i/>
          <w:iCs/>
          <w:color w:val="000000"/>
          <w:sz w:val="28"/>
          <w:szCs w:val="28"/>
        </w:rPr>
        <w:t>Helicobacter pylori</w:t>
      </w:r>
      <w:r w:rsidRPr="00B51CA3">
        <w:rPr>
          <w:rStyle w:val="bumpedfont15"/>
          <w:color w:val="000000"/>
          <w:sz w:val="28"/>
          <w:szCs w:val="28"/>
        </w:rPr>
        <w:t xml:space="preserve"> infection in the Bamako district.</w:t>
      </w:r>
    </w:p>
    <w:p w14:paraId="53C370AE" w14:textId="77777777" w:rsidR="0068605D" w:rsidRPr="00B51CA3" w:rsidRDefault="0068605D" w:rsidP="0068605D">
      <w:pPr>
        <w:pStyle w:val="s10"/>
        <w:spacing w:before="0" w:beforeAutospacing="0" w:after="120" w:afterAutospacing="0"/>
        <w:rPr>
          <w:b/>
          <w:bCs/>
          <w:color w:val="000000"/>
          <w:sz w:val="20"/>
          <w:szCs w:val="20"/>
        </w:rPr>
      </w:pPr>
      <w:r w:rsidRPr="00B51CA3">
        <w:rPr>
          <w:rStyle w:val="bumpedfont15"/>
          <w:b/>
          <w:bCs/>
          <w:color w:val="000000"/>
          <w:sz w:val="28"/>
          <w:szCs w:val="28"/>
        </w:rPr>
        <w:t>2. Materials and methods</w:t>
      </w:r>
    </w:p>
    <w:p w14:paraId="0BC6969C" w14:textId="1FCFCCBA"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 xml:space="preserve">This was a descriptive cross-sectional observational study conducted from March 20, 2024, to March 31, 2025, among general </w:t>
      </w:r>
      <w:r w:rsidRPr="00B43C94">
        <w:rPr>
          <w:rStyle w:val="bumpedfont15"/>
          <w:color w:val="000000"/>
          <w:sz w:val="28"/>
          <w:szCs w:val="28"/>
          <w:highlight w:val="yellow"/>
        </w:rPr>
        <w:t xml:space="preserve">practitioners (GPs) in the various general medicine departments of the reference health </w:t>
      </w:r>
      <w:r w:rsidR="001D1244" w:rsidRPr="00B43C94">
        <w:rPr>
          <w:rStyle w:val="bumpedfont15"/>
          <w:color w:val="000000"/>
          <w:sz w:val="28"/>
          <w:szCs w:val="28"/>
          <w:highlight w:val="yellow"/>
        </w:rPr>
        <w:t>cent</w:t>
      </w:r>
      <w:r w:rsidR="001D1244" w:rsidRPr="00B43C94">
        <w:rPr>
          <w:rStyle w:val="bumpedfont15"/>
          <w:color w:val="000000"/>
          <w:sz w:val="28"/>
          <w:szCs w:val="28"/>
          <w:highlight w:val="yellow"/>
        </w:rPr>
        <w:t>re</w:t>
      </w:r>
      <w:r w:rsidR="001D1244" w:rsidRPr="00B43C94">
        <w:rPr>
          <w:rStyle w:val="bumpedfont15"/>
          <w:color w:val="000000"/>
          <w:sz w:val="28"/>
          <w:szCs w:val="28"/>
          <w:highlight w:val="yellow"/>
        </w:rPr>
        <w:t xml:space="preserve">s </w:t>
      </w:r>
      <w:r w:rsidRPr="00B43C94">
        <w:rPr>
          <w:rStyle w:val="bumpedfont15"/>
          <w:color w:val="000000"/>
          <w:sz w:val="28"/>
          <w:szCs w:val="28"/>
          <w:highlight w:val="yellow"/>
        </w:rPr>
        <w:t xml:space="preserve">(CSREF) in the six communes of Bamako. Inclusion criteria were GPs </w:t>
      </w:r>
      <w:r w:rsidR="001D1244" w:rsidRPr="00B43C94">
        <w:rPr>
          <w:rStyle w:val="bumpedfont15"/>
          <w:color w:val="000000"/>
          <w:sz w:val="28"/>
          <w:szCs w:val="28"/>
          <w:highlight w:val="yellow"/>
        </w:rPr>
        <w:t>practi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ing </w:t>
      </w:r>
      <w:r w:rsidRPr="00B43C94">
        <w:rPr>
          <w:rStyle w:val="bumpedfont15"/>
          <w:color w:val="000000"/>
          <w:sz w:val="28"/>
          <w:szCs w:val="28"/>
          <w:highlight w:val="yellow"/>
        </w:rPr>
        <w:t xml:space="preserve">in the CSREFs of the Bamako district who consented to participate in the study. Excluded were GPs not </w:t>
      </w:r>
      <w:r w:rsidR="001D1244" w:rsidRPr="00B43C94">
        <w:rPr>
          <w:rStyle w:val="bumpedfont15"/>
          <w:color w:val="000000"/>
          <w:sz w:val="28"/>
          <w:szCs w:val="28"/>
          <w:highlight w:val="yellow"/>
        </w:rPr>
        <w:t>practi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ing </w:t>
      </w:r>
      <w:r w:rsidRPr="00B43C94">
        <w:rPr>
          <w:rStyle w:val="bumpedfont15"/>
          <w:color w:val="000000"/>
          <w:sz w:val="28"/>
          <w:szCs w:val="28"/>
          <w:highlight w:val="yellow"/>
        </w:rPr>
        <w:t>in CSREFs in the Bamako district, specialist physicians, and GPs practicing in CSREFs in the Bamako district who did not consent to participate. Data were collected using a structured questionnaire</w:t>
      </w:r>
      <w:r w:rsidRPr="00B51CA3">
        <w:rPr>
          <w:rStyle w:val="bumpedfont15"/>
          <w:color w:val="000000"/>
          <w:sz w:val="28"/>
          <w:szCs w:val="28"/>
        </w:rPr>
        <w:t xml:space="preserve"> that included questions on GPs' knowledge, attitudes, and practices regarding </w:t>
      </w:r>
      <w:r w:rsidRPr="004B0948">
        <w:rPr>
          <w:rStyle w:val="bumpedfont15"/>
          <w:i/>
          <w:iCs/>
          <w:color w:val="000000"/>
          <w:sz w:val="28"/>
          <w:szCs w:val="28"/>
        </w:rPr>
        <w:t>Helicobacter pylori</w:t>
      </w:r>
      <w:r w:rsidRPr="00B51CA3">
        <w:rPr>
          <w:rStyle w:val="bumpedfont15"/>
          <w:color w:val="000000"/>
          <w:sz w:val="28"/>
          <w:szCs w:val="28"/>
        </w:rPr>
        <w:t xml:space="preserve"> infection and entered into SPSS software. Statistical analysis of the data was performed using SPSS software, and the Chi-square and Fisher's exact tests were used and found to be significant for p&lt;0.05. General practitioners' consent was obtained</w:t>
      </w:r>
      <w:r w:rsidR="001D1244">
        <w:rPr>
          <w:rStyle w:val="bumpedfont15"/>
          <w:color w:val="000000"/>
          <w:sz w:val="28"/>
          <w:szCs w:val="28"/>
        </w:rPr>
        <w:t>,</w:t>
      </w:r>
      <w:r w:rsidRPr="00B51CA3">
        <w:rPr>
          <w:rStyle w:val="bumpedfont15"/>
          <w:color w:val="000000"/>
          <w:sz w:val="28"/>
          <w:szCs w:val="28"/>
        </w:rPr>
        <w:t xml:space="preserve"> and their anonymity was preserved.</w:t>
      </w:r>
    </w:p>
    <w:p w14:paraId="5C8C9884" w14:textId="77777777" w:rsidR="0068605D" w:rsidRPr="00B51CA3" w:rsidRDefault="0068605D" w:rsidP="002B66C4">
      <w:pPr>
        <w:pStyle w:val="s10"/>
        <w:spacing w:before="0" w:beforeAutospacing="0" w:after="120" w:afterAutospacing="0"/>
        <w:jc w:val="both"/>
        <w:rPr>
          <w:b/>
          <w:bCs/>
          <w:color w:val="000000"/>
          <w:sz w:val="20"/>
          <w:szCs w:val="20"/>
        </w:rPr>
      </w:pPr>
      <w:r w:rsidRPr="00B51CA3">
        <w:rPr>
          <w:rStyle w:val="bumpedfont15"/>
          <w:b/>
          <w:bCs/>
          <w:color w:val="000000"/>
          <w:sz w:val="28"/>
          <w:szCs w:val="28"/>
        </w:rPr>
        <w:lastRenderedPageBreak/>
        <w:t>RESULTS</w:t>
      </w:r>
    </w:p>
    <w:p w14:paraId="18C3E27D" w14:textId="19DC48F1"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 xml:space="preserve">In total, 109 general practitioners working in the </w:t>
      </w:r>
      <w:r w:rsidRPr="00B43C94">
        <w:rPr>
          <w:rStyle w:val="bumpedfont15"/>
          <w:color w:val="000000"/>
          <w:sz w:val="28"/>
          <w:szCs w:val="28"/>
          <w:highlight w:val="yellow"/>
        </w:rPr>
        <w:t xml:space="preserve">Reference Health </w:t>
      </w:r>
      <w:r w:rsidR="001D1244" w:rsidRPr="00B51CA3">
        <w:rPr>
          <w:rStyle w:val="bumpedfont15"/>
          <w:color w:val="000000"/>
          <w:sz w:val="28"/>
          <w:szCs w:val="28"/>
        </w:rPr>
        <w:t>Cent</w:t>
      </w:r>
      <w:r w:rsidR="001D1244">
        <w:rPr>
          <w:rStyle w:val="bumpedfont15"/>
          <w:color w:val="000000"/>
          <w:sz w:val="28"/>
          <w:szCs w:val="28"/>
        </w:rPr>
        <w:t>re</w:t>
      </w:r>
      <w:r w:rsidR="001D1244" w:rsidRPr="00B51CA3">
        <w:rPr>
          <w:rStyle w:val="bumpedfont15"/>
          <w:color w:val="000000"/>
          <w:sz w:val="28"/>
          <w:szCs w:val="28"/>
        </w:rPr>
        <w:t xml:space="preserve">s </w:t>
      </w:r>
      <w:r w:rsidRPr="00B51CA3">
        <w:rPr>
          <w:rStyle w:val="bumpedfont15"/>
          <w:color w:val="000000"/>
          <w:sz w:val="28"/>
          <w:szCs w:val="28"/>
        </w:rPr>
        <w:t>(CSREF) of the Bamako district were included in the study.</w:t>
      </w:r>
    </w:p>
    <w:p w14:paraId="370BA3A8" w14:textId="32E71368" w:rsidR="00B12B3D" w:rsidRDefault="0068605D" w:rsidP="002B66C4">
      <w:pPr>
        <w:pStyle w:val="s12"/>
        <w:spacing w:before="0" w:beforeAutospacing="0" w:after="120" w:afterAutospacing="0"/>
        <w:jc w:val="both"/>
        <w:rPr>
          <w:rStyle w:val="bumpedfont15"/>
          <w:color w:val="000000"/>
          <w:sz w:val="28"/>
          <w:szCs w:val="28"/>
        </w:rPr>
      </w:pPr>
      <w:r w:rsidRPr="00B51CA3">
        <w:rPr>
          <w:rStyle w:val="bumpedfont15"/>
          <w:color w:val="000000"/>
          <w:sz w:val="28"/>
          <w:szCs w:val="28"/>
        </w:rPr>
        <w:t>The population studied was predominantly male</w:t>
      </w:r>
      <w:r w:rsidR="001D1244">
        <w:rPr>
          <w:rStyle w:val="bumpedfont15"/>
          <w:color w:val="000000"/>
          <w:sz w:val="28"/>
          <w:szCs w:val="28"/>
        </w:rPr>
        <w:t>,</w:t>
      </w:r>
      <w:r w:rsidRPr="00B51CA3">
        <w:rPr>
          <w:rStyle w:val="bumpedfont15"/>
          <w:color w:val="000000"/>
          <w:sz w:val="28"/>
          <w:szCs w:val="28"/>
        </w:rPr>
        <w:t xml:space="preserve"> with 65.1% men against 34.9% women, a sex ratio of 1.87. The most represented age group was under 30 (40.4%), followed by 30-39 (34.9%).</w:t>
      </w:r>
      <w:r w:rsidR="00B51CA3">
        <w:rPr>
          <w:color w:val="000000"/>
          <w:sz w:val="20"/>
          <w:szCs w:val="20"/>
        </w:rPr>
        <w:t xml:space="preserve"> </w:t>
      </w:r>
      <w:r w:rsidRPr="00B51CA3">
        <w:rPr>
          <w:rStyle w:val="bumpedfont15"/>
          <w:color w:val="000000"/>
          <w:sz w:val="28"/>
          <w:szCs w:val="28"/>
        </w:rPr>
        <w:t>Doctors aged 60 and over represented 3.7% of the sample.</w:t>
      </w:r>
      <w:r w:rsidR="00B51CA3">
        <w:rPr>
          <w:color w:val="000000"/>
          <w:sz w:val="20"/>
          <w:szCs w:val="20"/>
        </w:rPr>
        <w:t xml:space="preserve"> </w:t>
      </w:r>
      <w:r w:rsidRPr="00B51CA3">
        <w:rPr>
          <w:rStyle w:val="bumpedfont15"/>
          <w:color w:val="000000"/>
          <w:sz w:val="28"/>
          <w:szCs w:val="28"/>
        </w:rPr>
        <w:t xml:space="preserve">Regarding practice location, physicians from the CSREF (Regional Health and Social </w:t>
      </w:r>
      <w:r w:rsidRPr="00B43C94">
        <w:rPr>
          <w:rStyle w:val="bumpedfont15"/>
          <w:color w:val="000000"/>
          <w:sz w:val="28"/>
          <w:szCs w:val="28"/>
          <w:highlight w:val="yellow"/>
        </w:rPr>
        <w:t xml:space="preserve">Services </w:t>
      </w:r>
      <w:r w:rsidR="001D1244" w:rsidRPr="00B43C94">
        <w:rPr>
          <w:rStyle w:val="bumpedfont15"/>
          <w:color w:val="000000"/>
          <w:sz w:val="28"/>
          <w:szCs w:val="28"/>
          <w:highlight w:val="yellow"/>
        </w:rPr>
        <w:t>Ce</w:t>
      </w:r>
      <w:r w:rsidR="001D1244" w:rsidRPr="00B51CA3">
        <w:rPr>
          <w:rStyle w:val="bumpedfont15"/>
          <w:color w:val="000000"/>
          <w:sz w:val="28"/>
          <w:szCs w:val="28"/>
        </w:rPr>
        <w:t>nt</w:t>
      </w:r>
      <w:r w:rsidR="001D1244">
        <w:rPr>
          <w:rStyle w:val="bumpedfont15"/>
          <w:color w:val="000000"/>
          <w:sz w:val="28"/>
          <w:szCs w:val="28"/>
        </w:rPr>
        <w:t>re</w:t>
      </w:r>
      <w:r w:rsidRPr="00B51CA3">
        <w:rPr>
          <w:rStyle w:val="bumpedfont15"/>
          <w:color w:val="000000"/>
          <w:sz w:val="28"/>
          <w:szCs w:val="28"/>
        </w:rPr>
        <w:t>) in Commune I were the most represented (21.2%), followed by those from Communes III, V, and VI (</w:t>
      </w:r>
      <w:r w:rsidR="00B12B3D">
        <w:rPr>
          <w:rStyle w:val="bumpedfont15"/>
          <w:color w:val="000000"/>
          <w:sz w:val="28"/>
          <w:szCs w:val="28"/>
        </w:rPr>
        <w:t xml:space="preserve">Figure </w:t>
      </w:r>
      <w:r w:rsidRPr="00B51CA3">
        <w:rPr>
          <w:rStyle w:val="bumpedfont15"/>
          <w:color w:val="000000"/>
          <w:sz w:val="28"/>
          <w:szCs w:val="28"/>
        </w:rPr>
        <w:t xml:space="preserve">I). In terms of professional experience, physicians with less than 5 years of experience constituted the largest group (40.4%), followed by those with 5 to 9 years of experience (24.7%). The vast majority of physicians surveyed (92.7%) had already diagnosed at least one case of </w:t>
      </w:r>
      <w:r w:rsidRPr="004B0948">
        <w:rPr>
          <w:rStyle w:val="bumpedfont15"/>
          <w:i/>
          <w:iCs/>
          <w:color w:val="000000"/>
          <w:sz w:val="28"/>
          <w:szCs w:val="28"/>
        </w:rPr>
        <w:t>Helicobacter pylori</w:t>
      </w:r>
      <w:r w:rsidRPr="00B51CA3">
        <w:rPr>
          <w:rStyle w:val="bumpedfont15"/>
          <w:color w:val="000000"/>
          <w:sz w:val="28"/>
          <w:szCs w:val="28"/>
        </w:rPr>
        <w:t xml:space="preserve"> infection. The prevalence of the infection was estimated at 40% or higher by 23.9% of physicians, while 22% reported not being aware of it. Epigastric pain was the most frequently reported symptom (86.2%), followed by gastroesophageal reflux (41.3%) and vomiting (33.9%). Nearly 30% of physicians cited nonspecific manifestations. The oral-oral (63.3%) and f</w:t>
      </w:r>
      <w:r w:rsidR="001D1244">
        <w:rPr>
          <w:rStyle w:val="bumpedfont15"/>
          <w:color w:val="000000"/>
          <w:sz w:val="28"/>
          <w:szCs w:val="28"/>
        </w:rPr>
        <w:t>a</w:t>
      </w:r>
      <w:r w:rsidRPr="00B51CA3">
        <w:rPr>
          <w:rStyle w:val="bumpedfont15"/>
          <w:color w:val="000000"/>
          <w:sz w:val="28"/>
          <w:szCs w:val="28"/>
        </w:rPr>
        <w:t xml:space="preserve">ecal-oral (55.9%) routes were the most frequently cited modes of transmission </w:t>
      </w:r>
      <w:bookmarkStart w:id="1" w:name="_Hlk217557912"/>
      <w:r w:rsidRPr="00B51CA3">
        <w:rPr>
          <w:rStyle w:val="bumpedfont15"/>
          <w:color w:val="000000"/>
          <w:sz w:val="28"/>
          <w:szCs w:val="28"/>
        </w:rPr>
        <w:t>(</w:t>
      </w:r>
      <w:r w:rsidR="00B12B3D">
        <w:rPr>
          <w:rStyle w:val="bumpedfont15"/>
          <w:color w:val="000000"/>
          <w:sz w:val="28"/>
          <w:szCs w:val="28"/>
        </w:rPr>
        <w:t>Figure 2</w:t>
      </w:r>
      <w:r w:rsidRPr="00B51CA3">
        <w:rPr>
          <w:rStyle w:val="bumpedfont15"/>
          <w:color w:val="000000"/>
          <w:sz w:val="28"/>
          <w:szCs w:val="28"/>
        </w:rPr>
        <w:t>)</w:t>
      </w:r>
      <w:bookmarkEnd w:id="1"/>
      <w:r w:rsidRPr="00B51CA3">
        <w:rPr>
          <w:rStyle w:val="bumpedfont15"/>
          <w:color w:val="000000"/>
          <w:sz w:val="28"/>
          <w:szCs w:val="28"/>
        </w:rPr>
        <w:t xml:space="preserve">. </w:t>
      </w:r>
    </w:p>
    <w:p w14:paraId="590C6C16" w14:textId="2361D48C"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 xml:space="preserve">However, some practitioners mentioned undocumented routes such as bloodborne (6.4%), hereditary (1.8%), urinary (0.9%), or respiratory (0.9%) transmission </w:t>
      </w:r>
      <w:r w:rsidRPr="00B51CA3">
        <w:rPr>
          <w:color w:val="000000"/>
          <w:sz w:val="28"/>
          <w:szCs w:val="28"/>
        </w:rPr>
        <w:t>(</w:t>
      </w:r>
      <w:r w:rsidR="00B12B3D">
        <w:rPr>
          <w:color w:val="000000"/>
          <w:sz w:val="28"/>
          <w:szCs w:val="28"/>
        </w:rPr>
        <w:t>Figure 2</w:t>
      </w:r>
      <w:r w:rsidRPr="00B51CA3">
        <w:rPr>
          <w:color w:val="000000"/>
          <w:sz w:val="28"/>
          <w:szCs w:val="28"/>
        </w:rPr>
        <w:t>)</w:t>
      </w:r>
      <w:r w:rsidRPr="00B51CA3">
        <w:rPr>
          <w:rStyle w:val="bumpedfont15"/>
          <w:color w:val="000000"/>
          <w:sz w:val="28"/>
          <w:szCs w:val="28"/>
        </w:rPr>
        <w:t xml:space="preserve">. Gastroduodenal ulcers were almost </w:t>
      </w:r>
      <w:r w:rsidRPr="00B43C94">
        <w:rPr>
          <w:rStyle w:val="bumpedfont15"/>
          <w:color w:val="000000"/>
          <w:sz w:val="28"/>
          <w:szCs w:val="28"/>
          <w:highlight w:val="yellow"/>
        </w:rPr>
        <w:t xml:space="preserve">unanimously </w:t>
      </w:r>
      <w:r w:rsidR="001D1244" w:rsidRPr="00B51CA3">
        <w:rPr>
          <w:rStyle w:val="bumpedfont15"/>
          <w:color w:val="000000"/>
          <w:sz w:val="28"/>
          <w:szCs w:val="28"/>
        </w:rPr>
        <w:t>recogni</w:t>
      </w:r>
      <w:r w:rsidR="001D1244">
        <w:rPr>
          <w:rStyle w:val="bumpedfont15"/>
          <w:color w:val="000000"/>
          <w:sz w:val="28"/>
          <w:szCs w:val="28"/>
        </w:rPr>
        <w:t>s</w:t>
      </w:r>
      <w:r w:rsidR="001D1244" w:rsidRPr="00B51CA3">
        <w:rPr>
          <w:rStyle w:val="bumpedfont15"/>
          <w:color w:val="000000"/>
          <w:sz w:val="28"/>
          <w:szCs w:val="28"/>
        </w:rPr>
        <w:t xml:space="preserve">ed </w:t>
      </w:r>
      <w:r w:rsidRPr="00B51CA3">
        <w:rPr>
          <w:rStyle w:val="bumpedfont15"/>
          <w:color w:val="000000"/>
          <w:sz w:val="28"/>
          <w:szCs w:val="28"/>
        </w:rPr>
        <w:t>as being associated with the infection (98.2%). Gastric cancer (70.6%) and chronic gastritis (64.2%) were also well identified. In contrast, MALT lymphoma and dyspepsia were less frequently cited (24.8% and 30.3%, respectively). Regarding the indications for testing, gastroduodenal ulcers (97.2%) were the most frequently cited. Physicians also mentioned non-ulcer epigastric pain and GERD (54.1%), a family history of gastric cancer (49.5%), and the presence of an infected relative (50.5%). In contrast, indications such as iron/vitamin B12 deficiency an</w:t>
      </w:r>
      <w:r w:rsidR="001D1244">
        <w:rPr>
          <w:rStyle w:val="bumpedfont15"/>
          <w:color w:val="000000"/>
          <w:sz w:val="28"/>
          <w:szCs w:val="28"/>
        </w:rPr>
        <w:t>a</w:t>
      </w:r>
      <w:r w:rsidRPr="00B51CA3">
        <w:rPr>
          <w:rStyle w:val="bumpedfont15"/>
          <w:color w:val="000000"/>
          <w:sz w:val="28"/>
          <w:szCs w:val="28"/>
        </w:rPr>
        <w:t>emia (21.1%), prolonged use of proton pump inhibitors (PPIs) (26.6%), or aspirin (22.9%) were significantly less well-</w:t>
      </w:r>
      <w:proofErr w:type="gramStart"/>
      <w:r w:rsidRPr="00B51CA3">
        <w:rPr>
          <w:rStyle w:val="bumpedfont15"/>
          <w:color w:val="000000"/>
          <w:sz w:val="28"/>
          <w:szCs w:val="28"/>
        </w:rPr>
        <w:t>known</w:t>
      </w:r>
      <w:r w:rsidRPr="00B51CA3">
        <w:rPr>
          <w:color w:val="000000"/>
          <w:sz w:val="28"/>
          <w:szCs w:val="28"/>
        </w:rPr>
        <w:t>(</w:t>
      </w:r>
      <w:r w:rsidR="00B12B3D">
        <w:rPr>
          <w:color w:val="000000"/>
          <w:sz w:val="28"/>
          <w:szCs w:val="28"/>
        </w:rPr>
        <w:t xml:space="preserve"> Figure</w:t>
      </w:r>
      <w:proofErr w:type="gramEnd"/>
      <w:r w:rsidR="00B12B3D">
        <w:rPr>
          <w:color w:val="000000"/>
          <w:sz w:val="28"/>
          <w:szCs w:val="28"/>
        </w:rPr>
        <w:t xml:space="preserve"> 3</w:t>
      </w:r>
      <w:r w:rsidRPr="00B51CA3">
        <w:rPr>
          <w:color w:val="000000"/>
          <w:sz w:val="28"/>
          <w:szCs w:val="28"/>
        </w:rPr>
        <w:t>)</w:t>
      </w:r>
      <w:r w:rsidRPr="00B51CA3">
        <w:rPr>
          <w:rStyle w:val="bumpedfont15"/>
          <w:color w:val="000000"/>
          <w:sz w:val="28"/>
          <w:szCs w:val="28"/>
        </w:rPr>
        <w:t>. Serology was the most frequently prescribed first-line diagnostic test (68.8%), followed by endoscopy with biopsies (55%). Recommended tests</w:t>
      </w:r>
      <w:r w:rsidR="001D1244">
        <w:rPr>
          <w:rStyle w:val="bumpedfont15"/>
          <w:color w:val="000000"/>
          <w:sz w:val="28"/>
          <w:szCs w:val="28"/>
        </w:rPr>
        <w:t>,</w:t>
      </w:r>
      <w:r w:rsidRPr="00B51CA3">
        <w:rPr>
          <w:rStyle w:val="bumpedfont15"/>
          <w:color w:val="000000"/>
          <w:sz w:val="28"/>
          <w:szCs w:val="28"/>
        </w:rPr>
        <w:t xml:space="preserve"> such as the urea breath test (19.3%) or f</w:t>
      </w:r>
      <w:r w:rsidR="001D1244">
        <w:rPr>
          <w:rStyle w:val="bumpedfont15"/>
          <w:color w:val="000000"/>
          <w:sz w:val="28"/>
          <w:szCs w:val="28"/>
        </w:rPr>
        <w:t>a</w:t>
      </w:r>
      <w:r w:rsidRPr="00B51CA3">
        <w:rPr>
          <w:rStyle w:val="bumpedfont15"/>
          <w:color w:val="000000"/>
          <w:sz w:val="28"/>
          <w:szCs w:val="28"/>
        </w:rPr>
        <w:t>ecal antigen detection (12.8%)</w:t>
      </w:r>
      <w:r w:rsidR="001D1244">
        <w:rPr>
          <w:rStyle w:val="bumpedfont15"/>
          <w:color w:val="000000"/>
          <w:sz w:val="28"/>
          <w:szCs w:val="28"/>
        </w:rPr>
        <w:t>,</w:t>
      </w:r>
      <w:r w:rsidRPr="00B51CA3">
        <w:rPr>
          <w:rStyle w:val="bumpedfont15"/>
          <w:color w:val="000000"/>
          <w:sz w:val="28"/>
          <w:szCs w:val="28"/>
        </w:rPr>
        <w:t xml:space="preserve"> were used much less frequently </w:t>
      </w:r>
      <w:r w:rsidRPr="00B51CA3">
        <w:rPr>
          <w:color w:val="000000"/>
          <w:sz w:val="28"/>
          <w:szCs w:val="28"/>
        </w:rPr>
        <w:t>(</w:t>
      </w:r>
      <w:r w:rsidR="00B12B3D">
        <w:rPr>
          <w:color w:val="000000"/>
          <w:sz w:val="28"/>
          <w:szCs w:val="28"/>
        </w:rPr>
        <w:t>Figure</w:t>
      </w:r>
      <w:r w:rsidRPr="00B51CA3">
        <w:rPr>
          <w:color w:val="000000"/>
          <w:sz w:val="28"/>
          <w:szCs w:val="28"/>
        </w:rPr>
        <w:t xml:space="preserve"> </w:t>
      </w:r>
      <w:r w:rsidR="00B12B3D">
        <w:rPr>
          <w:color w:val="000000"/>
          <w:sz w:val="28"/>
          <w:szCs w:val="28"/>
        </w:rPr>
        <w:t>4</w:t>
      </w:r>
      <w:r w:rsidRPr="00B51CA3">
        <w:rPr>
          <w:color w:val="000000"/>
          <w:sz w:val="28"/>
          <w:szCs w:val="28"/>
        </w:rPr>
        <w:t>)</w:t>
      </w:r>
      <w:r w:rsidRPr="00B51CA3">
        <w:rPr>
          <w:rStyle w:val="bumpedfont15"/>
          <w:color w:val="000000"/>
          <w:sz w:val="28"/>
          <w:szCs w:val="28"/>
        </w:rPr>
        <w:t>.</w:t>
      </w:r>
    </w:p>
    <w:p w14:paraId="4C9B613B" w14:textId="2DBC040A" w:rsidR="0068605D" w:rsidRPr="00B51CA3" w:rsidRDefault="0068605D" w:rsidP="002B66C4">
      <w:pPr>
        <w:pStyle w:val="s15"/>
        <w:spacing w:before="0" w:beforeAutospacing="0" w:after="120" w:afterAutospacing="0"/>
        <w:ind w:right="45"/>
        <w:jc w:val="both"/>
        <w:rPr>
          <w:color w:val="000000"/>
          <w:sz w:val="20"/>
          <w:szCs w:val="20"/>
        </w:rPr>
      </w:pPr>
      <w:r w:rsidRPr="00B51CA3">
        <w:rPr>
          <w:rStyle w:val="bumpedfont15"/>
          <w:color w:val="000000"/>
          <w:sz w:val="28"/>
          <w:szCs w:val="28"/>
        </w:rPr>
        <w:t xml:space="preserve">The 14-day concomitant quadruple therapy (amoxicillin, clarithromycin, metronidazole, and a proton pump inhibitor (PPI) taken twice daily for 14 days) was the most frequently used first-line treatment (29.4%), followed by a 7-day triple therapy combining either the Zolcer Kit (omeprazole 20 mg, tinidazole 500 mg, and clarithromycin 250 mg) with a PPI or Helicocin (amoxicillin 750 mg and metronidazole 500 mg) with a PPI, which was used by 22% of the general practitioners in our study </w:t>
      </w:r>
      <w:r w:rsidRPr="00B51CA3">
        <w:rPr>
          <w:color w:val="000000"/>
          <w:sz w:val="28"/>
          <w:szCs w:val="28"/>
        </w:rPr>
        <w:t xml:space="preserve">(table </w:t>
      </w:r>
      <w:r w:rsidR="00B12B3D">
        <w:rPr>
          <w:color w:val="000000"/>
          <w:sz w:val="28"/>
          <w:szCs w:val="28"/>
        </w:rPr>
        <w:t>I</w:t>
      </w:r>
      <w:r w:rsidRPr="00B51CA3">
        <w:rPr>
          <w:color w:val="000000"/>
          <w:sz w:val="28"/>
          <w:szCs w:val="28"/>
        </w:rPr>
        <w:t>)</w:t>
      </w:r>
      <w:r w:rsidRPr="00B51CA3">
        <w:rPr>
          <w:rStyle w:val="bumpedfont15"/>
          <w:color w:val="000000"/>
          <w:sz w:val="28"/>
          <w:szCs w:val="28"/>
        </w:rPr>
        <w:t xml:space="preserve">. The majority of general practitioners (79.8%) performed eradication testing after first-line treatment, while 20.2% did not </w:t>
      </w:r>
      <w:r w:rsidRPr="00B51CA3">
        <w:rPr>
          <w:color w:val="000000"/>
          <w:sz w:val="28"/>
          <w:szCs w:val="28"/>
        </w:rPr>
        <w:lastRenderedPageBreak/>
        <w:t>(</w:t>
      </w:r>
      <w:r w:rsidR="00B12B3D">
        <w:rPr>
          <w:color w:val="000000"/>
          <w:sz w:val="28"/>
          <w:szCs w:val="28"/>
        </w:rPr>
        <w:t>Figure 5</w:t>
      </w:r>
      <w:r w:rsidRPr="00B51CA3">
        <w:rPr>
          <w:color w:val="000000"/>
          <w:sz w:val="28"/>
          <w:szCs w:val="28"/>
        </w:rPr>
        <w:t>)</w:t>
      </w:r>
      <w:r w:rsidRPr="00B51CA3">
        <w:rPr>
          <w:rStyle w:val="bumpedfont15"/>
          <w:color w:val="000000"/>
          <w:sz w:val="28"/>
          <w:szCs w:val="28"/>
        </w:rPr>
        <w:t xml:space="preserve">. The most frequently used follow-up test was Helicobacter pylori serology (71.3%) </w:t>
      </w:r>
      <w:r w:rsidRPr="00B51CA3">
        <w:rPr>
          <w:color w:val="000000"/>
          <w:sz w:val="28"/>
          <w:szCs w:val="28"/>
        </w:rPr>
        <w:t>(</w:t>
      </w:r>
      <w:r w:rsidR="00B12B3D">
        <w:rPr>
          <w:color w:val="000000"/>
          <w:sz w:val="28"/>
          <w:szCs w:val="28"/>
        </w:rPr>
        <w:t>Figure 6</w:t>
      </w:r>
      <w:r w:rsidRPr="00B51CA3">
        <w:rPr>
          <w:color w:val="000000"/>
          <w:sz w:val="28"/>
          <w:szCs w:val="28"/>
        </w:rPr>
        <w:t>)</w:t>
      </w:r>
      <w:r w:rsidRPr="00B51CA3">
        <w:rPr>
          <w:rStyle w:val="bumpedfont15"/>
          <w:color w:val="000000"/>
          <w:sz w:val="28"/>
          <w:szCs w:val="28"/>
        </w:rPr>
        <w:t>. In cases of first-line treatment failure, the majority of general practitioners (68.8%) referred patients to a specialist. However, 31.2% of physicians prescribed a new treatment regimen, most commonly involving a 10-day course of bismuth-based quadruple therapy (32.4%).</w:t>
      </w:r>
    </w:p>
    <w:p w14:paraId="7FEDFB15" w14:textId="79A6E9C7"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Young doctors (less than 15 years of experience) reported certain pathologies associated with H. pylori (MALT lymphoma, dyspepsia, chronic gastritis) more often than their more experienced colleagues (more than 15 years of experience)</w:t>
      </w:r>
      <w:r w:rsidR="001D1244">
        <w:rPr>
          <w:rStyle w:val="bumpedfont15"/>
          <w:color w:val="000000"/>
          <w:sz w:val="28"/>
          <w:szCs w:val="28"/>
        </w:rPr>
        <w:t>,</w:t>
      </w:r>
      <w:r w:rsidRPr="00B51CA3">
        <w:rPr>
          <w:rStyle w:val="bumpedfont15"/>
          <w:color w:val="000000"/>
          <w:sz w:val="28"/>
          <w:szCs w:val="28"/>
        </w:rPr>
        <w:t xml:space="preserve"> with respective p</w:t>
      </w:r>
      <w:r w:rsidR="001D1244">
        <w:rPr>
          <w:rStyle w:val="bumpedfont15"/>
          <w:color w:val="000000"/>
          <w:sz w:val="28"/>
          <w:szCs w:val="28"/>
        </w:rPr>
        <w:t>-</w:t>
      </w:r>
      <w:r w:rsidRPr="00B51CA3">
        <w:rPr>
          <w:rStyle w:val="bumpedfont15"/>
          <w:color w:val="000000"/>
          <w:sz w:val="28"/>
          <w:szCs w:val="28"/>
        </w:rPr>
        <w:t xml:space="preserve">values ​​of 0.05, 0.05 and 0.025 </w:t>
      </w:r>
      <w:r w:rsidRPr="00B51CA3">
        <w:rPr>
          <w:color w:val="000000"/>
          <w:sz w:val="28"/>
          <w:szCs w:val="28"/>
        </w:rPr>
        <w:t xml:space="preserve">(table </w:t>
      </w:r>
      <w:r w:rsidR="00B12B3D">
        <w:rPr>
          <w:color w:val="000000"/>
          <w:sz w:val="28"/>
          <w:szCs w:val="28"/>
        </w:rPr>
        <w:t>2</w:t>
      </w:r>
      <w:r w:rsidRPr="00B51CA3">
        <w:rPr>
          <w:color w:val="000000"/>
          <w:sz w:val="28"/>
          <w:szCs w:val="28"/>
        </w:rPr>
        <w:t>)</w:t>
      </w:r>
      <w:r w:rsidRPr="00B51CA3">
        <w:rPr>
          <w:rStyle w:val="bumpedfont15"/>
          <w:color w:val="000000"/>
          <w:sz w:val="28"/>
          <w:szCs w:val="28"/>
        </w:rPr>
        <w:t>.</w:t>
      </w:r>
    </w:p>
    <w:p w14:paraId="67C64EFC" w14:textId="136360DF"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 xml:space="preserve">Doctors with less than 5 years of experience more often cited </w:t>
      </w:r>
      <w:r w:rsidRPr="004B0948">
        <w:rPr>
          <w:rStyle w:val="bumpedfont15"/>
          <w:i/>
          <w:iCs/>
          <w:color w:val="000000"/>
          <w:sz w:val="28"/>
          <w:szCs w:val="28"/>
        </w:rPr>
        <w:t>H. pylori</w:t>
      </w:r>
      <w:r w:rsidRPr="00B51CA3">
        <w:rPr>
          <w:rStyle w:val="bumpedfont15"/>
          <w:color w:val="000000"/>
          <w:sz w:val="28"/>
          <w:szCs w:val="28"/>
        </w:rPr>
        <w:t xml:space="preserve"> testing for prolonged PPI use (p=0.014) or for unexplained an</w:t>
      </w:r>
      <w:r w:rsidR="001D1244">
        <w:rPr>
          <w:rStyle w:val="bumpedfont15"/>
          <w:color w:val="000000"/>
          <w:sz w:val="28"/>
          <w:szCs w:val="28"/>
        </w:rPr>
        <w:t>a</w:t>
      </w:r>
      <w:r w:rsidRPr="00B51CA3">
        <w:rPr>
          <w:rStyle w:val="bumpedfont15"/>
          <w:color w:val="000000"/>
          <w:sz w:val="28"/>
          <w:szCs w:val="28"/>
        </w:rPr>
        <w:t xml:space="preserve">emia due to iron or B12 deficiency (p=0.025) than their more experienced colleagues </w:t>
      </w:r>
      <w:r w:rsidRPr="00B51CA3">
        <w:rPr>
          <w:color w:val="000000"/>
          <w:sz w:val="28"/>
          <w:szCs w:val="28"/>
        </w:rPr>
        <w:t xml:space="preserve">(table </w:t>
      </w:r>
      <w:r w:rsidR="00B12B3D">
        <w:rPr>
          <w:color w:val="000000"/>
          <w:sz w:val="28"/>
          <w:szCs w:val="28"/>
        </w:rPr>
        <w:t>3</w:t>
      </w:r>
      <w:r w:rsidRPr="00B51CA3">
        <w:rPr>
          <w:color w:val="000000"/>
          <w:sz w:val="28"/>
          <w:szCs w:val="28"/>
        </w:rPr>
        <w:t>)</w:t>
      </w:r>
      <w:r w:rsidRPr="00B51CA3">
        <w:rPr>
          <w:rStyle w:val="bumpedfont15"/>
          <w:color w:val="000000"/>
          <w:sz w:val="28"/>
          <w:szCs w:val="28"/>
        </w:rPr>
        <w:t>.</w:t>
      </w:r>
    </w:p>
    <w:p w14:paraId="3DD10B37" w14:textId="6687FBF0"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The least experienced physicians (&lt; 5 years) used the urea breath test significantly more often (p= 0.028)</w:t>
      </w:r>
      <w:r w:rsidR="001D1244">
        <w:rPr>
          <w:rStyle w:val="bumpedfont15"/>
          <w:color w:val="000000"/>
          <w:sz w:val="28"/>
          <w:szCs w:val="28"/>
        </w:rPr>
        <w:t>,</w:t>
      </w:r>
      <w:r w:rsidRPr="00B51CA3">
        <w:rPr>
          <w:rStyle w:val="bumpedfont15"/>
          <w:color w:val="000000"/>
          <w:sz w:val="28"/>
          <w:szCs w:val="28"/>
        </w:rPr>
        <w:t xml:space="preserve"> unlike the more experienced physicians who used Hp serology more often (p=0.003) (table </w:t>
      </w:r>
      <w:r w:rsidR="00B12B3D">
        <w:rPr>
          <w:rStyle w:val="bumpedfont15"/>
          <w:color w:val="000000"/>
          <w:sz w:val="28"/>
          <w:szCs w:val="28"/>
        </w:rPr>
        <w:t>4</w:t>
      </w:r>
      <w:r w:rsidRPr="00B51CA3">
        <w:rPr>
          <w:rStyle w:val="bumpedfont15"/>
          <w:color w:val="000000"/>
          <w:sz w:val="28"/>
          <w:szCs w:val="28"/>
        </w:rPr>
        <w:t>).</w:t>
      </w:r>
    </w:p>
    <w:p w14:paraId="17A80584" w14:textId="77777777" w:rsidR="0068605D" w:rsidRPr="00B51CA3" w:rsidRDefault="0068605D" w:rsidP="002B66C4">
      <w:pPr>
        <w:pStyle w:val="s15"/>
        <w:spacing w:before="0" w:beforeAutospacing="0" w:after="120" w:afterAutospacing="0"/>
        <w:ind w:right="45"/>
        <w:jc w:val="both"/>
        <w:rPr>
          <w:color w:val="000000"/>
          <w:sz w:val="20"/>
          <w:szCs w:val="20"/>
        </w:rPr>
      </w:pPr>
      <w:r w:rsidRPr="00B51CA3">
        <w:rPr>
          <w:color w:val="000000"/>
          <w:sz w:val="20"/>
          <w:szCs w:val="20"/>
        </w:rPr>
        <w:t> </w:t>
      </w:r>
    </w:p>
    <w:p w14:paraId="1F10696B" w14:textId="77777777" w:rsidR="00B12B3D" w:rsidRDefault="00B12B3D" w:rsidP="002B66C4">
      <w:pPr>
        <w:pStyle w:val="s10"/>
        <w:spacing w:before="0" w:beforeAutospacing="0" w:after="120" w:afterAutospacing="0"/>
        <w:jc w:val="both"/>
        <w:rPr>
          <w:rStyle w:val="bumpedfont15"/>
          <w:b/>
          <w:bCs/>
          <w:color w:val="000000"/>
          <w:sz w:val="28"/>
          <w:szCs w:val="28"/>
        </w:rPr>
      </w:pPr>
    </w:p>
    <w:p w14:paraId="23E845D6" w14:textId="1BC63C9F" w:rsidR="0068605D" w:rsidRPr="00B51CA3" w:rsidRDefault="0068605D" w:rsidP="002B66C4">
      <w:pPr>
        <w:pStyle w:val="s10"/>
        <w:spacing w:before="0" w:beforeAutospacing="0" w:after="120" w:afterAutospacing="0"/>
        <w:jc w:val="both"/>
        <w:rPr>
          <w:b/>
          <w:bCs/>
          <w:color w:val="000000"/>
          <w:sz w:val="20"/>
          <w:szCs w:val="20"/>
        </w:rPr>
      </w:pPr>
      <w:r w:rsidRPr="00B51CA3">
        <w:rPr>
          <w:rStyle w:val="bumpedfont15"/>
          <w:b/>
          <w:bCs/>
          <w:color w:val="000000"/>
          <w:sz w:val="28"/>
          <w:szCs w:val="28"/>
        </w:rPr>
        <w:t>DISCUSSION</w:t>
      </w:r>
    </w:p>
    <w:p w14:paraId="20CBF504" w14:textId="77777777"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The male predominance (65.1% men versus 34.9% women, with a sex ratio of 1.87) reflects a trend often observed in medical professions, particularly in contexts like Mali, where men have historically dominated the medical sector. This trend towards male predominance is also observed in the Guadeloupe study, where 51.28% of doctors are men versus 45.3% women, confirming a similarity in Francophone contexts, although parity is more pronounced in Guadeloupe due to more recent medical training promoting equality. [7]</w:t>
      </w:r>
    </w:p>
    <w:p w14:paraId="4B835EDD" w14:textId="685750DC"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 xml:space="preserve">Physicians under 30 years of age represented 40.3% of the sample, followed by those aged 30 to 39 (34.9%). This predominance of young physicians could reflect a recent turnover in the medical workforce in Bamako, linked to an increase in graduates or staff rotation in health </w:t>
      </w:r>
      <w:r w:rsidR="001D1244" w:rsidRPr="00B51CA3">
        <w:rPr>
          <w:rStyle w:val="bumpedfont15"/>
          <w:color w:val="000000"/>
          <w:sz w:val="28"/>
          <w:szCs w:val="28"/>
        </w:rPr>
        <w:t>cent</w:t>
      </w:r>
      <w:r w:rsidR="001D1244">
        <w:rPr>
          <w:rStyle w:val="bumpedfont15"/>
          <w:color w:val="000000"/>
          <w:sz w:val="28"/>
          <w:szCs w:val="28"/>
        </w:rPr>
        <w:t>re</w:t>
      </w:r>
      <w:r w:rsidR="001D1244" w:rsidRPr="00B51CA3">
        <w:rPr>
          <w:rStyle w:val="bumpedfont15"/>
          <w:color w:val="000000"/>
          <w:sz w:val="28"/>
          <w:szCs w:val="28"/>
        </w:rPr>
        <w:t>s</w:t>
      </w:r>
      <w:r w:rsidRPr="00B51CA3">
        <w:rPr>
          <w:rStyle w:val="bumpedfont15"/>
          <w:color w:val="000000"/>
          <w:sz w:val="28"/>
          <w:szCs w:val="28"/>
        </w:rPr>
        <w:t xml:space="preserve">. Older physicians (50 years and over) are less represented (11% in </w:t>
      </w:r>
      <w:r w:rsidRPr="00B43C94">
        <w:rPr>
          <w:rStyle w:val="bumpedfont15"/>
          <w:color w:val="000000"/>
          <w:sz w:val="28"/>
          <w:szCs w:val="28"/>
          <w:highlight w:val="yellow"/>
        </w:rPr>
        <w:t>total), which may indicate</w:t>
      </w:r>
      <w:r w:rsidRPr="00B51CA3">
        <w:rPr>
          <w:rStyle w:val="bumpedfont15"/>
          <w:color w:val="000000"/>
          <w:sz w:val="28"/>
          <w:szCs w:val="28"/>
        </w:rPr>
        <w:t xml:space="preserve"> early retirement from the profession or less involvement in the </w:t>
      </w:r>
      <w:r w:rsidR="001D1244" w:rsidRPr="00B43C94">
        <w:rPr>
          <w:rStyle w:val="bumpedfont15"/>
          <w:color w:val="000000"/>
          <w:sz w:val="28"/>
          <w:szCs w:val="28"/>
          <w:highlight w:val="yellow"/>
        </w:rPr>
        <w:t>cent</w:t>
      </w:r>
      <w:r w:rsidR="001D1244" w:rsidRPr="00B43C94">
        <w:rPr>
          <w:rStyle w:val="bumpedfont15"/>
          <w:color w:val="000000"/>
          <w:sz w:val="28"/>
          <w:szCs w:val="28"/>
          <w:highlight w:val="yellow"/>
        </w:rPr>
        <w:t>re</w:t>
      </w:r>
      <w:r w:rsidR="001D1244" w:rsidRPr="00B43C94">
        <w:rPr>
          <w:rStyle w:val="bumpedfont15"/>
          <w:color w:val="000000"/>
          <w:sz w:val="28"/>
          <w:szCs w:val="28"/>
          <w:highlight w:val="yellow"/>
        </w:rPr>
        <w:t xml:space="preserve">s </w:t>
      </w:r>
      <w:r w:rsidRPr="00B43C94">
        <w:rPr>
          <w:rStyle w:val="bumpedfont15"/>
          <w:color w:val="000000"/>
          <w:sz w:val="28"/>
          <w:szCs w:val="28"/>
          <w:highlight w:val="yellow"/>
        </w:rPr>
        <w:t>stud</w:t>
      </w:r>
      <w:r w:rsidRPr="00B51CA3">
        <w:rPr>
          <w:rStyle w:val="bumpedfont15"/>
          <w:color w:val="000000"/>
          <w:sz w:val="28"/>
          <w:szCs w:val="28"/>
        </w:rPr>
        <w:t xml:space="preserve">ied. This youthful workforce may promote the adoption of modern practices, but could also reflect a lack of clinical experience, influencing diagnostic and therapeutic choices, as observed in the preceding tables. In comparison, the Guadeloupe study reveals a higher average age of 48 years, with a more balanced distribution (26.07% &lt;40 years and 17.52% &gt;60 years) [7], highlighting a younger medical population in Bamako due to faster turnover in developing countries, while also sharing the observation that younger doctors more often adopt up-to-date practices. The concentration of doctors in the CSREF (Community Health </w:t>
      </w:r>
      <w:r w:rsidR="001D1244" w:rsidRPr="00B51CA3">
        <w:rPr>
          <w:rStyle w:val="bumpedfont15"/>
          <w:color w:val="000000"/>
          <w:sz w:val="28"/>
          <w:szCs w:val="28"/>
        </w:rPr>
        <w:t>Cent</w:t>
      </w:r>
      <w:r w:rsidR="001D1244">
        <w:rPr>
          <w:rStyle w:val="bumpedfont15"/>
          <w:color w:val="000000"/>
          <w:sz w:val="28"/>
          <w:szCs w:val="28"/>
        </w:rPr>
        <w:t>re</w:t>
      </w:r>
      <w:r w:rsidRPr="00B51CA3">
        <w:rPr>
          <w:rStyle w:val="bumpedfont15"/>
          <w:color w:val="000000"/>
          <w:sz w:val="28"/>
          <w:szCs w:val="28"/>
        </w:rPr>
        <w:t xml:space="preserve">) of Commune I (21.2%) compared to other communes suggests an inequality in the distribution of medical </w:t>
      </w:r>
      <w:r w:rsidRPr="00B51CA3">
        <w:rPr>
          <w:rStyle w:val="bumpedfont15"/>
          <w:color w:val="000000"/>
          <w:sz w:val="28"/>
          <w:szCs w:val="28"/>
        </w:rPr>
        <w:lastRenderedPageBreak/>
        <w:t>resources. This predominance could be linked to a larger population, better infrastructure, or greater accessibility in this commune. This geographical disparity could limit access to care in less represented communes (such as Communes II and IV, with 12.8% each). A better distribution of doctors or capacity building in less well-</w:t>
      </w:r>
      <w:r w:rsidRPr="00B43C94">
        <w:rPr>
          <w:rStyle w:val="bumpedfont15"/>
          <w:color w:val="000000"/>
          <w:sz w:val="28"/>
          <w:szCs w:val="28"/>
          <w:highlight w:val="yellow"/>
        </w:rPr>
        <w:t xml:space="preserve">resourced </w:t>
      </w:r>
      <w:r w:rsidR="001D1244" w:rsidRPr="00B43C94">
        <w:rPr>
          <w:rStyle w:val="bumpedfont15"/>
          <w:color w:val="000000"/>
          <w:sz w:val="28"/>
          <w:szCs w:val="28"/>
          <w:highlight w:val="yellow"/>
        </w:rPr>
        <w:t>cent</w:t>
      </w:r>
      <w:r w:rsidR="001D1244" w:rsidRPr="00B43C94">
        <w:rPr>
          <w:rStyle w:val="bumpedfont15"/>
          <w:color w:val="000000"/>
          <w:sz w:val="28"/>
          <w:szCs w:val="28"/>
          <w:highlight w:val="yellow"/>
        </w:rPr>
        <w:t>re</w:t>
      </w:r>
      <w:r w:rsidR="001D1244" w:rsidRPr="00B43C94">
        <w:rPr>
          <w:rStyle w:val="bumpedfont15"/>
          <w:color w:val="000000"/>
          <w:sz w:val="28"/>
          <w:szCs w:val="28"/>
          <w:highlight w:val="yellow"/>
        </w:rPr>
        <w:t xml:space="preserve">s </w:t>
      </w:r>
      <w:r w:rsidRPr="00B43C94">
        <w:rPr>
          <w:rStyle w:val="bumpedfont15"/>
          <w:color w:val="000000"/>
          <w:sz w:val="28"/>
          <w:szCs w:val="28"/>
          <w:highlight w:val="yellow"/>
        </w:rPr>
        <w:t>cou</w:t>
      </w:r>
      <w:r w:rsidRPr="00B51CA3">
        <w:rPr>
          <w:rStyle w:val="bumpedfont15"/>
          <w:color w:val="000000"/>
          <w:sz w:val="28"/>
          <w:szCs w:val="28"/>
        </w:rPr>
        <w:t xml:space="preserve">ld improve equity in the management of infections such as </w:t>
      </w:r>
      <w:r w:rsidRPr="004B0948">
        <w:rPr>
          <w:rStyle w:val="bumpedfont15"/>
          <w:i/>
          <w:iCs/>
          <w:color w:val="000000"/>
          <w:sz w:val="28"/>
          <w:szCs w:val="28"/>
        </w:rPr>
        <w:t>H. pylori</w:t>
      </w:r>
      <w:r w:rsidRPr="00B51CA3">
        <w:rPr>
          <w:rStyle w:val="bumpedfont15"/>
          <w:color w:val="000000"/>
          <w:sz w:val="28"/>
          <w:szCs w:val="28"/>
        </w:rPr>
        <w:t xml:space="preserve">. Physicians with less than 5 years of experience predominated (40.4%), which is consistent with the predominance of younger physicians observed in Table </w:t>
      </w:r>
      <w:r w:rsidR="00607873">
        <w:rPr>
          <w:rStyle w:val="bumpedfont15"/>
          <w:color w:val="000000"/>
          <w:sz w:val="28"/>
          <w:szCs w:val="28"/>
        </w:rPr>
        <w:t>2</w:t>
      </w:r>
      <w:r w:rsidRPr="00B51CA3">
        <w:rPr>
          <w:rStyle w:val="bumpedfont15"/>
          <w:color w:val="000000"/>
          <w:sz w:val="28"/>
          <w:szCs w:val="28"/>
        </w:rPr>
        <w:t xml:space="preserve">. More experienced physicians (15 years and over) represented only 15.6% of the sample. This youthfulness of the sample contrasts with the Guadeloupe study, where the higher average age [7] implies greater overall experience, although both contexts show that recently trained physicians are better at integrating modern recommendations, such as those concerning indications for investigation. The majority of physicians (92.7%) had already diagnosed a case of </w:t>
      </w:r>
      <w:r w:rsidRPr="004B0948">
        <w:rPr>
          <w:rStyle w:val="bumpedfont15"/>
          <w:i/>
          <w:iCs/>
          <w:color w:val="000000"/>
          <w:sz w:val="28"/>
          <w:szCs w:val="28"/>
        </w:rPr>
        <w:t>H. pylori</w:t>
      </w:r>
      <w:r w:rsidRPr="00B51CA3">
        <w:rPr>
          <w:rStyle w:val="bumpedfont15"/>
          <w:color w:val="000000"/>
          <w:sz w:val="28"/>
          <w:szCs w:val="28"/>
        </w:rPr>
        <w:t xml:space="preserve"> infection, indicating significant exposure to this disease in their daily practice. This is consistent with the high prevalence of </w:t>
      </w:r>
      <w:r w:rsidRPr="004B0948">
        <w:rPr>
          <w:rStyle w:val="bumpedfont15"/>
          <w:i/>
          <w:iCs/>
          <w:color w:val="000000"/>
          <w:sz w:val="28"/>
          <w:szCs w:val="28"/>
        </w:rPr>
        <w:t>H. pylori</w:t>
      </w:r>
      <w:r w:rsidRPr="00B51CA3">
        <w:rPr>
          <w:rStyle w:val="bumpedfont15"/>
          <w:color w:val="000000"/>
          <w:sz w:val="28"/>
          <w:szCs w:val="28"/>
        </w:rPr>
        <w:t xml:space="preserve"> in developing countries, where poor hygiene conditions facilitate its transmission. This finding underscores the importance of </w:t>
      </w:r>
      <w:r w:rsidRPr="004B0948">
        <w:rPr>
          <w:rStyle w:val="bumpedfont15"/>
          <w:i/>
          <w:iCs/>
          <w:color w:val="000000"/>
          <w:sz w:val="28"/>
          <w:szCs w:val="28"/>
        </w:rPr>
        <w:t>H. pylori</w:t>
      </w:r>
      <w:r w:rsidRPr="00B51CA3">
        <w:rPr>
          <w:rStyle w:val="bumpedfont15"/>
          <w:color w:val="000000"/>
          <w:sz w:val="28"/>
          <w:szCs w:val="28"/>
        </w:rPr>
        <w:t xml:space="preserve"> as </w:t>
      </w:r>
      <w:proofErr w:type="gramStart"/>
      <w:r w:rsidRPr="00B51CA3">
        <w:rPr>
          <w:rStyle w:val="bumpedfont15"/>
          <w:color w:val="000000"/>
          <w:sz w:val="28"/>
          <w:szCs w:val="28"/>
        </w:rPr>
        <w:t>a</w:t>
      </w:r>
      <w:proofErr w:type="gramEnd"/>
      <w:r w:rsidRPr="00B51CA3">
        <w:rPr>
          <w:rStyle w:val="bumpedfont15"/>
          <w:color w:val="000000"/>
          <w:sz w:val="28"/>
          <w:szCs w:val="28"/>
        </w:rPr>
        <w:t xml:space="preserve"> public health problem in Bamako. Similarly, the Guadeloupe study reports that 97% of doctors had patients diagnosed in 2016, confirming high exposure in both tropical settings, although frequencies vary (e.g., 31% monthly in Guadeloupe) [7].</w:t>
      </w:r>
      <w:r w:rsidR="004B0948">
        <w:rPr>
          <w:rStyle w:val="bumpedfont15"/>
          <w:color w:val="000000"/>
          <w:sz w:val="28"/>
          <w:szCs w:val="28"/>
        </w:rPr>
        <w:t xml:space="preserve"> </w:t>
      </w:r>
      <w:r w:rsidRPr="00B51CA3">
        <w:rPr>
          <w:rStyle w:val="bumpedfont15"/>
          <w:color w:val="000000"/>
          <w:sz w:val="28"/>
          <w:szCs w:val="28"/>
        </w:rPr>
        <w:t xml:space="preserve">Perceived prevalence of </w:t>
      </w:r>
      <w:r w:rsidRPr="004B0948">
        <w:rPr>
          <w:rStyle w:val="bumpedfont15"/>
          <w:i/>
          <w:iCs/>
          <w:color w:val="000000"/>
          <w:sz w:val="28"/>
          <w:szCs w:val="28"/>
        </w:rPr>
        <w:t>H. pylori</w:t>
      </w:r>
      <w:r w:rsidRPr="00B51CA3">
        <w:rPr>
          <w:rStyle w:val="bumpedfont15"/>
          <w:color w:val="000000"/>
          <w:sz w:val="28"/>
          <w:szCs w:val="28"/>
        </w:rPr>
        <w:t xml:space="preserve"> varied, with 23.9% of physicians estimating it to be greater than 40%, while 22% were unsure. This uncertainty likely reflects the lack of robust local epidemiological data. In low- and middle-income countries, </w:t>
      </w:r>
      <w:r w:rsidRPr="004B0948">
        <w:rPr>
          <w:rStyle w:val="bumpedfont15"/>
          <w:i/>
          <w:iCs/>
          <w:color w:val="000000"/>
          <w:sz w:val="28"/>
          <w:szCs w:val="28"/>
        </w:rPr>
        <w:t>H. pylori</w:t>
      </w:r>
      <w:r w:rsidRPr="00B51CA3">
        <w:rPr>
          <w:rStyle w:val="bumpedfont15"/>
          <w:color w:val="000000"/>
          <w:sz w:val="28"/>
          <w:szCs w:val="28"/>
        </w:rPr>
        <w:t xml:space="preserve"> prevalence can reach 70–90%, suggesting that physicians' estimates may underestimate the true extent of the disease. This lack of consensus highlights the need for epidemiological studies to provide reliable data, enabling the adaptation of screening and treatment strategies. Epigastric pain was the most frequently reported symptom (86.2%), consistent with the classic clinical presentation of </w:t>
      </w:r>
      <w:r w:rsidRPr="004B0948">
        <w:rPr>
          <w:rStyle w:val="bumpedfont15"/>
          <w:i/>
          <w:iCs/>
          <w:color w:val="000000"/>
          <w:sz w:val="28"/>
          <w:szCs w:val="28"/>
        </w:rPr>
        <w:t>H. pylori.</w:t>
      </w:r>
      <w:r w:rsidRPr="00B51CA3">
        <w:rPr>
          <w:rStyle w:val="bumpedfont15"/>
          <w:color w:val="000000"/>
          <w:sz w:val="28"/>
          <w:szCs w:val="28"/>
        </w:rPr>
        <w:t xml:space="preserve"> However, 29.4% of physicians mentioned nonspecific symptoms, which may indicate confusion with other gastrointestinal conditions or limited knowledge of the specific manifestations of </w:t>
      </w:r>
      <w:r w:rsidRPr="004B0948">
        <w:rPr>
          <w:rStyle w:val="bumpedfont15"/>
          <w:i/>
          <w:iCs/>
          <w:color w:val="000000"/>
          <w:sz w:val="28"/>
          <w:szCs w:val="28"/>
        </w:rPr>
        <w:t>H. pylori</w:t>
      </w:r>
      <w:r w:rsidRPr="00B51CA3">
        <w:rPr>
          <w:rStyle w:val="bumpedfont15"/>
          <w:color w:val="000000"/>
          <w:sz w:val="28"/>
          <w:szCs w:val="28"/>
        </w:rPr>
        <w:t>. The low recognition of asymptomatic infection (4.6%) is concerning, as H. pylori can be present without obvious symptoms, particularly in cases of chronic gastritis or risk of gastric cancer. Targeted training on clinical presentations could improve diagnostic accuracy. The oro-oral (63.3%) and f</w:t>
      </w:r>
      <w:r w:rsidR="001D1244">
        <w:rPr>
          <w:rStyle w:val="bumpedfont15"/>
          <w:color w:val="000000"/>
          <w:sz w:val="28"/>
          <w:szCs w:val="28"/>
        </w:rPr>
        <w:t>a</w:t>
      </w:r>
      <w:r w:rsidRPr="00B51CA3">
        <w:rPr>
          <w:rStyle w:val="bumpedfont15"/>
          <w:color w:val="000000"/>
          <w:sz w:val="28"/>
          <w:szCs w:val="28"/>
        </w:rPr>
        <w:t xml:space="preserve">ecal-oral (55.9%) routes were the most frequently cited, which is consistent with the literature. However, 24.7% of physicians mentioned non-standard routes (bloodborne, respiratory, urinary) or were unaware of the transmission mechanisms. This lack of knowledge could reflect insufficient continuing education or inadequate dissemination of current information. In a context where hygiene is a challenge, a better understanding of transmission routes is crucial to preventing the spread of </w:t>
      </w:r>
      <w:r w:rsidRPr="004B0948">
        <w:rPr>
          <w:rStyle w:val="bumpedfont15"/>
          <w:i/>
          <w:iCs/>
          <w:color w:val="000000"/>
          <w:sz w:val="28"/>
          <w:szCs w:val="28"/>
        </w:rPr>
        <w:t>H. pylori.</w:t>
      </w:r>
      <w:r w:rsidRPr="00B51CA3">
        <w:rPr>
          <w:rStyle w:val="bumpedfont15"/>
          <w:color w:val="000000"/>
          <w:sz w:val="28"/>
          <w:szCs w:val="28"/>
        </w:rPr>
        <w:t xml:space="preserve"> Gastroduodenal ulcer </w:t>
      </w:r>
      <w:r w:rsidRPr="00B43C94">
        <w:rPr>
          <w:rStyle w:val="bumpedfont15"/>
          <w:color w:val="000000"/>
          <w:sz w:val="28"/>
          <w:szCs w:val="28"/>
          <w:highlight w:val="yellow"/>
        </w:rPr>
        <w:t xml:space="preserve">was </w:t>
      </w:r>
      <w:r w:rsidR="001D1244" w:rsidRPr="00B43C94">
        <w:rPr>
          <w:rStyle w:val="bumpedfont15"/>
          <w:color w:val="000000"/>
          <w:sz w:val="28"/>
          <w:szCs w:val="28"/>
          <w:highlight w:val="yellow"/>
        </w:rPr>
        <w:t>recogni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ed </w:t>
      </w:r>
      <w:r w:rsidRPr="00B43C94">
        <w:rPr>
          <w:rStyle w:val="bumpedfont15"/>
          <w:color w:val="000000"/>
          <w:sz w:val="28"/>
          <w:szCs w:val="28"/>
          <w:highlight w:val="yellow"/>
        </w:rPr>
        <w:t>by 98.2% o</w:t>
      </w:r>
      <w:r w:rsidRPr="00B51CA3">
        <w:rPr>
          <w:rStyle w:val="bumpedfont15"/>
          <w:color w:val="000000"/>
          <w:sz w:val="28"/>
          <w:szCs w:val="28"/>
        </w:rPr>
        <w:t xml:space="preserve">f physicians as an associated condition, followed by gastric cancer (adenocarcinoma) at 70.6% and chronic </w:t>
      </w:r>
      <w:r w:rsidRPr="00B51CA3">
        <w:rPr>
          <w:rStyle w:val="bumpedfont15"/>
          <w:color w:val="000000"/>
          <w:sz w:val="28"/>
          <w:szCs w:val="28"/>
        </w:rPr>
        <w:lastRenderedPageBreak/>
        <w:t xml:space="preserve">gastritis at 64.2%. The low recognition of MALT lymphoma (24.8%) and dyspepsia (30.3%) could be related to a lack of awareness of less common associations or to a perceived lower prevalence of these conditions in local practice. Increased awareness of these associations could improve screening and management of at-risk patients. In line with this, the Guadeloupe study also </w:t>
      </w:r>
      <w:r w:rsidR="001D1244" w:rsidRPr="00B43C94">
        <w:rPr>
          <w:rStyle w:val="bumpedfont15"/>
          <w:color w:val="000000"/>
          <w:sz w:val="28"/>
          <w:szCs w:val="28"/>
          <w:highlight w:val="yellow"/>
        </w:rPr>
        <w:t>prioriti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es </w:t>
      </w:r>
      <w:r w:rsidRPr="00B43C94">
        <w:rPr>
          <w:rStyle w:val="bumpedfont15"/>
          <w:color w:val="000000"/>
          <w:sz w:val="28"/>
          <w:szCs w:val="28"/>
          <w:highlight w:val="yellow"/>
        </w:rPr>
        <w:t>ulc</w:t>
      </w:r>
      <w:r w:rsidRPr="00B51CA3">
        <w:rPr>
          <w:rStyle w:val="bumpedfont15"/>
          <w:color w:val="000000"/>
          <w:sz w:val="28"/>
          <w:szCs w:val="28"/>
        </w:rPr>
        <w:t>er (82.05%) and gastric cancer (50.42% for family history), but mentions dyspepsia less frequently, indicating a similar focus on major conditions. [7]</w:t>
      </w:r>
      <w:r w:rsidR="004B0948">
        <w:rPr>
          <w:rStyle w:val="bumpedfont15"/>
          <w:color w:val="000000"/>
          <w:sz w:val="28"/>
          <w:szCs w:val="28"/>
        </w:rPr>
        <w:t xml:space="preserve">. </w:t>
      </w:r>
      <w:r w:rsidRPr="00B51CA3">
        <w:rPr>
          <w:rStyle w:val="bumpedfont15"/>
          <w:color w:val="000000"/>
          <w:sz w:val="28"/>
          <w:szCs w:val="28"/>
        </w:rPr>
        <w:t xml:space="preserve">This suggests that physicians' estimates may underestimate the true extent of the disease. This lack of consensus highlights the need for epidemiological studies to provide reliable data, enabling the adaptation of screening and treatment strategies. Epigastric pain was the most frequently reported symptom (86.2%), consistent with the classic clinical presentation </w:t>
      </w:r>
      <w:r w:rsidRPr="004B0948">
        <w:rPr>
          <w:rStyle w:val="bumpedfont15"/>
          <w:color w:val="000000"/>
          <w:sz w:val="28"/>
          <w:szCs w:val="28"/>
        </w:rPr>
        <w:t>of</w:t>
      </w:r>
      <w:r w:rsidRPr="004B0948">
        <w:rPr>
          <w:rStyle w:val="bumpedfont15"/>
          <w:i/>
          <w:iCs/>
          <w:color w:val="000000"/>
          <w:sz w:val="28"/>
          <w:szCs w:val="28"/>
        </w:rPr>
        <w:t xml:space="preserve"> H. pylori</w:t>
      </w:r>
      <w:r w:rsidRPr="00B51CA3">
        <w:rPr>
          <w:rStyle w:val="bumpedfont15"/>
          <w:color w:val="000000"/>
          <w:sz w:val="28"/>
          <w:szCs w:val="28"/>
        </w:rPr>
        <w:t xml:space="preserve">. However, 29.4% of physicians mentioned nonspecific symptoms, which could indicate confusion with other gastrointestinal conditions or limited knowledge of the specific manifestations of </w:t>
      </w:r>
      <w:r w:rsidRPr="004B0948">
        <w:rPr>
          <w:rStyle w:val="bumpedfont15"/>
          <w:i/>
          <w:iCs/>
          <w:color w:val="000000"/>
          <w:sz w:val="28"/>
          <w:szCs w:val="28"/>
        </w:rPr>
        <w:t>H. pylori.</w:t>
      </w:r>
      <w:r w:rsidRPr="00B51CA3">
        <w:rPr>
          <w:rStyle w:val="bumpedfont15"/>
          <w:color w:val="000000"/>
          <w:sz w:val="28"/>
          <w:szCs w:val="28"/>
        </w:rPr>
        <w:t xml:space="preserve"> The low recognition of asymptomatic infection (4.6%) is concerning, as </w:t>
      </w:r>
      <w:r w:rsidRPr="004B0948">
        <w:rPr>
          <w:rStyle w:val="bumpedfont15"/>
          <w:i/>
          <w:iCs/>
          <w:color w:val="000000"/>
          <w:sz w:val="28"/>
          <w:szCs w:val="28"/>
        </w:rPr>
        <w:t>H. pylori</w:t>
      </w:r>
      <w:r w:rsidRPr="00B51CA3">
        <w:rPr>
          <w:rStyle w:val="bumpedfont15"/>
          <w:color w:val="000000"/>
          <w:sz w:val="28"/>
          <w:szCs w:val="28"/>
        </w:rPr>
        <w:t xml:space="preserve"> can be present without obvious symptoms, particularly in cases of chronic gastritis or risk factors for gastric cancer. Targeted training on clinical presentations could improve diagnostic accuracy. The oral-oral (63.3%) and f</w:t>
      </w:r>
      <w:r w:rsidR="001D1244">
        <w:rPr>
          <w:rStyle w:val="bumpedfont15"/>
          <w:color w:val="000000"/>
          <w:sz w:val="28"/>
          <w:szCs w:val="28"/>
        </w:rPr>
        <w:t>a</w:t>
      </w:r>
      <w:r w:rsidRPr="00B51CA3">
        <w:rPr>
          <w:rStyle w:val="bumpedfont15"/>
          <w:color w:val="000000"/>
          <w:sz w:val="28"/>
          <w:szCs w:val="28"/>
        </w:rPr>
        <w:t xml:space="preserve">ecal-oral (55.9%) routes were the most frequently reported modes of transmission, which is consistent with the literature. However, 24.7% of physicians mentioned non-standard modes of transmission (blood, respiratory, urinary) or were unaware of the transmission mechanisms. This lack of knowledge could reflect insufficient continuing education or inadequate dissemination of updated information. In a context where hygiene is a challenge, a better understanding of transmission modes is crucial to preventing the spread of </w:t>
      </w:r>
      <w:r w:rsidRPr="004B0948">
        <w:rPr>
          <w:rStyle w:val="bumpedfont15"/>
          <w:i/>
          <w:iCs/>
          <w:color w:val="000000"/>
          <w:sz w:val="28"/>
          <w:szCs w:val="28"/>
        </w:rPr>
        <w:t>H. pylori.</w:t>
      </w:r>
      <w:r w:rsidRPr="00B51CA3">
        <w:rPr>
          <w:rStyle w:val="bumpedfont15"/>
          <w:color w:val="000000"/>
          <w:sz w:val="28"/>
          <w:szCs w:val="28"/>
        </w:rPr>
        <w:t xml:space="preserve"> Gastroduodenal ulcer was </w:t>
      </w:r>
      <w:r w:rsidR="001D1244" w:rsidRPr="00B43C94">
        <w:rPr>
          <w:rStyle w:val="bumpedfont15"/>
          <w:color w:val="000000"/>
          <w:sz w:val="28"/>
          <w:szCs w:val="28"/>
          <w:highlight w:val="yellow"/>
        </w:rPr>
        <w:t>recogni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ed </w:t>
      </w:r>
      <w:r w:rsidRPr="00B43C94">
        <w:rPr>
          <w:rStyle w:val="bumpedfont15"/>
          <w:color w:val="000000"/>
          <w:sz w:val="28"/>
          <w:szCs w:val="28"/>
          <w:highlight w:val="yellow"/>
        </w:rPr>
        <w:t>by 98.2% of physicians as an associated condition, followed by gastric cancer (adenocarcinoma) at 70.6% and chronic gastritis at 64.2%. The low</w:t>
      </w:r>
      <w:r w:rsidRPr="00B51CA3">
        <w:rPr>
          <w:rStyle w:val="bumpedfont15"/>
          <w:color w:val="000000"/>
          <w:sz w:val="28"/>
          <w:szCs w:val="28"/>
        </w:rPr>
        <w:t xml:space="preserve"> recognition of MALT lymphoma (24.8%) and dyspepsia (30.3%) could be related to a lack of awareness of less common associations or a perceived lower prevalence of these conditions in local practice. Increased awareness of these associations could improve screening </w:t>
      </w:r>
      <w:r w:rsidRPr="00B43C94">
        <w:rPr>
          <w:rStyle w:val="bumpedfont15"/>
          <w:color w:val="000000"/>
          <w:sz w:val="28"/>
          <w:szCs w:val="28"/>
          <w:highlight w:val="yellow"/>
        </w:rPr>
        <w:t xml:space="preserve">and management of at-risk patients. In line with this, the Guadeloupe study also </w:t>
      </w:r>
      <w:r w:rsidR="001D1244" w:rsidRPr="00B43C94">
        <w:rPr>
          <w:rStyle w:val="bumpedfont15"/>
          <w:color w:val="000000"/>
          <w:sz w:val="28"/>
          <w:szCs w:val="28"/>
          <w:highlight w:val="yellow"/>
        </w:rPr>
        <w:t>prioriti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es </w:t>
      </w:r>
      <w:r w:rsidRPr="00B43C94">
        <w:rPr>
          <w:rStyle w:val="bumpedfont15"/>
          <w:color w:val="000000"/>
          <w:sz w:val="28"/>
          <w:szCs w:val="28"/>
          <w:highlight w:val="yellow"/>
        </w:rPr>
        <w:t>ulcers (82.05%) and gastric cancer (50.42% for family history), but mentions dyspepsia less, i</w:t>
      </w:r>
      <w:r w:rsidRPr="00B51CA3">
        <w:rPr>
          <w:rStyle w:val="bumpedfont15"/>
          <w:color w:val="000000"/>
          <w:sz w:val="28"/>
          <w:szCs w:val="28"/>
        </w:rPr>
        <w:t>ndicating a similarity in the focus on major pathologies. [</w:t>
      </w:r>
      <w:proofErr w:type="gramStart"/>
      <w:r w:rsidRPr="00B51CA3">
        <w:rPr>
          <w:rStyle w:val="bumpedfont15"/>
          <w:color w:val="000000"/>
          <w:sz w:val="28"/>
          <w:szCs w:val="28"/>
        </w:rPr>
        <w:t>7]This</w:t>
      </w:r>
      <w:proofErr w:type="gramEnd"/>
      <w:r w:rsidRPr="00B51CA3">
        <w:rPr>
          <w:rStyle w:val="bumpedfont15"/>
          <w:color w:val="000000"/>
          <w:sz w:val="28"/>
          <w:szCs w:val="28"/>
        </w:rPr>
        <w:t xml:space="preserve"> suggests that physicians' estimates may underestimate the true extent of the disease. This lack of consensus highlights the need for epidemiological studies to provide reliable data, enabling the adaptation of screening and treatment strategies. Epigastric pain was the most frequently reported symptom (86.2%), consistent with the classic clinical presentation of </w:t>
      </w:r>
      <w:r w:rsidRPr="004B0948">
        <w:rPr>
          <w:rStyle w:val="bumpedfont15"/>
          <w:i/>
          <w:iCs/>
          <w:color w:val="000000"/>
          <w:sz w:val="28"/>
          <w:szCs w:val="28"/>
        </w:rPr>
        <w:t>H. pylori</w:t>
      </w:r>
      <w:r w:rsidRPr="00B51CA3">
        <w:rPr>
          <w:rStyle w:val="bumpedfont15"/>
          <w:color w:val="000000"/>
          <w:sz w:val="28"/>
          <w:szCs w:val="28"/>
        </w:rPr>
        <w:t xml:space="preserve">. However, 29.4% of physicians mentioned nonspecific symptoms, which could indicate confusion with other gastrointestinal conditions or limited knowledge of the specific manifestations of </w:t>
      </w:r>
      <w:r w:rsidRPr="004B0948">
        <w:rPr>
          <w:rStyle w:val="bumpedfont15"/>
          <w:i/>
          <w:iCs/>
          <w:color w:val="000000"/>
          <w:sz w:val="28"/>
          <w:szCs w:val="28"/>
        </w:rPr>
        <w:t>H. pylori.</w:t>
      </w:r>
      <w:r w:rsidRPr="00B51CA3">
        <w:rPr>
          <w:rStyle w:val="bumpedfont15"/>
          <w:color w:val="000000"/>
          <w:sz w:val="28"/>
          <w:szCs w:val="28"/>
        </w:rPr>
        <w:t xml:space="preserve"> The low recognition of asymptomatic infection (4.6%) is concerning, as </w:t>
      </w:r>
      <w:r w:rsidRPr="004B0948">
        <w:rPr>
          <w:rStyle w:val="bumpedfont15"/>
          <w:i/>
          <w:iCs/>
          <w:color w:val="000000"/>
          <w:sz w:val="28"/>
          <w:szCs w:val="28"/>
        </w:rPr>
        <w:t>H. pylori</w:t>
      </w:r>
      <w:r w:rsidRPr="00B51CA3">
        <w:rPr>
          <w:rStyle w:val="bumpedfont15"/>
          <w:color w:val="000000"/>
          <w:sz w:val="28"/>
          <w:szCs w:val="28"/>
        </w:rPr>
        <w:t xml:space="preserve"> can be present without </w:t>
      </w:r>
      <w:r w:rsidRPr="00B51CA3">
        <w:rPr>
          <w:rStyle w:val="bumpedfont15"/>
          <w:color w:val="000000"/>
          <w:sz w:val="28"/>
          <w:szCs w:val="28"/>
        </w:rPr>
        <w:lastRenderedPageBreak/>
        <w:t>obvious symptoms, particularly in cases of chronic gastritis or risk factors for gastric cancer. Targeted training on clinical presentations could improve diagnostic accuracy. The oral-oral (63.3%) and f</w:t>
      </w:r>
      <w:r w:rsidR="001D1244">
        <w:rPr>
          <w:rStyle w:val="bumpedfont15"/>
          <w:color w:val="000000"/>
          <w:sz w:val="28"/>
          <w:szCs w:val="28"/>
        </w:rPr>
        <w:t>a</w:t>
      </w:r>
      <w:r w:rsidRPr="00B51CA3">
        <w:rPr>
          <w:rStyle w:val="bumpedfont15"/>
          <w:color w:val="000000"/>
          <w:sz w:val="28"/>
          <w:szCs w:val="28"/>
        </w:rPr>
        <w:t xml:space="preserve">ecal-oral (55.9%) routes were the most frequently reported modes of transmission, which is consistent with the literature. However, 24.7% of physicians mentioned non-standard modes of transmission (blood, respiratory, urinary) or were unaware of the transmission mechanisms. This lack of knowledge could reflect insufficient continuing education or inadequate dissemination of updated information. In a context where hygiene is a challenge, a better understanding of transmission modes is crucial to preventing the spread of </w:t>
      </w:r>
      <w:r w:rsidRPr="004B0948">
        <w:rPr>
          <w:rStyle w:val="bumpedfont15"/>
          <w:i/>
          <w:iCs/>
          <w:color w:val="000000"/>
          <w:sz w:val="28"/>
          <w:szCs w:val="28"/>
        </w:rPr>
        <w:t>H. pylori.</w:t>
      </w:r>
      <w:r w:rsidRPr="00B51CA3">
        <w:rPr>
          <w:rStyle w:val="bumpedfont15"/>
          <w:color w:val="000000"/>
          <w:sz w:val="28"/>
          <w:szCs w:val="28"/>
        </w:rPr>
        <w:t xml:space="preserve"> Gastroduodenal ulcer was </w:t>
      </w:r>
      <w:r w:rsidR="001D1244" w:rsidRPr="00B43C94">
        <w:rPr>
          <w:rStyle w:val="bumpedfont15"/>
          <w:color w:val="000000"/>
          <w:sz w:val="28"/>
          <w:szCs w:val="28"/>
          <w:highlight w:val="yellow"/>
        </w:rPr>
        <w:t>recogni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ed </w:t>
      </w:r>
      <w:r w:rsidRPr="00B43C94">
        <w:rPr>
          <w:rStyle w:val="bumpedfont15"/>
          <w:color w:val="000000"/>
          <w:sz w:val="28"/>
          <w:szCs w:val="28"/>
          <w:highlight w:val="yellow"/>
        </w:rPr>
        <w:t>by 98</w:t>
      </w:r>
      <w:r w:rsidRPr="00B51CA3">
        <w:rPr>
          <w:rStyle w:val="bumpedfont15"/>
          <w:color w:val="000000"/>
          <w:sz w:val="28"/>
          <w:szCs w:val="28"/>
        </w:rPr>
        <w:t xml:space="preserve">.2% of physicians as an associated condition, followed by gastric cancer (adenocarcinoma) at 70.6% and chronic gastritis at 64.2%. The low recognition of MALT lymphoma (24.8%) and dyspepsia (30.3%) could be related to a lack of awareness of less common associations or a perceived lower prevalence of these conditions in local practice. Increased awareness of these associations could improve </w:t>
      </w:r>
      <w:r w:rsidRPr="00B43C94">
        <w:rPr>
          <w:rStyle w:val="bumpedfont15"/>
          <w:color w:val="000000"/>
          <w:sz w:val="28"/>
          <w:szCs w:val="28"/>
          <w:highlight w:val="yellow"/>
        </w:rPr>
        <w:t xml:space="preserve">screening and management of at-risk patients. In line with this, the Guadeloupe study also </w:t>
      </w:r>
      <w:r w:rsidR="001D1244" w:rsidRPr="00B43C94">
        <w:rPr>
          <w:rStyle w:val="bumpedfont15"/>
          <w:color w:val="000000"/>
          <w:sz w:val="28"/>
          <w:szCs w:val="28"/>
          <w:highlight w:val="yellow"/>
        </w:rPr>
        <w:t>prioriti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es </w:t>
      </w:r>
      <w:r w:rsidRPr="00B43C94">
        <w:rPr>
          <w:rStyle w:val="bumpedfont15"/>
          <w:color w:val="000000"/>
          <w:sz w:val="28"/>
          <w:szCs w:val="28"/>
          <w:highlight w:val="yellow"/>
        </w:rPr>
        <w:t>ul</w:t>
      </w:r>
      <w:r w:rsidRPr="00B51CA3">
        <w:rPr>
          <w:rStyle w:val="bumpedfont15"/>
          <w:color w:val="000000"/>
          <w:sz w:val="28"/>
          <w:szCs w:val="28"/>
        </w:rPr>
        <w:t>cers (82.05%) and gastric cancer (50.42% for family history), but mentions dyspepsia less, indicating a similarity in the focus on major pathologies [7]</w:t>
      </w:r>
      <w:r w:rsidR="004B0948">
        <w:rPr>
          <w:rStyle w:val="bumpedfont15"/>
          <w:color w:val="000000"/>
          <w:sz w:val="28"/>
          <w:szCs w:val="28"/>
        </w:rPr>
        <w:t xml:space="preserve">. </w:t>
      </w:r>
      <w:proofErr w:type="gramStart"/>
      <w:r w:rsidRPr="00B51CA3">
        <w:rPr>
          <w:rStyle w:val="bumpedfont15"/>
          <w:color w:val="000000"/>
          <w:sz w:val="28"/>
          <w:szCs w:val="28"/>
        </w:rPr>
        <w:t>particularly</w:t>
      </w:r>
      <w:proofErr w:type="gramEnd"/>
      <w:r w:rsidRPr="00B51CA3">
        <w:rPr>
          <w:rStyle w:val="bumpedfont15"/>
          <w:color w:val="000000"/>
          <w:sz w:val="28"/>
          <w:szCs w:val="28"/>
        </w:rPr>
        <w:t xml:space="preserve"> in cases of chronic gastritis or risk of gastric cancer. Targeted training on clinical presentations could improve diagnostic accuracy. The oro-oral (63.3%) and f</w:t>
      </w:r>
      <w:r w:rsidR="001D1244">
        <w:rPr>
          <w:rStyle w:val="bumpedfont15"/>
          <w:color w:val="000000"/>
          <w:sz w:val="28"/>
          <w:szCs w:val="28"/>
        </w:rPr>
        <w:t>a</w:t>
      </w:r>
      <w:r w:rsidRPr="00B51CA3">
        <w:rPr>
          <w:rStyle w:val="bumpedfont15"/>
          <w:color w:val="000000"/>
          <w:sz w:val="28"/>
          <w:szCs w:val="28"/>
        </w:rPr>
        <w:t xml:space="preserve">ecal-oral (55.9%) routes were the most frequently cited modes of transmission, which is consistent with the literature. However, 24.7% of physicians mentioned non-standard routes (blood, respiratory, urinary) or were unaware of the transmission mechanisms. This lack of knowledge could reflect insufficient continuing education or inadequate dissemination of updated information. In a context where hygiene is a challenge, a better understanding of transmission </w:t>
      </w:r>
      <w:r w:rsidRPr="00B43C94">
        <w:rPr>
          <w:rStyle w:val="bumpedfont15"/>
          <w:color w:val="000000"/>
          <w:sz w:val="28"/>
          <w:szCs w:val="28"/>
          <w:highlight w:val="yellow"/>
        </w:rPr>
        <w:t xml:space="preserve">routes is crucial to preventing the spread of </w:t>
      </w:r>
      <w:r w:rsidRPr="00B43C94">
        <w:rPr>
          <w:rStyle w:val="bumpedfont15"/>
          <w:i/>
          <w:iCs/>
          <w:color w:val="000000"/>
          <w:sz w:val="28"/>
          <w:szCs w:val="28"/>
          <w:highlight w:val="yellow"/>
        </w:rPr>
        <w:t>H. pylori.</w:t>
      </w:r>
      <w:r w:rsidRPr="00B43C94">
        <w:rPr>
          <w:rStyle w:val="bumpedfont15"/>
          <w:color w:val="000000"/>
          <w:sz w:val="28"/>
          <w:szCs w:val="28"/>
          <w:highlight w:val="yellow"/>
        </w:rPr>
        <w:t xml:space="preserve"> Gastroduodenal ulcer was </w:t>
      </w:r>
      <w:r w:rsidR="001D1244" w:rsidRPr="00B43C94">
        <w:rPr>
          <w:rStyle w:val="bumpedfont15"/>
          <w:color w:val="000000"/>
          <w:sz w:val="28"/>
          <w:szCs w:val="28"/>
          <w:highlight w:val="yellow"/>
        </w:rPr>
        <w:t>recogni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ed </w:t>
      </w:r>
      <w:r w:rsidRPr="00B43C94">
        <w:rPr>
          <w:rStyle w:val="bumpedfont15"/>
          <w:color w:val="000000"/>
          <w:sz w:val="28"/>
          <w:szCs w:val="28"/>
          <w:highlight w:val="yellow"/>
        </w:rPr>
        <w:t>by 98.2% of physicians as an associated condition, followed by gastric cancer (ade</w:t>
      </w:r>
      <w:r w:rsidRPr="00B51CA3">
        <w:rPr>
          <w:rStyle w:val="bumpedfont15"/>
          <w:color w:val="000000"/>
          <w:sz w:val="28"/>
          <w:szCs w:val="28"/>
        </w:rPr>
        <w:t xml:space="preserve">nocarcinoma) (70.6%) and chronic gastritis (64.2%). The low recognition of MALT lymphoma (24.8%) and dyspepsia (30.3%) could be linked to a lack of awareness of less common associations or to a lower perceived prevalence of these conditions in local practice. Increased awareness of these associations could improve screening and management of at-risk patients. In line with this, the Guadeloupe study </w:t>
      </w:r>
      <w:r w:rsidRPr="00B43C94">
        <w:rPr>
          <w:rStyle w:val="bumpedfont15"/>
          <w:color w:val="000000"/>
          <w:sz w:val="28"/>
          <w:szCs w:val="28"/>
          <w:highlight w:val="yellow"/>
        </w:rPr>
        <w:t xml:space="preserve">also </w:t>
      </w:r>
      <w:r w:rsidR="001D1244" w:rsidRPr="00B43C94">
        <w:rPr>
          <w:rStyle w:val="bumpedfont15"/>
          <w:color w:val="000000"/>
          <w:sz w:val="28"/>
          <w:szCs w:val="28"/>
          <w:highlight w:val="yellow"/>
        </w:rPr>
        <w:t>prioriti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es </w:t>
      </w:r>
      <w:r w:rsidRPr="00B43C94">
        <w:rPr>
          <w:rStyle w:val="bumpedfont15"/>
          <w:color w:val="000000"/>
          <w:sz w:val="28"/>
          <w:szCs w:val="28"/>
          <w:highlight w:val="yellow"/>
        </w:rPr>
        <w:t>ulcers (82.05%) and gastric cancer (50.42% for family history), but mentions</w:t>
      </w:r>
      <w:r w:rsidRPr="00B51CA3">
        <w:rPr>
          <w:rStyle w:val="bumpedfont15"/>
          <w:color w:val="000000"/>
          <w:sz w:val="28"/>
          <w:szCs w:val="28"/>
        </w:rPr>
        <w:t xml:space="preserve"> dyspepsia less frequently, indicating a similar focus on major pathologies. [</w:t>
      </w:r>
      <w:proofErr w:type="gramStart"/>
      <w:r w:rsidRPr="00B51CA3">
        <w:rPr>
          <w:rStyle w:val="bumpedfont15"/>
          <w:color w:val="000000"/>
          <w:sz w:val="28"/>
          <w:szCs w:val="28"/>
        </w:rPr>
        <w:t>7]particularly</w:t>
      </w:r>
      <w:proofErr w:type="gramEnd"/>
      <w:r w:rsidRPr="00B51CA3">
        <w:rPr>
          <w:rStyle w:val="bumpedfont15"/>
          <w:color w:val="000000"/>
          <w:sz w:val="28"/>
          <w:szCs w:val="28"/>
        </w:rPr>
        <w:t xml:space="preserve"> in cases of chronic gastritis or risk of gastric cancer. Targeted training on clinical presentations could improve diagnostic accuracy. The oro-oral (63.3%) and f</w:t>
      </w:r>
      <w:r w:rsidR="001D1244">
        <w:rPr>
          <w:rStyle w:val="bumpedfont15"/>
          <w:color w:val="000000"/>
          <w:sz w:val="28"/>
          <w:szCs w:val="28"/>
        </w:rPr>
        <w:t>a</w:t>
      </w:r>
      <w:r w:rsidRPr="00B51CA3">
        <w:rPr>
          <w:rStyle w:val="bumpedfont15"/>
          <w:color w:val="000000"/>
          <w:sz w:val="28"/>
          <w:szCs w:val="28"/>
        </w:rPr>
        <w:t xml:space="preserve">ecal-oral (55.9%) routes were the most frequently cited modes of transmission, which is consistent with the literature. However, 24.7% of physicians mentioned non-standard routes (blood, respiratory, urinary) or were unaware of the transmission mechanisms. This lack of knowledge could reflect insufficient continuing education or inadequate dissemination of updated </w:t>
      </w:r>
      <w:r w:rsidRPr="00B51CA3">
        <w:rPr>
          <w:rStyle w:val="bumpedfont15"/>
          <w:color w:val="000000"/>
          <w:sz w:val="28"/>
          <w:szCs w:val="28"/>
        </w:rPr>
        <w:lastRenderedPageBreak/>
        <w:t xml:space="preserve">information. In a context where hygiene is a challenge, a better understanding of transmission routes is crucial to preventing the spread of </w:t>
      </w:r>
      <w:r w:rsidRPr="004B0948">
        <w:rPr>
          <w:rStyle w:val="bumpedfont15"/>
          <w:i/>
          <w:iCs/>
          <w:color w:val="000000"/>
          <w:sz w:val="28"/>
          <w:szCs w:val="28"/>
        </w:rPr>
        <w:t>H. pylori.</w:t>
      </w:r>
      <w:r w:rsidRPr="00B51CA3">
        <w:rPr>
          <w:rStyle w:val="bumpedfont15"/>
          <w:color w:val="000000"/>
          <w:sz w:val="28"/>
          <w:szCs w:val="28"/>
        </w:rPr>
        <w:t xml:space="preserve"> Gastroduodenal ulcer was </w:t>
      </w:r>
      <w:r w:rsidR="001D1244" w:rsidRPr="00B51CA3">
        <w:rPr>
          <w:rStyle w:val="bumpedfont15"/>
          <w:color w:val="000000"/>
          <w:sz w:val="28"/>
          <w:szCs w:val="28"/>
        </w:rPr>
        <w:t>recogni</w:t>
      </w:r>
      <w:r w:rsidR="001D1244">
        <w:rPr>
          <w:rStyle w:val="bumpedfont15"/>
          <w:color w:val="000000"/>
          <w:sz w:val="28"/>
          <w:szCs w:val="28"/>
        </w:rPr>
        <w:t>s</w:t>
      </w:r>
      <w:r w:rsidR="001D1244" w:rsidRPr="00B51CA3">
        <w:rPr>
          <w:rStyle w:val="bumpedfont15"/>
          <w:color w:val="000000"/>
          <w:sz w:val="28"/>
          <w:szCs w:val="28"/>
        </w:rPr>
        <w:t xml:space="preserve">ed </w:t>
      </w:r>
      <w:r w:rsidRPr="00B51CA3">
        <w:rPr>
          <w:rStyle w:val="bumpedfont15"/>
          <w:color w:val="000000"/>
          <w:sz w:val="28"/>
          <w:szCs w:val="28"/>
        </w:rPr>
        <w:t>by 98.2% of physicians as an associated condition, followed by gastric cancer (adenocarcinoma) (70.6%) and chronic gastritis (64.2%). The low recognition of MALT lymphoma (24.8%) and dyspepsia (30.3%) could be linked to a lack of awareness of less common associations or to a lower perceived prevalence of these conditions in local practice. Increased awareness of these associations could improve screening and management of at-risk patients. In line with this, the Guadeloupe study also prioritizes ulcers (82.05%) and gastric cancer (50.42% for family history), but mentions dyspepsia less frequently, indicating a similar focus on major pathologies [7]</w:t>
      </w:r>
      <w:r w:rsidR="004B0948">
        <w:rPr>
          <w:rStyle w:val="bumpedfont15"/>
          <w:color w:val="000000"/>
          <w:sz w:val="28"/>
          <w:szCs w:val="28"/>
        </w:rPr>
        <w:t xml:space="preserve"> </w:t>
      </w:r>
      <w:r w:rsidRPr="00B51CA3">
        <w:rPr>
          <w:rStyle w:val="bumpedfont15"/>
          <w:color w:val="000000"/>
          <w:sz w:val="28"/>
          <w:szCs w:val="28"/>
        </w:rPr>
        <w:t>but mentions dyspepsia less, indicating a similarity in the focus on major pathologies [7]</w:t>
      </w:r>
      <w:r w:rsidR="004B0948">
        <w:rPr>
          <w:rStyle w:val="bumpedfont15"/>
          <w:color w:val="000000"/>
          <w:sz w:val="28"/>
          <w:szCs w:val="28"/>
        </w:rPr>
        <w:t xml:space="preserve"> </w:t>
      </w:r>
      <w:r w:rsidRPr="00B51CA3">
        <w:rPr>
          <w:rStyle w:val="bumpedfont15"/>
          <w:color w:val="000000"/>
          <w:sz w:val="28"/>
          <w:szCs w:val="28"/>
        </w:rPr>
        <w:t>but mentions dyspepsia less, indicating a similarity in the focus on major pathologies. [7]</w:t>
      </w:r>
    </w:p>
    <w:p w14:paraId="09DB17E9" w14:textId="3CE6DE6D"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Gastroduodenal ulcer was the most frequent indication (97.2%), which is in line with international recommendations. However, less frequent indications, such as unexplained an</w:t>
      </w:r>
      <w:r w:rsidR="001D1244">
        <w:rPr>
          <w:rStyle w:val="bumpedfont15"/>
          <w:color w:val="000000"/>
          <w:sz w:val="28"/>
          <w:szCs w:val="28"/>
        </w:rPr>
        <w:t>a</w:t>
      </w:r>
      <w:r w:rsidRPr="00B51CA3">
        <w:rPr>
          <w:rStyle w:val="bumpedfont15"/>
          <w:color w:val="000000"/>
          <w:sz w:val="28"/>
          <w:szCs w:val="28"/>
        </w:rPr>
        <w:t xml:space="preserve">emia (21.1%) or prolonged PPI use (26.6%), are </w:t>
      </w:r>
      <w:r w:rsidR="001D1244" w:rsidRPr="00B43C94">
        <w:rPr>
          <w:rStyle w:val="bumpedfont15"/>
          <w:color w:val="000000"/>
          <w:sz w:val="28"/>
          <w:szCs w:val="28"/>
          <w:highlight w:val="yellow"/>
        </w:rPr>
        <w:t>underutili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ed</w:t>
      </w:r>
      <w:r w:rsidRPr="00B43C94">
        <w:rPr>
          <w:rStyle w:val="bumpedfont15"/>
          <w:color w:val="000000"/>
          <w:sz w:val="28"/>
          <w:szCs w:val="28"/>
          <w:highlight w:val="yellow"/>
        </w:rPr>
        <w:t xml:space="preserve">, particularly by more experienced physicians. This could reflect slower adoption of recent recommendations or a lack of awareness of the expanded indications. </w:t>
      </w:r>
      <w:r w:rsidR="001D1244" w:rsidRPr="00B43C94">
        <w:rPr>
          <w:rStyle w:val="bumpedfont15"/>
          <w:color w:val="000000"/>
          <w:sz w:val="28"/>
          <w:szCs w:val="28"/>
          <w:highlight w:val="yellow"/>
        </w:rPr>
        <w:t>Harmoni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ing </w:t>
      </w:r>
      <w:r w:rsidRPr="00B43C94">
        <w:rPr>
          <w:rStyle w:val="bumpedfont15"/>
          <w:color w:val="000000"/>
          <w:sz w:val="28"/>
          <w:szCs w:val="28"/>
          <w:highlight w:val="yellow"/>
        </w:rPr>
        <w:t xml:space="preserve">practices through clear local protocols could improve the identification of at-risk patients. This </w:t>
      </w:r>
      <w:r w:rsidR="001D1244" w:rsidRPr="00B43C94">
        <w:rPr>
          <w:rStyle w:val="bumpedfont15"/>
          <w:color w:val="000000"/>
          <w:sz w:val="28"/>
          <w:szCs w:val="28"/>
          <w:highlight w:val="yellow"/>
        </w:rPr>
        <w:t>prioriti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ation </w:t>
      </w:r>
      <w:r w:rsidRPr="00B43C94">
        <w:rPr>
          <w:rStyle w:val="bumpedfont15"/>
          <w:color w:val="000000"/>
          <w:sz w:val="28"/>
          <w:szCs w:val="28"/>
          <w:highlight w:val="yellow"/>
        </w:rPr>
        <w:t>of ulcers is also found in the Guadeloupe study (82.05%), although non-ulcer epigastric pain (82.05% vs. 54</w:t>
      </w:r>
      <w:r w:rsidRPr="00B51CA3">
        <w:rPr>
          <w:rStyle w:val="bumpedfont15"/>
          <w:color w:val="000000"/>
          <w:sz w:val="28"/>
          <w:szCs w:val="28"/>
        </w:rPr>
        <w:t>.13%) and PPI use (35.89% vs. 26.6%) are cited more frequently, with a similar influence of age (younger patients being more attuned to modern indications) [7]. The French study by Heluwaert and Lamarque, through their 2014 survey, reveals that 42% of general practitioners are unaware of a family history of gastric cancer and 35% of NSAID use, highlighting a similar underutilization of the expanded indications. [4]</w:t>
      </w:r>
    </w:p>
    <w:p w14:paraId="3530EE08" w14:textId="77777777" w:rsidR="0068605D" w:rsidRPr="00B51CA3" w:rsidRDefault="0068605D" w:rsidP="002B66C4">
      <w:pPr>
        <w:pStyle w:val="s12"/>
        <w:spacing w:before="0" w:beforeAutospacing="0" w:after="120" w:afterAutospacing="0"/>
        <w:jc w:val="both"/>
        <w:rPr>
          <w:color w:val="000000"/>
          <w:sz w:val="20"/>
          <w:szCs w:val="20"/>
        </w:rPr>
      </w:pPr>
      <w:r w:rsidRPr="00D96EBA">
        <w:rPr>
          <w:rStyle w:val="bumpedfont15"/>
          <w:i/>
          <w:iCs/>
          <w:color w:val="000000"/>
          <w:sz w:val="28"/>
          <w:szCs w:val="28"/>
        </w:rPr>
        <w:t>H. pylori</w:t>
      </w:r>
      <w:r w:rsidRPr="00B51CA3">
        <w:rPr>
          <w:rStyle w:val="bumpedfont15"/>
          <w:color w:val="000000"/>
          <w:sz w:val="28"/>
          <w:szCs w:val="28"/>
        </w:rPr>
        <w:t xml:space="preserve"> serology was the most frequently used first-line test (68.8%), followed by invasive tests (55%). The urea breath test (19.3%) and stool antigen detection (12.8%) were less frequently requested, likely due to a lack of awareness. The predominant use of serology, while convenient, is problematic in a context of high prevalence, where it lacks specificity. Non-invasive tests such as the breath test or stool antigen detection, recommended by international guidelines, should be more widely promoted. In contrast, the Guadeloupe study shows a higher adoption rate of the breath test (56.4% vs 19.26%), with lower use of serology (17.94% vs 68.8%), highlighting better awareness of the recommendations, although age negatively influences its prescription in the 56-65 age group in both cases (p=0.053 in Guadeloupe). [7]</w:t>
      </w:r>
    </w:p>
    <w:p w14:paraId="31287F13" w14:textId="1B704E75"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The 14-day concurrent four-drug regimen was the most frequently used treatment (29.4%), followed by triple therapy (22%). This reflects a partial adoption of international guidelines, which favo</w:t>
      </w:r>
      <w:r w:rsidR="001D1244">
        <w:rPr>
          <w:rStyle w:val="bumpedfont15"/>
          <w:color w:val="000000"/>
          <w:sz w:val="28"/>
          <w:szCs w:val="28"/>
        </w:rPr>
        <w:t>u</w:t>
      </w:r>
      <w:r w:rsidRPr="00B51CA3">
        <w:rPr>
          <w:rStyle w:val="bumpedfont15"/>
          <w:color w:val="000000"/>
          <w:sz w:val="28"/>
          <w:szCs w:val="28"/>
        </w:rPr>
        <w:t xml:space="preserve">r four-drug regimens due to increasing </w:t>
      </w:r>
      <w:r w:rsidRPr="00B51CA3">
        <w:rPr>
          <w:rStyle w:val="bumpedfont15"/>
          <w:color w:val="000000"/>
          <w:sz w:val="28"/>
          <w:szCs w:val="28"/>
        </w:rPr>
        <w:lastRenderedPageBreak/>
        <w:t xml:space="preserve">antibiotic resistance. However, the use of PPIs as monotherapy (11.9%) by some physicians is inappropriate and ineffective in eradicating </w:t>
      </w:r>
      <w:r w:rsidRPr="00D96EBA">
        <w:rPr>
          <w:rStyle w:val="bumpedfont15"/>
          <w:i/>
          <w:iCs/>
          <w:color w:val="000000"/>
          <w:sz w:val="28"/>
          <w:szCs w:val="28"/>
        </w:rPr>
        <w:t>H. pylori</w:t>
      </w:r>
      <w:r w:rsidRPr="00B51CA3">
        <w:rPr>
          <w:rStyle w:val="bumpedfont15"/>
          <w:color w:val="000000"/>
          <w:sz w:val="28"/>
          <w:szCs w:val="28"/>
        </w:rPr>
        <w:t xml:space="preserve">. This choice could be related to economic constraints or a lack of familiarity with current protocols. </w:t>
      </w:r>
      <w:r w:rsidR="001D1244" w:rsidRPr="00B43C94">
        <w:rPr>
          <w:rStyle w:val="bumpedfont15"/>
          <w:color w:val="000000"/>
          <w:sz w:val="28"/>
          <w:szCs w:val="28"/>
          <w:highlight w:val="yellow"/>
        </w:rPr>
        <w:t>Standardi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ation </w:t>
      </w:r>
      <w:r w:rsidRPr="00B43C94">
        <w:rPr>
          <w:rStyle w:val="bumpedfont15"/>
          <w:color w:val="000000"/>
          <w:sz w:val="28"/>
          <w:szCs w:val="28"/>
          <w:highlight w:val="yellow"/>
        </w:rPr>
        <w:t xml:space="preserve">of treatments is necessary to </w:t>
      </w:r>
      <w:r w:rsidR="001D1244" w:rsidRPr="00B51CA3">
        <w:rPr>
          <w:rStyle w:val="bumpedfont15"/>
          <w:color w:val="000000"/>
          <w:sz w:val="28"/>
          <w:szCs w:val="28"/>
        </w:rPr>
        <w:t>optimi</w:t>
      </w:r>
      <w:r w:rsidR="001D1244">
        <w:rPr>
          <w:rStyle w:val="bumpedfont15"/>
          <w:color w:val="000000"/>
          <w:sz w:val="28"/>
          <w:szCs w:val="28"/>
        </w:rPr>
        <w:t>s</w:t>
      </w:r>
      <w:r w:rsidR="001D1244" w:rsidRPr="00B51CA3">
        <w:rPr>
          <w:rStyle w:val="bumpedfont15"/>
          <w:color w:val="000000"/>
          <w:sz w:val="28"/>
          <w:szCs w:val="28"/>
        </w:rPr>
        <w:t xml:space="preserve">e </w:t>
      </w:r>
      <w:r w:rsidRPr="00B51CA3">
        <w:rPr>
          <w:rStyle w:val="bumpedfont15"/>
          <w:color w:val="000000"/>
          <w:sz w:val="28"/>
          <w:szCs w:val="28"/>
        </w:rPr>
        <w:t>outcomes. This preference for four-drug therapy differs from the Guadeloupe study, where sequential therapy predominates (56.41% vs. 18.3%), while triple therapy is comparable (17.94% vs. 22.02%), with a similar influence of age and education (younger individuals favoring modern regimens, RR 4.5 for non-specification in those &gt;65 years old, p&lt;0.05) [7]. The French study by Heluwaert and Lamarque reports that general practitioners do not follow the prescribed regimens in the majority of cases, with resistance to clarithromycin increasing fivefold in 15 years, and recommends empirical quadruple therapies for &gt;85% eradication in first-line treatment. [4]</w:t>
      </w:r>
    </w:p>
    <w:p w14:paraId="799FD164" w14:textId="3B7D9BA1"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 xml:space="preserve">The majority of physicians (79.8%) performed eradication testing, a positive practice aligned with international recommendations. However, 20.2% did not, which could increase the risk of persistence or undetected complications. The reasons for this non-performance (logistical constraints, cost, or lack of awareness) warrant further investigation to encourage universal adoption of this practice. This high frequency of testing is close to that observed in Guadeloupe (73.04% always after first-line treatment) [7], indicating uniformity in both contexts, with no significant link to age. The French study by Heluwaert and Lamarque indicates that testing is not performed by general practitioners in one-third of cases, despite its simplicity via a breath test, and suggests delegation by gastroenterologists with </w:t>
      </w:r>
      <w:r w:rsidR="001D1244" w:rsidRPr="00B43C94">
        <w:rPr>
          <w:rStyle w:val="bumpedfont15"/>
          <w:color w:val="000000"/>
          <w:sz w:val="28"/>
          <w:szCs w:val="28"/>
          <w:highlight w:val="yellow"/>
        </w:rPr>
        <w:t>standardi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ed </w:t>
      </w:r>
      <w:r w:rsidRPr="00B43C94">
        <w:rPr>
          <w:rStyle w:val="bumpedfont15"/>
          <w:color w:val="000000"/>
          <w:sz w:val="28"/>
          <w:szCs w:val="28"/>
          <w:highlight w:val="yellow"/>
        </w:rPr>
        <w:t>forms to improve adherence. [4] Serology was used by 71.3% of physicians for eradication m</w:t>
      </w:r>
      <w:r w:rsidRPr="00B51CA3">
        <w:rPr>
          <w:rStyle w:val="bumpedfont15"/>
          <w:color w:val="000000"/>
          <w:sz w:val="28"/>
          <w:szCs w:val="28"/>
        </w:rPr>
        <w:t xml:space="preserve">onitoring, which is inappropriate because it does not distinguish between an active and a past infection. Recommended tests, such as the urea breath test (8.1%) or stool antigen detection (3.4%), were </w:t>
      </w:r>
      <w:r w:rsidR="001D1244" w:rsidRPr="00B43C94">
        <w:rPr>
          <w:rStyle w:val="bumpedfont15"/>
          <w:color w:val="000000"/>
          <w:sz w:val="28"/>
          <w:szCs w:val="28"/>
          <w:highlight w:val="yellow"/>
        </w:rPr>
        <w:t>underutili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ed</w:t>
      </w:r>
      <w:r w:rsidRPr="00B51CA3">
        <w:rPr>
          <w:rStyle w:val="bumpedfont15"/>
          <w:color w:val="000000"/>
          <w:sz w:val="28"/>
          <w:szCs w:val="28"/>
        </w:rPr>
        <w:t>, likely due to a lack of awareness of the latest guidelines. This inappropriate choice can lead to poor assessment of eradication, highlighting an urgent need for training and access to more accurate tests. In comparison, the Guadeloupe study reports lower use of serology (14.52% vs. 71.26%), with a preference for the breath test, reflecting practices more aligned with guidelines, although the inadequacy of serology is a common finding. [7]</w:t>
      </w:r>
    </w:p>
    <w:p w14:paraId="0330F333" w14:textId="5ECD1F24" w:rsidR="0068605D" w:rsidRPr="00B51CA3" w:rsidRDefault="0068605D" w:rsidP="002B66C4">
      <w:pPr>
        <w:pStyle w:val="s12"/>
        <w:spacing w:before="0" w:beforeAutospacing="0" w:after="120" w:afterAutospacing="0"/>
        <w:jc w:val="both"/>
        <w:rPr>
          <w:color w:val="000000"/>
          <w:sz w:val="20"/>
          <w:szCs w:val="20"/>
        </w:rPr>
      </w:pPr>
      <w:r w:rsidRPr="00B51CA3">
        <w:rPr>
          <w:rStyle w:val="bumpedfont15"/>
          <w:color w:val="000000"/>
          <w:sz w:val="28"/>
          <w:szCs w:val="28"/>
        </w:rPr>
        <w:t xml:space="preserve">In cases of treatment failure, 68.8% of physicians referred patients to a specialist, which is an appropriate practice. The 31.2% who prescribed second-line treatment themselves may reflect confidence in their abilities or a lack of access to specialists. This distribution suggests good collaboration between general practitioners and specialists, but an analysis of the clinical outcomes of these choices would be necessary to assess their relevance. This referral approach after treatment failure aligns with the Guadeloupe study (52.13% after second-line treatment), although self-management is more common in Bamako, with no significant correlation to the type of initial treatment in either case (p&gt;0.05 in </w:t>
      </w:r>
      <w:r w:rsidRPr="00B51CA3">
        <w:rPr>
          <w:rStyle w:val="bumpedfont15"/>
          <w:color w:val="000000"/>
          <w:sz w:val="28"/>
          <w:szCs w:val="28"/>
        </w:rPr>
        <w:lastRenderedPageBreak/>
        <w:t>Guadeloupe). [7] Among physicians prescribing second-line treatment, the 10-day bismuth-based quadruple therapy was the most frequently used (32.4%), which is consistent with the recommendations for salvage treatments. The continued use of PPI monotherapy (17.6%) is concerning, as it is ineffective. This choice could be influenced by economic constraints or a lack of familiarity with protocols. Increased awareness of recommended treatment regimens is necessary. In perspective, the Guadeloupe study also favo</w:t>
      </w:r>
      <w:r w:rsidR="001D1244">
        <w:rPr>
          <w:rStyle w:val="bumpedfont15"/>
          <w:color w:val="000000"/>
          <w:sz w:val="28"/>
          <w:szCs w:val="28"/>
        </w:rPr>
        <w:t>u</w:t>
      </w:r>
      <w:r w:rsidRPr="00B51CA3">
        <w:rPr>
          <w:rStyle w:val="bumpedfont15"/>
          <w:color w:val="000000"/>
          <w:sz w:val="28"/>
          <w:szCs w:val="28"/>
        </w:rPr>
        <w:t xml:space="preserve">red bismuth (50.43% vs. 32.35%), with sequential therapy used in the second line (15.38%), indicating a similarity in salvage therapy choices, although influenced by first-line treatment [7]. The French study by Heluwaert and Lamarque recommends empirical regimens for &gt;95% eradication after two lines of therapy and offers summary sheets to help general practitioners avoid monotherapies. [4] Younger physicians (less than 15 years of experience) more frequently identified pathologies such as MALT lymphoma, dyspepsia, and chronic gastritis (significant p-values ​​of 0.05, 0.05, and 0.025, respectively). This suggests that newly trained physicians are more aware of less common </w:t>
      </w:r>
      <w:r w:rsidRPr="00D96EBA">
        <w:rPr>
          <w:rStyle w:val="bumpedfont15"/>
          <w:i/>
          <w:iCs/>
          <w:color w:val="000000"/>
          <w:sz w:val="28"/>
          <w:szCs w:val="28"/>
        </w:rPr>
        <w:t>H. pylori</w:t>
      </w:r>
      <w:r w:rsidRPr="00B51CA3">
        <w:rPr>
          <w:rStyle w:val="bumpedfont15"/>
          <w:color w:val="000000"/>
          <w:sz w:val="28"/>
          <w:szCs w:val="28"/>
        </w:rPr>
        <w:t xml:space="preserve"> associations, likely due to updated training. More experienced physicians may be less familiar with these conditions due to older training or a focus on classic complications such as peptic ulcer disease. Physicians with less than 5 years of experience more frequently cited prolonged PPI use (p=0.014) and unexplained </w:t>
      </w:r>
      <w:r w:rsidRPr="00B43C94">
        <w:rPr>
          <w:rStyle w:val="bumpedfont15"/>
          <w:color w:val="000000"/>
          <w:sz w:val="28"/>
          <w:szCs w:val="28"/>
          <w:highlight w:val="yellow"/>
        </w:rPr>
        <w:t>an</w:t>
      </w:r>
      <w:r w:rsidR="001D1244" w:rsidRPr="00B43C94">
        <w:rPr>
          <w:rStyle w:val="bumpedfont15"/>
          <w:color w:val="000000"/>
          <w:sz w:val="28"/>
          <w:szCs w:val="28"/>
          <w:highlight w:val="yellow"/>
        </w:rPr>
        <w:t>a</w:t>
      </w:r>
      <w:r w:rsidRPr="00B43C94">
        <w:rPr>
          <w:rStyle w:val="bumpedfont15"/>
          <w:color w:val="000000"/>
          <w:sz w:val="28"/>
          <w:szCs w:val="28"/>
          <w:highlight w:val="yellow"/>
        </w:rPr>
        <w:t>emia (</w:t>
      </w:r>
      <w:r w:rsidRPr="00B51CA3">
        <w:rPr>
          <w:rStyle w:val="bumpedfont15"/>
          <w:color w:val="000000"/>
          <w:sz w:val="28"/>
          <w:szCs w:val="28"/>
        </w:rPr>
        <w:t xml:space="preserve">p=0.025) as indications for </w:t>
      </w:r>
      <w:r w:rsidRPr="00D96EBA">
        <w:rPr>
          <w:rStyle w:val="bumpedfont15"/>
          <w:i/>
          <w:iCs/>
          <w:color w:val="000000"/>
          <w:sz w:val="28"/>
          <w:szCs w:val="28"/>
        </w:rPr>
        <w:t>H. pylori</w:t>
      </w:r>
      <w:r w:rsidRPr="00B51CA3">
        <w:rPr>
          <w:rStyle w:val="bumpedfont15"/>
          <w:color w:val="000000"/>
          <w:sz w:val="28"/>
          <w:szCs w:val="28"/>
        </w:rPr>
        <w:t xml:space="preserve"> testing. This reflects a greater awareness of recent guidelines among younger physicians, which incorporate broader indications. More experienced physicians may be less familiar with these indications, highlighting the importance of continuing education </w:t>
      </w:r>
      <w:r w:rsidRPr="00B43C94">
        <w:rPr>
          <w:rStyle w:val="bumpedfont15"/>
          <w:color w:val="000000"/>
          <w:sz w:val="28"/>
          <w:szCs w:val="28"/>
          <w:highlight w:val="yellow"/>
        </w:rPr>
        <w:t xml:space="preserve">to </w:t>
      </w:r>
      <w:r w:rsidR="001D1244" w:rsidRPr="00B43C94">
        <w:rPr>
          <w:rStyle w:val="bumpedfont15"/>
          <w:color w:val="000000"/>
          <w:sz w:val="28"/>
          <w:szCs w:val="28"/>
          <w:highlight w:val="yellow"/>
        </w:rPr>
        <w:t>harmoni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 </w:t>
      </w:r>
      <w:r w:rsidRPr="00B43C94">
        <w:rPr>
          <w:rStyle w:val="bumpedfont15"/>
          <w:color w:val="000000"/>
          <w:sz w:val="28"/>
          <w:szCs w:val="28"/>
          <w:highlight w:val="yellow"/>
        </w:rPr>
        <w:t>pra</w:t>
      </w:r>
      <w:r w:rsidRPr="00B51CA3">
        <w:rPr>
          <w:rStyle w:val="bumpedfont15"/>
          <w:color w:val="000000"/>
          <w:sz w:val="28"/>
          <w:szCs w:val="28"/>
        </w:rPr>
        <w:t xml:space="preserve">ctices. Similarly, in Guadeloupe, physicians aged 25–35 years more frequently cited PPI use (RR 1.24) and aspirin </w:t>
      </w:r>
      <w:r w:rsidRPr="00B43C94">
        <w:rPr>
          <w:rStyle w:val="bumpedfont15"/>
          <w:color w:val="000000"/>
          <w:sz w:val="28"/>
          <w:szCs w:val="28"/>
          <w:highlight w:val="yellow"/>
        </w:rPr>
        <w:t>use (RR 3.26, p&lt;0.05</w:t>
      </w:r>
      <w:r w:rsidR="001D1244" w:rsidRPr="00B43C94">
        <w:rPr>
          <w:rStyle w:val="bumpedfont15"/>
          <w:color w:val="000000"/>
          <w:sz w:val="28"/>
          <w:szCs w:val="28"/>
          <w:highlight w:val="yellow"/>
        </w:rPr>
        <w:t>)</w:t>
      </w:r>
      <w:r w:rsidR="001D1244" w:rsidRPr="00B43C94">
        <w:rPr>
          <w:rStyle w:val="bumpedfont15"/>
          <w:color w:val="000000"/>
          <w:sz w:val="28"/>
          <w:szCs w:val="28"/>
          <w:highlight w:val="yellow"/>
        </w:rPr>
        <w:t xml:space="preserve">, </w:t>
      </w:r>
      <w:r w:rsidRPr="00B43C94">
        <w:rPr>
          <w:rStyle w:val="bumpedfont15"/>
          <w:color w:val="000000"/>
          <w:sz w:val="28"/>
          <w:szCs w:val="28"/>
          <w:highlight w:val="yellow"/>
        </w:rPr>
        <w:t>confirming a common trend where younger physicians favo</w:t>
      </w:r>
      <w:r w:rsidR="001D1244" w:rsidRPr="00B43C94">
        <w:rPr>
          <w:rStyle w:val="bumpedfont15"/>
          <w:color w:val="000000"/>
          <w:sz w:val="28"/>
          <w:szCs w:val="28"/>
          <w:highlight w:val="yellow"/>
        </w:rPr>
        <w:t>u</w:t>
      </w:r>
      <w:r w:rsidRPr="00B43C94">
        <w:rPr>
          <w:rStyle w:val="bumpedfont15"/>
          <w:color w:val="000000"/>
          <w:sz w:val="28"/>
          <w:szCs w:val="28"/>
          <w:highlight w:val="yellow"/>
        </w:rPr>
        <w:t>r the adoption of bro</w:t>
      </w:r>
      <w:r w:rsidRPr="00B51CA3">
        <w:rPr>
          <w:rStyle w:val="bumpedfont15"/>
          <w:color w:val="000000"/>
          <w:sz w:val="28"/>
          <w:szCs w:val="28"/>
        </w:rPr>
        <w:t>ader indications. [7] The least experienced physicians (less than 5 years) used the urea breath test significantly more often (p=0.028) and serology (p=0.003). This could indicate adoption of modern tests by younger physicians, although the use of serology remains problematic. More senior physicians might favo</w:t>
      </w:r>
      <w:r w:rsidR="001D1244">
        <w:rPr>
          <w:rStyle w:val="bumpedfont15"/>
          <w:color w:val="000000"/>
          <w:sz w:val="28"/>
          <w:szCs w:val="28"/>
        </w:rPr>
        <w:t>u</w:t>
      </w:r>
      <w:r w:rsidRPr="00B51CA3">
        <w:rPr>
          <w:rStyle w:val="bumpedfont15"/>
          <w:color w:val="000000"/>
          <w:sz w:val="28"/>
          <w:szCs w:val="28"/>
        </w:rPr>
        <w:t>r more accessible tests such as invasive tests, although the difference was not significant (p=0.180). Targeted training could encourage the use of more accurate tests. This variation according to seniority parallels that observed in Guadeloupe, where physicians aged 56–65 prescribed the breath test 36% less often (RR 0.64, p=0.053), although serology is less problematic overall [7]. The French study by Heluwaert and Lamarque, while promoting the breath test, notes that general practitioners misuse it (failure to discontinue treatment) and suggests training for more experienced physicians. [4] Physicians with 15 years or more of experience more frequently used 7-day triple therapy or treatments based on Helicocin (amoxicillin and metronidazole) alone (p=0.021 and p=0.026), while those with less than 10 years of experience favo</w:t>
      </w:r>
      <w:r w:rsidR="001D1244">
        <w:rPr>
          <w:rStyle w:val="bumpedfont15"/>
          <w:color w:val="000000"/>
          <w:sz w:val="28"/>
          <w:szCs w:val="28"/>
        </w:rPr>
        <w:t>u</w:t>
      </w:r>
      <w:r w:rsidRPr="00B51CA3">
        <w:rPr>
          <w:rStyle w:val="bumpedfont15"/>
          <w:color w:val="000000"/>
          <w:sz w:val="28"/>
          <w:szCs w:val="28"/>
        </w:rPr>
        <w:t xml:space="preserve">red modern regimens such as concurrent quadruple therapy. This reflects a potential resistance to change among more experienced physicians, who adhere to older practices. </w:t>
      </w:r>
      <w:r w:rsidRPr="00B51CA3">
        <w:rPr>
          <w:rStyle w:val="bumpedfont15"/>
          <w:color w:val="000000"/>
          <w:sz w:val="28"/>
          <w:szCs w:val="28"/>
        </w:rPr>
        <w:lastRenderedPageBreak/>
        <w:t>Updating local protocols could encourage the adoption of recommended treatments. Similarly, the Guadeloupe study shows that those over 65 are less informed about treatments (RR 4.5, p&lt;0.05), with an increased prescription of non-bismuth-based quadruple therapy among 56-65 year olds (p=0.08), indicating a similar influence of experience on therapeutic choices. [7][4] Physicians with 15 years or more of experience more frequently used 7-day triple therapy or Helicocin-based treatments (amoxicillin and metronidazole) alone (p=0.021 and p=0.026), while those with less than 10 years of experience favo</w:t>
      </w:r>
      <w:r w:rsidR="001D1244">
        <w:rPr>
          <w:rStyle w:val="bumpedfont15"/>
          <w:color w:val="000000"/>
          <w:sz w:val="28"/>
          <w:szCs w:val="28"/>
        </w:rPr>
        <w:t>u</w:t>
      </w:r>
      <w:r w:rsidRPr="00B51CA3">
        <w:rPr>
          <w:rStyle w:val="bumpedfont15"/>
          <w:color w:val="000000"/>
          <w:sz w:val="28"/>
          <w:szCs w:val="28"/>
        </w:rPr>
        <w:t>red modern regimens such as concurrent quadruple therapy. This reflects potential resistance to change among more experienced physicians, who adhere to older practices. Updating local protocols could encourage the adoption of recommended treatments. Similarly, the Guadeloupe study shows that those over 65 are less informed about treatments (RR 4.5, p&lt;0.05), with increased prescription of non-bismuth quadruple therapy among 56-65 year olds (p=0.08), indicating a similar influence of experience on treatment choices. [7][4] Physicians with 15 years or more of experience more frequently used 7-day triple therapy or Helicocin-based treatments (amoxicillin and metronidazole) alone (p=0.021 and p=0.026), while those with less than 10 years of experience favo</w:t>
      </w:r>
      <w:r w:rsidR="001D1244">
        <w:rPr>
          <w:rStyle w:val="bumpedfont15"/>
          <w:color w:val="000000"/>
          <w:sz w:val="28"/>
          <w:szCs w:val="28"/>
        </w:rPr>
        <w:t>u</w:t>
      </w:r>
      <w:r w:rsidRPr="00B51CA3">
        <w:rPr>
          <w:rStyle w:val="bumpedfont15"/>
          <w:color w:val="000000"/>
          <w:sz w:val="28"/>
          <w:szCs w:val="28"/>
        </w:rPr>
        <w:t>red modern regimens such as concurrent quadruple therapy. This reflects potential resistance to change among more experienced physicians, who adhere to older practices. Updating local protocols could encourage the adoption of recommended treatments. Similarly, the Guadeloupe study shows that those over 65 are less informed about treatments (RR 4.5, p&lt;0.05), with increased prescription of non-bismuth quadruple therapy among 56-65 year olds (p=0.08), indicating a similar influence of experience on treatment choices. [7]</w:t>
      </w:r>
    </w:p>
    <w:p w14:paraId="51A72AAC" w14:textId="77777777" w:rsidR="003F0E79" w:rsidRDefault="003F0E79" w:rsidP="002B66C4">
      <w:pPr>
        <w:pStyle w:val="s10"/>
        <w:spacing w:before="0" w:beforeAutospacing="0" w:after="120" w:afterAutospacing="0"/>
        <w:jc w:val="both"/>
        <w:rPr>
          <w:rStyle w:val="bumpedfont15"/>
          <w:b/>
          <w:bCs/>
          <w:color w:val="000000"/>
          <w:sz w:val="28"/>
          <w:szCs w:val="28"/>
        </w:rPr>
      </w:pPr>
    </w:p>
    <w:p w14:paraId="07EEA766" w14:textId="5F9AD340" w:rsidR="0068605D" w:rsidRPr="00B51CA3" w:rsidRDefault="0068605D" w:rsidP="002B66C4">
      <w:pPr>
        <w:pStyle w:val="s10"/>
        <w:spacing w:before="0" w:beforeAutospacing="0" w:after="120" w:afterAutospacing="0"/>
        <w:jc w:val="both"/>
        <w:rPr>
          <w:b/>
          <w:bCs/>
          <w:color w:val="000000"/>
          <w:sz w:val="20"/>
          <w:szCs w:val="20"/>
        </w:rPr>
      </w:pPr>
      <w:r w:rsidRPr="00B51CA3">
        <w:rPr>
          <w:rStyle w:val="bumpedfont15"/>
          <w:b/>
          <w:bCs/>
          <w:color w:val="000000"/>
          <w:sz w:val="28"/>
          <w:szCs w:val="28"/>
        </w:rPr>
        <w:t>CONCLUSION</w:t>
      </w:r>
    </w:p>
    <w:p w14:paraId="78B7519D" w14:textId="2ABA8F15" w:rsidR="0068605D" w:rsidRDefault="0068605D" w:rsidP="002B66C4">
      <w:pPr>
        <w:pStyle w:val="s12"/>
        <w:spacing w:before="0" w:beforeAutospacing="0" w:after="120" w:afterAutospacing="0"/>
        <w:jc w:val="both"/>
        <w:rPr>
          <w:rStyle w:val="bumpedfont15"/>
          <w:color w:val="000000"/>
          <w:sz w:val="28"/>
          <w:szCs w:val="28"/>
        </w:rPr>
      </w:pPr>
      <w:r w:rsidRPr="00B51CA3">
        <w:rPr>
          <w:rStyle w:val="bumpedfont15"/>
          <w:color w:val="000000"/>
          <w:sz w:val="28"/>
          <w:szCs w:val="28"/>
        </w:rPr>
        <w:t>This study, conducted with 109 general practitioners, shows that even though the majority have already been confronted with cases of infection, their knowledge and practices remain heterogeneous.</w:t>
      </w:r>
      <w:r w:rsidR="002B66C4">
        <w:rPr>
          <w:rStyle w:val="bumpedfont15"/>
          <w:color w:val="000000"/>
          <w:sz w:val="28"/>
          <w:szCs w:val="28"/>
        </w:rPr>
        <w:t xml:space="preserve"> </w:t>
      </w:r>
      <w:r w:rsidRPr="00B51CA3">
        <w:rPr>
          <w:rStyle w:val="bumpedfont15"/>
          <w:color w:val="000000"/>
          <w:sz w:val="28"/>
          <w:szCs w:val="28"/>
        </w:rPr>
        <w:t xml:space="preserve">The results reveal good identification of common symptoms and associated pathologies, but also significant shortcomings regarding modes of transmission, screening indications, the choice of diagnostic tests, and the application of recommended treatment regimens. The still predominant use of serology as </w:t>
      </w:r>
      <w:proofErr w:type="gramStart"/>
      <w:r w:rsidRPr="00B51CA3">
        <w:rPr>
          <w:rStyle w:val="bumpedfont15"/>
          <w:color w:val="000000"/>
          <w:sz w:val="28"/>
          <w:szCs w:val="28"/>
        </w:rPr>
        <w:t>a</w:t>
      </w:r>
      <w:proofErr w:type="gramEnd"/>
      <w:r w:rsidRPr="00B51CA3">
        <w:rPr>
          <w:rStyle w:val="bumpedfont15"/>
          <w:color w:val="000000"/>
          <w:sz w:val="28"/>
          <w:szCs w:val="28"/>
        </w:rPr>
        <w:t xml:space="preserve"> first-line test and the lack of awareness of certain key indications suggest a need for updated knowledge.</w:t>
      </w:r>
      <w:r w:rsidR="002B66C4">
        <w:rPr>
          <w:rStyle w:val="bumpedfont15"/>
          <w:color w:val="000000"/>
          <w:sz w:val="28"/>
          <w:szCs w:val="28"/>
        </w:rPr>
        <w:t xml:space="preserve"> </w:t>
      </w:r>
      <w:r w:rsidRPr="00B51CA3">
        <w:rPr>
          <w:rStyle w:val="bumpedfont15"/>
          <w:color w:val="000000"/>
          <w:sz w:val="28"/>
          <w:szCs w:val="28"/>
        </w:rPr>
        <w:t xml:space="preserve">In light of these findings, it appears essential to strengthen continuing education for general practitioners and to </w:t>
      </w:r>
      <w:r w:rsidRPr="00B43C94">
        <w:rPr>
          <w:rStyle w:val="bumpedfont15"/>
          <w:color w:val="000000"/>
          <w:sz w:val="28"/>
          <w:szCs w:val="28"/>
          <w:highlight w:val="yellow"/>
        </w:rPr>
        <w:t xml:space="preserve">disseminate </w:t>
      </w:r>
      <w:r w:rsidR="001D1244" w:rsidRPr="00B43C94">
        <w:rPr>
          <w:rStyle w:val="bumpedfont15"/>
          <w:color w:val="000000"/>
          <w:sz w:val="28"/>
          <w:szCs w:val="28"/>
          <w:highlight w:val="yellow"/>
        </w:rPr>
        <w:t>standardi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ed </w:t>
      </w:r>
      <w:r w:rsidRPr="00B43C94">
        <w:rPr>
          <w:rStyle w:val="bumpedfont15"/>
          <w:color w:val="000000"/>
          <w:sz w:val="28"/>
          <w:szCs w:val="28"/>
          <w:highlight w:val="yellow"/>
        </w:rPr>
        <w:t xml:space="preserve">protocols adapted to the Malian context. Better </w:t>
      </w:r>
      <w:r w:rsidR="001D1244" w:rsidRPr="00B43C94">
        <w:rPr>
          <w:rStyle w:val="bumpedfont15"/>
          <w:color w:val="000000"/>
          <w:sz w:val="28"/>
          <w:szCs w:val="28"/>
          <w:highlight w:val="yellow"/>
        </w:rPr>
        <w:t>harmoni</w:t>
      </w:r>
      <w:r w:rsidR="001D1244" w:rsidRPr="00B43C94">
        <w:rPr>
          <w:rStyle w:val="bumpedfont15"/>
          <w:color w:val="000000"/>
          <w:sz w:val="28"/>
          <w:szCs w:val="28"/>
          <w:highlight w:val="yellow"/>
        </w:rPr>
        <w:t>s</w:t>
      </w:r>
      <w:r w:rsidR="001D1244" w:rsidRPr="00B43C94">
        <w:rPr>
          <w:rStyle w:val="bumpedfont15"/>
          <w:color w:val="000000"/>
          <w:sz w:val="28"/>
          <w:szCs w:val="28"/>
          <w:highlight w:val="yellow"/>
        </w:rPr>
        <w:t xml:space="preserve">ation </w:t>
      </w:r>
      <w:r w:rsidRPr="00B43C94">
        <w:rPr>
          <w:rStyle w:val="bumpedfont15"/>
          <w:color w:val="000000"/>
          <w:sz w:val="28"/>
          <w:szCs w:val="28"/>
          <w:highlight w:val="yellow"/>
        </w:rPr>
        <w:t>of practices w</w:t>
      </w:r>
      <w:r w:rsidRPr="00B51CA3">
        <w:rPr>
          <w:rStyle w:val="bumpedfont15"/>
          <w:color w:val="000000"/>
          <w:sz w:val="28"/>
          <w:szCs w:val="28"/>
        </w:rPr>
        <w:t xml:space="preserve">ould improve early diagnosis, the quality of treatment, and the prevention of complications related to </w:t>
      </w:r>
      <w:r w:rsidRPr="00D96EBA">
        <w:rPr>
          <w:rStyle w:val="bumpedfont15"/>
          <w:i/>
          <w:iCs/>
          <w:color w:val="000000"/>
          <w:sz w:val="28"/>
          <w:szCs w:val="28"/>
        </w:rPr>
        <w:t>H. pylori</w:t>
      </w:r>
      <w:r w:rsidRPr="00B51CA3">
        <w:rPr>
          <w:rStyle w:val="bumpedfont15"/>
          <w:color w:val="000000"/>
          <w:sz w:val="28"/>
          <w:szCs w:val="28"/>
        </w:rPr>
        <w:t>, thus contributing to better patient care in the Bamako district.</w:t>
      </w:r>
    </w:p>
    <w:p w14:paraId="4A6BE779" w14:textId="77777777" w:rsidR="0075779F" w:rsidRPr="00B51CA3" w:rsidRDefault="0075779F" w:rsidP="0068605D">
      <w:pPr>
        <w:pStyle w:val="s10"/>
        <w:spacing w:before="0" w:beforeAutospacing="0" w:after="120" w:afterAutospacing="0"/>
        <w:rPr>
          <w:color w:val="000000"/>
          <w:sz w:val="20"/>
          <w:szCs w:val="20"/>
        </w:rPr>
      </w:pPr>
    </w:p>
    <w:p w14:paraId="3947C3B8" w14:textId="241AA284" w:rsidR="00657B0E" w:rsidRPr="008643C7" w:rsidRDefault="00657B0E">
      <w:pPr>
        <w:rPr>
          <w:rFonts w:ascii="Times New Roman" w:hAnsi="Times New Roman" w:cs="Times New Roman"/>
        </w:rPr>
      </w:pPr>
      <w:r w:rsidRPr="008643C7">
        <w:rPr>
          <w:rFonts w:ascii="Times New Roman" w:hAnsi="Times New Roman" w:cs="Times New Roman"/>
        </w:rPr>
        <w:lastRenderedPageBreak/>
        <w:t>Figure 1 : Distribution of General practitioners according to their place of practice in the Bamako district</w:t>
      </w:r>
    </w:p>
    <w:p w14:paraId="5FE297CC" w14:textId="62EF83BC" w:rsidR="00B40E3D" w:rsidRDefault="00B40E3D" w:rsidP="00571712">
      <w:pPr>
        <w:rPr>
          <w:noProof/>
        </w:rPr>
      </w:pPr>
      <w:r>
        <w:rPr>
          <w:noProof/>
        </w:rPr>
        <w:drawing>
          <wp:inline distT="0" distB="0" distL="0" distR="0" wp14:anchorId="3A0D1D90" wp14:editId="324F634B">
            <wp:extent cx="4572000" cy="2743200"/>
            <wp:effectExtent l="0" t="0" r="0" b="0"/>
            <wp:docPr id="1" name="Graphique 1">
              <a:extLst xmlns:a="http://schemas.openxmlformats.org/drawingml/2006/main">
                <a:ext uri="{FF2B5EF4-FFF2-40B4-BE49-F238E27FC236}">
                  <a16:creationId xmlns:a16="http://schemas.microsoft.com/office/drawing/2014/main" id="{8B8A59A9-6112-4F73-8316-7B306D4420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C9591F" w14:textId="42B447BC" w:rsidR="00657B0E" w:rsidRPr="00893683" w:rsidRDefault="00657B0E" w:rsidP="00893683">
      <w:pPr>
        <w:tabs>
          <w:tab w:val="left" w:pos="2180"/>
        </w:tabs>
        <w:rPr>
          <w:rFonts w:ascii="Times New Roman" w:hAnsi="Times New Roman" w:cs="Times New Roman"/>
          <w:sz w:val="28"/>
          <w:szCs w:val="28"/>
        </w:rPr>
      </w:pPr>
      <w:r w:rsidRPr="00893683">
        <w:rPr>
          <w:rFonts w:ascii="Times New Roman" w:hAnsi="Times New Roman" w:cs="Times New Roman"/>
        </w:rPr>
        <w:t>Figure 2 : Distribution of General practitioners depending on the modes of transmission of Hp infection</w:t>
      </w:r>
    </w:p>
    <w:p w14:paraId="6C069C37" w14:textId="0412DE87" w:rsidR="00BC6CCB" w:rsidRDefault="00571712" w:rsidP="00657B0E">
      <w:pPr>
        <w:rPr>
          <w:rFonts w:ascii="Times New Roman" w:hAnsi="Times New Roman" w:cs="Times New Roman"/>
          <w:sz w:val="28"/>
          <w:szCs w:val="28"/>
        </w:rPr>
      </w:pPr>
      <w:r>
        <w:rPr>
          <w:noProof/>
        </w:rPr>
        <w:drawing>
          <wp:inline distT="0" distB="0" distL="0" distR="0" wp14:anchorId="1350B61A" wp14:editId="3ACE66DB">
            <wp:extent cx="4572000" cy="2743200"/>
            <wp:effectExtent l="0" t="0" r="0" b="0"/>
            <wp:docPr id="3" name="Graphique 3">
              <a:extLst xmlns:a="http://schemas.openxmlformats.org/drawingml/2006/main">
                <a:ext uri="{FF2B5EF4-FFF2-40B4-BE49-F238E27FC236}">
                  <a16:creationId xmlns:a16="http://schemas.microsoft.com/office/drawing/2014/main" id="{F74D853C-325E-44AA-84E6-2F94D88A8F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6517F2" w14:textId="77777777" w:rsidR="00B12B3D" w:rsidRDefault="00B12B3D">
      <w:pPr>
        <w:rPr>
          <w:rFonts w:ascii="Times New Roman" w:hAnsi="Times New Roman" w:cs="Times New Roman"/>
        </w:rPr>
      </w:pPr>
    </w:p>
    <w:p w14:paraId="76277926" w14:textId="77777777" w:rsidR="00B12B3D" w:rsidRDefault="00B12B3D">
      <w:pPr>
        <w:rPr>
          <w:rFonts w:ascii="Times New Roman" w:hAnsi="Times New Roman" w:cs="Times New Roman"/>
        </w:rPr>
      </w:pPr>
    </w:p>
    <w:p w14:paraId="63B43638" w14:textId="77777777" w:rsidR="00B12B3D" w:rsidRDefault="00B12B3D">
      <w:pPr>
        <w:rPr>
          <w:rFonts w:ascii="Times New Roman" w:hAnsi="Times New Roman" w:cs="Times New Roman"/>
        </w:rPr>
      </w:pPr>
    </w:p>
    <w:p w14:paraId="4ADC52DB" w14:textId="2A0B3102" w:rsidR="00657B0E" w:rsidRPr="00657B0E" w:rsidRDefault="00657B0E">
      <w:pPr>
        <w:rPr>
          <w:rFonts w:ascii="Times New Roman" w:hAnsi="Times New Roman" w:cs="Times New Roman"/>
        </w:rPr>
      </w:pPr>
      <w:r w:rsidRPr="00BE6E38">
        <w:rPr>
          <w:rFonts w:ascii="Times New Roman" w:hAnsi="Times New Roman" w:cs="Times New Roman"/>
        </w:rPr>
        <w:t>Figure 3 : Distribution of general practitioners according to indications for Hp infection testing.</w:t>
      </w:r>
    </w:p>
    <w:p w14:paraId="55391063" w14:textId="543FDE7C" w:rsidR="00BC6CCB" w:rsidRDefault="00697E5A">
      <w:pPr>
        <w:rPr>
          <w:rFonts w:ascii="Times New Roman" w:hAnsi="Times New Roman" w:cs="Times New Roman"/>
          <w:sz w:val="28"/>
          <w:szCs w:val="28"/>
        </w:rPr>
      </w:pPr>
      <w:r>
        <w:rPr>
          <w:noProof/>
        </w:rPr>
        <w:lastRenderedPageBreak/>
        <w:drawing>
          <wp:inline distT="0" distB="0" distL="0" distR="0" wp14:anchorId="0837BCD4" wp14:editId="22EB8797">
            <wp:extent cx="4572000" cy="2743200"/>
            <wp:effectExtent l="0" t="0" r="0" b="0"/>
            <wp:docPr id="4" name="Graphique 4">
              <a:extLst xmlns:a="http://schemas.openxmlformats.org/drawingml/2006/main">
                <a:ext uri="{FF2B5EF4-FFF2-40B4-BE49-F238E27FC236}">
                  <a16:creationId xmlns:a16="http://schemas.microsoft.com/office/drawing/2014/main" id="{5F99F5FE-6568-4F62-8463-0D37009AB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273998" w14:textId="77777777" w:rsidR="00893683" w:rsidRDefault="00893683">
      <w:pPr>
        <w:rPr>
          <w:rFonts w:ascii="Times New Roman" w:hAnsi="Times New Roman" w:cs="Times New Roman"/>
        </w:rPr>
      </w:pPr>
    </w:p>
    <w:p w14:paraId="689FEA7B" w14:textId="77777777" w:rsidR="00893683" w:rsidRDefault="00893683">
      <w:pPr>
        <w:rPr>
          <w:rFonts w:ascii="Times New Roman" w:hAnsi="Times New Roman" w:cs="Times New Roman"/>
        </w:rPr>
      </w:pPr>
    </w:p>
    <w:p w14:paraId="0F2F06D2" w14:textId="77777777" w:rsidR="003F0E79" w:rsidRDefault="003F0E79">
      <w:pPr>
        <w:rPr>
          <w:rFonts w:ascii="Times New Roman" w:hAnsi="Times New Roman" w:cs="Times New Roman"/>
        </w:rPr>
      </w:pPr>
    </w:p>
    <w:p w14:paraId="26A0DDFD" w14:textId="77777777" w:rsidR="003F0E79" w:rsidRDefault="003F0E79">
      <w:pPr>
        <w:rPr>
          <w:rFonts w:ascii="Times New Roman" w:hAnsi="Times New Roman" w:cs="Times New Roman"/>
        </w:rPr>
      </w:pPr>
    </w:p>
    <w:p w14:paraId="45E4B62D" w14:textId="1A255E57" w:rsidR="00657B0E" w:rsidRPr="00893683" w:rsidRDefault="00657B0E">
      <w:pPr>
        <w:rPr>
          <w:rFonts w:ascii="Times New Roman" w:hAnsi="Times New Roman" w:cs="Times New Roman"/>
        </w:rPr>
      </w:pPr>
      <w:r w:rsidRPr="00893683">
        <w:rPr>
          <w:rFonts w:ascii="Times New Roman" w:hAnsi="Times New Roman" w:cs="Times New Roman"/>
        </w:rPr>
        <w:t>Figure 4 : Distribution of General practitioners according to first-line tests for Hp infection</w:t>
      </w:r>
    </w:p>
    <w:p w14:paraId="4EC1EB06" w14:textId="6C25C8E9" w:rsidR="00697E5A" w:rsidRDefault="00C01748" w:rsidP="00657B0E">
      <w:pPr>
        <w:jc w:val="both"/>
        <w:rPr>
          <w:rFonts w:ascii="Times New Roman" w:hAnsi="Times New Roman" w:cs="Times New Roman"/>
          <w:sz w:val="28"/>
          <w:szCs w:val="28"/>
        </w:rPr>
      </w:pPr>
      <w:r>
        <w:rPr>
          <w:noProof/>
        </w:rPr>
        <w:drawing>
          <wp:inline distT="0" distB="0" distL="0" distR="0" wp14:anchorId="0099813E" wp14:editId="4B2E5E16">
            <wp:extent cx="4883150" cy="2794000"/>
            <wp:effectExtent l="0" t="0" r="0" b="0"/>
            <wp:docPr id="6" name="Graphique 6">
              <a:extLst xmlns:a="http://schemas.openxmlformats.org/drawingml/2006/main">
                <a:ext uri="{FF2B5EF4-FFF2-40B4-BE49-F238E27FC236}">
                  <a16:creationId xmlns:a16="http://schemas.microsoft.com/office/drawing/2014/main" id="{60C6BE3C-D2F6-43C7-BD76-891E8B7111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9EDBE9" w14:textId="2FDCFC4E" w:rsidR="00B12B3D" w:rsidRDefault="00B12B3D" w:rsidP="00BC6CCB">
      <w:pPr>
        <w:pStyle w:val="Caption"/>
        <w:keepNext/>
        <w:rPr>
          <w:rFonts w:ascii="Times New Roman" w:hAnsi="Times New Roman" w:cs="Times New Roman"/>
          <w:i w:val="0"/>
          <w:iCs w:val="0"/>
          <w:color w:val="auto"/>
          <w:sz w:val="24"/>
          <w:szCs w:val="24"/>
        </w:rPr>
      </w:pPr>
      <w:bookmarkStart w:id="2" w:name="_Toc206338566"/>
    </w:p>
    <w:p w14:paraId="4BC81221" w14:textId="556C5501" w:rsidR="00B12B3D" w:rsidRDefault="00B12B3D" w:rsidP="00B12B3D">
      <w:pPr>
        <w:rPr>
          <w:lang w:val="fr-FR"/>
        </w:rPr>
      </w:pPr>
    </w:p>
    <w:p w14:paraId="3805D91C" w14:textId="77777777" w:rsidR="00B12B3D" w:rsidRPr="00B12B3D" w:rsidRDefault="00B12B3D" w:rsidP="00B12B3D">
      <w:pPr>
        <w:rPr>
          <w:lang w:val="fr-FR"/>
        </w:rPr>
      </w:pPr>
    </w:p>
    <w:p w14:paraId="692F243B" w14:textId="202C2616" w:rsidR="00BC6CCB" w:rsidRPr="00893683" w:rsidRDefault="00BC6CCB" w:rsidP="00BC6CCB">
      <w:pPr>
        <w:pStyle w:val="Caption"/>
        <w:keepNext/>
        <w:rPr>
          <w:rFonts w:ascii="Times New Roman" w:hAnsi="Times New Roman" w:cs="Times New Roman"/>
          <w:i w:val="0"/>
          <w:iCs w:val="0"/>
          <w:color w:val="auto"/>
          <w:sz w:val="24"/>
          <w:szCs w:val="24"/>
        </w:rPr>
      </w:pPr>
      <w:r w:rsidRPr="00893683">
        <w:rPr>
          <w:rFonts w:ascii="Times New Roman" w:hAnsi="Times New Roman" w:cs="Times New Roman"/>
          <w:i w:val="0"/>
          <w:iCs w:val="0"/>
          <w:color w:val="auto"/>
          <w:sz w:val="24"/>
          <w:szCs w:val="24"/>
        </w:rPr>
        <w:lastRenderedPageBreak/>
        <w:t>Table</w:t>
      </w:r>
      <w:r w:rsidR="00BE6E38" w:rsidRPr="00893683">
        <w:rPr>
          <w:rFonts w:ascii="Times New Roman" w:hAnsi="Times New Roman" w:cs="Times New Roman"/>
          <w:i w:val="0"/>
          <w:iCs w:val="0"/>
          <w:color w:val="auto"/>
          <w:sz w:val="24"/>
          <w:szCs w:val="24"/>
        </w:rPr>
        <w:t xml:space="preserve"> </w:t>
      </w:r>
      <w:proofErr w:type="gramStart"/>
      <w:r w:rsidR="00BE6E38" w:rsidRPr="00893683">
        <w:rPr>
          <w:rFonts w:ascii="Times New Roman" w:hAnsi="Times New Roman" w:cs="Times New Roman"/>
          <w:i w:val="0"/>
          <w:iCs w:val="0"/>
          <w:color w:val="auto"/>
          <w:sz w:val="24"/>
          <w:szCs w:val="24"/>
        </w:rPr>
        <w:t>1</w:t>
      </w:r>
      <w:r w:rsidRPr="00893683">
        <w:rPr>
          <w:rFonts w:ascii="Times New Roman" w:eastAsiaTheme="minorHAnsi" w:hAnsi="Times New Roman" w:cs="Times New Roman"/>
          <w:i w:val="0"/>
          <w:iCs w:val="0"/>
          <w:color w:val="auto"/>
          <w:kern w:val="0"/>
          <w:sz w:val="24"/>
          <w:szCs w:val="24"/>
          <w:lang w:eastAsia="en-US"/>
          <w14:ligatures w14:val="none"/>
        </w:rPr>
        <w:t>:</w:t>
      </w:r>
      <w:proofErr w:type="gramEnd"/>
      <w:r w:rsidRPr="00893683">
        <w:rPr>
          <w:rFonts w:ascii="Times New Roman" w:eastAsiaTheme="minorHAnsi" w:hAnsi="Times New Roman" w:cs="Times New Roman"/>
          <w:i w:val="0"/>
          <w:iCs w:val="0"/>
          <w:color w:val="auto"/>
          <w:kern w:val="0"/>
          <w:sz w:val="24"/>
          <w:szCs w:val="24"/>
          <w:lang w:eastAsia="en-US"/>
          <w14:ligatures w14:val="none"/>
        </w:rPr>
        <w:t xml:space="preserve"> </w:t>
      </w:r>
      <w:r w:rsidR="00BE6E38" w:rsidRPr="00893683">
        <w:rPr>
          <w:rFonts w:ascii="Times New Roman" w:eastAsiaTheme="minorHAnsi" w:hAnsi="Times New Roman" w:cs="Times New Roman"/>
          <w:i w:val="0"/>
          <w:iCs w:val="0"/>
          <w:color w:val="auto"/>
          <w:kern w:val="0"/>
          <w:sz w:val="24"/>
          <w:szCs w:val="24"/>
          <w:lang w:eastAsia="en-US"/>
          <w14:ligatures w14:val="none"/>
        </w:rPr>
        <w:t>Distribution of general practitioners according to first-line treatment at diagnosis of Hp infection</w:t>
      </w:r>
      <w:r w:rsidRPr="00893683">
        <w:rPr>
          <w:rFonts w:ascii="Times New Roman" w:eastAsiaTheme="minorHAnsi" w:hAnsi="Times New Roman" w:cs="Times New Roman"/>
          <w:i w:val="0"/>
          <w:iCs w:val="0"/>
          <w:color w:val="auto"/>
          <w:kern w:val="0"/>
          <w:sz w:val="24"/>
          <w:szCs w:val="24"/>
          <w:lang w:eastAsia="en-US"/>
          <w14:ligatures w14:val="none"/>
        </w:rPr>
        <w:t>.</w:t>
      </w:r>
      <w:bookmarkEnd w:id="2"/>
    </w:p>
    <w:tbl>
      <w:tblPr>
        <w:tblStyle w:val="Style21"/>
        <w:tblW w:w="9332" w:type="dxa"/>
        <w:tblLayout w:type="fixed"/>
        <w:tblLook w:val="0020" w:firstRow="1" w:lastRow="0" w:firstColumn="0" w:lastColumn="0" w:noHBand="0" w:noVBand="0"/>
      </w:tblPr>
      <w:tblGrid>
        <w:gridCol w:w="5812"/>
        <w:gridCol w:w="1559"/>
        <w:gridCol w:w="1961"/>
      </w:tblGrid>
      <w:tr w:rsidR="00BC6CCB" w:rsidRPr="00BE6E38" w14:paraId="76D70300" w14:textId="77777777" w:rsidTr="00BE6E38">
        <w:trPr>
          <w:cnfStyle w:val="100000000000" w:firstRow="1" w:lastRow="0" w:firstColumn="0" w:lastColumn="0" w:oddVBand="0" w:evenVBand="0" w:oddHBand="0" w:evenHBand="0" w:firstRowFirstColumn="0" w:firstRowLastColumn="0" w:lastRowFirstColumn="0" w:lastRowLastColumn="0"/>
          <w:trHeight w:val="445"/>
        </w:trPr>
        <w:tc>
          <w:tcPr>
            <w:tcW w:w="5812" w:type="dxa"/>
          </w:tcPr>
          <w:p w14:paraId="508DED82" w14:textId="5FBEA3D2" w:rsidR="00BC6CCB" w:rsidRPr="00BE6E38" w:rsidRDefault="00BE6E38" w:rsidP="0077672F">
            <w:pPr>
              <w:autoSpaceDE w:val="0"/>
              <w:autoSpaceDN w:val="0"/>
              <w:adjustRightInd w:val="0"/>
              <w:spacing w:line="320" w:lineRule="atLeast"/>
              <w:ind w:right="60"/>
              <w:rPr>
                <w:rFonts w:ascii="Times New Roman" w:hAnsi="Times New Roman" w:cs="Times New Roman"/>
                <w:b/>
                <w:bCs/>
                <w:sz w:val="24"/>
                <w:szCs w:val="24"/>
              </w:rPr>
            </w:pPr>
            <w:r w:rsidRPr="00BE6E38">
              <w:rPr>
                <w:rFonts w:ascii="Times New Roman" w:hAnsi="Times New Roman" w:cs="Times New Roman"/>
                <w:b/>
                <w:bCs/>
                <w:sz w:val="24"/>
                <w:szCs w:val="24"/>
              </w:rPr>
              <w:t>First Line Treatment</w:t>
            </w:r>
          </w:p>
        </w:tc>
        <w:tc>
          <w:tcPr>
            <w:tcW w:w="1559" w:type="dxa"/>
          </w:tcPr>
          <w:p w14:paraId="6FDD7AA7" w14:textId="5147E5CB" w:rsidR="00BC6CCB" w:rsidRPr="00BE6E38" w:rsidRDefault="00BE6E38" w:rsidP="0077672F">
            <w:pPr>
              <w:autoSpaceDE w:val="0"/>
              <w:autoSpaceDN w:val="0"/>
              <w:adjustRightInd w:val="0"/>
              <w:spacing w:line="320" w:lineRule="atLeast"/>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Frequency</w:t>
            </w:r>
          </w:p>
        </w:tc>
        <w:tc>
          <w:tcPr>
            <w:tcW w:w="1961" w:type="dxa"/>
          </w:tcPr>
          <w:p w14:paraId="1EB73E20" w14:textId="77777777" w:rsidR="00BC6CCB" w:rsidRPr="00BE6E38" w:rsidRDefault="00BC6CCB" w:rsidP="0077672F">
            <w:pPr>
              <w:autoSpaceDE w:val="0"/>
              <w:autoSpaceDN w:val="0"/>
              <w:adjustRightInd w:val="0"/>
              <w:spacing w:line="320" w:lineRule="atLeast"/>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Pourcentage %</w:t>
            </w:r>
          </w:p>
        </w:tc>
      </w:tr>
      <w:tr w:rsidR="00BE6E38" w:rsidRPr="00BE6E38" w14:paraId="6C22345F" w14:textId="77777777" w:rsidTr="00BE6E38">
        <w:trPr>
          <w:trHeight w:val="386"/>
        </w:trPr>
        <w:tc>
          <w:tcPr>
            <w:tcW w:w="5812" w:type="dxa"/>
          </w:tcPr>
          <w:p w14:paraId="319B0BBD" w14:textId="2DCFA926" w:rsidR="00BE6E38" w:rsidRPr="00BE6E38" w:rsidRDefault="00BE6E38" w:rsidP="00BE6E38">
            <w:pPr>
              <w:autoSpaceDE w:val="0"/>
              <w:autoSpaceDN w:val="0"/>
              <w:adjustRightInd w:val="0"/>
              <w:spacing w:line="360" w:lineRule="auto"/>
              <w:ind w:right="60"/>
              <w:rPr>
                <w:rFonts w:ascii="Times New Roman" w:hAnsi="Times New Roman" w:cs="Times New Roman"/>
                <w:b/>
                <w:bCs/>
                <w:sz w:val="24"/>
                <w:szCs w:val="24"/>
              </w:rPr>
            </w:pPr>
            <w:bookmarkStart w:id="3" w:name="_Hlk193961850"/>
            <w:r w:rsidRPr="00BE6E38">
              <w:rPr>
                <w:rFonts w:ascii="Times New Roman" w:hAnsi="Times New Roman" w:cs="Times New Roman"/>
                <w:b/>
                <w:bCs/>
                <w:sz w:val="24"/>
                <w:szCs w:val="24"/>
              </w:rPr>
              <w:t>14-day concomitant quadruple therapy</w:t>
            </w:r>
          </w:p>
        </w:tc>
        <w:tc>
          <w:tcPr>
            <w:tcW w:w="1559" w:type="dxa"/>
          </w:tcPr>
          <w:p w14:paraId="241E2B80"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32</w:t>
            </w:r>
          </w:p>
        </w:tc>
        <w:tc>
          <w:tcPr>
            <w:tcW w:w="1961" w:type="dxa"/>
          </w:tcPr>
          <w:p w14:paraId="34779F2C"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29,4</w:t>
            </w:r>
          </w:p>
        </w:tc>
      </w:tr>
      <w:bookmarkEnd w:id="3"/>
      <w:tr w:rsidR="00BE6E38" w:rsidRPr="00BE6E38" w14:paraId="4FA027B1" w14:textId="77777777" w:rsidTr="00BE6E38">
        <w:trPr>
          <w:trHeight w:val="432"/>
        </w:trPr>
        <w:tc>
          <w:tcPr>
            <w:tcW w:w="5812" w:type="dxa"/>
          </w:tcPr>
          <w:p w14:paraId="77401519" w14:textId="0B8672F8" w:rsidR="00BE6E38" w:rsidRPr="00BE6E38" w:rsidRDefault="00BE6E38" w:rsidP="00BE6E38">
            <w:pPr>
              <w:autoSpaceDE w:val="0"/>
              <w:autoSpaceDN w:val="0"/>
              <w:adjustRightInd w:val="0"/>
              <w:spacing w:line="360" w:lineRule="auto"/>
              <w:ind w:right="60"/>
              <w:rPr>
                <w:rFonts w:ascii="Times New Roman" w:hAnsi="Times New Roman" w:cs="Times New Roman"/>
                <w:sz w:val="24"/>
                <w:szCs w:val="24"/>
              </w:rPr>
            </w:pPr>
            <w:r w:rsidRPr="00BE6E38">
              <w:rPr>
                <w:rFonts w:ascii="Times New Roman" w:hAnsi="Times New Roman" w:cs="Times New Roman"/>
                <w:sz w:val="24"/>
                <w:szCs w:val="24"/>
              </w:rPr>
              <w:t>10-day sequential therapy</w:t>
            </w:r>
          </w:p>
        </w:tc>
        <w:tc>
          <w:tcPr>
            <w:tcW w:w="1559" w:type="dxa"/>
          </w:tcPr>
          <w:p w14:paraId="70765232"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20</w:t>
            </w:r>
          </w:p>
        </w:tc>
        <w:tc>
          <w:tcPr>
            <w:tcW w:w="1961" w:type="dxa"/>
          </w:tcPr>
          <w:p w14:paraId="063C3A95"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18,4</w:t>
            </w:r>
          </w:p>
        </w:tc>
      </w:tr>
      <w:tr w:rsidR="00BE6E38" w:rsidRPr="00BE6E38" w14:paraId="7354BC9C" w14:textId="77777777" w:rsidTr="00BE6E38">
        <w:trPr>
          <w:trHeight w:val="60"/>
        </w:trPr>
        <w:tc>
          <w:tcPr>
            <w:tcW w:w="5812" w:type="dxa"/>
          </w:tcPr>
          <w:p w14:paraId="4E1F88AB" w14:textId="3F93C00A" w:rsidR="00BE6E38" w:rsidRPr="00BE6E38" w:rsidRDefault="00BE6E38" w:rsidP="00BE6E38">
            <w:pPr>
              <w:autoSpaceDE w:val="0"/>
              <w:autoSpaceDN w:val="0"/>
              <w:adjustRightInd w:val="0"/>
              <w:spacing w:line="360" w:lineRule="auto"/>
              <w:ind w:right="60"/>
              <w:rPr>
                <w:rFonts w:ascii="Times New Roman" w:hAnsi="Times New Roman" w:cs="Times New Roman"/>
                <w:sz w:val="24"/>
                <w:szCs w:val="24"/>
              </w:rPr>
            </w:pPr>
            <w:r w:rsidRPr="00BE6E38">
              <w:rPr>
                <w:rFonts w:ascii="Times New Roman" w:hAnsi="Times New Roman" w:cs="Times New Roman"/>
                <w:sz w:val="24"/>
                <w:szCs w:val="24"/>
              </w:rPr>
              <w:t>10-day bismuth-based quadruple therapy</w:t>
            </w:r>
          </w:p>
        </w:tc>
        <w:tc>
          <w:tcPr>
            <w:tcW w:w="1559" w:type="dxa"/>
          </w:tcPr>
          <w:p w14:paraId="2ACADA05"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18</w:t>
            </w:r>
          </w:p>
        </w:tc>
        <w:tc>
          <w:tcPr>
            <w:tcW w:w="1961" w:type="dxa"/>
          </w:tcPr>
          <w:p w14:paraId="431AB9BF"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16,5</w:t>
            </w:r>
          </w:p>
        </w:tc>
      </w:tr>
      <w:tr w:rsidR="00BE6E38" w:rsidRPr="00BE6E38" w14:paraId="03FE3CAF" w14:textId="77777777" w:rsidTr="00BE6E38">
        <w:trPr>
          <w:trHeight w:val="164"/>
        </w:trPr>
        <w:tc>
          <w:tcPr>
            <w:tcW w:w="5812" w:type="dxa"/>
          </w:tcPr>
          <w:p w14:paraId="14D49FEA" w14:textId="4FDA0DCD" w:rsidR="00BE6E38" w:rsidRPr="00BE6E38" w:rsidRDefault="00BE6E38" w:rsidP="00BE6E38">
            <w:pPr>
              <w:autoSpaceDE w:val="0"/>
              <w:autoSpaceDN w:val="0"/>
              <w:adjustRightInd w:val="0"/>
              <w:spacing w:line="360" w:lineRule="auto"/>
              <w:ind w:right="60"/>
              <w:rPr>
                <w:rFonts w:ascii="Times New Roman" w:hAnsi="Times New Roman" w:cs="Times New Roman"/>
                <w:b/>
                <w:bCs/>
                <w:sz w:val="24"/>
                <w:szCs w:val="24"/>
              </w:rPr>
            </w:pPr>
            <w:r w:rsidRPr="00BE6E38">
              <w:rPr>
                <w:rFonts w:ascii="Times New Roman" w:hAnsi="Times New Roman" w:cs="Times New Roman"/>
                <w:b/>
                <w:bCs/>
                <w:sz w:val="24"/>
                <w:szCs w:val="24"/>
              </w:rPr>
              <w:t>7-day triple therapy (Zolcer KIT or Helicocin + PPI)</w:t>
            </w:r>
          </w:p>
        </w:tc>
        <w:tc>
          <w:tcPr>
            <w:tcW w:w="1559" w:type="dxa"/>
          </w:tcPr>
          <w:p w14:paraId="3C079592"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24</w:t>
            </w:r>
          </w:p>
        </w:tc>
        <w:tc>
          <w:tcPr>
            <w:tcW w:w="1961" w:type="dxa"/>
          </w:tcPr>
          <w:p w14:paraId="0A01D969"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22.0</w:t>
            </w:r>
          </w:p>
        </w:tc>
      </w:tr>
      <w:tr w:rsidR="00BE6E38" w:rsidRPr="00BE6E38" w14:paraId="3D4D2065" w14:textId="77777777" w:rsidTr="00BE6E38">
        <w:trPr>
          <w:trHeight w:val="300"/>
        </w:trPr>
        <w:tc>
          <w:tcPr>
            <w:tcW w:w="5812" w:type="dxa"/>
          </w:tcPr>
          <w:p w14:paraId="4B6AA724" w14:textId="5409BADA" w:rsidR="00BE6E38" w:rsidRPr="00BE6E38" w:rsidRDefault="00BE6E38" w:rsidP="00BE6E38">
            <w:pPr>
              <w:autoSpaceDE w:val="0"/>
              <w:autoSpaceDN w:val="0"/>
              <w:adjustRightInd w:val="0"/>
              <w:spacing w:line="360" w:lineRule="auto"/>
              <w:ind w:right="60"/>
              <w:rPr>
                <w:rFonts w:ascii="Times New Roman" w:hAnsi="Times New Roman" w:cs="Times New Roman"/>
                <w:sz w:val="24"/>
                <w:szCs w:val="24"/>
              </w:rPr>
            </w:pPr>
            <w:r w:rsidRPr="00BE6E38">
              <w:rPr>
                <w:rFonts w:ascii="Times New Roman" w:hAnsi="Times New Roman" w:cs="Times New Roman"/>
                <w:sz w:val="24"/>
                <w:szCs w:val="24"/>
              </w:rPr>
              <w:t>Full-dose PPI twice daily for 7 days</w:t>
            </w:r>
          </w:p>
        </w:tc>
        <w:tc>
          <w:tcPr>
            <w:tcW w:w="1559" w:type="dxa"/>
          </w:tcPr>
          <w:p w14:paraId="559AF84D"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13</w:t>
            </w:r>
          </w:p>
        </w:tc>
        <w:tc>
          <w:tcPr>
            <w:tcW w:w="1961" w:type="dxa"/>
          </w:tcPr>
          <w:p w14:paraId="35349537"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11,9</w:t>
            </w:r>
          </w:p>
        </w:tc>
      </w:tr>
      <w:tr w:rsidR="00BE6E38" w:rsidRPr="00BE6E38" w14:paraId="00A9EDDB" w14:textId="77777777" w:rsidTr="00BE6E38">
        <w:trPr>
          <w:trHeight w:val="279"/>
        </w:trPr>
        <w:tc>
          <w:tcPr>
            <w:tcW w:w="5812" w:type="dxa"/>
          </w:tcPr>
          <w:p w14:paraId="52E08C1F" w14:textId="2E0AF1C5" w:rsidR="00BE6E38" w:rsidRPr="00BE6E38" w:rsidRDefault="00BE6E38" w:rsidP="00BE6E38">
            <w:pPr>
              <w:autoSpaceDE w:val="0"/>
              <w:autoSpaceDN w:val="0"/>
              <w:adjustRightInd w:val="0"/>
              <w:spacing w:line="360" w:lineRule="auto"/>
              <w:ind w:right="60"/>
              <w:rPr>
                <w:rFonts w:ascii="Times New Roman" w:hAnsi="Times New Roman" w:cs="Times New Roman"/>
                <w:sz w:val="24"/>
                <w:szCs w:val="24"/>
              </w:rPr>
            </w:pPr>
            <w:r w:rsidRPr="00BE6E38">
              <w:rPr>
                <w:rFonts w:ascii="Times New Roman" w:hAnsi="Times New Roman" w:cs="Times New Roman"/>
                <w:sz w:val="24"/>
                <w:szCs w:val="24"/>
              </w:rPr>
              <w:t>Other (Helicocin alone)</w:t>
            </w:r>
          </w:p>
        </w:tc>
        <w:tc>
          <w:tcPr>
            <w:tcW w:w="1559" w:type="dxa"/>
          </w:tcPr>
          <w:p w14:paraId="0B6C5B67"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2</w:t>
            </w:r>
          </w:p>
        </w:tc>
        <w:tc>
          <w:tcPr>
            <w:tcW w:w="1961" w:type="dxa"/>
          </w:tcPr>
          <w:p w14:paraId="56FB4599"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1.8</w:t>
            </w:r>
          </w:p>
        </w:tc>
      </w:tr>
      <w:tr w:rsidR="00BE6E38" w:rsidRPr="00BE6E38" w14:paraId="4DFB4A8D" w14:textId="77777777" w:rsidTr="00BE6E38">
        <w:trPr>
          <w:trHeight w:val="328"/>
        </w:trPr>
        <w:tc>
          <w:tcPr>
            <w:tcW w:w="5812" w:type="dxa"/>
          </w:tcPr>
          <w:p w14:paraId="121693EC" w14:textId="48B29668" w:rsidR="00BE6E38" w:rsidRPr="00BE6E38" w:rsidRDefault="00BE6E38" w:rsidP="00BE6E38">
            <w:pPr>
              <w:autoSpaceDE w:val="0"/>
              <w:autoSpaceDN w:val="0"/>
              <w:adjustRightInd w:val="0"/>
              <w:spacing w:line="360" w:lineRule="auto"/>
              <w:ind w:right="60"/>
              <w:rPr>
                <w:rFonts w:ascii="Times New Roman" w:hAnsi="Times New Roman" w:cs="Times New Roman"/>
                <w:b/>
                <w:bCs/>
                <w:sz w:val="24"/>
                <w:szCs w:val="24"/>
              </w:rPr>
            </w:pPr>
            <w:r w:rsidRPr="00BE6E38">
              <w:rPr>
                <w:rFonts w:ascii="Times New Roman" w:hAnsi="Times New Roman" w:cs="Times New Roman"/>
                <w:b/>
                <w:bCs/>
                <w:sz w:val="24"/>
                <w:szCs w:val="24"/>
              </w:rPr>
              <w:t>Total</w:t>
            </w:r>
          </w:p>
        </w:tc>
        <w:tc>
          <w:tcPr>
            <w:tcW w:w="1559" w:type="dxa"/>
          </w:tcPr>
          <w:p w14:paraId="07358268"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109</w:t>
            </w:r>
          </w:p>
        </w:tc>
        <w:tc>
          <w:tcPr>
            <w:tcW w:w="1961" w:type="dxa"/>
          </w:tcPr>
          <w:p w14:paraId="2AD87B34"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100</w:t>
            </w:r>
          </w:p>
        </w:tc>
      </w:tr>
    </w:tbl>
    <w:p w14:paraId="0081F66B" w14:textId="14D71242" w:rsidR="00BC6CCB" w:rsidRDefault="00BC6CCB">
      <w:pPr>
        <w:rPr>
          <w:rFonts w:ascii="Times New Roman" w:hAnsi="Times New Roman" w:cs="Times New Roman"/>
          <w:sz w:val="28"/>
          <w:szCs w:val="28"/>
        </w:rPr>
      </w:pPr>
    </w:p>
    <w:p w14:paraId="29177911" w14:textId="048C3BB3" w:rsidR="00BC6CCB" w:rsidRDefault="00BC6CCB" w:rsidP="00BC6CCB">
      <w:pPr>
        <w:pStyle w:val="Caption"/>
        <w:keepNext/>
        <w:rPr>
          <w:rFonts w:ascii="Times New Roman" w:hAnsi="Times New Roman" w:cs="Times New Roman"/>
          <w:b/>
          <w:bCs/>
          <w:sz w:val="28"/>
          <w:szCs w:val="28"/>
        </w:rPr>
      </w:pPr>
      <w:bookmarkStart w:id="4" w:name="_Toc206338567"/>
    </w:p>
    <w:p w14:paraId="7CC438CB" w14:textId="77777777" w:rsidR="003F0E79" w:rsidRDefault="003F0E79" w:rsidP="00BC6CCB">
      <w:pPr>
        <w:rPr>
          <w:rFonts w:ascii="Times New Roman" w:hAnsi="Times New Roman" w:cs="Times New Roman"/>
        </w:rPr>
      </w:pPr>
    </w:p>
    <w:p w14:paraId="0771F0C1" w14:textId="77777777" w:rsidR="003F0E79" w:rsidRDefault="003F0E79" w:rsidP="00BC6CCB">
      <w:pPr>
        <w:rPr>
          <w:rFonts w:ascii="Times New Roman" w:hAnsi="Times New Roman" w:cs="Times New Roman"/>
        </w:rPr>
      </w:pPr>
    </w:p>
    <w:p w14:paraId="2E703ACB" w14:textId="77777777" w:rsidR="003F0E79" w:rsidRDefault="003F0E79" w:rsidP="00BC6CCB">
      <w:pPr>
        <w:rPr>
          <w:rFonts w:ascii="Times New Roman" w:hAnsi="Times New Roman" w:cs="Times New Roman"/>
        </w:rPr>
      </w:pPr>
    </w:p>
    <w:p w14:paraId="7D734260" w14:textId="77777777" w:rsidR="003F0E79" w:rsidRDefault="003F0E79" w:rsidP="00BC6CCB">
      <w:pPr>
        <w:rPr>
          <w:rFonts w:ascii="Times New Roman" w:hAnsi="Times New Roman" w:cs="Times New Roman"/>
        </w:rPr>
      </w:pPr>
    </w:p>
    <w:p w14:paraId="21826D96" w14:textId="228C5A5C" w:rsidR="00657B0E" w:rsidRDefault="00657B0E" w:rsidP="00BC6CCB">
      <w:pPr>
        <w:rPr>
          <w:lang w:val="fr-FR"/>
        </w:rPr>
      </w:pPr>
      <w:r w:rsidRPr="00893683">
        <w:rPr>
          <w:rFonts w:ascii="Times New Roman" w:hAnsi="Times New Roman" w:cs="Times New Roman"/>
        </w:rPr>
        <w:t xml:space="preserve">Figure </w:t>
      </w:r>
      <w:proofErr w:type="gramStart"/>
      <w:r w:rsidRPr="00893683">
        <w:rPr>
          <w:rFonts w:ascii="Times New Roman" w:hAnsi="Times New Roman" w:cs="Times New Roman"/>
        </w:rPr>
        <w:t>5:</w:t>
      </w:r>
      <w:proofErr w:type="gramEnd"/>
      <w:r w:rsidRPr="00657B0E">
        <w:rPr>
          <w:rFonts w:ascii="Times New Roman" w:hAnsi="Times New Roman" w:cs="Times New Roman"/>
          <w:i/>
          <w:iCs/>
        </w:rPr>
        <w:t xml:space="preserve"> </w:t>
      </w:r>
      <w:r w:rsidRPr="00657B0E">
        <w:rPr>
          <w:rFonts w:ascii="Times New Roman" w:hAnsi="Times New Roman" w:cs="Times New Roman"/>
        </w:rPr>
        <w:t>Distribution of general practitioners according to whether they have undergone an eradication test</w:t>
      </w:r>
    </w:p>
    <w:p w14:paraId="5EE4FF7E" w14:textId="70487EB0" w:rsidR="00657B0E" w:rsidRDefault="00657B0E" w:rsidP="00BC6CCB">
      <w:pPr>
        <w:rPr>
          <w:lang w:val="fr-FR"/>
        </w:rPr>
      </w:pPr>
      <w:r>
        <w:rPr>
          <w:noProof/>
        </w:rPr>
        <w:drawing>
          <wp:inline distT="0" distB="0" distL="0" distR="0" wp14:anchorId="2831241E" wp14:editId="5C3AD599">
            <wp:extent cx="4572000" cy="2743200"/>
            <wp:effectExtent l="0" t="0" r="0" b="0"/>
            <wp:docPr id="2" name="Graphique 2">
              <a:extLst xmlns:a="http://schemas.openxmlformats.org/drawingml/2006/main">
                <a:ext uri="{FF2B5EF4-FFF2-40B4-BE49-F238E27FC236}">
                  <a16:creationId xmlns:a16="http://schemas.microsoft.com/office/drawing/2014/main" id="{1C54B3FB-052D-4E68-86B0-78D79C6E11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4"/>
    <w:p w14:paraId="12EFFBBB" w14:textId="77777777" w:rsidR="003F0E79" w:rsidRDefault="003F0E79" w:rsidP="0068605D">
      <w:pPr>
        <w:pStyle w:val="Caption"/>
        <w:keepNext/>
        <w:rPr>
          <w:rFonts w:ascii="Times New Roman" w:hAnsi="Times New Roman" w:cs="Times New Roman"/>
          <w:i w:val="0"/>
          <w:iCs w:val="0"/>
          <w:color w:val="auto"/>
          <w:sz w:val="24"/>
          <w:szCs w:val="24"/>
        </w:rPr>
      </w:pPr>
    </w:p>
    <w:p w14:paraId="57910DDB" w14:textId="77777777" w:rsidR="003F0E79" w:rsidRDefault="003F0E79" w:rsidP="0068605D">
      <w:pPr>
        <w:pStyle w:val="Caption"/>
        <w:keepNext/>
        <w:rPr>
          <w:rFonts w:ascii="Times New Roman" w:hAnsi="Times New Roman" w:cs="Times New Roman"/>
          <w:i w:val="0"/>
          <w:iCs w:val="0"/>
          <w:color w:val="auto"/>
          <w:sz w:val="24"/>
          <w:szCs w:val="24"/>
        </w:rPr>
      </w:pPr>
    </w:p>
    <w:p w14:paraId="4B639C4E" w14:textId="77777777" w:rsidR="003F0E79" w:rsidRDefault="003F0E79" w:rsidP="0068605D">
      <w:pPr>
        <w:pStyle w:val="Caption"/>
        <w:keepNext/>
        <w:rPr>
          <w:rFonts w:ascii="Times New Roman" w:hAnsi="Times New Roman" w:cs="Times New Roman"/>
          <w:i w:val="0"/>
          <w:iCs w:val="0"/>
          <w:color w:val="auto"/>
          <w:sz w:val="24"/>
          <w:szCs w:val="24"/>
        </w:rPr>
      </w:pPr>
    </w:p>
    <w:p w14:paraId="1C4F8FCD" w14:textId="2C6057D4" w:rsidR="0068605D" w:rsidRPr="003F0E79" w:rsidRDefault="0068605D" w:rsidP="003F0E79">
      <w:pPr>
        <w:pStyle w:val="Caption"/>
        <w:keepNext/>
        <w:rPr>
          <w:rFonts w:ascii="Times New Roman" w:hAnsi="Times New Roman" w:cs="Times New Roman"/>
          <w:i w:val="0"/>
          <w:iCs w:val="0"/>
          <w:color w:val="auto"/>
          <w:sz w:val="24"/>
          <w:szCs w:val="24"/>
        </w:rPr>
      </w:pPr>
      <w:r w:rsidRPr="00893683">
        <w:rPr>
          <w:rFonts w:ascii="Times New Roman" w:hAnsi="Times New Roman" w:cs="Times New Roman"/>
          <w:i w:val="0"/>
          <w:iCs w:val="0"/>
          <w:color w:val="auto"/>
          <w:sz w:val="24"/>
          <w:szCs w:val="24"/>
        </w:rPr>
        <w:t>Figure 6 :</w:t>
      </w:r>
      <w:r w:rsidRPr="00893683">
        <w:rPr>
          <w:color w:val="auto"/>
          <w:sz w:val="24"/>
          <w:szCs w:val="24"/>
        </w:rPr>
        <w:t xml:space="preserve"> </w:t>
      </w:r>
      <w:r w:rsidRPr="00893683">
        <w:rPr>
          <w:rFonts w:ascii="Times New Roman" w:eastAsiaTheme="minorHAnsi" w:hAnsi="Times New Roman" w:cs="Times New Roman"/>
          <w:i w:val="0"/>
          <w:iCs w:val="0"/>
          <w:color w:val="auto"/>
          <w:kern w:val="0"/>
          <w:sz w:val="24"/>
          <w:szCs w:val="24"/>
          <w:lang w:eastAsia="en-US"/>
          <w14:ligatures w14:val="none"/>
        </w:rPr>
        <w:t>Distribution of General practitioners according to the eradication control test used</w:t>
      </w:r>
    </w:p>
    <w:p w14:paraId="4BD8AD96" w14:textId="4B61889C" w:rsidR="00BC6CCB" w:rsidRDefault="0068605D">
      <w:pPr>
        <w:rPr>
          <w:rFonts w:ascii="Times New Roman" w:hAnsi="Times New Roman" w:cs="Times New Roman"/>
          <w:sz w:val="28"/>
          <w:szCs w:val="28"/>
        </w:rPr>
      </w:pPr>
      <w:r>
        <w:rPr>
          <w:noProof/>
        </w:rPr>
        <w:drawing>
          <wp:inline distT="0" distB="0" distL="0" distR="0" wp14:anchorId="3A1972FA" wp14:editId="628BEE9A">
            <wp:extent cx="4572000" cy="2743200"/>
            <wp:effectExtent l="0" t="0" r="0" b="0"/>
            <wp:docPr id="5" name="Graphique 5">
              <a:extLst xmlns:a="http://schemas.openxmlformats.org/drawingml/2006/main">
                <a:ext uri="{FF2B5EF4-FFF2-40B4-BE49-F238E27FC236}">
                  <a16:creationId xmlns:a16="http://schemas.microsoft.com/office/drawing/2014/main" id="{4236D382-5850-4BF2-8485-D680BDCAA1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C2A129" w14:textId="20A6A09D" w:rsidR="003F0E79" w:rsidRDefault="003F0E79">
      <w:pPr>
        <w:rPr>
          <w:rFonts w:ascii="Times New Roman" w:hAnsi="Times New Roman" w:cs="Times New Roman"/>
          <w:sz w:val="28"/>
          <w:szCs w:val="28"/>
        </w:rPr>
      </w:pPr>
    </w:p>
    <w:p w14:paraId="336C66F3" w14:textId="60B64FCB" w:rsidR="007364A4" w:rsidRDefault="007364A4">
      <w:pPr>
        <w:rPr>
          <w:rFonts w:ascii="Times New Roman" w:hAnsi="Times New Roman" w:cs="Times New Roman"/>
          <w:sz w:val="28"/>
          <w:szCs w:val="28"/>
        </w:rPr>
      </w:pPr>
    </w:p>
    <w:p w14:paraId="4D1FFE94" w14:textId="457D56C0" w:rsidR="007364A4" w:rsidRDefault="007364A4">
      <w:pPr>
        <w:rPr>
          <w:rFonts w:ascii="Times New Roman" w:hAnsi="Times New Roman" w:cs="Times New Roman"/>
          <w:sz w:val="28"/>
          <w:szCs w:val="28"/>
        </w:rPr>
      </w:pPr>
    </w:p>
    <w:p w14:paraId="7475E8AD" w14:textId="4CB4B7B0" w:rsidR="007364A4" w:rsidRDefault="007364A4">
      <w:pPr>
        <w:rPr>
          <w:rFonts w:ascii="Times New Roman" w:hAnsi="Times New Roman" w:cs="Times New Roman"/>
          <w:sz w:val="28"/>
          <w:szCs w:val="28"/>
        </w:rPr>
      </w:pPr>
    </w:p>
    <w:p w14:paraId="4BF7AFFB" w14:textId="520FD8FE" w:rsidR="007364A4" w:rsidRPr="007364A4" w:rsidRDefault="007364A4">
      <w:pPr>
        <w:rPr>
          <w:rFonts w:ascii="Times New Roman" w:hAnsi="Times New Roman" w:cs="Times New Roman"/>
        </w:rPr>
      </w:pPr>
      <w:r w:rsidRPr="007364A4">
        <w:rPr>
          <w:rFonts w:ascii="Times New Roman" w:hAnsi="Times New Roman" w:cs="Times New Roman"/>
        </w:rPr>
        <w:t xml:space="preserve">Figure </w:t>
      </w:r>
      <w:proofErr w:type="gramStart"/>
      <w:r w:rsidR="00D96EBA">
        <w:rPr>
          <w:rFonts w:ascii="Times New Roman" w:hAnsi="Times New Roman" w:cs="Times New Roman"/>
        </w:rPr>
        <w:t>7</w:t>
      </w:r>
      <w:r w:rsidRPr="007364A4">
        <w:rPr>
          <w:rFonts w:ascii="Times New Roman" w:hAnsi="Times New Roman" w:cs="Times New Roman"/>
        </w:rPr>
        <w:t>:</w:t>
      </w:r>
      <w:proofErr w:type="gramEnd"/>
      <w:r w:rsidRPr="007364A4">
        <w:rPr>
          <w:rFonts w:ascii="Times New Roman" w:hAnsi="Times New Roman" w:cs="Times New Roman"/>
        </w:rPr>
        <w:t xml:space="preserve"> Distribution of general practitioners according to seniority</w:t>
      </w:r>
    </w:p>
    <w:p w14:paraId="789F4E5D" w14:textId="5403FE86" w:rsidR="007364A4" w:rsidRDefault="007364A4">
      <w:pPr>
        <w:rPr>
          <w:rFonts w:ascii="Times New Roman" w:hAnsi="Times New Roman" w:cs="Times New Roman"/>
          <w:sz w:val="28"/>
          <w:szCs w:val="28"/>
        </w:rPr>
      </w:pPr>
      <w:r>
        <w:rPr>
          <w:noProof/>
        </w:rPr>
        <w:drawing>
          <wp:inline distT="0" distB="0" distL="0" distR="0" wp14:anchorId="3848435B" wp14:editId="7EEC277F">
            <wp:extent cx="4791919" cy="2830010"/>
            <wp:effectExtent l="0" t="0" r="0" b="0"/>
            <wp:docPr id="7" name="Graphique 7">
              <a:extLst xmlns:a="http://schemas.openxmlformats.org/drawingml/2006/main">
                <a:ext uri="{FF2B5EF4-FFF2-40B4-BE49-F238E27FC236}">
                  <a16:creationId xmlns:a16="http://schemas.microsoft.com/office/drawing/2014/main" id="{28C3F2DD-CD55-4D2C-872C-F7F599DF16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8916B0" w14:textId="77777777" w:rsidR="003F0E79" w:rsidRDefault="003F0E79" w:rsidP="00893683">
      <w:pPr>
        <w:pStyle w:val="Caption"/>
        <w:keepNext/>
        <w:rPr>
          <w:rFonts w:ascii="Times New Roman" w:hAnsi="Times New Roman" w:cs="Times New Roman"/>
          <w:i w:val="0"/>
          <w:iCs w:val="0"/>
          <w:color w:val="auto"/>
          <w:sz w:val="24"/>
          <w:szCs w:val="24"/>
        </w:rPr>
      </w:pPr>
      <w:bookmarkStart w:id="5" w:name="_Toc206338571"/>
    </w:p>
    <w:p w14:paraId="561B2C56" w14:textId="4B6A6394" w:rsidR="00893683" w:rsidRPr="00893683" w:rsidRDefault="0068605D" w:rsidP="003F0E79">
      <w:pPr>
        <w:pStyle w:val="Caption"/>
        <w:keepNext/>
        <w:rPr>
          <w:rFonts w:ascii="Times New Roman" w:hAnsi="Times New Roman" w:cs="Times New Roman"/>
          <w:i w:val="0"/>
          <w:iCs w:val="0"/>
          <w:color w:val="auto"/>
          <w:sz w:val="24"/>
          <w:szCs w:val="24"/>
        </w:rPr>
      </w:pPr>
      <w:r w:rsidRPr="00893683">
        <w:rPr>
          <w:rFonts w:ascii="Times New Roman" w:hAnsi="Times New Roman" w:cs="Times New Roman"/>
          <w:i w:val="0"/>
          <w:iCs w:val="0"/>
          <w:color w:val="auto"/>
          <w:sz w:val="24"/>
          <w:szCs w:val="24"/>
        </w:rPr>
        <w:t>Table 2</w:t>
      </w:r>
      <w:r w:rsidR="00BC6CCB" w:rsidRPr="00893683">
        <w:rPr>
          <w:rFonts w:ascii="Times New Roman" w:hAnsi="Times New Roman" w:cs="Times New Roman"/>
          <w:i w:val="0"/>
          <w:iCs w:val="0"/>
          <w:color w:val="auto"/>
          <w:sz w:val="24"/>
          <w:szCs w:val="24"/>
        </w:rPr>
        <w:t xml:space="preserve"> : </w:t>
      </w:r>
      <w:bookmarkEnd w:id="5"/>
      <w:r w:rsidR="00893683" w:rsidRPr="00893683">
        <w:rPr>
          <w:rFonts w:ascii="Times New Roman" w:hAnsi="Times New Roman" w:cs="Times New Roman"/>
          <w:i w:val="0"/>
          <w:iCs w:val="0"/>
          <w:color w:val="auto"/>
          <w:sz w:val="24"/>
          <w:szCs w:val="24"/>
        </w:rPr>
        <w:t>Relationship between physician seniority and pathologies associated with Hp</w:t>
      </w:r>
    </w:p>
    <w:tbl>
      <w:tblPr>
        <w:tblStyle w:val="Style21"/>
        <w:tblW w:w="9774" w:type="dxa"/>
        <w:jc w:val="center"/>
        <w:tblLook w:val="04A0" w:firstRow="1" w:lastRow="0" w:firstColumn="1" w:lastColumn="0" w:noHBand="0" w:noVBand="1"/>
      </w:tblPr>
      <w:tblGrid>
        <w:gridCol w:w="3025"/>
        <w:gridCol w:w="787"/>
        <w:gridCol w:w="930"/>
        <w:gridCol w:w="1199"/>
        <w:gridCol w:w="1424"/>
        <w:gridCol w:w="1424"/>
        <w:gridCol w:w="985"/>
      </w:tblGrid>
      <w:tr w:rsidR="00BC6CCB" w:rsidRPr="00893683" w14:paraId="0768149B" w14:textId="77777777" w:rsidTr="00893683">
        <w:trPr>
          <w:cnfStyle w:val="100000000000" w:firstRow="1" w:lastRow="0" w:firstColumn="0" w:lastColumn="0" w:oddVBand="0" w:evenVBand="0" w:oddHBand="0" w:evenHBand="0" w:firstRowFirstColumn="0" w:firstRowLastColumn="0" w:lastRowFirstColumn="0" w:lastRowLastColumn="0"/>
          <w:trHeight w:val="658"/>
          <w:jc w:val="center"/>
        </w:trPr>
        <w:tc>
          <w:tcPr>
            <w:tcW w:w="3025" w:type="dxa"/>
            <w:tcBorders>
              <w:top w:val="thinThickSmallGap" w:sz="18" w:space="0" w:color="auto"/>
              <w:tl2br w:val="single" w:sz="18" w:space="0" w:color="auto"/>
            </w:tcBorders>
          </w:tcPr>
          <w:p w14:paraId="6D14F37B" w14:textId="03DDE5D2" w:rsidR="00BC6CCB" w:rsidRPr="00893683" w:rsidRDefault="00893683" w:rsidP="0077672F">
            <w:pPr>
              <w:rPr>
                <w:rFonts w:ascii="Times New Roman" w:hAnsi="Times New Roman" w:cs="Times New Roman"/>
                <w:sz w:val="24"/>
                <w:szCs w:val="24"/>
              </w:rPr>
            </w:pPr>
            <w:bookmarkStart w:id="6" w:name="_Hlk217568737"/>
            <w:r>
              <w:rPr>
                <w:rFonts w:ascii="Times New Roman" w:hAnsi="Times New Roman" w:cs="Times New Roman"/>
                <w:b/>
                <w:bCs/>
                <w:noProof/>
                <w:sz w:val="24"/>
                <w:szCs w:val="24"/>
              </w:rPr>
              <w:t xml:space="preserve">                  </w:t>
            </w:r>
            <w:r w:rsidRPr="00893683">
              <w:rPr>
                <w:rFonts w:ascii="Times New Roman" w:hAnsi="Times New Roman" w:cs="Times New Roman"/>
                <w:noProof/>
                <w:sz w:val="24"/>
                <w:szCs w:val="24"/>
              </w:rPr>
              <w:t>Seniority</w:t>
            </w:r>
          </w:p>
          <w:p w14:paraId="3F40789C" w14:textId="77777777" w:rsidR="00893683" w:rsidRDefault="00893683" w:rsidP="0077672F">
            <w:pPr>
              <w:rPr>
                <w:rFonts w:ascii="Times New Roman" w:hAnsi="Times New Roman" w:cs="Times New Roman"/>
                <w:b/>
                <w:bCs/>
                <w:sz w:val="24"/>
                <w:szCs w:val="24"/>
              </w:rPr>
            </w:pPr>
          </w:p>
          <w:p w14:paraId="57CDAB9F" w14:textId="72C65F3C" w:rsidR="00BC6CCB" w:rsidRPr="00893683" w:rsidRDefault="00893683" w:rsidP="0077672F">
            <w:pPr>
              <w:rPr>
                <w:rFonts w:ascii="Times New Roman" w:hAnsi="Times New Roman" w:cs="Times New Roman"/>
                <w:sz w:val="24"/>
                <w:szCs w:val="24"/>
              </w:rPr>
            </w:pPr>
            <w:r w:rsidRPr="00893683">
              <w:rPr>
                <w:rFonts w:ascii="Times New Roman" w:hAnsi="Times New Roman" w:cs="Times New Roman"/>
                <w:sz w:val="24"/>
                <w:szCs w:val="24"/>
              </w:rPr>
              <w:t>Associated Pathologies</w:t>
            </w:r>
          </w:p>
        </w:tc>
        <w:tc>
          <w:tcPr>
            <w:tcW w:w="787" w:type="dxa"/>
          </w:tcPr>
          <w:p w14:paraId="083DC902" w14:textId="4B130D40"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 xml:space="preserve">˂5 </w:t>
            </w:r>
            <w:r w:rsidR="00893683" w:rsidRPr="00893683">
              <w:rPr>
                <w:rFonts w:ascii="Times New Roman" w:hAnsi="Times New Roman" w:cs="Times New Roman"/>
                <w:b/>
                <w:bCs/>
                <w:noProof/>
                <w:sz w:val="24"/>
                <w:szCs w:val="24"/>
              </w:rPr>
              <w:t>y</w:t>
            </w:r>
          </w:p>
          <w:p w14:paraId="455507D3"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n/N</w:t>
            </w:r>
          </w:p>
          <w:p w14:paraId="6A1A0909" w14:textId="77777777" w:rsidR="00BC6CCB" w:rsidRPr="00893683" w:rsidRDefault="00BC6CCB" w:rsidP="0077672F">
            <w:pPr>
              <w:rPr>
                <w:rFonts w:ascii="Times New Roman" w:hAnsi="Times New Roman" w:cs="Times New Roman"/>
                <w:b/>
                <w:bCs/>
                <w:noProof/>
                <w:sz w:val="24"/>
                <w:szCs w:val="24"/>
              </w:rPr>
            </w:pPr>
          </w:p>
        </w:tc>
        <w:tc>
          <w:tcPr>
            <w:tcW w:w="930" w:type="dxa"/>
          </w:tcPr>
          <w:p w14:paraId="03D980E1"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[ 5-9 ]</w:t>
            </w:r>
          </w:p>
          <w:p w14:paraId="4A31ECB6"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n/N</w:t>
            </w:r>
          </w:p>
          <w:p w14:paraId="7852EC10" w14:textId="77777777" w:rsidR="00BC6CCB" w:rsidRPr="00893683" w:rsidRDefault="00BC6CCB" w:rsidP="0077672F">
            <w:pPr>
              <w:jc w:val="center"/>
              <w:rPr>
                <w:rFonts w:ascii="Times New Roman" w:hAnsi="Times New Roman" w:cs="Times New Roman"/>
                <w:b/>
                <w:bCs/>
                <w:noProof/>
                <w:sz w:val="24"/>
                <w:szCs w:val="24"/>
              </w:rPr>
            </w:pPr>
          </w:p>
        </w:tc>
        <w:tc>
          <w:tcPr>
            <w:tcW w:w="1199" w:type="dxa"/>
          </w:tcPr>
          <w:p w14:paraId="20371BDF"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[10-14]</w:t>
            </w:r>
          </w:p>
          <w:p w14:paraId="7D350FCD"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n/N</w:t>
            </w:r>
          </w:p>
          <w:p w14:paraId="77AC2AD9" w14:textId="77777777" w:rsidR="00BC6CCB" w:rsidRPr="00893683" w:rsidRDefault="00BC6CCB" w:rsidP="0077672F">
            <w:pPr>
              <w:jc w:val="center"/>
              <w:rPr>
                <w:rFonts w:ascii="Times New Roman" w:hAnsi="Times New Roman" w:cs="Times New Roman"/>
                <w:b/>
                <w:bCs/>
                <w:noProof/>
                <w:sz w:val="24"/>
                <w:szCs w:val="24"/>
              </w:rPr>
            </w:pPr>
          </w:p>
        </w:tc>
        <w:tc>
          <w:tcPr>
            <w:tcW w:w="1424" w:type="dxa"/>
          </w:tcPr>
          <w:p w14:paraId="22F4BEF2"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[15-19]</w:t>
            </w:r>
          </w:p>
          <w:p w14:paraId="224E03FC"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n/N</w:t>
            </w:r>
          </w:p>
          <w:p w14:paraId="25FBAB9F" w14:textId="77777777" w:rsidR="00BC6CCB" w:rsidRPr="00893683" w:rsidRDefault="00BC6CCB" w:rsidP="0077672F">
            <w:pPr>
              <w:jc w:val="center"/>
              <w:rPr>
                <w:rFonts w:ascii="Times New Roman" w:hAnsi="Times New Roman" w:cs="Times New Roman"/>
                <w:b/>
                <w:bCs/>
                <w:noProof/>
                <w:sz w:val="24"/>
                <w:szCs w:val="24"/>
              </w:rPr>
            </w:pPr>
          </w:p>
        </w:tc>
        <w:tc>
          <w:tcPr>
            <w:tcW w:w="1424" w:type="dxa"/>
          </w:tcPr>
          <w:p w14:paraId="42F3BAC5"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 20 ans</w:t>
            </w:r>
          </w:p>
          <w:p w14:paraId="1B50E066"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n/N</w:t>
            </w:r>
          </w:p>
          <w:p w14:paraId="08BD71D0" w14:textId="77777777" w:rsidR="00BC6CCB" w:rsidRPr="00893683" w:rsidRDefault="00BC6CCB" w:rsidP="0077672F">
            <w:pPr>
              <w:jc w:val="center"/>
              <w:rPr>
                <w:rFonts w:ascii="Times New Roman" w:hAnsi="Times New Roman" w:cs="Times New Roman"/>
                <w:b/>
                <w:bCs/>
                <w:noProof/>
                <w:sz w:val="24"/>
                <w:szCs w:val="24"/>
              </w:rPr>
            </w:pPr>
          </w:p>
        </w:tc>
        <w:tc>
          <w:tcPr>
            <w:tcW w:w="985" w:type="dxa"/>
          </w:tcPr>
          <w:p w14:paraId="66C3FA59" w14:textId="77777777" w:rsidR="00BC6CCB" w:rsidRPr="00893683" w:rsidRDefault="00BC6CCB" w:rsidP="0077672F">
            <w:pPr>
              <w:jc w:val="center"/>
              <w:rPr>
                <w:rFonts w:ascii="Times New Roman" w:hAnsi="Times New Roman" w:cs="Times New Roman"/>
                <w:noProof/>
                <w:sz w:val="24"/>
                <w:szCs w:val="24"/>
              </w:rPr>
            </w:pPr>
            <w:r w:rsidRPr="00893683">
              <w:rPr>
                <w:rFonts w:ascii="Times New Roman" w:hAnsi="Times New Roman" w:cs="Times New Roman"/>
                <w:noProof/>
                <w:sz w:val="24"/>
                <w:szCs w:val="24"/>
              </w:rPr>
              <w:t>P valeur</w:t>
            </w:r>
          </w:p>
        </w:tc>
      </w:tr>
      <w:bookmarkEnd w:id="6"/>
      <w:tr w:rsidR="00893683" w:rsidRPr="00893683" w14:paraId="56DA145C" w14:textId="77777777" w:rsidTr="00893683">
        <w:trPr>
          <w:trHeight w:val="211"/>
          <w:jc w:val="center"/>
        </w:trPr>
        <w:tc>
          <w:tcPr>
            <w:tcW w:w="3025" w:type="dxa"/>
          </w:tcPr>
          <w:p w14:paraId="3EEB43D8" w14:textId="7DF318E7"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Gastroduodenal ulcer</w:t>
            </w:r>
          </w:p>
        </w:tc>
        <w:tc>
          <w:tcPr>
            <w:tcW w:w="787" w:type="dxa"/>
          </w:tcPr>
          <w:p w14:paraId="62967E86" w14:textId="77777777" w:rsidR="00893683" w:rsidRPr="00893683" w:rsidRDefault="00893683" w:rsidP="00893683">
            <w:pPr>
              <w:spacing w:line="360" w:lineRule="auto"/>
              <w:jc w:val="center"/>
              <w:rPr>
                <w:rFonts w:ascii="Times New Roman" w:hAnsi="Times New Roman" w:cs="Times New Roman"/>
                <w:noProof/>
                <w:color w:val="FF0000"/>
                <w:sz w:val="24"/>
                <w:szCs w:val="24"/>
              </w:rPr>
            </w:pPr>
            <w:r w:rsidRPr="00893683">
              <w:rPr>
                <w:rFonts w:ascii="Times New Roman" w:hAnsi="Times New Roman" w:cs="Times New Roman"/>
                <w:noProof/>
                <w:sz w:val="24"/>
                <w:szCs w:val="24"/>
              </w:rPr>
              <w:t>44/44</w:t>
            </w:r>
          </w:p>
        </w:tc>
        <w:tc>
          <w:tcPr>
            <w:tcW w:w="930" w:type="dxa"/>
          </w:tcPr>
          <w:p w14:paraId="4280B857"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26/27</w:t>
            </w:r>
          </w:p>
        </w:tc>
        <w:tc>
          <w:tcPr>
            <w:tcW w:w="1199" w:type="dxa"/>
          </w:tcPr>
          <w:p w14:paraId="5F2CBD64"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19/21</w:t>
            </w:r>
          </w:p>
        </w:tc>
        <w:tc>
          <w:tcPr>
            <w:tcW w:w="1424" w:type="dxa"/>
          </w:tcPr>
          <w:p w14:paraId="526A92B9"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7/8</w:t>
            </w:r>
          </w:p>
        </w:tc>
        <w:tc>
          <w:tcPr>
            <w:tcW w:w="1424" w:type="dxa"/>
          </w:tcPr>
          <w:p w14:paraId="5D8BA48A"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9/9</w:t>
            </w:r>
          </w:p>
        </w:tc>
        <w:tc>
          <w:tcPr>
            <w:tcW w:w="985" w:type="dxa"/>
          </w:tcPr>
          <w:p w14:paraId="51341A19" w14:textId="77777777"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noProof/>
                <w:sz w:val="24"/>
                <w:szCs w:val="24"/>
              </w:rPr>
              <w:t>0.165</w:t>
            </w:r>
          </w:p>
        </w:tc>
      </w:tr>
      <w:tr w:rsidR="00893683" w:rsidRPr="00893683" w14:paraId="6427DD5F" w14:textId="77777777" w:rsidTr="00893683">
        <w:trPr>
          <w:trHeight w:val="211"/>
          <w:jc w:val="center"/>
        </w:trPr>
        <w:tc>
          <w:tcPr>
            <w:tcW w:w="3025" w:type="dxa"/>
          </w:tcPr>
          <w:p w14:paraId="074C011D" w14:textId="5319C18E"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sz w:val="24"/>
                <w:szCs w:val="24"/>
              </w:rPr>
              <w:t>MALT lymphoma</w:t>
            </w:r>
          </w:p>
        </w:tc>
        <w:tc>
          <w:tcPr>
            <w:tcW w:w="787" w:type="dxa"/>
          </w:tcPr>
          <w:p w14:paraId="09D37A66"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16/44</w:t>
            </w:r>
          </w:p>
        </w:tc>
        <w:tc>
          <w:tcPr>
            <w:tcW w:w="930" w:type="dxa"/>
          </w:tcPr>
          <w:p w14:paraId="110B4BC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5/27</w:t>
            </w:r>
          </w:p>
        </w:tc>
        <w:tc>
          <w:tcPr>
            <w:tcW w:w="1199" w:type="dxa"/>
          </w:tcPr>
          <w:p w14:paraId="79662DDC"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3/21</w:t>
            </w:r>
          </w:p>
        </w:tc>
        <w:tc>
          <w:tcPr>
            <w:tcW w:w="1424" w:type="dxa"/>
          </w:tcPr>
          <w:p w14:paraId="5FFA4FB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0/8</w:t>
            </w:r>
          </w:p>
        </w:tc>
        <w:tc>
          <w:tcPr>
            <w:tcW w:w="1424" w:type="dxa"/>
          </w:tcPr>
          <w:p w14:paraId="20D06CC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2/9</w:t>
            </w:r>
          </w:p>
        </w:tc>
        <w:tc>
          <w:tcPr>
            <w:tcW w:w="985" w:type="dxa"/>
          </w:tcPr>
          <w:p w14:paraId="76E90313" w14:textId="77777777"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noProof/>
                <w:sz w:val="24"/>
                <w:szCs w:val="24"/>
              </w:rPr>
              <w:t>0.05</w:t>
            </w:r>
          </w:p>
        </w:tc>
      </w:tr>
      <w:tr w:rsidR="00893683" w:rsidRPr="00893683" w14:paraId="631AA83D" w14:textId="77777777" w:rsidTr="00893683">
        <w:trPr>
          <w:trHeight w:val="204"/>
          <w:jc w:val="center"/>
        </w:trPr>
        <w:tc>
          <w:tcPr>
            <w:tcW w:w="3025" w:type="dxa"/>
          </w:tcPr>
          <w:p w14:paraId="68646DE2" w14:textId="49E2247A"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Gastric cancer (ADK)</w:t>
            </w:r>
          </w:p>
        </w:tc>
        <w:tc>
          <w:tcPr>
            <w:tcW w:w="787" w:type="dxa"/>
          </w:tcPr>
          <w:p w14:paraId="6FD87846"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30/44</w:t>
            </w:r>
          </w:p>
        </w:tc>
        <w:tc>
          <w:tcPr>
            <w:tcW w:w="930" w:type="dxa"/>
          </w:tcPr>
          <w:p w14:paraId="5E8B1B5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20/27</w:t>
            </w:r>
          </w:p>
        </w:tc>
        <w:tc>
          <w:tcPr>
            <w:tcW w:w="1199" w:type="dxa"/>
          </w:tcPr>
          <w:p w14:paraId="19A42FC6"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12/21</w:t>
            </w:r>
          </w:p>
        </w:tc>
        <w:tc>
          <w:tcPr>
            <w:tcW w:w="1424" w:type="dxa"/>
          </w:tcPr>
          <w:p w14:paraId="4AC972A1"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6/8</w:t>
            </w:r>
          </w:p>
        </w:tc>
        <w:tc>
          <w:tcPr>
            <w:tcW w:w="1424" w:type="dxa"/>
          </w:tcPr>
          <w:p w14:paraId="2D3F7111"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8/9</w:t>
            </w:r>
          </w:p>
        </w:tc>
        <w:tc>
          <w:tcPr>
            <w:tcW w:w="985" w:type="dxa"/>
          </w:tcPr>
          <w:p w14:paraId="75E16633" w14:textId="77777777"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noProof/>
                <w:sz w:val="24"/>
                <w:szCs w:val="24"/>
              </w:rPr>
              <w:t>0.438</w:t>
            </w:r>
          </w:p>
        </w:tc>
      </w:tr>
      <w:tr w:rsidR="00893683" w:rsidRPr="00893683" w14:paraId="08E7F543" w14:textId="77777777" w:rsidTr="00893683">
        <w:trPr>
          <w:trHeight w:val="38"/>
          <w:jc w:val="center"/>
        </w:trPr>
        <w:tc>
          <w:tcPr>
            <w:tcW w:w="3025" w:type="dxa"/>
          </w:tcPr>
          <w:p w14:paraId="10B513CA" w14:textId="65BEE984"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sz w:val="24"/>
                <w:szCs w:val="24"/>
              </w:rPr>
              <w:t>Dyspepsia</w:t>
            </w:r>
          </w:p>
        </w:tc>
        <w:tc>
          <w:tcPr>
            <w:tcW w:w="787" w:type="dxa"/>
          </w:tcPr>
          <w:p w14:paraId="0DC4E7E1"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17/44</w:t>
            </w:r>
          </w:p>
        </w:tc>
        <w:tc>
          <w:tcPr>
            <w:tcW w:w="930" w:type="dxa"/>
          </w:tcPr>
          <w:p w14:paraId="56005EC1"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4/27</w:t>
            </w:r>
          </w:p>
        </w:tc>
        <w:tc>
          <w:tcPr>
            <w:tcW w:w="1199" w:type="dxa"/>
          </w:tcPr>
          <w:p w14:paraId="673FFEE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5/21</w:t>
            </w:r>
          </w:p>
        </w:tc>
        <w:tc>
          <w:tcPr>
            <w:tcW w:w="1424" w:type="dxa"/>
          </w:tcPr>
          <w:p w14:paraId="1D23009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1/8</w:t>
            </w:r>
          </w:p>
        </w:tc>
        <w:tc>
          <w:tcPr>
            <w:tcW w:w="1424" w:type="dxa"/>
          </w:tcPr>
          <w:p w14:paraId="62DA99CA"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5/9</w:t>
            </w:r>
          </w:p>
        </w:tc>
        <w:tc>
          <w:tcPr>
            <w:tcW w:w="985" w:type="dxa"/>
          </w:tcPr>
          <w:p w14:paraId="774ABAAA" w14:textId="77777777"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noProof/>
                <w:sz w:val="24"/>
                <w:szCs w:val="24"/>
              </w:rPr>
              <w:t>0.05</w:t>
            </w:r>
          </w:p>
        </w:tc>
      </w:tr>
      <w:tr w:rsidR="00893683" w:rsidRPr="00893683" w14:paraId="5CED2727" w14:textId="77777777" w:rsidTr="00893683">
        <w:trPr>
          <w:trHeight w:val="211"/>
          <w:jc w:val="center"/>
        </w:trPr>
        <w:tc>
          <w:tcPr>
            <w:tcW w:w="3025" w:type="dxa"/>
          </w:tcPr>
          <w:p w14:paraId="45B8B53A" w14:textId="7C14918D"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sz w:val="24"/>
                <w:szCs w:val="24"/>
              </w:rPr>
              <w:t>Chronic gastritis</w:t>
            </w:r>
          </w:p>
        </w:tc>
        <w:tc>
          <w:tcPr>
            <w:tcW w:w="787" w:type="dxa"/>
          </w:tcPr>
          <w:p w14:paraId="5A0D3A26" w14:textId="77777777" w:rsidR="00893683" w:rsidRPr="00893683" w:rsidRDefault="00893683" w:rsidP="00893683">
            <w:pPr>
              <w:spacing w:line="360" w:lineRule="auto"/>
              <w:jc w:val="center"/>
              <w:rPr>
                <w:rFonts w:ascii="Times New Roman" w:hAnsi="Times New Roman" w:cs="Times New Roman"/>
                <w:noProof/>
                <w:color w:val="FF0000"/>
                <w:sz w:val="24"/>
                <w:szCs w:val="24"/>
              </w:rPr>
            </w:pPr>
            <w:r w:rsidRPr="00893683">
              <w:rPr>
                <w:rFonts w:ascii="Times New Roman" w:hAnsi="Times New Roman" w:cs="Times New Roman"/>
                <w:noProof/>
                <w:sz w:val="24"/>
                <w:szCs w:val="24"/>
              </w:rPr>
              <w:t>34/44</w:t>
            </w:r>
          </w:p>
        </w:tc>
        <w:tc>
          <w:tcPr>
            <w:tcW w:w="930" w:type="dxa"/>
          </w:tcPr>
          <w:p w14:paraId="487CB9F7"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17/27</w:t>
            </w:r>
          </w:p>
        </w:tc>
        <w:tc>
          <w:tcPr>
            <w:tcW w:w="1199" w:type="dxa"/>
          </w:tcPr>
          <w:p w14:paraId="73F723BA"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11/21</w:t>
            </w:r>
          </w:p>
        </w:tc>
        <w:tc>
          <w:tcPr>
            <w:tcW w:w="1424" w:type="dxa"/>
          </w:tcPr>
          <w:p w14:paraId="6B227F1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2/8</w:t>
            </w:r>
          </w:p>
        </w:tc>
        <w:tc>
          <w:tcPr>
            <w:tcW w:w="1424" w:type="dxa"/>
          </w:tcPr>
          <w:p w14:paraId="2572A48C"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4/9</w:t>
            </w:r>
          </w:p>
        </w:tc>
        <w:tc>
          <w:tcPr>
            <w:tcW w:w="985" w:type="dxa"/>
          </w:tcPr>
          <w:p w14:paraId="3A1F46D5" w14:textId="77777777"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noProof/>
                <w:sz w:val="24"/>
                <w:szCs w:val="24"/>
              </w:rPr>
              <w:t>0.025</w:t>
            </w:r>
          </w:p>
        </w:tc>
      </w:tr>
      <w:tr w:rsidR="00893683" w:rsidRPr="00893683" w14:paraId="467AB531" w14:textId="77777777" w:rsidTr="00893683">
        <w:trPr>
          <w:trHeight w:val="211"/>
          <w:jc w:val="center"/>
        </w:trPr>
        <w:tc>
          <w:tcPr>
            <w:tcW w:w="3025" w:type="dxa"/>
          </w:tcPr>
          <w:p w14:paraId="1103F1D7" w14:textId="4EC1DE31"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I don't know</w:t>
            </w:r>
          </w:p>
        </w:tc>
        <w:tc>
          <w:tcPr>
            <w:tcW w:w="787" w:type="dxa"/>
          </w:tcPr>
          <w:p w14:paraId="5F61837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0/44</w:t>
            </w:r>
          </w:p>
        </w:tc>
        <w:tc>
          <w:tcPr>
            <w:tcW w:w="930" w:type="dxa"/>
          </w:tcPr>
          <w:p w14:paraId="3AFC8B0D"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1/27</w:t>
            </w:r>
          </w:p>
        </w:tc>
        <w:tc>
          <w:tcPr>
            <w:tcW w:w="1199" w:type="dxa"/>
          </w:tcPr>
          <w:p w14:paraId="056F350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0/21</w:t>
            </w:r>
          </w:p>
        </w:tc>
        <w:tc>
          <w:tcPr>
            <w:tcW w:w="1424" w:type="dxa"/>
          </w:tcPr>
          <w:p w14:paraId="16516BEA"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0/8</w:t>
            </w:r>
          </w:p>
        </w:tc>
        <w:tc>
          <w:tcPr>
            <w:tcW w:w="1424" w:type="dxa"/>
          </w:tcPr>
          <w:p w14:paraId="4CA5AFD9"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0/9</w:t>
            </w:r>
          </w:p>
        </w:tc>
        <w:tc>
          <w:tcPr>
            <w:tcW w:w="985" w:type="dxa"/>
          </w:tcPr>
          <w:p w14:paraId="0B57E862" w14:textId="77777777"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noProof/>
                <w:sz w:val="24"/>
                <w:szCs w:val="24"/>
              </w:rPr>
              <w:t>0.589</w:t>
            </w:r>
          </w:p>
        </w:tc>
      </w:tr>
    </w:tbl>
    <w:p w14:paraId="5B44D00C" w14:textId="79EE4854" w:rsidR="00BC6CCB" w:rsidRDefault="00BC6CCB">
      <w:pPr>
        <w:rPr>
          <w:rFonts w:ascii="Times New Roman" w:hAnsi="Times New Roman" w:cs="Times New Roman"/>
          <w:sz w:val="28"/>
          <w:szCs w:val="28"/>
        </w:rPr>
      </w:pPr>
    </w:p>
    <w:p w14:paraId="73704D7B" w14:textId="77777777" w:rsidR="00B07BDA" w:rsidRDefault="00B07BDA" w:rsidP="00893683">
      <w:pPr>
        <w:pStyle w:val="Caption"/>
        <w:keepNext/>
        <w:rPr>
          <w:rFonts w:ascii="Times New Roman" w:hAnsi="Times New Roman" w:cs="Times New Roman"/>
          <w:i w:val="0"/>
          <w:iCs w:val="0"/>
          <w:color w:val="auto"/>
          <w:sz w:val="24"/>
          <w:szCs w:val="24"/>
        </w:rPr>
      </w:pPr>
    </w:p>
    <w:p w14:paraId="1D697302" w14:textId="77777777" w:rsidR="00B07BDA" w:rsidRDefault="00B07BDA" w:rsidP="00893683">
      <w:pPr>
        <w:pStyle w:val="Caption"/>
        <w:keepNext/>
        <w:rPr>
          <w:rFonts w:ascii="Times New Roman" w:hAnsi="Times New Roman" w:cs="Times New Roman"/>
          <w:i w:val="0"/>
          <w:iCs w:val="0"/>
          <w:color w:val="auto"/>
          <w:sz w:val="24"/>
          <w:szCs w:val="24"/>
        </w:rPr>
      </w:pPr>
    </w:p>
    <w:p w14:paraId="01F577E4" w14:textId="410522AC" w:rsidR="00B07BDA" w:rsidRDefault="00B07BDA" w:rsidP="00893683">
      <w:pPr>
        <w:pStyle w:val="Caption"/>
        <w:keepNext/>
        <w:rPr>
          <w:rFonts w:ascii="Times New Roman" w:hAnsi="Times New Roman" w:cs="Times New Roman"/>
          <w:i w:val="0"/>
          <w:iCs w:val="0"/>
          <w:color w:val="auto"/>
          <w:sz w:val="24"/>
          <w:szCs w:val="24"/>
        </w:rPr>
      </w:pPr>
    </w:p>
    <w:p w14:paraId="7D0FE6D7" w14:textId="6617CC73" w:rsidR="00B07BDA" w:rsidRDefault="00B07BDA" w:rsidP="00B07BDA">
      <w:pPr>
        <w:rPr>
          <w:lang w:val="fr-FR"/>
        </w:rPr>
      </w:pPr>
    </w:p>
    <w:p w14:paraId="3A0B4BD8" w14:textId="5E695ECE" w:rsidR="00B07BDA" w:rsidRDefault="00B07BDA" w:rsidP="00B07BDA">
      <w:pPr>
        <w:rPr>
          <w:lang w:val="fr-FR"/>
        </w:rPr>
      </w:pPr>
    </w:p>
    <w:p w14:paraId="0B66EDAA" w14:textId="77777777" w:rsidR="00B07BDA" w:rsidRPr="00B07BDA" w:rsidRDefault="00B07BDA" w:rsidP="00B07BDA">
      <w:pPr>
        <w:rPr>
          <w:lang w:val="fr-FR"/>
        </w:rPr>
      </w:pPr>
    </w:p>
    <w:p w14:paraId="61A231B4" w14:textId="39E0D919" w:rsidR="00893683" w:rsidRPr="00893683" w:rsidRDefault="00893683" w:rsidP="00893683">
      <w:pPr>
        <w:pStyle w:val="Caption"/>
        <w:keepNext/>
        <w:rPr>
          <w:rFonts w:ascii="Times New Roman" w:hAnsi="Times New Roman" w:cs="Times New Roman"/>
          <w:i w:val="0"/>
          <w:iCs w:val="0"/>
          <w:color w:val="auto"/>
          <w:sz w:val="24"/>
          <w:szCs w:val="24"/>
        </w:rPr>
      </w:pPr>
      <w:r w:rsidRPr="00893683">
        <w:rPr>
          <w:rFonts w:ascii="Times New Roman" w:hAnsi="Times New Roman" w:cs="Times New Roman"/>
          <w:i w:val="0"/>
          <w:iCs w:val="0"/>
          <w:color w:val="auto"/>
          <w:sz w:val="24"/>
          <w:szCs w:val="24"/>
        </w:rPr>
        <w:t xml:space="preserve">Table </w:t>
      </w:r>
      <w:r w:rsidR="00B12B3D">
        <w:rPr>
          <w:rFonts w:ascii="Times New Roman" w:hAnsi="Times New Roman" w:cs="Times New Roman"/>
          <w:i w:val="0"/>
          <w:iCs w:val="0"/>
          <w:color w:val="auto"/>
          <w:sz w:val="24"/>
          <w:szCs w:val="24"/>
        </w:rPr>
        <w:t>3</w:t>
      </w:r>
      <w:r w:rsidRPr="00893683">
        <w:rPr>
          <w:rFonts w:ascii="Times New Roman" w:hAnsi="Times New Roman" w:cs="Times New Roman"/>
          <w:i w:val="0"/>
          <w:iCs w:val="0"/>
          <w:color w:val="auto"/>
          <w:sz w:val="24"/>
          <w:szCs w:val="24"/>
        </w:rPr>
        <w:t xml:space="preserve"> : </w:t>
      </w:r>
      <w:r w:rsidR="00B51CA3" w:rsidRPr="00B51CA3">
        <w:rPr>
          <w:rFonts w:ascii="Times New Roman" w:hAnsi="Times New Roman" w:cs="Times New Roman"/>
          <w:i w:val="0"/>
          <w:iCs w:val="0"/>
          <w:color w:val="auto"/>
          <w:sz w:val="24"/>
          <w:szCs w:val="24"/>
        </w:rPr>
        <w:t>Relationship between physician seniority and indications for Hp testing</w:t>
      </w:r>
    </w:p>
    <w:tbl>
      <w:tblPr>
        <w:tblStyle w:val="Style21"/>
        <w:tblW w:w="10040" w:type="dxa"/>
        <w:jc w:val="center"/>
        <w:tblLayout w:type="fixed"/>
        <w:tblLook w:val="04A0" w:firstRow="1" w:lastRow="0" w:firstColumn="1" w:lastColumn="0" w:noHBand="0" w:noVBand="1"/>
      </w:tblPr>
      <w:tblGrid>
        <w:gridCol w:w="3890"/>
        <w:gridCol w:w="1004"/>
        <w:gridCol w:w="878"/>
        <w:gridCol w:w="1004"/>
        <w:gridCol w:w="1131"/>
        <w:gridCol w:w="1129"/>
        <w:gridCol w:w="1004"/>
      </w:tblGrid>
      <w:tr w:rsidR="00893683" w:rsidRPr="00893683" w14:paraId="06026197" w14:textId="77777777" w:rsidTr="001F07FF">
        <w:trPr>
          <w:cnfStyle w:val="100000000000" w:firstRow="1" w:lastRow="0" w:firstColumn="0" w:lastColumn="0" w:oddVBand="0" w:evenVBand="0" w:oddHBand="0" w:evenHBand="0" w:firstRowFirstColumn="0" w:firstRowLastColumn="0" w:lastRowFirstColumn="0" w:lastRowLastColumn="0"/>
          <w:trHeight w:val="798"/>
          <w:jc w:val="center"/>
        </w:trPr>
        <w:tc>
          <w:tcPr>
            <w:tcW w:w="3890" w:type="dxa"/>
            <w:tcBorders>
              <w:top w:val="thinThickSmallGap" w:sz="18" w:space="0" w:color="auto"/>
              <w:tl2br w:val="single" w:sz="18" w:space="0" w:color="auto"/>
            </w:tcBorders>
          </w:tcPr>
          <w:p w14:paraId="0CCC981E" w14:textId="64542F3C" w:rsidR="00893683" w:rsidRPr="00893683" w:rsidRDefault="00893683" w:rsidP="00893683">
            <w:pPr>
              <w:rPr>
                <w:rFonts w:ascii="Times New Roman" w:hAnsi="Times New Roman" w:cs="Times New Roman"/>
                <w:sz w:val="24"/>
                <w:szCs w:val="24"/>
              </w:rPr>
            </w:pPr>
            <w:bookmarkStart w:id="7" w:name="_Hlk217569162"/>
            <w:r w:rsidRPr="00893683">
              <w:rPr>
                <w:rFonts w:ascii="Times New Roman" w:hAnsi="Times New Roman" w:cs="Times New Roman"/>
                <w:b/>
                <w:bCs/>
                <w:noProof/>
                <w:sz w:val="24"/>
                <w:szCs w:val="24"/>
              </w:rPr>
              <w:t xml:space="preserve">                            </w:t>
            </w:r>
            <w:r w:rsidRPr="00893683">
              <w:rPr>
                <w:rFonts w:ascii="Times New Roman" w:hAnsi="Times New Roman" w:cs="Times New Roman"/>
                <w:noProof/>
                <w:sz w:val="24"/>
                <w:szCs w:val="24"/>
              </w:rPr>
              <w:t>Seniority</w:t>
            </w:r>
          </w:p>
          <w:p w14:paraId="1FF4625C" w14:textId="77777777" w:rsidR="00893683" w:rsidRPr="00893683" w:rsidRDefault="00893683" w:rsidP="00893683">
            <w:pPr>
              <w:rPr>
                <w:rFonts w:ascii="Times New Roman" w:hAnsi="Times New Roman" w:cs="Times New Roman"/>
                <w:b/>
                <w:bCs/>
                <w:sz w:val="24"/>
                <w:szCs w:val="24"/>
              </w:rPr>
            </w:pPr>
          </w:p>
          <w:p w14:paraId="4D2EA210" w14:textId="34F93D25" w:rsidR="00893683" w:rsidRPr="00893683" w:rsidRDefault="00B51CA3" w:rsidP="00893683">
            <w:pPr>
              <w:rPr>
                <w:rFonts w:ascii="Times New Roman" w:hAnsi="Times New Roman" w:cs="Times New Roman"/>
                <w:b/>
                <w:bCs/>
                <w:sz w:val="24"/>
                <w:szCs w:val="24"/>
              </w:rPr>
            </w:pPr>
            <w:r>
              <w:rPr>
                <w:rFonts w:ascii="Times New Roman" w:hAnsi="Times New Roman" w:cs="Times New Roman"/>
                <w:sz w:val="24"/>
                <w:szCs w:val="24"/>
              </w:rPr>
              <w:t>Indications</w:t>
            </w:r>
          </w:p>
        </w:tc>
        <w:tc>
          <w:tcPr>
            <w:tcW w:w="1004" w:type="dxa"/>
          </w:tcPr>
          <w:p w14:paraId="3548C9EE"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˂5 y</w:t>
            </w:r>
          </w:p>
          <w:p w14:paraId="44778255"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n/N</w:t>
            </w:r>
          </w:p>
          <w:p w14:paraId="1B3D8AF1" w14:textId="0576AFF4" w:rsidR="00893683" w:rsidRPr="00893683" w:rsidRDefault="00893683" w:rsidP="00893683">
            <w:pPr>
              <w:jc w:val="center"/>
              <w:rPr>
                <w:rFonts w:ascii="Times New Roman" w:hAnsi="Times New Roman" w:cs="Times New Roman"/>
                <w:noProof/>
                <w:sz w:val="24"/>
                <w:szCs w:val="24"/>
              </w:rPr>
            </w:pPr>
          </w:p>
        </w:tc>
        <w:tc>
          <w:tcPr>
            <w:tcW w:w="878" w:type="dxa"/>
          </w:tcPr>
          <w:p w14:paraId="37CFCCAC"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[ 5-9 ]</w:t>
            </w:r>
          </w:p>
          <w:p w14:paraId="39EBBB80"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n/N</w:t>
            </w:r>
          </w:p>
          <w:p w14:paraId="7D073930" w14:textId="77777777" w:rsidR="00893683" w:rsidRPr="00893683" w:rsidRDefault="00893683" w:rsidP="00893683">
            <w:pPr>
              <w:rPr>
                <w:rFonts w:ascii="Times New Roman" w:hAnsi="Times New Roman" w:cs="Times New Roman"/>
                <w:noProof/>
                <w:sz w:val="24"/>
                <w:szCs w:val="24"/>
              </w:rPr>
            </w:pPr>
          </w:p>
        </w:tc>
        <w:tc>
          <w:tcPr>
            <w:tcW w:w="1004" w:type="dxa"/>
          </w:tcPr>
          <w:p w14:paraId="2384EF40"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[10-14]</w:t>
            </w:r>
          </w:p>
          <w:p w14:paraId="3DDB243F"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n/N</w:t>
            </w:r>
          </w:p>
          <w:p w14:paraId="0CA27EA7" w14:textId="77777777" w:rsidR="00893683" w:rsidRPr="00893683" w:rsidRDefault="00893683" w:rsidP="00893683">
            <w:pPr>
              <w:rPr>
                <w:rFonts w:ascii="Times New Roman" w:hAnsi="Times New Roman" w:cs="Times New Roman"/>
                <w:noProof/>
                <w:sz w:val="24"/>
                <w:szCs w:val="24"/>
              </w:rPr>
            </w:pPr>
          </w:p>
        </w:tc>
        <w:tc>
          <w:tcPr>
            <w:tcW w:w="1131" w:type="dxa"/>
          </w:tcPr>
          <w:p w14:paraId="1B0A4EFE"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[15-19]</w:t>
            </w:r>
          </w:p>
          <w:p w14:paraId="75853266"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n/N</w:t>
            </w:r>
          </w:p>
          <w:p w14:paraId="0B02A4C0" w14:textId="77777777" w:rsidR="00893683" w:rsidRPr="00893683" w:rsidRDefault="00893683" w:rsidP="00893683">
            <w:pPr>
              <w:rPr>
                <w:rFonts w:ascii="Times New Roman" w:hAnsi="Times New Roman" w:cs="Times New Roman"/>
                <w:noProof/>
                <w:sz w:val="24"/>
                <w:szCs w:val="24"/>
              </w:rPr>
            </w:pPr>
          </w:p>
        </w:tc>
        <w:tc>
          <w:tcPr>
            <w:tcW w:w="1129" w:type="dxa"/>
          </w:tcPr>
          <w:p w14:paraId="11EB61E0" w14:textId="20EFD162"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 xml:space="preserve">˃ 20 </w:t>
            </w:r>
            <w:r>
              <w:rPr>
                <w:rFonts w:ascii="Times New Roman" w:hAnsi="Times New Roman" w:cs="Times New Roman"/>
                <w:noProof/>
                <w:sz w:val="24"/>
                <w:szCs w:val="24"/>
              </w:rPr>
              <w:t>y</w:t>
            </w:r>
          </w:p>
          <w:p w14:paraId="0E169ABB"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n/N</w:t>
            </w:r>
          </w:p>
          <w:p w14:paraId="52E74F53" w14:textId="77777777" w:rsidR="00893683" w:rsidRPr="00893683" w:rsidRDefault="00893683" w:rsidP="00893683">
            <w:pPr>
              <w:rPr>
                <w:rFonts w:ascii="Times New Roman" w:hAnsi="Times New Roman" w:cs="Times New Roman"/>
                <w:noProof/>
                <w:sz w:val="24"/>
                <w:szCs w:val="24"/>
              </w:rPr>
            </w:pPr>
          </w:p>
        </w:tc>
        <w:tc>
          <w:tcPr>
            <w:tcW w:w="1004" w:type="dxa"/>
          </w:tcPr>
          <w:p w14:paraId="0EDB16B2" w14:textId="2A55C6BD" w:rsidR="00893683" w:rsidRPr="00893683" w:rsidRDefault="00893683" w:rsidP="00893683">
            <w:pPr>
              <w:jc w:val="center"/>
              <w:rPr>
                <w:rFonts w:ascii="Times New Roman" w:hAnsi="Times New Roman" w:cs="Times New Roman"/>
                <w:b/>
                <w:bCs/>
                <w:noProof/>
                <w:sz w:val="24"/>
                <w:szCs w:val="24"/>
              </w:rPr>
            </w:pPr>
            <w:r w:rsidRPr="00893683">
              <w:rPr>
                <w:rFonts w:ascii="Times New Roman" w:hAnsi="Times New Roman" w:cs="Times New Roman"/>
                <w:noProof/>
                <w:sz w:val="24"/>
                <w:szCs w:val="24"/>
              </w:rPr>
              <w:t>P valeur</w:t>
            </w:r>
          </w:p>
        </w:tc>
      </w:tr>
      <w:bookmarkEnd w:id="7"/>
      <w:tr w:rsidR="00893683" w:rsidRPr="00893683" w14:paraId="2C2BA3C4" w14:textId="77777777" w:rsidTr="001F07FF">
        <w:trPr>
          <w:trHeight w:val="256"/>
          <w:jc w:val="center"/>
        </w:trPr>
        <w:tc>
          <w:tcPr>
            <w:tcW w:w="3890" w:type="dxa"/>
          </w:tcPr>
          <w:p w14:paraId="246696CE" w14:textId="0B8F8F1E"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Gastroduodenal ulcer</w:t>
            </w:r>
          </w:p>
        </w:tc>
        <w:tc>
          <w:tcPr>
            <w:tcW w:w="1004" w:type="dxa"/>
          </w:tcPr>
          <w:p w14:paraId="0EB4121D"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43/44</w:t>
            </w:r>
          </w:p>
        </w:tc>
        <w:tc>
          <w:tcPr>
            <w:tcW w:w="878" w:type="dxa"/>
          </w:tcPr>
          <w:p w14:paraId="2D279BA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25/27</w:t>
            </w:r>
          </w:p>
        </w:tc>
        <w:tc>
          <w:tcPr>
            <w:tcW w:w="1004" w:type="dxa"/>
          </w:tcPr>
          <w:p w14:paraId="638A590F"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20/21</w:t>
            </w:r>
          </w:p>
        </w:tc>
        <w:tc>
          <w:tcPr>
            <w:tcW w:w="1131" w:type="dxa"/>
          </w:tcPr>
          <w:p w14:paraId="4D879207"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8/8</w:t>
            </w:r>
          </w:p>
        </w:tc>
        <w:tc>
          <w:tcPr>
            <w:tcW w:w="1129" w:type="dxa"/>
          </w:tcPr>
          <w:p w14:paraId="64FA00DD"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9/9</w:t>
            </w:r>
          </w:p>
        </w:tc>
        <w:tc>
          <w:tcPr>
            <w:tcW w:w="1004" w:type="dxa"/>
          </w:tcPr>
          <w:p w14:paraId="660014D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0.654</w:t>
            </w:r>
          </w:p>
        </w:tc>
      </w:tr>
      <w:tr w:rsidR="00893683" w:rsidRPr="00893683" w14:paraId="7EA46661" w14:textId="77777777" w:rsidTr="001F07FF">
        <w:trPr>
          <w:trHeight w:val="256"/>
          <w:jc w:val="center"/>
        </w:trPr>
        <w:tc>
          <w:tcPr>
            <w:tcW w:w="3890" w:type="dxa"/>
          </w:tcPr>
          <w:p w14:paraId="21366A20" w14:textId="4160CAE8"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Non-ulcer epigastric pain and GERD</w:t>
            </w:r>
          </w:p>
        </w:tc>
        <w:tc>
          <w:tcPr>
            <w:tcW w:w="1004" w:type="dxa"/>
          </w:tcPr>
          <w:p w14:paraId="3F9211E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25/44</w:t>
            </w:r>
          </w:p>
        </w:tc>
        <w:tc>
          <w:tcPr>
            <w:tcW w:w="878" w:type="dxa"/>
          </w:tcPr>
          <w:p w14:paraId="61C4F725"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16/27</w:t>
            </w:r>
          </w:p>
        </w:tc>
        <w:tc>
          <w:tcPr>
            <w:tcW w:w="1004" w:type="dxa"/>
          </w:tcPr>
          <w:p w14:paraId="5C4A43CC"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11/21</w:t>
            </w:r>
          </w:p>
        </w:tc>
        <w:tc>
          <w:tcPr>
            <w:tcW w:w="1131" w:type="dxa"/>
          </w:tcPr>
          <w:p w14:paraId="2817BE8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3/8</w:t>
            </w:r>
          </w:p>
        </w:tc>
        <w:tc>
          <w:tcPr>
            <w:tcW w:w="1129" w:type="dxa"/>
          </w:tcPr>
          <w:p w14:paraId="31F51D95"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4/9</w:t>
            </w:r>
          </w:p>
        </w:tc>
        <w:tc>
          <w:tcPr>
            <w:tcW w:w="1004" w:type="dxa"/>
          </w:tcPr>
          <w:p w14:paraId="237C9D1F"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0.796</w:t>
            </w:r>
          </w:p>
        </w:tc>
      </w:tr>
      <w:tr w:rsidR="00893683" w:rsidRPr="00893683" w14:paraId="1AA65AB2" w14:textId="77777777" w:rsidTr="001F07FF">
        <w:trPr>
          <w:trHeight w:val="245"/>
          <w:jc w:val="center"/>
        </w:trPr>
        <w:tc>
          <w:tcPr>
            <w:tcW w:w="3890" w:type="dxa"/>
          </w:tcPr>
          <w:p w14:paraId="03F89951" w14:textId="0C238040"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sz w:val="24"/>
                <w:szCs w:val="24"/>
              </w:rPr>
              <w:t>Use of PPIs for more than 6 months</w:t>
            </w:r>
          </w:p>
        </w:tc>
        <w:tc>
          <w:tcPr>
            <w:tcW w:w="1004" w:type="dxa"/>
          </w:tcPr>
          <w:p w14:paraId="731E787D"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18/44</w:t>
            </w:r>
          </w:p>
        </w:tc>
        <w:tc>
          <w:tcPr>
            <w:tcW w:w="878" w:type="dxa"/>
          </w:tcPr>
          <w:p w14:paraId="730138DC"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4/27</w:t>
            </w:r>
          </w:p>
        </w:tc>
        <w:tc>
          <w:tcPr>
            <w:tcW w:w="1004" w:type="dxa"/>
          </w:tcPr>
          <w:p w14:paraId="10EF4E0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4/21</w:t>
            </w:r>
          </w:p>
        </w:tc>
        <w:tc>
          <w:tcPr>
            <w:tcW w:w="1131" w:type="dxa"/>
          </w:tcPr>
          <w:p w14:paraId="479130FE"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2/8</w:t>
            </w:r>
          </w:p>
        </w:tc>
        <w:tc>
          <w:tcPr>
            <w:tcW w:w="1129" w:type="dxa"/>
          </w:tcPr>
          <w:p w14:paraId="281160EF"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0/9</w:t>
            </w:r>
          </w:p>
        </w:tc>
        <w:tc>
          <w:tcPr>
            <w:tcW w:w="1004" w:type="dxa"/>
          </w:tcPr>
          <w:p w14:paraId="3DC07070" w14:textId="77777777" w:rsidR="00893683" w:rsidRPr="00893683" w:rsidRDefault="00893683" w:rsidP="00893683">
            <w:pPr>
              <w:spacing w:line="360" w:lineRule="auto"/>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0.014</w:t>
            </w:r>
          </w:p>
        </w:tc>
      </w:tr>
      <w:tr w:rsidR="00893683" w:rsidRPr="00893683" w14:paraId="008FF11B" w14:textId="77777777" w:rsidTr="001F07FF">
        <w:trPr>
          <w:trHeight w:val="256"/>
          <w:jc w:val="center"/>
        </w:trPr>
        <w:tc>
          <w:tcPr>
            <w:tcW w:w="3890" w:type="dxa"/>
          </w:tcPr>
          <w:p w14:paraId="7AF2289D" w14:textId="7D04E59A"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Long-term use of aspirin</w:t>
            </w:r>
          </w:p>
        </w:tc>
        <w:tc>
          <w:tcPr>
            <w:tcW w:w="1004" w:type="dxa"/>
          </w:tcPr>
          <w:p w14:paraId="370D19F4"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12/44</w:t>
            </w:r>
          </w:p>
        </w:tc>
        <w:tc>
          <w:tcPr>
            <w:tcW w:w="878" w:type="dxa"/>
          </w:tcPr>
          <w:p w14:paraId="0CA9767E"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4/27</w:t>
            </w:r>
          </w:p>
        </w:tc>
        <w:tc>
          <w:tcPr>
            <w:tcW w:w="1004" w:type="dxa"/>
          </w:tcPr>
          <w:p w14:paraId="5C3372E0"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5/21</w:t>
            </w:r>
          </w:p>
        </w:tc>
        <w:tc>
          <w:tcPr>
            <w:tcW w:w="1131" w:type="dxa"/>
          </w:tcPr>
          <w:p w14:paraId="3CCAD09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0/8</w:t>
            </w:r>
          </w:p>
        </w:tc>
        <w:tc>
          <w:tcPr>
            <w:tcW w:w="1129" w:type="dxa"/>
          </w:tcPr>
          <w:p w14:paraId="4BB038AC"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3/9</w:t>
            </w:r>
          </w:p>
        </w:tc>
        <w:tc>
          <w:tcPr>
            <w:tcW w:w="1004" w:type="dxa"/>
          </w:tcPr>
          <w:p w14:paraId="427AEAD6"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0.185</w:t>
            </w:r>
          </w:p>
        </w:tc>
      </w:tr>
      <w:tr w:rsidR="00893683" w:rsidRPr="00893683" w14:paraId="492278D2" w14:textId="77777777" w:rsidTr="001F07FF">
        <w:trPr>
          <w:trHeight w:val="256"/>
          <w:jc w:val="center"/>
        </w:trPr>
        <w:tc>
          <w:tcPr>
            <w:tcW w:w="3890" w:type="dxa"/>
          </w:tcPr>
          <w:p w14:paraId="2D2158B9" w14:textId="74730483"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History of H. pylori in a relative</w:t>
            </w:r>
          </w:p>
        </w:tc>
        <w:tc>
          <w:tcPr>
            <w:tcW w:w="1004" w:type="dxa"/>
          </w:tcPr>
          <w:p w14:paraId="735588B9"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22/44</w:t>
            </w:r>
          </w:p>
        </w:tc>
        <w:tc>
          <w:tcPr>
            <w:tcW w:w="878" w:type="dxa"/>
          </w:tcPr>
          <w:p w14:paraId="336B0C8B"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17/27</w:t>
            </w:r>
          </w:p>
        </w:tc>
        <w:tc>
          <w:tcPr>
            <w:tcW w:w="1004" w:type="dxa"/>
          </w:tcPr>
          <w:p w14:paraId="2CCCFEF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9/21</w:t>
            </w:r>
          </w:p>
        </w:tc>
        <w:tc>
          <w:tcPr>
            <w:tcW w:w="1131" w:type="dxa"/>
          </w:tcPr>
          <w:p w14:paraId="4F5D6A9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3/8</w:t>
            </w:r>
          </w:p>
        </w:tc>
        <w:tc>
          <w:tcPr>
            <w:tcW w:w="1129" w:type="dxa"/>
          </w:tcPr>
          <w:p w14:paraId="4DCE4904"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3/9</w:t>
            </w:r>
          </w:p>
        </w:tc>
        <w:tc>
          <w:tcPr>
            <w:tcW w:w="1004" w:type="dxa"/>
          </w:tcPr>
          <w:p w14:paraId="7DD40075"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0.436</w:t>
            </w:r>
          </w:p>
        </w:tc>
      </w:tr>
      <w:tr w:rsidR="00893683" w:rsidRPr="00893683" w14:paraId="26CAAD8F" w14:textId="77777777" w:rsidTr="001F07FF">
        <w:trPr>
          <w:trHeight w:val="256"/>
          <w:jc w:val="center"/>
        </w:trPr>
        <w:tc>
          <w:tcPr>
            <w:tcW w:w="3890" w:type="dxa"/>
          </w:tcPr>
          <w:p w14:paraId="4A81F4EB" w14:textId="21508887"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Family history of gastric cancer</w:t>
            </w:r>
          </w:p>
        </w:tc>
        <w:tc>
          <w:tcPr>
            <w:tcW w:w="1004" w:type="dxa"/>
          </w:tcPr>
          <w:p w14:paraId="769DB309"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25/44</w:t>
            </w:r>
          </w:p>
        </w:tc>
        <w:tc>
          <w:tcPr>
            <w:tcW w:w="878" w:type="dxa"/>
          </w:tcPr>
          <w:p w14:paraId="1AEA4E0B"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15/27</w:t>
            </w:r>
          </w:p>
        </w:tc>
        <w:tc>
          <w:tcPr>
            <w:tcW w:w="1004" w:type="dxa"/>
          </w:tcPr>
          <w:p w14:paraId="29C0B385"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6/21</w:t>
            </w:r>
          </w:p>
        </w:tc>
        <w:tc>
          <w:tcPr>
            <w:tcW w:w="1131" w:type="dxa"/>
          </w:tcPr>
          <w:p w14:paraId="60B3BFA5"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3/8</w:t>
            </w:r>
          </w:p>
        </w:tc>
        <w:tc>
          <w:tcPr>
            <w:tcW w:w="1129" w:type="dxa"/>
          </w:tcPr>
          <w:p w14:paraId="6ACBFDF9"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4/9</w:t>
            </w:r>
          </w:p>
        </w:tc>
        <w:tc>
          <w:tcPr>
            <w:tcW w:w="1004" w:type="dxa"/>
          </w:tcPr>
          <w:p w14:paraId="2EDB1BEA"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0.225</w:t>
            </w:r>
          </w:p>
        </w:tc>
      </w:tr>
      <w:tr w:rsidR="00893683" w:rsidRPr="00893683" w14:paraId="2846870E" w14:textId="77777777" w:rsidTr="001F07FF">
        <w:trPr>
          <w:trHeight w:val="256"/>
          <w:jc w:val="center"/>
        </w:trPr>
        <w:tc>
          <w:tcPr>
            <w:tcW w:w="3890" w:type="dxa"/>
          </w:tcPr>
          <w:p w14:paraId="487120B7" w14:textId="71A5D49A"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sz w:val="24"/>
                <w:szCs w:val="24"/>
              </w:rPr>
              <w:t>Anemia due to iron or vitamin B12 deficiency without identified cause</w:t>
            </w:r>
          </w:p>
        </w:tc>
        <w:tc>
          <w:tcPr>
            <w:tcW w:w="1004" w:type="dxa"/>
          </w:tcPr>
          <w:p w14:paraId="3700D72F"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14/44</w:t>
            </w:r>
          </w:p>
        </w:tc>
        <w:tc>
          <w:tcPr>
            <w:tcW w:w="878" w:type="dxa"/>
          </w:tcPr>
          <w:p w14:paraId="364C0396"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6/27</w:t>
            </w:r>
          </w:p>
        </w:tc>
        <w:tc>
          <w:tcPr>
            <w:tcW w:w="1004" w:type="dxa"/>
          </w:tcPr>
          <w:p w14:paraId="1D325F5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1/21</w:t>
            </w:r>
          </w:p>
        </w:tc>
        <w:tc>
          <w:tcPr>
            <w:tcW w:w="1131" w:type="dxa"/>
          </w:tcPr>
          <w:p w14:paraId="3080823F"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0/8</w:t>
            </w:r>
          </w:p>
        </w:tc>
        <w:tc>
          <w:tcPr>
            <w:tcW w:w="1129" w:type="dxa"/>
          </w:tcPr>
          <w:p w14:paraId="4D11651B"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2/9</w:t>
            </w:r>
          </w:p>
        </w:tc>
        <w:tc>
          <w:tcPr>
            <w:tcW w:w="1004" w:type="dxa"/>
          </w:tcPr>
          <w:p w14:paraId="2F609BD2" w14:textId="77777777" w:rsidR="00893683" w:rsidRPr="00893683" w:rsidRDefault="00893683" w:rsidP="00893683">
            <w:pPr>
              <w:spacing w:line="360" w:lineRule="auto"/>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0.025</w:t>
            </w:r>
          </w:p>
        </w:tc>
      </w:tr>
    </w:tbl>
    <w:p w14:paraId="4A98F1BC" w14:textId="77777777" w:rsidR="00B51CA3" w:rsidRDefault="00B51CA3" w:rsidP="00B40E3D">
      <w:pPr>
        <w:pStyle w:val="Caption"/>
        <w:keepNext/>
        <w:rPr>
          <w:rFonts w:ascii="Times New Roman" w:hAnsi="Times New Roman" w:cs="Times New Roman"/>
          <w:b/>
          <w:bCs/>
          <w:sz w:val="28"/>
          <w:szCs w:val="28"/>
        </w:rPr>
      </w:pPr>
      <w:bookmarkStart w:id="8" w:name="_Toc206338573"/>
    </w:p>
    <w:bookmarkEnd w:id="8"/>
    <w:p w14:paraId="5B607704" w14:textId="1EC2B0D8" w:rsidR="00B51CA3" w:rsidRDefault="00B51CA3" w:rsidP="00B51CA3">
      <w:pPr>
        <w:rPr>
          <w:lang w:val="fr-FR"/>
        </w:rPr>
      </w:pPr>
    </w:p>
    <w:p w14:paraId="2E070086" w14:textId="53E316A7" w:rsidR="00B51CA3" w:rsidRPr="00B51CA3" w:rsidRDefault="00B51CA3" w:rsidP="00B51CA3">
      <w:pPr>
        <w:rPr>
          <w:rFonts w:ascii="Times New Roman" w:hAnsi="Times New Roman" w:cs="Times New Roman"/>
          <w:lang w:val="fr-FR"/>
        </w:rPr>
      </w:pPr>
      <w:r w:rsidRPr="00B51CA3">
        <w:rPr>
          <w:rFonts w:ascii="Times New Roman" w:hAnsi="Times New Roman" w:cs="Times New Roman"/>
          <w:lang w:val="fr-FR"/>
        </w:rPr>
        <w:lastRenderedPageBreak/>
        <w:t>Table 4 : Relationship between physician seniority and Hp diagnostic tests</w:t>
      </w:r>
    </w:p>
    <w:tbl>
      <w:tblPr>
        <w:tblStyle w:val="Style21"/>
        <w:tblW w:w="9771" w:type="dxa"/>
        <w:jc w:val="center"/>
        <w:tblLook w:val="04A0" w:firstRow="1" w:lastRow="0" w:firstColumn="1" w:lastColumn="0" w:noHBand="0" w:noVBand="1"/>
      </w:tblPr>
      <w:tblGrid>
        <w:gridCol w:w="3637"/>
        <w:gridCol w:w="763"/>
        <w:gridCol w:w="954"/>
        <w:gridCol w:w="954"/>
        <w:gridCol w:w="1002"/>
        <w:gridCol w:w="1210"/>
        <w:gridCol w:w="1251"/>
      </w:tblGrid>
      <w:tr w:rsidR="00B51CA3" w:rsidRPr="00B51CA3" w14:paraId="5EE57918" w14:textId="77777777" w:rsidTr="00CE1695">
        <w:trPr>
          <w:cnfStyle w:val="100000000000" w:firstRow="1" w:lastRow="0" w:firstColumn="0" w:lastColumn="0" w:oddVBand="0" w:evenVBand="0" w:oddHBand="0" w:evenHBand="0" w:firstRowFirstColumn="0" w:firstRowLastColumn="0" w:lastRowFirstColumn="0" w:lastRowLastColumn="0"/>
          <w:trHeight w:val="921"/>
          <w:jc w:val="center"/>
        </w:trPr>
        <w:tc>
          <w:tcPr>
            <w:tcW w:w="3644" w:type="dxa"/>
            <w:tcBorders>
              <w:top w:val="thinThickSmallGap" w:sz="18" w:space="0" w:color="auto"/>
              <w:tl2br w:val="single" w:sz="18" w:space="0" w:color="auto"/>
            </w:tcBorders>
          </w:tcPr>
          <w:p w14:paraId="481DC996" w14:textId="77777777" w:rsidR="00B51CA3" w:rsidRPr="00B51CA3" w:rsidRDefault="00B51CA3" w:rsidP="00B51CA3">
            <w:pPr>
              <w:rPr>
                <w:rFonts w:ascii="Times New Roman" w:hAnsi="Times New Roman" w:cs="Times New Roman"/>
                <w:sz w:val="24"/>
                <w:szCs w:val="24"/>
              </w:rPr>
            </w:pPr>
            <w:r w:rsidRPr="00B51CA3">
              <w:rPr>
                <w:rFonts w:ascii="Times New Roman" w:hAnsi="Times New Roman" w:cs="Times New Roman"/>
                <w:b/>
                <w:bCs/>
                <w:noProof/>
                <w:sz w:val="24"/>
                <w:szCs w:val="24"/>
              </w:rPr>
              <w:t xml:space="preserve">                            </w:t>
            </w:r>
            <w:r w:rsidRPr="00B51CA3">
              <w:rPr>
                <w:rFonts w:ascii="Times New Roman" w:hAnsi="Times New Roman" w:cs="Times New Roman"/>
                <w:noProof/>
                <w:sz w:val="24"/>
                <w:szCs w:val="24"/>
              </w:rPr>
              <w:t>Seniority</w:t>
            </w:r>
          </w:p>
          <w:p w14:paraId="39CB55F6" w14:textId="77777777" w:rsidR="00B51CA3" w:rsidRPr="00B51CA3" w:rsidRDefault="00B51CA3" w:rsidP="00B51CA3">
            <w:pPr>
              <w:rPr>
                <w:rFonts w:ascii="Times New Roman" w:hAnsi="Times New Roman" w:cs="Times New Roman"/>
                <w:sz w:val="24"/>
                <w:szCs w:val="24"/>
              </w:rPr>
            </w:pPr>
          </w:p>
          <w:p w14:paraId="19AD5FCA" w14:textId="134D287B" w:rsidR="00B51CA3" w:rsidRPr="00B51CA3" w:rsidRDefault="00B51CA3" w:rsidP="00B51CA3">
            <w:pPr>
              <w:rPr>
                <w:rFonts w:ascii="Times New Roman" w:hAnsi="Times New Roman" w:cs="Times New Roman"/>
                <w:b/>
                <w:bCs/>
                <w:sz w:val="24"/>
                <w:szCs w:val="24"/>
              </w:rPr>
            </w:pPr>
            <w:r w:rsidRPr="00B51CA3">
              <w:rPr>
                <w:rFonts w:ascii="Times New Roman" w:hAnsi="Times New Roman" w:cs="Times New Roman"/>
                <w:sz w:val="24"/>
                <w:szCs w:val="24"/>
              </w:rPr>
              <w:t>Diagnosis Test</w:t>
            </w:r>
          </w:p>
        </w:tc>
        <w:tc>
          <w:tcPr>
            <w:tcW w:w="745" w:type="dxa"/>
          </w:tcPr>
          <w:p w14:paraId="447BD488"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˂5 y</w:t>
            </w:r>
          </w:p>
          <w:p w14:paraId="5D954922"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n/N</w:t>
            </w:r>
          </w:p>
          <w:p w14:paraId="7C087D31" w14:textId="77777777" w:rsidR="00B51CA3" w:rsidRPr="00B51CA3" w:rsidRDefault="00B51CA3" w:rsidP="00B51CA3">
            <w:pPr>
              <w:jc w:val="center"/>
              <w:rPr>
                <w:rFonts w:ascii="Times New Roman" w:hAnsi="Times New Roman" w:cs="Times New Roman"/>
                <w:noProof/>
                <w:sz w:val="24"/>
                <w:szCs w:val="24"/>
              </w:rPr>
            </w:pPr>
          </w:p>
        </w:tc>
        <w:tc>
          <w:tcPr>
            <w:tcW w:w="955" w:type="dxa"/>
          </w:tcPr>
          <w:p w14:paraId="4323947D"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[ 5-9 ]</w:t>
            </w:r>
          </w:p>
          <w:p w14:paraId="470451E8"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n/N</w:t>
            </w:r>
          </w:p>
          <w:p w14:paraId="62035D74" w14:textId="77777777" w:rsidR="00B51CA3" w:rsidRPr="00B51CA3" w:rsidRDefault="00B51CA3" w:rsidP="00B51CA3">
            <w:pPr>
              <w:jc w:val="center"/>
              <w:rPr>
                <w:rFonts w:ascii="Times New Roman" w:hAnsi="Times New Roman" w:cs="Times New Roman"/>
                <w:noProof/>
                <w:sz w:val="24"/>
                <w:szCs w:val="24"/>
              </w:rPr>
            </w:pPr>
          </w:p>
        </w:tc>
        <w:tc>
          <w:tcPr>
            <w:tcW w:w="955" w:type="dxa"/>
          </w:tcPr>
          <w:p w14:paraId="0BC70A99"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[10-14]</w:t>
            </w:r>
          </w:p>
          <w:p w14:paraId="6DEE56D6"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n/N</w:t>
            </w:r>
          </w:p>
          <w:p w14:paraId="6120E8F8" w14:textId="77777777" w:rsidR="00B51CA3" w:rsidRPr="00B51CA3" w:rsidRDefault="00B51CA3" w:rsidP="00B51CA3">
            <w:pPr>
              <w:jc w:val="center"/>
              <w:rPr>
                <w:rFonts w:ascii="Times New Roman" w:hAnsi="Times New Roman" w:cs="Times New Roman"/>
                <w:noProof/>
                <w:sz w:val="24"/>
                <w:szCs w:val="24"/>
              </w:rPr>
            </w:pPr>
          </w:p>
        </w:tc>
        <w:tc>
          <w:tcPr>
            <w:tcW w:w="1004" w:type="dxa"/>
          </w:tcPr>
          <w:p w14:paraId="6B8645FA"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[15-19]</w:t>
            </w:r>
          </w:p>
          <w:p w14:paraId="193779F0"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n/N</w:t>
            </w:r>
          </w:p>
          <w:p w14:paraId="232E6D93" w14:textId="77777777" w:rsidR="00B51CA3" w:rsidRPr="00B51CA3" w:rsidRDefault="00B51CA3" w:rsidP="00B51CA3">
            <w:pPr>
              <w:jc w:val="center"/>
              <w:rPr>
                <w:rFonts w:ascii="Times New Roman" w:hAnsi="Times New Roman" w:cs="Times New Roman"/>
                <w:noProof/>
                <w:sz w:val="24"/>
                <w:szCs w:val="24"/>
              </w:rPr>
            </w:pPr>
          </w:p>
        </w:tc>
        <w:tc>
          <w:tcPr>
            <w:tcW w:w="1214" w:type="dxa"/>
          </w:tcPr>
          <w:p w14:paraId="004DB83E"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 20 y</w:t>
            </w:r>
          </w:p>
          <w:p w14:paraId="40A1E403"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n/N</w:t>
            </w:r>
          </w:p>
          <w:p w14:paraId="78BA1BA4" w14:textId="77777777" w:rsidR="00B51CA3" w:rsidRPr="00B51CA3" w:rsidRDefault="00B51CA3" w:rsidP="00B51CA3">
            <w:pPr>
              <w:jc w:val="center"/>
              <w:rPr>
                <w:rFonts w:ascii="Times New Roman" w:hAnsi="Times New Roman" w:cs="Times New Roman"/>
                <w:noProof/>
                <w:sz w:val="24"/>
                <w:szCs w:val="24"/>
              </w:rPr>
            </w:pPr>
          </w:p>
        </w:tc>
        <w:tc>
          <w:tcPr>
            <w:tcW w:w="1254" w:type="dxa"/>
          </w:tcPr>
          <w:p w14:paraId="16C356CB" w14:textId="4752FAD0" w:rsidR="00B51CA3" w:rsidRPr="00B51CA3" w:rsidRDefault="00B51CA3" w:rsidP="00B51CA3">
            <w:pPr>
              <w:jc w:val="center"/>
              <w:rPr>
                <w:rFonts w:ascii="Times New Roman" w:hAnsi="Times New Roman" w:cs="Times New Roman"/>
                <w:b/>
                <w:bCs/>
                <w:noProof/>
                <w:sz w:val="24"/>
                <w:szCs w:val="24"/>
              </w:rPr>
            </w:pPr>
            <w:r w:rsidRPr="00B51CA3">
              <w:rPr>
                <w:rFonts w:ascii="Times New Roman" w:hAnsi="Times New Roman" w:cs="Times New Roman"/>
                <w:noProof/>
                <w:sz w:val="24"/>
                <w:szCs w:val="24"/>
              </w:rPr>
              <w:t>P valeur</w:t>
            </w:r>
          </w:p>
        </w:tc>
      </w:tr>
      <w:tr w:rsidR="00B51CA3" w:rsidRPr="00B51CA3" w14:paraId="59C16A10" w14:textId="77777777" w:rsidTr="00CE1695">
        <w:trPr>
          <w:trHeight w:val="298"/>
          <w:jc w:val="center"/>
        </w:trPr>
        <w:tc>
          <w:tcPr>
            <w:tcW w:w="3644" w:type="dxa"/>
          </w:tcPr>
          <w:p w14:paraId="24637546" w14:textId="1FB0957B" w:rsidR="00B51CA3" w:rsidRPr="00B51CA3" w:rsidRDefault="00B51CA3" w:rsidP="00B51CA3">
            <w:pPr>
              <w:spacing w:line="360" w:lineRule="auto"/>
              <w:rPr>
                <w:rFonts w:ascii="Times New Roman" w:hAnsi="Times New Roman" w:cs="Times New Roman"/>
                <w:b/>
                <w:bCs/>
                <w:noProof/>
                <w:sz w:val="24"/>
                <w:szCs w:val="24"/>
              </w:rPr>
            </w:pPr>
            <w:r w:rsidRPr="00B51CA3">
              <w:rPr>
                <w:rFonts w:ascii="Times New Roman" w:hAnsi="Times New Roman" w:cs="Times New Roman"/>
                <w:b/>
                <w:bCs/>
                <w:sz w:val="24"/>
                <w:szCs w:val="24"/>
              </w:rPr>
              <w:t>Urea breath test</w:t>
            </w:r>
          </w:p>
        </w:tc>
        <w:tc>
          <w:tcPr>
            <w:tcW w:w="745" w:type="dxa"/>
          </w:tcPr>
          <w:p w14:paraId="1696B2F5"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11/44</w:t>
            </w:r>
          </w:p>
        </w:tc>
        <w:tc>
          <w:tcPr>
            <w:tcW w:w="955" w:type="dxa"/>
          </w:tcPr>
          <w:p w14:paraId="2E5C2125"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7/27</w:t>
            </w:r>
          </w:p>
        </w:tc>
        <w:tc>
          <w:tcPr>
            <w:tcW w:w="955" w:type="dxa"/>
          </w:tcPr>
          <w:p w14:paraId="1F704E80"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0/21</w:t>
            </w:r>
          </w:p>
        </w:tc>
        <w:tc>
          <w:tcPr>
            <w:tcW w:w="1004" w:type="dxa"/>
          </w:tcPr>
          <w:p w14:paraId="328057F9"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1/8</w:t>
            </w:r>
          </w:p>
        </w:tc>
        <w:tc>
          <w:tcPr>
            <w:tcW w:w="1214" w:type="dxa"/>
          </w:tcPr>
          <w:p w14:paraId="00BBAC46"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2/9</w:t>
            </w:r>
          </w:p>
        </w:tc>
        <w:tc>
          <w:tcPr>
            <w:tcW w:w="1254" w:type="dxa"/>
          </w:tcPr>
          <w:p w14:paraId="3ACCB17A" w14:textId="77777777" w:rsidR="00B51CA3" w:rsidRPr="00B51CA3" w:rsidRDefault="00B51CA3" w:rsidP="00B51CA3">
            <w:pPr>
              <w:spacing w:line="360" w:lineRule="auto"/>
              <w:jc w:val="center"/>
              <w:rPr>
                <w:rFonts w:ascii="Times New Roman" w:hAnsi="Times New Roman" w:cs="Times New Roman"/>
                <w:b/>
                <w:bCs/>
                <w:noProof/>
                <w:sz w:val="24"/>
                <w:szCs w:val="24"/>
              </w:rPr>
            </w:pPr>
            <w:r w:rsidRPr="00B51CA3">
              <w:rPr>
                <w:rFonts w:ascii="Times New Roman" w:hAnsi="Times New Roman" w:cs="Times New Roman"/>
                <w:b/>
                <w:bCs/>
                <w:noProof/>
                <w:sz w:val="24"/>
                <w:szCs w:val="24"/>
              </w:rPr>
              <w:t>0.028</w:t>
            </w:r>
          </w:p>
        </w:tc>
      </w:tr>
      <w:tr w:rsidR="00B51CA3" w:rsidRPr="00B51CA3" w14:paraId="273B1A02" w14:textId="77777777" w:rsidTr="00CE1695">
        <w:trPr>
          <w:trHeight w:val="298"/>
          <w:jc w:val="center"/>
        </w:trPr>
        <w:tc>
          <w:tcPr>
            <w:tcW w:w="3644" w:type="dxa"/>
          </w:tcPr>
          <w:p w14:paraId="6C0EDDD2" w14:textId="7EBE1171" w:rsidR="00B51CA3" w:rsidRPr="00B51CA3" w:rsidRDefault="00B51CA3" w:rsidP="00B51CA3">
            <w:pPr>
              <w:spacing w:line="360" w:lineRule="auto"/>
              <w:rPr>
                <w:rFonts w:ascii="Times New Roman" w:hAnsi="Times New Roman" w:cs="Times New Roman"/>
                <w:b/>
                <w:bCs/>
                <w:noProof/>
                <w:sz w:val="24"/>
                <w:szCs w:val="24"/>
              </w:rPr>
            </w:pPr>
            <w:r w:rsidRPr="00B51CA3">
              <w:rPr>
                <w:rFonts w:ascii="Times New Roman" w:hAnsi="Times New Roman" w:cs="Times New Roman"/>
                <w:b/>
                <w:bCs/>
                <w:sz w:val="24"/>
                <w:szCs w:val="24"/>
              </w:rPr>
              <w:t>Helicobacter pylori serology</w:t>
            </w:r>
          </w:p>
        </w:tc>
        <w:tc>
          <w:tcPr>
            <w:tcW w:w="745" w:type="dxa"/>
          </w:tcPr>
          <w:p w14:paraId="1160C4B7"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24/44</w:t>
            </w:r>
          </w:p>
        </w:tc>
        <w:tc>
          <w:tcPr>
            <w:tcW w:w="955" w:type="dxa"/>
          </w:tcPr>
          <w:p w14:paraId="48676B09"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17/27</w:t>
            </w:r>
          </w:p>
        </w:tc>
        <w:tc>
          <w:tcPr>
            <w:tcW w:w="955" w:type="dxa"/>
          </w:tcPr>
          <w:p w14:paraId="428207D8"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20/21</w:t>
            </w:r>
          </w:p>
        </w:tc>
        <w:tc>
          <w:tcPr>
            <w:tcW w:w="1004" w:type="dxa"/>
          </w:tcPr>
          <w:p w14:paraId="1173BF91"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6/8</w:t>
            </w:r>
          </w:p>
        </w:tc>
        <w:tc>
          <w:tcPr>
            <w:tcW w:w="1214" w:type="dxa"/>
          </w:tcPr>
          <w:p w14:paraId="2088C5D7"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8/9</w:t>
            </w:r>
          </w:p>
        </w:tc>
        <w:tc>
          <w:tcPr>
            <w:tcW w:w="1254" w:type="dxa"/>
          </w:tcPr>
          <w:p w14:paraId="3A1A8A5E" w14:textId="77777777" w:rsidR="00B51CA3" w:rsidRPr="00B51CA3" w:rsidRDefault="00B51CA3" w:rsidP="00B51CA3">
            <w:pPr>
              <w:spacing w:line="360" w:lineRule="auto"/>
              <w:jc w:val="center"/>
              <w:rPr>
                <w:rFonts w:ascii="Times New Roman" w:hAnsi="Times New Roman" w:cs="Times New Roman"/>
                <w:b/>
                <w:bCs/>
                <w:noProof/>
                <w:sz w:val="24"/>
                <w:szCs w:val="24"/>
              </w:rPr>
            </w:pPr>
            <w:r w:rsidRPr="00B51CA3">
              <w:rPr>
                <w:rFonts w:ascii="Times New Roman" w:hAnsi="Times New Roman" w:cs="Times New Roman"/>
                <w:b/>
                <w:bCs/>
                <w:noProof/>
                <w:sz w:val="24"/>
                <w:szCs w:val="24"/>
              </w:rPr>
              <w:t>0.003</w:t>
            </w:r>
          </w:p>
        </w:tc>
      </w:tr>
      <w:tr w:rsidR="00B51CA3" w:rsidRPr="00B51CA3" w14:paraId="042798E9" w14:textId="77777777" w:rsidTr="00CE1695">
        <w:trPr>
          <w:trHeight w:val="504"/>
          <w:jc w:val="center"/>
        </w:trPr>
        <w:tc>
          <w:tcPr>
            <w:tcW w:w="3644" w:type="dxa"/>
          </w:tcPr>
          <w:p w14:paraId="21617ABF" w14:textId="6C6F2D64" w:rsidR="00B51CA3" w:rsidRPr="00B51CA3" w:rsidRDefault="00B51CA3" w:rsidP="00B51CA3">
            <w:pPr>
              <w:spacing w:line="360" w:lineRule="auto"/>
              <w:rPr>
                <w:rFonts w:ascii="Times New Roman" w:hAnsi="Times New Roman" w:cs="Times New Roman"/>
                <w:noProof/>
                <w:sz w:val="24"/>
                <w:szCs w:val="24"/>
              </w:rPr>
            </w:pPr>
            <w:r w:rsidRPr="00B51CA3">
              <w:rPr>
                <w:rFonts w:ascii="Times New Roman" w:hAnsi="Times New Roman" w:cs="Times New Roman"/>
                <w:sz w:val="24"/>
                <w:szCs w:val="24"/>
              </w:rPr>
              <w:t>Endoscopy (with Helicobacter culture/histology/PCR)</w:t>
            </w:r>
          </w:p>
        </w:tc>
        <w:tc>
          <w:tcPr>
            <w:tcW w:w="745" w:type="dxa"/>
          </w:tcPr>
          <w:p w14:paraId="33AEB7D2"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27/44</w:t>
            </w:r>
          </w:p>
        </w:tc>
        <w:tc>
          <w:tcPr>
            <w:tcW w:w="955" w:type="dxa"/>
          </w:tcPr>
          <w:p w14:paraId="50CEC33D"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26/27</w:t>
            </w:r>
          </w:p>
        </w:tc>
        <w:tc>
          <w:tcPr>
            <w:tcW w:w="955" w:type="dxa"/>
          </w:tcPr>
          <w:p w14:paraId="2724CDBC"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10/21</w:t>
            </w:r>
          </w:p>
        </w:tc>
        <w:tc>
          <w:tcPr>
            <w:tcW w:w="1004" w:type="dxa"/>
          </w:tcPr>
          <w:p w14:paraId="49F55F37"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3/8</w:t>
            </w:r>
          </w:p>
        </w:tc>
        <w:tc>
          <w:tcPr>
            <w:tcW w:w="1214" w:type="dxa"/>
          </w:tcPr>
          <w:p w14:paraId="6552AA7A"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2/9</w:t>
            </w:r>
          </w:p>
        </w:tc>
        <w:tc>
          <w:tcPr>
            <w:tcW w:w="1254" w:type="dxa"/>
          </w:tcPr>
          <w:p w14:paraId="2F6300EF"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0.180</w:t>
            </w:r>
          </w:p>
        </w:tc>
      </w:tr>
      <w:tr w:rsidR="00B51CA3" w:rsidRPr="00B51CA3" w14:paraId="584C3CA9" w14:textId="77777777" w:rsidTr="00CE1695">
        <w:trPr>
          <w:trHeight w:val="298"/>
          <w:jc w:val="center"/>
        </w:trPr>
        <w:tc>
          <w:tcPr>
            <w:tcW w:w="3644" w:type="dxa"/>
          </w:tcPr>
          <w:p w14:paraId="7E21CC14" w14:textId="63BBD0CF" w:rsidR="00B51CA3" w:rsidRPr="00B51CA3" w:rsidRDefault="00B51CA3" w:rsidP="00B51CA3">
            <w:pPr>
              <w:spacing w:line="360" w:lineRule="auto"/>
              <w:rPr>
                <w:rFonts w:ascii="Times New Roman" w:hAnsi="Times New Roman" w:cs="Times New Roman"/>
                <w:noProof/>
                <w:sz w:val="24"/>
                <w:szCs w:val="24"/>
              </w:rPr>
            </w:pPr>
            <w:r w:rsidRPr="00B51CA3">
              <w:rPr>
                <w:rFonts w:ascii="Times New Roman" w:hAnsi="Times New Roman" w:cs="Times New Roman"/>
                <w:sz w:val="24"/>
                <w:szCs w:val="24"/>
              </w:rPr>
              <w:t>Stool antigen detection</w:t>
            </w:r>
          </w:p>
        </w:tc>
        <w:tc>
          <w:tcPr>
            <w:tcW w:w="745" w:type="dxa"/>
          </w:tcPr>
          <w:p w14:paraId="719F0643"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9/44</w:t>
            </w:r>
          </w:p>
        </w:tc>
        <w:tc>
          <w:tcPr>
            <w:tcW w:w="955" w:type="dxa"/>
          </w:tcPr>
          <w:p w14:paraId="7CC020DD"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3/27</w:t>
            </w:r>
          </w:p>
        </w:tc>
        <w:tc>
          <w:tcPr>
            <w:tcW w:w="955" w:type="dxa"/>
          </w:tcPr>
          <w:p w14:paraId="71B9A71B"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0/21</w:t>
            </w:r>
          </w:p>
        </w:tc>
        <w:tc>
          <w:tcPr>
            <w:tcW w:w="1004" w:type="dxa"/>
          </w:tcPr>
          <w:p w14:paraId="7A4CBB81"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1/8</w:t>
            </w:r>
          </w:p>
        </w:tc>
        <w:tc>
          <w:tcPr>
            <w:tcW w:w="1214" w:type="dxa"/>
          </w:tcPr>
          <w:p w14:paraId="6CC23813"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1/9</w:t>
            </w:r>
          </w:p>
        </w:tc>
        <w:tc>
          <w:tcPr>
            <w:tcW w:w="1254" w:type="dxa"/>
          </w:tcPr>
          <w:p w14:paraId="71EE269D"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0.097</w:t>
            </w:r>
          </w:p>
        </w:tc>
      </w:tr>
    </w:tbl>
    <w:p w14:paraId="6906D594" w14:textId="463C76FE" w:rsidR="00BC6CCB" w:rsidRDefault="00BC6CCB">
      <w:pPr>
        <w:rPr>
          <w:rFonts w:ascii="Times New Roman" w:hAnsi="Times New Roman" w:cs="Times New Roman"/>
          <w:sz w:val="28"/>
          <w:szCs w:val="28"/>
        </w:rPr>
      </w:pPr>
    </w:p>
    <w:p w14:paraId="0393612C" w14:textId="77777777" w:rsidR="001F07FF" w:rsidRDefault="001F07FF">
      <w:pPr>
        <w:rPr>
          <w:rFonts w:ascii="Times New Roman" w:hAnsi="Times New Roman" w:cs="Times New Roman"/>
          <w:sz w:val="28"/>
          <w:szCs w:val="28"/>
        </w:rPr>
      </w:pPr>
    </w:p>
    <w:p w14:paraId="4B715EB6" w14:textId="77777777" w:rsidR="001F07FF" w:rsidRDefault="001F07FF">
      <w:pPr>
        <w:rPr>
          <w:rFonts w:ascii="Times New Roman" w:hAnsi="Times New Roman" w:cs="Times New Roman"/>
          <w:b/>
          <w:bCs/>
          <w:sz w:val="28"/>
          <w:szCs w:val="28"/>
        </w:rPr>
      </w:pPr>
    </w:p>
    <w:p w14:paraId="7CC4E550" w14:textId="77777777" w:rsidR="001F07FF" w:rsidRDefault="001F07FF">
      <w:pPr>
        <w:rPr>
          <w:rFonts w:ascii="Times New Roman" w:hAnsi="Times New Roman" w:cs="Times New Roman"/>
          <w:b/>
          <w:bCs/>
          <w:sz w:val="28"/>
          <w:szCs w:val="28"/>
        </w:rPr>
      </w:pPr>
    </w:p>
    <w:p w14:paraId="41308FF8" w14:textId="77777777" w:rsidR="00A64A5B" w:rsidRPr="00326B20" w:rsidRDefault="00A64A5B" w:rsidP="00A64A5B">
      <w:pPr>
        <w:rPr>
          <w:b/>
          <w:highlight w:val="yellow"/>
        </w:rPr>
      </w:pPr>
      <w:r w:rsidRPr="00326B20">
        <w:rPr>
          <w:b/>
          <w:highlight w:val="yellow"/>
        </w:rPr>
        <w:t>Disclaimer (Artificial intelligence)</w:t>
      </w:r>
    </w:p>
    <w:p w14:paraId="23A9132D" w14:textId="77777777" w:rsidR="00A64A5B" w:rsidRPr="00740879" w:rsidRDefault="00A64A5B" w:rsidP="00A64A5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567CF36" w14:textId="77777777" w:rsidR="001F07FF" w:rsidRDefault="001F07FF">
      <w:pPr>
        <w:rPr>
          <w:rFonts w:ascii="Times New Roman" w:hAnsi="Times New Roman" w:cs="Times New Roman"/>
          <w:b/>
          <w:bCs/>
          <w:sz w:val="28"/>
          <w:szCs w:val="28"/>
        </w:rPr>
      </w:pPr>
    </w:p>
    <w:p w14:paraId="31448922" w14:textId="77777777" w:rsidR="001F07FF" w:rsidRDefault="001F07FF">
      <w:pPr>
        <w:rPr>
          <w:rFonts w:ascii="Times New Roman" w:hAnsi="Times New Roman" w:cs="Times New Roman"/>
          <w:b/>
          <w:bCs/>
          <w:sz w:val="28"/>
          <w:szCs w:val="28"/>
        </w:rPr>
      </w:pPr>
    </w:p>
    <w:p w14:paraId="185191CC" w14:textId="77777777" w:rsidR="001F07FF" w:rsidRDefault="001F07FF">
      <w:pPr>
        <w:rPr>
          <w:rFonts w:ascii="Times New Roman" w:hAnsi="Times New Roman" w:cs="Times New Roman"/>
          <w:b/>
          <w:bCs/>
          <w:sz w:val="28"/>
          <w:szCs w:val="28"/>
        </w:rPr>
      </w:pPr>
    </w:p>
    <w:p w14:paraId="657ED2AC" w14:textId="77777777" w:rsidR="001F07FF" w:rsidRDefault="001F07FF">
      <w:pPr>
        <w:rPr>
          <w:rFonts w:ascii="Times New Roman" w:hAnsi="Times New Roman" w:cs="Times New Roman"/>
          <w:b/>
          <w:bCs/>
          <w:sz w:val="28"/>
          <w:szCs w:val="28"/>
        </w:rPr>
      </w:pPr>
    </w:p>
    <w:p w14:paraId="0C9D43D7" w14:textId="0C52F49D" w:rsidR="00B51CA3" w:rsidRPr="00B51CA3" w:rsidRDefault="00B51CA3">
      <w:pPr>
        <w:rPr>
          <w:rFonts w:ascii="Times New Roman" w:hAnsi="Times New Roman" w:cs="Times New Roman"/>
          <w:b/>
          <w:bCs/>
          <w:sz w:val="28"/>
          <w:szCs w:val="28"/>
        </w:rPr>
      </w:pPr>
      <w:r w:rsidRPr="00B51CA3">
        <w:rPr>
          <w:rFonts w:ascii="Times New Roman" w:hAnsi="Times New Roman" w:cs="Times New Roman"/>
          <w:b/>
          <w:bCs/>
          <w:sz w:val="28"/>
          <w:szCs w:val="28"/>
        </w:rPr>
        <w:t>REFERENCES</w:t>
      </w:r>
    </w:p>
    <w:p w14:paraId="211088F7" w14:textId="56DA715D" w:rsidR="00736141" w:rsidRPr="00624779" w:rsidRDefault="00736141" w:rsidP="00736141">
      <w:pPr>
        <w:rPr>
          <w:rStyle w:val="Strong"/>
          <w:rFonts w:ascii="Times New Roman" w:eastAsiaTheme="majorEastAsia" w:hAnsi="Times New Roman" w:cs="Times New Roman"/>
          <w:b w:val="0"/>
          <w:kern w:val="0"/>
          <w:sz w:val="28"/>
          <w:szCs w:val="28"/>
          <w:lang w:val="fr-FR"/>
          <w14:ligatures w14:val="none"/>
        </w:rPr>
      </w:pPr>
      <w:r w:rsidRPr="00624779">
        <w:rPr>
          <w:rStyle w:val="Strong"/>
          <w:rFonts w:ascii="Times New Roman" w:eastAsiaTheme="majorEastAsia" w:hAnsi="Times New Roman" w:cs="Times New Roman"/>
          <w:b w:val="0"/>
          <w:kern w:val="0"/>
          <w:sz w:val="28"/>
          <w:szCs w:val="28"/>
          <w:lang w:val="fr-FR"/>
          <w14:ligatures w14:val="none"/>
        </w:rPr>
        <w:t xml:space="preserve">1. Mignon M. Nobel Prize in Medicine </w:t>
      </w:r>
      <w:proofErr w:type="gramStart"/>
      <w:r w:rsidRPr="00624779">
        <w:rPr>
          <w:rStyle w:val="Strong"/>
          <w:rFonts w:ascii="Times New Roman" w:eastAsiaTheme="majorEastAsia" w:hAnsi="Times New Roman" w:cs="Times New Roman"/>
          <w:b w:val="0"/>
          <w:kern w:val="0"/>
          <w:sz w:val="28"/>
          <w:szCs w:val="28"/>
          <w:lang w:val="fr-FR"/>
          <w14:ligatures w14:val="none"/>
        </w:rPr>
        <w:t>2005:</w:t>
      </w:r>
      <w:proofErr w:type="gramEnd"/>
      <w:r w:rsidRPr="00624779">
        <w:rPr>
          <w:rStyle w:val="Strong"/>
          <w:rFonts w:ascii="Times New Roman" w:eastAsiaTheme="majorEastAsia" w:hAnsi="Times New Roman" w:cs="Times New Roman"/>
          <w:b w:val="0"/>
          <w:kern w:val="0"/>
          <w:sz w:val="28"/>
          <w:szCs w:val="28"/>
          <w:lang w:val="fr-FR"/>
          <w14:ligatures w14:val="none"/>
        </w:rPr>
        <w:t xml:space="preserve"> Barry J. Marshall and J. Robin Warren – Helicobacter pylori crowned. Clinical and Biological Gastroenterology. </w:t>
      </w:r>
      <w:proofErr w:type="gramStart"/>
      <w:r w:rsidRPr="00624779">
        <w:rPr>
          <w:rStyle w:val="Strong"/>
          <w:rFonts w:ascii="Times New Roman" w:eastAsiaTheme="majorEastAsia" w:hAnsi="Times New Roman" w:cs="Times New Roman"/>
          <w:b w:val="0"/>
          <w:kern w:val="0"/>
          <w:sz w:val="28"/>
          <w:szCs w:val="28"/>
          <w:lang w:val="fr-FR"/>
          <w14:ligatures w14:val="none"/>
        </w:rPr>
        <w:t>2005;</w:t>
      </w:r>
      <w:proofErr w:type="gramEnd"/>
      <w:r w:rsidRPr="00624779">
        <w:rPr>
          <w:rStyle w:val="Strong"/>
          <w:rFonts w:ascii="Times New Roman" w:eastAsiaTheme="majorEastAsia" w:hAnsi="Times New Roman" w:cs="Times New Roman"/>
          <w:b w:val="0"/>
          <w:kern w:val="0"/>
          <w:sz w:val="28"/>
          <w:szCs w:val="28"/>
          <w:lang w:val="fr-FR"/>
          <w14:ligatures w14:val="none"/>
        </w:rPr>
        <w:t>29(12):1235-6.</w:t>
      </w:r>
      <w:r w:rsidR="00B014DB" w:rsidRPr="00624779">
        <w:rPr>
          <w:rStyle w:val="Strong"/>
          <w:rFonts w:ascii="Times New Roman" w:eastAsiaTheme="majorEastAsia" w:hAnsi="Times New Roman" w:cs="Times New Roman"/>
          <w:b w:val="0"/>
          <w:kern w:val="0"/>
          <w:sz w:val="28"/>
          <w:szCs w:val="28"/>
          <w:lang w:val="fr-FR"/>
          <w14:ligatures w14:val="none"/>
        </w:rPr>
        <w:t xml:space="preserve"> </w:t>
      </w:r>
      <w:hyperlink r:id="rId15" w:history="1">
        <w:r w:rsidR="00B014DB" w:rsidRPr="00624779">
          <w:rPr>
            <w:rStyle w:val="Hyperlink"/>
            <w:rFonts w:ascii="Times New Roman" w:eastAsiaTheme="majorEastAsia" w:hAnsi="Times New Roman" w:cs="Times New Roman"/>
            <w:b/>
            <w:kern w:val="0"/>
            <w:sz w:val="28"/>
            <w:szCs w:val="28"/>
            <w:lang w:val="fr-FR"/>
            <w14:ligatures w14:val="none"/>
          </w:rPr>
          <w:t>https://doi.org/10.1051/medsci/20052111993</w:t>
        </w:r>
      </w:hyperlink>
      <w:r w:rsidR="00B014DB" w:rsidRPr="00624779">
        <w:rPr>
          <w:rStyle w:val="Strong"/>
          <w:rFonts w:ascii="Times New Roman" w:eastAsiaTheme="majorEastAsia" w:hAnsi="Times New Roman" w:cs="Times New Roman"/>
          <w:b w:val="0"/>
          <w:kern w:val="0"/>
          <w:sz w:val="28"/>
          <w:szCs w:val="28"/>
          <w:lang w:val="fr-FR"/>
          <w14:ligatures w14:val="none"/>
        </w:rPr>
        <w:t xml:space="preserve"> </w:t>
      </w:r>
    </w:p>
    <w:p w14:paraId="12631CA9" w14:textId="77777777" w:rsidR="00736141" w:rsidRPr="00624779" w:rsidRDefault="00736141" w:rsidP="00736141">
      <w:pPr>
        <w:rPr>
          <w:rStyle w:val="Strong"/>
          <w:rFonts w:ascii="Times New Roman" w:eastAsiaTheme="majorEastAsia" w:hAnsi="Times New Roman" w:cs="Times New Roman"/>
          <w:b w:val="0"/>
          <w:kern w:val="0"/>
          <w:sz w:val="28"/>
          <w:szCs w:val="28"/>
          <w:lang w:val="fr-FR"/>
          <w14:ligatures w14:val="none"/>
        </w:rPr>
      </w:pPr>
      <w:r w:rsidRPr="00624779">
        <w:rPr>
          <w:rStyle w:val="Strong"/>
          <w:rFonts w:ascii="Times New Roman" w:eastAsiaTheme="majorEastAsia" w:hAnsi="Times New Roman" w:cs="Times New Roman"/>
          <w:b w:val="0"/>
          <w:kern w:val="0"/>
          <w:sz w:val="28"/>
          <w:szCs w:val="28"/>
          <w:lang w:val="fr-FR"/>
          <w14:ligatures w14:val="none"/>
        </w:rPr>
        <w:t xml:space="preserve">2. Katelaris P, Hunt R, Bazzoli F, Cohen H, Fock KM, Gemilyan M, et al. Helicobacter </w:t>
      </w:r>
      <w:proofErr w:type="gramStart"/>
      <w:r w:rsidRPr="00624779">
        <w:rPr>
          <w:rStyle w:val="Strong"/>
          <w:rFonts w:ascii="Times New Roman" w:eastAsiaTheme="majorEastAsia" w:hAnsi="Times New Roman" w:cs="Times New Roman"/>
          <w:b w:val="0"/>
          <w:kern w:val="0"/>
          <w:sz w:val="28"/>
          <w:szCs w:val="28"/>
          <w:lang w:val="fr-FR"/>
          <w14:ligatures w14:val="none"/>
        </w:rPr>
        <w:t>pylori:</w:t>
      </w:r>
      <w:proofErr w:type="gramEnd"/>
      <w:r w:rsidRPr="00624779">
        <w:rPr>
          <w:rStyle w:val="Strong"/>
          <w:rFonts w:ascii="Times New Roman" w:eastAsiaTheme="majorEastAsia" w:hAnsi="Times New Roman" w:cs="Times New Roman"/>
          <w:b w:val="0"/>
          <w:kern w:val="0"/>
          <w:sz w:val="28"/>
          <w:szCs w:val="28"/>
          <w:lang w:val="fr-FR"/>
          <w14:ligatures w14:val="none"/>
        </w:rPr>
        <w:t xml:space="preserve"> World Gastroenterology Organisation Global Guideline. J Clin Gastroenterol. </w:t>
      </w:r>
      <w:proofErr w:type="gramStart"/>
      <w:r w:rsidRPr="00624779">
        <w:rPr>
          <w:rStyle w:val="Strong"/>
          <w:rFonts w:ascii="Times New Roman" w:eastAsiaTheme="majorEastAsia" w:hAnsi="Times New Roman" w:cs="Times New Roman"/>
          <w:b w:val="0"/>
          <w:kern w:val="0"/>
          <w:sz w:val="28"/>
          <w:szCs w:val="28"/>
          <w:lang w:val="fr-FR"/>
          <w14:ligatures w14:val="none"/>
        </w:rPr>
        <w:t>2023;</w:t>
      </w:r>
      <w:proofErr w:type="gramEnd"/>
      <w:r w:rsidRPr="00624779">
        <w:rPr>
          <w:rStyle w:val="Strong"/>
          <w:rFonts w:ascii="Times New Roman" w:eastAsiaTheme="majorEastAsia" w:hAnsi="Times New Roman" w:cs="Times New Roman"/>
          <w:b w:val="0"/>
          <w:kern w:val="0"/>
          <w:sz w:val="28"/>
          <w:szCs w:val="28"/>
          <w:lang w:val="fr-FR"/>
          <w14:ligatures w14:val="none"/>
        </w:rPr>
        <w:t xml:space="preserve">57(2):111-26. </w:t>
      </w:r>
      <w:proofErr w:type="gramStart"/>
      <w:r w:rsidRPr="00624779">
        <w:rPr>
          <w:rStyle w:val="Strong"/>
          <w:rFonts w:ascii="Times New Roman" w:eastAsiaTheme="majorEastAsia" w:hAnsi="Times New Roman" w:cs="Times New Roman"/>
          <w:b w:val="0"/>
          <w:kern w:val="0"/>
          <w:sz w:val="28"/>
          <w:szCs w:val="28"/>
          <w:lang w:val="fr-FR"/>
          <w14:ligatures w14:val="none"/>
        </w:rPr>
        <w:t>doi:</w:t>
      </w:r>
      <w:proofErr w:type="gramEnd"/>
      <w:r w:rsidRPr="00624779">
        <w:rPr>
          <w:rStyle w:val="Strong"/>
          <w:rFonts w:ascii="Times New Roman" w:eastAsiaTheme="majorEastAsia" w:hAnsi="Times New Roman" w:cs="Times New Roman"/>
          <w:b w:val="0"/>
          <w:kern w:val="0"/>
          <w:sz w:val="28"/>
          <w:szCs w:val="28"/>
          <w:lang w:val="fr-FR"/>
          <w14:ligatures w14:val="none"/>
        </w:rPr>
        <w:t>10.1097/MCG.0000000000001802.</w:t>
      </w:r>
    </w:p>
    <w:p w14:paraId="7F4F4A52" w14:textId="7B2A444C" w:rsidR="00736141" w:rsidRPr="00624779" w:rsidRDefault="00736141" w:rsidP="00736141">
      <w:pPr>
        <w:rPr>
          <w:rStyle w:val="Strong"/>
          <w:rFonts w:ascii="Times New Roman" w:eastAsiaTheme="majorEastAsia" w:hAnsi="Times New Roman" w:cs="Times New Roman"/>
          <w:b w:val="0"/>
          <w:kern w:val="0"/>
          <w:sz w:val="28"/>
          <w:szCs w:val="28"/>
          <w:lang w:val="fr-FR"/>
          <w14:ligatures w14:val="none"/>
        </w:rPr>
      </w:pPr>
      <w:r w:rsidRPr="00624779">
        <w:rPr>
          <w:rStyle w:val="Strong"/>
          <w:rFonts w:ascii="Times New Roman" w:eastAsiaTheme="majorEastAsia" w:hAnsi="Times New Roman" w:cs="Times New Roman"/>
          <w:b w:val="0"/>
          <w:kern w:val="0"/>
          <w:sz w:val="28"/>
          <w:szCs w:val="28"/>
          <w:lang w:val="fr-FR"/>
          <w14:ligatures w14:val="none"/>
        </w:rPr>
        <w:lastRenderedPageBreak/>
        <w:t xml:space="preserve">3. Smith SI, Ajayi A, Jolaiya T, Onyekwere C, Setshedi M, Schulz C, et al. Helicobacter pylori infection in </w:t>
      </w:r>
      <w:proofErr w:type="gramStart"/>
      <w:r w:rsidRPr="00624779">
        <w:rPr>
          <w:rStyle w:val="Strong"/>
          <w:rFonts w:ascii="Times New Roman" w:eastAsiaTheme="majorEastAsia" w:hAnsi="Times New Roman" w:cs="Times New Roman"/>
          <w:b w:val="0"/>
          <w:kern w:val="0"/>
          <w:sz w:val="28"/>
          <w:szCs w:val="28"/>
          <w:lang w:val="fr-FR"/>
          <w14:ligatures w14:val="none"/>
        </w:rPr>
        <w:t>Africa:</w:t>
      </w:r>
      <w:proofErr w:type="gramEnd"/>
      <w:r w:rsidRPr="00624779">
        <w:rPr>
          <w:rStyle w:val="Strong"/>
          <w:rFonts w:ascii="Times New Roman" w:eastAsiaTheme="majorEastAsia" w:hAnsi="Times New Roman" w:cs="Times New Roman"/>
          <w:b w:val="0"/>
          <w:kern w:val="0"/>
          <w:sz w:val="28"/>
          <w:szCs w:val="28"/>
          <w:lang w:val="fr-FR"/>
          <w14:ligatures w14:val="none"/>
        </w:rPr>
        <w:t xml:space="preserve"> update of the current situation and challenges. Dig Dis. </w:t>
      </w:r>
      <w:proofErr w:type="gramStart"/>
      <w:r w:rsidRPr="00624779">
        <w:rPr>
          <w:rStyle w:val="Strong"/>
          <w:rFonts w:ascii="Times New Roman" w:eastAsiaTheme="majorEastAsia" w:hAnsi="Times New Roman" w:cs="Times New Roman"/>
          <w:b w:val="0"/>
          <w:kern w:val="0"/>
          <w:sz w:val="28"/>
          <w:szCs w:val="28"/>
          <w:lang w:val="fr-FR"/>
          <w14:ligatures w14:val="none"/>
        </w:rPr>
        <w:t>2022;</w:t>
      </w:r>
      <w:proofErr w:type="gramEnd"/>
      <w:r w:rsidRPr="00624779">
        <w:rPr>
          <w:rStyle w:val="Strong"/>
          <w:rFonts w:ascii="Times New Roman" w:eastAsiaTheme="majorEastAsia" w:hAnsi="Times New Roman" w:cs="Times New Roman"/>
          <w:b w:val="0"/>
          <w:kern w:val="0"/>
          <w:sz w:val="28"/>
          <w:szCs w:val="28"/>
          <w:lang w:val="fr-FR"/>
          <w14:ligatures w14:val="none"/>
        </w:rPr>
        <w:t xml:space="preserve">40(4):535-44. </w:t>
      </w:r>
      <w:hyperlink r:id="rId16" w:history="1">
        <w:r w:rsidR="00F03FFD" w:rsidRPr="00624779">
          <w:rPr>
            <w:rStyle w:val="Hyperlink"/>
            <w:rFonts w:ascii="Times New Roman" w:eastAsiaTheme="majorEastAsia" w:hAnsi="Times New Roman" w:cs="Times New Roman"/>
            <w:b/>
            <w:kern w:val="0"/>
            <w:sz w:val="28"/>
            <w:szCs w:val="28"/>
            <w:lang w:val="fr-FR"/>
            <w14:ligatures w14:val="none"/>
          </w:rPr>
          <w:t>https://doi.org/10.1159/000518959</w:t>
        </w:r>
      </w:hyperlink>
      <w:r w:rsidR="00F03FFD" w:rsidRPr="00624779">
        <w:rPr>
          <w:rStyle w:val="Strong"/>
          <w:rFonts w:ascii="Times New Roman" w:eastAsiaTheme="majorEastAsia" w:hAnsi="Times New Roman" w:cs="Times New Roman"/>
          <w:b w:val="0"/>
          <w:kern w:val="0"/>
          <w:sz w:val="28"/>
          <w:szCs w:val="28"/>
          <w:lang w:val="fr-FR"/>
          <w14:ligatures w14:val="none"/>
        </w:rPr>
        <w:t xml:space="preserve"> </w:t>
      </w:r>
    </w:p>
    <w:p w14:paraId="1FE31E35" w14:textId="77777777" w:rsidR="00736141" w:rsidRPr="00624779" w:rsidRDefault="00736141" w:rsidP="00736141">
      <w:pPr>
        <w:rPr>
          <w:rStyle w:val="Strong"/>
          <w:rFonts w:ascii="Times New Roman" w:eastAsiaTheme="majorEastAsia" w:hAnsi="Times New Roman" w:cs="Times New Roman"/>
          <w:b w:val="0"/>
          <w:kern w:val="0"/>
          <w:sz w:val="28"/>
          <w:szCs w:val="28"/>
          <w:lang w:val="fr-FR"/>
          <w14:ligatures w14:val="none"/>
        </w:rPr>
      </w:pPr>
      <w:r w:rsidRPr="00624779">
        <w:rPr>
          <w:rStyle w:val="Strong"/>
          <w:rFonts w:ascii="Times New Roman" w:eastAsiaTheme="majorEastAsia" w:hAnsi="Times New Roman" w:cs="Times New Roman"/>
          <w:b w:val="0"/>
          <w:kern w:val="0"/>
          <w:sz w:val="28"/>
          <w:szCs w:val="28"/>
          <w:lang w:val="fr-FR"/>
          <w14:ligatures w14:val="none"/>
        </w:rPr>
        <w:t xml:space="preserve">4. Heluwaert F, Lamarque D. How to improve the management of H. pylori infection between gastroenterologists and general </w:t>
      </w:r>
      <w:proofErr w:type="gramStart"/>
      <w:r w:rsidRPr="00624779">
        <w:rPr>
          <w:rStyle w:val="Strong"/>
          <w:rFonts w:ascii="Times New Roman" w:eastAsiaTheme="majorEastAsia" w:hAnsi="Times New Roman" w:cs="Times New Roman"/>
          <w:b w:val="0"/>
          <w:kern w:val="0"/>
          <w:sz w:val="28"/>
          <w:szCs w:val="28"/>
          <w:lang w:val="fr-FR"/>
          <w14:ligatures w14:val="none"/>
        </w:rPr>
        <w:t>practitioners?</w:t>
      </w:r>
      <w:proofErr w:type="gramEnd"/>
      <w:r w:rsidRPr="00624779">
        <w:rPr>
          <w:rStyle w:val="Strong"/>
          <w:rFonts w:ascii="Times New Roman" w:eastAsiaTheme="majorEastAsia" w:hAnsi="Times New Roman" w:cs="Times New Roman"/>
          <w:b w:val="0"/>
          <w:kern w:val="0"/>
          <w:sz w:val="28"/>
          <w:szCs w:val="28"/>
          <w:lang w:val="fr-FR"/>
          <w14:ligatures w14:val="none"/>
        </w:rPr>
        <w:t xml:space="preserve"> Hepato-Gastro Oncol Dig. </w:t>
      </w:r>
      <w:proofErr w:type="gramStart"/>
      <w:r w:rsidRPr="00624779">
        <w:rPr>
          <w:rStyle w:val="Strong"/>
          <w:rFonts w:ascii="Times New Roman" w:eastAsiaTheme="majorEastAsia" w:hAnsi="Times New Roman" w:cs="Times New Roman"/>
          <w:b w:val="0"/>
          <w:kern w:val="0"/>
          <w:sz w:val="28"/>
          <w:szCs w:val="28"/>
          <w:lang w:val="fr-FR"/>
          <w14:ligatures w14:val="none"/>
        </w:rPr>
        <w:t>2015;</w:t>
      </w:r>
      <w:proofErr w:type="gramEnd"/>
      <w:r w:rsidRPr="00624779">
        <w:rPr>
          <w:rStyle w:val="Strong"/>
          <w:rFonts w:ascii="Times New Roman" w:eastAsiaTheme="majorEastAsia" w:hAnsi="Times New Roman" w:cs="Times New Roman"/>
          <w:b w:val="0"/>
          <w:kern w:val="0"/>
          <w:sz w:val="28"/>
          <w:szCs w:val="28"/>
          <w:lang w:val="fr-FR"/>
          <w14:ligatures w14:val="none"/>
        </w:rPr>
        <w:t>22(7):551-8.</w:t>
      </w:r>
    </w:p>
    <w:p w14:paraId="670A98D0" w14:textId="76673F36" w:rsidR="00736141" w:rsidRPr="00624779" w:rsidRDefault="00736141" w:rsidP="00736141">
      <w:pPr>
        <w:rPr>
          <w:rStyle w:val="Strong"/>
          <w:rFonts w:ascii="Times New Roman" w:eastAsiaTheme="majorEastAsia" w:hAnsi="Times New Roman" w:cs="Times New Roman"/>
          <w:b w:val="0"/>
          <w:kern w:val="0"/>
          <w:sz w:val="28"/>
          <w:szCs w:val="28"/>
          <w:lang w:val="fr-FR"/>
          <w14:ligatures w14:val="none"/>
        </w:rPr>
      </w:pPr>
      <w:r w:rsidRPr="00624779">
        <w:rPr>
          <w:rStyle w:val="Strong"/>
          <w:rFonts w:ascii="Times New Roman" w:eastAsiaTheme="majorEastAsia" w:hAnsi="Times New Roman" w:cs="Times New Roman"/>
          <w:b w:val="0"/>
          <w:kern w:val="0"/>
          <w:sz w:val="28"/>
          <w:szCs w:val="28"/>
          <w:lang w:val="fr-FR"/>
          <w14:ligatures w14:val="none"/>
        </w:rPr>
        <w:t xml:space="preserve">5. Lyu QJ, Pu QH, Zhong XF, Zhang J. Efficacy and Safety of Vonoprazan-Based versus Proton Pump Inhibitor-Based Triple Therapy for Helicobacter pylori </w:t>
      </w:r>
      <w:proofErr w:type="gramStart"/>
      <w:r w:rsidRPr="00624779">
        <w:rPr>
          <w:rStyle w:val="Strong"/>
          <w:rFonts w:ascii="Times New Roman" w:eastAsiaTheme="majorEastAsia" w:hAnsi="Times New Roman" w:cs="Times New Roman"/>
          <w:b w:val="0"/>
          <w:kern w:val="0"/>
          <w:sz w:val="28"/>
          <w:szCs w:val="28"/>
          <w:lang w:val="fr-FR"/>
          <w14:ligatures w14:val="none"/>
        </w:rPr>
        <w:t>Eradication:</w:t>
      </w:r>
      <w:proofErr w:type="gramEnd"/>
      <w:r w:rsidRPr="00624779">
        <w:rPr>
          <w:rStyle w:val="Strong"/>
          <w:rFonts w:ascii="Times New Roman" w:eastAsiaTheme="majorEastAsia" w:hAnsi="Times New Roman" w:cs="Times New Roman"/>
          <w:b w:val="0"/>
          <w:kern w:val="0"/>
          <w:sz w:val="28"/>
          <w:szCs w:val="28"/>
          <w:lang w:val="fr-FR"/>
          <w14:ligatures w14:val="none"/>
        </w:rPr>
        <w:t xml:space="preserve"> A Meta-Analysis of Randomized Clinical Trials. Biomed Res Int. 2019 May </w:t>
      </w:r>
      <w:proofErr w:type="gramStart"/>
      <w:r w:rsidRPr="00624779">
        <w:rPr>
          <w:rStyle w:val="Strong"/>
          <w:rFonts w:ascii="Times New Roman" w:eastAsiaTheme="majorEastAsia" w:hAnsi="Times New Roman" w:cs="Times New Roman"/>
          <w:b w:val="0"/>
          <w:kern w:val="0"/>
          <w:sz w:val="28"/>
          <w:szCs w:val="28"/>
          <w:lang w:val="fr-FR"/>
          <w14:ligatures w14:val="none"/>
        </w:rPr>
        <w:t>9;</w:t>
      </w:r>
      <w:proofErr w:type="gramEnd"/>
      <w:r w:rsidRPr="00624779">
        <w:rPr>
          <w:rStyle w:val="Strong"/>
          <w:rFonts w:ascii="Times New Roman" w:eastAsiaTheme="majorEastAsia" w:hAnsi="Times New Roman" w:cs="Times New Roman"/>
          <w:b w:val="0"/>
          <w:kern w:val="0"/>
          <w:sz w:val="28"/>
          <w:szCs w:val="28"/>
          <w:lang w:val="fr-FR"/>
          <w14:ligatures w14:val="none"/>
        </w:rPr>
        <w:t xml:space="preserve">2019:9781212. </w:t>
      </w:r>
      <w:hyperlink r:id="rId17" w:history="1">
        <w:r w:rsidR="00531BD8" w:rsidRPr="00624779">
          <w:rPr>
            <w:rStyle w:val="Hyperlink"/>
            <w:rFonts w:ascii="Times New Roman" w:eastAsiaTheme="majorEastAsia" w:hAnsi="Times New Roman" w:cs="Times New Roman"/>
            <w:b/>
            <w:kern w:val="0"/>
            <w:sz w:val="28"/>
            <w:szCs w:val="28"/>
            <w:lang w:val="fr-FR"/>
            <w14:ligatures w14:val="none"/>
          </w:rPr>
          <w:t>https://doi.org/10.1155/2019/9781212</w:t>
        </w:r>
      </w:hyperlink>
      <w:r w:rsidR="00531BD8" w:rsidRPr="00624779">
        <w:rPr>
          <w:rStyle w:val="Strong"/>
          <w:rFonts w:ascii="Times New Roman" w:eastAsiaTheme="majorEastAsia" w:hAnsi="Times New Roman" w:cs="Times New Roman"/>
          <w:b w:val="0"/>
          <w:kern w:val="0"/>
          <w:sz w:val="28"/>
          <w:szCs w:val="28"/>
          <w:lang w:val="fr-FR"/>
          <w14:ligatures w14:val="none"/>
        </w:rPr>
        <w:t xml:space="preserve"> </w:t>
      </w:r>
      <w:r w:rsidRPr="00624779">
        <w:rPr>
          <w:rStyle w:val="Strong"/>
          <w:rFonts w:ascii="Times New Roman" w:eastAsiaTheme="majorEastAsia" w:hAnsi="Times New Roman" w:cs="Times New Roman"/>
          <w:b w:val="0"/>
          <w:kern w:val="0"/>
          <w:sz w:val="28"/>
          <w:szCs w:val="28"/>
          <w:lang w:val="fr-FR"/>
          <w14:ligatures w14:val="none"/>
        </w:rPr>
        <w:t xml:space="preserve"> PMID: </w:t>
      </w:r>
      <w:proofErr w:type="gramStart"/>
      <w:r w:rsidRPr="00624779">
        <w:rPr>
          <w:rStyle w:val="Strong"/>
          <w:rFonts w:ascii="Times New Roman" w:eastAsiaTheme="majorEastAsia" w:hAnsi="Times New Roman" w:cs="Times New Roman"/>
          <w:b w:val="0"/>
          <w:kern w:val="0"/>
          <w:sz w:val="28"/>
          <w:szCs w:val="28"/>
          <w:lang w:val="fr-FR"/>
          <w14:ligatures w14:val="none"/>
        </w:rPr>
        <w:t>31211144;</w:t>
      </w:r>
      <w:proofErr w:type="gramEnd"/>
      <w:r w:rsidRPr="00624779">
        <w:rPr>
          <w:rStyle w:val="Strong"/>
          <w:rFonts w:ascii="Times New Roman" w:eastAsiaTheme="majorEastAsia" w:hAnsi="Times New Roman" w:cs="Times New Roman"/>
          <w:b w:val="0"/>
          <w:kern w:val="0"/>
          <w:sz w:val="28"/>
          <w:szCs w:val="28"/>
          <w:lang w:val="fr-FR"/>
          <w14:ligatures w14:val="none"/>
        </w:rPr>
        <w:t xml:space="preserve"> PMCID: PMC6532346.</w:t>
      </w:r>
    </w:p>
    <w:p w14:paraId="1C95614B" w14:textId="3F3F32E7" w:rsidR="00736141" w:rsidRPr="00624779" w:rsidRDefault="00736141" w:rsidP="00736141">
      <w:pPr>
        <w:rPr>
          <w:rStyle w:val="Strong"/>
          <w:rFonts w:ascii="Times New Roman" w:eastAsiaTheme="majorEastAsia" w:hAnsi="Times New Roman" w:cs="Times New Roman"/>
          <w:b w:val="0"/>
          <w:kern w:val="0"/>
          <w:sz w:val="28"/>
          <w:szCs w:val="28"/>
          <w:lang w:val="fr-FR"/>
          <w14:ligatures w14:val="none"/>
        </w:rPr>
      </w:pPr>
      <w:r w:rsidRPr="00624779">
        <w:rPr>
          <w:rStyle w:val="Strong"/>
          <w:rFonts w:ascii="Times New Roman" w:eastAsiaTheme="majorEastAsia" w:hAnsi="Times New Roman" w:cs="Times New Roman"/>
          <w:b w:val="0"/>
          <w:kern w:val="0"/>
          <w:sz w:val="28"/>
          <w:szCs w:val="28"/>
          <w:lang w:val="fr-FR"/>
          <w14:ligatures w14:val="none"/>
        </w:rPr>
        <w:t xml:space="preserve">6. Warren JR, Marshall B. Unidentified curved bacilli on gastric epithelium in active chronic gastritis. Lancet. </w:t>
      </w:r>
      <w:proofErr w:type="gramStart"/>
      <w:r w:rsidRPr="00624779">
        <w:rPr>
          <w:rStyle w:val="Strong"/>
          <w:rFonts w:ascii="Times New Roman" w:eastAsiaTheme="majorEastAsia" w:hAnsi="Times New Roman" w:cs="Times New Roman"/>
          <w:b w:val="0"/>
          <w:kern w:val="0"/>
          <w:sz w:val="28"/>
          <w:szCs w:val="28"/>
          <w:lang w:val="fr-FR"/>
          <w14:ligatures w14:val="none"/>
        </w:rPr>
        <w:t>1983;</w:t>
      </w:r>
      <w:proofErr w:type="gramEnd"/>
      <w:r w:rsidRPr="00624779">
        <w:rPr>
          <w:rStyle w:val="Strong"/>
          <w:rFonts w:ascii="Times New Roman" w:eastAsiaTheme="majorEastAsia" w:hAnsi="Times New Roman" w:cs="Times New Roman"/>
          <w:b w:val="0"/>
          <w:kern w:val="0"/>
          <w:sz w:val="28"/>
          <w:szCs w:val="28"/>
          <w:lang w:val="fr-FR"/>
          <w14:ligatures w14:val="none"/>
        </w:rPr>
        <w:t xml:space="preserve">321(8336):1273-5. </w:t>
      </w:r>
      <w:hyperlink r:id="rId18" w:history="1">
        <w:r w:rsidR="005F76F4" w:rsidRPr="00624779">
          <w:rPr>
            <w:rStyle w:val="Hyperlink"/>
            <w:rFonts w:ascii="Times New Roman" w:eastAsiaTheme="majorEastAsia" w:hAnsi="Times New Roman" w:cs="Times New Roman"/>
            <w:b/>
            <w:kern w:val="0"/>
            <w:sz w:val="28"/>
            <w:szCs w:val="28"/>
            <w:lang w:val="fr-FR"/>
            <w14:ligatures w14:val="none"/>
          </w:rPr>
          <w:t>https://doi.org/10.1016/S0140-6736(83)92719-8</w:t>
        </w:r>
      </w:hyperlink>
      <w:r w:rsidR="005F76F4" w:rsidRPr="00624779">
        <w:rPr>
          <w:rStyle w:val="Strong"/>
          <w:rFonts w:ascii="Times New Roman" w:eastAsiaTheme="majorEastAsia" w:hAnsi="Times New Roman" w:cs="Times New Roman"/>
          <w:b w:val="0"/>
          <w:kern w:val="0"/>
          <w:sz w:val="28"/>
          <w:szCs w:val="28"/>
          <w:lang w:val="fr-FR"/>
          <w14:ligatures w14:val="none"/>
        </w:rPr>
        <w:t xml:space="preserve"> </w:t>
      </w:r>
    </w:p>
    <w:p w14:paraId="63F15E2C" w14:textId="7C7C9BC1" w:rsidR="00BC6CCB" w:rsidRPr="00624779" w:rsidRDefault="00736141" w:rsidP="00736141">
      <w:pPr>
        <w:rPr>
          <w:rStyle w:val="Strong"/>
          <w:rFonts w:ascii="Times New Roman" w:eastAsiaTheme="majorEastAsia" w:hAnsi="Times New Roman" w:cs="Times New Roman"/>
          <w:b w:val="0"/>
          <w:kern w:val="0"/>
          <w:sz w:val="28"/>
          <w:szCs w:val="28"/>
          <w:lang w:val="fr-FR"/>
          <w14:ligatures w14:val="none"/>
        </w:rPr>
      </w:pPr>
      <w:r w:rsidRPr="00624779">
        <w:rPr>
          <w:rStyle w:val="Strong"/>
          <w:rFonts w:ascii="Times New Roman" w:eastAsiaTheme="majorEastAsia" w:hAnsi="Times New Roman" w:cs="Times New Roman"/>
          <w:b w:val="0"/>
          <w:kern w:val="0"/>
          <w:sz w:val="28"/>
          <w:szCs w:val="28"/>
          <w:lang w:val="fr-FR"/>
          <w14:ligatures w14:val="none"/>
        </w:rPr>
        <w:t>7. De la Guyane E, Bastaraud H. General practitioners' practices in Guadeloupe in the management of patients infected with Helicobacter pylori [medical thesis]. Pointe-à-</w:t>
      </w:r>
      <w:proofErr w:type="gramStart"/>
      <w:r w:rsidRPr="00624779">
        <w:rPr>
          <w:rStyle w:val="Strong"/>
          <w:rFonts w:ascii="Times New Roman" w:eastAsiaTheme="majorEastAsia" w:hAnsi="Times New Roman" w:cs="Times New Roman"/>
          <w:b w:val="0"/>
          <w:kern w:val="0"/>
          <w:sz w:val="28"/>
          <w:szCs w:val="28"/>
          <w:lang w:val="fr-FR"/>
          <w14:ligatures w14:val="none"/>
        </w:rPr>
        <w:t>Pitre:</w:t>
      </w:r>
      <w:proofErr w:type="gramEnd"/>
      <w:r w:rsidRPr="00624779">
        <w:rPr>
          <w:rStyle w:val="Strong"/>
          <w:rFonts w:ascii="Times New Roman" w:eastAsiaTheme="majorEastAsia" w:hAnsi="Times New Roman" w:cs="Times New Roman"/>
          <w:b w:val="0"/>
          <w:kern w:val="0"/>
          <w:sz w:val="28"/>
          <w:szCs w:val="28"/>
          <w:lang w:val="fr-FR"/>
          <w14:ligatures w14:val="none"/>
        </w:rPr>
        <w:t xml:space="preserve"> University of the French Antilles; 2015.</w:t>
      </w:r>
      <w:r w:rsidR="00B14C0F" w:rsidRPr="00624779">
        <w:rPr>
          <w:rStyle w:val="Strong"/>
          <w:rFonts w:ascii="Times New Roman" w:eastAsiaTheme="majorEastAsia" w:hAnsi="Times New Roman" w:cs="Times New Roman"/>
          <w:b w:val="0"/>
          <w:kern w:val="0"/>
          <w:sz w:val="28"/>
          <w:szCs w:val="28"/>
          <w:lang w:val="fr-FR"/>
          <w14:ligatures w14:val="none"/>
        </w:rPr>
        <w:t xml:space="preserve"> </w:t>
      </w:r>
      <w:hyperlink r:id="rId19" w:history="1">
        <w:r w:rsidR="00B14C0F" w:rsidRPr="00624779">
          <w:rPr>
            <w:rStyle w:val="Hyperlink"/>
            <w:rFonts w:ascii="Times New Roman" w:eastAsiaTheme="majorEastAsia" w:hAnsi="Times New Roman" w:cs="Times New Roman"/>
            <w:b/>
            <w:kern w:val="0"/>
            <w:sz w:val="28"/>
            <w:szCs w:val="28"/>
            <w:lang w:val="fr-FR"/>
            <w14:ligatures w14:val="none"/>
          </w:rPr>
          <w:t>https://www.idref.fr/278698980</w:t>
        </w:r>
      </w:hyperlink>
      <w:r w:rsidR="00B14C0F" w:rsidRPr="00624779">
        <w:rPr>
          <w:rStyle w:val="Strong"/>
          <w:rFonts w:ascii="Times New Roman" w:eastAsiaTheme="majorEastAsia" w:hAnsi="Times New Roman" w:cs="Times New Roman"/>
          <w:b w:val="0"/>
          <w:kern w:val="0"/>
          <w:sz w:val="28"/>
          <w:szCs w:val="28"/>
          <w:lang w:val="fr-FR"/>
          <w14:ligatures w14:val="none"/>
        </w:rPr>
        <w:t xml:space="preserve"> </w:t>
      </w:r>
    </w:p>
    <w:p w14:paraId="0813FE02" w14:textId="558962A1" w:rsidR="00F925D8" w:rsidRPr="00F85546" w:rsidRDefault="007070E0" w:rsidP="00736141">
      <w:pPr>
        <w:rPr>
          <w:rFonts w:ascii="Times New Roman" w:hAnsi="Times New Roman" w:cs="Times New Roman"/>
          <w:sz w:val="28"/>
          <w:szCs w:val="28"/>
          <w:highlight w:val="yellow"/>
        </w:rPr>
      </w:pPr>
      <w:r w:rsidRPr="00F85546">
        <w:rPr>
          <w:rFonts w:ascii="Times New Roman" w:hAnsi="Times New Roman" w:cs="Times New Roman"/>
          <w:sz w:val="28"/>
          <w:szCs w:val="28"/>
          <w:highlight w:val="yellow"/>
        </w:rPr>
        <w:t>8.</w:t>
      </w:r>
      <w:r w:rsidRPr="00F85546">
        <w:rPr>
          <w:highlight w:val="yellow"/>
        </w:rPr>
        <w:t xml:space="preserve"> </w:t>
      </w:r>
      <w:r w:rsidR="009B54BA" w:rsidRPr="00F85546">
        <w:rPr>
          <w:rFonts w:ascii="Times New Roman" w:hAnsi="Times New Roman" w:cs="Times New Roman"/>
          <w:sz w:val="28"/>
          <w:szCs w:val="28"/>
          <w:highlight w:val="yellow"/>
        </w:rPr>
        <w:t>Maqbul, M. S., Alshehri, W. A. A., Beig, S. T. M., bin Brik, R. K., Alshehri, A. H., Alamri, M. S., ... &amp; Al-Attas, A. A. O. (2024). Prevalence of knowledge and awareness about Helicobacter pylori infection among urban population of Kingdom of Saudi Arabia. Gastroenterology &amp; Endoscopy, 2(4), 196-204.</w:t>
      </w:r>
    </w:p>
    <w:p w14:paraId="3E715B58" w14:textId="77777777" w:rsidR="00FF28EA" w:rsidRDefault="00F925D8" w:rsidP="00736141">
      <w:pPr>
        <w:rPr>
          <w:rFonts w:ascii="Times New Roman" w:hAnsi="Times New Roman" w:cs="Times New Roman"/>
          <w:sz w:val="28"/>
          <w:szCs w:val="28"/>
          <w:highlight w:val="yellow"/>
        </w:rPr>
      </w:pPr>
      <w:r w:rsidRPr="00D965EE">
        <w:rPr>
          <w:rFonts w:ascii="Times New Roman" w:hAnsi="Times New Roman" w:cs="Times New Roman"/>
          <w:sz w:val="28"/>
          <w:szCs w:val="28"/>
          <w:highlight w:val="yellow"/>
        </w:rPr>
        <w:t>9.</w:t>
      </w:r>
      <w:r w:rsidRPr="00D965EE">
        <w:rPr>
          <w:highlight w:val="yellow"/>
        </w:rPr>
        <w:t xml:space="preserve"> </w:t>
      </w:r>
      <w:r w:rsidRPr="00D965EE">
        <w:rPr>
          <w:rFonts w:ascii="Times New Roman" w:hAnsi="Times New Roman" w:cs="Times New Roman"/>
          <w:sz w:val="28"/>
          <w:szCs w:val="28"/>
          <w:highlight w:val="yellow"/>
        </w:rPr>
        <w:t xml:space="preserve">T. O., O., H. N., O., I. I., O., J. I., N., O. A., S., &amp; C. J., E. (2024). Helicobacter pylori Infection among Symptomatic Adults in a Tertiary Hospital in Southwestern </w:t>
      </w:r>
      <w:proofErr w:type="gramStart"/>
      <w:r w:rsidRPr="00D965EE">
        <w:rPr>
          <w:rFonts w:ascii="Times New Roman" w:hAnsi="Times New Roman" w:cs="Times New Roman"/>
          <w:sz w:val="28"/>
          <w:szCs w:val="28"/>
          <w:highlight w:val="yellow"/>
        </w:rPr>
        <w:t>Nigeria:</w:t>
      </w:r>
      <w:proofErr w:type="gramEnd"/>
      <w:r w:rsidRPr="00D965EE">
        <w:rPr>
          <w:rFonts w:ascii="Times New Roman" w:hAnsi="Times New Roman" w:cs="Times New Roman"/>
          <w:sz w:val="28"/>
          <w:szCs w:val="28"/>
          <w:highlight w:val="yellow"/>
        </w:rPr>
        <w:t xml:space="preserve"> A Retrospective Study. Asian Journal of Research in Infectious Diseases, 15(10), 16–25. </w:t>
      </w:r>
      <w:hyperlink r:id="rId20" w:history="1">
        <w:r w:rsidRPr="00D965EE">
          <w:rPr>
            <w:rStyle w:val="Hyperlink"/>
            <w:rFonts w:ascii="Times New Roman" w:hAnsi="Times New Roman" w:cs="Times New Roman"/>
            <w:sz w:val="28"/>
            <w:szCs w:val="28"/>
            <w:highlight w:val="yellow"/>
          </w:rPr>
          <w:t>https://doi.org/10.9734/ajrid/2024/v15i10378</w:t>
        </w:r>
      </w:hyperlink>
    </w:p>
    <w:p w14:paraId="138F7A66" w14:textId="77777777" w:rsidR="009C27B9" w:rsidRDefault="00FF28EA" w:rsidP="00736141">
      <w:pPr>
        <w:rPr>
          <w:rFonts w:ascii="Times New Roman" w:hAnsi="Times New Roman" w:cs="Times New Roman"/>
          <w:sz w:val="28"/>
          <w:szCs w:val="28"/>
        </w:rPr>
      </w:pPr>
      <w:r w:rsidRPr="00003539">
        <w:rPr>
          <w:rFonts w:ascii="Times New Roman" w:hAnsi="Times New Roman" w:cs="Times New Roman"/>
          <w:sz w:val="28"/>
          <w:szCs w:val="28"/>
          <w:highlight w:val="yellow"/>
        </w:rPr>
        <w:t>10. Gide, S., Y. Ibrahim, G. Anas, and S. D. Alegbe. 2019. “Prevalence of Helicobacter Pylori Infection in Patients With Dyspeptic Symptoms in Damaturu Metropolitan”. Journal of Advances in Microbiology 18 (2</w:t>
      </w:r>
      <w:proofErr w:type="gramStart"/>
      <w:r w:rsidRPr="00003539">
        <w:rPr>
          <w:rFonts w:ascii="Times New Roman" w:hAnsi="Times New Roman" w:cs="Times New Roman"/>
          <w:sz w:val="28"/>
          <w:szCs w:val="28"/>
          <w:highlight w:val="yellow"/>
        </w:rPr>
        <w:t>):</w:t>
      </w:r>
      <w:proofErr w:type="gramEnd"/>
      <w:r w:rsidRPr="00003539">
        <w:rPr>
          <w:rFonts w:ascii="Times New Roman" w:hAnsi="Times New Roman" w:cs="Times New Roman"/>
          <w:sz w:val="28"/>
          <w:szCs w:val="28"/>
          <w:highlight w:val="yellow"/>
        </w:rPr>
        <w:t xml:space="preserve">1-8. </w:t>
      </w:r>
      <w:hyperlink r:id="rId21" w:history="1">
        <w:r w:rsidRPr="00003539">
          <w:rPr>
            <w:rStyle w:val="Hyperlink"/>
            <w:rFonts w:ascii="Times New Roman" w:hAnsi="Times New Roman" w:cs="Times New Roman"/>
            <w:sz w:val="28"/>
            <w:szCs w:val="28"/>
            <w:highlight w:val="yellow"/>
          </w:rPr>
          <w:t>https://doi.org/10.9734/jamb/2019/v18i230159</w:t>
        </w:r>
      </w:hyperlink>
      <w:r w:rsidRPr="00003539">
        <w:rPr>
          <w:rFonts w:ascii="Times New Roman" w:hAnsi="Times New Roman" w:cs="Times New Roman"/>
          <w:sz w:val="28"/>
          <w:szCs w:val="28"/>
          <w:highlight w:val="yellow"/>
        </w:rPr>
        <w:t>.</w:t>
      </w:r>
      <w:r>
        <w:rPr>
          <w:rFonts w:ascii="Times New Roman" w:hAnsi="Times New Roman" w:cs="Times New Roman"/>
          <w:sz w:val="28"/>
          <w:szCs w:val="28"/>
        </w:rPr>
        <w:t xml:space="preserve"> </w:t>
      </w:r>
    </w:p>
    <w:p w14:paraId="537022BD" w14:textId="0A612EB0" w:rsidR="007070E0" w:rsidRPr="00BC6CCB" w:rsidRDefault="007070E0" w:rsidP="00736141">
      <w:pPr>
        <w:rPr>
          <w:rFonts w:ascii="Times New Roman" w:hAnsi="Times New Roman" w:cs="Times New Roman"/>
          <w:sz w:val="28"/>
          <w:szCs w:val="28"/>
        </w:rPr>
      </w:pPr>
    </w:p>
    <w:sectPr w:rsidR="007070E0" w:rsidRPr="00BC6CCB">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B0883" w14:textId="77777777" w:rsidR="00D5269C" w:rsidRDefault="00D5269C" w:rsidP="00657B0E">
      <w:pPr>
        <w:spacing w:after="0" w:line="240" w:lineRule="auto"/>
      </w:pPr>
      <w:r>
        <w:separator/>
      </w:r>
    </w:p>
  </w:endnote>
  <w:endnote w:type="continuationSeparator" w:id="0">
    <w:p w14:paraId="22DD1D87" w14:textId="77777777" w:rsidR="00D5269C" w:rsidRDefault="00D5269C" w:rsidP="0065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4D47" w14:textId="77777777" w:rsidR="008B1BC4" w:rsidRDefault="008B1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8BB7F" w14:textId="77777777" w:rsidR="008B1BC4" w:rsidRDefault="008B1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D606E" w14:textId="77777777" w:rsidR="008B1BC4" w:rsidRDefault="008B1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92586" w14:textId="77777777" w:rsidR="00D5269C" w:rsidRDefault="00D5269C" w:rsidP="00657B0E">
      <w:pPr>
        <w:spacing w:after="0" w:line="240" w:lineRule="auto"/>
      </w:pPr>
      <w:r>
        <w:separator/>
      </w:r>
    </w:p>
  </w:footnote>
  <w:footnote w:type="continuationSeparator" w:id="0">
    <w:p w14:paraId="1FC4D41E" w14:textId="77777777" w:rsidR="00D5269C" w:rsidRDefault="00D5269C" w:rsidP="00657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1BD0" w14:textId="518E64CB" w:rsidR="008B1BC4" w:rsidRDefault="00D5269C">
    <w:pPr>
      <w:pStyle w:val="Header"/>
    </w:pPr>
    <w:r>
      <w:rPr>
        <w:noProof/>
      </w:rPr>
      <w:pict w14:anchorId="2A928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799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08CD" w14:textId="278D6A88" w:rsidR="008B1BC4" w:rsidRDefault="00D5269C">
    <w:pPr>
      <w:pStyle w:val="Header"/>
    </w:pPr>
    <w:r>
      <w:rPr>
        <w:noProof/>
      </w:rPr>
      <w:pict w14:anchorId="519DA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799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9724" w14:textId="5612B35C" w:rsidR="008B1BC4" w:rsidRDefault="00D5269C">
    <w:pPr>
      <w:pStyle w:val="Header"/>
    </w:pPr>
    <w:r>
      <w:rPr>
        <w:noProof/>
      </w:rPr>
      <w:pict w14:anchorId="05E8F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799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108D0"/>
    <w:multiLevelType w:val="hybridMultilevel"/>
    <w:tmpl w:val="3A62399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DD062FA"/>
    <w:multiLevelType w:val="hybridMultilevel"/>
    <w:tmpl w:val="969677D2"/>
    <w:lvl w:ilvl="0" w:tplc="B41C423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xMjayMDe3NDMwMrRQ0lEKTi0uzszPAykwrAUAIXr7SCwAAAA="/>
  </w:docVars>
  <w:rsids>
    <w:rsidRoot w:val="00130299"/>
    <w:rsid w:val="00003539"/>
    <w:rsid w:val="00013A27"/>
    <w:rsid w:val="00020198"/>
    <w:rsid w:val="00042654"/>
    <w:rsid w:val="000426DA"/>
    <w:rsid w:val="00045FC9"/>
    <w:rsid w:val="00047B4C"/>
    <w:rsid w:val="000A2CA8"/>
    <w:rsid w:val="00107B4C"/>
    <w:rsid w:val="00130299"/>
    <w:rsid w:val="00173B09"/>
    <w:rsid w:val="001A6C6F"/>
    <w:rsid w:val="001D1244"/>
    <w:rsid w:val="001D3A12"/>
    <w:rsid w:val="001F07FF"/>
    <w:rsid w:val="001F0AC0"/>
    <w:rsid w:val="00264F3F"/>
    <w:rsid w:val="00272773"/>
    <w:rsid w:val="00280A08"/>
    <w:rsid w:val="002840E7"/>
    <w:rsid w:val="00287D30"/>
    <w:rsid w:val="002B01D5"/>
    <w:rsid w:val="002B66C4"/>
    <w:rsid w:val="00326B20"/>
    <w:rsid w:val="003A5054"/>
    <w:rsid w:val="003B0FB4"/>
    <w:rsid w:val="003E4812"/>
    <w:rsid w:val="003F0E79"/>
    <w:rsid w:val="0040507C"/>
    <w:rsid w:val="0043072E"/>
    <w:rsid w:val="00444D8A"/>
    <w:rsid w:val="00452859"/>
    <w:rsid w:val="0046178A"/>
    <w:rsid w:val="004B0948"/>
    <w:rsid w:val="004C2AA5"/>
    <w:rsid w:val="0050651A"/>
    <w:rsid w:val="00531BD8"/>
    <w:rsid w:val="00571712"/>
    <w:rsid w:val="0059204B"/>
    <w:rsid w:val="005F76F4"/>
    <w:rsid w:val="00607873"/>
    <w:rsid w:val="00614BFF"/>
    <w:rsid w:val="00620A5C"/>
    <w:rsid w:val="00624779"/>
    <w:rsid w:val="00637B63"/>
    <w:rsid w:val="00644A62"/>
    <w:rsid w:val="00647791"/>
    <w:rsid w:val="00657B0E"/>
    <w:rsid w:val="0067601D"/>
    <w:rsid w:val="0068605D"/>
    <w:rsid w:val="00697E5A"/>
    <w:rsid w:val="006A47A1"/>
    <w:rsid w:val="006B4CE0"/>
    <w:rsid w:val="007070E0"/>
    <w:rsid w:val="00736141"/>
    <w:rsid w:val="007364A4"/>
    <w:rsid w:val="0075779F"/>
    <w:rsid w:val="00764BB0"/>
    <w:rsid w:val="00786E48"/>
    <w:rsid w:val="007B233D"/>
    <w:rsid w:val="007D2F74"/>
    <w:rsid w:val="007F6984"/>
    <w:rsid w:val="00816D4F"/>
    <w:rsid w:val="008279B4"/>
    <w:rsid w:val="008643C7"/>
    <w:rsid w:val="008760E7"/>
    <w:rsid w:val="00893683"/>
    <w:rsid w:val="00895625"/>
    <w:rsid w:val="008B1BC4"/>
    <w:rsid w:val="00955487"/>
    <w:rsid w:val="00965983"/>
    <w:rsid w:val="00982FEC"/>
    <w:rsid w:val="009832DA"/>
    <w:rsid w:val="00996142"/>
    <w:rsid w:val="009B54BA"/>
    <w:rsid w:val="009C27B9"/>
    <w:rsid w:val="009D2164"/>
    <w:rsid w:val="009D4B2A"/>
    <w:rsid w:val="00A2005E"/>
    <w:rsid w:val="00A64A5B"/>
    <w:rsid w:val="00A75349"/>
    <w:rsid w:val="00AF38DE"/>
    <w:rsid w:val="00B014DB"/>
    <w:rsid w:val="00B02E7F"/>
    <w:rsid w:val="00B07BDA"/>
    <w:rsid w:val="00B12B3D"/>
    <w:rsid w:val="00B14C0F"/>
    <w:rsid w:val="00B402D8"/>
    <w:rsid w:val="00B40E3D"/>
    <w:rsid w:val="00B41802"/>
    <w:rsid w:val="00B43C94"/>
    <w:rsid w:val="00B51CA3"/>
    <w:rsid w:val="00B63F96"/>
    <w:rsid w:val="00B7244E"/>
    <w:rsid w:val="00BB126A"/>
    <w:rsid w:val="00BC6CCB"/>
    <w:rsid w:val="00BE6E38"/>
    <w:rsid w:val="00BF3F30"/>
    <w:rsid w:val="00C01748"/>
    <w:rsid w:val="00C27AB1"/>
    <w:rsid w:val="00C3196C"/>
    <w:rsid w:val="00C47E38"/>
    <w:rsid w:val="00C578EF"/>
    <w:rsid w:val="00C8378A"/>
    <w:rsid w:val="00C92AA8"/>
    <w:rsid w:val="00CB67DB"/>
    <w:rsid w:val="00CE1695"/>
    <w:rsid w:val="00D1121B"/>
    <w:rsid w:val="00D24DF7"/>
    <w:rsid w:val="00D31D1A"/>
    <w:rsid w:val="00D5269C"/>
    <w:rsid w:val="00D60DF6"/>
    <w:rsid w:val="00D613C1"/>
    <w:rsid w:val="00D84937"/>
    <w:rsid w:val="00D93990"/>
    <w:rsid w:val="00D965EE"/>
    <w:rsid w:val="00D96EBA"/>
    <w:rsid w:val="00E44805"/>
    <w:rsid w:val="00E90967"/>
    <w:rsid w:val="00F03FFD"/>
    <w:rsid w:val="00F07FF0"/>
    <w:rsid w:val="00F73A73"/>
    <w:rsid w:val="00F85546"/>
    <w:rsid w:val="00F925D8"/>
    <w:rsid w:val="00FD4154"/>
    <w:rsid w:val="00FD716B"/>
    <w:rsid w:val="00FF28EA"/>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DE232"/>
  <w15:chartTrackingRefBased/>
  <w15:docId w15:val="{826D789A-00F1-194F-80C0-1CE3BCE9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ML"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2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02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02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02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02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0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02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02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02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02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0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299"/>
    <w:rPr>
      <w:rFonts w:eastAsiaTheme="majorEastAsia" w:cstheme="majorBidi"/>
      <w:color w:val="272727" w:themeColor="text1" w:themeTint="D8"/>
    </w:rPr>
  </w:style>
  <w:style w:type="paragraph" w:styleId="Title">
    <w:name w:val="Title"/>
    <w:basedOn w:val="Normal"/>
    <w:next w:val="Normal"/>
    <w:link w:val="TitleChar"/>
    <w:uiPriority w:val="10"/>
    <w:qFormat/>
    <w:rsid w:val="00130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299"/>
    <w:pPr>
      <w:spacing w:before="160"/>
      <w:jc w:val="center"/>
    </w:pPr>
    <w:rPr>
      <w:i/>
      <w:iCs/>
      <w:color w:val="404040" w:themeColor="text1" w:themeTint="BF"/>
    </w:rPr>
  </w:style>
  <w:style w:type="character" w:customStyle="1" w:styleId="QuoteChar">
    <w:name w:val="Quote Char"/>
    <w:basedOn w:val="DefaultParagraphFont"/>
    <w:link w:val="Quote"/>
    <w:uiPriority w:val="29"/>
    <w:rsid w:val="00130299"/>
    <w:rPr>
      <w:i/>
      <w:iCs/>
      <w:color w:val="404040" w:themeColor="text1" w:themeTint="BF"/>
    </w:rPr>
  </w:style>
  <w:style w:type="paragraph" w:styleId="ListParagraph">
    <w:name w:val="List Paragraph"/>
    <w:basedOn w:val="Normal"/>
    <w:uiPriority w:val="34"/>
    <w:qFormat/>
    <w:rsid w:val="00130299"/>
    <w:pPr>
      <w:ind w:left="720"/>
      <w:contextualSpacing/>
    </w:pPr>
  </w:style>
  <w:style w:type="character" w:styleId="IntenseEmphasis">
    <w:name w:val="Intense Emphasis"/>
    <w:basedOn w:val="DefaultParagraphFont"/>
    <w:uiPriority w:val="21"/>
    <w:qFormat/>
    <w:rsid w:val="00130299"/>
    <w:rPr>
      <w:i/>
      <w:iCs/>
      <w:color w:val="2F5496" w:themeColor="accent1" w:themeShade="BF"/>
    </w:rPr>
  </w:style>
  <w:style w:type="paragraph" w:styleId="IntenseQuote">
    <w:name w:val="Intense Quote"/>
    <w:basedOn w:val="Normal"/>
    <w:next w:val="Normal"/>
    <w:link w:val="IntenseQuoteChar"/>
    <w:uiPriority w:val="30"/>
    <w:qFormat/>
    <w:rsid w:val="00130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0299"/>
    <w:rPr>
      <w:i/>
      <w:iCs/>
      <w:color w:val="2F5496" w:themeColor="accent1" w:themeShade="BF"/>
    </w:rPr>
  </w:style>
  <w:style w:type="character" w:styleId="IntenseReference">
    <w:name w:val="Intense Reference"/>
    <w:basedOn w:val="DefaultParagraphFont"/>
    <w:uiPriority w:val="32"/>
    <w:qFormat/>
    <w:rsid w:val="00130299"/>
    <w:rPr>
      <w:b/>
      <w:bCs/>
      <w:smallCaps/>
      <w:color w:val="2F5496" w:themeColor="accent1" w:themeShade="BF"/>
      <w:spacing w:val="5"/>
    </w:rPr>
  </w:style>
  <w:style w:type="paragraph" w:customStyle="1" w:styleId="s10">
    <w:name w:val="s10"/>
    <w:basedOn w:val="Normal"/>
    <w:rsid w:val="00130299"/>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130299"/>
  </w:style>
  <w:style w:type="paragraph" w:customStyle="1" w:styleId="s12">
    <w:name w:val="s12"/>
    <w:basedOn w:val="Normal"/>
    <w:rsid w:val="00130299"/>
    <w:pPr>
      <w:spacing w:before="100" w:beforeAutospacing="1" w:after="100" w:afterAutospacing="1" w:line="240" w:lineRule="auto"/>
    </w:pPr>
    <w:rPr>
      <w:rFonts w:ascii="Times New Roman" w:hAnsi="Times New Roman" w:cs="Times New Roman"/>
      <w:kern w:val="0"/>
      <w14:ligatures w14:val="none"/>
    </w:rPr>
  </w:style>
  <w:style w:type="paragraph" w:customStyle="1" w:styleId="s15">
    <w:name w:val="s15"/>
    <w:basedOn w:val="Normal"/>
    <w:rsid w:val="001302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BC6CCB"/>
    <w:rPr>
      <w:b/>
      <w:bCs/>
    </w:rPr>
  </w:style>
  <w:style w:type="paragraph" w:styleId="NormalWeb">
    <w:name w:val="Normal (Web)"/>
    <w:basedOn w:val="Normal"/>
    <w:uiPriority w:val="99"/>
    <w:unhideWhenUsed/>
    <w:rsid w:val="00BC6CCB"/>
    <w:pPr>
      <w:spacing w:before="100" w:beforeAutospacing="1" w:after="100" w:afterAutospacing="1" w:line="240" w:lineRule="auto"/>
    </w:pPr>
    <w:rPr>
      <w:rFonts w:ascii="Times New Roman" w:eastAsia="Times New Roman" w:hAnsi="Times New Roman" w:cs="Times New Roman"/>
      <w:kern w:val="0"/>
      <w:lang w:val="fr-FR"/>
      <w14:ligatures w14:val="none"/>
    </w:rPr>
  </w:style>
  <w:style w:type="character" w:styleId="Emphasis">
    <w:name w:val="Emphasis"/>
    <w:basedOn w:val="DefaultParagraphFont"/>
    <w:uiPriority w:val="20"/>
    <w:qFormat/>
    <w:rsid w:val="00BC6CCB"/>
    <w:rPr>
      <w:i/>
      <w:iCs/>
    </w:rPr>
  </w:style>
  <w:style w:type="table" w:customStyle="1" w:styleId="Style21">
    <w:name w:val="Style21"/>
    <w:basedOn w:val="TableNormal"/>
    <w:uiPriority w:val="99"/>
    <w:rsid w:val="00BE6E38"/>
    <w:pPr>
      <w:spacing w:after="0" w:line="240" w:lineRule="auto"/>
    </w:pPr>
    <w:rPr>
      <w:rFonts w:eastAsiaTheme="minorHAnsi"/>
      <w:kern w:val="0"/>
      <w:sz w:val="22"/>
      <w:szCs w:val="22"/>
      <w:lang w:val="fr-FR" w:eastAsia="en-US"/>
      <w14:ligatures w14:val="none"/>
    </w:rPr>
    <w:tblPr>
      <w:tblBorders>
        <w:top w:val="thinThickSmallGap" w:sz="18" w:space="0" w:color="auto"/>
        <w:bottom w:val="thinThickSmallGap" w:sz="18" w:space="0" w:color="auto"/>
      </w:tblBorders>
    </w:tblPr>
    <w:tblStylePr w:type="firstRow">
      <w:tblPr/>
      <w:tcPr>
        <w:tcBorders>
          <w:bottom w:val="thinThickSmallGap" w:sz="12" w:space="0" w:color="auto"/>
          <w:insideH w:val="nil"/>
          <w:insideV w:val="nil"/>
          <w:tl2br w:val="nil"/>
        </w:tcBorders>
      </w:tcPr>
    </w:tblStylePr>
  </w:style>
  <w:style w:type="paragraph" w:styleId="Caption">
    <w:name w:val="caption"/>
    <w:basedOn w:val="Normal"/>
    <w:next w:val="Normal"/>
    <w:uiPriority w:val="35"/>
    <w:unhideWhenUsed/>
    <w:qFormat/>
    <w:rsid w:val="00BC6CCB"/>
    <w:pPr>
      <w:spacing w:after="200" w:line="240" w:lineRule="auto"/>
    </w:pPr>
    <w:rPr>
      <w:i/>
      <w:iCs/>
      <w:color w:val="44546A" w:themeColor="text2"/>
      <w:sz w:val="18"/>
      <w:szCs w:val="18"/>
      <w:lang w:val="fr-FR"/>
    </w:rPr>
  </w:style>
  <w:style w:type="paragraph" w:styleId="Header">
    <w:name w:val="header"/>
    <w:basedOn w:val="Normal"/>
    <w:link w:val="HeaderChar"/>
    <w:uiPriority w:val="99"/>
    <w:unhideWhenUsed/>
    <w:rsid w:val="00657B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7B0E"/>
  </w:style>
  <w:style w:type="paragraph" w:styleId="Footer">
    <w:name w:val="footer"/>
    <w:basedOn w:val="Normal"/>
    <w:link w:val="FooterChar"/>
    <w:uiPriority w:val="99"/>
    <w:unhideWhenUsed/>
    <w:rsid w:val="00657B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7B0E"/>
  </w:style>
  <w:style w:type="table" w:customStyle="1" w:styleId="Style211">
    <w:name w:val="Style211"/>
    <w:basedOn w:val="TableNormal"/>
    <w:uiPriority w:val="99"/>
    <w:rsid w:val="007364A4"/>
    <w:pPr>
      <w:spacing w:after="0" w:line="240" w:lineRule="auto"/>
    </w:pPr>
    <w:rPr>
      <w:rFonts w:eastAsiaTheme="minorHAnsi"/>
      <w:kern w:val="0"/>
      <w:sz w:val="22"/>
      <w:szCs w:val="22"/>
      <w:lang w:val="fr-FR" w:eastAsia="en-US"/>
      <w14:ligatures w14:val="none"/>
    </w:rPr>
    <w:tblPr>
      <w:tblBorders>
        <w:top w:val="thinThickSmallGap" w:sz="18" w:space="0" w:color="auto"/>
        <w:bottom w:val="thinThickSmallGap" w:sz="18" w:space="0" w:color="auto"/>
      </w:tblBorders>
    </w:tblPr>
    <w:tblStylePr w:type="firstRow">
      <w:tblPr/>
      <w:tcPr>
        <w:tcBorders>
          <w:bottom w:val="thinThickSmallGap" w:sz="24" w:space="0" w:color="auto"/>
          <w:insideH w:val="nil"/>
          <w:insideV w:val="nil"/>
          <w:tl2br w:val="nil"/>
        </w:tcBorders>
      </w:tcPr>
    </w:tblStylePr>
  </w:style>
  <w:style w:type="character" w:styleId="Hyperlink">
    <w:name w:val="Hyperlink"/>
    <w:basedOn w:val="DefaultParagraphFont"/>
    <w:uiPriority w:val="99"/>
    <w:unhideWhenUsed/>
    <w:rsid w:val="00E44805"/>
    <w:rPr>
      <w:color w:val="0563C1" w:themeColor="hyperlink"/>
      <w:u w:val="single"/>
    </w:rPr>
  </w:style>
  <w:style w:type="character" w:styleId="UnresolvedMention">
    <w:name w:val="Unresolved Mention"/>
    <w:basedOn w:val="DefaultParagraphFont"/>
    <w:uiPriority w:val="99"/>
    <w:semiHidden/>
    <w:unhideWhenUsed/>
    <w:rsid w:val="00E44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20768">
      <w:bodyDiv w:val="1"/>
      <w:marLeft w:val="0"/>
      <w:marRight w:val="0"/>
      <w:marTop w:val="0"/>
      <w:marBottom w:val="0"/>
      <w:divBdr>
        <w:top w:val="none" w:sz="0" w:space="0" w:color="auto"/>
        <w:left w:val="none" w:sz="0" w:space="0" w:color="auto"/>
        <w:bottom w:val="none" w:sz="0" w:space="0" w:color="auto"/>
        <w:right w:val="none" w:sz="0" w:space="0" w:color="auto"/>
      </w:divBdr>
      <w:divsChild>
        <w:div w:id="1970623885">
          <w:marLeft w:val="0"/>
          <w:marRight w:val="0"/>
          <w:marTop w:val="0"/>
          <w:marBottom w:val="0"/>
          <w:divBdr>
            <w:top w:val="none" w:sz="0" w:space="0" w:color="auto"/>
            <w:left w:val="none" w:sz="0" w:space="0" w:color="auto"/>
            <w:bottom w:val="none" w:sz="0" w:space="0" w:color="auto"/>
            <w:right w:val="none" w:sz="0" w:space="0" w:color="auto"/>
          </w:divBdr>
          <w:divsChild>
            <w:div w:id="976957853">
              <w:marLeft w:val="0"/>
              <w:marRight w:val="0"/>
              <w:marTop w:val="0"/>
              <w:marBottom w:val="0"/>
              <w:divBdr>
                <w:top w:val="none" w:sz="0" w:space="0" w:color="auto"/>
                <w:left w:val="none" w:sz="0" w:space="0" w:color="auto"/>
                <w:bottom w:val="none" w:sz="0" w:space="0" w:color="auto"/>
                <w:right w:val="none" w:sz="0" w:space="0" w:color="auto"/>
              </w:divBdr>
              <w:divsChild>
                <w:div w:id="1424959836">
                  <w:marLeft w:val="0"/>
                  <w:marRight w:val="0"/>
                  <w:marTop w:val="0"/>
                  <w:marBottom w:val="0"/>
                  <w:divBdr>
                    <w:top w:val="none" w:sz="0" w:space="0" w:color="auto"/>
                    <w:left w:val="none" w:sz="0" w:space="0" w:color="auto"/>
                    <w:bottom w:val="none" w:sz="0" w:space="0" w:color="auto"/>
                    <w:right w:val="none" w:sz="0" w:space="0" w:color="auto"/>
                  </w:divBdr>
                  <w:divsChild>
                    <w:div w:id="19460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1016/S0140-6736(83)92719-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9734/jamb/2019/v18i230159"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155/2019/978121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59/000518959" TargetMode="External"/><Relationship Id="rId20" Type="http://schemas.openxmlformats.org/officeDocument/2006/relationships/hyperlink" Target="https://doi.org/10.9734/ajrid/2024/v15i1037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51/medsci/2005211199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www.idref.fr/27869898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Feuil1!$E$4</c:f>
              <c:strCache>
                <c:ptCount val="1"/>
                <c:pt idx="0">
                  <c:v>Effectif</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Feuil1!$D$5:$D$10</c:f>
              <c:strCache>
                <c:ptCount val="6"/>
                <c:pt idx="0">
                  <c:v>CSREF Commune I</c:v>
                </c:pt>
                <c:pt idx="1">
                  <c:v>CSREF Commune III</c:v>
                </c:pt>
                <c:pt idx="2">
                  <c:v>CSREF Commune V</c:v>
                </c:pt>
                <c:pt idx="3">
                  <c:v>CSREF Commune VI</c:v>
                </c:pt>
                <c:pt idx="4">
                  <c:v>CSREF Commune II</c:v>
                </c:pt>
                <c:pt idx="5">
                  <c:v>CSREF Commune IV</c:v>
                </c:pt>
              </c:strCache>
            </c:strRef>
          </c:cat>
          <c:val>
            <c:numRef>
              <c:f>Feuil1!$E$5:$E$10</c:f>
              <c:numCache>
                <c:formatCode>General</c:formatCode>
                <c:ptCount val="6"/>
                <c:pt idx="0">
                  <c:v>23</c:v>
                </c:pt>
                <c:pt idx="1">
                  <c:v>20</c:v>
                </c:pt>
                <c:pt idx="2">
                  <c:v>19</c:v>
                </c:pt>
                <c:pt idx="3">
                  <c:v>19</c:v>
                </c:pt>
                <c:pt idx="4">
                  <c:v>14</c:v>
                </c:pt>
                <c:pt idx="5">
                  <c:v>14</c:v>
                </c:pt>
              </c:numCache>
            </c:numRef>
          </c:val>
          <c:extLst>
            <c:ext xmlns:c16="http://schemas.microsoft.com/office/drawing/2014/chart" uri="{C3380CC4-5D6E-409C-BE32-E72D297353CC}">
              <c16:uniqueId val="{00000000-121C-4EBA-9ADE-EC034B3B5ADE}"/>
            </c:ext>
          </c:extLst>
        </c:ser>
        <c:dLbls>
          <c:dLblPos val="outEnd"/>
          <c:showLegendKey val="0"/>
          <c:showVal val="1"/>
          <c:showCatName val="0"/>
          <c:showSerName val="0"/>
          <c:showPercent val="0"/>
          <c:showBubbleSize val="0"/>
        </c:dLbls>
        <c:gapWidth val="444"/>
        <c:overlap val="-90"/>
        <c:axId val="527289183"/>
        <c:axId val="527287935"/>
      </c:barChart>
      <c:catAx>
        <c:axId val="5272891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27287935"/>
        <c:crosses val="autoZero"/>
        <c:auto val="1"/>
        <c:lblAlgn val="ctr"/>
        <c:lblOffset val="100"/>
        <c:noMultiLvlLbl val="0"/>
      </c:catAx>
      <c:valAx>
        <c:axId val="527287935"/>
        <c:scaling>
          <c:orientation val="minMax"/>
        </c:scaling>
        <c:delete val="1"/>
        <c:axPos val="l"/>
        <c:numFmt formatCode="General" sourceLinked="1"/>
        <c:majorTickMark val="none"/>
        <c:minorTickMark val="none"/>
        <c:tickLblPos val="nextTo"/>
        <c:crossAx val="52728918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Feuil1!$D$5:$D$12</c:f>
              <c:strCache>
                <c:ptCount val="8"/>
                <c:pt idx="0">
                  <c:v>Oro-oral</c:v>
                </c:pt>
                <c:pt idx="1">
                  <c:v>Oro-fécal</c:v>
                </c:pt>
                <c:pt idx="2">
                  <c:v>Sanguine</c:v>
                </c:pt>
                <c:pt idx="3">
                  <c:v>Respiratoire</c:v>
                </c:pt>
                <c:pt idx="4">
                  <c:v>Urinaire</c:v>
                </c:pt>
                <c:pt idx="5">
                  <c:v>Héréditaire</c:v>
                </c:pt>
                <c:pt idx="6">
                  <c:v>Non transmissible</c:v>
                </c:pt>
                <c:pt idx="7">
                  <c:v>Je ne sais pas</c:v>
                </c:pt>
              </c:strCache>
            </c:strRef>
          </c:cat>
          <c:val>
            <c:numRef>
              <c:f>Feuil1!$E$5:$E$12</c:f>
              <c:numCache>
                <c:formatCode>General</c:formatCode>
                <c:ptCount val="8"/>
                <c:pt idx="0">
                  <c:v>69</c:v>
                </c:pt>
                <c:pt idx="1">
                  <c:v>61</c:v>
                </c:pt>
                <c:pt idx="2">
                  <c:v>7</c:v>
                </c:pt>
                <c:pt idx="3">
                  <c:v>1</c:v>
                </c:pt>
                <c:pt idx="4">
                  <c:v>1</c:v>
                </c:pt>
                <c:pt idx="5">
                  <c:v>2</c:v>
                </c:pt>
                <c:pt idx="6">
                  <c:v>5</c:v>
                </c:pt>
                <c:pt idx="7">
                  <c:v>11</c:v>
                </c:pt>
              </c:numCache>
            </c:numRef>
          </c:val>
          <c:extLst>
            <c:ext xmlns:c16="http://schemas.microsoft.com/office/drawing/2014/chart" uri="{C3380CC4-5D6E-409C-BE32-E72D297353CC}">
              <c16:uniqueId val="{00000000-B357-4053-9753-D61FB79EB296}"/>
            </c:ext>
          </c:extLst>
        </c:ser>
        <c:dLbls>
          <c:dLblPos val="inEnd"/>
          <c:showLegendKey val="0"/>
          <c:showVal val="1"/>
          <c:showCatName val="0"/>
          <c:showSerName val="0"/>
          <c:showPercent val="0"/>
          <c:showBubbleSize val="0"/>
        </c:dLbls>
        <c:gapWidth val="65"/>
        <c:axId val="522045039"/>
        <c:axId val="522045455"/>
      </c:barChart>
      <c:catAx>
        <c:axId val="52204503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22045455"/>
        <c:crosses val="autoZero"/>
        <c:auto val="1"/>
        <c:lblAlgn val="ctr"/>
        <c:lblOffset val="100"/>
        <c:noMultiLvlLbl val="0"/>
      </c:catAx>
      <c:valAx>
        <c:axId val="522045455"/>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22045039"/>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Feuil1!$D$5:$D$11</c:f>
              <c:strCache>
                <c:ptCount val="7"/>
                <c:pt idx="0">
                  <c:v>Gastroduodenal ulcer</c:v>
                </c:pt>
                <c:pt idx="1">
                  <c:v>Non-ulcer epigastric pain and gastroesophageal reflux disease</c:v>
                </c:pt>
                <c:pt idx="2">
                  <c:v>History of H. pylori in a relative</c:v>
                </c:pt>
                <c:pt idx="3">
                  <c:v>Family history of gastric cancer</c:v>
                </c:pt>
                <c:pt idx="4">
                  <c:v>Use of proton pump inhibitors (PPIs) for more than 6 months</c:v>
                </c:pt>
                <c:pt idx="5">
                  <c:v>Long-term use of aspirin</c:v>
                </c:pt>
                <c:pt idx="6">
                  <c:v>Anemia due to iron or vitamin B12 deficiency with no identifiable cause</c:v>
                </c:pt>
              </c:strCache>
            </c:strRef>
          </c:cat>
          <c:val>
            <c:numRef>
              <c:f>Feuil1!$E$5:$E$11</c:f>
              <c:numCache>
                <c:formatCode>General</c:formatCode>
                <c:ptCount val="7"/>
                <c:pt idx="0">
                  <c:v>106</c:v>
                </c:pt>
                <c:pt idx="1">
                  <c:v>59</c:v>
                </c:pt>
                <c:pt idx="2">
                  <c:v>55</c:v>
                </c:pt>
                <c:pt idx="3">
                  <c:v>54</c:v>
                </c:pt>
                <c:pt idx="4">
                  <c:v>29</c:v>
                </c:pt>
                <c:pt idx="5">
                  <c:v>25</c:v>
                </c:pt>
                <c:pt idx="6">
                  <c:v>23</c:v>
                </c:pt>
              </c:numCache>
            </c:numRef>
          </c:val>
          <c:extLst>
            <c:ext xmlns:c16="http://schemas.microsoft.com/office/drawing/2014/chart" uri="{C3380CC4-5D6E-409C-BE32-E72D297353CC}">
              <c16:uniqueId val="{00000000-FA18-4AB0-A7AF-236723E06C4F}"/>
            </c:ext>
          </c:extLst>
        </c:ser>
        <c:dLbls>
          <c:dLblPos val="inEnd"/>
          <c:showLegendKey val="0"/>
          <c:showVal val="1"/>
          <c:showCatName val="0"/>
          <c:showSerName val="0"/>
          <c:showPercent val="0"/>
          <c:showBubbleSize val="0"/>
        </c:dLbls>
        <c:gapWidth val="65"/>
        <c:axId val="609475407"/>
        <c:axId val="609473327"/>
      </c:barChart>
      <c:catAx>
        <c:axId val="60947540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09473327"/>
        <c:crosses val="autoZero"/>
        <c:auto val="1"/>
        <c:lblAlgn val="ctr"/>
        <c:lblOffset val="100"/>
        <c:noMultiLvlLbl val="0"/>
      </c:catAx>
      <c:valAx>
        <c:axId val="609473327"/>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09475407"/>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608582574772431E-2"/>
          <c:y val="4.6709129511677279E-2"/>
          <c:w val="0.58477970162702364"/>
          <c:h val="0.87685774946921446"/>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9B9-4075-BFB1-D431E1E39E8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9B9-4075-BFB1-D431E1E39E8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9B9-4075-BFB1-D431E1E39E8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9B9-4075-BFB1-D431E1E39E85}"/>
              </c:ext>
            </c:extLst>
          </c:dPt>
          <c:dLbls>
            <c:dLbl>
              <c:idx val="0"/>
              <c:tx>
                <c:rich>
                  <a:bodyPr/>
                  <a:lstStyle/>
                  <a:p>
                    <a:r>
                      <a:rPr lang="en-US"/>
                      <a:t>68,8%</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9B9-4075-BFB1-D431E1E39E85}"/>
                </c:ext>
              </c:extLst>
            </c:dLbl>
            <c:dLbl>
              <c:idx val="1"/>
              <c:tx>
                <c:rich>
                  <a:bodyPr/>
                  <a:lstStyle/>
                  <a:p>
                    <a:r>
                      <a:rPr lang="en-US"/>
                      <a:t>55%</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9B9-4075-BFB1-D431E1E39E85}"/>
                </c:ext>
              </c:extLst>
            </c:dLbl>
            <c:dLbl>
              <c:idx val="2"/>
              <c:layout>
                <c:manualLayout>
                  <c:x val="0.11476793525809274"/>
                  <c:y val="0.11038531641878098"/>
                </c:manualLayout>
              </c:layout>
              <c:tx>
                <c:rich>
                  <a:bodyPr/>
                  <a:lstStyle/>
                  <a:p>
                    <a:r>
                      <a:rPr lang="en-US"/>
                      <a:t>19,3%</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9B9-4075-BFB1-D431E1E39E85}"/>
                </c:ext>
              </c:extLst>
            </c:dLbl>
            <c:dLbl>
              <c:idx val="3"/>
              <c:layout>
                <c:manualLayout>
                  <c:x val="6.2469816272965828E-2"/>
                  <c:y val="0.1067413969087197"/>
                </c:manualLayout>
              </c:layout>
              <c:tx>
                <c:rich>
                  <a:bodyPr/>
                  <a:lstStyle/>
                  <a:p>
                    <a:r>
                      <a:rPr lang="en-US"/>
                      <a:t>12,8%</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9B9-4075-BFB1-D431E1E39E8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Feuil1!$C$5:$C$8</c:f>
              <c:strCache>
                <c:ptCount val="4"/>
                <c:pt idx="0">
                  <c:v>Helicobacter pylori serology</c:v>
                </c:pt>
                <c:pt idx="1">
                  <c:v>Endoscopy (with Helicobacter culture/histology/PCR)</c:v>
                </c:pt>
                <c:pt idx="2">
                  <c:v>Urea breath test</c:v>
                </c:pt>
                <c:pt idx="3">
                  <c:v>Stool antigen detection</c:v>
                </c:pt>
              </c:strCache>
            </c:strRef>
          </c:cat>
          <c:val>
            <c:numRef>
              <c:f>Feuil1!$D$5:$D$8</c:f>
              <c:numCache>
                <c:formatCode>General</c:formatCode>
                <c:ptCount val="4"/>
                <c:pt idx="0">
                  <c:v>75</c:v>
                </c:pt>
                <c:pt idx="1">
                  <c:v>60</c:v>
                </c:pt>
                <c:pt idx="2">
                  <c:v>21</c:v>
                </c:pt>
                <c:pt idx="3">
                  <c:v>14</c:v>
                </c:pt>
              </c:numCache>
            </c:numRef>
          </c:val>
          <c:extLst>
            <c:ext xmlns:c16="http://schemas.microsoft.com/office/drawing/2014/chart" uri="{C3380CC4-5D6E-409C-BE32-E72D297353CC}">
              <c16:uniqueId val="{00000008-29B9-4075-BFB1-D431E1E39E8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103-4C38-A262-79A8B1740C3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103-4C38-A262-79A8B1740C3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Feuil1!$C$5:$C$6</c:f>
              <c:strCache>
                <c:ptCount val="2"/>
                <c:pt idx="0">
                  <c:v>Yes</c:v>
                </c:pt>
                <c:pt idx="1">
                  <c:v>No</c:v>
                </c:pt>
              </c:strCache>
            </c:strRef>
          </c:cat>
          <c:val>
            <c:numRef>
              <c:f>Feuil1!$D$5:$D$6</c:f>
              <c:numCache>
                <c:formatCode>General</c:formatCode>
                <c:ptCount val="2"/>
                <c:pt idx="0">
                  <c:v>87</c:v>
                </c:pt>
                <c:pt idx="1">
                  <c:v>22</c:v>
                </c:pt>
              </c:numCache>
            </c:numRef>
          </c:val>
          <c:extLst>
            <c:ext xmlns:c16="http://schemas.microsoft.com/office/drawing/2014/chart" uri="{C3380CC4-5D6E-409C-BE32-E72D297353CC}">
              <c16:uniqueId val="{00000004-5103-4C38-A262-79A8B1740C3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8289982502187216"/>
          <c:y val="0.39852325750947798"/>
          <c:w val="0.12543350831146108"/>
          <c:h val="0.21221274424030329"/>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solidFill>
              <a:schemeClr val="accent4"/>
            </a:solidFill>
            <a:ln>
              <a:noFill/>
            </a:ln>
            <a:effectLst/>
          </c:spPr>
          <c:invertIfNegative val="0"/>
          <c:cat>
            <c:strRef>
              <c:f>Feuil1!$E$8:$E$11</c:f>
              <c:strCache>
                <c:ptCount val="4"/>
                <c:pt idx="0">
                  <c:v>Helicobacter pylori serology</c:v>
                </c:pt>
                <c:pt idx="1">
                  <c:v>Endoscopy (with Helicobacter culture/histology/PCR)</c:v>
                </c:pt>
                <c:pt idx="2">
                  <c:v>Urea breath test</c:v>
                </c:pt>
                <c:pt idx="3">
                  <c:v>Stool antigen detection</c:v>
                </c:pt>
              </c:strCache>
            </c:strRef>
          </c:cat>
          <c:val>
            <c:numRef>
              <c:f>Feuil1!$F$8:$F$11</c:f>
              <c:numCache>
                <c:formatCode>General</c:formatCode>
                <c:ptCount val="4"/>
                <c:pt idx="0">
                  <c:v>62</c:v>
                </c:pt>
                <c:pt idx="1">
                  <c:v>15</c:v>
                </c:pt>
                <c:pt idx="2">
                  <c:v>7</c:v>
                </c:pt>
                <c:pt idx="3">
                  <c:v>3</c:v>
                </c:pt>
              </c:numCache>
            </c:numRef>
          </c:val>
          <c:extLst>
            <c:ext xmlns:c16="http://schemas.microsoft.com/office/drawing/2014/chart" uri="{C3380CC4-5D6E-409C-BE32-E72D297353CC}">
              <c16:uniqueId val="{00000000-CCA5-440D-9763-082D414D2822}"/>
            </c:ext>
          </c:extLst>
        </c:ser>
        <c:dLbls>
          <c:showLegendKey val="0"/>
          <c:showVal val="0"/>
          <c:showCatName val="0"/>
          <c:showSerName val="0"/>
          <c:showPercent val="0"/>
          <c:showBubbleSize val="0"/>
        </c:dLbls>
        <c:gapWidth val="182"/>
        <c:axId val="520684351"/>
        <c:axId val="520681439"/>
      </c:barChart>
      <c:catAx>
        <c:axId val="5206843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681439"/>
        <c:crosses val="autoZero"/>
        <c:auto val="1"/>
        <c:lblAlgn val="ctr"/>
        <c:lblOffset val="100"/>
        <c:noMultiLvlLbl val="0"/>
      </c:catAx>
      <c:valAx>
        <c:axId val="5206814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684351"/>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gradFill>
              <a:gsLst>
                <a:gs pos="0">
                  <a:schemeClr val="accent4"/>
                </a:gs>
                <a:gs pos="100000">
                  <a:schemeClr val="accent4">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Feuil1!$D$5:$D$9</c:f>
              <c:strCache>
                <c:ptCount val="5"/>
                <c:pt idx="0">
                  <c:v>Under 5 years old</c:v>
                </c:pt>
                <c:pt idx="1">
                  <c:v>5 to 9 years old</c:v>
                </c:pt>
                <c:pt idx="2">
                  <c:v>10 to 14 years old</c:v>
                </c:pt>
                <c:pt idx="3">
                  <c:v>15 to 19 years old</c:v>
                </c:pt>
                <c:pt idx="4">
                  <c:v>20 years and older</c:v>
                </c:pt>
              </c:strCache>
            </c:strRef>
          </c:cat>
          <c:val>
            <c:numRef>
              <c:f>Feuil1!$E$5:$E$9</c:f>
              <c:numCache>
                <c:formatCode>General</c:formatCode>
                <c:ptCount val="5"/>
                <c:pt idx="0">
                  <c:v>44</c:v>
                </c:pt>
                <c:pt idx="1">
                  <c:v>27</c:v>
                </c:pt>
                <c:pt idx="2">
                  <c:v>21</c:v>
                </c:pt>
                <c:pt idx="3">
                  <c:v>9</c:v>
                </c:pt>
                <c:pt idx="4">
                  <c:v>8</c:v>
                </c:pt>
              </c:numCache>
            </c:numRef>
          </c:val>
          <c:extLst>
            <c:ext xmlns:c16="http://schemas.microsoft.com/office/drawing/2014/chart" uri="{C3380CC4-5D6E-409C-BE32-E72D297353CC}">
              <c16:uniqueId val="{00000000-EC1A-424D-8B87-57C381380ECB}"/>
            </c:ext>
          </c:extLst>
        </c:ser>
        <c:dLbls>
          <c:dLblPos val="inEnd"/>
          <c:showLegendKey val="0"/>
          <c:showVal val="1"/>
          <c:showCatName val="0"/>
          <c:showSerName val="0"/>
          <c:showPercent val="0"/>
          <c:showBubbleSize val="0"/>
        </c:dLbls>
        <c:gapWidth val="41"/>
        <c:axId val="1841518479"/>
        <c:axId val="1841517231"/>
      </c:barChart>
      <c:catAx>
        <c:axId val="18415184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lumMod val="65000"/>
                    <a:lumOff val="35000"/>
                  </a:schemeClr>
                </a:solidFill>
                <a:effectLst/>
                <a:latin typeface="+mn-lt"/>
                <a:ea typeface="+mn-ea"/>
                <a:cs typeface="+mn-cs"/>
              </a:defRPr>
            </a:pPr>
            <a:endParaRPr lang="en-US"/>
          </a:p>
        </c:txPr>
        <c:crossAx val="1841517231"/>
        <c:crosses val="autoZero"/>
        <c:auto val="1"/>
        <c:lblAlgn val="ctr"/>
        <c:lblOffset val="100"/>
        <c:noMultiLvlLbl val="0"/>
      </c:catAx>
      <c:valAx>
        <c:axId val="1841517231"/>
        <c:scaling>
          <c:orientation val="minMax"/>
        </c:scaling>
        <c:delete val="1"/>
        <c:axPos val="l"/>
        <c:numFmt formatCode="General" sourceLinked="1"/>
        <c:majorTickMark val="none"/>
        <c:minorTickMark val="none"/>
        <c:tickLblPos val="nextTo"/>
        <c:crossAx val="1841518479"/>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C055B0D-4F86-47BE-BE99-C13BE7A5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19</Pages>
  <Words>6299</Words>
  <Characters>35907</Characters>
  <Application>Microsoft Office Word</Application>
  <DocSecurity>0</DocSecurity>
  <Lines>299</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Mamady KOUMA</dc:creator>
  <cp:keywords/>
  <dc:description/>
  <cp:lastModifiedBy>SDI 1020</cp:lastModifiedBy>
  <cp:revision>125</cp:revision>
  <dcterms:created xsi:type="dcterms:W3CDTF">2025-12-25T14:57:00Z</dcterms:created>
  <dcterms:modified xsi:type="dcterms:W3CDTF">2026-01-09T09:33:00Z</dcterms:modified>
</cp:coreProperties>
</file>