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AA76D" w14:textId="790850E9" w:rsidR="00D34E91" w:rsidRDefault="00D34E91">
      <w:pPr>
        <w:pStyle w:val="Heading1"/>
        <w:rPr>
          <w:sz w:val="24"/>
          <w:szCs w:val="24"/>
        </w:rPr>
      </w:pPr>
      <w:r w:rsidRPr="00D34E91">
        <w:rPr>
          <w:sz w:val="24"/>
          <w:szCs w:val="24"/>
        </w:rPr>
        <w:t xml:space="preserve">Case report </w:t>
      </w:r>
    </w:p>
    <w:p w14:paraId="49E67D11" w14:textId="6AA54951" w:rsidR="003C5001" w:rsidRDefault="00103EF5">
      <w:pPr>
        <w:pStyle w:val="Heading1"/>
        <w:rPr>
          <w:sz w:val="24"/>
          <w:szCs w:val="24"/>
        </w:rPr>
      </w:pPr>
      <w:r w:rsidRPr="00913085">
        <w:rPr>
          <w:sz w:val="24"/>
          <w:szCs w:val="24"/>
        </w:rPr>
        <w:t>Bilateral Pheochromocytoma in an Adolescent Girl with Von Hippel–Lindau Syndrome: A Case Report</w:t>
      </w:r>
    </w:p>
    <w:p w14:paraId="761AC734" w14:textId="77777777" w:rsidR="00D34E91" w:rsidRPr="00913085" w:rsidRDefault="00D34E91" w:rsidP="00B728AB">
      <w:pPr>
        <w:rPr>
          <w:sz w:val="24"/>
          <w:szCs w:val="24"/>
        </w:rPr>
      </w:pPr>
    </w:p>
    <w:p w14:paraId="2A58CB0C" w14:textId="77777777" w:rsidR="003C5001" w:rsidRPr="00913085" w:rsidRDefault="00103EF5">
      <w:pPr>
        <w:pStyle w:val="Heading2"/>
        <w:rPr>
          <w:sz w:val="24"/>
          <w:szCs w:val="24"/>
        </w:rPr>
      </w:pPr>
      <w:r w:rsidRPr="00913085">
        <w:rPr>
          <w:sz w:val="24"/>
          <w:szCs w:val="24"/>
        </w:rPr>
        <w:t>Abstract</w:t>
      </w:r>
    </w:p>
    <w:p w14:paraId="2B7244FB" w14:textId="79892ADF" w:rsidR="003C5001" w:rsidRDefault="00103EF5">
      <w:pPr>
        <w:rPr>
          <w:sz w:val="24"/>
          <w:szCs w:val="24"/>
        </w:rPr>
      </w:pPr>
      <w:r w:rsidRPr="00913085">
        <w:rPr>
          <w:sz w:val="24"/>
          <w:szCs w:val="24"/>
        </w:rPr>
        <w:t xml:space="preserve">Pheochromocytoma is a rare cause of secondary hypertension in children and adolescents. We report a case of a 15-year-old girl who presented with recurrent adrenergic spells and severe hypertension, subsequently diagnosed with bilateral pheochromocytoma associated with Von Hippel–Lindau (VHL) syndrome. </w:t>
      </w:r>
      <w:r w:rsidR="00433095" w:rsidRPr="00913085">
        <w:rPr>
          <w:sz w:val="24"/>
          <w:szCs w:val="24"/>
        </w:rPr>
        <w:t xml:space="preserve">This case underscores </w:t>
      </w:r>
      <w:proofErr w:type="gramStart"/>
      <w:r w:rsidR="00433095" w:rsidRPr="00913085">
        <w:rPr>
          <w:sz w:val="24"/>
          <w:szCs w:val="24"/>
        </w:rPr>
        <w:t>the  importance</w:t>
      </w:r>
      <w:proofErr w:type="gramEnd"/>
      <w:r w:rsidR="00433095" w:rsidRPr="00913085">
        <w:rPr>
          <w:sz w:val="24"/>
          <w:szCs w:val="24"/>
        </w:rPr>
        <w:t xml:space="preserve"> of early clinical recognition, comprehensive biochemical and imaging assessment, genetic confirmation, and meticulous perioperative management</w:t>
      </w:r>
      <w:r w:rsidR="000F4B68">
        <w:rPr>
          <w:sz w:val="24"/>
          <w:szCs w:val="24"/>
        </w:rPr>
        <w:t xml:space="preserve"> of this rare genetic syndrome</w:t>
      </w:r>
    </w:p>
    <w:p w14:paraId="1E3E9B75" w14:textId="0114A9B4" w:rsidR="0046699D" w:rsidRPr="00913085" w:rsidRDefault="0046699D">
      <w:pPr>
        <w:rPr>
          <w:sz w:val="24"/>
          <w:szCs w:val="24"/>
        </w:rPr>
      </w:pPr>
      <w:r>
        <w:rPr>
          <w:sz w:val="24"/>
          <w:szCs w:val="24"/>
        </w:rPr>
        <w:t xml:space="preserve">Keywords: </w:t>
      </w:r>
      <w:r w:rsidRPr="0046699D">
        <w:rPr>
          <w:sz w:val="24"/>
          <w:szCs w:val="24"/>
        </w:rPr>
        <w:t>Pheochromocytoma</w:t>
      </w:r>
      <w:r>
        <w:rPr>
          <w:sz w:val="24"/>
          <w:szCs w:val="24"/>
        </w:rPr>
        <w:t>, H</w:t>
      </w:r>
      <w:r w:rsidRPr="0046699D">
        <w:rPr>
          <w:sz w:val="24"/>
          <w:szCs w:val="24"/>
        </w:rPr>
        <w:t>ypertension</w:t>
      </w:r>
      <w:r>
        <w:rPr>
          <w:sz w:val="24"/>
          <w:szCs w:val="24"/>
        </w:rPr>
        <w:t>,</w:t>
      </w:r>
      <w:r w:rsidRPr="0046699D">
        <w:t xml:space="preserve"> </w:t>
      </w:r>
      <w:r w:rsidRPr="0046699D">
        <w:rPr>
          <w:sz w:val="24"/>
          <w:szCs w:val="24"/>
        </w:rPr>
        <w:t>Von Hippel–Lindau Syndrome</w:t>
      </w:r>
      <w:r>
        <w:rPr>
          <w:sz w:val="24"/>
          <w:szCs w:val="24"/>
        </w:rPr>
        <w:t>, C</w:t>
      </w:r>
      <w:r w:rsidRPr="0046699D">
        <w:rPr>
          <w:sz w:val="24"/>
          <w:szCs w:val="24"/>
        </w:rPr>
        <w:t>hildren</w:t>
      </w:r>
    </w:p>
    <w:p w14:paraId="51535668" w14:textId="77777777" w:rsidR="003C5001" w:rsidRPr="00913085" w:rsidRDefault="00103EF5">
      <w:pPr>
        <w:pStyle w:val="Heading2"/>
        <w:rPr>
          <w:sz w:val="24"/>
          <w:szCs w:val="24"/>
        </w:rPr>
      </w:pPr>
      <w:r w:rsidRPr="00913085">
        <w:rPr>
          <w:sz w:val="24"/>
          <w:szCs w:val="24"/>
        </w:rPr>
        <w:t>Introduction</w:t>
      </w:r>
    </w:p>
    <w:p w14:paraId="5BA5D7D9" w14:textId="5E80C4DD" w:rsidR="00A80CF0" w:rsidRPr="00A80CF0" w:rsidRDefault="00103EF5" w:rsidP="00A80CF0">
      <w:pPr>
        <w:pStyle w:val="NormalWeb"/>
        <w:rPr>
          <w:rFonts w:asciiTheme="minorHAnsi" w:hAnsiTheme="minorHAnsi"/>
        </w:rPr>
      </w:pPr>
      <w:r w:rsidRPr="00A80CF0">
        <w:rPr>
          <w:rFonts w:asciiTheme="minorHAnsi" w:hAnsiTheme="minorHAnsi"/>
        </w:rPr>
        <w:t xml:space="preserve">Pheochromocytomas are catecholamine-secreting </w:t>
      </w:r>
      <w:proofErr w:type="spellStart"/>
      <w:r w:rsidRPr="00A80CF0">
        <w:rPr>
          <w:rFonts w:asciiTheme="minorHAnsi" w:hAnsiTheme="minorHAnsi"/>
        </w:rPr>
        <w:t>tumors</w:t>
      </w:r>
      <w:proofErr w:type="spellEnd"/>
      <w:r w:rsidRPr="00A80CF0">
        <w:rPr>
          <w:rFonts w:asciiTheme="minorHAnsi" w:hAnsiTheme="minorHAnsi"/>
        </w:rPr>
        <w:t xml:space="preserve"> arising from chromaffin cells, accounting for a rare but potentially fatal cause of hypertension in children.</w:t>
      </w:r>
      <w:r w:rsidR="00A80CF0" w:rsidRPr="00A80CF0">
        <w:rPr>
          <w:rFonts w:asciiTheme="minorHAnsi" w:hAnsiTheme="minorHAnsi"/>
        </w:rPr>
        <w:t xml:space="preserve"> Pheochromocytoma is an uncommon but clinically important cause of secondary hypertension in children and adolescents.</w:t>
      </w:r>
      <w:r w:rsidR="000F4B68" w:rsidRPr="000F4B68">
        <w:t xml:space="preserve"> </w:t>
      </w:r>
      <w:r w:rsidR="000F4B68" w:rsidRPr="000F4B68">
        <w:rPr>
          <w:rFonts w:asciiTheme="minorHAnsi" w:hAnsiTheme="minorHAnsi"/>
        </w:rPr>
        <w:t>Intermittent catecholamine hypersecretion gives rise to characteristic paroxysmal symptoms such as palpitations, headache, diaphoresis, and severe hypertension, and failure to recognize this presentation can lead to potentially life-threatening cardiovascular and cerebrovascular sequelae</w:t>
      </w:r>
      <w:r w:rsidR="00A80CF0" w:rsidRPr="00A80CF0">
        <w:rPr>
          <w:rFonts w:asciiTheme="minorHAnsi" w:hAnsiTheme="minorHAnsi"/>
        </w:rPr>
        <w:t xml:space="preserve"> (1). Although pheochromocytoma accounts for a small proportion of </w:t>
      </w:r>
      <w:proofErr w:type="spellStart"/>
      <w:r w:rsidR="00A80CF0" w:rsidRPr="00A80CF0">
        <w:rPr>
          <w:rFonts w:asciiTheme="minorHAnsi" w:hAnsiTheme="minorHAnsi"/>
        </w:rPr>
        <w:t>pediatric</w:t>
      </w:r>
      <w:proofErr w:type="spellEnd"/>
      <w:r w:rsidR="00A80CF0" w:rsidRPr="00A80CF0">
        <w:rPr>
          <w:rFonts w:asciiTheme="minorHAnsi" w:hAnsiTheme="minorHAnsi"/>
        </w:rPr>
        <w:t xml:space="preserve"> hypertension, its early identification is </w:t>
      </w:r>
      <w:r w:rsidR="000F4B68">
        <w:rPr>
          <w:rFonts w:asciiTheme="minorHAnsi" w:hAnsiTheme="minorHAnsi"/>
        </w:rPr>
        <w:t>important</w:t>
      </w:r>
      <w:r w:rsidR="00A80CF0" w:rsidRPr="00A80CF0">
        <w:rPr>
          <w:rFonts w:asciiTheme="minorHAnsi" w:hAnsiTheme="minorHAnsi"/>
        </w:rPr>
        <w:t xml:space="preserve"> because timely diagnosis and appropriate management can be curative.</w:t>
      </w:r>
    </w:p>
    <w:p w14:paraId="0456855D" w14:textId="6653D37B" w:rsidR="00A80CF0" w:rsidRPr="00A80CF0" w:rsidRDefault="00A80CF0" w:rsidP="00A80CF0">
      <w:pPr>
        <w:pStyle w:val="NormalWeb"/>
        <w:rPr>
          <w:rFonts w:asciiTheme="minorHAnsi" w:hAnsiTheme="minorHAnsi"/>
        </w:rPr>
      </w:pPr>
      <w:r w:rsidRPr="00A80CF0">
        <w:rPr>
          <w:rFonts w:asciiTheme="minorHAnsi" w:hAnsiTheme="minorHAnsi"/>
        </w:rPr>
        <w:t xml:space="preserve">Unlike adult-onset disease, pheochromocytoma presenting in childhood is frequently associated with an underlying hereditary predisposition. Large cohort studies have demonstrated that a substantial proportion of </w:t>
      </w:r>
      <w:proofErr w:type="spellStart"/>
      <w:r w:rsidRPr="00A80CF0">
        <w:rPr>
          <w:rFonts w:asciiTheme="minorHAnsi" w:hAnsiTheme="minorHAnsi"/>
        </w:rPr>
        <w:t>pediatric</w:t>
      </w:r>
      <w:proofErr w:type="spellEnd"/>
      <w:r w:rsidRPr="00A80CF0">
        <w:rPr>
          <w:rFonts w:asciiTheme="minorHAnsi" w:hAnsiTheme="minorHAnsi"/>
        </w:rPr>
        <w:t xml:space="preserve"> patients </w:t>
      </w:r>
      <w:proofErr w:type="spellStart"/>
      <w:r w:rsidRPr="00A80CF0">
        <w:rPr>
          <w:rFonts w:asciiTheme="minorHAnsi" w:hAnsiTheme="minorHAnsi"/>
        </w:rPr>
        <w:t>harbor</w:t>
      </w:r>
      <w:proofErr w:type="spellEnd"/>
      <w:r w:rsidRPr="00A80CF0">
        <w:rPr>
          <w:rFonts w:asciiTheme="minorHAnsi" w:hAnsiTheme="minorHAnsi"/>
        </w:rPr>
        <w:t xml:space="preserve"> germline pathogenic variants, even in the absence of a family history, </w:t>
      </w:r>
      <w:r w:rsidR="000F4B68">
        <w:rPr>
          <w:rFonts w:asciiTheme="minorHAnsi" w:hAnsiTheme="minorHAnsi"/>
        </w:rPr>
        <w:t>highlighting</w:t>
      </w:r>
      <w:r w:rsidRPr="00A80CF0">
        <w:rPr>
          <w:rFonts w:asciiTheme="minorHAnsi" w:hAnsiTheme="minorHAnsi"/>
        </w:rPr>
        <w:t xml:space="preserve"> the importance of genetic evaluation in this age group (1,2). Consequently, the detection of pheochromocytoma in an adolescent should prompt consideration of inherited </w:t>
      </w:r>
      <w:proofErr w:type="spellStart"/>
      <w:r w:rsidRPr="00A80CF0">
        <w:rPr>
          <w:rFonts w:asciiTheme="minorHAnsi" w:hAnsiTheme="minorHAnsi"/>
        </w:rPr>
        <w:t>tumor</w:t>
      </w:r>
      <w:proofErr w:type="spellEnd"/>
      <w:r w:rsidRPr="00A80CF0">
        <w:rPr>
          <w:rFonts w:asciiTheme="minorHAnsi" w:hAnsiTheme="minorHAnsi"/>
        </w:rPr>
        <w:t xml:space="preserve"> syndromes, as this has implications not only for treatment but also for long-term surveillance and family screening.</w:t>
      </w:r>
    </w:p>
    <w:p w14:paraId="0646F8FC" w14:textId="46044877" w:rsidR="00A80CF0" w:rsidRPr="00A80CF0" w:rsidRDefault="00A80CF0" w:rsidP="00A80CF0">
      <w:pPr>
        <w:pStyle w:val="NormalWeb"/>
        <w:rPr>
          <w:rFonts w:asciiTheme="minorHAnsi" w:hAnsiTheme="minorHAnsi"/>
        </w:rPr>
      </w:pPr>
      <w:r w:rsidRPr="00A80CF0">
        <w:rPr>
          <w:rFonts w:asciiTheme="minorHAnsi" w:hAnsiTheme="minorHAnsi"/>
        </w:rPr>
        <w:t xml:space="preserve">Von Hippel–Lindau (VHL) syndrome is a well-recognized hereditary condition associated with pheochromocytoma, particularly in younger patients. VHL-related </w:t>
      </w:r>
      <w:r w:rsidRPr="00A80CF0">
        <w:rPr>
          <w:rFonts w:asciiTheme="minorHAnsi" w:hAnsiTheme="minorHAnsi"/>
        </w:rPr>
        <w:lastRenderedPageBreak/>
        <w:t xml:space="preserve">pheochromocytomas tend to occur at an earlier age and often involve both adrenal glands or present as multifocal disease (3). Biochemically, these </w:t>
      </w:r>
      <w:proofErr w:type="spellStart"/>
      <w:r w:rsidRPr="00A80CF0">
        <w:rPr>
          <w:rFonts w:asciiTheme="minorHAnsi" w:hAnsiTheme="minorHAnsi"/>
        </w:rPr>
        <w:t>tumors</w:t>
      </w:r>
      <w:proofErr w:type="spellEnd"/>
      <w:r w:rsidRPr="00A80CF0">
        <w:rPr>
          <w:rFonts w:asciiTheme="minorHAnsi" w:hAnsiTheme="minorHAnsi"/>
        </w:rPr>
        <w:t xml:space="preserve"> typically exhibit a noradrenergic secretory pattern, characterized by elevated normetanephrine levels, which may aid in raising suspicion for an underlying VHL-related </w:t>
      </w:r>
      <w:proofErr w:type="spellStart"/>
      <w:r w:rsidRPr="00A80CF0">
        <w:rPr>
          <w:rFonts w:asciiTheme="minorHAnsi" w:hAnsiTheme="minorHAnsi"/>
        </w:rPr>
        <w:t>etiology</w:t>
      </w:r>
      <w:proofErr w:type="spellEnd"/>
      <w:r w:rsidRPr="00A80CF0">
        <w:rPr>
          <w:rFonts w:asciiTheme="minorHAnsi" w:hAnsiTheme="minorHAnsi"/>
        </w:rPr>
        <w:t xml:space="preserve"> (4,5).</w:t>
      </w:r>
    </w:p>
    <w:p w14:paraId="6BCA97DD" w14:textId="1D794655" w:rsidR="00A80CF0" w:rsidRPr="000F4B68" w:rsidRDefault="00A80CF0" w:rsidP="00A80CF0">
      <w:pPr>
        <w:pStyle w:val="NormalWeb"/>
        <w:rPr>
          <w:rFonts w:asciiTheme="minorHAnsi" w:hAnsiTheme="minorHAnsi"/>
        </w:rPr>
      </w:pPr>
      <w:r w:rsidRPr="00A80CF0">
        <w:rPr>
          <w:rFonts w:asciiTheme="minorHAnsi" w:hAnsiTheme="minorHAnsi"/>
        </w:rPr>
        <w:t xml:space="preserve">Imaging plays a pivotal role in confirming </w:t>
      </w:r>
      <w:proofErr w:type="spellStart"/>
      <w:r w:rsidRPr="00A80CF0">
        <w:rPr>
          <w:rFonts w:asciiTheme="minorHAnsi" w:hAnsiTheme="minorHAnsi"/>
        </w:rPr>
        <w:t>tumor</w:t>
      </w:r>
      <w:proofErr w:type="spellEnd"/>
      <w:r w:rsidRPr="00A80CF0">
        <w:rPr>
          <w:rFonts w:asciiTheme="minorHAnsi" w:hAnsiTheme="minorHAnsi"/>
        </w:rPr>
        <w:t xml:space="preserve"> localization and assessing disease extent in suspected pheochromocytoma. While </w:t>
      </w:r>
      <w:r w:rsidR="000F4B68">
        <w:rPr>
          <w:rFonts w:asciiTheme="minorHAnsi" w:hAnsiTheme="minorHAnsi"/>
        </w:rPr>
        <w:t xml:space="preserve">routine </w:t>
      </w:r>
      <w:r w:rsidRPr="00A80CF0">
        <w:rPr>
          <w:rFonts w:asciiTheme="minorHAnsi" w:hAnsiTheme="minorHAnsi"/>
        </w:rPr>
        <w:t>cross-sectional imaging establishes anatomical involvement, functional imaging has become increasingly valuable in hereditary and multifocal disease, allowing for improved</w:t>
      </w:r>
      <w:r w:rsidR="000F4B68">
        <w:rPr>
          <w:rFonts w:asciiTheme="minorHAnsi" w:hAnsiTheme="minorHAnsi"/>
        </w:rPr>
        <w:t xml:space="preserve"> </w:t>
      </w:r>
      <w:proofErr w:type="spellStart"/>
      <w:r w:rsidR="000F4B68">
        <w:rPr>
          <w:rFonts w:asciiTheme="minorHAnsi" w:hAnsiTheme="minorHAnsi"/>
        </w:rPr>
        <w:t>extraadrenal</w:t>
      </w:r>
      <w:proofErr w:type="spellEnd"/>
      <w:r w:rsidRPr="00A80CF0">
        <w:rPr>
          <w:rFonts w:asciiTheme="minorHAnsi" w:hAnsiTheme="minorHAnsi"/>
        </w:rPr>
        <w:t xml:space="preserve"> lesion detection and more accurate preoperative planning (6,7). </w:t>
      </w:r>
      <w:r w:rsidR="000F4B68" w:rsidRPr="000F4B68">
        <w:rPr>
          <w:rFonts w:asciiTheme="minorHAnsi" w:hAnsiTheme="minorHAnsi"/>
        </w:rPr>
        <w:t xml:space="preserve">In </w:t>
      </w:r>
      <w:proofErr w:type="spellStart"/>
      <w:r w:rsidR="000F4B68" w:rsidRPr="000F4B68">
        <w:rPr>
          <w:rFonts w:asciiTheme="minorHAnsi" w:hAnsiTheme="minorHAnsi"/>
        </w:rPr>
        <w:t>pediatric</w:t>
      </w:r>
      <w:proofErr w:type="spellEnd"/>
      <w:r w:rsidR="000F4B68" w:rsidRPr="000F4B68">
        <w:rPr>
          <w:rFonts w:asciiTheme="minorHAnsi" w:hAnsiTheme="minorHAnsi"/>
        </w:rPr>
        <w:t xml:space="preserve"> patients, accurate assessment of </w:t>
      </w:r>
      <w:proofErr w:type="spellStart"/>
      <w:r w:rsidR="000F4B68" w:rsidRPr="000F4B68">
        <w:rPr>
          <w:rFonts w:asciiTheme="minorHAnsi" w:hAnsiTheme="minorHAnsi"/>
        </w:rPr>
        <w:t>tumor</w:t>
      </w:r>
      <w:proofErr w:type="spellEnd"/>
      <w:r w:rsidR="000F4B68" w:rsidRPr="000F4B68">
        <w:rPr>
          <w:rFonts w:asciiTheme="minorHAnsi" w:hAnsiTheme="minorHAnsi"/>
        </w:rPr>
        <w:t xml:space="preserve"> burden is essential, as surgical decision-making may have permanent implications for long-term endocrine function</w:t>
      </w:r>
    </w:p>
    <w:p w14:paraId="5630DB97" w14:textId="77777777" w:rsidR="00A80CF0" w:rsidRPr="00A80CF0" w:rsidRDefault="00A80CF0" w:rsidP="00A80CF0">
      <w:pPr>
        <w:pStyle w:val="NormalWeb"/>
        <w:rPr>
          <w:rFonts w:asciiTheme="minorHAnsi" w:hAnsiTheme="minorHAnsi"/>
        </w:rPr>
      </w:pPr>
      <w:r w:rsidRPr="00A80CF0">
        <w:rPr>
          <w:rFonts w:asciiTheme="minorHAnsi" w:hAnsiTheme="minorHAnsi"/>
        </w:rPr>
        <w:t xml:space="preserve">The management of pheochromocytoma requires careful preoperative preparation and individualized surgical planning. This is especially relevant in adolescents with bilateral adrenal disease, where balancing complete </w:t>
      </w:r>
      <w:proofErr w:type="spellStart"/>
      <w:r w:rsidRPr="00A80CF0">
        <w:rPr>
          <w:rFonts w:asciiTheme="minorHAnsi" w:hAnsiTheme="minorHAnsi"/>
        </w:rPr>
        <w:t>tumor</w:t>
      </w:r>
      <w:proofErr w:type="spellEnd"/>
      <w:r w:rsidRPr="00A80CF0">
        <w:rPr>
          <w:rFonts w:asciiTheme="minorHAnsi" w:hAnsiTheme="minorHAnsi"/>
        </w:rPr>
        <w:t xml:space="preserve"> resection against the risk of permanent adrenal insufficiency is a key consideration (8,9). Early diagnosis within a hereditary syndrome framework enables structured perioperative management and long-term follow-up tailored to syndrome-specific risks.</w:t>
      </w:r>
    </w:p>
    <w:p w14:paraId="2B6515AF" w14:textId="0ADDF7F3" w:rsidR="00A80CF0" w:rsidRPr="00A80CF0" w:rsidRDefault="00A80CF0" w:rsidP="00A80CF0">
      <w:pPr>
        <w:pStyle w:val="NormalWeb"/>
        <w:rPr>
          <w:rFonts w:asciiTheme="minorHAnsi" w:hAnsiTheme="minorHAnsi"/>
        </w:rPr>
      </w:pPr>
      <w:r w:rsidRPr="00A80CF0">
        <w:rPr>
          <w:rFonts w:asciiTheme="minorHAnsi" w:hAnsiTheme="minorHAnsi"/>
        </w:rPr>
        <w:t xml:space="preserve">In this context, we report a case of bilateral pheochromocytoma in an adolescent girl with genetically confirmed VHL syndrome. This case highlights the importance of early clinical suspicion, appropriate biochemical and imaging evaluation, and genetic confirmation in </w:t>
      </w:r>
      <w:proofErr w:type="spellStart"/>
      <w:r w:rsidRPr="00A80CF0">
        <w:rPr>
          <w:rFonts w:asciiTheme="minorHAnsi" w:hAnsiTheme="minorHAnsi"/>
        </w:rPr>
        <w:t>pediatric</w:t>
      </w:r>
      <w:proofErr w:type="spellEnd"/>
      <w:r w:rsidRPr="00A80CF0">
        <w:rPr>
          <w:rFonts w:asciiTheme="minorHAnsi" w:hAnsiTheme="minorHAnsi"/>
        </w:rPr>
        <w:t xml:space="preserve"> pheochromocytoma, while emphasizing the implications for lifelong surveillance and family </w:t>
      </w:r>
      <w:proofErr w:type="spellStart"/>
      <w:r w:rsidRPr="00A80CF0">
        <w:rPr>
          <w:rFonts w:asciiTheme="minorHAnsi" w:hAnsiTheme="minorHAnsi"/>
        </w:rPr>
        <w:t>counseling</w:t>
      </w:r>
      <w:proofErr w:type="spellEnd"/>
      <w:r w:rsidRPr="00A80CF0">
        <w:rPr>
          <w:rFonts w:asciiTheme="minorHAnsi" w:hAnsiTheme="minorHAnsi"/>
        </w:rPr>
        <w:t>.</w:t>
      </w:r>
    </w:p>
    <w:p w14:paraId="0526B1AC" w14:textId="5FFDAEA4" w:rsidR="003C5001" w:rsidRPr="00913085" w:rsidRDefault="00103EF5">
      <w:pPr>
        <w:rPr>
          <w:sz w:val="24"/>
          <w:szCs w:val="24"/>
        </w:rPr>
      </w:pPr>
      <w:r w:rsidRPr="00913085">
        <w:rPr>
          <w:sz w:val="24"/>
          <w:szCs w:val="24"/>
        </w:rPr>
        <w:t xml:space="preserve"> </w:t>
      </w:r>
    </w:p>
    <w:p w14:paraId="387AB773" w14:textId="77777777" w:rsidR="003C5001" w:rsidRPr="00913085" w:rsidRDefault="00103EF5">
      <w:pPr>
        <w:pStyle w:val="Heading2"/>
        <w:rPr>
          <w:sz w:val="24"/>
          <w:szCs w:val="24"/>
        </w:rPr>
      </w:pPr>
      <w:r w:rsidRPr="00913085">
        <w:rPr>
          <w:sz w:val="24"/>
          <w:szCs w:val="24"/>
        </w:rPr>
        <w:t>Case Presentation</w:t>
      </w:r>
    </w:p>
    <w:p w14:paraId="56DC97CF" w14:textId="48EDCB0A" w:rsidR="003C5001" w:rsidRPr="00913085" w:rsidRDefault="00103EF5">
      <w:pPr>
        <w:rPr>
          <w:sz w:val="24"/>
          <w:szCs w:val="24"/>
        </w:rPr>
      </w:pPr>
      <w:r w:rsidRPr="00913085">
        <w:rPr>
          <w:sz w:val="24"/>
          <w:szCs w:val="24"/>
        </w:rPr>
        <w:t>A 15-year-old girl presented with a one-month history of episodic palpitations, breathlessness, chest tightness, headache, diaphoresis, and a sense of impending doom. Each episode lasted 10–15 minutes and occurred 8–10 times daily. She also reported giddiness on standing. There was no prior history of similar episodes and no family history of hypertension or premature cardiovascular disease.</w:t>
      </w:r>
      <w:r w:rsidRPr="00913085">
        <w:rPr>
          <w:sz w:val="24"/>
          <w:szCs w:val="24"/>
        </w:rPr>
        <w:br/>
      </w:r>
      <w:r w:rsidRPr="00913085">
        <w:rPr>
          <w:sz w:val="24"/>
          <w:szCs w:val="24"/>
        </w:rPr>
        <w:br/>
        <w:t xml:space="preserve">On examination, pulse rate was 110/min and regular. Blood pressure was 150/100 mmHg in the supine position with a postural fall to 120/80 mmHg on standing. There were no features suggestive of </w:t>
      </w:r>
      <w:r w:rsidR="008D192F">
        <w:rPr>
          <w:sz w:val="24"/>
          <w:szCs w:val="24"/>
        </w:rPr>
        <w:t xml:space="preserve">other </w:t>
      </w:r>
      <w:r w:rsidRPr="00913085">
        <w:rPr>
          <w:sz w:val="24"/>
          <w:szCs w:val="24"/>
        </w:rPr>
        <w:t>endocrinopathies or neurocutaneous syndromes. Systemic examination was otherwise unremarkable.</w:t>
      </w:r>
    </w:p>
    <w:p w14:paraId="67B8C2A7" w14:textId="77777777" w:rsidR="003C5001" w:rsidRPr="00913085" w:rsidRDefault="00103EF5">
      <w:pPr>
        <w:pStyle w:val="Heading2"/>
        <w:rPr>
          <w:sz w:val="24"/>
          <w:szCs w:val="24"/>
        </w:rPr>
      </w:pPr>
      <w:r w:rsidRPr="00913085">
        <w:rPr>
          <w:sz w:val="24"/>
          <w:szCs w:val="24"/>
        </w:rPr>
        <w:t>Investigations</w:t>
      </w:r>
    </w:p>
    <w:p w14:paraId="3610746F" w14:textId="68EECF46" w:rsidR="003C5001" w:rsidRPr="00913085" w:rsidRDefault="00103EF5">
      <w:pPr>
        <w:rPr>
          <w:sz w:val="24"/>
          <w:szCs w:val="24"/>
        </w:rPr>
      </w:pPr>
      <w:r w:rsidRPr="00913085">
        <w:rPr>
          <w:sz w:val="24"/>
          <w:szCs w:val="24"/>
        </w:rPr>
        <w:t>E</w:t>
      </w:r>
      <w:r w:rsidR="001D0404" w:rsidRPr="00913085">
        <w:rPr>
          <w:sz w:val="24"/>
          <w:szCs w:val="24"/>
        </w:rPr>
        <w:t>CG</w:t>
      </w:r>
      <w:r w:rsidRPr="00913085">
        <w:rPr>
          <w:sz w:val="24"/>
          <w:szCs w:val="24"/>
        </w:rPr>
        <w:t xml:space="preserve"> and chest radiography were normal.</w:t>
      </w:r>
      <w:r w:rsidR="00726995" w:rsidRPr="00913085">
        <w:rPr>
          <w:sz w:val="24"/>
          <w:szCs w:val="24"/>
        </w:rPr>
        <w:t xml:space="preserve"> </w:t>
      </w:r>
      <w:r w:rsidR="001D0404" w:rsidRPr="00913085">
        <w:rPr>
          <w:sz w:val="24"/>
          <w:szCs w:val="24"/>
        </w:rPr>
        <w:t>In view of classical spells,</w:t>
      </w:r>
      <w:r w:rsidR="00726995" w:rsidRPr="00913085">
        <w:rPr>
          <w:sz w:val="24"/>
          <w:szCs w:val="24"/>
        </w:rPr>
        <w:t xml:space="preserve"> pheochromocytoma was </w:t>
      </w:r>
      <w:proofErr w:type="gramStart"/>
      <w:r w:rsidR="00726995" w:rsidRPr="00913085">
        <w:rPr>
          <w:sz w:val="24"/>
          <w:szCs w:val="24"/>
        </w:rPr>
        <w:t>suspected ,Plasma</w:t>
      </w:r>
      <w:proofErr w:type="gramEnd"/>
      <w:r w:rsidR="00726995" w:rsidRPr="00913085">
        <w:rPr>
          <w:sz w:val="24"/>
          <w:szCs w:val="24"/>
        </w:rPr>
        <w:t xml:space="preserve"> </w:t>
      </w:r>
      <w:proofErr w:type="spellStart"/>
      <w:r w:rsidR="00726995" w:rsidRPr="00913085">
        <w:rPr>
          <w:sz w:val="24"/>
          <w:szCs w:val="24"/>
        </w:rPr>
        <w:t>Metanephrine</w:t>
      </w:r>
      <w:proofErr w:type="spellEnd"/>
      <w:r w:rsidR="00726995" w:rsidRPr="00913085">
        <w:rPr>
          <w:sz w:val="24"/>
          <w:szCs w:val="24"/>
        </w:rPr>
        <w:t xml:space="preserve"> and Normetanephrine</w:t>
      </w:r>
      <w:r w:rsidR="00B728AB" w:rsidRPr="00913085">
        <w:rPr>
          <w:sz w:val="24"/>
          <w:szCs w:val="24"/>
        </w:rPr>
        <w:t xml:space="preserve"> </w:t>
      </w:r>
      <w:r w:rsidR="00B728AB" w:rsidRPr="00913085">
        <w:rPr>
          <w:sz w:val="24"/>
          <w:szCs w:val="24"/>
        </w:rPr>
        <w:lastRenderedPageBreak/>
        <w:t xml:space="preserve">were measured after the patient had rested in the </w:t>
      </w:r>
      <w:r w:rsidR="00B728AB" w:rsidRPr="00913085">
        <w:rPr>
          <w:rStyle w:val="Strong"/>
          <w:b w:val="0"/>
          <w:bCs w:val="0"/>
          <w:sz w:val="24"/>
          <w:szCs w:val="24"/>
        </w:rPr>
        <w:t>supine position for 30 minutes</w:t>
      </w:r>
      <w:r w:rsidR="00B728AB" w:rsidRPr="00913085">
        <w:rPr>
          <w:sz w:val="24"/>
          <w:szCs w:val="24"/>
        </w:rPr>
        <w:t xml:space="preserve"> </w:t>
      </w:r>
      <w:r w:rsidR="00BA2A9A" w:rsidRPr="00913085">
        <w:rPr>
          <w:sz w:val="24"/>
          <w:szCs w:val="24"/>
        </w:rPr>
        <w:t xml:space="preserve">. Plasma </w:t>
      </w:r>
      <w:proofErr w:type="spellStart"/>
      <w:r w:rsidR="00BA2A9A" w:rsidRPr="00913085">
        <w:rPr>
          <w:sz w:val="24"/>
          <w:szCs w:val="24"/>
        </w:rPr>
        <w:t>Metanephrine</w:t>
      </w:r>
      <w:proofErr w:type="spellEnd"/>
      <w:r w:rsidR="00BA2A9A" w:rsidRPr="00913085">
        <w:rPr>
          <w:sz w:val="24"/>
          <w:szCs w:val="24"/>
        </w:rPr>
        <w:t xml:space="preserve"> was 8.2 ng/</w:t>
      </w:r>
      <w:r w:rsidR="00B728AB" w:rsidRPr="00913085">
        <w:rPr>
          <w:sz w:val="24"/>
          <w:szCs w:val="24"/>
        </w:rPr>
        <w:t>L</w:t>
      </w:r>
      <w:r w:rsidR="00BA2A9A" w:rsidRPr="00913085">
        <w:rPr>
          <w:sz w:val="24"/>
          <w:szCs w:val="24"/>
        </w:rPr>
        <w:t xml:space="preserve"> (7-88</w:t>
      </w:r>
      <w:proofErr w:type="gramStart"/>
      <w:r w:rsidR="00AD60B7" w:rsidRPr="00913085">
        <w:rPr>
          <w:sz w:val="24"/>
          <w:szCs w:val="24"/>
        </w:rPr>
        <w:t>) ,</w:t>
      </w:r>
      <w:proofErr w:type="gramEnd"/>
      <w:r w:rsidR="00AD60B7" w:rsidRPr="00913085">
        <w:rPr>
          <w:sz w:val="24"/>
          <w:szCs w:val="24"/>
        </w:rPr>
        <w:t xml:space="preserve"> but Plasma Normetanephrine was significantly</w:t>
      </w:r>
      <w:r w:rsidR="00BA2A9A" w:rsidRPr="00913085">
        <w:rPr>
          <w:sz w:val="24"/>
          <w:szCs w:val="24"/>
        </w:rPr>
        <w:t xml:space="preserve"> </w:t>
      </w:r>
      <w:r w:rsidR="00AD60B7" w:rsidRPr="00913085">
        <w:rPr>
          <w:sz w:val="24"/>
          <w:szCs w:val="24"/>
        </w:rPr>
        <w:t xml:space="preserve">elevated 3720 ng/L(20-135). </w:t>
      </w:r>
      <w:r w:rsidRPr="00913085">
        <w:rPr>
          <w:sz w:val="24"/>
          <w:szCs w:val="24"/>
        </w:rPr>
        <w:t>Contrast-enhanced CT of the abdomen showed a heterogeneously enhancing right adrenal mass measuring approximately 4 cm, a left adrenal lesion measuring about 2.5 cm, and a left para-aortic lesion</w:t>
      </w:r>
      <w:r w:rsidR="00AD60B7" w:rsidRPr="00913085">
        <w:rPr>
          <w:sz w:val="24"/>
          <w:szCs w:val="24"/>
        </w:rPr>
        <w:t xml:space="preserve"> measuring 2.2</w:t>
      </w:r>
      <w:proofErr w:type="gramStart"/>
      <w:r w:rsidR="00AD60B7" w:rsidRPr="00913085">
        <w:rPr>
          <w:sz w:val="24"/>
          <w:szCs w:val="24"/>
        </w:rPr>
        <w:t>cm</w:t>
      </w:r>
      <w:r w:rsidR="00E608CF">
        <w:rPr>
          <w:sz w:val="24"/>
          <w:szCs w:val="24"/>
        </w:rPr>
        <w:t>( Figure</w:t>
      </w:r>
      <w:proofErr w:type="gramEnd"/>
      <w:r w:rsidR="00E608CF">
        <w:rPr>
          <w:sz w:val="24"/>
          <w:szCs w:val="24"/>
        </w:rPr>
        <w:t xml:space="preserve"> 1 )</w:t>
      </w:r>
      <w:r w:rsidRPr="00913085">
        <w:rPr>
          <w:sz w:val="24"/>
          <w:szCs w:val="24"/>
        </w:rPr>
        <w:br/>
      </w:r>
      <w:r w:rsidRPr="00913085">
        <w:rPr>
          <w:sz w:val="24"/>
          <w:szCs w:val="24"/>
        </w:rPr>
        <w:br/>
        <w:t>Ga-68 DOTATATE PET scan demonstrated intensely enhancing lesions involving both adrenal glands and a left para-aortic region, suggestive of multifocal pheochromocytoma.</w:t>
      </w:r>
      <w:r w:rsidR="0000531F">
        <w:rPr>
          <w:sz w:val="24"/>
          <w:szCs w:val="24"/>
        </w:rPr>
        <w:t>(Figure 2 ).</w:t>
      </w:r>
      <w:r w:rsidRPr="00913085">
        <w:rPr>
          <w:sz w:val="24"/>
          <w:szCs w:val="24"/>
        </w:rPr>
        <w:t xml:space="preserve"> </w:t>
      </w:r>
      <w:r w:rsidR="00AD60B7" w:rsidRPr="00913085">
        <w:rPr>
          <w:rStyle w:val="citation-161"/>
          <w:sz w:val="24"/>
          <w:szCs w:val="24"/>
        </w:rPr>
        <w:t>Clinical exome sequencing was performed to evaluate the patient for pathogenic variations associated with her early-onset bilateral pheochromocytoma</w:t>
      </w:r>
      <w:r w:rsidR="00AD60B7" w:rsidRPr="00913085">
        <w:rPr>
          <w:sz w:val="24"/>
          <w:szCs w:val="24"/>
        </w:rPr>
        <w:t xml:space="preserve">. </w:t>
      </w:r>
      <w:r w:rsidR="00AD60B7" w:rsidRPr="00913085">
        <w:rPr>
          <w:rStyle w:val="citation-160"/>
          <w:sz w:val="24"/>
          <w:szCs w:val="24"/>
        </w:rPr>
        <w:t xml:space="preserve">The analysis identified a heterozygous pathogenic variant in the </w:t>
      </w:r>
      <w:r w:rsidR="00AD60B7" w:rsidRPr="00913085">
        <w:rPr>
          <w:rStyle w:val="citation-160"/>
          <w:b/>
          <w:bCs/>
          <w:sz w:val="24"/>
          <w:szCs w:val="24"/>
        </w:rPr>
        <w:t>VHL gene</w:t>
      </w:r>
      <w:r w:rsidR="00AD60B7" w:rsidRPr="00913085">
        <w:rPr>
          <w:rStyle w:val="citation-160"/>
          <w:sz w:val="24"/>
          <w:szCs w:val="24"/>
        </w:rPr>
        <w:t xml:space="preserve"> located in Exon 2</w:t>
      </w:r>
      <w:r w:rsidR="00AD60B7" w:rsidRPr="00913085">
        <w:rPr>
          <w:sz w:val="24"/>
          <w:szCs w:val="24"/>
        </w:rPr>
        <w:t xml:space="preserve">. </w:t>
      </w:r>
      <w:r w:rsidR="00AD60B7" w:rsidRPr="00913085">
        <w:rPr>
          <w:rStyle w:val="citation-159"/>
          <w:sz w:val="24"/>
          <w:szCs w:val="24"/>
        </w:rPr>
        <w:t xml:space="preserve">Specifically, the variant is a </w:t>
      </w:r>
      <w:r w:rsidR="00AD60B7" w:rsidRPr="00913085">
        <w:rPr>
          <w:rStyle w:val="citation-159"/>
          <w:b/>
          <w:bCs/>
          <w:sz w:val="24"/>
          <w:szCs w:val="24"/>
        </w:rPr>
        <w:t>c.414A&gt;G (</w:t>
      </w:r>
      <w:proofErr w:type="gramStart"/>
      <w:r w:rsidR="00AD60B7" w:rsidRPr="00913085">
        <w:rPr>
          <w:rStyle w:val="citation-159"/>
          <w:b/>
          <w:bCs/>
          <w:sz w:val="24"/>
          <w:szCs w:val="24"/>
        </w:rPr>
        <w:t>p.Pro</w:t>
      </w:r>
      <w:proofErr w:type="gramEnd"/>
      <w:r w:rsidR="00AD60B7" w:rsidRPr="00913085">
        <w:rPr>
          <w:rStyle w:val="citation-159"/>
          <w:b/>
          <w:bCs/>
          <w:sz w:val="24"/>
          <w:szCs w:val="24"/>
        </w:rPr>
        <w:t>138</w:t>
      </w:r>
      <w:r w:rsidR="00B728AB" w:rsidRPr="00913085">
        <w:rPr>
          <w:rStyle w:val="citation-159"/>
          <w:b/>
          <w:bCs/>
          <w:sz w:val="24"/>
          <w:szCs w:val="24"/>
        </w:rPr>
        <w:t>)</w:t>
      </w:r>
      <w:r w:rsidR="00AD60B7" w:rsidRPr="00913085">
        <w:rPr>
          <w:sz w:val="24"/>
          <w:szCs w:val="24"/>
        </w:rPr>
        <w:t xml:space="preserve">. Retinal examination done which did not show retinal </w:t>
      </w:r>
      <w:proofErr w:type="gramStart"/>
      <w:r w:rsidR="00AD60B7" w:rsidRPr="00913085">
        <w:rPr>
          <w:sz w:val="24"/>
          <w:szCs w:val="24"/>
        </w:rPr>
        <w:t>hemangioblastoma .</w:t>
      </w:r>
      <w:proofErr w:type="gramEnd"/>
      <w:r w:rsidR="00AD60B7" w:rsidRPr="00913085">
        <w:rPr>
          <w:sz w:val="24"/>
          <w:szCs w:val="24"/>
        </w:rPr>
        <w:t xml:space="preserve"> MRI Brain did not show any cerebellar lesion.</w:t>
      </w:r>
    </w:p>
    <w:p w14:paraId="304F9227" w14:textId="77777777" w:rsidR="003C5001" w:rsidRPr="00913085" w:rsidRDefault="00103EF5">
      <w:pPr>
        <w:pStyle w:val="Heading2"/>
        <w:rPr>
          <w:sz w:val="24"/>
          <w:szCs w:val="24"/>
        </w:rPr>
      </w:pPr>
      <w:r w:rsidRPr="00913085">
        <w:rPr>
          <w:sz w:val="24"/>
          <w:szCs w:val="24"/>
        </w:rPr>
        <w:t>Diagnosis</w:t>
      </w:r>
    </w:p>
    <w:p w14:paraId="77A6B51C" w14:textId="77777777" w:rsidR="003C5001" w:rsidRPr="00913085" w:rsidRDefault="00103EF5">
      <w:pPr>
        <w:rPr>
          <w:sz w:val="24"/>
          <w:szCs w:val="24"/>
        </w:rPr>
      </w:pPr>
      <w:r w:rsidRPr="00913085">
        <w:rPr>
          <w:sz w:val="24"/>
          <w:szCs w:val="24"/>
        </w:rPr>
        <w:t>Based on clinical presentation, imaging findings, and genetic analysis, a diagnosis of bilateral pheochromocytoma associated with Von Hippel–Lindau syndrome was established.</w:t>
      </w:r>
    </w:p>
    <w:p w14:paraId="517EF64C" w14:textId="77777777" w:rsidR="003C5001" w:rsidRPr="00913085" w:rsidRDefault="00103EF5">
      <w:pPr>
        <w:pStyle w:val="Heading2"/>
        <w:rPr>
          <w:sz w:val="24"/>
          <w:szCs w:val="24"/>
        </w:rPr>
      </w:pPr>
      <w:r w:rsidRPr="00913085">
        <w:rPr>
          <w:sz w:val="24"/>
          <w:szCs w:val="24"/>
        </w:rPr>
        <w:t>Management</w:t>
      </w:r>
    </w:p>
    <w:p w14:paraId="0EBB96A8" w14:textId="38236EC8" w:rsidR="003C5001" w:rsidRPr="00913085" w:rsidRDefault="00103EF5">
      <w:pPr>
        <w:rPr>
          <w:sz w:val="24"/>
          <w:szCs w:val="24"/>
        </w:rPr>
      </w:pPr>
      <w:r w:rsidRPr="00913085">
        <w:rPr>
          <w:sz w:val="24"/>
          <w:szCs w:val="24"/>
        </w:rPr>
        <w:t>Preoperative preparation included initiation of alpha-adrenergic blockade with prazosin, followed by beta-blockade with metoprolol after adequate alpha blockade. Liberal salt intake was advised. Surgical management was planned as bilateral adrenalectomy.</w:t>
      </w:r>
      <w:r w:rsidRPr="00913085">
        <w:rPr>
          <w:sz w:val="24"/>
          <w:szCs w:val="24"/>
        </w:rPr>
        <w:br/>
        <w:t xml:space="preserve">Laparoscopic adrenalectomy was attempted; however, intraoperative bleeding and hypotension necessitated conversion to open right adrenalectomy. Intraoperative hypertension was managed with nitroglycerin infusion. Postoperatively, the patient developed transient hypotension, which was managed with intravenous </w:t>
      </w:r>
      <w:proofErr w:type="spellStart"/>
      <w:proofErr w:type="gramStart"/>
      <w:r w:rsidRPr="00913085">
        <w:rPr>
          <w:sz w:val="24"/>
          <w:szCs w:val="24"/>
        </w:rPr>
        <w:t>fluids.</w:t>
      </w:r>
      <w:r w:rsidR="00AD60B7" w:rsidRPr="00913085">
        <w:rPr>
          <w:sz w:val="24"/>
          <w:szCs w:val="24"/>
        </w:rPr>
        <w:t>Unilateral</w:t>
      </w:r>
      <w:proofErr w:type="spellEnd"/>
      <w:proofErr w:type="gramEnd"/>
      <w:r w:rsidR="00AD60B7" w:rsidRPr="00913085">
        <w:rPr>
          <w:sz w:val="24"/>
          <w:szCs w:val="24"/>
        </w:rPr>
        <w:t xml:space="preserve"> adrenalectomy was done at first stage and </w:t>
      </w:r>
      <w:r w:rsidRPr="00913085">
        <w:rPr>
          <w:sz w:val="24"/>
          <w:szCs w:val="24"/>
        </w:rPr>
        <w:t xml:space="preserve"> </w:t>
      </w:r>
      <w:r w:rsidR="00AD60B7" w:rsidRPr="00913085">
        <w:rPr>
          <w:sz w:val="24"/>
          <w:szCs w:val="24"/>
        </w:rPr>
        <w:t>c</w:t>
      </w:r>
      <w:r w:rsidRPr="00913085">
        <w:rPr>
          <w:sz w:val="24"/>
          <w:szCs w:val="24"/>
        </w:rPr>
        <w:t xml:space="preserve">ompletion surgery was </w:t>
      </w:r>
      <w:r w:rsidR="00AD60B7" w:rsidRPr="00913085">
        <w:rPr>
          <w:sz w:val="24"/>
          <w:szCs w:val="24"/>
        </w:rPr>
        <w:t>done later</w:t>
      </w:r>
      <w:r w:rsidRPr="00913085">
        <w:rPr>
          <w:sz w:val="24"/>
          <w:szCs w:val="24"/>
        </w:rPr>
        <w:t>.</w:t>
      </w:r>
      <w:r w:rsidR="00B728AB" w:rsidRPr="00913085">
        <w:rPr>
          <w:sz w:val="24"/>
          <w:szCs w:val="24"/>
        </w:rPr>
        <w:t xml:space="preserve"> Histopathological examination of the resected adrenal </w:t>
      </w:r>
      <w:proofErr w:type="gramStart"/>
      <w:r w:rsidR="00B728AB" w:rsidRPr="00913085">
        <w:rPr>
          <w:sz w:val="24"/>
          <w:szCs w:val="24"/>
        </w:rPr>
        <w:t>specimen</w:t>
      </w:r>
      <w:r w:rsidR="0000531F">
        <w:rPr>
          <w:sz w:val="24"/>
          <w:szCs w:val="24"/>
        </w:rPr>
        <w:t>( Figure</w:t>
      </w:r>
      <w:proofErr w:type="gramEnd"/>
      <w:r w:rsidR="0000531F">
        <w:rPr>
          <w:sz w:val="24"/>
          <w:szCs w:val="24"/>
        </w:rPr>
        <w:t xml:space="preserve"> 3)</w:t>
      </w:r>
      <w:r w:rsidR="00B728AB" w:rsidRPr="00913085">
        <w:rPr>
          <w:sz w:val="24"/>
          <w:szCs w:val="24"/>
        </w:rPr>
        <w:t xml:space="preserve"> confirmed the diagnosis of pheochromocytoma. Postoperatively, plasma normetanephrine levels normalized, blood pressure stabilized without antihypertensive medications, and the patient was initiated on </w:t>
      </w:r>
      <w:r w:rsidR="00B728AB" w:rsidRPr="00913085">
        <w:rPr>
          <w:rStyle w:val="Strong"/>
          <w:b w:val="0"/>
          <w:bCs w:val="0"/>
          <w:sz w:val="24"/>
          <w:szCs w:val="24"/>
        </w:rPr>
        <w:t>physiologic glucocorticoid and mineralocorticoid replacement</w:t>
      </w:r>
      <w:r w:rsidR="00B728AB" w:rsidRPr="00913085">
        <w:rPr>
          <w:sz w:val="24"/>
          <w:szCs w:val="24"/>
        </w:rPr>
        <w:t xml:space="preserve">, with structured adrenal crisis education. The </w:t>
      </w:r>
      <w:r w:rsidR="00B728AB" w:rsidRPr="00913085">
        <w:rPr>
          <w:rStyle w:val="Strong"/>
          <w:b w:val="0"/>
          <w:bCs w:val="0"/>
          <w:sz w:val="24"/>
          <w:szCs w:val="24"/>
        </w:rPr>
        <w:t>left para-aortic lesion</w:t>
      </w:r>
      <w:r w:rsidR="00B728AB" w:rsidRPr="00913085">
        <w:rPr>
          <w:sz w:val="24"/>
          <w:szCs w:val="24"/>
        </w:rPr>
        <w:t xml:space="preserve"> was managed with </w:t>
      </w:r>
      <w:r w:rsidR="00B728AB" w:rsidRPr="00913085">
        <w:rPr>
          <w:rStyle w:val="Strong"/>
          <w:b w:val="0"/>
          <w:bCs w:val="0"/>
          <w:sz w:val="24"/>
          <w:szCs w:val="24"/>
        </w:rPr>
        <w:t>active surveillance</w:t>
      </w:r>
      <w:r w:rsidR="00B728AB" w:rsidRPr="00913085">
        <w:rPr>
          <w:sz w:val="24"/>
          <w:szCs w:val="24"/>
        </w:rPr>
        <w:t>, given its small size, absence of compressive symptoms, and biochemical control following adrenal surgery</w:t>
      </w:r>
      <w:r w:rsidR="007B4B9E" w:rsidRPr="00913085">
        <w:rPr>
          <w:sz w:val="24"/>
          <w:szCs w:val="24"/>
        </w:rPr>
        <w:t xml:space="preserve">. Following confirmation of Von Hippel–Lindau syndrome, the patient and family underwent formal genetic counseling, with detailed discussion </w:t>
      </w:r>
      <w:r w:rsidR="007B4B9E" w:rsidRPr="00913085">
        <w:rPr>
          <w:sz w:val="24"/>
          <w:szCs w:val="24"/>
        </w:rPr>
        <w:lastRenderedPageBreak/>
        <w:t>regarding the hereditary nature of the disease, implications for family members, and the need for lifelong surveillance. Parental testing and segregation analysis were discussed as part of cascade screening. A comprehensive VHL surveillance protocol was instituted, including periodic abdominal MRI to screen for renal cell carcinoma and pancreatic neuroendocrine tumors, regular ophthalmologic examinations for retinal hemangioblastomas, audiological assessment for endolymphatic sac tumors, and consideration of Brainstem and spinal MRI in accordance with contemporary surveillance guidelines</w:t>
      </w:r>
    </w:p>
    <w:p w14:paraId="4D08B2B1" w14:textId="338E3336" w:rsidR="00442EEA" w:rsidRPr="00913085" w:rsidRDefault="00103EF5">
      <w:pPr>
        <w:rPr>
          <w:sz w:val="24"/>
          <w:szCs w:val="24"/>
        </w:rPr>
      </w:pPr>
      <w:r w:rsidRPr="00913085">
        <w:rPr>
          <w:sz w:val="24"/>
          <w:szCs w:val="24"/>
        </w:rPr>
        <w:t>.</w:t>
      </w:r>
    </w:p>
    <w:p w14:paraId="115077EC" w14:textId="77777777" w:rsidR="000A3FCD" w:rsidRPr="001B0D11" w:rsidRDefault="000A3FCD" w:rsidP="000A3FCD">
      <w:pPr>
        <w:spacing w:before="100" w:beforeAutospacing="1" w:after="100" w:afterAutospacing="1" w:line="240" w:lineRule="auto"/>
        <w:outlineLvl w:val="1"/>
        <w:rPr>
          <w:rFonts w:eastAsia="Times New Roman" w:cs="Times New Roman"/>
          <w:b/>
          <w:bCs/>
          <w:color w:val="4F81BD" w:themeColor="accent1"/>
          <w:sz w:val="24"/>
          <w:szCs w:val="24"/>
          <w:lang w:val="en-IN" w:eastAsia="en-IN"/>
        </w:rPr>
      </w:pPr>
      <w:r w:rsidRPr="001B0D11">
        <w:rPr>
          <w:rFonts w:eastAsia="Times New Roman" w:cs="Times New Roman"/>
          <w:b/>
          <w:bCs/>
          <w:color w:val="4F81BD" w:themeColor="accent1"/>
          <w:sz w:val="24"/>
          <w:szCs w:val="24"/>
          <w:lang w:val="en-IN" w:eastAsia="en-IN"/>
        </w:rPr>
        <w:t>Discussion and Review of Literature</w:t>
      </w:r>
    </w:p>
    <w:p w14:paraId="57154983"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Pheochromocytomas and paragangliomas (PPGLs) are rare catecholamine-secreting neuroendocrine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xml:space="preserve"> arising from chromaffin cells of the adrenal medulla and extra-adrenal paraganglia, respectively. Although uncommon in childhood, PPGLs represent a critical and potentially fatal cause of secondary hypertension in the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and adolescent population. Importantly,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PPGLs differ fundamentally from adult disease in terms of genetic predisposition, </w:t>
      </w:r>
      <w:proofErr w:type="spellStart"/>
      <w:r w:rsidRPr="001B0D11">
        <w:rPr>
          <w:rFonts w:eastAsia="Times New Roman" w:cs="Times New Roman"/>
          <w:sz w:val="24"/>
          <w:szCs w:val="24"/>
          <w:lang w:val="en-IN" w:eastAsia="en-IN"/>
        </w:rPr>
        <w:t>tumor</w:t>
      </w:r>
      <w:proofErr w:type="spellEnd"/>
      <w:r w:rsidRPr="001B0D11">
        <w:rPr>
          <w:rFonts w:eastAsia="Times New Roman" w:cs="Times New Roman"/>
          <w:sz w:val="24"/>
          <w:szCs w:val="24"/>
          <w:lang w:val="en-IN" w:eastAsia="en-IN"/>
        </w:rPr>
        <w:t xml:space="preserve"> multiplicity, malignant potential, and long-term outcomes, mandating a distinct diagnostic and management paradigm (1).</w:t>
      </w:r>
    </w:p>
    <w:p w14:paraId="66B21572" w14:textId="1BD6A42C"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A defining feature of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PPGL is the exceptionally high prevalence of underlying germline mutations. Contemporary series demonstrate that up to 70–80% of children and adolescents with PPGL </w:t>
      </w:r>
      <w:proofErr w:type="spellStart"/>
      <w:r w:rsidRPr="001B0D11">
        <w:rPr>
          <w:rFonts w:eastAsia="Times New Roman" w:cs="Times New Roman"/>
          <w:sz w:val="24"/>
          <w:szCs w:val="24"/>
          <w:lang w:val="en-IN" w:eastAsia="en-IN"/>
        </w:rPr>
        <w:t>harbor</w:t>
      </w:r>
      <w:proofErr w:type="spellEnd"/>
      <w:r w:rsidRPr="001B0D11">
        <w:rPr>
          <w:rFonts w:eastAsia="Times New Roman" w:cs="Times New Roman"/>
          <w:sz w:val="24"/>
          <w:szCs w:val="24"/>
          <w:lang w:val="en-IN" w:eastAsia="en-IN"/>
        </w:rPr>
        <w:t xml:space="preserve"> pathogenic variants in susceptibility genes, even in the absence of a positive family history (1,2). This rate far exceeds that observed in adult cohorts and supports the current recommendation for universal genetic testing in all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cases. Advances in next-generation sequencing have further expanded the recognized genetic landscape, with mutations in VHL, RET, SDHB, SDHD, SDHC, SDHA, MAX, and TMEM127 accounting for the majority of hereditary cases (2).</w:t>
      </w:r>
    </w:p>
    <w:p w14:paraId="58ED9951"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Among these, von Hippel–Lindau (VHL) syndrome is one of the most frequently implicated conditions in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pheochromocytoma. VHL-associated PPGLs characteristically present at a younger age and often exhibit bilateral adrenal involvement or multifocal disease (3). From a biochemical standpoint, these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xml:space="preserve"> typically display a noradrenergic phenotype, with predominant elevation of normetanephrine and minimal or absent </w:t>
      </w:r>
      <w:proofErr w:type="spellStart"/>
      <w:r w:rsidRPr="001B0D11">
        <w:rPr>
          <w:rFonts w:eastAsia="Times New Roman" w:cs="Times New Roman"/>
          <w:sz w:val="24"/>
          <w:szCs w:val="24"/>
          <w:lang w:val="en-IN" w:eastAsia="en-IN"/>
        </w:rPr>
        <w:t>metanephrine</w:t>
      </w:r>
      <w:proofErr w:type="spellEnd"/>
      <w:r w:rsidRPr="001B0D11">
        <w:rPr>
          <w:rFonts w:eastAsia="Times New Roman" w:cs="Times New Roman"/>
          <w:sz w:val="24"/>
          <w:szCs w:val="24"/>
          <w:lang w:val="en-IN" w:eastAsia="en-IN"/>
        </w:rPr>
        <w:t xml:space="preserve"> secretion. This pattern reflects reduced expression of </w:t>
      </w:r>
      <w:proofErr w:type="spellStart"/>
      <w:r w:rsidRPr="001B0D11">
        <w:rPr>
          <w:rFonts w:eastAsia="Times New Roman" w:cs="Times New Roman"/>
          <w:sz w:val="24"/>
          <w:szCs w:val="24"/>
          <w:lang w:val="en-IN" w:eastAsia="en-IN"/>
        </w:rPr>
        <w:t>phenylethanolamine</w:t>
      </w:r>
      <w:proofErr w:type="spellEnd"/>
      <w:r w:rsidRPr="001B0D11">
        <w:rPr>
          <w:rFonts w:eastAsia="Times New Roman" w:cs="Times New Roman"/>
          <w:sz w:val="24"/>
          <w:szCs w:val="24"/>
          <w:lang w:val="en-IN" w:eastAsia="en-IN"/>
        </w:rPr>
        <w:t xml:space="preserve">-N-methyltransferase within VHL-related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xml:space="preserve"> and provides a valuable diagnostic clue in clinical practice (4). Large genotype–phenotype correlation studies have consistently reinforced this biochemical signature, enabling more targeted genetic evaluation and </w:t>
      </w:r>
      <w:proofErr w:type="spellStart"/>
      <w:r w:rsidRPr="001B0D11">
        <w:rPr>
          <w:rFonts w:eastAsia="Times New Roman" w:cs="Times New Roman"/>
          <w:sz w:val="24"/>
          <w:szCs w:val="24"/>
          <w:lang w:val="en-IN" w:eastAsia="en-IN"/>
        </w:rPr>
        <w:t>counseling</w:t>
      </w:r>
      <w:proofErr w:type="spellEnd"/>
      <w:r w:rsidRPr="001B0D11">
        <w:rPr>
          <w:rFonts w:eastAsia="Times New Roman" w:cs="Times New Roman"/>
          <w:sz w:val="24"/>
          <w:szCs w:val="24"/>
          <w:lang w:val="en-IN" w:eastAsia="en-IN"/>
        </w:rPr>
        <w:t xml:space="preserve"> (4,5).</w:t>
      </w:r>
    </w:p>
    <w:p w14:paraId="2E1FAFA3"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lastRenderedPageBreak/>
        <w:t xml:space="preserve">Bilateral adrenal pheochromocytomas and multifocal disease are particularly suggestive of hereditary syndromes such as VHL, multiple endocrine neoplasia type 2 (MEN2), and </w:t>
      </w:r>
      <w:proofErr w:type="spellStart"/>
      <w:r w:rsidRPr="001B0D11">
        <w:rPr>
          <w:rFonts w:eastAsia="Times New Roman" w:cs="Times New Roman"/>
          <w:sz w:val="24"/>
          <w:szCs w:val="24"/>
          <w:lang w:val="en-IN" w:eastAsia="en-IN"/>
        </w:rPr>
        <w:t>SDHx</w:t>
      </w:r>
      <w:proofErr w:type="spellEnd"/>
      <w:r w:rsidRPr="001B0D11">
        <w:rPr>
          <w:rFonts w:eastAsia="Times New Roman" w:cs="Times New Roman"/>
          <w:sz w:val="24"/>
          <w:szCs w:val="24"/>
          <w:lang w:val="en-IN" w:eastAsia="en-IN"/>
        </w:rPr>
        <w:t xml:space="preserve">-related disorders. In the landmark </w:t>
      </w:r>
      <w:proofErr w:type="spellStart"/>
      <w:r w:rsidRPr="001B0D11">
        <w:rPr>
          <w:rFonts w:eastAsia="Times New Roman" w:cs="Times New Roman"/>
          <w:sz w:val="24"/>
          <w:szCs w:val="24"/>
          <w:lang w:val="en-IN" w:eastAsia="en-IN"/>
        </w:rPr>
        <w:t>multicenter</w:t>
      </w:r>
      <w:proofErr w:type="spellEnd"/>
      <w:r w:rsidRPr="001B0D11">
        <w:rPr>
          <w:rFonts w:eastAsia="Times New Roman" w:cs="Times New Roman"/>
          <w:sz w:val="24"/>
          <w:szCs w:val="24"/>
          <w:lang w:val="en-IN" w:eastAsia="en-IN"/>
        </w:rPr>
        <w:t xml:space="preserve"> study by Neumann et al., nearly 80% of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pheochromocytoma patients were found to carry germline mutations, with VHL mutations contributing substantially to bilateral adrenal disease (1). More recent analyses confirm these findings and further emphasize that early age at onset, </w:t>
      </w:r>
      <w:proofErr w:type="spellStart"/>
      <w:r w:rsidRPr="001B0D11">
        <w:rPr>
          <w:rFonts w:eastAsia="Times New Roman" w:cs="Times New Roman"/>
          <w:sz w:val="24"/>
          <w:szCs w:val="24"/>
          <w:lang w:val="en-IN" w:eastAsia="en-IN"/>
        </w:rPr>
        <w:t>bilaterality</w:t>
      </w:r>
      <w:proofErr w:type="spellEnd"/>
      <w:r w:rsidRPr="001B0D11">
        <w:rPr>
          <w:rFonts w:eastAsia="Times New Roman" w:cs="Times New Roman"/>
          <w:sz w:val="24"/>
          <w:szCs w:val="24"/>
          <w:lang w:val="en-IN" w:eastAsia="en-IN"/>
        </w:rPr>
        <w:t xml:space="preserve">, extra-adrenal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or recurrence should prompt comprehensive genetic testing regardless of family history (2,3).</w:t>
      </w:r>
    </w:p>
    <w:p w14:paraId="10A1D9AF" w14:textId="77777777"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Accurate </w:t>
      </w:r>
      <w:proofErr w:type="spellStart"/>
      <w:r w:rsidRPr="001B0D11">
        <w:rPr>
          <w:rFonts w:eastAsia="Times New Roman" w:cs="Times New Roman"/>
          <w:sz w:val="24"/>
          <w:szCs w:val="24"/>
          <w:lang w:val="en-IN" w:eastAsia="en-IN"/>
        </w:rPr>
        <w:t>tumor</w:t>
      </w:r>
      <w:proofErr w:type="spellEnd"/>
      <w:r w:rsidRPr="001B0D11">
        <w:rPr>
          <w:rFonts w:eastAsia="Times New Roman" w:cs="Times New Roman"/>
          <w:sz w:val="24"/>
          <w:szCs w:val="24"/>
          <w:lang w:val="en-IN" w:eastAsia="en-IN"/>
        </w:rPr>
        <w:t xml:space="preserve"> localization and staging are central to optimal management. Cross-sectional imaging with contrast-enhanced computed tomography (CT) or magnetic resonance imaging (MRI) remains the first-line modality for anatomical assessment. MRI is often preferred in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patients to minimize radiation exposure and provides excellent soft-tissue contrast, particularly for adrenal and paraspinal lesions (6). Functional imaging has assumed an increasingly important role, especially in hereditary and multifocal disease. Among available modalities, 68Ga-DOTATATE PET/CT has emerged as a highly sensitive and specific tool for detecting PPGLs expressing somatostatin receptor subtype 2 (7). Several comparative studies and meta-analyses published over the past decade have demonstrated superior lesion detection with 68Ga-DOTATATE PET/CT compared with conventional scintigraphy and even other PET tracers, particularly in </w:t>
      </w:r>
      <w:proofErr w:type="spellStart"/>
      <w:r w:rsidRPr="001B0D11">
        <w:rPr>
          <w:rFonts w:eastAsia="Times New Roman" w:cs="Times New Roman"/>
          <w:sz w:val="24"/>
          <w:szCs w:val="24"/>
          <w:lang w:val="en-IN" w:eastAsia="en-IN"/>
        </w:rPr>
        <w:t>SDHx</w:t>
      </w:r>
      <w:proofErr w:type="spellEnd"/>
      <w:r w:rsidRPr="001B0D11">
        <w:rPr>
          <w:rFonts w:eastAsia="Times New Roman" w:cs="Times New Roman"/>
          <w:sz w:val="24"/>
          <w:szCs w:val="24"/>
          <w:lang w:val="en-IN" w:eastAsia="en-IN"/>
        </w:rPr>
        <w:t xml:space="preserve">- and VHL-related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xml:space="preserve"> (7,8). Improved detection of occult or multifocal lesions has significant implications for surgical planning and long-term surveillance.</w:t>
      </w:r>
    </w:p>
    <w:p w14:paraId="2C28BD68" w14:textId="33203F56"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Preoperative medical preparation remains a cornerstone of PPGL management and is particularly critical in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patients, who may present with labile blood pressure and </w:t>
      </w:r>
      <w:r w:rsidRPr="00913085">
        <w:rPr>
          <w:rFonts w:eastAsia="Times New Roman" w:cs="Times New Roman"/>
          <w:sz w:val="24"/>
          <w:szCs w:val="24"/>
          <w:lang w:val="en-IN" w:eastAsia="en-IN"/>
        </w:rPr>
        <w:t>increased</w:t>
      </w:r>
      <w:r w:rsidRPr="001B0D11">
        <w:rPr>
          <w:rFonts w:eastAsia="Times New Roman" w:cs="Times New Roman"/>
          <w:sz w:val="24"/>
          <w:szCs w:val="24"/>
          <w:lang w:val="en-IN" w:eastAsia="en-IN"/>
        </w:rPr>
        <w:t xml:space="preserve"> catecholamine sensitivity. Adequate alpha-adrenergic blockade, typically with phenoxybenzamine or selective alpha-1 blockers, followed by cautious beta-blockade where indicated, is essential to prevent perioperative hypertensive crises, arrhythmias, and cardiovascular complications (</w:t>
      </w:r>
      <w:r w:rsidR="00277AF2">
        <w:rPr>
          <w:rFonts w:eastAsia="Times New Roman" w:cs="Times New Roman"/>
          <w:sz w:val="24"/>
          <w:szCs w:val="24"/>
          <w:lang w:val="en-IN" w:eastAsia="en-IN"/>
        </w:rPr>
        <w:t>8</w:t>
      </w:r>
      <w:r w:rsidRPr="001B0D11">
        <w:rPr>
          <w:rFonts w:eastAsia="Times New Roman" w:cs="Times New Roman"/>
          <w:sz w:val="24"/>
          <w:szCs w:val="24"/>
          <w:lang w:val="en-IN" w:eastAsia="en-IN"/>
        </w:rPr>
        <w:t>). The Endocrine Society Clinical Practice Guideline continues to endorse this stepwise approach, supported by robust observational data demonstrating reduced perioperative morbidity and mortality with appropriate preoperative optimization (</w:t>
      </w:r>
      <w:r w:rsidR="00277AF2">
        <w:rPr>
          <w:rFonts w:eastAsia="Times New Roman" w:cs="Times New Roman"/>
          <w:sz w:val="24"/>
          <w:szCs w:val="24"/>
          <w:lang w:val="en-IN" w:eastAsia="en-IN"/>
        </w:rPr>
        <w:t>8</w:t>
      </w:r>
      <w:r w:rsidRPr="001B0D11">
        <w:rPr>
          <w:rFonts w:eastAsia="Times New Roman" w:cs="Times New Roman"/>
          <w:sz w:val="24"/>
          <w:szCs w:val="24"/>
          <w:lang w:val="en-IN" w:eastAsia="en-IN"/>
        </w:rPr>
        <w:t xml:space="preserve">). </w:t>
      </w:r>
      <w:r w:rsidR="00D43440" w:rsidRPr="00D43440">
        <w:rPr>
          <w:sz w:val="24"/>
          <w:szCs w:val="24"/>
        </w:rPr>
        <w:t>Despite meticulous preoperative preparation, patients with large, bilateral, or multifocal tumors may still experience significant hemodynamic instability, as observed in the present case, underscoring the need for coordinated multidisciplinary perioperative care involving endocrinology, anesthesia, and surgical teams</w:t>
      </w:r>
    </w:p>
    <w:p w14:paraId="31F7066A" w14:textId="53C9D81B" w:rsidR="000A3FCD" w:rsidRPr="001B0D11"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Surgical management in hereditary bilateral pheochromocytoma presents </w:t>
      </w:r>
      <w:r w:rsidRPr="00913085">
        <w:rPr>
          <w:rFonts w:eastAsia="Times New Roman" w:cs="Times New Roman"/>
          <w:sz w:val="24"/>
          <w:szCs w:val="24"/>
          <w:lang w:val="en-IN" w:eastAsia="en-IN"/>
        </w:rPr>
        <w:t xml:space="preserve">significant </w:t>
      </w:r>
      <w:r w:rsidRPr="001B0D11">
        <w:rPr>
          <w:rFonts w:eastAsia="Times New Roman" w:cs="Times New Roman"/>
          <w:sz w:val="24"/>
          <w:szCs w:val="24"/>
          <w:lang w:val="en-IN" w:eastAsia="en-IN"/>
        </w:rPr>
        <w:t xml:space="preserve">challenges, particularly in children and adolescents. Total bilateral adrenalectomy effectively eliminates </w:t>
      </w:r>
      <w:proofErr w:type="spellStart"/>
      <w:r w:rsidRPr="001B0D11">
        <w:rPr>
          <w:rFonts w:eastAsia="Times New Roman" w:cs="Times New Roman"/>
          <w:sz w:val="24"/>
          <w:szCs w:val="24"/>
          <w:lang w:val="en-IN" w:eastAsia="en-IN"/>
        </w:rPr>
        <w:t>tumor</w:t>
      </w:r>
      <w:proofErr w:type="spellEnd"/>
      <w:r w:rsidRPr="001B0D11">
        <w:rPr>
          <w:rFonts w:eastAsia="Times New Roman" w:cs="Times New Roman"/>
          <w:sz w:val="24"/>
          <w:szCs w:val="24"/>
          <w:lang w:val="en-IN" w:eastAsia="en-IN"/>
        </w:rPr>
        <w:t xml:space="preserve"> burden but results in lifelong adrenal insufficiency and dependence on glucocorticoid and mineralocorticoid replacement. To mitigate this, cortical-sparing adrenalectomy has gained increasing acceptance in selected patients with hereditary disease, especially those with </w:t>
      </w:r>
      <w:proofErr w:type="gramStart"/>
      <w:r w:rsidRPr="001B0D11">
        <w:rPr>
          <w:rFonts w:eastAsia="Times New Roman" w:cs="Times New Roman"/>
          <w:sz w:val="24"/>
          <w:szCs w:val="24"/>
          <w:lang w:val="en-IN" w:eastAsia="en-IN"/>
        </w:rPr>
        <w:t>VHL .</w:t>
      </w:r>
      <w:proofErr w:type="gramEnd"/>
      <w:r w:rsidRPr="001B0D11">
        <w:rPr>
          <w:rFonts w:eastAsia="Times New Roman" w:cs="Times New Roman"/>
          <w:sz w:val="24"/>
          <w:szCs w:val="24"/>
          <w:lang w:val="en-IN" w:eastAsia="en-IN"/>
        </w:rPr>
        <w:t xml:space="preserve"> Contemporary </w:t>
      </w:r>
      <w:r w:rsidRPr="001B0D11">
        <w:rPr>
          <w:rFonts w:eastAsia="Times New Roman" w:cs="Times New Roman"/>
          <w:sz w:val="24"/>
          <w:szCs w:val="24"/>
          <w:lang w:val="en-IN" w:eastAsia="en-IN"/>
        </w:rPr>
        <w:lastRenderedPageBreak/>
        <w:t>series suggest that adrenal-sparing approaches can preserve endogenous steroid production in a substantial proportion of patients while maintaining acceptable rates of local control (</w:t>
      </w:r>
      <w:r w:rsidR="00277AF2">
        <w:rPr>
          <w:rFonts w:eastAsia="Times New Roman" w:cs="Times New Roman"/>
          <w:sz w:val="24"/>
          <w:szCs w:val="24"/>
          <w:lang w:val="en-IN" w:eastAsia="en-IN"/>
        </w:rPr>
        <w:t>9</w:t>
      </w:r>
      <w:r w:rsidRPr="001B0D11">
        <w:rPr>
          <w:rFonts w:eastAsia="Times New Roman" w:cs="Times New Roman"/>
          <w:sz w:val="24"/>
          <w:szCs w:val="24"/>
          <w:lang w:val="en-IN" w:eastAsia="en-IN"/>
        </w:rPr>
        <w:t>). However, the risk of local recurrence necessitates careful patient selection, expert surgical technique, and lifelong follow-up.</w:t>
      </w:r>
    </w:p>
    <w:p w14:paraId="6CBDDCDB" w14:textId="33721B5A" w:rsidR="000A3FCD" w:rsidRDefault="000A3FCD" w:rsidP="000A3FCD">
      <w:pPr>
        <w:spacing w:before="100" w:beforeAutospacing="1" w:after="100" w:afterAutospacing="1" w:line="240" w:lineRule="auto"/>
        <w:rPr>
          <w:rFonts w:eastAsia="Times New Roman" w:cs="Times New Roman"/>
          <w:sz w:val="24"/>
          <w:szCs w:val="24"/>
          <w:lang w:val="en-IN" w:eastAsia="en-IN"/>
        </w:rPr>
      </w:pPr>
      <w:r w:rsidRPr="001B0D11">
        <w:rPr>
          <w:rFonts w:eastAsia="Times New Roman" w:cs="Times New Roman"/>
          <w:sz w:val="24"/>
          <w:szCs w:val="24"/>
          <w:lang w:val="en-IN" w:eastAsia="en-IN"/>
        </w:rPr>
        <w:t xml:space="preserve">Long-term surveillance is of paramount importance in patients with hereditary PPGL syndromes. Individuals with VHL remain at ongoing risk for recurrent pheochromocytoma, contralateral adrenal disease, and other syndrome-associated neoplasms, including renal cell carcinoma, pancreatic neuroendocrine </w:t>
      </w:r>
      <w:proofErr w:type="spellStart"/>
      <w:r w:rsidRPr="001B0D11">
        <w:rPr>
          <w:rFonts w:eastAsia="Times New Roman" w:cs="Times New Roman"/>
          <w:sz w:val="24"/>
          <w:szCs w:val="24"/>
          <w:lang w:val="en-IN" w:eastAsia="en-IN"/>
        </w:rPr>
        <w:t>tumors</w:t>
      </w:r>
      <w:proofErr w:type="spellEnd"/>
      <w:r w:rsidRPr="001B0D11">
        <w:rPr>
          <w:rFonts w:eastAsia="Times New Roman" w:cs="Times New Roman"/>
          <w:sz w:val="24"/>
          <w:szCs w:val="24"/>
          <w:lang w:val="en-IN" w:eastAsia="en-IN"/>
        </w:rPr>
        <w:t>, and central nervous system hemangioblastomas (3). Current consensus recommendations advocate lifelong biochemical screening and periodic imaging tailored to the underlying genetic mutation, age, and disease burden (2,3). Early detection through structured surveillance has been shown to reduce morbidity and improve long-term outcomes in hereditary PPGL syndromes.</w:t>
      </w:r>
    </w:p>
    <w:p w14:paraId="02C5C080" w14:textId="1EE3BFEC" w:rsidR="00F4644B" w:rsidRPr="001B0D11" w:rsidRDefault="00F4644B" w:rsidP="000A3FCD">
      <w:pPr>
        <w:spacing w:before="100" w:beforeAutospacing="1" w:after="100" w:afterAutospacing="1" w:line="240" w:lineRule="auto"/>
        <w:rPr>
          <w:rFonts w:eastAsia="Times New Roman" w:cs="Times New Roman"/>
          <w:sz w:val="24"/>
          <w:szCs w:val="24"/>
          <w:lang w:val="en-IN" w:eastAsia="en-IN"/>
        </w:rPr>
      </w:pPr>
      <w:r>
        <w:rPr>
          <w:rFonts w:eastAsia="Times New Roman" w:cs="Times New Roman"/>
          <w:sz w:val="24"/>
          <w:szCs w:val="24"/>
          <w:lang w:val="en-IN" w:eastAsia="en-IN"/>
        </w:rPr>
        <w:t>Conclusion</w:t>
      </w:r>
    </w:p>
    <w:p w14:paraId="4ACEC148" w14:textId="77777777" w:rsidR="000A3FCD" w:rsidRDefault="000A3FCD" w:rsidP="000A3FCD">
      <w:pPr>
        <w:spacing w:before="100" w:beforeAutospacing="1" w:after="100" w:afterAutospacing="1" w:line="240" w:lineRule="auto"/>
        <w:rPr>
          <w:rFonts w:ascii="Times New Roman" w:eastAsia="Times New Roman" w:hAnsi="Times New Roman" w:cs="Times New Roman"/>
          <w:sz w:val="24"/>
          <w:szCs w:val="24"/>
          <w:lang w:val="en-IN" w:eastAsia="en-IN"/>
        </w:rPr>
      </w:pPr>
      <w:r w:rsidRPr="001B0D11">
        <w:rPr>
          <w:rFonts w:eastAsia="Times New Roman" w:cs="Times New Roman"/>
          <w:sz w:val="24"/>
          <w:szCs w:val="24"/>
          <w:lang w:val="en-IN" w:eastAsia="en-IN"/>
        </w:rPr>
        <w:t xml:space="preserve">In summary, the contemporary literature supports a comprehensive and structured approach to </w:t>
      </w:r>
      <w:proofErr w:type="spellStart"/>
      <w:r w:rsidRPr="001B0D11">
        <w:rPr>
          <w:rFonts w:eastAsia="Times New Roman" w:cs="Times New Roman"/>
          <w:sz w:val="24"/>
          <w:szCs w:val="24"/>
          <w:lang w:val="en-IN" w:eastAsia="en-IN"/>
        </w:rPr>
        <w:t>pediatric</w:t>
      </w:r>
      <w:proofErr w:type="spellEnd"/>
      <w:r w:rsidRPr="001B0D11">
        <w:rPr>
          <w:rFonts w:eastAsia="Times New Roman" w:cs="Times New Roman"/>
          <w:sz w:val="24"/>
          <w:szCs w:val="24"/>
          <w:lang w:val="en-IN" w:eastAsia="en-IN"/>
        </w:rPr>
        <w:t xml:space="preserve"> PPGL encompassing early clinical suspicion, biochemical confirmation, advanced anatomical and functional imaging, universal genetic testing, meticulous perioperative preparation, and individualized surgical planning. The present case aligns closely with these principles and reinforces current recommendations for the evaluation and management of pheochromocytoma in adolescents, particularly within the context of hereditary syndromes such as VHL. Ongoing advances in molecular genetics and functional imaging continue to refine risk stratification and personalized care in this complex and high-risk patient population</w:t>
      </w:r>
      <w:r w:rsidRPr="001B0D11">
        <w:rPr>
          <w:rFonts w:ascii="Times New Roman" w:eastAsia="Times New Roman" w:hAnsi="Times New Roman" w:cs="Times New Roman"/>
          <w:sz w:val="24"/>
          <w:szCs w:val="24"/>
          <w:lang w:val="en-IN" w:eastAsia="en-IN"/>
        </w:rPr>
        <w:t>.</w:t>
      </w:r>
    </w:p>
    <w:p w14:paraId="732A7741" w14:textId="77777777" w:rsidR="007D217F" w:rsidRDefault="007D217F" w:rsidP="000A3FCD">
      <w:pPr>
        <w:spacing w:before="100" w:beforeAutospacing="1" w:after="100" w:afterAutospacing="1" w:line="240" w:lineRule="auto"/>
        <w:rPr>
          <w:rFonts w:ascii="Times New Roman" w:eastAsia="Times New Roman" w:hAnsi="Times New Roman" w:cs="Times New Roman"/>
          <w:sz w:val="24"/>
          <w:szCs w:val="24"/>
          <w:lang w:val="en-IN" w:eastAsia="en-IN"/>
        </w:rPr>
      </w:pPr>
    </w:p>
    <w:p w14:paraId="1078ED0B" w14:textId="77777777" w:rsidR="007D217F" w:rsidRPr="007D217F" w:rsidRDefault="007D217F" w:rsidP="007D217F">
      <w:pPr>
        <w:keepNext/>
        <w:keepLines/>
        <w:spacing w:before="200" w:after="0"/>
        <w:outlineLvl w:val="1"/>
        <w:rPr>
          <w:rFonts w:asciiTheme="majorHAnsi" w:eastAsiaTheme="majorEastAsia" w:hAnsiTheme="majorHAnsi" w:cstheme="majorBidi"/>
          <w:b/>
          <w:bCs/>
          <w:color w:val="4F81BD" w:themeColor="accent1"/>
          <w:sz w:val="24"/>
          <w:szCs w:val="24"/>
        </w:rPr>
      </w:pPr>
      <w:r w:rsidRPr="007D217F">
        <w:rPr>
          <w:rFonts w:asciiTheme="majorHAnsi" w:eastAsiaTheme="majorEastAsia" w:hAnsiTheme="majorHAnsi" w:cstheme="majorBidi"/>
          <w:b/>
          <w:bCs/>
          <w:color w:val="4F81BD" w:themeColor="accent1"/>
          <w:sz w:val="24"/>
          <w:szCs w:val="24"/>
        </w:rPr>
        <w:t>Key Clinical Message</w:t>
      </w:r>
    </w:p>
    <w:p w14:paraId="0A2A850F" w14:textId="75224EAC" w:rsidR="007D217F" w:rsidRDefault="007D217F" w:rsidP="007D217F">
      <w:pPr>
        <w:rPr>
          <w:sz w:val="24"/>
          <w:szCs w:val="24"/>
        </w:rPr>
      </w:pPr>
      <w:r w:rsidRPr="007D217F">
        <w:rPr>
          <w:sz w:val="24"/>
          <w:szCs w:val="24"/>
        </w:rPr>
        <w:t>Recurrent adrenergic spells with hypertension in adolescents should prompt evaluation for pheochromocytoma, and identification of hereditary syndromes such as VHL is crucial for long-term surveillance.</w:t>
      </w:r>
    </w:p>
    <w:p w14:paraId="1FDD05B6" w14:textId="77777777" w:rsidR="001F14FD" w:rsidRPr="001F14FD" w:rsidRDefault="001F14FD" w:rsidP="001F14FD">
      <w:pPr>
        <w:rPr>
          <w:sz w:val="24"/>
          <w:szCs w:val="24"/>
        </w:rPr>
      </w:pPr>
      <w:r w:rsidRPr="001F14FD">
        <w:rPr>
          <w:sz w:val="24"/>
          <w:szCs w:val="24"/>
        </w:rPr>
        <w:t xml:space="preserve">Consent </w:t>
      </w:r>
    </w:p>
    <w:p w14:paraId="40310708" w14:textId="7D30E5A3" w:rsidR="001F14FD" w:rsidRPr="007D217F" w:rsidRDefault="001F14FD" w:rsidP="001F14FD">
      <w:pPr>
        <w:rPr>
          <w:sz w:val="24"/>
          <w:szCs w:val="24"/>
        </w:rPr>
      </w:pPr>
      <w:r w:rsidRPr="001F14FD">
        <w:rPr>
          <w:sz w:val="24"/>
          <w:szCs w:val="24"/>
        </w:rPr>
        <w:t>As per international standards or university standards, patient(s) written consent has been collected and preserved by the author(s).</w:t>
      </w:r>
      <w:bookmarkStart w:id="0" w:name="_GoBack"/>
      <w:bookmarkEnd w:id="0"/>
    </w:p>
    <w:p w14:paraId="61A97BEE" w14:textId="77777777" w:rsidR="007D217F" w:rsidRPr="001B0D11" w:rsidRDefault="007D217F" w:rsidP="000A3FCD">
      <w:pPr>
        <w:spacing w:before="100" w:beforeAutospacing="1" w:after="100" w:afterAutospacing="1" w:line="240" w:lineRule="auto"/>
        <w:rPr>
          <w:rFonts w:ascii="Times New Roman" w:eastAsia="Times New Roman" w:hAnsi="Times New Roman" w:cs="Times New Roman"/>
          <w:sz w:val="24"/>
          <w:szCs w:val="24"/>
          <w:lang w:val="en-IN" w:eastAsia="en-IN"/>
        </w:rPr>
      </w:pPr>
    </w:p>
    <w:p w14:paraId="78D9CD95" w14:textId="77777777" w:rsidR="000A3FCD" w:rsidRPr="001B0D11" w:rsidRDefault="001E020E" w:rsidP="000A3FCD">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pict w14:anchorId="00B7414B">
          <v:rect id="_x0000_i1025" style="width:0;height:1.5pt" o:hralign="center" o:hrstd="t" o:hr="t" fillcolor="#a0a0a0" stroked="f"/>
        </w:pict>
      </w:r>
    </w:p>
    <w:p w14:paraId="3C9B1578" w14:textId="7161C8A2" w:rsidR="008855E2" w:rsidRPr="00740879" w:rsidRDefault="008855E2" w:rsidP="008855E2">
      <w:pPr>
        <w:rPr>
          <w:highlight w:val="yellow"/>
        </w:rPr>
      </w:pPr>
      <w:r w:rsidRPr="00740879">
        <w:rPr>
          <w:highlight w:val="yellow"/>
        </w:rPr>
        <w:t>Disclaimer (Artificial intelligence)</w:t>
      </w:r>
    </w:p>
    <w:p w14:paraId="24936221" w14:textId="77777777" w:rsidR="008855E2" w:rsidRPr="00740879" w:rsidRDefault="008855E2" w:rsidP="008855E2">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D386391" w14:textId="77777777" w:rsidR="008855E2" w:rsidRDefault="008855E2" w:rsidP="000A3FCD">
      <w:pPr>
        <w:spacing w:before="100" w:beforeAutospacing="1" w:after="100" w:afterAutospacing="1" w:line="240" w:lineRule="auto"/>
        <w:outlineLvl w:val="1"/>
        <w:rPr>
          <w:rFonts w:ascii="Times New Roman" w:eastAsia="Times New Roman" w:hAnsi="Times New Roman" w:cs="Times New Roman"/>
          <w:b/>
          <w:bCs/>
          <w:sz w:val="36"/>
          <w:szCs w:val="36"/>
          <w:lang w:val="en-IN" w:eastAsia="en-IN"/>
        </w:rPr>
      </w:pPr>
    </w:p>
    <w:p w14:paraId="56B0B295" w14:textId="5AE779CC" w:rsidR="000A3FCD" w:rsidRPr="001B0D11" w:rsidRDefault="000A3FCD" w:rsidP="000A3FCD">
      <w:pPr>
        <w:spacing w:before="100" w:beforeAutospacing="1" w:after="100" w:afterAutospacing="1" w:line="240" w:lineRule="auto"/>
        <w:outlineLvl w:val="1"/>
        <w:rPr>
          <w:rFonts w:ascii="Times New Roman" w:eastAsia="Times New Roman" w:hAnsi="Times New Roman" w:cs="Times New Roman"/>
          <w:b/>
          <w:bCs/>
          <w:sz w:val="36"/>
          <w:szCs w:val="36"/>
          <w:lang w:val="en-IN" w:eastAsia="en-IN"/>
        </w:rPr>
      </w:pPr>
      <w:r w:rsidRPr="001B0D11">
        <w:rPr>
          <w:rFonts w:ascii="Times New Roman" w:eastAsia="Times New Roman" w:hAnsi="Times New Roman" w:cs="Times New Roman"/>
          <w:b/>
          <w:bCs/>
          <w:sz w:val="36"/>
          <w:szCs w:val="36"/>
          <w:lang w:val="en-IN" w:eastAsia="en-IN"/>
        </w:rPr>
        <w:t xml:space="preserve">References </w:t>
      </w:r>
    </w:p>
    <w:p w14:paraId="53BFD5DE" w14:textId="6870C4A1" w:rsidR="000A3FCD" w:rsidRPr="001B0D11" w:rsidRDefault="000679FB"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679FB">
        <w:rPr>
          <w:rFonts w:ascii="Times New Roman" w:eastAsia="Times New Roman" w:hAnsi="Times New Roman" w:cs="Times New Roman"/>
          <w:sz w:val="24"/>
          <w:szCs w:val="24"/>
          <w:lang w:val="de-DE" w:eastAsia="en-IN"/>
        </w:rPr>
        <w:t>Neumann, H. P. H., Bausch, B., McWhinney, S. R., Bender, B. U., Gimm, O., Franke, G., Schipper, J., Klisch, J., Altehoefer, C., Zerres, K., Januszewicz, A., Eng, C., Smith, W. M., Munk, R. D., Manz, T., Glaesker, S., Apel, T. W., Treier, M., Reineke, M., ... Szmigielski, C. (2002). Germ-line mutations in nonsyndromic pheochromocytoma. N Engl J Med, 346(19), 1459–1466. https://doi.org/10.1056/NEJMoa020152</w:t>
      </w:r>
      <w:r w:rsidR="000A3FCD" w:rsidRPr="001B0D11">
        <w:rPr>
          <w:rFonts w:ascii="Times New Roman" w:eastAsia="Times New Roman" w:hAnsi="Times New Roman" w:cs="Times New Roman"/>
          <w:sz w:val="24"/>
          <w:szCs w:val="24"/>
          <w:lang w:val="en-IN" w:eastAsia="en-IN"/>
        </w:rPr>
        <w:t>.</w:t>
      </w:r>
    </w:p>
    <w:p w14:paraId="017C9A64" w14:textId="647415E0" w:rsidR="000A3FCD" w:rsidRPr="001B0D11" w:rsidRDefault="0032349E"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32349E">
        <w:rPr>
          <w:rFonts w:ascii="Segoe UI" w:hAnsi="Segoe UI" w:cs="Segoe UI" w:hint="cs"/>
          <w:color w:val="212121"/>
          <w:shd w:val="clear" w:color="auto" w:fill="FFFFFF"/>
        </w:rPr>
        <w:t xml:space="preserve"> </w:t>
      </w:r>
      <w:r w:rsidRPr="0032349E">
        <w:rPr>
          <w:rFonts w:ascii="Times New Roman" w:hAnsi="Times New Roman" w:cs="Times New Roman"/>
          <w:color w:val="212121"/>
          <w:sz w:val="24"/>
          <w:szCs w:val="24"/>
          <w:shd w:val="clear" w:color="auto" w:fill="FFFFFF"/>
        </w:rPr>
        <w:t xml:space="preserve">Buffet A, </w:t>
      </w:r>
      <w:proofErr w:type="spellStart"/>
      <w:r w:rsidRPr="0032349E">
        <w:rPr>
          <w:rFonts w:ascii="Times New Roman" w:hAnsi="Times New Roman" w:cs="Times New Roman"/>
          <w:color w:val="212121"/>
          <w:sz w:val="24"/>
          <w:szCs w:val="24"/>
          <w:shd w:val="clear" w:color="auto" w:fill="FFFFFF"/>
        </w:rPr>
        <w:t>Burnichon</w:t>
      </w:r>
      <w:proofErr w:type="spellEnd"/>
      <w:r w:rsidRPr="0032349E">
        <w:rPr>
          <w:rFonts w:ascii="Times New Roman" w:hAnsi="Times New Roman" w:cs="Times New Roman"/>
          <w:color w:val="212121"/>
          <w:sz w:val="24"/>
          <w:szCs w:val="24"/>
          <w:shd w:val="clear" w:color="auto" w:fill="FFFFFF"/>
        </w:rPr>
        <w:t xml:space="preserve"> N, Favier J, Gimenez-</w:t>
      </w:r>
      <w:proofErr w:type="spellStart"/>
      <w:r w:rsidRPr="0032349E">
        <w:rPr>
          <w:rFonts w:ascii="Times New Roman" w:hAnsi="Times New Roman" w:cs="Times New Roman"/>
          <w:color w:val="212121"/>
          <w:sz w:val="24"/>
          <w:szCs w:val="24"/>
          <w:shd w:val="clear" w:color="auto" w:fill="FFFFFF"/>
        </w:rPr>
        <w:t>Roqueplo</w:t>
      </w:r>
      <w:proofErr w:type="spellEnd"/>
      <w:r w:rsidRPr="0032349E">
        <w:rPr>
          <w:rFonts w:ascii="Times New Roman" w:hAnsi="Times New Roman" w:cs="Times New Roman"/>
          <w:color w:val="212121"/>
          <w:sz w:val="24"/>
          <w:szCs w:val="24"/>
          <w:shd w:val="clear" w:color="auto" w:fill="FFFFFF"/>
        </w:rPr>
        <w:t xml:space="preserve"> AP. An overview of 20 years of genetic studies in pheochromocytoma and paraganglioma. Best </w:t>
      </w:r>
      <w:proofErr w:type="spellStart"/>
      <w:r w:rsidRPr="0032349E">
        <w:rPr>
          <w:rFonts w:ascii="Times New Roman" w:hAnsi="Times New Roman" w:cs="Times New Roman"/>
          <w:color w:val="212121"/>
          <w:sz w:val="24"/>
          <w:szCs w:val="24"/>
          <w:shd w:val="clear" w:color="auto" w:fill="FFFFFF"/>
        </w:rPr>
        <w:t>Pract</w:t>
      </w:r>
      <w:proofErr w:type="spellEnd"/>
      <w:r w:rsidRPr="0032349E">
        <w:rPr>
          <w:rFonts w:ascii="Times New Roman" w:hAnsi="Times New Roman" w:cs="Times New Roman"/>
          <w:color w:val="212121"/>
          <w:sz w:val="24"/>
          <w:szCs w:val="24"/>
          <w:shd w:val="clear" w:color="auto" w:fill="FFFFFF"/>
        </w:rPr>
        <w:t xml:space="preserve"> Res Clin Endocrinol </w:t>
      </w:r>
      <w:proofErr w:type="spellStart"/>
      <w:r w:rsidRPr="0032349E">
        <w:rPr>
          <w:rFonts w:ascii="Times New Roman" w:hAnsi="Times New Roman" w:cs="Times New Roman"/>
          <w:color w:val="212121"/>
          <w:sz w:val="24"/>
          <w:szCs w:val="24"/>
          <w:shd w:val="clear" w:color="auto" w:fill="FFFFFF"/>
        </w:rPr>
        <w:t>Metab</w:t>
      </w:r>
      <w:proofErr w:type="spellEnd"/>
      <w:r w:rsidRPr="0032349E">
        <w:rPr>
          <w:rFonts w:ascii="Times New Roman" w:hAnsi="Times New Roman" w:cs="Times New Roman"/>
          <w:color w:val="212121"/>
          <w:sz w:val="24"/>
          <w:szCs w:val="24"/>
          <w:shd w:val="clear" w:color="auto" w:fill="FFFFFF"/>
        </w:rPr>
        <w:t xml:space="preserve">. 2020 Mar;34(2):101416. </w:t>
      </w:r>
      <w:proofErr w:type="spellStart"/>
      <w:r w:rsidRPr="0032349E">
        <w:rPr>
          <w:rFonts w:ascii="Times New Roman" w:hAnsi="Times New Roman" w:cs="Times New Roman"/>
          <w:color w:val="212121"/>
          <w:sz w:val="24"/>
          <w:szCs w:val="24"/>
          <w:shd w:val="clear" w:color="auto" w:fill="FFFFFF"/>
        </w:rPr>
        <w:t>doi</w:t>
      </w:r>
      <w:proofErr w:type="spellEnd"/>
      <w:r w:rsidRPr="0032349E">
        <w:rPr>
          <w:rFonts w:ascii="Times New Roman" w:hAnsi="Times New Roman" w:cs="Times New Roman"/>
          <w:color w:val="212121"/>
          <w:sz w:val="24"/>
          <w:szCs w:val="24"/>
          <w:shd w:val="clear" w:color="auto" w:fill="FFFFFF"/>
        </w:rPr>
        <w:t xml:space="preserve">: 10.1016/j.beem.2020.101416. </w:t>
      </w:r>
      <w:proofErr w:type="spellStart"/>
      <w:r w:rsidRPr="0032349E">
        <w:rPr>
          <w:rFonts w:ascii="Times New Roman" w:hAnsi="Times New Roman" w:cs="Times New Roman"/>
          <w:color w:val="212121"/>
          <w:sz w:val="24"/>
          <w:szCs w:val="24"/>
          <w:shd w:val="clear" w:color="auto" w:fill="FFFFFF"/>
        </w:rPr>
        <w:t>Epub</w:t>
      </w:r>
      <w:proofErr w:type="spellEnd"/>
      <w:r w:rsidRPr="0032349E">
        <w:rPr>
          <w:rFonts w:ascii="Times New Roman" w:hAnsi="Times New Roman" w:cs="Times New Roman"/>
          <w:color w:val="212121"/>
          <w:sz w:val="24"/>
          <w:szCs w:val="24"/>
          <w:shd w:val="clear" w:color="auto" w:fill="FFFFFF"/>
        </w:rPr>
        <w:t xml:space="preserve"> 2020 Mar 10. PMID: 32295730</w:t>
      </w:r>
      <w:r>
        <w:rPr>
          <w:rFonts w:ascii="Segoe UI" w:hAnsi="Segoe UI" w:cs="Segoe UI" w:hint="cs"/>
          <w:color w:val="212121"/>
          <w:shd w:val="clear" w:color="auto" w:fill="FFFFFF"/>
        </w:rPr>
        <w:t>.</w:t>
      </w:r>
    </w:p>
    <w:p w14:paraId="243BA1A8" w14:textId="3B6BE80A" w:rsidR="000A3FCD" w:rsidRPr="006A1D83" w:rsidRDefault="006A1D83"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proofErr w:type="spellStart"/>
      <w:r w:rsidRPr="006A1D83">
        <w:rPr>
          <w:rFonts w:ascii="Times New Roman" w:hAnsi="Times New Roman" w:cs="Times New Roman"/>
          <w:color w:val="1B1B1B"/>
          <w:sz w:val="24"/>
          <w:szCs w:val="24"/>
          <w:shd w:val="clear" w:color="auto" w:fill="FFFFFF"/>
        </w:rPr>
        <w:t>Kotsis</w:t>
      </w:r>
      <w:proofErr w:type="spellEnd"/>
      <w:r w:rsidRPr="006A1D83">
        <w:rPr>
          <w:rFonts w:ascii="Times New Roman" w:hAnsi="Times New Roman" w:cs="Times New Roman"/>
          <w:color w:val="1B1B1B"/>
          <w:sz w:val="24"/>
          <w:szCs w:val="24"/>
          <w:shd w:val="clear" w:color="auto" w:fill="FFFFFF"/>
        </w:rPr>
        <w:t xml:space="preserve"> F, </w:t>
      </w:r>
      <w:proofErr w:type="spellStart"/>
      <w:r w:rsidRPr="006A1D83">
        <w:rPr>
          <w:rFonts w:ascii="Times New Roman" w:hAnsi="Times New Roman" w:cs="Times New Roman"/>
          <w:color w:val="1B1B1B"/>
          <w:sz w:val="24"/>
          <w:szCs w:val="24"/>
          <w:shd w:val="clear" w:color="auto" w:fill="FFFFFF"/>
        </w:rPr>
        <w:t>Kunstreich</w:t>
      </w:r>
      <w:proofErr w:type="spellEnd"/>
      <w:r w:rsidRPr="006A1D83">
        <w:rPr>
          <w:rFonts w:ascii="Times New Roman" w:hAnsi="Times New Roman" w:cs="Times New Roman"/>
          <w:color w:val="1B1B1B"/>
          <w:sz w:val="24"/>
          <w:szCs w:val="24"/>
          <w:shd w:val="clear" w:color="auto" w:fill="FFFFFF"/>
        </w:rPr>
        <w:t xml:space="preserve"> M, Redlich A, Rhein K, </w:t>
      </w:r>
      <w:proofErr w:type="spellStart"/>
      <w:r w:rsidRPr="006A1D83">
        <w:rPr>
          <w:rFonts w:ascii="Times New Roman" w:hAnsi="Times New Roman" w:cs="Times New Roman"/>
          <w:color w:val="1B1B1B"/>
          <w:sz w:val="24"/>
          <w:szCs w:val="24"/>
          <w:shd w:val="clear" w:color="auto" w:fill="FFFFFF"/>
        </w:rPr>
        <w:t>Ganner</w:t>
      </w:r>
      <w:proofErr w:type="spellEnd"/>
      <w:r w:rsidRPr="006A1D83">
        <w:rPr>
          <w:rFonts w:ascii="Times New Roman" w:hAnsi="Times New Roman" w:cs="Times New Roman"/>
          <w:color w:val="1B1B1B"/>
          <w:sz w:val="24"/>
          <w:szCs w:val="24"/>
          <w:shd w:val="clear" w:color="auto" w:fill="FFFFFF"/>
        </w:rPr>
        <w:t xml:space="preserve"> A, Walz G, </w:t>
      </w:r>
      <w:proofErr w:type="spellStart"/>
      <w:r w:rsidRPr="006A1D83">
        <w:rPr>
          <w:rFonts w:ascii="Times New Roman" w:hAnsi="Times New Roman" w:cs="Times New Roman"/>
          <w:color w:val="1B1B1B"/>
          <w:sz w:val="24"/>
          <w:szCs w:val="24"/>
          <w:shd w:val="clear" w:color="auto" w:fill="FFFFFF"/>
        </w:rPr>
        <w:t>Kuhlen</w:t>
      </w:r>
      <w:proofErr w:type="spellEnd"/>
      <w:r w:rsidRPr="006A1D83">
        <w:rPr>
          <w:rFonts w:ascii="Times New Roman" w:hAnsi="Times New Roman" w:cs="Times New Roman"/>
          <w:color w:val="1B1B1B"/>
          <w:sz w:val="24"/>
          <w:szCs w:val="24"/>
          <w:shd w:val="clear" w:color="auto" w:fill="FFFFFF"/>
        </w:rPr>
        <w:t xml:space="preserve"> M, Neumann-</w:t>
      </w:r>
      <w:proofErr w:type="spellStart"/>
      <w:r w:rsidRPr="006A1D83">
        <w:rPr>
          <w:rFonts w:ascii="Times New Roman" w:hAnsi="Times New Roman" w:cs="Times New Roman"/>
          <w:color w:val="1B1B1B"/>
          <w:sz w:val="24"/>
          <w:szCs w:val="24"/>
          <w:shd w:val="clear" w:color="auto" w:fill="FFFFFF"/>
        </w:rPr>
        <w:t>Haefelin</w:t>
      </w:r>
      <w:proofErr w:type="spellEnd"/>
      <w:r w:rsidRPr="006A1D83">
        <w:rPr>
          <w:rFonts w:ascii="Times New Roman" w:hAnsi="Times New Roman" w:cs="Times New Roman"/>
          <w:color w:val="1B1B1B"/>
          <w:sz w:val="24"/>
          <w:szCs w:val="24"/>
          <w:shd w:val="clear" w:color="auto" w:fill="FFFFFF"/>
        </w:rPr>
        <w:t xml:space="preserve"> E. Surveillance in Children and Adolescents with von Hippel-Lindau (VHL)-Related Pheochromocytomas and Paragangliomas: A Survey of MET and Freiburg-VHL Registries in Germany. J Kidney Cancer VHL. 2024 Nov 20;11(4):15-27. </w:t>
      </w:r>
      <w:proofErr w:type="spellStart"/>
      <w:r w:rsidRPr="006A1D83">
        <w:rPr>
          <w:rFonts w:ascii="Times New Roman" w:hAnsi="Times New Roman" w:cs="Times New Roman"/>
          <w:color w:val="1B1B1B"/>
          <w:sz w:val="24"/>
          <w:szCs w:val="24"/>
          <w:shd w:val="clear" w:color="auto" w:fill="FFFFFF"/>
        </w:rPr>
        <w:t>doi</w:t>
      </w:r>
      <w:proofErr w:type="spellEnd"/>
      <w:r w:rsidRPr="006A1D83">
        <w:rPr>
          <w:rFonts w:ascii="Times New Roman" w:hAnsi="Times New Roman" w:cs="Times New Roman"/>
          <w:color w:val="1B1B1B"/>
          <w:sz w:val="24"/>
          <w:szCs w:val="24"/>
          <w:shd w:val="clear" w:color="auto" w:fill="FFFFFF"/>
        </w:rPr>
        <w:t>: 10.15586/</w:t>
      </w:r>
      <w:proofErr w:type="gramStart"/>
      <w:r w:rsidRPr="006A1D83">
        <w:rPr>
          <w:rFonts w:ascii="Times New Roman" w:hAnsi="Times New Roman" w:cs="Times New Roman"/>
          <w:color w:val="1B1B1B"/>
          <w:sz w:val="24"/>
          <w:szCs w:val="24"/>
          <w:shd w:val="clear" w:color="auto" w:fill="FFFFFF"/>
        </w:rPr>
        <w:t>jkcvhl.v</w:t>
      </w:r>
      <w:proofErr w:type="gramEnd"/>
      <w:r w:rsidRPr="006A1D83">
        <w:rPr>
          <w:rFonts w:ascii="Times New Roman" w:hAnsi="Times New Roman" w:cs="Times New Roman"/>
          <w:color w:val="1B1B1B"/>
          <w:sz w:val="24"/>
          <w:szCs w:val="24"/>
          <w:shd w:val="clear" w:color="auto" w:fill="FFFFFF"/>
        </w:rPr>
        <w:t>11i4.362. PMID: 39588063; PMCID: PMC11586502.</w:t>
      </w:r>
    </w:p>
    <w:p w14:paraId="1EB56DC5" w14:textId="7F190F47" w:rsidR="000A3FCD" w:rsidRPr="001B0D11" w:rsidRDefault="00AD3897"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proofErr w:type="spellStart"/>
      <w:r w:rsidRPr="00AD3897">
        <w:rPr>
          <w:rFonts w:ascii="Times New Roman" w:hAnsi="Times New Roman" w:cs="Times New Roman"/>
          <w:color w:val="212121"/>
          <w:sz w:val="24"/>
          <w:szCs w:val="24"/>
          <w:shd w:val="clear" w:color="auto" w:fill="FFFFFF"/>
        </w:rPr>
        <w:t>Pacak</w:t>
      </w:r>
      <w:proofErr w:type="spellEnd"/>
      <w:r w:rsidRPr="00AD3897">
        <w:rPr>
          <w:rFonts w:ascii="Times New Roman" w:hAnsi="Times New Roman" w:cs="Times New Roman"/>
          <w:color w:val="212121"/>
          <w:sz w:val="24"/>
          <w:szCs w:val="24"/>
          <w:shd w:val="clear" w:color="auto" w:fill="FFFFFF"/>
        </w:rPr>
        <w:t xml:space="preserve"> K. New Biology of Pheochromocytoma and Paraganglioma. </w:t>
      </w:r>
      <w:proofErr w:type="spellStart"/>
      <w:r w:rsidRPr="00AD3897">
        <w:rPr>
          <w:rFonts w:ascii="Times New Roman" w:hAnsi="Times New Roman" w:cs="Times New Roman"/>
          <w:color w:val="212121"/>
          <w:sz w:val="24"/>
          <w:szCs w:val="24"/>
          <w:shd w:val="clear" w:color="auto" w:fill="FFFFFF"/>
        </w:rPr>
        <w:t>Endocr</w:t>
      </w:r>
      <w:proofErr w:type="spellEnd"/>
      <w:r w:rsidRPr="00AD3897">
        <w:rPr>
          <w:rFonts w:ascii="Times New Roman" w:hAnsi="Times New Roman" w:cs="Times New Roman"/>
          <w:color w:val="212121"/>
          <w:sz w:val="24"/>
          <w:szCs w:val="24"/>
          <w:shd w:val="clear" w:color="auto" w:fill="FFFFFF"/>
        </w:rPr>
        <w:t xml:space="preserve"> </w:t>
      </w:r>
      <w:proofErr w:type="spellStart"/>
      <w:r w:rsidRPr="00AD3897">
        <w:rPr>
          <w:rFonts w:ascii="Times New Roman" w:hAnsi="Times New Roman" w:cs="Times New Roman"/>
          <w:color w:val="212121"/>
          <w:sz w:val="24"/>
          <w:szCs w:val="24"/>
          <w:shd w:val="clear" w:color="auto" w:fill="FFFFFF"/>
        </w:rPr>
        <w:t>Pract</w:t>
      </w:r>
      <w:proofErr w:type="spellEnd"/>
      <w:r w:rsidRPr="00AD3897">
        <w:rPr>
          <w:rFonts w:ascii="Times New Roman" w:hAnsi="Times New Roman" w:cs="Times New Roman"/>
          <w:color w:val="212121"/>
          <w:sz w:val="24"/>
          <w:szCs w:val="24"/>
          <w:shd w:val="clear" w:color="auto" w:fill="FFFFFF"/>
        </w:rPr>
        <w:t xml:space="preserve">. 2022 Dec;28(12):1253-1269. </w:t>
      </w:r>
      <w:proofErr w:type="spellStart"/>
      <w:r w:rsidRPr="00AD3897">
        <w:rPr>
          <w:rFonts w:ascii="Times New Roman" w:hAnsi="Times New Roman" w:cs="Times New Roman"/>
          <w:color w:val="212121"/>
          <w:sz w:val="24"/>
          <w:szCs w:val="24"/>
          <w:shd w:val="clear" w:color="auto" w:fill="FFFFFF"/>
        </w:rPr>
        <w:t>doi</w:t>
      </w:r>
      <w:proofErr w:type="spellEnd"/>
      <w:r w:rsidRPr="00AD3897">
        <w:rPr>
          <w:rFonts w:ascii="Times New Roman" w:hAnsi="Times New Roman" w:cs="Times New Roman"/>
          <w:color w:val="212121"/>
          <w:sz w:val="24"/>
          <w:szCs w:val="24"/>
          <w:shd w:val="clear" w:color="auto" w:fill="FFFFFF"/>
        </w:rPr>
        <w:t xml:space="preserve">: 10.1016/j.eprac.2022.09.003. </w:t>
      </w:r>
      <w:proofErr w:type="spellStart"/>
      <w:r w:rsidRPr="00AD3897">
        <w:rPr>
          <w:rFonts w:ascii="Times New Roman" w:hAnsi="Times New Roman" w:cs="Times New Roman"/>
          <w:color w:val="212121"/>
          <w:sz w:val="24"/>
          <w:szCs w:val="24"/>
          <w:shd w:val="clear" w:color="auto" w:fill="FFFFFF"/>
        </w:rPr>
        <w:t>Epub</w:t>
      </w:r>
      <w:proofErr w:type="spellEnd"/>
      <w:r w:rsidRPr="00AD3897">
        <w:rPr>
          <w:rFonts w:ascii="Times New Roman" w:hAnsi="Times New Roman" w:cs="Times New Roman"/>
          <w:color w:val="212121"/>
          <w:sz w:val="24"/>
          <w:szCs w:val="24"/>
          <w:shd w:val="clear" w:color="auto" w:fill="FFFFFF"/>
        </w:rPr>
        <w:t xml:space="preserve"> 2022 Sep 21. PMID: 36150627; PMCID: PMC9982632</w:t>
      </w:r>
      <w:r>
        <w:rPr>
          <w:rFonts w:ascii="Segoe UI" w:hAnsi="Segoe UI" w:cs="Segoe UI" w:hint="cs"/>
          <w:color w:val="212121"/>
          <w:shd w:val="clear" w:color="auto" w:fill="FFFFFF"/>
        </w:rPr>
        <w:t>.</w:t>
      </w:r>
      <w:r w:rsidRPr="001B0D11">
        <w:rPr>
          <w:rFonts w:ascii="Times New Roman" w:eastAsia="Times New Roman" w:hAnsi="Times New Roman" w:cs="Times New Roman"/>
          <w:sz w:val="24"/>
          <w:szCs w:val="24"/>
          <w:lang w:val="de-DE" w:eastAsia="en-IN"/>
        </w:rPr>
        <w:t xml:space="preserve"> </w:t>
      </w:r>
    </w:p>
    <w:p w14:paraId="3140E556" w14:textId="717030D2" w:rsidR="000A3FCD" w:rsidRPr="001B0D11" w:rsidRDefault="00AD3897"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proofErr w:type="spellStart"/>
      <w:r w:rsidRPr="00AD3897">
        <w:rPr>
          <w:rFonts w:ascii="Times New Roman" w:hAnsi="Times New Roman" w:cs="Times New Roman"/>
          <w:color w:val="212121"/>
          <w:sz w:val="24"/>
          <w:szCs w:val="24"/>
          <w:shd w:val="clear" w:color="auto" w:fill="FFFFFF"/>
        </w:rPr>
        <w:t>Crona</w:t>
      </w:r>
      <w:proofErr w:type="spellEnd"/>
      <w:r w:rsidRPr="00AD3897">
        <w:rPr>
          <w:rFonts w:ascii="Times New Roman" w:hAnsi="Times New Roman" w:cs="Times New Roman"/>
          <w:color w:val="212121"/>
          <w:sz w:val="24"/>
          <w:szCs w:val="24"/>
          <w:shd w:val="clear" w:color="auto" w:fill="FFFFFF"/>
        </w:rPr>
        <w:t xml:space="preserve"> J, </w:t>
      </w:r>
      <w:proofErr w:type="spellStart"/>
      <w:r w:rsidRPr="00AD3897">
        <w:rPr>
          <w:rFonts w:ascii="Times New Roman" w:hAnsi="Times New Roman" w:cs="Times New Roman"/>
          <w:color w:val="212121"/>
          <w:sz w:val="24"/>
          <w:szCs w:val="24"/>
          <w:shd w:val="clear" w:color="auto" w:fill="FFFFFF"/>
        </w:rPr>
        <w:t>Lamarca</w:t>
      </w:r>
      <w:proofErr w:type="spellEnd"/>
      <w:r w:rsidRPr="00AD3897">
        <w:rPr>
          <w:rFonts w:ascii="Times New Roman" w:hAnsi="Times New Roman" w:cs="Times New Roman"/>
          <w:color w:val="212121"/>
          <w:sz w:val="24"/>
          <w:szCs w:val="24"/>
          <w:shd w:val="clear" w:color="auto" w:fill="FFFFFF"/>
        </w:rPr>
        <w:t xml:space="preserve"> A, Ghosal S, </w:t>
      </w:r>
      <w:proofErr w:type="spellStart"/>
      <w:r w:rsidRPr="00AD3897">
        <w:rPr>
          <w:rFonts w:ascii="Times New Roman" w:hAnsi="Times New Roman" w:cs="Times New Roman"/>
          <w:color w:val="212121"/>
          <w:sz w:val="24"/>
          <w:szCs w:val="24"/>
          <w:shd w:val="clear" w:color="auto" w:fill="FFFFFF"/>
        </w:rPr>
        <w:t>Welin</w:t>
      </w:r>
      <w:proofErr w:type="spellEnd"/>
      <w:r w:rsidRPr="00AD3897">
        <w:rPr>
          <w:rFonts w:ascii="Times New Roman" w:hAnsi="Times New Roman" w:cs="Times New Roman"/>
          <w:color w:val="212121"/>
          <w:sz w:val="24"/>
          <w:szCs w:val="24"/>
          <w:shd w:val="clear" w:color="auto" w:fill="FFFFFF"/>
        </w:rPr>
        <w:t xml:space="preserve"> S, </w:t>
      </w:r>
      <w:proofErr w:type="spellStart"/>
      <w:r w:rsidRPr="00AD3897">
        <w:rPr>
          <w:rFonts w:ascii="Times New Roman" w:hAnsi="Times New Roman" w:cs="Times New Roman"/>
          <w:color w:val="212121"/>
          <w:sz w:val="24"/>
          <w:szCs w:val="24"/>
          <w:shd w:val="clear" w:color="auto" w:fill="FFFFFF"/>
        </w:rPr>
        <w:t>Skogseid</w:t>
      </w:r>
      <w:proofErr w:type="spellEnd"/>
      <w:r w:rsidRPr="00AD3897">
        <w:rPr>
          <w:rFonts w:ascii="Times New Roman" w:hAnsi="Times New Roman" w:cs="Times New Roman"/>
          <w:color w:val="212121"/>
          <w:sz w:val="24"/>
          <w:szCs w:val="24"/>
          <w:shd w:val="clear" w:color="auto" w:fill="FFFFFF"/>
        </w:rPr>
        <w:t xml:space="preserve"> B, </w:t>
      </w:r>
      <w:proofErr w:type="spellStart"/>
      <w:r w:rsidRPr="00AD3897">
        <w:rPr>
          <w:rFonts w:ascii="Times New Roman" w:hAnsi="Times New Roman" w:cs="Times New Roman"/>
          <w:color w:val="212121"/>
          <w:sz w:val="24"/>
          <w:szCs w:val="24"/>
          <w:shd w:val="clear" w:color="auto" w:fill="FFFFFF"/>
        </w:rPr>
        <w:t>Pacak</w:t>
      </w:r>
      <w:proofErr w:type="spellEnd"/>
      <w:r w:rsidRPr="00AD3897">
        <w:rPr>
          <w:rFonts w:ascii="Times New Roman" w:hAnsi="Times New Roman" w:cs="Times New Roman"/>
          <w:color w:val="212121"/>
          <w:sz w:val="24"/>
          <w:szCs w:val="24"/>
          <w:shd w:val="clear" w:color="auto" w:fill="FFFFFF"/>
        </w:rPr>
        <w:t xml:space="preserve"> K. Genotype-phenotype correlations in pheochromocytoma and paraganglioma: a systematic review and individual patient meta-analysis. </w:t>
      </w:r>
      <w:proofErr w:type="spellStart"/>
      <w:r w:rsidRPr="00AD3897">
        <w:rPr>
          <w:rFonts w:ascii="Times New Roman" w:hAnsi="Times New Roman" w:cs="Times New Roman"/>
          <w:color w:val="212121"/>
          <w:sz w:val="24"/>
          <w:szCs w:val="24"/>
          <w:shd w:val="clear" w:color="auto" w:fill="FFFFFF"/>
        </w:rPr>
        <w:t>Endocr</w:t>
      </w:r>
      <w:proofErr w:type="spellEnd"/>
      <w:r w:rsidRPr="00AD3897">
        <w:rPr>
          <w:rFonts w:ascii="Times New Roman" w:hAnsi="Times New Roman" w:cs="Times New Roman"/>
          <w:color w:val="212121"/>
          <w:sz w:val="24"/>
          <w:szCs w:val="24"/>
          <w:shd w:val="clear" w:color="auto" w:fill="FFFFFF"/>
        </w:rPr>
        <w:t xml:space="preserve"> </w:t>
      </w:r>
      <w:proofErr w:type="spellStart"/>
      <w:r w:rsidRPr="00AD3897">
        <w:rPr>
          <w:rFonts w:ascii="Times New Roman" w:hAnsi="Times New Roman" w:cs="Times New Roman"/>
          <w:color w:val="212121"/>
          <w:sz w:val="24"/>
          <w:szCs w:val="24"/>
          <w:shd w:val="clear" w:color="auto" w:fill="FFFFFF"/>
        </w:rPr>
        <w:t>Relat</w:t>
      </w:r>
      <w:proofErr w:type="spellEnd"/>
      <w:r w:rsidRPr="00AD3897">
        <w:rPr>
          <w:rFonts w:ascii="Times New Roman" w:hAnsi="Times New Roman" w:cs="Times New Roman"/>
          <w:color w:val="212121"/>
          <w:sz w:val="24"/>
          <w:szCs w:val="24"/>
          <w:shd w:val="clear" w:color="auto" w:fill="FFFFFF"/>
        </w:rPr>
        <w:t xml:space="preserve"> Cancer. 2019 May;26(5):539-550. </w:t>
      </w:r>
      <w:proofErr w:type="spellStart"/>
      <w:r w:rsidRPr="00AD3897">
        <w:rPr>
          <w:rFonts w:ascii="Times New Roman" w:hAnsi="Times New Roman" w:cs="Times New Roman"/>
          <w:color w:val="212121"/>
          <w:sz w:val="24"/>
          <w:szCs w:val="24"/>
          <w:shd w:val="clear" w:color="auto" w:fill="FFFFFF"/>
        </w:rPr>
        <w:t>doi</w:t>
      </w:r>
      <w:proofErr w:type="spellEnd"/>
      <w:r w:rsidRPr="00AD3897">
        <w:rPr>
          <w:rFonts w:ascii="Times New Roman" w:hAnsi="Times New Roman" w:cs="Times New Roman"/>
          <w:color w:val="212121"/>
          <w:sz w:val="24"/>
          <w:szCs w:val="24"/>
          <w:shd w:val="clear" w:color="auto" w:fill="FFFFFF"/>
        </w:rPr>
        <w:t>: 10.1530/ERC-19-0024. PMID: 30893643; PMCID: PMC</w:t>
      </w:r>
      <w:proofErr w:type="gramStart"/>
      <w:r w:rsidRPr="00AD3897">
        <w:rPr>
          <w:rFonts w:ascii="Times New Roman" w:hAnsi="Times New Roman" w:cs="Times New Roman"/>
          <w:color w:val="212121"/>
          <w:sz w:val="24"/>
          <w:szCs w:val="24"/>
          <w:shd w:val="clear" w:color="auto" w:fill="FFFFFF"/>
        </w:rPr>
        <w:t>6717695</w:t>
      </w:r>
      <w:r>
        <w:rPr>
          <w:rFonts w:ascii="Segoe UI" w:hAnsi="Segoe UI" w:cs="Segoe UI" w:hint="cs"/>
          <w:color w:val="212121"/>
          <w:shd w:val="clear" w:color="auto" w:fill="FFFFFF"/>
        </w:rPr>
        <w:t>.</w:t>
      </w:r>
      <w:r w:rsidR="000A3FCD" w:rsidRPr="001B0D11">
        <w:rPr>
          <w:rFonts w:ascii="Times New Roman" w:eastAsia="Times New Roman" w:hAnsi="Times New Roman" w:cs="Times New Roman"/>
          <w:sz w:val="24"/>
          <w:szCs w:val="24"/>
          <w:lang w:val="en-IN" w:eastAsia="en-IN"/>
        </w:rPr>
        <w:t>.</w:t>
      </w:r>
      <w:proofErr w:type="gramEnd"/>
    </w:p>
    <w:p w14:paraId="35D4195B" w14:textId="7195E6B9" w:rsidR="000A3FCD" w:rsidRPr="00B81618" w:rsidRDefault="00B81618"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B81618">
        <w:rPr>
          <w:rFonts w:ascii="Times New Roman" w:hAnsi="Times New Roman" w:cs="Times New Roman"/>
          <w:color w:val="1B1B1B"/>
          <w:sz w:val="24"/>
          <w:szCs w:val="24"/>
          <w:shd w:val="clear" w:color="auto" w:fill="FFFFFF"/>
        </w:rPr>
        <w:t xml:space="preserve">Carrasquillo JA, Chen CC, Jha A, Ling A, Lin FI, </w:t>
      </w:r>
      <w:proofErr w:type="spellStart"/>
      <w:r w:rsidRPr="00B81618">
        <w:rPr>
          <w:rFonts w:ascii="Times New Roman" w:hAnsi="Times New Roman" w:cs="Times New Roman"/>
          <w:color w:val="1B1B1B"/>
          <w:sz w:val="24"/>
          <w:szCs w:val="24"/>
          <w:shd w:val="clear" w:color="auto" w:fill="FFFFFF"/>
        </w:rPr>
        <w:t>Pryma</w:t>
      </w:r>
      <w:proofErr w:type="spellEnd"/>
      <w:r w:rsidRPr="00B81618">
        <w:rPr>
          <w:rFonts w:ascii="Times New Roman" w:hAnsi="Times New Roman" w:cs="Times New Roman"/>
          <w:color w:val="1B1B1B"/>
          <w:sz w:val="24"/>
          <w:szCs w:val="24"/>
          <w:shd w:val="clear" w:color="auto" w:fill="FFFFFF"/>
        </w:rPr>
        <w:t xml:space="preserve"> DA, </w:t>
      </w:r>
      <w:proofErr w:type="spellStart"/>
      <w:r w:rsidRPr="00B81618">
        <w:rPr>
          <w:rFonts w:ascii="Times New Roman" w:hAnsi="Times New Roman" w:cs="Times New Roman"/>
          <w:color w:val="1B1B1B"/>
          <w:sz w:val="24"/>
          <w:szCs w:val="24"/>
          <w:shd w:val="clear" w:color="auto" w:fill="FFFFFF"/>
        </w:rPr>
        <w:t>Pacak</w:t>
      </w:r>
      <w:proofErr w:type="spellEnd"/>
      <w:r w:rsidRPr="00B81618">
        <w:rPr>
          <w:rFonts w:ascii="Times New Roman" w:hAnsi="Times New Roman" w:cs="Times New Roman"/>
          <w:color w:val="1B1B1B"/>
          <w:sz w:val="24"/>
          <w:szCs w:val="24"/>
          <w:shd w:val="clear" w:color="auto" w:fill="FFFFFF"/>
        </w:rPr>
        <w:t xml:space="preserve"> K. Imaging of Pheochromocytoma and Paraganglioma. J </w:t>
      </w:r>
      <w:proofErr w:type="spellStart"/>
      <w:r w:rsidRPr="00B81618">
        <w:rPr>
          <w:rFonts w:ascii="Times New Roman" w:hAnsi="Times New Roman" w:cs="Times New Roman"/>
          <w:color w:val="1B1B1B"/>
          <w:sz w:val="24"/>
          <w:szCs w:val="24"/>
          <w:shd w:val="clear" w:color="auto" w:fill="FFFFFF"/>
        </w:rPr>
        <w:t>Nucl</w:t>
      </w:r>
      <w:proofErr w:type="spellEnd"/>
      <w:r w:rsidRPr="00B81618">
        <w:rPr>
          <w:rFonts w:ascii="Times New Roman" w:hAnsi="Times New Roman" w:cs="Times New Roman"/>
          <w:color w:val="1B1B1B"/>
          <w:sz w:val="24"/>
          <w:szCs w:val="24"/>
          <w:shd w:val="clear" w:color="auto" w:fill="FFFFFF"/>
        </w:rPr>
        <w:t xml:space="preserve"> Med. 2021 Aug 1;62(8):1033-1042. </w:t>
      </w:r>
      <w:proofErr w:type="spellStart"/>
      <w:r w:rsidRPr="00B81618">
        <w:rPr>
          <w:rFonts w:ascii="Times New Roman" w:hAnsi="Times New Roman" w:cs="Times New Roman"/>
          <w:color w:val="1B1B1B"/>
          <w:sz w:val="24"/>
          <w:szCs w:val="24"/>
          <w:shd w:val="clear" w:color="auto" w:fill="FFFFFF"/>
        </w:rPr>
        <w:t>doi</w:t>
      </w:r>
      <w:proofErr w:type="spellEnd"/>
      <w:r w:rsidRPr="00B81618">
        <w:rPr>
          <w:rFonts w:ascii="Times New Roman" w:hAnsi="Times New Roman" w:cs="Times New Roman"/>
          <w:color w:val="1B1B1B"/>
          <w:sz w:val="24"/>
          <w:szCs w:val="24"/>
          <w:shd w:val="clear" w:color="auto" w:fill="FFFFFF"/>
        </w:rPr>
        <w:t>: 10.2967/jnumed.120.259689. PMID: 34330739; PMCID: PMC8833868</w:t>
      </w:r>
      <w:r w:rsidRPr="00B81618">
        <w:rPr>
          <w:rFonts w:ascii="Times New Roman" w:eastAsia="Times New Roman" w:hAnsi="Times New Roman" w:cs="Times New Roman"/>
          <w:sz w:val="24"/>
          <w:szCs w:val="24"/>
          <w:lang w:val="en-IN" w:eastAsia="en-IN"/>
        </w:rPr>
        <w:t xml:space="preserve"> </w:t>
      </w:r>
    </w:p>
    <w:p w14:paraId="24DD9A08" w14:textId="492C9502" w:rsidR="000A3FCD" w:rsidRPr="001B0D11" w:rsidRDefault="00355C0F"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355C0F">
        <w:rPr>
          <w:rFonts w:ascii="Times New Roman" w:hAnsi="Times New Roman" w:cs="Times New Roman"/>
          <w:color w:val="212121"/>
          <w:sz w:val="24"/>
          <w:szCs w:val="24"/>
          <w:shd w:val="clear" w:color="auto" w:fill="FFFFFF"/>
        </w:rPr>
        <w:t>Han S, Suh CH, Woo S, Kim YJ, Lee JJ. Performance of </w:t>
      </w:r>
      <w:r w:rsidRPr="00355C0F">
        <w:rPr>
          <w:rFonts w:ascii="Times New Roman" w:hAnsi="Times New Roman" w:cs="Times New Roman"/>
          <w:color w:val="212121"/>
          <w:sz w:val="24"/>
          <w:szCs w:val="24"/>
          <w:shd w:val="clear" w:color="auto" w:fill="FFFFFF"/>
          <w:vertAlign w:val="superscript"/>
        </w:rPr>
        <w:t>68</w:t>
      </w:r>
      <w:r w:rsidRPr="00355C0F">
        <w:rPr>
          <w:rFonts w:ascii="Times New Roman" w:hAnsi="Times New Roman" w:cs="Times New Roman"/>
          <w:color w:val="212121"/>
          <w:sz w:val="24"/>
          <w:szCs w:val="24"/>
          <w:shd w:val="clear" w:color="auto" w:fill="FFFFFF"/>
        </w:rPr>
        <w:t xml:space="preserve">Ga-DOTA-Conjugated Somatostatin Receptor-Targeting Peptide PET in Detection of Pheochromocytoma and Paraganglioma: A Systematic Review and </w:t>
      </w:r>
      <w:proofErr w:type="spellStart"/>
      <w:r w:rsidRPr="00355C0F">
        <w:rPr>
          <w:rFonts w:ascii="Times New Roman" w:hAnsi="Times New Roman" w:cs="Times New Roman"/>
          <w:color w:val="212121"/>
          <w:sz w:val="24"/>
          <w:szCs w:val="24"/>
          <w:shd w:val="clear" w:color="auto" w:fill="FFFFFF"/>
        </w:rPr>
        <w:t>Metaanalysis</w:t>
      </w:r>
      <w:proofErr w:type="spellEnd"/>
      <w:r w:rsidRPr="00355C0F">
        <w:rPr>
          <w:rFonts w:ascii="Times New Roman" w:hAnsi="Times New Roman" w:cs="Times New Roman"/>
          <w:color w:val="212121"/>
          <w:sz w:val="24"/>
          <w:szCs w:val="24"/>
          <w:shd w:val="clear" w:color="auto" w:fill="FFFFFF"/>
        </w:rPr>
        <w:t xml:space="preserve">. J </w:t>
      </w:r>
      <w:proofErr w:type="spellStart"/>
      <w:r w:rsidRPr="00355C0F">
        <w:rPr>
          <w:rFonts w:ascii="Times New Roman" w:hAnsi="Times New Roman" w:cs="Times New Roman"/>
          <w:color w:val="212121"/>
          <w:sz w:val="24"/>
          <w:szCs w:val="24"/>
          <w:shd w:val="clear" w:color="auto" w:fill="FFFFFF"/>
        </w:rPr>
        <w:t>Nucl</w:t>
      </w:r>
      <w:proofErr w:type="spellEnd"/>
      <w:r w:rsidRPr="00355C0F">
        <w:rPr>
          <w:rFonts w:ascii="Times New Roman" w:hAnsi="Times New Roman" w:cs="Times New Roman"/>
          <w:color w:val="212121"/>
          <w:sz w:val="24"/>
          <w:szCs w:val="24"/>
          <w:shd w:val="clear" w:color="auto" w:fill="FFFFFF"/>
        </w:rPr>
        <w:t xml:space="preserve"> Med. 2019 Mar;60(3):369-376. </w:t>
      </w:r>
      <w:proofErr w:type="spellStart"/>
      <w:r w:rsidRPr="00355C0F">
        <w:rPr>
          <w:rFonts w:ascii="Times New Roman" w:hAnsi="Times New Roman" w:cs="Times New Roman"/>
          <w:color w:val="212121"/>
          <w:sz w:val="24"/>
          <w:szCs w:val="24"/>
          <w:shd w:val="clear" w:color="auto" w:fill="FFFFFF"/>
        </w:rPr>
        <w:t>doi</w:t>
      </w:r>
      <w:proofErr w:type="spellEnd"/>
      <w:r w:rsidRPr="00355C0F">
        <w:rPr>
          <w:rFonts w:ascii="Times New Roman" w:hAnsi="Times New Roman" w:cs="Times New Roman"/>
          <w:color w:val="212121"/>
          <w:sz w:val="24"/>
          <w:szCs w:val="24"/>
          <w:shd w:val="clear" w:color="auto" w:fill="FFFFFF"/>
        </w:rPr>
        <w:t xml:space="preserve">: 10.2967/jnumed.118.211706. </w:t>
      </w:r>
      <w:proofErr w:type="spellStart"/>
      <w:r w:rsidRPr="00355C0F">
        <w:rPr>
          <w:rFonts w:ascii="Times New Roman" w:hAnsi="Times New Roman" w:cs="Times New Roman"/>
          <w:color w:val="212121"/>
          <w:sz w:val="24"/>
          <w:szCs w:val="24"/>
          <w:shd w:val="clear" w:color="auto" w:fill="FFFFFF"/>
        </w:rPr>
        <w:t>Epub</w:t>
      </w:r>
      <w:proofErr w:type="spellEnd"/>
      <w:r w:rsidRPr="00355C0F">
        <w:rPr>
          <w:rFonts w:ascii="Times New Roman" w:hAnsi="Times New Roman" w:cs="Times New Roman"/>
          <w:color w:val="212121"/>
          <w:sz w:val="24"/>
          <w:szCs w:val="24"/>
          <w:shd w:val="clear" w:color="auto" w:fill="FFFFFF"/>
        </w:rPr>
        <w:t xml:space="preserve"> 2018 Jul 20. PMID: 30030341</w:t>
      </w:r>
      <w:r>
        <w:rPr>
          <w:rFonts w:ascii="Segoe UI" w:hAnsi="Segoe UI" w:cs="Segoe UI" w:hint="cs"/>
          <w:color w:val="212121"/>
          <w:shd w:val="clear" w:color="auto" w:fill="FFFFFF"/>
        </w:rPr>
        <w:t>.</w:t>
      </w:r>
      <w:r w:rsidRPr="001B0D11">
        <w:rPr>
          <w:rFonts w:ascii="Times New Roman" w:eastAsia="Times New Roman" w:hAnsi="Times New Roman" w:cs="Times New Roman"/>
          <w:sz w:val="24"/>
          <w:szCs w:val="24"/>
          <w:lang w:val="en-IN" w:eastAsia="en-IN"/>
        </w:rPr>
        <w:t xml:space="preserve"> </w:t>
      </w:r>
    </w:p>
    <w:p w14:paraId="646AD828" w14:textId="16E6F7DC" w:rsidR="000A3FCD" w:rsidRPr="001B0D11" w:rsidRDefault="000679FB"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32349E">
        <w:rPr>
          <w:rFonts w:ascii="Times New Roman" w:eastAsia="Times New Roman" w:hAnsi="Times New Roman" w:cs="Times New Roman"/>
          <w:sz w:val="24"/>
          <w:szCs w:val="24"/>
          <w:lang w:val="en-IN" w:eastAsia="en-IN"/>
        </w:rPr>
        <w:t xml:space="preserve">Lenders, J. W. M., Duh, Q. Y., </w:t>
      </w:r>
      <w:proofErr w:type="spellStart"/>
      <w:r w:rsidRPr="0032349E">
        <w:rPr>
          <w:rFonts w:ascii="Times New Roman" w:eastAsia="Times New Roman" w:hAnsi="Times New Roman" w:cs="Times New Roman"/>
          <w:sz w:val="24"/>
          <w:szCs w:val="24"/>
          <w:lang w:val="en-IN" w:eastAsia="en-IN"/>
        </w:rPr>
        <w:t>Eisenhofer</w:t>
      </w:r>
      <w:proofErr w:type="spellEnd"/>
      <w:r w:rsidRPr="0032349E">
        <w:rPr>
          <w:rFonts w:ascii="Times New Roman" w:eastAsia="Times New Roman" w:hAnsi="Times New Roman" w:cs="Times New Roman"/>
          <w:sz w:val="24"/>
          <w:szCs w:val="24"/>
          <w:lang w:val="en-IN" w:eastAsia="en-IN"/>
        </w:rPr>
        <w:t>, G., Gimenez-</w:t>
      </w:r>
      <w:proofErr w:type="spellStart"/>
      <w:r w:rsidRPr="0032349E">
        <w:rPr>
          <w:rFonts w:ascii="Times New Roman" w:eastAsia="Times New Roman" w:hAnsi="Times New Roman" w:cs="Times New Roman"/>
          <w:sz w:val="24"/>
          <w:szCs w:val="24"/>
          <w:lang w:val="en-IN" w:eastAsia="en-IN"/>
        </w:rPr>
        <w:t>Roqueplo</w:t>
      </w:r>
      <w:proofErr w:type="spellEnd"/>
      <w:r w:rsidRPr="0032349E">
        <w:rPr>
          <w:rFonts w:ascii="Times New Roman" w:eastAsia="Times New Roman" w:hAnsi="Times New Roman" w:cs="Times New Roman"/>
          <w:sz w:val="24"/>
          <w:szCs w:val="24"/>
          <w:lang w:val="en-IN" w:eastAsia="en-IN"/>
        </w:rPr>
        <w:t xml:space="preserve">, A.-P., Grebe, S. K. G., Murad, M. H., </w:t>
      </w:r>
      <w:proofErr w:type="spellStart"/>
      <w:r w:rsidRPr="0032349E">
        <w:rPr>
          <w:rFonts w:ascii="Times New Roman" w:eastAsia="Times New Roman" w:hAnsi="Times New Roman" w:cs="Times New Roman"/>
          <w:sz w:val="24"/>
          <w:szCs w:val="24"/>
          <w:lang w:val="en-IN" w:eastAsia="en-IN"/>
        </w:rPr>
        <w:t>Naruse</w:t>
      </w:r>
      <w:proofErr w:type="spellEnd"/>
      <w:r w:rsidRPr="0032349E">
        <w:rPr>
          <w:rFonts w:ascii="Times New Roman" w:eastAsia="Times New Roman" w:hAnsi="Times New Roman" w:cs="Times New Roman"/>
          <w:sz w:val="24"/>
          <w:szCs w:val="24"/>
          <w:lang w:val="en-IN" w:eastAsia="en-IN"/>
        </w:rPr>
        <w:t xml:space="preserve">, M., </w:t>
      </w:r>
      <w:proofErr w:type="spellStart"/>
      <w:r w:rsidRPr="0032349E">
        <w:rPr>
          <w:rFonts w:ascii="Times New Roman" w:eastAsia="Times New Roman" w:hAnsi="Times New Roman" w:cs="Times New Roman"/>
          <w:sz w:val="24"/>
          <w:szCs w:val="24"/>
          <w:lang w:val="en-IN" w:eastAsia="en-IN"/>
        </w:rPr>
        <w:t>Pacak</w:t>
      </w:r>
      <w:proofErr w:type="spellEnd"/>
      <w:r w:rsidRPr="0032349E">
        <w:rPr>
          <w:rFonts w:ascii="Times New Roman" w:eastAsia="Times New Roman" w:hAnsi="Times New Roman" w:cs="Times New Roman"/>
          <w:sz w:val="24"/>
          <w:szCs w:val="24"/>
          <w:lang w:val="en-IN" w:eastAsia="en-IN"/>
        </w:rPr>
        <w:t xml:space="preserve">, K., &amp; Young, W. F., Jr. (2014). Pheochromocytoma and paraganglioma: An Endocrine Society clinical practice </w:t>
      </w:r>
      <w:r w:rsidRPr="0032349E">
        <w:rPr>
          <w:rFonts w:ascii="Times New Roman" w:eastAsia="Times New Roman" w:hAnsi="Times New Roman" w:cs="Times New Roman"/>
          <w:sz w:val="24"/>
          <w:szCs w:val="24"/>
          <w:lang w:val="en-IN" w:eastAsia="en-IN"/>
        </w:rPr>
        <w:lastRenderedPageBreak/>
        <w:t>guideline. The Journal of Clinical Endocrinology &amp; Metabolism, 99(6), 1915–1942. https://doi.org/10.1210/jc.2014-1498</w:t>
      </w:r>
      <w:r w:rsidR="000A3FCD" w:rsidRPr="001B0D11">
        <w:rPr>
          <w:rFonts w:ascii="Times New Roman" w:eastAsia="Times New Roman" w:hAnsi="Times New Roman" w:cs="Times New Roman"/>
          <w:sz w:val="24"/>
          <w:szCs w:val="24"/>
          <w:lang w:val="en-IN" w:eastAsia="en-IN"/>
        </w:rPr>
        <w:t>.</w:t>
      </w:r>
    </w:p>
    <w:p w14:paraId="71F359A9" w14:textId="23D1AC38" w:rsidR="000A3FCD" w:rsidRPr="001B0D11" w:rsidRDefault="000679FB" w:rsidP="000A3FCD">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679FB">
        <w:rPr>
          <w:rFonts w:ascii="Times New Roman" w:eastAsia="Times New Roman" w:hAnsi="Times New Roman" w:cs="Times New Roman"/>
          <w:sz w:val="24"/>
          <w:szCs w:val="24"/>
          <w:lang w:val="it-IT" w:eastAsia="en-IN"/>
        </w:rPr>
        <w:t xml:space="preserve">Castinetti, F., Taieb, D., Henry, J. F., Walz, M., Guerin, C., Brue, T., Conte-Devolx, B., Neumann, H. P. H., &amp; Sebag, F. (2016). </w:t>
      </w:r>
      <w:r w:rsidRPr="0032349E">
        <w:rPr>
          <w:rFonts w:ascii="Times New Roman" w:eastAsia="Times New Roman" w:hAnsi="Times New Roman" w:cs="Times New Roman"/>
          <w:sz w:val="24"/>
          <w:szCs w:val="24"/>
          <w:lang w:val="en-IN" w:eastAsia="en-IN"/>
        </w:rPr>
        <w:t>MANAGEMENT OF ENDOCRINE DISEASE: Outcome of adrenal sparing surgery in heritable pheochromocytoma. European Journal of Endocrinology, 174(1), R9–R18. https://doi.org/10.1530/EJE-15-0549</w:t>
      </w:r>
      <w:r w:rsidR="000A3FCD" w:rsidRPr="001B0D11">
        <w:rPr>
          <w:rFonts w:ascii="Times New Roman" w:eastAsia="Times New Roman" w:hAnsi="Times New Roman" w:cs="Times New Roman"/>
          <w:sz w:val="24"/>
          <w:szCs w:val="24"/>
          <w:lang w:val="en-IN" w:eastAsia="en-IN"/>
        </w:rPr>
        <w:t>.</w:t>
      </w:r>
    </w:p>
    <w:p w14:paraId="16201FF1" w14:textId="77777777" w:rsidR="007B6270" w:rsidRDefault="007B6270"/>
    <w:p w14:paraId="075947AF" w14:textId="15C66192" w:rsidR="00442EEA" w:rsidRDefault="007B6270">
      <w:r>
        <w:rPr>
          <w:noProof/>
        </w:rPr>
        <w:drawing>
          <wp:anchor distT="0" distB="0" distL="114300" distR="114300" simplePos="0" relativeHeight="251658240" behindDoc="0" locked="0" layoutInCell="1" allowOverlap="1" wp14:anchorId="3C254578" wp14:editId="53DC8B75">
            <wp:simplePos x="0" y="0"/>
            <wp:positionH relativeFrom="column">
              <wp:posOffset>292100</wp:posOffset>
            </wp:positionH>
            <wp:positionV relativeFrom="paragraph">
              <wp:posOffset>492760</wp:posOffset>
            </wp:positionV>
            <wp:extent cx="3873500" cy="1473200"/>
            <wp:effectExtent l="0" t="0" r="0" b="0"/>
            <wp:wrapThrough wrapText="bothSides">
              <wp:wrapPolygon edited="0">
                <wp:start x="1062" y="0"/>
                <wp:lineTo x="1062" y="21228"/>
                <wp:lineTo x="21458" y="21228"/>
                <wp:lineTo x="21458" y="0"/>
                <wp:lineTo x="1062"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8">
                      <a:extLst>
                        <a:ext uri="{28A0092B-C50C-407E-A947-70E740481C1C}">
                          <a14:useLocalDpi xmlns:a14="http://schemas.microsoft.com/office/drawing/2010/main" val="0"/>
                        </a:ext>
                      </a:extLst>
                    </a:blip>
                    <a:srcRect l="-5000" t="5372" r="20278" b="51657"/>
                    <a:stretch>
                      <a:fillRect/>
                    </a:stretch>
                  </pic:blipFill>
                  <pic:spPr bwMode="auto">
                    <a:xfrm>
                      <a:off x="0" y="0"/>
                      <a:ext cx="3873500"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FIGURE 1 </w:t>
      </w:r>
      <w:proofErr w:type="gramStart"/>
      <w:r>
        <w:t>-  CONTRAST</w:t>
      </w:r>
      <w:proofErr w:type="gramEnd"/>
      <w:r>
        <w:t xml:space="preserve"> CT ABDOMEN SHOWING BILATERAL ADRENAL MASS-PHEOCHROMOCYTOMA</w:t>
      </w:r>
    </w:p>
    <w:p w14:paraId="052190FA" w14:textId="77777777" w:rsidR="007B6270" w:rsidRDefault="007B6270"/>
    <w:p w14:paraId="2AD622B3" w14:textId="77777777" w:rsidR="007B6270" w:rsidRDefault="007B6270"/>
    <w:p w14:paraId="720153D6" w14:textId="77777777" w:rsidR="007B6270" w:rsidRDefault="007B6270"/>
    <w:p w14:paraId="14BAF56C" w14:textId="77777777" w:rsidR="007B6270" w:rsidRDefault="007B6270"/>
    <w:p w14:paraId="5A67060D" w14:textId="77777777" w:rsidR="007B6270" w:rsidRDefault="007B6270"/>
    <w:p w14:paraId="26F98E07" w14:textId="77777777" w:rsidR="007B6270" w:rsidRDefault="007B6270"/>
    <w:p w14:paraId="6425BB1D" w14:textId="6156343F" w:rsidR="007B6270" w:rsidRPr="007B6270" w:rsidRDefault="007B6270">
      <w:pPr>
        <w:rPr>
          <w:lang w:val="en-IN"/>
        </w:rPr>
      </w:pPr>
      <w:r w:rsidRPr="007B6270">
        <w:rPr>
          <w:lang w:val="en-IN"/>
        </w:rPr>
        <w:t xml:space="preserve">FIGURE 2 </w:t>
      </w:r>
      <w:proofErr w:type="gramStart"/>
      <w:r w:rsidRPr="007B6270">
        <w:rPr>
          <w:lang w:val="en-IN"/>
        </w:rPr>
        <w:t>-  GA</w:t>
      </w:r>
      <w:proofErr w:type="gramEnd"/>
      <w:r w:rsidRPr="007B6270">
        <w:rPr>
          <w:lang w:val="en-IN"/>
        </w:rPr>
        <w:t xml:space="preserve"> DOTATATE PET IMAGING S</w:t>
      </w:r>
      <w:r>
        <w:rPr>
          <w:lang w:val="en-IN"/>
        </w:rPr>
        <w:t>HOWING INTENSLY ENHANCING LESION  BILATERAL ADRENAL LESION</w:t>
      </w:r>
    </w:p>
    <w:p w14:paraId="4771C007" w14:textId="7D8B4D69" w:rsidR="007B6270" w:rsidRDefault="007B6270">
      <w:r>
        <w:rPr>
          <w:noProof/>
        </w:rPr>
        <w:drawing>
          <wp:inline distT="0" distB="0" distL="0" distR="0" wp14:anchorId="695DDF1D" wp14:editId="558CAB6A">
            <wp:extent cx="3879850" cy="2909888"/>
            <wp:effectExtent l="0" t="0" r="6350" b="5080"/>
            <wp:docPr id="1239914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884565" cy="2913424"/>
                    </a:xfrm>
                    <a:prstGeom prst="rect">
                      <a:avLst/>
                    </a:prstGeom>
                  </pic:spPr>
                </pic:pic>
              </a:graphicData>
            </a:graphic>
          </wp:inline>
        </w:drawing>
      </w:r>
    </w:p>
    <w:p w14:paraId="55349F35" w14:textId="77777777" w:rsidR="007B6270" w:rsidRDefault="007B6270"/>
    <w:p w14:paraId="08C8E2AC" w14:textId="77777777" w:rsidR="00A80CF0" w:rsidRDefault="00A80CF0"/>
    <w:p w14:paraId="7FBB0149" w14:textId="77777777" w:rsidR="00A80CF0" w:rsidRDefault="00A80CF0"/>
    <w:p w14:paraId="1AF70DEB" w14:textId="77777777" w:rsidR="00A80CF0" w:rsidRDefault="00A80CF0"/>
    <w:p w14:paraId="5BC9AEAB" w14:textId="77777777" w:rsidR="00A80CF0" w:rsidRDefault="00A80CF0"/>
    <w:p w14:paraId="76AF2503" w14:textId="77777777" w:rsidR="00A80CF0" w:rsidRDefault="00A80CF0"/>
    <w:p w14:paraId="705ACB50" w14:textId="633EAE3C" w:rsidR="007B6270" w:rsidRDefault="007B6270">
      <w:r>
        <w:t xml:space="preserve">FIGURE </w:t>
      </w:r>
      <w:proofErr w:type="gramStart"/>
      <w:r>
        <w:t>3  ADRENALECTOMY</w:t>
      </w:r>
      <w:proofErr w:type="gramEnd"/>
      <w:r>
        <w:t xml:space="preserve"> GROSS SPECIMEN</w:t>
      </w:r>
    </w:p>
    <w:p w14:paraId="4D839311" w14:textId="782C9BA3" w:rsidR="007B6270" w:rsidRDefault="007B6270">
      <w:r>
        <w:rPr>
          <w:noProof/>
        </w:rPr>
        <w:drawing>
          <wp:inline distT="0" distB="0" distL="0" distR="0" wp14:anchorId="625BA989" wp14:editId="7808B8A0">
            <wp:extent cx="2990850" cy="2630839"/>
            <wp:effectExtent l="0" t="0" r="0" b="0"/>
            <wp:docPr id="1942986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001829" cy="2640496"/>
                    </a:xfrm>
                    <a:prstGeom prst="rect">
                      <a:avLst/>
                    </a:prstGeom>
                  </pic:spPr>
                </pic:pic>
              </a:graphicData>
            </a:graphic>
          </wp:inline>
        </w:drawing>
      </w:r>
    </w:p>
    <w:p w14:paraId="4B2AB5AD" w14:textId="77777777" w:rsidR="001B0D11" w:rsidRDefault="001B0D11"/>
    <w:p w14:paraId="506E4E62" w14:textId="77777777" w:rsidR="001B0D11" w:rsidRDefault="001B0D11"/>
    <w:p w14:paraId="556EA3A6" w14:textId="77777777" w:rsidR="001B0D11" w:rsidRDefault="001B0D11"/>
    <w:sectPr w:rsidR="001B0D11"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DE486" w14:textId="77777777" w:rsidR="001E020E" w:rsidRDefault="001E020E" w:rsidP="00C86917">
      <w:pPr>
        <w:spacing w:after="0" w:line="240" w:lineRule="auto"/>
      </w:pPr>
      <w:r>
        <w:separator/>
      </w:r>
    </w:p>
  </w:endnote>
  <w:endnote w:type="continuationSeparator" w:id="0">
    <w:p w14:paraId="125FD99A" w14:textId="77777777" w:rsidR="001E020E" w:rsidRDefault="001E020E" w:rsidP="00C86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E442" w14:textId="77777777" w:rsidR="00C86917" w:rsidRDefault="00C86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C512C" w14:textId="77777777" w:rsidR="00C86917" w:rsidRDefault="00C86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41F7" w14:textId="77777777" w:rsidR="00C86917" w:rsidRDefault="00C86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6D018" w14:textId="77777777" w:rsidR="001E020E" w:rsidRDefault="001E020E" w:rsidP="00C86917">
      <w:pPr>
        <w:spacing w:after="0" w:line="240" w:lineRule="auto"/>
      </w:pPr>
      <w:r>
        <w:separator/>
      </w:r>
    </w:p>
  </w:footnote>
  <w:footnote w:type="continuationSeparator" w:id="0">
    <w:p w14:paraId="100D066A" w14:textId="77777777" w:rsidR="001E020E" w:rsidRDefault="001E020E" w:rsidP="00C86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EA53D" w14:textId="319A1756" w:rsidR="00C86917" w:rsidRDefault="001E020E">
    <w:pPr>
      <w:pStyle w:val="Header"/>
    </w:pPr>
    <w:r>
      <w:rPr>
        <w:noProof/>
      </w:rPr>
      <w:pict w14:anchorId="2095E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272141"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B9325" w14:textId="75851C0C" w:rsidR="00C86917" w:rsidRDefault="001E020E">
    <w:pPr>
      <w:pStyle w:val="Header"/>
    </w:pPr>
    <w:r>
      <w:rPr>
        <w:noProof/>
      </w:rPr>
      <w:pict w14:anchorId="47FDF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272142"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45DD4" w14:textId="11B49473" w:rsidR="00C86917" w:rsidRDefault="001E020E">
    <w:pPr>
      <w:pStyle w:val="Header"/>
    </w:pPr>
    <w:r>
      <w:rPr>
        <w:noProof/>
      </w:rPr>
      <w:pict w14:anchorId="2A68C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272140"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1F4EC0"/>
    <w:multiLevelType w:val="multilevel"/>
    <w:tmpl w:val="D2301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D36F92"/>
    <w:multiLevelType w:val="multilevel"/>
    <w:tmpl w:val="008C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31F"/>
    <w:rsid w:val="00034616"/>
    <w:rsid w:val="0004758A"/>
    <w:rsid w:val="0006063C"/>
    <w:rsid w:val="000679FB"/>
    <w:rsid w:val="000A3FCD"/>
    <w:rsid w:val="000B3F26"/>
    <w:rsid w:val="000C5590"/>
    <w:rsid w:val="000E0028"/>
    <w:rsid w:val="000F4B68"/>
    <w:rsid w:val="00103EF5"/>
    <w:rsid w:val="0015074B"/>
    <w:rsid w:val="001B0D11"/>
    <w:rsid w:val="001D0404"/>
    <w:rsid w:val="001E020E"/>
    <w:rsid w:val="001F14FD"/>
    <w:rsid w:val="00265855"/>
    <w:rsid w:val="00277AF2"/>
    <w:rsid w:val="0029639D"/>
    <w:rsid w:val="002C3DA6"/>
    <w:rsid w:val="0032349E"/>
    <w:rsid w:val="00326F90"/>
    <w:rsid w:val="00355C0F"/>
    <w:rsid w:val="003C5001"/>
    <w:rsid w:val="0041629C"/>
    <w:rsid w:val="00433095"/>
    <w:rsid w:val="00442EEA"/>
    <w:rsid w:val="0046699D"/>
    <w:rsid w:val="004821E5"/>
    <w:rsid w:val="004D14C0"/>
    <w:rsid w:val="00607FEE"/>
    <w:rsid w:val="00610828"/>
    <w:rsid w:val="00633C26"/>
    <w:rsid w:val="00644995"/>
    <w:rsid w:val="006A1D83"/>
    <w:rsid w:val="00726995"/>
    <w:rsid w:val="007967D4"/>
    <w:rsid w:val="007B4B9E"/>
    <w:rsid w:val="007B6270"/>
    <w:rsid w:val="007D217F"/>
    <w:rsid w:val="008353D5"/>
    <w:rsid w:val="008855E2"/>
    <w:rsid w:val="00894F98"/>
    <w:rsid w:val="008C76ED"/>
    <w:rsid w:val="008D192F"/>
    <w:rsid w:val="008D2CC9"/>
    <w:rsid w:val="008F560E"/>
    <w:rsid w:val="00913085"/>
    <w:rsid w:val="00A76A1F"/>
    <w:rsid w:val="00A80CF0"/>
    <w:rsid w:val="00AA1D8D"/>
    <w:rsid w:val="00AD3897"/>
    <w:rsid w:val="00AD60B7"/>
    <w:rsid w:val="00B47730"/>
    <w:rsid w:val="00B728AB"/>
    <w:rsid w:val="00B81618"/>
    <w:rsid w:val="00BA2A9A"/>
    <w:rsid w:val="00BE7CB5"/>
    <w:rsid w:val="00C86917"/>
    <w:rsid w:val="00CB0664"/>
    <w:rsid w:val="00D34E91"/>
    <w:rsid w:val="00D43440"/>
    <w:rsid w:val="00DF7270"/>
    <w:rsid w:val="00E56A78"/>
    <w:rsid w:val="00E608CF"/>
    <w:rsid w:val="00F4644B"/>
    <w:rsid w:val="00FC693F"/>
    <w:rsid w:val="00FD1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DF21CB0"/>
  <w14:defaultImageDpi w14:val="300"/>
  <w15:docId w15:val="{09DCFD13-CBA6-4254-9623-5A908C14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citation-161">
    <w:name w:val="citation-161"/>
    <w:basedOn w:val="DefaultParagraphFont"/>
    <w:rsid w:val="00AD60B7"/>
  </w:style>
  <w:style w:type="character" w:customStyle="1" w:styleId="citation-160">
    <w:name w:val="citation-160"/>
    <w:basedOn w:val="DefaultParagraphFont"/>
    <w:rsid w:val="00AD60B7"/>
  </w:style>
  <w:style w:type="character" w:customStyle="1" w:styleId="citation-159">
    <w:name w:val="citation-159"/>
    <w:basedOn w:val="DefaultParagraphFont"/>
    <w:rsid w:val="00AD60B7"/>
  </w:style>
  <w:style w:type="character" w:styleId="Hyperlink">
    <w:name w:val="Hyperlink"/>
    <w:basedOn w:val="DefaultParagraphFont"/>
    <w:uiPriority w:val="99"/>
    <w:unhideWhenUsed/>
    <w:rsid w:val="00D34E91"/>
    <w:rPr>
      <w:color w:val="0000FF" w:themeColor="hyperlink"/>
      <w:u w:val="single"/>
    </w:rPr>
  </w:style>
  <w:style w:type="character" w:styleId="UnresolvedMention">
    <w:name w:val="Unresolved Mention"/>
    <w:basedOn w:val="DefaultParagraphFont"/>
    <w:uiPriority w:val="99"/>
    <w:semiHidden/>
    <w:unhideWhenUsed/>
    <w:rsid w:val="00D34E91"/>
    <w:rPr>
      <w:color w:val="605E5C"/>
      <w:shd w:val="clear" w:color="auto" w:fill="E1DFDD"/>
    </w:rPr>
  </w:style>
  <w:style w:type="paragraph" w:styleId="NormalWeb">
    <w:name w:val="Normal (Web)"/>
    <w:basedOn w:val="Normal"/>
    <w:uiPriority w:val="99"/>
    <w:semiHidden/>
    <w:unhideWhenUsed/>
    <w:rsid w:val="00A80CF0"/>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0D1CD-8AA4-41CC-8145-13364A75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2788</Words>
  <Characters>15897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 GP 005</cp:lastModifiedBy>
  <cp:revision>21</cp:revision>
  <dcterms:created xsi:type="dcterms:W3CDTF">2026-01-10T14:05:00Z</dcterms:created>
  <dcterms:modified xsi:type="dcterms:W3CDTF">2026-01-14T10:49:00Z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6500fb67-471e-4a60-8880-ac323f97e50a</vt:lpwstr>
  </property>
</Properties>
</file>