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B7526" w14:textId="77777777" w:rsidR="00DA33E2" w:rsidRDefault="00DA33E2" w:rsidP="00A57C95">
      <w:pPr>
        <w:pStyle w:val="Author"/>
        <w:rPr>
          <w:rFonts w:ascii="Arial" w:hAnsi="Arial" w:cs="Arial"/>
          <w:bCs/>
          <w:iCs/>
          <w:kern w:val="28"/>
          <w:sz w:val="36"/>
        </w:rPr>
      </w:pPr>
    </w:p>
    <w:p w14:paraId="32699D7F" w14:textId="77777777" w:rsidR="00034AA6" w:rsidRDefault="00034AA6" w:rsidP="00441B6F">
      <w:pPr>
        <w:pStyle w:val="Author"/>
        <w:spacing w:line="240" w:lineRule="auto"/>
        <w:jc w:val="both"/>
        <w:rPr>
          <w:rFonts w:ascii="Arial" w:hAnsi="Arial" w:cs="Arial"/>
          <w:sz w:val="36"/>
        </w:rPr>
      </w:pPr>
      <w:r w:rsidRPr="00034AA6">
        <w:rPr>
          <w:rFonts w:ascii="Arial" w:hAnsi="Arial" w:cs="Arial"/>
          <w:sz w:val="36"/>
        </w:rPr>
        <w:t>Original Research Article</w:t>
      </w:r>
    </w:p>
    <w:p w14:paraId="7A04EB59" w14:textId="77777777" w:rsidR="00034AA6" w:rsidRDefault="00034AA6" w:rsidP="00441B6F">
      <w:pPr>
        <w:pStyle w:val="Author"/>
        <w:spacing w:line="240" w:lineRule="auto"/>
        <w:jc w:val="both"/>
        <w:rPr>
          <w:rFonts w:ascii="Arial" w:hAnsi="Arial" w:cs="Arial"/>
          <w:sz w:val="36"/>
        </w:rPr>
      </w:pPr>
    </w:p>
    <w:p w14:paraId="6386A846" w14:textId="254F9B48" w:rsidR="00A258C3" w:rsidRDefault="00330251" w:rsidP="00441B6F">
      <w:pPr>
        <w:pStyle w:val="Author"/>
        <w:spacing w:line="240" w:lineRule="auto"/>
        <w:jc w:val="both"/>
        <w:rPr>
          <w:rFonts w:ascii="Arial" w:hAnsi="Arial" w:cs="Arial"/>
          <w:sz w:val="36"/>
        </w:rPr>
      </w:pPr>
      <w:r w:rsidRPr="00330251">
        <w:rPr>
          <w:rFonts w:ascii="Arial" w:hAnsi="Arial" w:cs="Arial"/>
          <w:sz w:val="36"/>
        </w:rPr>
        <w:t>Organ Function and Mortality Observed in Patients with Sepsis of Pulmonary Origin in Southeastern Mexico</w:t>
      </w:r>
    </w:p>
    <w:p w14:paraId="5D6EA704" w14:textId="77777777" w:rsidR="00330251" w:rsidRPr="00EE7CC2" w:rsidRDefault="00330251" w:rsidP="00441B6F">
      <w:pPr>
        <w:pStyle w:val="Author"/>
        <w:spacing w:line="240" w:lineRule="auto"/>
        <w:jc w:val="both"/>
        <w:rPr>
          <w:rFonts w:ascii="Arial" w:hAnsi="Arial" w:cs="Arial"/>
          <w:sz w:val="36"/>
        </w:rPr>
      </w:pPr>
    </w:p>
    <w:p w14:paraId="79E12444" w14:textId="77777777" w:rsidR="00DF364F" w:rsidRPr="00EA7130" w:rsidRDefault="00DF364F" w:rsidP="00441B6F">
      <w:pPr>
        <w:pStyle w:val="Copyright"/>
        <w:spacing w:after="0" w:line="240" w:lineRule="auto"/>
        <w:jc w:val="both"/>
        <w:rPr>
          <w:rFonts w:ascii="Arial" w:hAnsi="Arial" w:cs="Arial"/>
        </w:rPr>
      </w:pPr>
    </w:p>
    <w:p w14:paraId="5E24834E" w14:textId="73F42FF8" w:rsidR="00B01FCD" w:rsidRPr="001E0FDD" w:rsidRDefault="00717FAC" w:rsidP="00441B6F">
      <w:pPr>
        <w:pStyle w:val="Copyright"/>
        <w:spacing w:after="0" w:line="240" w:lineRule="auto"/>
        <w:jc w:val="both"/>
        <w:rPr>
          <w:rFonts w:ascii="Arial" w:hAnsi="Arial" w:cs="Arial"/>
          <w:lang w:val="es-MX"/>
        </w:rPr>
        <w:sectPr w:rsidR="00B01FCD" w:rsidRPr="001E0FDD" w:rsidSect="00DF364F">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EE7CC2">
        <w:rPr>
          <w:rFonts w:ascii="Arial" w:hAnsi="Arial" w:cs="Arial"/>
          <w:noProof/>
          <w:lang w:val="es-MX" w:eastAsia="es-MX"/>
        </w:rPr>
        <mc:AlternateContent>
          <mc:Choice Requires="wps">
            <w:drawing>
              <wp:inline distT="0" distB="0" distL="0" distR="0" wp14:anchorId="4401FDFD" wp14:editId="1B79A02A">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7548E8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1E0FDD">
        <w:rPr>
          <w:rFonts w:ascii="Arial" w:hAnsi="Arial" w:cs="Arial"/>
          <w:lang w:val="es-MX"/>
        </w:rPr>
        <w:t>.</w:t>
      </w:r>
    </w:p>
    <w:p w14:paraId="39CE291E" w14:textId="77777777" w:rsidR="00B01FCD" w:rsidRPr="001E0FDD" w:rsidRDefault="00B01FCD" w:rsidP="00441B6F">
      <w:pPr>
        <w:pStyle w:val="AbstHead"/>
        <w:spacing w:after="0"/>
        <w:jc w:val="both"/>
        <w:rPr>
          <w:rFonts w:ascii="Arial" w:hAnsi="Arial" w:cs="Arial"/>
          <w:lang w:val="es-MX"/>
        </w:rPr>
      </w:pPr>
      <w:r w:rsidRPr="001E0FDD">
        <w:rPr>
          <w:rFonts w:ascii="Arial" w:hAnsi="Arial" w:cs="Arial"/>
          <w:lang w:val="es-MX"/>
        </w:rPr>
        <w:lastRenderedPageBreak/>
        <w:t>ABSTRACT</w:t>
      </w:r>
    </w:p>
    <w:p w14:paraId="350C3F50" w14:textId="77777777" w:rsidR="00790ADA" w:rsidRPr="001E0FDD"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7CC2" w14:paraId="7828EA0A" w14:textId="77777777" w:rsidTr="001E44FE">
        <w:tc>
          <w:tcPr>
            <w:tcW w:w="9576" w:type="dxa"/>
            <w:shd w:val="clear" w:color="auto" w:fill="F2F2F2"/>
          </w:tcPr>
          <w:p w14:paraId="31E5AA9E" w14:textId="77777777" w:rsidR="00EE7CC2" w:rsidRPr="00A35DCA" w:rsidRDefault="00EE7CC2" w:rsidP="00B10F31">
            <w:pPr>
              <w:pBdr>
                <w:top w:val="nil"/>
                <w:left w:val="nil"/>
                <w:bottom w:val="nil"/>
                <w:right w:val="nil"/>
                <w:between w:val="nil"/>
              </w:pBdr>
              <w:jc w:val="both"/>
              <w:rPr>
                <w:rFonts w:ascii="Arial" w:eastAsia="Arial" w:hAnsi="Arial" w:cs="Arial"/>
                <w:b/>
                <w:color w:val="000000"/>
              </w:rPr>
            </w:pPr>
          </w:p>
          <w:p w14:paraId="52CF3EF9" w14:textId="77777777" w:rsidR="009A37EA" w:rsidRPr="00EE7CC2" w:rsidRDefault="009A37EA" w:rsidP="00B10F31">
            <w:pPr>
              <w:pBdr>
                <w:top w:val="nil"/>
                <w:left w:val="nil"/>
                <w:bottom w:val="nil"/>
                <w:right w:val="nil"/>
                <w:between w:val="nil"/>
              </w:pBdr>
              <w:jc w:val="both"/>
              <w:rPr>
                <w:rFonts w:ascii="Arial" w:eastAsia="Arial" w:hAnsi="Arial" w:cs="Arial"/>
                <w:color w:val="000000"/>
              </w:rPr>
            </w:pPr>
            <w:r w:rsidRPr="00A35DCA">
              <w:rPr>
                <w:rFonts w:ascii="Arial" w:eastAsia="Arial" w:hAnsi="Arial" w:cs="Arial"/>
                <w:b/>
                <w:color w:val="000000"/>
              </w:rPr>
              <w:t>Background:</w:t>
            </w:r>
            <w:r w:rsidR="00D97C9E" w:rsidRPr="00A35DCA">
              <w:t xml:space="preserve"> </w:t>
            </w:r>
            <w:r w:rsidR="00B84C80" w:rsidRPr="00B84C80">
              <w:rPr>
                <w:rFonts w:ascii="Arial" w:eastAsia="Arial" w:hAnsi="Arial" w:cs="Arial"/>
                <w:color w:val="000000"/>
              </w:rPr>
              <w:t>Sepsis is one of the leading causes of hospital admission worldwide, with a mortality risk of 10-40%. In severe cases, organ dysfunction and mortality are common. Cases of sepsis of pulmonary origin are frequent in hospital settings.</w:t>
            </w:r>
          </w:p>
          <w:p w14:paraId="73AFAC8C" w14:textId="77777777" w:rsidR="00B10F31"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Aim</w:t>
            </w:r>
            <w:r w:rsidR="00B10F31" w:rsidRPr="00EE7CC2">
              <w:rPr>
                <w:rFonts w:ascii="Arial" w:eastAsia="Arial" w:hAnsi="Arial" w:cs="Arial"/>
                <w:b/>
                <w:color w:val="000000"/>
              </w:rPr>
              <w:t xml:space="preserve">: </w:t>
            </w:r>
            <w:r w:rsidR="00D97C9E" w:rsidRPr="00EE7CC2">
              <w:rPr>
                <w:rFonts w:ascii="Arial" w:eastAsia="Arial" w:hAnsi="Arial" w:cs="Arial"/>
                <w:color w:val="000000"/>
              </w:rPr>
              <w:t xml:space="preserve">To </w:t>
            </w:r>
            <w:r w:rsidR="00220DDC" w:rsidRPr="00EE7CC2">
              <w:rPr>
                <w:rFonts w:ascii="Arial" w:eastAsia="Arial" w:hAnsi="Arial" w:cs="Arial"/>
                <w:color w:val="000000"/>
              </w:rPr>
              <w:t xml:space="preserve">know </w:t>
            </w:r>
            <w:r w:rsidR="00D97C9E" w:rsidRPr="00EE7CC2">
              <w:rPr>
                <w:rFonts w:ascii="Arial" w:eastAsia="Arial" w:hAnsi="Arial" w:cs="Arial"/>
                <w:color w:val="000000"/>
              </w:rPr>
              <w:t>the</w:t>
            </w:r>
            <w:r w:rsidR="00F703C9" w:rsidRPr="00F703C9">
              <w:rPr>
                <w:rFonts w:ascii="Arial" w:eastAsia="Arial" w:hAnsi="Arial" w:cs="Arial"/>
                <w:color w:val="000000"/>
              </w:rPr>
              <w:t xml:space="preserve"> organic function and mortality observed in patients with sepsis of pulmonary origin in southeastern Mexico.</w:t>
            </w:r>
          </w:p>
          <w:p w14:paraId="357B6BC0" w14:textId="3A8699B9" w:rsidR="00990D5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Methods</w:t>
            </w:r>
            <w:r w:rsidR="00B10F31" w:rsidRPr="00EE7CC2">
              <w:rPr>
                <w:rFonts w:ascii="Arial" w:eastAsia="Arial" w:hAnsi="Arial" w:cs="Arial"/>
                <w:b/>
                <w:color w:val="000000"/>
              </w:rPr>
              <w:t>:</w:t>
            </w:r>
            <w:r w:rsidR="00B10F31" w:rsidRPr="00EE7CC2">
              <w:rPr>
                <w:rFonts w:ascii="Arial" w:eastAsia="Arial" w:hAnsi="Arial" w:cs="Arial"/>
                <w:color w:val="000000"/>
              </w:rPr>
              <w:t xml:space="preserve"> </w:t>
            </w:r>
            <w:r w:rsidR="00AB1023" w:rsidRPr="000D1FD2">
              <w:rPr>
                <w:rFonts w:ascii="Arial" w:eastAsia="Arial" w:hAnsi="Arial" w:cs="Arial"/>
                <w:color w:val="000000"/>
                <w:highlight w:val="yellow"/>
              </w:rPr>
              <w:t>The study was</w:t>
            </w:r>
            <w:r w:rsidR="00990D52" w:rsidRPr="000D1FD2">
              <w:rPr>
                <w:rFonts w:ascii="Arial" w:eastAsia="Arial" w:hAnsi="Arial" w:cs="Arial"/>
                <w:color w:val="000000"/>
                <w:highlight w:val="yellow"/>
              </w:rPr>
              <w:t xml:space="preserve"> </w:t>
            </w:r>
            <w:r w:rsidR="00EA7130" w:rsidRPr="000D1FD2">
              <w:rPr>
                <w:rFonts w:ascii="Arial" w:eastAsia="Arial" w:hAnsi="Arial" w:cs="Arial"/>
                <w:color w:val="000000"/>
                <w:highlight w:val="yellow"/>
              </w:rPr>
              <w:t xml:space="preserve">descriptive and </w:t>
            </w:r>
            <w:r w:rsidR="00990D52" w:rsidRPr="000D1FD2">
              <w:rPr>
                <w:rFonts w:ascii="Arial" w:eastAsia="Arial" w:hAnsi="Arial" w:cs="Arial"/>
                <w:color w:val="000000"/>
                <w:highlight w:val="yellow"/>
              </w:rPr>
              <w:t xml:space="preserve">retrospective </w:t>
            </w:r>
            <w:r w:rsidR="00AB1023" w:rsidRPr="000D1FD2">
              <w:rPr>
                <w:rFonts w:ascii="Arial" w:eastAsia="Arial" w:hAnsi="Arial" w:cs="Arial"/>
                <w:color w:val="000000"/>
                <w:highlight w:val="yellow"/>
              </w:rPr>
              <w:t>in patients of both sexes hospitalized between June and D</w:t>
            </w:r>
            <w:r w:rsidR="00990D52" w:rsidRPr="000D1FD2">
              <w:rPr>
                <w:rFonts w:ascii="Arial" w:eastAsia="Arial" w:hAnsi="Arial" w:cs="Arial"/>
                <w:color w:val="000000"/>
                <w:highlight w:val="yellow"/>
              </w:rPr>
              <w:t>ecember 2023, aged 40-75 years, with a confirmed diagnosis of sepsis of pulmonary origin. Data were collected on clinical, hematological, and biochemical indicators, as well as observed mortality. Data were analyzed using SPSS version 25 statistical software.</w:t>
            </w:r>
          </w:p>
          <w:p w14:paraId="5AE16603" w14:textId="14288CFE" w:rsidR="00B10F31" w:rsidRDefault="00B10F31"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Results:</w:t>
            </w:r>
            <w:r w:rsidRPr="00EE7CC2">
              <w:rPr>
                <w:rFonts w:ascii="Arial" w:eastAsia="Arial" w:hAnsi="Arial" w:cs="Arial"/>
                <w:color w:val="000000"/>
              </w:rPr>
              <w:t xml:space="preserve"> </w:t>
            </w:r>
            <w:r w:rsidR="00990D52" w:rsidRPr="00FD6022">
              <w:rPr>
                <w:rFonts w:ascii="Arial" w:eastAsia="Arial" w:hAnsi="Arial" w:cs="Arial"/>
                <w:color w:val="000000"/>
                <w:highlight w:val="yellow"/>
              </w:rPr>
              <w:t xml:space="preserve">230 clinical records were reviewed. Men represented 52.2%; The </w:t>
            </w:r>
            <w:r w:rsidR="00191785" w:rsidRPr="00FD6022">
              <w:rPr>
                <w:rFonts w:ascii="Arial" w:eastAsia="Arial" w:hAnsi="Arial" w:cs="Arial"/>
                <w:color w:val="000000"/>
                <w:highlight w:val="yellow"/>
              </w:rPr>
              <w:t>mean</w:t>
            </w:r>
            <w:r w:rsidR="00990D52" w:rsidRPr="00FD6022">
              <w:rPr>
                <w:rFonts w:ascii="Arial" w:eastAsia="Arial" w:hAnsi="Arial" w:cs="Arial"/>
                <w:color w:val="000000"/>
                <w:highlight w:val="yellow"/>
              </w:rPr>
              <w:t xml:space="preserve"> age was 66.1 ± 7.1 years. </w:t>
            </w:r>
            <w:r w:rsidR="00FD6022" w:rsidRPr="00FD6022">
              <w:rPr>
                <w:rFonts w:ascii="Arial" w:eastAsia="Arial" w:hAnsi="Arial" w:cs="Arial"/>
                <w:color w:val="000000"/>
                <w:highlight w:val="yellow"/>
              </w:rPr>
              <w:t>All patients presented with SOFA ≥ 2; C-reactive protein ≥ 0.3 (mg/L); erythrocyte sedimentation rate &gt; 20 (mm/h); leukocytes &gt; 10 (x 10³/mm³); oxygen saturation &lt; 95 (%); and partial pressure of oxygen &lt; 75 mmHg. 56.5% had Glasgow Coma Scale scores of 3-8; 91.3 % body temperature &gt; 37 (°C); 69.6 % heart rate &gt; 100 bpm; 13 % systolic blood pressure &gt; 120 (mmHg); 39.1 % hemoglobin &lt; 10 (g/dL); 52.2 % platelets &lt; 150 (x 10³/mm³); 78.3 % bicarbonate &lt; 22 (</w:t>
            </w:r>
            <w:proofErr w:type="spellStart"/>
            <w:r w:rsidR="00FD6022" w:rsidRPr="00FD6022">
              <w:rPr>
                <w:rFonts w:ascii="Arial" w:eastAsia="Arial" w:hAnsi="Arial" w:cs="Arial"/>
                <w:color w:val="000000"/>
                <w:highlight w:val="yellow"/>
              </w:rPr>
              <w:t>mEq</w:t>
            </w:r>
            <w:proofErr w:type="spellEnd"/>
            <w:r w:rsidR="00FD6022" w:rsidRPr="00FD6022">
              <w:rPr>
                <w:rFonts w:ascii="Arial" w:eastAsia="Arial" w:hAnsi="Arial" w:cs="Arial"/>
                <w:color w:val="000000"/>
                <w:highlight w:val="yellow"/>
              </w:rPr>
              <w:t>/L); 39.1 % serum sodium &lt; 135 (</w:t>
            </w:r>
            <w:proofErr w:type="spellStart"/>
            <w:r w:rsidR="00FD6022" w:rsidRPr="00FD6022">
              <w:rPr>
                <w:rFonts w:ascii="Arial" w:eastAsia="Arial" w:hAnsi="Arial" w:cs="Arial"/>
                <w:color w:val="000000"/>
                <w:highlight w:val="yellow"/>
              </w:rPr>
              <w:t>mEq</w:t>
            </w:r>
            <w:proofErr w:type="spellEnd"/>
            <w:r w:rsidR="00FD6022" w:rsidRPr="00FD6022">
              <w:rPr>
                <w:rFonts w:ascii="Arial" w:eastAsia="Arial" w:hAnsi="Arial" w:cs="Arial"/>
                <w:color w:val="000000"/>
                <w:highlight w:val="yellow"/>
              </w:rPr>
              <w:t>/L). 52.2 % serum lactate &gt; 1.5 (mmol/L); 87 % BUN &gt; 25 (mg/dL); 69.6 % serum creatinine &gt; 1.3 (mg/dL); 47.8 % ALT &gt; 36 (U/L); 56.5 % AST &gt; 33 (U/L); 39.1 % INR &gt; 1.2; 73.9 % albumin &lt; 3.4 (g/dL) ; and 87 % serum glucose &gt; 110 (mg/dL). The observed mortality rate was 26.1%.</w:t>
            </w:r>
          </w:p>
          <w:p w14:paraId="141362F3" w14:textId="055A826F" w:rsidR="00883203" w:rsidRDefault="00B10F31" w:rsidP="008607ED">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Conclusion:</w:t>
            </w:r>
            <w:r w:rsidRPr="00EE7CC2">
              <w:rPr>
                <w:rFonts w:ascii="Arial" w:eastAsia="Arial" w:hAnsi="Arial" w:cs="Arial"/>
                <w:color w:val="000000"/>
              </w:rPr>
              <w:t xml:space="preserve"> </w:t>
            </w:r>
            <w:r w:rsidR="003162A5" w:rsidRPr="003162A5">
              <w:rPr>
                <w:rFonts w:ascii="Arial" w:eastAsia="Arial" w:hAnsi="Arial" w:cs="Arial"/>
                <w:color w:val="000000"/>
                <w:highlight w:val="yellow"/>
              </w:rPr>
              <w:t xml:space="preserve">Impaired organ function is common in patients with sepsis of pulmonary origin in southeastern Mexico. The prevailing epidemiological context increases the risk of associated mortality. </w:t>
            </w:r>
          </w:p>
          <w:p w14:paraId="46C7C04B" w14:textId="77777777" w:rsidR="00121BBC" w:rsidRPr="00EE7CC2" w:rsidRDefault="00121BBC" w:rsidP="008607ED">
            <w:pPr>
              <w:pBdr>
                <w:top w:val="nil"/>
                <w:left w:val="nil"/>
                <w:bottom w:val="nil"/>
                <w:right w:val="nil"/>
                <w:between w:val="nil"/>
              </w:pBdr>
              <w:jc w:val="both"/>
              <w:rPr>
                <w:rFonts w:ascii="Arial" w:eastAsia="Arial" w:hAnsi="Arial" w:cs="Arial"/>
                <w:color w:val="000000"/>
              </w:rPr>
            </w:pPr>
          </w:p>
        </w:tc>
      </w:tr>
    </w:tbl>
    <w:p w14:paraId="54A777F2" w14:textId="77777777" w:rsidR="00121BBC" w:rsidRDefault="00121BBC" w:rsidP="00900EE4">
      <w:pPr>
        <w:pStyle w:val="Body"/>
        <w:spacing w:after="0"/>
        <w:rPr>
          <w:rFonts w:ascii="Arial" w:hAnsi="Arial" w:cs="Arial"/>
          <w:i/>
        </w:rPr>
      </w:pPr>
    </w:p>
    <w:p w14:paraId="37B15190" w14:textId="77777777" w:rsidR="00900EE4" w:rsidRDefault="00A24E7E" w:rsidP="00900EE4">
      <w:pPr>
        <w:pStyle w:val="Body"/>
        <w:spacing w:after="0"/>
        <w:rPr>
          <w:rFonts w:ascii="Arial" w:hAnsi="Arial" w:cs="Arial"/>
          <w:i/>
        </w:rPr>
      </w:pPr>
      <w:r w:rsidRPr="00EE7CC2">
        <w:rPr>
          <w:rFonts w:ascii="Arial" w:hAnsi="Arial" w:cs="Arial"/>
          <w:i/>
        </w:rPr>
        <w:t>Keywords:</w:t>
      </w:r>
      <w:r w:rsidR="00F00250" w:rsidRPr="00EE7CC2">
        <w:rPr>
          <w:rFonts w:ascii="Arial" w:hAnsi="Arial" w:cs="Arial"/>
          <w:i/>
        </w:rPr>
        <w:t xml:space="preserve"> </w:t>
      </w:r>
      <w:r w:rsidR="00C167E4" w:rsidRPr="00EE7CC2">
        <w:rPr>
          <w:rFonts w:ascii="Arial" w:hAnsi="Arial" w:cs="Arial"/>
          <w:i/>
        </w:rPr>
        <w:t>bioch</w:t>
      </w:r>
      <w:r w:rsidR="00121BBC">
        <w:rPr>
          <w:rFonts w:ascii="Arial" w:hAnsi="Arial" w:cs="Arial"/>
          <w:i/>
        </w:rPr>
        <w:t>emical indicators, biomarker,</w:t>
      </w:r>
      <w:r w:rsidR="007C435A">
        <w:rPr>
          <w:rFonts w:ascii="Arial" w:hAnsi="Arial" w:cs="Arial"/>
          <w:i/>
        </w:rPr>
        <w:t xml:space="preserve"> </w:t>
      </w:r>
      <w:r w:rsidR="007C435A" w:rsidRPr="007C435A">
        <w:rPr>
          <w:rFonts w:ascii="Arial" w:hAnsi="Arial" w:cs="Arial"/>
          <w:i/>
        </w:rPr>
        <w:t>Glasgow Coma Scale</w:t>
      </w:r>
      <w:r w:rsidR="00121BBC">
        <w:rPr>
          <w:rFonts w:ascii="Arial" w:hAnsi="Arial" w:cs="Arial"/>
          <w:i/>
        </w:rPr>
        <w:t xml:space="preserve">, </w:t>
      </w:r>
      <w:r w:rsidR="00C167E4" w:rsidRPr="00EE7CC2">
        <w:rPr>
          <w:rFonts w:ascii="Arial" w:hAnsi="Arial" w:cs="Arial"/>
          <w:i/>
        </w:rPr>
        <w:t xml:space="preserve">hematological indicators, </w:t>
      </w:r>
      <w:r w:rsidR="00121BBC" w:rsidRPr="00121BBC">
        <w:rPr>
          <w:rFonts w:ascii="Arial" w:hAnsi="Arial" w:cs="Arial"/>
          <w:i/>
        </w:rPr>
        <w:t>septic shock;</w:t>
      </w:r>
      <w:r w:rsidR="00121BBC">
        <w:rPr>
          <w:rFonts w:ascii="Arial" w:hAnsi="Arial" w:cs="Arial"/>
          <w:i/>
        </w:rPr>
        <w:t xml:space="preserve"> SOFA</w:t>
      </w:r>
      <w:r w:rsidR="00121BBC" w:rsidRPr="00121BBC">
        <w:rPr>
          <w:rFonts w:ascii="Arial" w:hAnsi="Arial" w:cs="Arial"/>
          <w:i/>
        </w:rPr>
        <w:t>.</w:t>
      </w:r>
    </w:p>
    <w:p w14:paraId="2892C234" w14:textId="77777777" w:rsidR="0001735C" w:rsidRDefault="0001735C" w:rsidP="00900EE4">
      <w:pPr>
        <w:pStyle w:val="Body"/>
        <w:spacing w:after="0"/>
        <w:rPr>
          <w:rFonts w:ascii="Arial" w:hAnsi="Arial" w:cs="Arial"/>
          <w:i/>
        </w:rPr>
      </w:pPr>
    </w:p>
    <w:p w14:paraId="213103E8" w14:textId="77777777" w:rsidR="00977EED" w:rsidRDefault="00B87E92" w:rsidP="00977EED">
      <w:pPr>
        <w:pStyle w:val="Body"/>
        <w:spacing w:after="0"/>
        <w:rPr>
          <w:rFonts w:ascii="Arial" w:hAnsi="Arial" w:cs="Arial"/>
          <w:b/>
          <w:sz w:val="22"/>
          <w:szCs w:val="22"/>
        </w:rPr>
      </w:pPr>
      <w:r w:rsidRPr="00EE7CC2">
        <w:rPr>
          <w:rFonts w:ascii="Arial" w:hAnsi="Arial" w:cs="Arial"/>
          <w:b/>
          <w:sz w:val="22"/>
          <w:szCs w:val="22"/>
        </w:rPr>
        <w:t>1. INTRODUCTION</w:t>
      </w:r>
    </w:p>
    <w:p w14:paraId="706FABE7" w14:textId="77777777" w:rsidR="00977EED" w:rsidRDefault="00977EED" w:rsidP="00977EED">
      <w:pPr>
        <w:pStyle w:val="Body"/>
        <w:spacing w:after="0"/>
        <w:rPr>
          <w:rFonts w:ascii="Arial" w:eastAsia="Arial" w:hAnsi="Arial" w:cs="Arial"/>
          <w:color w:val="000000"/>
        </w:rPr>
      </w:pPr>
    </w:p>
    <w:p w14:paraId="0722A7D8" w14:textId="77777777" w:rsidR="00977EED" w:rsidRDefault="00977EED" w:rsidP="00977EED">
      <w:pPr>
        <w:pStyle w:val="Body"/>
        <w:spacing w:after="0"/>
        <w:rPr>
          <w:rFonts w:ascii="Arial" w:eastAsia="Arial" w:hAnsi="Arial" w:cs="Arial"/>
          <w:color w:val="000000"/>
        </w:rPr>
      </w:pPr>
      <w:r>
        <w:rPr>
          <w:rFonts w:ascii="Arial" w:eastAsia="Arial" w:hAnsi="Arial" w:cs="Arial"/>
          <w:color w:val="000000"/>
        </w:rPr>
        <w:t>T</w:t>
      </w:r>
      <w:r w:rsidRPr="00977EED">
        <w:rPr>
          <w:rFonts w:ascii="Arial" w:eastAsia="Arial" w:hAnsi="Arial" w:cs="Arial"/>
          <w:color w:val="000000"/>
        </w:rPr>
        <w:t xml:space="preserve">he immune system comprises a set of molecules, cells, and tissues designed to protect against agents that disrupt biochemical balance. Infectious agents in a susceptible host trigger the activation of various immunological mechanisms to neutralize them and maintain homeostasis (Arvaniti et al., 2022; </w:t>
      </w:r>
      <w:proofErr w:type="spellStart"/>
      <w:r w:rsidRPr="00977EED">
        <w:rPr>
          <w:rFonts w:ascii="Arial" w:eastAsia="Arial" w:hAnsi="Arial" w:cs="Arial"/>
          <w:color w:val="000000"/>
        </w:rPr>
        <w:t>Mirijello</w:t>
      </w:r>
      <w:proofErr w:type="spellEnd"/>
      <w:r w:rsidRPr="00977EED">
        <w:rPr>
          <w:rFonts w:ascii="Arial" w:eastAsia="Arial" w:hAnsi="Arial" w:cs="Arial"/>
          <w:color w:val="000000"/>
        </w:rPr>
        <w:t xml:space="preserve"> &amp; </w:t>
      </w:r>
      <w:proofErr w:type="spellStart"/>
      <w:r w:rsidRPr="00977EED">
        <w:rPr>
          <w:rFonts w:ascii="Arial" w:eastAsia="Arial" w:hAnsi="Arial" w:cs="Arial"/>
          <w:color w:val="000000"/>
        </w:rPr>
        <w:t>Tosoni</w:t>
      </w:r>
      <w:proofErr w:type="spellEnd"/>
      <w:r w:rsidRPr="00977EED">
        <w:rPr>
          <w:rFonts w:ascii="Arial" w:eastAsia="Arial" w:hAnsi="Arial" w:cs="Arial"/>
          <w:color w:val="000000"/>
        </w:rPr>
        <w:t>, 2020).</w:t>
      </w:r>
      <w:r>
        <w:rPr>
          <w:rFonts w:ascii="Arial" w:eastAsia="Arial" w:hAnsi="Arial" w:cs="Arial"/>
          <w:color w:val="000000"/>
        </w:rPr>
        <w:t xml:space="preserve"> </w:t>
      </w:r>
    </w:p>
    <w:p w14:paraId="578DC4BC" w14:textId="77777777" w:rsidR="00977EED" w:rsidRDefault="00977EED" w:rsidP="00977EED">
      <w:pPr>
        <w:pStyle w:val="Body"/>
        <w:spacing w:after="0"/>
        <w:rPr>
          <w:rFonts w:ascii="Arial" w:eastAsia="Arial" w:hAnsi="Arial" w:cs="Arial"/>
          <w:color w:val="000000"/>
        </w:rPr>
      </w:pPr>
    </w:p>
    <w:p w14:paraId="74C15422" w14:textId="77777777" w:rsidR="00977EED" w:rsidRDefault="00977EED" w:rsidP="00977EED">
      <w:pPr>
        <w:pStyle w:val="Body"/>
        <w:spacing w:after="0"/>
        <w:rPr>
          <w:rFonts w:ascii="Arial" w:eastAsia="Arial" w:hAnsi="Arial" w:cs="Arial"/>
          <w:color w:val="000000"/>
        </w:rPr>
      </w:pPr>
      <w:r>
        <w:rPr>
          <w:rFonts w:ascii="Arial" w:eastAsia="Arial" w:hAnsi="Arial" w:cs="Arial"/>
          <w:color w:val="000000"/>
        </w:rPr>
        <w:lastRenderedPageBreak/>
        <w:t>S</w:t>
      </w:r>
      <w:r w:rsidRPr="00977EED">
        <w:rPr>
          <w:rFonts w:ascii="Arial" w:eastAsia="Arial" w:hAnsi="Arial" w:cs="Arial"/>
          <w:color w:val="000000"/>
        </w:rPr>
        <w:t>epsis is a complication resulting from an unbalanced and abnormal immune response to an acute infectious process. This response activates pro- and anti-inflammatory mechanisms to help control the infection and promote the recovery of affected tissues and organs (Van der Poll et al., 2021; Zhang &amp; Ning, 2021). Sepsis has been defined as a suspected or confirmed infectious process accompanied by systemic manifestations. The presence of organ dysfunction is characteristic of severe sepsis due to an inadequate host response to the infectious process (Hollenberg &amp; Singer, 2021).</w:t>
      </w:r>
    </w:p>
    <w:p w14:paraId="37C59583" w14:textId="77777777" w:rsidR="00977EED" w:rsidRDefault="00977EED" w:rsidP="00977EED">
      <w:pPr>
        <w:pStyle w:val="Body"/>
        <w:spacing w:after="0"/>
        <w:rPr>
          <w:rFonts w:ascii="Arial" w:eastAsia="Arial" w:hAnsi="Arial" w:cs="Arial"/>
          <w:color w:val="000000"/>
        </w:rPr>
      </w:pPr>
    </w:p>
    <w:p w14:paraId="3205917E" w14:textId="77777777" w:rsidR="00977EED" w:rsidRDefault="00977EED" w:rsidP="00977EED">
      <w:pPr>
        <w:pStyle w:val="Body"/>
        <w:spacing w:after="0"/>
        <w:rPr>
          <w:rFonts w:ascii="Arial" w:eastAsia="Arial" w:hAnsi="Arial" w:cs="Arial"/>
          <w:color w:val="000000"/>
        </w:rPr>
      </w:pPr>
      <w:r w:rsidRPr="00977EED">
        <w:rPr>
          <w:rFonts w:ascii="Arial" w:eastAsia="Arial" w:hAnsi="Arial" w:cs="Arial"/>
          <w:color w:val="000000"/>
        </w:rPr>
        <w:t>The systemic inflammatory response is characteristic of severe clinical lesions, manifesting as body temperature &lt;</w:t>
      </w:r>
      <w:r>
        <w:rPr>
          <w:rFonts w:ascii="Arial" w:eastAsia="Arial" w:hAnsi="Arial" w:cs="Arial"/>
          <w:color w:val="000000"/>
        </w:rPr>
        <w:t xml:space="preserve"> </w:t>
      </w:r>
      <w:r w:rsidRPr="00977EED">
        <w:rPr>
          <w:rFonts w:ascii="Arial" w:eastAsia="Arial" w:hAnsi="Arial" w:cs="Arial"/>
          <w:color w:val="000000"/>
        </w:rPr>
        <w:t>36</w:t>
      </w:r>
      <w:r>
        <w:rPr>
          <w:rFonts w:ascii="Arial" w:eastAsia="Arial" w:hAnsi="Arial" w:cs="Arial"/>
          <w:color w:val="000000"/>
        </w:rPr>
        <w:t xml:space="preserve"> (</w:t>
      </w:r>
      <w:r w:rsidRPr="00977EED">
        <w:rPr>
          <w:rFonts w:ascii="Arial" w:eastAsia="Arial" w:hAnsi="Arial" w:cs="Arial"/>
          <w:color w:val="000000"/>
        </w:rPr>
        <w:t>°C</w:t>
      </w:r>
      <w:r>
        <w:rPr>
          <w:rFonts w:ascii="Arial" w:eastAsia="Arial" w:hAnsi="Arial" w:cs="Arial"/>
          <w:color w:val="000000"/>
        </w:rPr>
        <w:t>)</w:t>
      </w:r>
      <w:r w:rsidRPr="00977EED">
        <w:rPr>
          <w:rFonts w:ascii="Arial" w:eastAsia="Arial" w:hAnsi="Arial" w:cs="Arial"/>
          <w:color w:val="000000"/>
        </w:rPr>
        <w:t xml:space="preserve"> or &gt;</w:t>
      </w:r>
      <w:r>
        <w:rPr>
          <w:rFonts w:ascii="Arial" w:eastAsia="Arial" w:hAnsi="Arial" w:cs="Arial"/>
          <w:color w:val="000000"/>
        </w:rPr>
        <w:t xml:space="preserve"> </w:t>
      </w:r>
      <w:r w:rsidRPr="00977EED">
        <w:rPr>
          <w:rFonts w:ascii="Arial" w:eastAsia="Arial" w:hAnsi="Arial" w:cs="Arial"/>
          <w:color w:val="000000"/>
        </w:rPr>
        <w:t>38</w:t>
      </w:r>
      <w:r>
        <w:rPr>
          <w:rFonts w:ascii="Arial" w:eastAsia="Arial" w:hAnsi="Arial" w:cs="Arial"/>
          <w:color w:val="000000"/>
        </w:rPr>
        <w:t xml:space="preserve"> (</w:t>
      </w:r>
      <w:r w:rsidRPr="00977EED">
        <w:rPr>
          <w:rFonts w:ascii="Arial" w:eastAsia="Arial" w:hAnsi="Arial" w:cs="Arial"/>
          <w:color w:val="000000"/>
        </w:rPr>
        <w:t>°C</w:t>
      </w:r>
      <w:r>
        <w:rPr>
          <w:rFonts w:ascii="Arial" w:eastAsia="Arial" w:hAnsi="Arial" w:cs="Arial"/>
          <w:color w:val="000000"/>
        </w:rPr>
        <w:t>)</w:t>
      </w:r>
      <w:r w:rsidRPr="00977EED">
        <w:rPr>
          <w:rFonts w:ascii="Arial" w:eastAsia="Arial" w:hAnsi="Arial" w:cs="Arial"/>
          <w:color w:val="000000"/>
        </w:rPr>
        <w:t>, heart rate &gt;</w:t>
      </w:r>
      <w:r w:rsidR="006C6BBE">
        <w:rPr>
          <w:rFonts w:ascii="Arial" w:eastAsia="Arial" w:hAnsi="Arial" w:cs="Arial"/>
          <w:color w:val="000000"/>
        </w:rPr>
        <w:t xml:space="preserve"> </w:t>
      </w:r>
      <w:r w:rsidRPr="00977EED">
        <w:rPr>
          <w:rFonts w:ascii="Arial" w:eastAsia="Arial" w:hAnsi="Arial" w:cs="Arial"/>
          <w:color w:val="000000"/>
        </w:rPr>
        <w:t>90 bpm, respiratory rate &gt;</w:t>
      </w:r>
      <w:r w:rsidR="006C6BBE">
        <w:rPr>
          <w:rFonts w:ascii="Arial" w:eastAsia="Arial" w:hAnsi="Arial" w:cs="Arial"/>
          <w:color w:val="000000"/>
        </w:rPr>
        <w:t xml:space="preserve"> </w:t>
      </w:r>
      <w:r w:rsidRPr="00977EED">
        <w:rPr>
          <w:rFonts w:ascii="Arial" w:eastAsia="Arial" w:hAnsi="Arial" w:cs="Arial"/>
          <w:color w:val="000000"/>
        </w:rPr>
        <w:t xml:space="preserve">20 per minute, and </w:t>
      </w:r>
      <w:r w:rsidR="006C6BBE" w:rsidRPr="00990D52">
        <w:rPr>
          <w:rFonts w:ascii="Arial" w:eastAsia="Arial" w:hAnsi="Arial" w:cs="Arial"/>
          <w:color w:val="000000"/>
        </w:rPr>
        <w:t>leukocytes</w:t>
      </w:r>
      <w:r w:rsidR="006C6BBE" w:rsidRPr="00977EED">
        <w:rPr>
          <w:rFonts w:ascii="Arial" w:eastAsia="Arial" w:hAnsi="Arial" w:cs="Arial"/>
          <w:color w:val="000000"/>
        </w:rPr>
        <w:t xml:space="preserve"> </w:t>
      </w:r>
      <w:r w:rsidRPr="00977EED">
        <w:rPr>
          <w:rFonts w:ascii="Arial" w:eastAsia="Arial" w:hAnsi="Arial" w:cs="Arial"/>
          <w:color w:val="000000"/>
        </w:rPr>
        <w:t>&lt;</w:t>
      </w:r>
      <w:r w:rsidR="006C6BBE">
        <w:rPr>
          <w:rFonts w:ascii="Arial" w:eastAsia="Arial" w:hAnsi="Arial" w:cs="Arial"/>
          <w:color w:val="000000"/>
        </w:rPr>
        <w:t xml:space="preserve"> </w:t>
      </w:r>
      <w:r w:rsidRPr="00977EED">
        <w:rPr>
          <w:rFonts w:ascii="Arial" w:eastAsia="Arial" w:hAnsi="Arial" w:cs="Arial"/>
          <w:color w:val="000000"/>
        </w:rPr>
        <w:t>4000 cells</w:t>
      </w:r>
      <w:r w:rsidR="006C6BBE">
        <w:rPr>
          <w:rFonts w:ascii="Arial" w:eastAsia="Arial" w:hAnsi="Arial" w:cs="Arial"/>
          <w:color w:val="000000"/>
        </w:rPr>
        <w:t xml:space="preserve"> </w:t>
      </w:r>
      <w:r w:rsidRPr="00977EED">
        <w:rPr>
          <w:rFonts w:ascii="Arial" w:eastAsia="Arial" w:hAnsi="Arial" w:cs="Arial"/>
          <w:color w:val="000000"/>
        </w:rPr>
        <w:t>/</w:t>
      </w:r>
      <w:r w:rsidR="006C6BBE">
        <w:rPr>
          <w:rFonts w:ascii="Arial" w:eastAsia="Arial" w:hAnsi="Arial" w:cs="Arial"/>
          <w:color w:val="000000"/>
        </w:rPr>
        <w:t xml:space="preserve"> </w:t>
      </w:r>
      <w:r w:rsidRPr="00977EED">
        <w:rPr>
          <w:rFonts w:ascii="Arial" w:eastAsia="Arial" w:hAnsi="Arial" w:cs="Arial"/>
          <w:color w:val="000000"/>
        </w:rPr>
        <w:t>µL or &gt;</w:t>
      </w:r>
      <w:r w:rsidR="006C6BBE">
        <w:rPr>
          <w:rFonts w:ascii="Arial" w:eastAsia="Arial" w:hAnsi="Arial" w:cs="Arial"/>
          <w:color w:val="000000"/>
        </w:rPr>
        <w:t xml:space="preserve"> </w:t>
      </w:r>
      <w:r w:rsidRPr="00977EED">
        <w:rPr>
          <w:rFonts w:ascii="Arial" w:eastAsia="Arial" w:hAnsi="Arial" w:cs="Arial"/>
          <w:color w:val="000000"/>
        </w:rPr>
        <w:t>12000 cells</w:t>
      </w:r>
      <w:r w:rsidR="006C6BBE">
        <w:rPr>
          <w:rFonts w:ascii="Arial" w:eastAsia="Arial" w:hAnsi="Arial" w:cs="Arial"/>
          <w:color w:val="000000"/>
        </w:rPr>
        <w:t xml:space="preserve"> </w:t>
      </w:r>
      <w:r w:rsidRPr="00977EED">
        <w:rPr>
          <w:rFonts w:ascii="Arial" w:eastAsia="Arial" w:hAnsi="Arial" w:cs="Arial"/>
          <w:color w:val="000000"/>
        </w:rPr>
        <w:t>/</w:t>
      </w:r>
      <w:r w:rsidR="006C6BBE">
        <w:rPr>
          <w:rFonts w:ascii="Arial" w:eastAsia="Arial" w:hAnsi="Arial" w:cs="Arial"/>
          <w:color w:val="000000"/>
        </w:rPr>
        <w:t xml:space="preserve"> </w:t>
      </w:r>
      <w:r w:rsidRPr="00977EED">
        <w:rPr>
          <w:rFonts w:ascii="Arial" w:eastAsia="Arial" w:hAnsi="Arial" w:cs="Arial"/>
          <w:color w:val="000000"/>
        </w:rPr>
        <w:t>µL (Wang &amp; Liu, 2023). The therapeutic approach to sepsis encompasses different aspects. One of the most important is achieving normal macro- and microhemodynamic levels. However, this is complicated by the presence of reduced intravascular volume, circulatory obstruction, and alterations in peripheral circulation. Therefore, the evaluation of variables associated with organ function is fundamental to reducing complications and mortality (Egi et al., 2021).</w:t>
      </w:r>
    </w:p>
    <w:p w14:paraId="1AAB4C84" w14:textId="77777777" w:rsidR="00977EED" w:rsidRDefault="00977EED" w:rsidP="00977EED">
      <w:pPr>
        <w:pStyle w:val="Body"/>
        <w:spacing w:after="0"/>
        <w:rPr>
          <w:rFonts w:ascii="Arial" w:eastAsia="Arial" w:hAnsi="Arial" w:cs="Arial"/>
          <w:color w:val="000000"/>
        </w:rPr>
      </w:pPr>
    </w:p>
    <w:p w14:paraId="38A33134" w14:textId="77777777" w:rsidR="00977EED" w:rsidRDefault="00977EED" w:rsidP="00977EED">
      <w:pPr>
        <w:pStyle w:val="Body"/>
        <w:spacing w:after="0"/>
        <w:rPr>
          <w:rFonts w:ascii="Arial" w:eastAsia="Arial" w:hAnsi="Arial" w:cs="Arial"/>
          <w:color w:val="000000"/>
        </w:rPr>
      </w:pPr>
      <w:r w:rsidRPr="00977EED">
        <w:rPr>
          <w:rFonts w:ascii="Arial" w:eastAsia="Arial" w:hAnsi="Arial" w:cs="Arial"/>
          <w:color w:val="000000"/>
        </w:rPr>
        <w:t>Sepsis is a leading cause of hospitalization worldwide, with a mortality rate of 10–40</w:t>
      </w:r>
      <w:r w:rsidR="006C6BBE">
        <w:rPr>
          <w:rFonts w:ascii="Arial" w:eastAsia="Arial" w:hAnsi="Arial" w:cs="Arial"/>
          <w:color w:val="000000"/>
        </w:rPr>
        <w:t xml:space="preserve"> </w:t>
      </w:r>
      <w:r w:rsidRPr="00977EED">
        <w:rPr>
          <w:rFonts w:ascii="Arial" w:eastAsia="Arial" w:hAnsi="Arial" w:cs="Arial"/>
          <w:color w:val="000000"/>
        </w:rPr>
        <w:t>%, primarily due to severe metabolic disturbances, highlighting the importance of timely diagnosis and treatment (Egi et al., 2021). It is estimated that 31 million people worldwide develop sepsis annually, of whom 19</w:t>
      </w:r>
      <w:r w:rsidR="006C6BBE">
        <w:rPr>
          <w:rFonts w:ascii="Arial" w:eastAsia="Arial" w:hAnsi="Arial" w:cs="Arial"/>
          <w:color w:val="000000"/>
        </w:rPr>
        <w:t xml:space="preserve"> </w:t>
      </w:r>
      <w:r w:rsidRPr="00977EED">
        <w:rPr>
          <w:rFonts w:ascii="Arial" w:eastAsia="Arial" w:hAnsi="Arial" w:cs="Arial"/>
          <w:color w:val="000000"/>
        </w:rPr>
        <w:t>% die (PAHO, 2024).</w:t>
      </w:r>
    </w:p>
    <w:p w14:paraId="67A37C25" w14:textId="77777777" w:rsidR="00977EED" w:rsidRDefault="00977EED" w:rsidP="00977EED">
      <w:pPr>
        <w:pStyle w:val="Body"/>
        <w:spacing w:after="0"/>
        <w:rPr>
          <w:rFonts w:ascii="Arial" w:eastAsia="Arial" w:hAnsi="Arial" w:cs="Arial"/>
          <w:color w:val="000000"/>
        </w:rPr>
      </w:pPr>
    </w:p>
    <w:p w14:paraId="05DE72A2" w14:textId="77777777" w:rsidR="00DF6BC2" w:rsidRDefault="00977EED" w:rsidP="00977EED">
      <w:pPr>
        <w:pStyle w:val="Body"/>
        <w:spacing w:after="0"/>
        <w:rPr>
          <w:rFonts w:ascii="Arial" w:eastAsia="Arial" w:hAnsi="Arial" w:cs="Arial"/>
          <w:color w:val="000000"/>
        </w:rPr>
      </w:pPr>
      <w:r w:rsidRPr="00977EED">
        <w:rPr>
          <w:rFonts w:ascii="Arial" w:eastAsia="Arial" w:hAnsi="Arial" w:cs="Arial"/>
          <w:color w:val="000000"/>
        </w:rPr>
        <w:t>In Mexico, at least 140,000 hospital discharges associated with sepsis are recorded annually. An estimated 27</w:t>
      </w:r>
      <w:r w:rsidR="006C6BBE">
        <w:rPr>
          <w:rFonts w:ascii="Arial" w:eastAsia="Arial" w:hAnsi="Arial" w:cs="Arial"/>
          <w:color w:val="000000"/>
        </w:rPr>
        <w:t xml:space="preserve"> </w:t>
      </w:r>
      <w:r w:rsidRPr="00977EED">
        <w:rPr>
          <w:rFonts w:ascii="Arial" w:eastAsia="Arial" w:hAnsi="Arial" w:cs="Arial"/>
          <w:color w:val="000000"/>
        </w:rPr>
        <w:t>% will require admission to the Intensive Care Unit. The reported mortality rate is close to 30% (</w:t>
      </w:r>
      <w:proofErr w:type="spellStart"/>
      <w:r w:rsidRPr="00977EED">
        <w:rPr>
          <w:rFonts w:ascii="Arial" w:eastAsia="Arial" w:hAnsi="Arial" w:cs="Arial"/>
          <w:color w:val="000000"/>
        </w:rPr>
        <w:t>Gorordo</w:t>
      </w:r>
      <w:proofErr w:type="spellEnd"/>
      <w:r w:rsidRPr="00977EED">
        <w:rPr>
          <w:rFonts w:ascii="Arial" w:eastAsia="Arial" w:hAnsi="Arial" w:cs="Arial"/>
          <w:color w:val="000000"/>
        </w:rPr>
        <w:t xml:space="preserve"> et al., 2021). The national incidence rate is 30.8 per 10,000 discharges, and in the state of Yucatán, it is 46.6 per 10,000 discharges. </w:t>
      </w:r>
      <w:r w:rsidR="00DC0510" w:rsidRPr="00DC0510">
        <w:rPr>
          <w:rFonts w:ascii="Arial" w:eastAsia="Arial" w:hAnsi="Arial" w:cs="Arial"/>
          <w:color w:val="000000"/>
        </w:rPr>
        <w:t xml:space="preserve">The main cases of sepsis are origin in genitourinary tract and the lungs </w:t>
      </w:r>
      <w:r w:rsidRPr="00977EED">
        <w:rPr>
          <w:rFonts w:ascii="Arial" w:eastAsia="Arial" w:hAnsi="Arial" w:cs="Arial"/>
          <w:color w:val="000000"/>
        </w:rPr>
        <w:t>(CONAMED &amp; PAHO, 2018). The epidemiological importance of sepsis necessitates studies to determine organ function and mortality observed in patients with sepsis of pulmonary origin in southeastern Mexico.</w:t>
      </w:r>
    </w:p>
    <w:p w14:paraId="41E06680" w14:textId="77777777" w:rsidR="00852FAC" w:rsidRDefault="00852FAC" w:rsidP="00977EED">
      <w:pPr>
        <w:pStyle w:val="Body"/>
        <w:spacing w:after="0"/>
        <w:rPr>
          <w:rFonts w:ascii="Arial" w:eastAsia="Arial" w:hAnsi="Arial" w:cs="Arial"/>
          <w:color w:val="000000"/>
        </w:rPr>
      </w:pPr>
    </w:p>
    <w:p w14:paraId="58C91870" w14:textId="77777777" w:rsidR="007F7B32" w:rsidRPr="00EE7CC2" w:rsidRDefault="00902823" w:rsidP="00F37922">
      <w:pPr>
        <w:pStyle w:val="AbstHead"/>
        <w:spacing w:after="0"/>
        <w:jc w:val="both"/>
        <w:rPr>
          <w:rFonts w:ascii="Arial" w:hAnsi="Arial" w:cs="Arial"/>
        </w:rPr>
      </w:pPr>
      <w:r w:rsidRPr="00EE7CC2">
        <w:rPr>
          <w:rFonts w:ascii="Arial" w:hAnsi="Arial" w:cs="Arial"/>
        </w:rPr>
        <w:t xml:space="preserve">2. </w:t>
      </w:r>
      <w:r w:rsidR="00B83B36" w:rsidRPr="00EE7CC2">
        <w:rPr>
          <w:rFonts w:ascii="Arial" w:hAnsi="Arial" w:cs="Arial"/>
        </w:rPr>
        <w:t>METHODOLOGY</w:t>
      </w:r>
    </w:p>
    <w:p w14:paraId="35BB55A8" w14:textId="77777777" w:rsidR="00F37922" w:rsidRPr="00EE7CC2" w:rsidRDefault="00F37922" w:rsidP="00F37922">
      <w:pPr>
        <w:pStyle w:val="AbstHead"/>
        <w:spacing w:after="0"/>
        <w:jc w:val="both"/>
        <w:rPr>
          <w:rFonts w:ascii="Arial" w:hAnsi="Arial" w:cs="Arial"/>
          <w:sz w:val="20"/>
        </w:rPr>
      </w:pPr>
    </w:p>
    <w:p w14:paraId="37FAA064" w14:textId="539AA13C" w:rsidR="000D1FD2" w:rsidRPr="00B04DDE" w:rsidRDefault="000D1FD2" w:rsidP="006E36FB">
      <w:pPr>
        <w:autoSpaceDE w:val="0"/>
        <w:autoSpaceDN w:val="0"/>
        <w:adjustRightInd w:val="0"/>
        <w:jc w:val="both"/>
        <w:rPr>
          <w:rFonts w:ascii="Arial" w:hAnsi="Arial"/>
        </w:rPr>
      </w:pPr>
      <w:r w:rsidRPr="006E36FB">
        <w:rPr>
          <w:rFonts w:ascii="Arial" w:eastAsia="Arial" w:hAnsi="Arial" w:cs="Arial"/>
          <w:color w:val="000000"/>
          <w:highlight w:val="yellow"/>
        </w:rPr>
        <w:t xml:space="preserve">The study was descriptive and retrospective in patients of both sexes hospitalized between June and December 2023, aged 40-75 years, with a confirmed diagnosis of sepsis of pulmonary origin. </w:t>
      </w:r>
      <w:r w:rsidRPr="006E36FB">
        <w:rPr>
          <w:rFonts w:ascii="Arial" w:eastAsia="Arial" w:hAnsi="Arial" w:cs="Arial"/>
          <w:highlight w:val="yellow"/>
        </w:rPr>
        <w:t>Medical records were reviewed to co</w:t>
      </w:r>
      <w:r w:rsidRPr="006E36FB">
        <w:rPr>
          <w:rFonts w:ascii="Arial" w:eastAsia="Arial" w:hAnsi="Arial" w:cs="Arial"/>
          <w:highlight w:val="yellow"/>
        </w:rPr>
        <w:t>llect demographic data [age ≥ 18</w:t>
      </w:r>
      <w:r w:rsidRPr="006E36FB">
        <w:rPr>
          <w:rFonts w:ascii="Arial" w:eastAsia="Arial" w:hAnsi="Arial" w:cs="Arial"/>
          <w:highlight w:val="yellow"/>
        </w:rPr>
        <w:t xml:space="preserve"> years]; </w:t>
      </w:r>
      <w:r w:rsidR="00AF53ED" w:rsidRPr="006E36FB">
        <w:rPr>
          <w:rFonts w:ascii="Arial" w:eastAsia="Arial" w:hAnsi="Arial" w:cs="Arial"/>
          <w:highlight w:val="yellow"/>
        </w:rPr>
        <w:t>severity data [</w:t>
      </w:r>
      <w:r w:rsidR="009E0B78" w:rsidRPr="006E36FB">
        <w:rPr>
          <w:rFonts w:ascii="Arial" w:eastAsia="Arial" w:hAnsi="Arial" w:cs="Arial"/>
          <w:color w:val="000000"/>
          <w:highlight w:val="yellow"/>
        </w:rPr>
        <w:t>Glasgow Coma Scale</w:t>
      </w:r>
      <w:r w:rsidR="009E0B78" w:rsidRPr="006E36FB">
        <w:rPr>
          <w:rFonts w:ascii="Arial" w:eastAsia="Arial" w:hAnsi="Arial" w:cs="Arial"/>
          <w:color w:val="000000"/>
          <w:highlight w:val="yellow"/>
        </w:rPr>
        <w:t xml:space="preserve">; </w:t>
      </w:r>
      <w:r w:rsidR="009E0B78" w:rsidRPr="006E36FB">
        <w:rPr>
          <w:rFonts w:ascii="Arial" w:eastAsia="Arial" w:hAnsi="Arial" w:cs="Arial"/>
          <w:color w:val="000000"/>
          <w:highlight w:val="yellow"/>
        </w:rPr>
        <w:t>SOFA</w:t>
      </w:r>
      <w:r w:rsidR="00AF53ED" w:rsidRPr="006E36FB">
        <w:rPr>
          <w:rFonts w:ascii="Arial" w:eastAsia="Arial" w:hAnsi="Arial" w:cs="Arial"/>
          <w:color w:val="000000"/>
          <w:highlight w:val="yellow"/>
        </w:rPr>
        <w:t>]</w:t>
      </w:r>
      <w:r w:rsidR="009E0B78" w:rsidRPr="006E36FB">
        <w:rPr>
          <w:rFonts w:ascii="Arial" w:eastAsia="Arial" w:hAnsi="Arial" w:cs="Arial"/>
          <w:color w:val="000000"/>
          <w:highlight w:val="yellow"/>
        </w:rPr>
        <w:t xml:space="preserve">; </w:t>
      </w:r>
      <w:r w:rsidR="00AF53ED" w:rsidRPr="006E36FB">
        <w:rPr>
          <w:rFonts w:ascii="Arial" w:eastAsia="Arial" w:hAnsi="Arial" w:cs="Arial"/>
          <w:color w:val="000000"/>
          <w:highlight w:val="yellow"/>
        </w:rPr>
        <w:t>hemodynamic a</w:t>
      </w:r>
      <w:r w:rsidR="008F6244" w:rsidRPr="006E36FB">
        <w:rPr>
          <w:rFonts w:ascii="Arial" w:eastAsia="Arial" w:hAnsi="Arial" w:cs="Arial"/>
          <w:color w:val="000000"/>
          <w:highlight w:val="yellow"/>
        </w:rPr>
        <w:t>nd</w:t>
      </w:r>
      <w:r w:rsidR="00AF53ED" w:rsidRPr="006E36FB">
        <w:rPr>
          <w:rFonts w:ascii="Arial" w:eastAsia="Arial" w:hAnsi="Arial" w:cs="Arial"/>
          <w:color w:val="000000"/>
          <w:highlight w:val="yellow"/>
        </w:rPr>
        <w:t xml:space="preserve"> clinics dates [</w:t>
      </w:r>
      <w:r w:rsidR="009E0B78" w:rsidRPr="006E36FB">
        <w:rPr>
          <w:rFonts w:ascii="Arial" w:eastAsia="Arial" w:hAnsi="Arial" w:cs="Arial"/>
          <w:color w:val="000000"/>
          <w:highlight w:val="yellow"/>
        </w:rPr>
        <w:t>body temperature (°C); heart rate (</w:t>
      </w:r>
      <w:proofErr w:type="spellStart"/>
      <w:r w:rsidR="009E0B78" w:rsidRPr="006E36FB">
        <w:rPr>
          <w:rFonts w:ascii="Arial" w:eastAsia="Arial" w:hAnsi="Arial" w:cs="Arial"/>
          <w:color w:val="000000"/>
          <w:highlight w:val="yellow"/>
        </w:rPr>
        <w:t>bpm</w:t>
      </w:r>
      <w:proofErr w:type="spellEnd"/>
      <w:r w:rsidR="009E0B78" w:rsidRPr="006E36FB">
        <w:rPr>
          <w:rFonts w:ascii="Arial" w:eastAsia="Arial" w:hAnsi="Arial" w:cs="Arial"/>
          <w:color w:val="000000"/>
          <w:highlight w:val="yellow"/>
        </w:rPr>
        <w:t>)</w:t>
      </w:r>
      <w:r w:rsidR="009E0B78" w:rsidRPr="006E36FB">
        <w:rPr>
          <w:rFonts w:ascii="Arial" w:eastAsia="Arial" w:hAnsi="Arial" w:cs="Arial"/>
          <w:color w:val="000000"/>
          <w:highlight w:val="yellow"/>
        </w:rPr>
        <w:t>; systolic blood pressure (mmHg)</w:t>
      </w:r>
      <w:r w:rsidR="009E0B78" w:rsidRPr="006E36FB">
        <w:rPr>
          <w:rFonts w:ascii="Arial" w:eastAsia="Arial" w:hAnsi="Arial" w:cs="Arial"/>
          <w:color w:val="000000"/>
          <w:highlight w:val="yellow"/>
        </w:rPr>
        <w:t xml:space="preserve">; </w:t>
      </w:r>
      <w:r w:rsidR="009E0B78" w:rsidRPr="006E36FB">
        <w:rPr>
          <w:rFonts w:ascii="Arial" w:eastAsia="Arial" w:hAnsi="Arial" w:cs="Arial"/>
          <w:color w:val="000000"/>
          <w:highlight w:val="yellow"/>
        </w:rPr>
        <w:t>oxygen saturation (%); partial pressure of oxygen (mmHg)</w:t>
      </w:r>
      <w:r w:rsidR="00AF53ED" w:rsidRPr="006E36FB">
        <w:rPr>
          <w:rFonts w:ascii="Arial" w:eastAsia="Arial" w:hAnsi="Arial" w:cs="Arial"/>
          <w:color w:val="000000"/>
          <w:highlight w:val="yellow"/>
        </w:rPr>
        <w:t>]; hematological data [</w:t>
      </w:r>
      <w:r w:rsidR="009E5F9E" w:rsidRPr="006E36FB">
        <w:rPr>
          <w:rFonts w:ascii="Arial" w:hAnsi="Arial"/>
          <w:highlight w:val="yellow"/>
        </w:rPr>
        <w:t>hemoglobin (g/</w:t>
      </w:r>
      <w:proofErr w:type="spellStart"/>
      <w:r w:rsidR="009E5F9E" w:rsidRPr="006E36FB">
        <w:rPr>
          <w:rFonts w:ascii="Arial" w:hAnsi="Arial"/>
          <w:highlight w:val="yellow"/>
        </w:rPr>
        <w:t>dL</w:t>
      </w:r>
      <w:proofErr w:type="spellEnd"/>
      <w:r w:rsidR="009E5F9E" w:rsidRPr="006E36FB">
        <w:rPr>
          <w:rFonts w:ascii="Arial" w:hAnsi="Arial"/>
          <w:highlight w:val="yellow"/>
        </w:rPr>
        <w:t>); leukocytes (x10</w:t>
      </w:r>
      <w:r w:rsidR="009E5F9E" w:rsidRPr="006E36FB">
        <w:rPr>
          <w:rFonts w:ascii="Arial" w:hAnsi="Arial"/>
          <w:highlight w:val="yellow"/>
          <w:vertAlign w:val="superscript"/>
        </w:rPr>
        <w:t xml:space="preserve">3 </w:t>
      </w:r>
      <w:r w:rsidR="009E5F9E" w:rsidRPr="006E36FB">
        <w:rPr>
          <w:rFonts w:ascii="Arial" w:hAnsi="Arial"/>
          <w:highlight w:val="yellow"/>
        </w:rPr>
        <w:t>mm</w:t>
      </w:r>
      <w:r w:rsidR="009E5F9E" w:rsidRPr="006E36FB">
        <w:rPr>
          <w:rFonts w:ascii="Arial" w:hAnsi="Arial"/>
          <w:highlight w:val="yellow"/>
          <w:vertAlign w:val="superscript"/>
        </w:rPr>
        <w:t>3</w:t>
      </w:r>
      <w:r w:rsidR="009E5F9E" w:rsidRPr="006E36FB">
        <w:rPr>
          <w:rFonts w:ascii="Arial" w:hAnsi="Arial"/>
          <w:highlight w:val="yellow"/>
        </w:rPr>
        <w:t>); and platelets (x10</w:t>
      </w:r>
      <w:r w:rsidR="009E5F9E" w:rsidRPr="006E36FB">
        <w:rPr>
          <w:rFonts w:ascii="Arial" w:hAnsi="Arial"/>
          <w:highlight w:val="yellow"/>
          <w:vertAlign w:val="superscript"/>
        </w:rPr>
        <w:t xml:space="preserve">3 </w:t>
      </w:r>
      <w:r w:rsidR="009E5F9E" w:rsidRPr="006E36FB">
        <w:rPr>
          <w:rFonts w:ascii="Arial" w:hAnsi="Arial"/>
          <w:highlight w:val="yellow"/>
        </w:rPr>
        <w:t>mm</w:t>
      </w:r>
      <w:r w:rsidR="009E5F9E" w:rsidRPr="006E36FB">
        <w:rPr>
          <w:rFonts w:ascii="Arial" w:hAnsi="Arial"/>
          <w:highlight w:val="yellow"/>
          <w:vertAlign w:val="superscript"/>
        </w:rPr>
        <w:t>3</w:t>
      </w:r>
      <w:r w:rsidR="009E5F9E" w:rsidRPr="006E36FB">
        <w:rPr>
          <w:rFonts w:ascii="Arial" w:hAnsi="Arial"/>
          <w:highlight w:val="yellow"/>
        </w:rPr>
        <w:t>)</w:t>
      </w:r>
      <w:r w:rsidR="00AF53ED" w:rsidRPr="006E36FB">
        <w:rPr>
          <w:rFonts w:ascii="Arial" w:hAnsi="Arial"/>
          <w:highlight w:val="yellow"/>
        </w:rPr>
        <w:t xml:space="preserve">]; </w:t>
      </w:r>
      <w:r w:rsidR="003218F7" w:rsidRPr="006E36FB">
        <w:rPr>
          <w:rFonts w:ascii="Arial" w:hAnsi="Arial"/>
          <w:highlight w:val="yellow"/>
        </w:rPr>
        <w:t>biochemical data [</w:t>
      </w:r>
      <w:r w:rsidR="009E5F9E" w:rsidRPr="006E36FB">
        <w:rPr>
          <w:rFonts w:ascii="Arial" w:hAnsi="Arial"/>
          <w:highlight w:val="yellow"/>
        </w:rPr>
        <w:t>bicarbonate (</w:t>
      </w:r>
      <w:proofErr w:type="spellStart"/>
      <w:r w:rsidR="009E5F9E" w:rsidRPr="006E36FB">
        <w:rPr>
          <w:rFonts w:ascii="Arial" w:hAnsi="Arial"/>
          <w:highlight w:val="yellow"/>
        </w:rPr>
        <w:t>mEq</w:t>
      </w:r>
      <w:proofErr w:type="spellEnd"/>
      <w:r w:rsidR="009E5F9E" w:rsidRPr="006E36FB">
        <w:rPr>
          <w:rFonts w:ascii="Arial" w:hAnsi="Arial"/>
          <w:highlight w:val="yellow"/>
        </w:rPr>
        <w:t>/L); serum sodium (</w:t>
      </w:r>
      <w:proofErr w:type="spellStart"/>
      <w:r w:rsidR="009E5F9E" w:rsidRPr="006E36FB">
        <w:rPr>
          <w:rFonts w:ascii="Arial" w:hAnsi="Arial"/>
          <w:highlight w:val="yellow"/>
        </w:rPr>
        <w:t>mEq</w:t>
      </w:r>
      <w:proofErr w:type="spellEnd"/>
      <w:r w:rsidR="009E5F9E" w:rsidRPr="006E36FB">
        <w:rPr>
          <w:rFonts w:ascii="Arial" w:hAnsi="Arial"/>
          <w:highlight w:val="yellow"/>
        </w:rPr>
        <w:t>/L); serum lactate (</w:t>
      </w:r>
      <w:proofErr w:type="spellStart"/>
      <w:r w:rsidR="009E5F9E" w:rsidRPr="006E36FB">
        <w:rPr>
          <w:rFonts w:ascii="Arial" w:hAnsi="Arial"/>
          <w:highlight w:val="yellow"/>
        </w:rPr>
        <w:t>mmol</w:t>
      </w:r>
      <w:proofErr w:type="spellEnd"/>
      <w:r w:rsidR="009E5F9E" w:rsidRPr="006E36FB">
        <w:rPr>
          <w:rFonts w:ascii="Arial" w:hAnsi="Arial"/>
          <w:highlight w:val="yellow"/>
        </w:rPr>
        <w:t>/L); C-re</w:t>
      </w:r>
      <w:r w:rsidR="009E5F9E" w:rsidRPr="006E36FB">
        <w:rPr>
          <w:rFonts w:ascii="Arial" w:hAnsi="Arial"/>
          <w:highlight w:val="yellow"/>
        </w:rPr>
        <w:t>active protein (mg/L)</w:t>
      </w:r>
      <w:r w:rsidR="009E5F9E" w:rsidRPr="006E36FB">
        <w:rPr>
          <w:rFonts w:ascii="Arial" w:hAnsi="Arial"/>
          <w:highlight w:val="yellow"/>
        </w:rPr>
        <w:t>; erythrocyte sedimentation rate (mm/h)</w:t>
      </w:r>
      <w:r w:rsidR="009E5F9E" w:rsidRPr="006E36FB">
        <w:rPr>
          <w:rFonts w:ascii="Arial" w:hAnsi="Arial"/>
          <w:highlight w:val="yellow"/>
        </w:rPr>
        <w:t xml:space="preserve">; </w:t>
      </w:r>
      <w:r w:rsidR="009E5F9E" w:rsidRPr="006E36FB">
        <w:rPr>
          <w:rFonts w:ascii="Arial" w:hAnsi="Arial"/>
          <w:highlight w:val="yellow"/>
        </w:rPr>
        <w:t xml:space="preserve">serum </w:t>
      </w:r>
      <w:proofErr w:type="spellStart"/>
      <w:r w:rsidR="009E5F9E" w:rsidRPr="006E36FB">
        <w:rPr>
          <w:rFonts w:ascii="Arial" w:hAnsi="Arial"/>
          <w:highlight w:val="yellow"/>
        </w:rPr>
        <w:t>creatinine</w:t>
      </w:r>
      <w:proofErr w:type="spellEnd"/>
      <w:r w:rsidR="009E5F9E" w:rsidRPr="006E36FB">
        <w:rPr>
          <w:rFonts w:ascii="Arial" w:hAnsi="Arial"/>
          <w:highlight w:val="yellow"/>
        </w:rPr>
        <w:t xml:space="preserve"> (mg/</w:t>
      </w:r>
      <w:proofErr w:type="spellStart"/>
      <w:r w:rsidR="009E5F9E" w:rsidRPr="006E36FB">
        <w:rPr>
          <w:rFonts w:ascii="Arial" w:hAnsi="Arial"/>
          <w:highlight w:val="yellow"/>
        </w:rPr>
        <w:t>dL</w:t>
      </w:r>
      <w:proofErr w:type="spellEnd"/>
      <w:r w:rsidR="009E5F9E" w:rsidRPr="006E36FB">
        <w:rPr>
          <w:rFonts w:ascii="Arial" w:hAnsi="Arial"/>
          <w:highlight w:val="yellow"/>
        </w:rPr>
        <w:t>)</w:t>
      </w:r>
      <w:r w:rsidR="009E5F9E" w:rsidRPr="006E36FB">
        <w:rPr>
          <w:rFonts w:ascii="Arial" w:hAnsi="Arial"/>
          <w:highlight w:val="yellow"/>
        </w:rPr>
        <w:t xml:space="preserve">; </w:t>
      </w:r>
      <w:r w:rsidR="009E5F9E" w:rsidRPr="006E36FB">
        <w:rPr>
          <w:rFonts w:ascii="Arial" w:hAnsi="Arial"/>
          <w:highlight w:val="yellow"/>
        </w:rPr>
        <w:t>ALT (U/L)</w:t>
      </w:r>
      <w:r w:rsidR="009E5F9E" w:rsidRPr="006E36FB">
        <w:rPr>
          <w:rFonts w:ascii="Arial" w:hAnsi="Arial"/>
          <w:highlight w:val="yellow"/>
        </w:rPr>
        <w:t xml:space="preserve">; </w:t>
      </w:r>
      <w:r w:rsidR="009E5F9E" w:rsidRPr="006E36FB">
        <w:rPr>
          <w:rFonts w:ascii="Arial" w:hAnsi="Arial"/>
          <w:highlight w:val="yellow"/>
        </w:rPr>
        <w:t>AST (U/L)</w:t>
      </w:r>
      <w:r w:rsidR="009E5F9E" w:rsidRPr="006E36FB">
        <w:rPr>
          <w:rFonts w:ascii="Arial" w:hAnsi="Arial"/>
          <w:highlight w:val="yellow"/>
        </w:rPr>
        <w:t xml:space="preserve">; </w:t>
      </w:r>
      <w:r w:rsidR="009E5F9E" w:rsidRPr="006E36FB">
        <w:rPr>
          <w:rFonts w:ascii="Arial" w:hAnsi="Arial"/>
          <w:highlight w:val="yellow"/>
        </w:rPr>
        <w:t>INR</w:t>
      </w:r>
      <w:r w:rsidR="009E5F9E" w:rsidRPr="006E36FB">
        <w:rPr>
          <w:rFonts w:ascii="Arial" w:hAnsi="Arial"/>
          <w:highlight w:val="yellow"/>
        </w:rPr>
        <w:t xml:space="preserve">; </w:t>
      </w:r>
      <w:r w:rsidR="009E5F9E" w:rsidRPr="006E36FB">
        <w:rPr>
          <w:rFonts w:ascii="Arial" w:hAnsi="Arial"/>
          <w:highlight w:val="yellow"/>
        </w:rPr>
        <w:t>albumin (g/</w:t>
      </w:r>
      <w:proofErr w:type="spellStart"/>
      <w:r w:rsidR="009E5F9E" w:rsidRPr="006E36FB">
        <w:rPr>
          <w:rFonts w:ascii="Arial" w:hAnsi="Arial"/>
          <w:highlight w:val="yellow"/>
        </w:rPr>
        <w:t>dL</w:t>
      </w:r>
      <w:proofErr w:type="spellEnd"/>
      <w:r w:rsidR="009E5F9E" w:rsidRPr="006E36FB">
        <w:rPr>
          <w:rFonts w:ascii="Arial" w:hAnsi="Arial"/>
          <w:highlight w:val="yellow"/>
        </w:rPr>
        <w:t>)</w:t>
      </w:r>
      <w:r w:rsidR="009E5F9E" w:rsidRPr="006E36FB">
        <w:rPr>
          <w:rFonts w:ascii="Arial" w:hAnsi="Arial"/>
          <w:highlight w:val="yellow"/>
        </w:rPr>
        <w:t xml:space="preserve">; </w:t>
      </w:r>
      <w:r w:rsidR="009E5F9E" w:rsidRPr="006E36FB">
        <w:rPr>
          <w:rFonts w:ascii="Arial" w:hAnsi="Arial"/>
          <w:highlight w:val="yellow"/>
        </w:rPr>
        <w:t>serum glucose (mg/</w:t>
      </w:r>
      <w:proofErr w:type="spellStart"/>
      <w:r w:rsidR="009E5F9E" w:rsidRPr="006E36FB">
        <w:rPr>
          <w:rFonts w:ascii="Arial" w:hAnsi="Arial"/>
          <w:highlight w:val="yellow"/>
        </w:rPr>
        <w:t>dL</w:t>
      </w:r>
      <w:proofErr w:type="spellEnd"/>
      <w:r w:rsidR="009E5F9E" w:rsidRPr="006E36FB">
        <w:rPr>
          <w:rFonts w:ascii="Arial" w:hAnsi="Arial"/>
          <w:highlight w:val="yellow"/>
        </w:rPr>
        <w:t>)</w:t>
      </w:r>
      <w:r w:rsidR="003218F7" w:rsidRPr="006E36FB">
        <w:rPr>
          <w:rFonts w:ascii="Arial" w:hAnsi="Arial"/>
          <w:highlight w:val="yellow"/>
        </w:rPr>
        <w:t xml:space="preserve">]; and </w:t>
      </w:r>
      <w:r w:rsidR="009E5F9E" w:rsidRPr="006E36FB">
        <w:rPr>
          <w:rFonts w:ascii="Arial" w:hAnsi="Arial"/>
          <w:highlight w:val="yellow"/>
        </w:rPr>
        <w:t>mortality</w:t>
      </w:r>
      <w:r w:rsidR="006E36FB" w:rsidRPr="006E36FB">
        <w:rPr>
          <w:rFonts w:ascii="Arial" w:hAnsi="Arial"/>
          <w:highlight w:val="yellow"/>
        </w:rPr>
        <w:t>.</w:t>
      </w:r>
      <w:r w:rsidR="0074081A" w:rsidRPr="006E36FB">
        <w:rPr>
          <w:rFonts w:ascii="Arial" w:hAnsi="Arial"/>
          <w:highlight w:val="yellow"/>
        </w:rPr>
        <w:t xml:space="preserve"> </w:t>
      </w:r>
      <w:r w:rsidRPr="006E36FB">
        <w:rPr>
          <w:rFonts w:ascii="Arial" w:eastAsia="Arial" w:hAnsi="Arial" w:cs="Arial"/>
          <w:highlight w:val="yellow"/>
        </w:rPr>
        <w:t xml:space="preserve">The </w:t>
      </w:r>
      <w:r w:rsidR="005463B1" w:rsidRPr="006E36FB">
        <w:rPr>
          <w:rFonts w:ascii="Arial" w:eastAsia="Arial" w:hAnsi="Arial" w:cs="Arial"/>
          <w:highlight w:val="yellow"/>
        </w:rPr>
        <w:t>demographic, severity, hemodynamic, clinic, hematological and biochemical values were classified: [year age: 18-59; 60-75]; [</w:t>
      </w:r>
      <w:r w:rsidR="005463B1" w:rsidRPr="006E36FB">
        <w:rPr>
          <w:rFonts w:ascii="Arial" w:eastAsia="Arial" w:hAnsi="Arial" w:cs="Arial"/>
          <w:color w:val="000000"/>
          <w:highlight w:val="yellow"/>
        </w:rPr>
        <w:t>Glasgow Coma Scale</w:t>
      </w:r>
      <w:r w:rsidR="005463B1" w:rsidRPr="006E36FB">
        <w:rPr>
          <w:rFonts w:ascii="Arial" w:eastAsia="Arial" w:hAnsi="Arial" w:cs="Arial"/>
          <w:color w:val="000000"/>
          <w:highlight w:val="yellow"/>
        </w:rPr>
        <w:t>: 3-8; SOFA</w:t>
      </w:r>
      <w:r w:rsidR="00BD14E6" w:rsidRPr="006E36FB">
        <w:rPr>
          <w:rFonts w:ascii="Arial" w:eastAsia="Arial" w:hAnsi="Arial" w:cs="Arial"/>
          <w:color w:val="000000"/>
          <w:highlight w:val="yellow"/>
        </w:rPr>
        <w:t xml:space="preserve">: </w:t>
      </w:r>
      <w:r w:rsidR="005463B1" w:rsidRPr="006E36FB">
        <w:rPr>
          <w:rFonts w:ascii="Arial" w:eastAsia="Arial" w:hAnsi="Arial" w:cs="Arial"/>
          <w:color w:val="000000"/>
          <w:highlight w:val="yellow"/>
        </w:rPr>
        <w:t>≥ 2</w:t>
      </w:r>
      <w:r w:rsidR="005463B1" w:rsidRPr="006E36FB">
        <w:rPr>
          <w:rFonts w:ascii="Arial" w:eastAsia="Arial" w:hAnsi="Arial" w:cs="Arial"/>
          <w:highlight w:val="yellow"/>
        </w:rPr>
        <w:t>]</w:t>
      </w:r>
      <w:r w:rsidR="00BD14E6" w:rsidRPr="006E36FB">
        <w:rPr>
          <w:rFonts w:ascii="Arial" w:eastAsia="Arial" w:hAnsi="Arial" w:cs="Arial"/>
          <w:highlight w:val="yellow"/>
        </w:rPr>
        <w:t xml:space="preserve">; [ </w:t>
      </w:r>
      <w:r w:rsidR="00BD14E6" w:rsidRPr="006E36FB">
        <w:rPr>
          <w:rFonts w:ascii="Arial" w:eastAsia="Arial" w:hAnsi="Arial" w:cs="Arial"/>
          <w:color w:val="000000"/>
          <w:highlight w:val="yellow"/>
        </w:rPr>
        <w:t>heart rate: &gt; 100 (</w:t>
      </w:r>
      <w:proofErr w:type="spellStart"/>
      <w:r w:rsidR="00BD14E6" w:rsidRPr="006E36FB">
        <w:rPr>
          <w:rFonts w:ascii="Arial" w:eastAsia="Arial" w:hAnsi="Arial" w:cs="Arial"/>
          <w:color w:val="000000"/>
          <w:highlight w:val="yellow"/>
        </w:rPr>
        <w:t>bpm</w:t>
      </w:r>
      <w:proofErr w:type="spellEnd"/>
      <w:r w:rsidR="00BD14E6" w:rsidRPr="006E36FB">
        <w:rPr>
          <w:rFonts w:ascii="Arial" w:eastAsia="Arial" w:hAnsi="Arial" w:cs="Arial"/>
          <w:color w:val="000000"/>
          <w:highlight w:val="yellow"/>
        </w:rPr>
        <w:t>); systolic blood pressure: &gt; 120 (mmHg)</w:t>
      </w:r>
      <w:r w:rsidR="00BD14E6" w:rsidRPr="006E36FB">
        <w:rPr>
          <w:rFonts w:ascii="Arial" w:eastAsia="Arial" w:hAnsi="Arial" w:cs="Arial"/>
          <w:color w:val="000000"/>
          <w:highlight w:val="yellow"/>
        </w:rPr>
        <w:t>]; [</w:t>
      </w:r>
      <w:r w:rsidR="00BD14E6" w:rsidRPr="006E36FB">
        <w:rPr>
          <w:rFonts w:ascii="Arial" w:eastAsia="Arial" w:hAnsi="Arial" w:cs="Arial"/>
          <w:color w:val="000000"/>
          <w:highlight w:val="yellow"/>
        </w:rPr>
        <w:t>body temperature</w:t>
      </w:r>
      <w:r w:rsidR="00BD14E6" w:rsidRPr="006E36FB">
        <w:rPr>
          <w:rFonts w:ascii="Arial" w:eastAsia="Arial" w:hAnsi="Arial" w:cs="Arial"/>
          <w:color w:val="000000"/>
          <w:highlight w:val="yellow"/>
        </w:rPr>
        <w:t>:</w:t>
      </w:r>
      <w:r w:rsidR="00BD14E6" w:rsidRPr="006E36FB">
        <w:rPr>
          <w:rFonts w:ascii="Arial" w:eastAsia="Arial" w:hAnsi="Arial" w:cs="Arial"/>
          <w:color w:val="000000"/>
          <w:highlight w:val="yellow"/>
        </w:rPr>
        <w:t xml:space="preserve"> &gt; 37 (°C)</w:t>
      </w:r>
      <w:r w:rsidR="00BD14E6" w:rsidRPr="006E36FB">
        <w:rPr>
          <w:rFonts w:ascii="Arial" w:eastAsia="Arial" w:hAnsi="Arial" w:cs="Arial"/>
          <w:color w:val="000000"/>
          <w:highlight w:val="yellow"/>
        </w:rPr>
        <w:t xml:space="preserve">; </w:t>
      </w:r>
      <w:r w:rsidR="005463B1" w:rsidRPr="006E36FB">
        <w:rPr>
          <w:rFonts w:ascii="Arial" w:eastAsia="Arial" w:hAnsi="Arial" w:cs="Arial"/>
          <w:color w:val="000000"/>
          <w:highlight w:val="yellow"/>
        </w:rPr>
        <w:t>oxygen saturation</w:t>
      </w:r>
      <w:r w:rsidR="00BD14E6" w:rsidRPr="006E36FB">
        <w:rPr>
          <w:rFonts w:ascii="Arial" w:eastAsia="Arial" w:hAnsi="Arial" w:cs="Arial"/>
          <w:color w:val="000000"/>
          <w:highlight w:val="yellow"/>
        </w:rPr>
        <w:t>:</w:t>
      </w:r>
      <w:r w:rsidR="005463B1" w:rsidRPr="006E36FB">
        <w:rPr>
          <w:rFonts w:ascii="Arial" w:eastAsia="Arial" w:hAnsi="Arial" w:cs="Arial"/>
          <w:color w:val="000000"/>
          <w:highlight w:val="yellow"/>
        </w:rPr>
        <w:t xml:space="preserve"> &lt; 95%</w:t>
      </w:r>
      <w:r w:rsidR="00BD14E6" w:rsidRPr="006E36FB">
        <w:rPr>
          <w:rFonts w:ascii="Arial" w:eastAsia="Arial" w:hAnsi="Arial" w:cs="Arial"/>
          <w:color w:val="000000"/>
          <w:highlight w:val="yellow"/>
        </w:rPr>
        <w:t xml:space="preserve">; </w:t>
      </w:r>
      <w:r w:rsidR="005463B1" w:rsidRPr="006E36FB">
        <w:rPr>
          <w:rFonts w:ascii="Arial" w:eastAsia="Arial" w:hAnsi="Arial" w:cs="Arial"/>
          <w:color w:val="000000"/>
          <w:highlight w:val="yellow"/>
        </w:rPr>
        <w:t>partial pressure of oxygen</w:t>
      </w:r>
      <w:r w:rsidR="00BD14E6" w:rsidRPr="006E36FB">
        <w:rPr>
          <w:rFonts w:ascii="Arial" w:eastAsia="Arial" w:hAnsi="Arial" w:cs="Arial"/>
          <w:color w:val="000000"/>
          <w:highlight w:val="yellow"/>
        </w:rPr>
        <w:t>:</w:t>
      </w:r>
      <w:r w:rsidR="005463B1" w:rsidRPr="006E36FB">
        <w:rPr>
          <w:rFonts w:ascii="Arial" w:eastAsia="Arial" w:hAnsi="Arial" w:cs="Arial"/>
          <w:color w:val="000000"/>
          <w:highlight w:val="yellow"/>
        </w:rPr>
        <w:t xml:space="preserve"> &lt; 75 mmHg</w:t>
      </w:r>
      <w:r w:rsidR="00BD14E6" w:rsidRPr="006E36FB">
        <w:rPr>
          <w:rFonts w:ascii="Arial" w:eastAsia="Arial" w:hAnsi="Arial" w:cs="Arial"/>
          <w:color w:val="000000"/>
          <w:highlight w:val="yellow"/>
        </w:rPr>
        <w:t xml:space="preserve">]; </w:t>
      </w:r>
      <w:r w:rsidR="00BD14E6" w:rsidRPr="006E36FB">
        <w:rPr>
          <w:rFonts w:ascii="Arial" w:hAnsi="Arial"/>
          <w:highlight w:val="yellow"/>
        </w:rPr>
        <w:t>[</w:t>
      </w:r>
      <w:r w:rsidR="00B04DDE" w:rsidRPr="006E36FB">
        <w:rPr>
          <w:rFonts w:ascii="Arial" w:hAnsi="Arial"/>
          <w:highlight w:val="yellow"/>
        </w:rPr>
        <w:t xml:space="preserve">serum </w:t>
      </w:r>
      <w:r w:rsidR="00BD14E6" w:rsidRPr="006E36FB">
        <w:rPr>
          <w:rFonts w:ascii="Arial" w:hAnsi="Arial"/>
          <w:highlight w:val="yellow"/>
        </w:rPr>
        <w:t>bicarbonate</w:t>
      </w:r>
      <w:r w:rsidR="00BD14E6" w:rsidRPr="006E36FB">
        <w:rPr>
          <w:rFonts w:ascii="Arial" w:hAnsi="Arial"/>
          <w:highlight w:val="yellow"/>
        </w:rPr>
        <w:t>:</w:t>
      </w:r>
      <w:r w:rsidR="00BD14E6" w:rsidRPr="006E36FB">
        <w:rPr>
          <w:rFonts w:ascii="Arial" w:hAnsi="Arial"/>
          <w:highlight w:val="yellow"/>
        </w:rPr>
        <w:t xml:space="preserve"> &lt; 22 (</w:t>
      </w:r>
      <w:proofErr w:type="spellStart"/>
      <w:r w:rsidR="00BD14E6" w:rsidRPr="006E36FB">
        <w:rPr>
          <w:rFonts w:ascii="Arial" w:hAnsi="Arial"/>
          <w:highlight w:val="yellow"/>
        </w:rPr>
        <w:t>mEq</w:t>
      </w:r>
      <w:proofErr w:type="spellEnd"/>
      <w:r w:rsidR="00BD14E6" w:rsidRPr="006E36FB">
        <w:rPr>
          <w:rFonts w:ascii="Arial" w:hAnsi="Arial"/>
          <w:highlight w:val="yellow"/>
        </w:rPr>
        <w:t>/L)</w:t>
      </w:r>
      <w:r w:rsidR="00BD14E6" w:rsidRPr="006E36FB">
        <w:rPr>
          <w:rFonts w:ascii="Arial" w:hAnsi="Arial"/>
          <w:highlight w:val="yellow"/>
        </w:rPr>
        <w:t xml:space="preserve">; </w:t>
      </w:r>
      <w:r w:rsidR="00BD14E6" w:rsidRPr="006E36FB">
        <w:rPr>
          <w:rFonts w:ascii="Arial" w:hAnsi="Arial"/>
          <w:highlight w:val="yellow"/>
        </w:rPr>
        <w:t>serum sodium</w:t>
      </w:r>
      <w:r w:rsidR="00BD14E6" w:rsidRPr="006E36FB">
        <w:rPr>
          <w:rFonts w:ascii="Arial" w:hAnsi="Arial"/>
          <w:highlight w:val="yellow"/>
        </w:rPr>
        <w:t>:</w:t>
      </w:r>
      <w:r w:rsidR="00BD14E6" w:rsidRPr="006E36FB">
        <w:rPr>
          <w:rFonts w:ascii="Arial" w:hAnsi="Arial"/>
          <w:highlight w:val="yellow"/>
        </w:rPr>
        <w:t xml:space="preserve"> &lt; 135 (</w:t>
      </w:r>
      <w:proofErr w:type="spellStart"/>
      <w:r w:rsidR="00BD14E6" w:rsidRPr="006E36FB">
        <w:rPr>
          <w:rFonts w:ascii="Arial" w:hAnsi="Arial"/>
          <w:highlight w:val="yellow"/>
        </w:rPr>
        <w:t>mEq</w:t>
      </w:r>
      <w:proofErr w:type="spellEnd"/>
      <w:r w:rsidR="00BD14E6" w:rsidRPr="006E36FB">
        <w:rPr>
          <w:rFonts w:ascii="Arial" w:hAnsi="Arial"/>
          <w:highlight w:val="yellow"/>
        </w:rPr>
        <w:t>/L)</w:t>
      </w:r>
      <w:r w:rsidR="00BD14E6" w:rsidRPr="006E36FB">
        <w:rPr>
          <w:rFonts w:ascii="Arial" w:eastAsia="Arial" w:hAnsi="Arial" w:cs="Arial"/>
          <w:color w:val="000000"/>
          <w:highlight w:val="yellow"/>
        </w:rPr>
        <w:t xml:space="preserve">; </w:t>
      </w:r>
      <w:r w:rsidR="00BD14E6" w:rsidRPr="006E36FB">
        <w:rPr>
          <w:rFonts w:ascii="Arial" w:hAnsi="Arial"/>
          <w:highlight w:val="yellow"/>
        </w:rPr>
        <w:t>serum lactate</w:t>
      </w:r>
      <w:r w:rsidR="00BD14E6" w:rsidRPr="006E36FB">
        <w:rPr>
          <w:rFonts w:ascii="Arial" w:hAnsi="Arial"/>
          <w:highlight w:val="yellow"/>
        </w:rPr>
        <w:t>:</w:t>
      </w:r>
      <w:r w:rsidR="00BD14E6" w:rsidRPr="006E36FB">
        <w:rPr>
          <w:rFonts w:ascii="Arial" w:hAnsi="Arial"/>
          <w:highlight w:val="yellow"/>
        </w:rPr>
        <w:t xml:space="preserve"> &gt; 1.5 (</w:t>
      </w:r>
      <w:proofErr w:type="spellStart"/>
      <w:r w:rsidR="00BD14E6" w:rsidRPr="006E36FB">
        <w:rPr>
          <w:rFonts w:ascii="Arial" w:hAnsi="Arial"/>
          <w:highlight w:val="yellow"/>
        </w:rPr>
        <w:t>mmol</w:t>
      </w:r>
      <w:proofErr w:type="spellEnd"/>
      <w:r w:rsidR="00BD14E6" w:rsidRPr="006E36FB">
        <w:rPr>
          <w:rFonts w:ascii="Arial" w:hAnsi="Arial"/>
          <w:highlight w:val="yellow"/>
        </w:rPr>
        <w:t>/L)</w:t>
      </w:r>
      <w:r w:rsidR="00BD14E6" w:rsidRPr="006E36FB">
        <w:rPr>
          <w:rFonts w:ascii="Arial" w:hAnsi="Arial"/>
          <w:highlight w:val="yellow"/>
        </w:rPr>
        <w:t xml:space="preserve">; </w:t>
      </w:r>
      <w:r w:rsidR="00BD14E6" w:rsidRPr="006E36FB">
        <w:rPr>
          <w:rFonts w:ascii="Arial" w:eastAsia="Arial" w:hAnsi="Arial" w:cs="Arial"/>
          <w:color w:val="000000"/>
          <w:highlight w:val="yellow"/>
        </w:rPr>
        <w:t xml:space="preserve"> </w:t>
      </w:r>
      <w:r w:rsidR="00BD14E6" w:rsidRPr="006E36FB">
        <w:rPr>
          <w:rFonts w:ascii="Arial" w:hAnsi="Arial"/>
          <w:highlight w:val="yellow"/>
        </w:rPr>
        <w:t>C-reactive protein</w:t>
      </w:r>
      <w:r w:rsidR="00BD14E6" w:rsidRPr="006E36FB">
        <w:rPr>
          <w:rFonts w:ascii="Arial" w:hAnsi="Arial"/>
          <w:highlight w:val="yellow"/>
        </w:rPr>
        <w:t xml:space="preserve">: </w:t>
      </w:r>
      <w:r w:rsidR="00BD14E6" w:rsidRPr="006E36FB">
        <w:rPr>
          <w:rFonts w:ascii="Arial" w:hAnsi="Arial"/>
          <w:highlight w:val="yellow"/>
        </w:rPr>
        <w:t>≥0.3 (mg/L)</w:t>
      </w:r>
      <w:r w:rsidR="00BD14E6" w:rsidRPr="006E36FB">
        <w:rPr>
          <w:rFonts w:ascii="Arial" w:hAnsi="Arial"/>
          <w:highlight w:val="yellow"/>
        </w:rPr>
        <w:t>;</w:t>
      </w:r>
      <w:r w:rsidR="00B04DDE" w:rsidRPr="006E36FB">
        <w:rPr>
          <w:rFonts w:ascii="Arial" w:hAnsi="Arial"/>
          <w:highlight w:val="yellow"/>
        </w:rPr>
        <w:t xml:space="preserve"> </w:t>
      </w:r>
      <w:r w:rsidR="00B04DDE" w:rsidRPr="006E36FB">
        <w:rPr>
          <w:rFonts w:ascii="Arial" w:hAnsi="Arial"/>
          <w:highlight w:val="yellow"/>
        </w:rPr>
        <w:t>erythrocyte sedimentation rate</w:t>
      </w:r>
      <w:r w:rsidR="00B04DDE" w:rsidRPr="006E36FB">
        <w:rPr>
          <w:rFonts w:ascii="Arial" w:hAnsi="Arial"/>
          <w:highlight w:val="yellow"/>
        </w:rPr>
        <w:t>:</w:t>
      </w:r>
      <w:r w:rsidR="00B04DDE" w:rsidRPr="006E36FB">
        <w:rPr>
          <w:rFonts w:ascii="Arial" w:hAnsi="Arial"/>
          <w:highlight w:val="yellow"/>
        </w:rPr>
        <w:t xml:space="preserve"> &gt; 20 (mm/h)</w:t>
      </w:r>
      <w:r w:rsidR="00B04DDE" w:rsidRPr="006E36FB">
        <w:rPr>
          <w:rFonts w:ascii="Arial" w:hAnsi="Arial"/>
          <w:highlight w:val="yellow"/>
        </w:rPr>
        <w:t>;</w:t>
      </w:r>
      <w:r w:rsidR="00B04DDE" w:rsidRPr="006E36FB">
        <w:rPr>
          <w:rFonts w:ascii="Arial" w:hAnsi="Arial"/>
          <w:highlight w:val="yellow"/>
        </w:rPr>
        <w:t xml:space="preserve"> </w:t>
      </w:r>
      <w:r w:rsidR="00BD14E6" w:rsidRPr="006E36FB">
        <w:rPr>
          <w:rFonts w:ascii="Arial" w:hAnsi="Arial"/>
          <w:highlight w:val="yellow"/>
        </w:rPr>
        <w:t xml:space="preserve"> </w:t>
      </w:r>
      <w:r w:rsidR="00BD14E6" w:rsidRPr="006E36FB">
        <w:rPr>
          <w:rFonts w:ascii="Arial" w:hAnsi="Arial"/>
          <w:highlight w:val="yellow"/>
        </w:rPr>
        <w:t>BUN</w:t>
      </w:r>
      <w:r w:rsidR="00BD14E6" w:rsidRPr="006E36FB">
        <w:rPr>
          <w:rFonts w:ascii="Arial" w:hAnsi="Arial"/>
          <w:highlight w:val="yellow"/>
        </w:rPr>
        <w:t>:</w:t>
      </w:r>
      <w:r w:rsidR="00BD14E6" w:rsidRPr="006E36FB">
        <w:rPr>
          <w:rFonts w:ascii="Arial" w:hAnsi="Arial"/>
          <w:highlight w:val="yellow"/>
        </w:rPr>
        <w:t xml:space="preserve"> &gt; 25 (mg/</w:t>
      </w:r>
      <w:proofErr w:type="spellStart"/>
      <w:r w:rsidR="00BD14E6" w:rsidRPr="006E36FB">
        <w:rPr>
          <w:rFonts w:ascii="Arial" w:hAnsi="Arial"/>
          <w:highlight w:val="yellow"/>
        </w:rPr>
        <w:t>dL</w:t>
      </w:r>
      <w:proofErr w:type="spellEnd"/>
      <w:r w:rsidR="00BD14E6" w:rsidRPr="006E36FB">
        <w:rPr>
          <w:rFonts w:ascii="Arial" w:hAnsi="Arial"/>
          <w:highlight w:val="yellow"/>
        </w:rPr>
        <w:t>)</w:t>
      </w:r>
      <w:r w:rsidR="00B04DDE" w:rsidRPr="006E36FB">
        <w:rPr>
          <w:rFonts w:ascii="Arial" w:hAnsi="Arial"/>
          <w:highlight w:val="yellow"/>
        </w:rPr>
        <w:t xml:space="preserve">; </w:t>
      </w:r>
      <w:r w:rsidR="00B04DDE" w:rsidRPr="006E36FB">
        <w:rPr>
          <w:rFonts w:ascii="Arial" w:hAnsi="Arial"/>
          <w:highlight w:val="yellow"/>
        </w:rPr>
        <w:t xml:space="preserve">serum </w:t>
      </w:r>
      <w:proofErr w:type="spellStart"/>
      <w:r w:rsidR="00B04DDE" w:rsidRPr="006E36FB">
        <w:rPr>
          <w:rFonts w:ascii="Arial" w:hAnsi="Arial"/>
          <w:highlight w:val="yellow"/>
        </w:rPr>
        <w:t>creatinine</w:t>
      </w:r>
      <w:proofErr w:type="spellEnd"/>
      <w:r w:rsidR="00B04DDE" w:rsidRPr="006E36FB">
        <w:rPr>
          <w:rFonts w:ascii="Arial" w:hAnsi="Arial"/>
          <w:highlight w:val="yellow"/>
        </w:rPr>
        <w:t>:</w:t>
      </w:r>
      <w:r w:rsidR="00B04DDE" w:rsidRPr="006E36FB">
        <w:rPr>
          <w:rFonts w:ascii="Arial" w:hAnsi="Arial"/>
          <w:highlight w:val="yellow"/>
        </w:rPr>
        <w:t xml:space="preserve"> &gt; 1.3 (mg/</w:t>
      </w:r>
      <w:proofErr w:type="spellStart"/>
      <w:r w:rsidR="00B04DDE" w:rsidRPr="006E36FB">
        <w:rPr>
          <w:rFonts w:ascii="Arial" w:hAnsi="Arial"/>
          <w:highlight w:val="yellow"/>
        </w:rPr>
        <w:t>dL</w:t>
      </w:r>
      <w:proofErr w:type="spellEnd"/>
      <w:r w:rsidR="00B04DDE" w:rsidRPr="006E36FB">
        <w:rPr>
          <w:rFonts w:ascii="Arial" w:hAnsi="Arial"/>
          <w:highlight w:val="yellow"/>
        </w:rPr>
        <w:t>)</w:t>
      </w:r>
      <w:r w:rsidR="00B04DDE" w:rsidRPr="006E36FB">
        <w:rPr>
          <w:rFonts w:ascii="Arial" w:hAnsi="Arial"/>
          <w:highlight w:val="yellow"/>
        </w:rPr>
        <w:t xml:space="preserve">; </w:t>
      </w:r>
      <w:r w:rsidR="00B04DDE" w:rsidRPr="006E36FB">
        <w:rPr>
          <w:rFonts w:ascii="Arial" w:hAnsi="Arial"/>
          <w:highlight w:val="yellow"/>
        </w:rPr>
        <w:t>ALT</w:t>
      </w:r>
      <w:r w:rsidR="00B04DDE" w:rsidRPr="006E36FB">
        <w:rPr>
          <w:rFonts w:ascii="Arial" w:hAnsi="Arial"/>
          <w:highlight w:val="yellow"/>
        </w:rPr>
        <w:t>:</w:t>
      </w:r>
      <w:r w:rsidR="00B04DDE" w:rsidRPr="006E36FB">
        <w:rPr>
          <w:rFonts w:ascii="Arial" w:hAnsi="Arial"/>
          <w:highlight w:val="yellow"/>
        </w:rPr>
        <w:t xml:space="preserve"> &gt; 36 (U/L); AST</w:t>
      </w:r>
      <w:r w:rsidR="00B04DDE" w:rsidRPr="006E36FB">
        <w:rPr>
          <w:rFonts w:ascii="Arial" w:hAnsi="Arial"/>
          <w:highlight w:val="yellow"/>
        </w:rPr>
        <w:t>:</w:t>
      </w:r>
      <w:r w:rsidR="00B04DDE" w:rsidRPr="006E36FB">
        <w:rPr>
          <w:rFonts w:ascii="Arial" w:hAnsi="Arial"/>
          <w:highlight w:val="yellow"/>
        </w:rPr>
        <w:t xml:space="preserve"> &gt; 33 (U/L); INR</w:t>
      </w:r>
      <w:r w:rsidR="00B04DDE" w:rsidRPr="006E36FB">
        <w:rPr>
          <w:rFonts w:ascii="Arial" w:hAnsi="Arial"/>
          <w:highlight w:val="yellow"/>
        </w:rPr>
        <w:t>:</w:t>
      </w:r>
      <w:r w:rsidR="00B04DDE" w:rsidRPr="006E36FB">
        <w:rPr>
          <w:rFonts w:ascii="Arial" w:hAnsi="Arial"/>
          <w:highlight w:val="yellow"/>
        </w:rPr>
        <w:t xml:space="preserve"> &gt; 1.2; albumin</w:t>
      </w:r>
      <w:r w:rsidR="00B04DDE" w:rsidRPr="006E36FB">
        <w:rPr>
          <w:rFonts w:ascii="Arial" w:hAnsi="Arial"/>
          <w:highlight w:val="yellow"/>
        </w:rPr>
        <w:t>:</w:t>
      </w:r>
      <w:r w:rsidR="00B04DDE" w:rsidRPr="006E36FB">
        <w:rPr>
          <w:rFonts w:ascii="Arial" w:hAnsi="Arial"/>
          <w:highlight w:val="yellow"/>
        </w:rPr>
        <w:t xml:space="preserve"> &lt; 3.4 (g/</w:t>
      </w:r>
      <w:proofErr w:type="spellStart"/>
      <w:r w:rsidR="00B04DDE" w:rsidRPr="006E36FB">
        <w:rPr>
          <w:rFonts w:ascii="Arial" w:hAnsi="Arial"/>
          <w:highlight w:val="yellow"/>
        </w:rPr>
        <w:t>dL</w:t>
      </w:r>
      <w:proofErr w:type="spellEnd"/>
      <w:r w:rsidR="00B04DDE" w:rsidRPr="006E36FB">
        <w:rPr>
          <w:rFonts w:ascii="Arial" w:hAnsi="Arial"/>
          <w:highlight w:val="yellow"/>
        </w:rPr>
        <w:t>); serum glucose</w:t>
      </w:r>
      <w:r w:rsidR="00B04DDE" w:rsidRPr="006E36FB">
        <w:rPr>
          <w:rFonts w:ascii="Arial" w:hAnsi="Arial"/>
          <w:highlight w:val="yellow"/>
        </w:rPr>
        <w:t>:</w:t>
      </w:r>
      <w:r w:rsidR="00B04DDE" w:rsidRPr="006E36FB">
        <w:rPr>
          <w:rFonts w:ascii="Arial" w:hAnsi="Arial"/>
          <w:highlight w:val="yellow"/>
        </w:rPr>
        <w:t xml:space="preserve"> &gt; 110 (mg/</w:t>
      </w:r>
      <w:proofErr w:type="spellStart"/>
      <w:r w:rsidR="00B04DDE" w:rsidRPr="006E36FB">
        <w:rPr>
          <w:rFonts w:ascii="Arial" w:hAnsi="Arial"/>
          <w:highlight w:val="yellow"/>
        </w:rPr>
        <w:t>dL</w:t>
      </w:r>
      <w:proofErr w:type="spellEnd"/>
      <w:r w:rsidR="00B04DDE" w:rsidRPr="006E36FB">
        <w:rPr>
          <w:rFonts w:ascii="Arial" w:hAnsi="Arial"/>
          <w:highlight w:val="yellow"/>
        </w:rPr>
        <w:t>)</w:t>
      </w:r>
      <w:r w:rsidR="00B04DDE" w:rsidRPr="006E36FB">
        <w:rPr>
          <w:rFonts w:ascii="Arial" w:hAnsi="Arial"/>
          <w:highlight w:val="yellow"/>
        </w:rPr>
        <w:t xml:space="preserve">]. </w:t>
      </w:r>
      <w:r w:rsidRPr="006E36FB">
        <w:rPr>
          <w:rFonts w:ascii="Arial" w:eastAsia="Arial" w:hAnsi="Arial" w:cs="Arial"/>
          <w:highlight w:val="yellow"/>
        </w:rPr>
        <w:t>Descriptive statistics were applied using Statistical Package for the Social Sciences (SPSS) version 25.</w:t>
      </w:r>
    </w:p>
    <w:p w14:paraId="059C68FB" w14:textId="77777777" w:rsidR="004F0752" w:rsidRPr="00EE7CC2" w:rsidRDefault="004F0752" w:rsidP="005407A9">
      <w:pPr>
        <w:autoSpaceDE w:val="0"/>
        <w:autoSpaceDN w:val="0"/>
        <w:adjustRightInd w:val="0"/>
        <w:jc w:val="both"/>
        <w:rPr>
          <w:rFonts w:ascii="Arial" w:eastAsia="Arial" w:hAnsi="Arial" w:cs="Arial"/>
        </w:rPr>
      </w:pPr>
    </w:p>
    <w:p w14:paraId="5C741B0E" w14:textId="77777777" w:rsidR="00F36734" w:rsidRPr="00EE7CC2" w:rsidRDefault="00F36734" w:rsidP="00F36734">
      <w:pPr>
        <w:pStyle w:val="AbstHead"/>
        <w:spacing w:after="0"/>
        <w:jc w:val="both"/>
        <w:rPr>
          <w:rFonts w:ascii="Arial" w:hAnsi="Arial" w:cs="Arial"/>
        </w:rPr>
      </w:pPr>
      <w:r w:rsidRPr="00EE7CC2">
        <w:rPr>
          <w:rFonts w:ascii="Arial" w:hAnsi="Arial" w:cs="Arial"/>
        </w:rPr>
        <w:t xml:space="preserve">3. </w:t>
      </w:r>
      <w:r w:rsidR="00B83B36" w:rsidRPr="00EE7CC2">
        <w:rPr>
          <w:rFonts w:ascii="Arial" w:hAnsi="Arial" w:cs="Arial"/>
        </w:rPr>
        <w:t xml:space="preserve">RESULTS </w:t>
      </w:r>
    </w:p>
    <w:p w14:paraId="6D3ED8ED" w14:textId="77777777" w:rsidR="00F36734" w:rsidRPr="00EE7CC2" w:rsidRDefault="00F36734" w:rsidP="00441B6F">
      <w:pPr>
        <w:pStyle w:val="Body"/>
        <w:spacing w:after="0"/>
        <w:rPr>
          <w:rFonts w:ascii="Arial" w:hAnsi="Arial" w:cs="Arial"/>
        </w:rPr>
      </w:pPr>
    </w:p>
    <w:p w14:paraId="1F14EB12" w14:textId="77777777" w:rsidR="00DE1C51" w:rsidRPr="00EE7CC2" w:rsidRDefault="00DE1C51" w:rsidP="008C450A">
      <w:pPr>
        <w:jc w:val="both"/>
        <w:rPr>
          <w:rFonts w:ascii="Arial" w:eastAsia="Arial" w:hAnsi="Arial" w:cs="Arial"/>
          <w:color w:val="000000"/>
        </w:rPr>
      </w:pPr>
      <w:r w:rsidRPr="00DE1C51">
        <w:rPr>
          <w:rFonts w:ascii="Arial" w:eastAsia="Arial" w:hAnsi="Arial" w:cs="Arial"/>
          <w:color w:val="000000"/>
        </w:rPr>
        <w:lastRenderedPageBreak/>
        <w:t xml:space="preserve">230 clinical records were reviewed. Men represented 52.2% (n=120). The </w:t>
      </w:r>
      <w:r w:rsidR="00191785">
        <w:rPr>
          <w:rFonts w:ascii="Arial" w:eastAsia="Arial" w:hAnsi="Arial" w:cs="Arial"/>
          <w:color w:val="000000"/>
        </w:rPr>
        <w:t xml:space="preserve">mean </w:t>
      </w:r>
      <w:r w:rsidRPr="00DE1C51">
        <w:rPr>
          <w:rFonts w:ascii="Arial" w:eastAsia="Arial" w:hAnsi="Arial" w:cs="Arial"/>
          <w:color w:val="000000"/>
        </w:rPr>
        <w:t xml:space="preserve">age was 66.1±7.1 years. The 60-75 year age group predominated (n=182; 79.1%) </w:t>
      </w:r>
      <w:proofErr w:type="gramStart"/>
      <w:r w:rsidRPr="00DE1C51">
        <w:rPr>
          <w:rFonts w:ascii="Arial" w:eastAsia="Arial" w:hAnsi="Arial" w:cs="Arial"/>
          <w:color w:val="000000"/>
        </w:rPr>
        <w:t>(Fig</w:t>
      </w:r>
      <w:r>
        <w:rPr>
          <w:rFonts w:ascii="Arial" w:eastAsia="Arial" w:hAnsi="Arial" w:cs="Arial"/>
          <w:color w:val="000000"/>
        </w:rPr>
        <w:t xml:space="preserve"> </w:t>
      </w:r>
      <w:r w:rsidRPr="00DE1C51">
        <w:rPr>
          <w:rFonts w:ascii="Arial" w:eastAsia="Arial" w:hAnsi="Arial" w:cs="Arial"/>
          <w:color w:val="000000"/>
        </w:rPr>
        <w:t>1).</w:t>
      </w:r>
      <w:proofErr w:type="gramEnd"/>
    </w:p>
    <w:p w14:paraId="008AC578" w14:textId="77777777" w:rsidR="009235F4" w:rsidRPr="00EE7CC2" w:rsidRDefault="009235F4" w:rsidP="008C450A">
      <w:pPr>
        <w:jc w:val="both"/>
        <w:rPr>
          <w:rFonts w:ascii="Arial" w:eastAsia="Arial" w:hAnsi="Arial" w:cs="Arial"/>
          <w:color w:val="000000"/>
        </w:rPr>
      </w:pPr>
    </w:p>
    <w:p w14:paraId="66C63B59" w14:textId="77777777" w:rsidR="00347A90" w:rsidRPr="00EE7CC2" w:rsidRDefault="00CB30F0" w:rsidP="00996E01">
      <w:pPr>
        <w:jc w:val="center"/>
        <w:rPr>
          <w:rFonts w:ascii="Arial" w:eastAsia="Arial" w:hAnsi="Arial" w:cs="Arial"/>
          <w:color w:val="000000"/>
        </w:rPr>
      </w:pPr>
      <w:r>
        <w:rPr>
          <w:noProof/>
          <w:lang w:val="es-MX" w:eastAsia="es-MX"/>
        </w:rPr>
        <w:drawing>
          <wp:inline distT="0" distB="0" distL="0" distR="0" wp14:anchorId="24022927" wp14:editId="01F171FF">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DFAC5C" w14:textId="77777777" w:rsidR="00347A90" w:rsidRPr="00EE7CC2" w:rsidRDefault="00347A90" w:rsidP="00347A90">
      <w:pPr>
        <w:jc w:val="center"/>
        <w:rPr>
          <w:rFonts w:ascii="Arial" w:eastAsia="Arial" w:hAnsi="Arial" w:cs="Arial"/>
          <w:b/>
        </w:rPr>
      </w:pPr>
      <w:r w:rsidRPr="00EE7CC2">
        <w:rPr>
          <w:rFonts w:ascii="Arial" w:eastAsia="Arial" w:hAnsi="Arial" w:cs="Arial"/>
          <w:b/>
        </w:rPr>
        <w:t xml:space="preserve">Fig. 1. </w:t>
      </w:r>
      <w:r w:rsidR="00996E01" w:rsidRPr="00EE7CC2">
        <w:rPr>
          <w:rFonts w:ascii="Arial" w:eastAsia="Arial" w:hAnsi="Arial" w:cs="Arial"/>
          <w:b/>
        </w:rPr>
        <w:t>Number of patients with respect to age group</w:t>
      </w:r>
      <w:r w:rsidR="00CB30F0">
        <w:rPr>
          <w:rFonts w:ascii="Arial" w:eastAsia="Arial" w:hAnsi="Arial" w:cs="Arial"/>
          <w:b/>
        </w:rPr>
        <w:t>.</w:t>
      </w:r>
    </w:p>
    <w:p w14:paraId="68E4215B" w14:textId="77777777" w:rsidR="00347A90" w:rsidRPr="00EE7CC2" w:rsidRDefault="00347A90" w:rsidP="00347A90"/>
    <w:p w14:paraId="12E09B65" w14:textId="77777777" w:rsidR="00347A90" w:rsidRPr="00EE7CC2" w:rsidRDefault="00CB30F0" w:rsidP="008C450A">
      <w:pPr>
        <w:jc w:val="both"/>
        <w:rPr>
          <w:rFonts w:ascii="Arial" w:eastAsia="Arial" w:hAnsi="Arial" w:cs="Arial"/>
          <w:color w:val="000000"/>
        </w:rPr>
      </w:pPr>
      <w:r w:rsidRPr="00CB30F0">
        <w:rPr>
          <w:rFonts w:ascii="Arial" w:eastAsia="Arial" w:hAnsi="Arial" w:cs="Arial"/>
          <w:color w:val="000000"/>
        </w:rPr>
        <w:t xml:space="preserve">The recorded values ​​were </w:t>
      </w:r>
      <w:r w:rsidR="00140EF3">
        <w:rPr>
          <w:rFonts w:ascii="Arial" w:eastAsia="Arial" w:hAnsi="Arial" w:cs="Arial"/>
          <w:color w:val="000000"/>
        </w:rPr>
        <w:t xml:space="preserve">in </w:t>
      </w:r>
      <w:r w:rsidRPr="00CB30F0">
        <w:rPr>
          <w:rFonts w:ascii="Arial" w:eastAsia="Arial" w:hAnsi="Arial" w:cs="Arial"/>
          <w:color w:val="000000"/>
        </w:rPr>
        <w:t xml:space="preserve">Glasgow </w:t>
      </w:r>
      <w:r w:rsidR="00140EF3">
        <w:rPr>
          <w:rFonts w:ascii="Arial" w:eastAsia="Arial" w:hAnsi="Arial" w:cs="Arial"/>
          <w:color w:val="000000"/>
        </w:rPr>
        <w:t xml:space="preserve">Coma Scale </w:t>
      </w:r>
      <w:r w:rsidRPr="00CB30F0">
        <w:rPr>
          <w:rFonts w:ascii="Arial" w:eastAsia="Arial" w:hAnsi="Arial" w:cs="Arial"/>
          <w:color w:val="000000"/>
        </w:rPr>
        <w:t>11.0 ± 4.7; and SOFA 11.2 ± 5.7. 56.5</w:t>
      </w:r>
      <w:r>
        <w:rPr>
          <w:rFonts w:ascii="Arial" w:eastAsia="Arial" w:hAnsi="Arial" w:cs="Arial"/>
          <w:color w:val="000000"/>
        </w:rPr>
        <w:t xml:space="preserve"> </w:t>
      </w:r>
      <w:r w:rsidR="007C435A">
        <w:rPr>
          <w:rFonts w:ascii="Arial" w:eastAsia="Arial" w:hAnsi="Arial" w:cs="Arial"/>
          <w:color w:val="000000"/>
        </w:rPr>
        <w:t xml:space="preserve">% (n=130) presented </w:t>
      </w:r>
      <w:r w:rsidR="007C435A" w:rsidRPr="007C435A">
        <w:rPr>
          <w:rFonts w:ascii="Arial" w:eastAsia="Arial" w:hAnsi="Arial" w:cs="Arial"/>
          <w:color w:val="000000"/>
        </w:rPr>
        <w:t>Glasgow Coma Scale</w:t>
      </w:r>
      <w:r w:rsidRPr="00CB30F0">
        <w:rPr>
          <w:rFonts w:ascii="Arial" w:eastAsia="Arial" w:hAnsi="Arial" w:cs="Arial"/>
          <w:color w:val="000000"/>
        </w:rPr>
        <w:t xml:space="preserve"> values ​​of 3-8; and 100</w:t>
      </w:r>
      <w:r>
        <w:rPr>
          <w:rFonts w:ascii="Arial" w:eastAsia="Arial" w:hAnsi="Arial" w:cs="Arial"/>
          <w:color w:val="000000"/>
        </w:rPr>
        <w:t xml:space="preserve"> </w:t>
      </w:r>
      <w:r w:rsidRPr="00CB30F0">
        <w:rPr>
          <w:rFonts w:ascii="Arial" w:eastAsia="Arial" w:hAnsi="Arial" w:cs="Arial"/>
          <w:color w:val="000000"/>
        </w:rPr>
        <w:t>% (n=230) SOFA ≥</w:t>
      </w:r>
      <w:r>
        <w:rPr>
          <w:rFonts w:ascii="Arial" w:eastAsia="Arial" w:hAnsi="Arial" w:cs="Arial"/>
          <w:color w:val="000000"/>
        </w:rPr>
        <w:t xml:space="preserve"> </w:t>
      </w:r>
      <w:r w:rsidRPr="00CB30F0">
        <w:rPr>
          <w:rFonts w:ascii="Arial" w:eastAsia="Arial" w:hAnsi="Arial" w:cs="Arial"/>
          <w:color w:val="000000"/>
        </w:rPr>
        <w:t>2 (Table 1).</w:t>
      </w:r>
    </w:p>
    <w:p w14:paraId="4DB6246B" w14:textId="77777777" w:rsidR="00817F4A" w:rsidRPr="00EE7CC2" w:rsidRDefault="00817F4A" w:rsidP="008C450A">
      <w:pPr>
        <w:jc w:val="both"/>
        <w:rPr>
          <w:rFonts w:ascii="Arial" w:eastAsia="Arial" w:hAnsi="Arial" w:cs="Arial"/>
          <w:color w:val="000000"/>
        </w:rPr>
      </w:pPr>
    </w:p>
    <w:p w14:paraId="5F9FF596" w14:textId="77777777" w:rsidR="002850C3" w:rsidRDefault="002850C3" w:rsidP="002850C3">
      <w:pPr>
        <w:tabs>
          <w:tab w:val="left" w:pos="1080"/>
        </w:tabs>
        <w:jc w:val="center"/>
        <w:rPr>
          <w:rFonts w:ascii="Arial" w:hAnsi="Arial"/>
          <w:b/>
        </w:rPr>
      </w:pPr>
      <w:r w:rsidRPr="00EE7CC2">
        <w:rPr>
          <w:rFonts w:ascii="Arial" w:hAnsi="Arial"/>
          <w:b/>
        </w:rPr>
        <w:t xml:space="preserve">Table 1. </w:t>
      </w:r>
      <w:r w:rsidR="00CB30F0" w:rsidRPr="00CB30F0">
        <w:rPr>
          <w:rFonts w:ascii="Arial" w:hAnsi="Arial"/>
          <w:b/>
        </w:rPr>
        <w:t xml:space="preserve">Glasgow </w:t>
      </w:r>
      <w:r w:rsidR="006A3010">
        <w:rPr>
          <w:rFonts w:ascii="Arial" w:hAnsi="Arial"/>
          <w:b/>
        </w:rPr>
        <w:t xml:space="preserve">Coma </w:t>
      </w:r>
      <w:r w:rsidR="00CB30F0" w:rsidRPr="00CB30F0">
        <w:rPr>
          <w:rFonts w:ascii="Arial" w:hAnsi="Arial"/>
          <w:b/>
        </w:rPr>
        <w:t>Sc</w:t>
      </w:r>
      <w:r w:rsidR="006A3010">
        <w:rPr>
          <w:rFonts w:ascii="Arial" w:hAnsi="Arial"/>
          <w:b/>
        </w:rPr>
        <w:t>ale</w:t>
      </w:r>
      <w:r w:rsidR="00CB30F0" w:rsidRPr="00CB30F0">
        <w:rPr>
          <w:rFonts w:ascii="Arial" w:hAnsi="Arial"/>
          <w:b/>
        </w:rPr>
        <w:t xml:space="preserve"> and SOFA in patients with sepsis.</w:t>
      </w:r>
    </w:p>
    <w:p w14:paraId="169D57BB" w14:textId="77777777" w:rsidR="00191785" w:rsidRDefault="00191785" w:rsidP="002850C3">
      <w:pPr>
        <w:tabs>
          <w:tab w:val="left" w:pos="1080"/>
        </w:tabs>
        <w:jc w:val="center"/>
        <w:rPr>
          <w:rFonts w:ascii="Arial" w:hAnsi="Arial"/>
          <w:b/>
        </w:rPr>
      </w:pPr>
    </w:p>
    <w:tbl>
      <w:tblPr>
        <w:tblW w:w="6334" w:type="dxa"/>
        <w:jc w:val="center"/>
        <w:tblCellMar>
          <w:left w:w="70" w:type="dxa"/>
          <w:right w:w="70" w:type="dxa"/>
        </w:tblCellMar>
        <w:tblLook w:val="04A0" w:firstRow="1" w:lastRow="0" w:firstColumn="1" w:lastColumn="0" w:noHBand="0" w:noVBand="1"/>
      </w:tblPr>
      <w:tblGrid>
        <w:gridCol w:w="2688"/>
        <w:gridCol w:w="1843"/>
        <w:gridCol w:w="1803"/>
      </w:tblGrid>
      <w:tr w:rsidR="00191785" w:rsidRPr="004D2CC5" w14:paraId="793CBDC6" w14:textId="77777777" w:rsidTr="0043597D">
        <w:trPr>
          <w:trHeight w:val="284"/>
          <w:jc w:val="center"/>
        </w:trPr>
        <w:tc>
          <w:tcPr>
            <w:tcW w:w="2688" w:type="dxa"/>
            <w:tcBorders>
              <w:top w:val="single" w:sz="4" w:space="0" w:color="auto"/>
              <w:bottom w:val="single" w:sz="4" w:space="0" w:color="auto"/>
              <w:right w:val="single" w:sz="4" w:space="0" w:color="auto"/>
            </w:tcBorders>
            <w:vAlign w:val="center"/>
          </w:tcPr>
          <w:p w14:paraId="2D3B6B6A" w14:textId="77777777" w:rsidR="00191785" w:rsidRPr="004D2CC5" w:rsidRDefault="00191785"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5B948A1D"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6C8354BF" w14:textId="77777777" w:rsidR="00191785" w:rsidRDefault="00191785"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055717E7"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191785" w:rsidRPr="0078289B" w14:paraId="19A9B18C" w14:textId="77777777" w:rsidTr="0043597D">
        <w:trPr>
          <w:trHeight w:val="284"/>
          <w:jc w:val="center"/>
        </w:trPr>
        <w:tc>
          <w:tcPr>
            <w:tcW w:w="2688" w:type="dxa"/>
            <w:vMerge w:val="restart"/>
            <w:tcBorders>
              <w:top w:val="single" w:sz="4" w:space="0" w:color="auto"/>
              <w:right w:val="single" w:sz="4" w:space="0" w:color="auto"/>
            </w:tcBorders>
            <w:vAlign w:val="center"/>
          </w:tcPr>
          <w:p w14:paraId="2A49525C" w14:textId="77777777" w:rsidR="00191785" w:rsidRDefault="00191785" w:rsidP="006A3010">
            <w:pPr>
              <w:rPr>
                <w:rFonts w:ascii="Arial" w:hAnsi="Arial" w:cs="Arial"/>
                <w:color w:val="000000"/>
                <w:sz w:val="18"/>
                <w:szCs w:val="18"/>
              </w:rPr>
            </w:pPr>
            <w:r>
              <w:rPr>
                <w:rFonts w:ascii="Arial" w:hAnsi="Arial" w:cs="Arial"/>
                <w:color w:val="000000"/>
                <w:sz w:val="18"/>
                <w:szCs w:val="18"/>
              </w:rPr>
              <w:t>Glasgow</w:t>
            </w:r>
            <w:r w:rsidR="006A3010">
              <w:rPr>
                <w:rFonts w:ascii="Arial" w:hAnsi="Arial" w:cs="Arial"/>
                <w:color w:val="000000"/>
                <w:sz w:val="18"/>
                <w:szCs w:val="18"/>
              </w:rPr>
              <w:t xml:space="preserve"> Coma Scale</w:t>
            </w:r>
          </w:p>
        </w:tc>
        <w:tc>
          <w:tcPr>
            <w:tcW w:w="1843" w:type="dxa"/>
            <w:vMerge w:val="restart"/>
            <w:tcBorders>
              <w:top w:val="single" w:sz="4" w:space="0" w:color="auto"/>
              <w:left w:val="single" w:sz="4" w:space="0" w:color="auto"/>
              <w:right w:val="single" w:sz="4" w:space="0" w:color="auto"/>
            </w:tcBorders>
            <w:noWrap/>
            <w:vAlign w:val="center"/>
          </w:tcPr>
          <w:p w14:paraId="59E96FF5"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11.0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4.7</w:t>
            </w:r>
          </w:p>
        </w:tc>
        <w:tc>
          <w:tcPr>
            <w:tcW w:w="1803" w:type="dxa"/>
            <w:tcBorders>
              <w:top w:val="single" w:sz="4" w:space="0" w:color="auto"/>
              <w:left w:val="single" w:sz="4" w:space="0" w:color="auto"/>
            </w:tcBorders>
            <w:shd w:val="pct10" w:color="auto" w:fill="auto"/>
          </w:tcPr>
          <w:p w14:paraId="6B78F05B" w14:textId="75DDA782" w:rsidR="00191785" w:rsidRPr="004D2CC5" w:rsidRDefault="009E0B78" w:rsidP="0043597D">
            <w:pPr>
              <w:jc w:val="center"/>
              <w:rPr>
                <w:rFonts w:ascii="Arial" w:hAnsi="Arial" w:cs="Arial"/>
                <w:color w:val="000000"/>
                <w:sz w:val="18"/>
                <w:szCs w:val="18"/>
                <w:lang w:eastAsia="es-MX"/>
              </w:rPr>
            </w:pPr>
            <w:r w:rsidRPr="009E0B78">
              <w:rPr>
                <w:rFonts w:ascii="Arial" w:hAnsi="Arial" w:cs="Arial"/>
                <w:color w:val="000000"/>
                <w:sz w:val="18"/>
                <w:szCs w:val="18"/>
                <w:highlight w:val="yellow"/>
                <w:lang w:eastAsia="es-MX"/>
              </w:rPr>
              <w:t>3</w:t>
            </w:r>
            <w:r w:rsidR="00191785" w:rsidRPr="009E0B78">
              <w:rPr>
                <w:rFonts w:ascii="Arial" w:hAnsi="Arial" w:cs="Arial"/>
                <w:color w:val="000000"/>
                <w:sz w:val="18"/>
                <w:szCs w:val="18"/>
                <w:highlight w:val="yellow"/>
                <w:lang w:eastAsia="es-MX"/>
              </w:rPr>
              <w:t>-8</w:t>
            </w:r>
          </w:p>
        </w:tc>
      </w:tr>
      <w:tr w:rsidR="00191785" w:rsidRPr="0078289B" w14:paraId="166B79A1" w14:textId="77777777" w:rsidTr="0043597D">
        <w:trPr>
          <w:trHeight w:val="284"/>
          <w:jc w:val="center"/>
        </w:trPr>
        <w:tc>
          <w:tcPr>
            <w:tcW w:w="2688" w:type="dxa"/>
            <w:vMerge/>
            <w:tcBorders>
              <w:bottom w:val="single" w:sz="4" w:space="0" w:color="auto"/>
              <w:right w:val="single" w:sz="4" w:space="0" w:color="auto"/>
            </w:tcBorders>
            <w:vAlign w:val="center"/>
          </w:tcPr>
          <w:p w14:paraId="1E0CFD49" w14:textId="77777777" w:rsidR="00191785" w:rsidRPr="0078289B" w:rsidRDefault="00191785"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735DA08C" w14:textId="77777777" w:rsidR="00191785" w:rsidRPr="0078289B" w:rsidRDefault="00191785"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69E5228D" w14:textId="77777777" w:rsidR="00191785" w:rsidRPr="0078289B"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130 (56.5)</w:t>
            </w:r>
          </w:p>
        </w:tc>
      </w:tr>
      <w:tr w:rsidR="00191785" w:rsidRPr="0078289B" w14:paraId="69C8BCD4" w14:textId="77777777" w:rsidTr="0043597D">
        <w:trPr>
          <w:trHeight w:val="284"/>
          <w:jc w:val="center"/>
        </w:trPr>
        <w:tc>
          <w:tcPr>
            <w:tcW w:w="2688" w:type="dxa"/>
            <w:vMerge w:val="restart"/>
            <w:tcBorders>
              <w:top w:val="single" w:sz="4" w:space="0" w:color="auto"/>
              <w:right w:val="single" w:sz="4" w:space="0" w:color="auto"/>
            </w:tcBorders>
            <w:vAlign w:val="center"/>
          </w:tcPr>
          <w:p w14:paraId="3425D960" w14:textId="77777777" w:rsidR="00191785" w:rsidRPr="00A56C39" w:rsidRDefault="00191785" w:rsidP="0043597D">
            <w:pPr>
              <w:rPr>
                <w:rFonts w:ascii="Arial" w:hAnsi="Arial" w:cs="Arial"/>
                <w:color w:val="000000"/>
                <w:sz w:val="18"/>
                <w:szCs w:val="18"/>
                <w:lang w:val="pt-BR"/>
              </w:rPr>
            </w:pPr>
            <w:r>
              <w:rPr>
                <w:rFonts w:ascii="Arial" w:hAnsi="Arial" w:cs="Arial"/>
                <w:color w:val="000000"/>
                <w:sz w:val="18"/>
                <w:szCs w:val="18"/>
                <w:lang w:val="pt-BR"/>
              </w:rPr>
              <w:t>SOFA</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2B110115" w14:textId="77777777" w:rsidR="00191785" w:rsidRPr="004D2CC5"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11.2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5.7</w:t>
            </w:r>
          </w:p>
        </w:tc>
        <w:tc>
          <w:tcPr>
            <w:tcW w:w="1803" w:type="dxa"/>
            <w:tcBorders>
              <w:top w:val="single" w:sz="4" w:space="0" w:color="auto"/>
              <w:left w:val="single" w:sz="4" w:space="0" w:color="auto"/>
            </w:tcBorders>
            <w:shd w:val="pct10" w:color="auto" w:fill="auto"/>
          </w:tcPr>
          <w:p w14:paraId="466347DD" w14:textId="77777777" w:rsidR="00191785" w:rsidRPr="0078289B" w:rsidRDefault="00191785" w:rsidP="0043597D">
            <w:pPr>
              <w:jc w:val="center"/>
              <w:rPr>
                <w:rFonts w:ascii="Arial" w:hAnsi="Arial" w:cs="Arial"/>
                <w:color w:val="000000"/>
                <w:sz w:val="18"/>
                <w:szCs w:val="18"/>
                <w:lang w:val="pt-BR" w:eastAsia="es-MX"/>
              </w:rPr>
            </w:pPr>
            <w:r w:rsidRPr="00410BA3">
              <w:rPr>
                <w:rFonts w:ascii="Arial" w:hAnsi="Arial" w:cs="Arial"/>
                <w:color w:val="000000"/>
                <w:sz w:val="18"/>
                <w:szCs w:val="18"/>
                <w:lang w:eastAsia="es-MX"/>
              </w:rPr>
              <w:t>≥</w:t>
            </w:r>
            <w:r>
              <w:rPr>
                <w:rFonts w:ascii="Arial" w:hAnsi="Arial" w:cs="Arial"/>
                <w:color w:val="000000"/>
                <w:sz w:val="18"/>
                <w:szCs w:val="18"/>
                <w:lang w:eastAsia="es-MX"/>
              </w:rPr>
              <w:t xml:space="preserve"> </w:t>
            </w:r>
            <w:r w:rsidRPr="00410BA3">
              <w:rPr>
                <w:rFonts w:ascii="Arial" w:hAnsi="Arial" w:cs="Arial"/>
                <w:color w:val="000000"/>
                <w:sz w:val="18"/>
                <w:szCs w:val="18"/>
                <w:lang w:eastAsia="es-MX"/>
              </w:rPr>
              <w:t>2</w:t>
            </w:r>
          </w:p>
        </w:tc>
      </w:tr>
      <w:tr w:rsidR="00191785" w:rsidRPr="0078289B" w14:paraId="0AF6D0D5" w14:textId="77777777" w:rsidTr="0043597D">
        <w:trPr>
          <w:trHeight w:val="284"/>
          <w:jc w:val="center"/>
        </w:trPr>
        <w:tc>
          <w:tcPr>
            <w:tcW w:w="2688" w:type="dxa"/>
            <w:vMerge/>
            <w:tcBorders>
              <w:bottom w:val="single" w:sz="4" w:space="0" w:color="auto"/>
              <w:right w:val="single" w:sz="4" w:space="0" w:color="auto"/>
            </w:tcBorders>
            <w:vAlign w:val="center"/>
          </w:tcPr>
          <w:p w14:paraId="5500FF29" w14:textId="77777777" w:rsidR="00191785" w:rsidRPr="0078289B" w:rsidRDefault="00191785"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2249A22F" w14:textId="77777777" w:rsidR="00191785" w:rsidRPr="004D2CC5" w:rsidRDefault="00191785"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7DDFBA30" w14:textId="77777777" w:rsidR="00191785" w:rsidRPr="0078289B"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bl>
    <w:p w14:paraId="39B62590" w14:textId="77777777" w:rsidR="00950576" w:rsidRPr="00EE7CC2" w:rsidRDefault="006D0D55" w:rsidP="000305FF">
      <w:pPr>
        <w:suppressAutoHyphens/>
        <w:jc w:val="center"/>
        <w:rPr>
          <w:rFonts w:ascii="Arial" w:hAnsi="Arial" w:cs="Arial"/>
        </w:rPr>
      </w:pPr>
      <w:r w:rsidRPr="00EE7CC2">
        <w:rPr>
          <w:rFonts w:ascii="Arial" w:hAnsi="Arial" w:cs="Arial"/>
        </w:rPr>
        <w:t>*SD: Standard deviation</w:t>
      </w:r>
    </w:p>
    <w:p w14:paraId="1BCBE945" w14:textId="77777777" w:rsidR="000305FF" w:rsidRDefault="000305FF" w:rsidP="000305FF">
      <w:pPr>
        <w:jc w:val="both"/>
        <w:rPr>
          <w:rFonts w:ascii="Arial" w:eastAsia="Arial" w:hAnsi="Arial" w:cs="Arial"/>
          <w:color w:val="000000"/>
        </w:rPr>
      </w:pPr>
    </w:p>
    <w:p w14:paraId="78C0BB61" w14:textId="77777777" w:rsidR="00CB30F0" w:rsidRDefault="00B50098" w:rsidP="000305FF">
      <w:pPr>
        <w:jc w:val="both"/>
        <w:rPr>
          <w:rFonts w:ascii="Arial" w:eastAsia="Arial" w:hAnsi="Arial" w:cs="Arial"/>
          <w:color w:val="000000"/>
        </w:rPr>
      </w:pPr>
      <w:r w:rsidRPr="00B50098">
        <w:rPr>
          <w:rFonts w:ascii="Arial" w:eastAsia="Arial" w:hAnsi="Arial" w:cs="Arial"/>
          <w:color w:val="000000"/>
        </w:rPr>
        <w:t xml:space="preserve">Body temperature (°C) was 38.4 ± 1.1; heart rate (bpm) 109.0 ± 12.3; systolic blood pressure (mmHg) 97.5 ± 19.1; oxygen saturation (%) 86.1 ± 5.5; </w:t>
      </w:r>
      <w:r>
        <w:rPr>
          <w:rFonts w:ascii="Arial" w:eastAsia="Arial" w:hAnsi="Arial" w:cs="Arial"/>
          <w:color w:val="000000"/>
        </w:rPr>
        <w:t xml:space="preserve">and </w:t>
      </w:r>
      <w:r w:rsidRPr="00B50098">
        <w:rPr>
          <w:rFonts w:ascii="Arial" w:eastAsia="Arial" w:hAnsi="Arial" w:cs="Arial"/>
          <w:color w:val="000000"/>
        </w:rPr>
        <w:t>partial pressure of oxygen (mmHg)</w:t>
      </w:r>
      <w:r>
        <w:rPr>
          <w:rFonts w:ascii="Arial" w:eastAsia="Arial" w:hAnsi="Arial" w:cs="Arial"/>
          <w:color w:val="000000"/>
        </w:rPr>
        <w:t xml:space="preserve"> 59.7 ± 11.1.</w:t>
      </w:r>
      <w:r w:rsidR="00176E31">
        <w:rPr>
          <w:rFonts w:ascii="Arial" w:eastAsia="Arial" w:hAnsi="Arial" w:cs="Arial"/>
          <w:color w:val="000000"/>
        </w:rPr>
        <w:t xml:space="preserve"> The </w:t>
      </w:r>
      <w:r>
        <w:rPr>
          <w:rFonts w:ascii="Arial" w:eastAsia="Arial" w:hAnsi="Arial" w:cs="Arial"/>
          <w:color w:val="000000"/>
        </w:rPr>
        <w:t>o</w:t>
      </w:r>
      <w:r w:rsidRPr="00B50098">
        <w:rPr>
          <w:rFonts w:ascii="Arial" w:eastAsia="Arial" w:hAnsi="Arial" w:cs="Arial"/>
          <w:color w:val="000000"/>
        </w:rPr>
        <w:t xml:space="preserve">xygen saturation &lt; 95% (n=230; 100.0%) and partial pressure of oxygen &lt; 75 mmHg (n=230; 100.0%) were recorded in all patients. </w:t>
      </w:r>
      <w:r w:rsidR="002342AD">
        <w:rPr>
          <w:rFonts w:ascii="Arial" w:eastAsia="Arial" w:hAnsi="Arial" w:cs="Arial"/>
          <w:color w:val="000000"/>
        </w:rPr>
        <w:t>The b</w:t>
      </w:r>
      <w:r w:rsidRPr="00B50098">
        <w:rPr>
          <w:rFonts w:ascii="Arial" w:eastAsia="Arial" w:hAnsi="Arial" w:cs="Arial"/>
          <w:color w:val="000000"/>
        </w:rPr>
        <w:t>ody temperature &gt; 37</w:t>
      </w:r>
      <w:r w:rsidR="00176E31">
        <w:rPr>
          <w:rFonts w:ascii="Arial" w:eastAsia="Arial" w:hAnsi="Arial" w:cs="Arial"/>
          <w:color w:val="000000"/>
        </w:rPr>
        <w:t xml:space="preserve"> (</w:t>
      </w:r>
      <w:r w:rsidRPr="00B50098">
        <w:rPr>
          <w:rFonts w:ascii="Arial" w:eastAsia="Arial" w:hAnsi="Arial" w:cs="Arial"/>
          <w:color w:val="000000"/>
        </w:rPr>
        <w:t>°C</w:t>
      </w:r>
      <w:r w:rsidR="00176E31">
        <w:rPr>
          <w:rFonts w:ascii="Arial" w:eastAsia="Arial" w:hAnsi="Arial" w:cs="Arial"/>
          <w:color w:val="000000"/>
        </w:rPr>
        <w:t>)</w:t>
      </w:r>
      <w:r w:rsidRPr="00B50098">
        <w:rPr>
          <w:rFonts w:ascii="Arial" w:eastAsia="Arial" w:hAnsi="Arial" w:cs="Arial"/>
          <w:color w:val="000000"/>
        </w:rPr>
        <w:t xml:space="preserve"> was present in 91.3% (n=210); heart rate &gt; 100 </w:t>
      </w:r>
      <w:r w:rsidR="00176E31">
        <w:rPr>
          <w:rFonts w:ascii="Arial" w:eastAsia="Arial" w:hAnsi="Arial" w:cs="Arial"/>
          <w:color w:val="000000"/>
        </w:rPr>
        <w:t>(</w:t>
      </w:r>
      <w:r w:rsidRPr="00B50098">
        <w:rPr>
          <w:rFonts w:ascii="Arial" w:eastAsia="Arial" w:hAnsi="Arial" w:cs="Arial"/>
          <w:color w:val="000000"/>
        </w:rPr>
        <w:t>bpm</w:t>
      </w:r>
      <w:r w:rsidR="00176E31">
        <w:rPr>
          <w:rFonts w:ascii="Arial" w:eastAsia="Arial" w:hAnsi="Arial" w:cs="Arial"/>
          <w:color w:val="000000"/>
        </w:rPr>
        <w:t>)</w:t>
      </w:r>
      <w:r w:rsidRPr="00B50098">
        <w:rPr>
          <w:rFonts w:ascii="Arial" w:eastAsia="Arial" w:hAnsi="Arial" w:cs="Arial"/>
          <w:color w:val="000000"/>
        </w:rPr>
        <w:t xml:space="preserve"> in 69.6</w:t>
      </w:r>
      <w:r w:rsidR="00176E31">
        <w:rPr>
          <w:rFonts w:ascii="Arial" w:eastAsia="Arial" w:hAnsi="Arial" w:cs="Arial"/>
          <w:color w:val="000000"/>
        </w:rPr>
        <w:t xml:space="preserve"> % (n=160);</w:t>
      </w:r>
      <w:r w:rsidRPr="00B50098">
        <w:rPr>
          <w:rFonts w:ascii="Arial" w:eastAsia="Arial" w:hAnsi="Arial" w:cs="Arial"/>
          <w:color w:val="000000"/>
        </w:rPr>
        <w:t xml:space="preserve"> and 13</w:t>
      </w:r>
      <w:r w:rsidR="00176E31">
        <w:rPr>
          <w:rFonts w:ascii="Arial" w:eastAsia="Arial" w:hAnsi="Arial" w:cs="Arial"/>
          <w:color w:val="000000"/>
        </w:rPr>
        <w:t xml:space="preserve"> </w:t>
      </w:r>
      <w:r w:rsidRPr="00B50098">
        <w:rPr>
          <w:rFonts w:ascii="Arial" w:eastAsia="Arial" w:hAnsi="Arial" w:cs="Arial"/>
          <w:color w:val="000000"/>
        </w:rPr>
        <w:t>% (n=30) the systolic blood pressure was &gt; 120 (mmHg) (Table 2).</w:t>
      </w:r>
    </w:p>
    <w:p w14:paraId="14E164BD" w14:textId="77777777" w:rsidR="00A23D4D" w:rsidRDefault="00A23D4D" w:rsidP="000305FF">
      <w:pPr>
        <w:jc w:val="both"/>
        <w:rPr>
          <w:rFonts w:ascii="Arial" w:eastAsia="Arial" w:hAnsi="Arial" w:cs="Arial"/>
          <w:color w:val="000000"/>
        </w:rPr>
      </w:pPr>
    </w:p>
    <w:p w14:paraId="25E25ABD" w14:textId="77777777" w:rsidR="00817F4A" w:rsidRPr="00EE7CC2" w:rsidRDefault="00817F4A" w:rsidP="00817F4A">
      <w:pPr>
        <w:jc w:val="both"/>
        <w:rPr>
          <w:rFonts w:ascii="Arial" w:eastAsia="Arial" w:hAnsi="Arial" w:cs="Arial"/>
          <w:color w:val="000000"/>
        </w:rPr>
      </w:pPr>
    </w:p>
    <w:p w14:paraId="77BFC159" w14:textId="77777777" w:rsidR="00DC74ED" w:rsidRDefault="00DC74ED" w:rsidP="00176E31">
      <w:pPr>
        <w:jc w:val="center"/>
        <w:rPr>
          <w:rFonts w:ascii="Arial" w:hAnsi="Arial"/>
          <w:b/>
        </w:rPr>
      </w:pPr>
      <w:r w:rsidRPr="00EE7CC2">
        <w:rPr>
          <w:rFonts w:ascii="Arial" w:hAnsi="Arial"/>
          <w:b/>
        </w:rPr>
        <w:t xml:space="preserve">Table 2. </w:t>
      </w:r>
      <w:r w:rsidR="00176E31" w:rsidRPr="00176E31">
        <w:rPr>
          <w:rFonts w:ascii="Arial" w:hAnsi="Arial"/>
          <w:b/>
        </w:rPr>
        <w:t>Hemodynamic profile, temperature, oxygen saturation and partial pressure in patients with sepsis.</w:t>
      </w:r>
    </w:p>
    <w:p w14:paraId="1269787C" w14:textId="77777777" w:rsidR="00176E31" w:rsidRPr="00EE7CC2" w:rsidRDefault="00176E31" w:rsidP="00950576">
      <w:pPr>
        <w:jc w:val="both"/>
        <w:rPr>
          <w:rFonts w:ascii="Arial" w:hAnsi="Arial"/>
          <w:b/>
        </w:rPr>
      </w:pPr>
    </w:p>
    <w:tbl>
      <w:tblPr>
        <w:tblW w:w="6877" w:type="dxa"/>
        <w:jc w:val="center"/>
        <w:tblCellMar>
          <w:left w:w="70" w:type="dxa"/>
          <w:right w:w="70" w:type="dxa"/>
        </w:tblCellMar>
        <w:tblLook w:val="04A0" w:firstRow="1" w:lastRow="0" w:firstColumn="1" w:lastColumn="0" w:noHBand="0" w:noVBand="1"/>
      </w:tblPr>
      <w:tblGrid>
        <w:gridCol w:w="3231"/>
        <w:gridCol w:w="1843"/>
        <w:gridCol w:w="1803"/>
      </w:tblGrid>
      <w:tr w:rsidR="00176E31" w:rsidRPr="004D2CC5" w14:paraId="5AF37DE7" w14:textId="77777777" w:rsidTr="0043597D">
        <w:trPr>
          <w:trHeight w:val="284"/>
          <w:jc w:val="center"/>
        </w:trPr>
        <w:tc>
          <w:tcPr>
            <w:tcW w:w="3231" w:type="dxa"/>
            <w:tcBorders>
              <w:top w:val="single" w:sz="4" w:space="0" w:color="auto"/>
              <w:bottom w:val="single" w:sz="4" w:space="0" w:color="auto"/>
              <w:right w:val="single" w:sz="4" w:space="0" w:color="auto"/>
            </w:tcBorders>
            <w:vAlign w:val="center"/>
          </w:tcPr>
          <w:p w14:paraId="733FD7FA" w14:textId="77777777" w:rsidR="00176E31" w:rsidRPr="004D2CC5" w:rsidRDefault="00176E31"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734D9518" w14:textId="77777777" w:rsidR="00176E31" w:rsidRPr="004D2CC5" w:rsidRDefault="00DB39D3" w:rsidP="0043597D">
            <w:pPr>
              <w:jc w:val="center"/>
              <w:rPr>
                <w:rFonts w:ascii="Arial" w:hAnsi="Arial" w:cs="Arial"/>
                <w:color w:val="000000"/>
                <w:sz w:val="18"/>
                <w:szCs w:val="18"/>
                <w:lang w:eastAsia="es-MX"/>
              </w:rPr>
            </w:pPr>
            <w:r>
              <w:rPr>
                <w:rFonts w:ascii="Arial" w:hAnsi="Arial" w:cs="Arial"/>
                <w:color w:val="000000"/>
                <w:sz w:val="18"/>
                <w:szCs w:val="18"/>
                <w:lang w:eastAsia="es-MX"/>
              </w:rPr>
              <w:t>Mean</w:t>
            </w:r>
            <w:r w:rsidR="00176E31">
              <w:rPr>
                <w:rFonts w:ascii="Arial" w:hAnsi="Arial" w:cs="Arial"/>
                <w:color w:val="000000"/>
                <w:sz w:val="18"/>
                <w:szCs w:val="18"/>
                <w:lang w:eastAsia="es-MX"/>
              </w:rPr>
              <w:t xml:space="preserve"> ± SD</w:t>
            </w:r>
          </w:p>
        </w:tc>
        <w:tc>
          <w:tcPr>
            <w:tcW w:w="1803" w:type="dxa"/>
            <w:tcBorders>
              <w:top w:val="single" w:sz="4" w:space="0" w:color="auto"/>
              <w:left w:val="single" w:sz="4" w:space="0" w:color="auto"/>
              <w:bottom w:val="single" w:sz="4" w:space="0" w:color="auto"/>
            </w:tcBorders>
            <w:vAlign w:val="center"/>
          </w:tcPr>
          <w:p w14:paraId="025D9C8E" w14:textId="77777777" w:rsidR="00176E31" w:rsidRDefault="00176E31"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5C4B972D"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176E31" w:rsidRPr="0078289B" w14:paraId="7ACA250C" w14:textId="77777777" w:rsidTr="0043597D">
        <w:trPr>
          <w:trHeight w:val="284"/>
          <w:jc w:val="center"/>
        </w:trPr>
        <w:tc>
          <w:tcPr>
            <w:tcW w:w="3231" w:type="dxa"/>
            <w:vMerge w:val="restart"/>
            <w:tcBorders>
              <w:top w:val="single" w:sz="4" w:space="0" w:color="auto"/>
              <w:right w:val="single" w:sz="4" w:space="0" w:color="auto"/>
            </w:tcBorders>
            <w:vAlign w:val="center"/>
          </w:tcPr>
          <w:p w14:paraId="4A31EE9E" w14:textId="77777777" w:rsidR="00176E31" w:rsidRDefault="00176E31" w:rsidP="00176E31">
            <w:pPr>
              <w:rPr>
                <w:rFonts w:ascii="Arial" w:hAnsi="Arial" w:cs="Arial"/>
                <w:color w:val="000000"/>
                <w:sz w:val="18"/>
                <w:szCs w:val="18"/>
              </w:rPr>
            </w:pPr>
            <w:r w:rsidRPr="00176E31">
              <w:rPr>
                <w:rFonts w:ascii="Arial" w:hAnsi="Arial" w:cs="Arial"/>
                <w:color w:val="000000"/>
                <w:sz w:val="18"/>
                <w:szCs w:val="18"/>
              </w:rPr>
              <w:t>Body temperature</w:t>
            </w:r>
            <w:r>
              <w:rPr>
                <w:rFonts w:ascii="Arial" w:hAnsi="Arial" w:cs="Arial"/>
                <w:color w:val="000000"/>
                <w:sz w:val="18"/>
                <w:szCs w:val="18"/>
              </w:rPr>
              <w:t xml:space="preserve"> </w:t>
            </w:r>
            <w:r w:rsidRPr="00DA0B7D">
              <w:rPr>
                <w:rFonts w:ascii="Arial" w:hAnsi="Arial" w:cs="Arial"/>
                <w:color w:val="000000"/>
                <w:sz w:val="18"/>
                <w:szCs w:val="18"/>
              </w:rPr>
              <w:t>(°C)</w:t>
            </w:r>
          </w:p>
        </w:tc>
        <w:tc>
          <w:tcPr>
            <w:tcW w:w="1843" w:type="dxa"/>
            <w:vMerge w:val="restart"/>
            <w:tcBorders>
              <w:top w:val="single" w:sz="4" w:space="0" w:color="auto"/>
              <w:left w:val="single" w:sz="4" w:space="0" w:color="auto"/>
              <w:right w:val="single" w:sz="4" w:space="0" w:color="auto"/>
            </w:tcBorders>
            <w:noWrap/>
            <w:vAlign w:val="center"/>
          </w:tcPr>
          <w:p w14:paraId="789C0C38"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38.4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1.1</w:t>
            </w:r>
          </w:p>
        </w:tc>
        <w:tc>
          <w:tcPr>
            <w:tcW w:w="1803" w:type="dxa"/>
            <w:tcBorders>
              <w:top w:val="single" w:sz="4" w:space="0" w:color="auto"/>
              <w:left w:val="single" w:sz="4" w:space="0" w:color="auto"/>
            </w:tcBorders>
            <w:shd w:val="pct10" w:color="auto" w:fill="auto"/>
          </w:tcPr>
          <w:p w14:paraId="158DC4F8" w14:textId="77777777" w:rsidR="00176E31" w:rsidRPr="009815EF" w:rsidRDefault="00176E31" w:rsidP="0043597D">
            <w:pPr>
              <w:jc w:val="center"/>
              <w:rPr>
                <w:rFonts w:ascii="Arial" w:hAnsi="Arial" w:cs="Arial"/>
                <w:color w:val="000000"/>
                <w:sz w:val="18"/>
                <w:szCs w:val="18"/>
                <w:lang w:eastAsia="es-MX"/>
              </w:rPr>
            </w:pPr>
            <w:r w:rsidRPr="009815EF">
              <w:rPr>
                <w:rFonts w:ascii="Arial" w:hAnsi="Arial" w:cs="Arial"/>
                <w:sz w:val="18"/>
                <w:szCs w:val="18"/>
              </w:rPr>
              <w:t>&gt;</w:t>
            </w:r>
            <w:r>
              <w:rPr>
                <w:rFonts w:ascii="Arial" w:hAnsi="Arial" w:cs="Arial"/>
                <w:sz w:val="18"/>
                <w:szCs w:val="18"/>
              </w:rPr>
              <w:t xml:space="preserve"> </w:t>
            </w:r>
            <w:r w:rsidRPr="009815EF">
              <w:rPr>
                <w:rFonts w:ascii="Arial" w:hAnsi="Arial" w:cs="Arial"/>
                <w:sz w:val="18"/>
                <w:szCs w:val="18"/>
              </w:rPr>
              <w:t>37</w:t>
            </w:r>
          </w:p>
        </w:tc>
      </w:tr>
      <w:tr w:rsidR="00176E31" w:rsidRPr="0078289B" w14:paraId="6F85F49C" w14:textId="77777777" w:rsidTr="0043597D">
        <w:trPr>
          <w:trHeight w:val="284"/>
          <w:jc w:val="center"/>
        </w:trPr>
        <w:tc>
          <w:tcPr>
            <w:tcW w:w="3231" w:type="dxa"/>
            <w:vMerge/>
            <w:tcBorders>
              <w:bottom w:val="single" w:sz="4" w:space="0" w:color="auto"/>
              <w:right w:val="single" w:sz="4" w:space="0" w:color="auto"/>
            </w:tcBorders>
            <w:vAlign w:val="center"/>
          </w:tcPr>
          <w:p w14:paraId="37FC3E16"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2E6AE3A" w14:textId="77777777" w:rsidR="00176E31" w:rsidRPr="0078289B"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6B6D7EA"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210 (91.3)</w:t>
            </w:r>
          </w:p>
        </w:tc>
      </w:tr>
      <w:tr w:rsidR="00176E31" w:rsidRPr="0078289B" w14:paraId="2437F074" w14:textId="77777777" w:rsidTr="0043597D">
        <w:trPr>
          <w:trHeight w:val="284"/>
          <w:jc w:val="center"/>
        </w:trPr>
        <w:tc>
          <w:tcPr>
            <w:tcW w:w="3231" w:type="dxa"/>
            <w:vMerge w:val="restart"/>
            <w:tcBorders>
              <w:top w:val="single" w:sz="4" w:space="0" w:color="auto"/>
              <w:right w:val="single" w:sz="4" w:space="0" w:color="auto"/>
            </w:tcBorders>
            <w:vAlign w:val="center"/>
          </w:tcPr>
          <w:p w14:paraId="01060541" w14:textId="77777777" w:rsidR="00176E31" w:rsidRPr="00A56C39" w:rsidRDefault="00DB39D3" w:rsidP="00176E31">
            <w:pPr>
              <w:rPr>
                <w:rFonts w:ascii="Arial" w:hAnsi="Arial" w:cs="Arial"/>
                <w:color w:val="000000"/>
                <w:sz w:val="18"/>
                <w:szCs w:val="18"/>
                <w:lang w:val="pt-BR"/>
              </w:rPr>
            </w:pPr>
            <w:r>
              <w:rPr>
                <w:rFonts w:ascii="Arial" w:hAnsi="Arial" w:cs="Arial"/>
                <w:color w:val="000000"/>
                <w:sz w:val="18"/>
                <w:szCs w:val="18"/>
                <w:lang w:val="pt-BR"/>
              </w:rPr>
              <w:t>Heart rate</w:t>
            </w:r>
            <w:r w:rsidR="00176E31">
              <w:rPr>
                <w:rFonts w:ascii="Arial" w:hAnsi="Arial" w:cs="Arial"/>
                <w:color w:val="000000"/>
                <w:sz w:val="18"/>
                <w:szCs w:val="18"/>
                <w:lang w:val="pt-BR"/>
              </w:rPr>
              <w:t xml:space="preserve"> (b</w:t>
            </w:r>
            <w:r w:rsidR="00176E31" w:rsidRPr="00DA0B7D">
              <w:rPr>
                <w:rFonts w:ascii="Arial" w:hAnsi="Arial" w:cs="Arial"/>
                <w:color w:val="000000"/>
                <w:sz w:val="18"/>
                <w:szCs w:val="18"/>
                <w:lang w:val="pt-BR"/>
              </w:rPr>
              <w:t>pm)</w:t>
            </w:r>
          </w:p>
        </w:tc>
        <w:tc>
          <w:tcPr>
            <w:tcW w:w="1843" w:type="dxa"/>
            <w:vMerge w:val="restart"/>
            <w:tcBorders>
              <w:top w:val="single" w:sz="4" w:space="0" w:color="auto"/>
              <w:left w:val="single" w:sz="4" w:space="0" w:color="auto"/>
              <w:right w:val="single" w:sz="4" w:space="0" w:color="auto"/>
            </w:tcBorders>
            <w:noWrap/>
            <w:vAlign w:val="center"/>
          </w:tcPr>
          <w:p w14:paraId="5F043666"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109.0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12.3</w:t>
            </w:r>
          </w:p>
        </w:tc>
        <w:tc>
          <w:tcPr>
            <w:tcW w:w="1803" w:type="dxa"/>
            <w:tcBorders>
              <w:top w:val="single" w:sz="4" w:space="0" w:color="auto"/>
              <w:left w:val="single" w:sz="4" w:space="0" w:color="auto"/>
            </w:tcBorders>
            <w:shd w:val="pct10" w:color="auto" w:fill="auto"/>
          </w:tcPr>
          <w:p w14:paraId="3FA7D234" w14:textId="77777777" w:rsidR="00176E31" w:rsidRPr="0078289B" w:rsidRDefault="00176E31" w:rsidP="0043597D">
            <w:pPr>
              <w:jc w:val="center"/>
              <w:rPr>
                <w:rFonts w:ascii="Arial" w:hAnsi="Arial" w:cs="Arial"/>
                <w:color w:val="000000"/>
                <w:sz w:val="18"/>
                <w:szCs w:val="18"/>
                <w:lang w:val="pt-BR" w:eastAsia="es-MX"/>
              </w:rPr>
            </w:pPr>
            <w:r w:rsidRPr="009815EF">
              <w:rPr>
                <w:rFonts w:ascii="Arial" w:hAnsi="Arial" w:cs="Arial"/>
                <w:color w:val="000000"/>
                <w:sz w:val="18"/>
                <w:szCs w:val="18"/>
                <w:lang w:val="pt-BR" w:eastAsia="es-MX"/>
              </w:rPr>
              <w:t>&gt;100</w:t>
            </w:r>
          </w:p>
        </w:tc>
      </w:tr>
      <w:tr w:rsidR="00176E31" w:rsidRPr="0078289B" w14:paraId="085ECBDB" w14:textId="77777777" w:rsidTr="0043597D">
        <w:trPr>
          <w:trHeight w:val="284"/>
          <w:jc w:val="center"/>
        </w:trPr>
        <w:tc>
          <w:tcPr>
            <w:tcW w:w="3231" w:type="dxa"/>
            <w:vMerge/>
            <w:tcBorders>
              <w:bottom w:val="single" w:sz="4" w:space="0" w:color="auto"/>
              <w:right w:val="single" w:sz="4" w:space="0" w:color="auto"/>
            </w:tcBorders>
            <w:vAlign w:val="center"/>
          </w:tcPr>
          <w:p w14:paraId="11106AA2"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3DD7902F"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1C331EB"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160 (69.6)</w:t>
            </w:r>
          </w:p>
        </w:tc>
      </w:tr>
      <w:tr w:rsidR="00176E31" w:rsidRPr="0078289B" w14:paraId="3B015561" w14:textId="77777777" w:rsidTr="0043597D">
        <w:trPr>
          <w:trHeight w:val="284"/>
          <w:jc w:val="center"/>
        </w:trPr>
        <w:tc>
          <w:tcPr>
            <w:tcW w:w="3231" w:type="dxa"/>
            <w:vMerge w:val="restart"/>
            <w:tcBorders>
              <w:top w:val="single" w:sz="4" w:space="0" w:color="auto"/>
              <w:right w:val="single" w:sz="4" w:space="0" w:color="auto"/>
            </w:tcBorders>
            <w:vAlign w:val="center"/>
          </w:tcPr>
          <w:p w14:paraId="37BF4EFA" w14:textId="77777777" w:rsidR="00176E31" w:rsidRPr="0078289B" w:rsidRDefault="00DB39D3" w:rsidP="00DB39D3">
            <w:pPr>
              <w:rPr>
                <w:rFonts w:ascii="Arial" w:hAnsi="Arial" w:cs="Arial"/>
                <w:color w:val="000000"/>
                <w:sz w:val="18"/>
                <w:szCs w:val="18"/>
                <w:lang w:val="pt-BR"/>
              </w:rPr>
            </w:pPr>
            <w:r w:rsidRPr="00DB39D3">
              <w:rPr>
                <w:rFonts w:ascii="Arial" w:hAnsi="Arial" w:cs="Arial"/>
                <w:color w:val="000000"/>
                <w:sz w:val="18"/>
                <w:szCs w:val="18"/>
                <w:lang w:val="pt-BR"/>
              </w:rPr>
              <w:t xml:space="preserve">Systolic blood pressure </w:t>
            </w:r>
            <w:r>
              <w:rPr>
                <w:rFonts w:ascii="Arial" w:hAnsi="Arial" w:cs="Arial"/>
                <w:color w:val="000000"/>
                <w:sz w:val="18"/>
                <w:szCs w:val="18"/>
                <w:lang w:val="pt-BR"/>
              </w:rPr>
              <w:t>(</w:t>
            </w:r>
            <w:r w:rsidR="00176E31" w:rsidRPr="00DA0B7D">
              <w:rPr>
                <w:rFonts w:ascii="Arial" w:hAnsi="Arial" w:cs="Arial"/>
                <w:color w:val="000000"/>
                <w:sz w:val="18"/>
                <w:szCs w:val="18"/>
                <w:lang w:val="pt-BR"/>
              </w:rPr>
              <w:t>mmHg)</w:t>
            </w:r>
          </w:p>
        </w:tc>
        <w:tc>
          <w:tcPr>
            <w:tcW w:w="1843" w:type="dxa"/>
            <w:vMerge w:val="restart"/>
            <w:tcBorders>
              <w:top w:val="single" w:sz="4" w:space="0" w:color="auto"/>
              <w:left w:val="single" w:sz="4" w:space="0" w:color="auto"/>
              <w:right w:val="single" w:sz="4" w:space="0" w:color="auto"/>
            </w:tcBorders>
            <w:noWrap/>
            <w:vAlign w:val="center"/>
          </w:tcPr>
          <w:p w14:paraId="41458C0F"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97.5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19.1</w:t>
            </w:r>
          </w:p>
        </w:tc>
        <w:tc>
          <w:tcPr>
            <w:tcW w:w="1803" w:type="dxa"/>
            <w:tcBorders>
              <w:top w:val="single" w:sz="4" w:space="0" w:color="auto"/>
              <w:left w:val="single" w:sz="4" w:space="0" w:color="auto"/>
            </w:tcBorders>
            <w:shd w:val="pct10" w:color="auto" w:fill="auto"/>
          </w:tcPr>
          <w:p w14:paraId="241B00FB" w14:textId="77777777" w:rsidR="00176E31" w:rsidRPr="0078289B" w:rsidRDefault="00176E31" w:rsidP="0043597D">
            <w:pPr>
              <w:jc w:val="center"/>
              <w:rPr>
                <w:rFonts w:ascii="Arial" w:hAnsi="Arial" w:cs="Arial"/>
                <w:color w:val="000000"/>
                <w:sz w:val="18"/>
                <w:szCs w:val="18"/>
                <w:lang w:val="pt-BR" w:eastAsia="es-MX"/>
              </w:rPr>
            </w:pPr>
            <w:r w:rsidRPr="00664631">
              <w:rPr>
                <w:rFonts w:ascii="Arial" w:hAnsi="Arial" w:cs="Arial"/>
                <w:color w:val="000000"/>
                <w:sz w:val="18"/>
                <w:szCs w:val="18"/>
                <w:lang w:val="pt-BR" w:eastAsia="es-MX"/>
              </w:rPr>
              <w:t>&gt;</w:t>
            </w:r>
            <w:r>
              <w:rPr>
                <w:rFonts w:ascii="Arial" w:hAnsi="Arial" w:cs="Arial"/>
                <w:color w:val="000000"/>
                <w:sz w:val="18"/>
                <w:szCs w:val="18"/>
                <w:lang w:val="pt-BR" w:eastAsia="es-MX"/>
              </w:rPr>
              <w:t xml:space="preserve"> </w:t>
            </w:r>
            <w:r w:rsidRPr="00664631">
              <w:rPr>
                <w:rFonts w:ascii="Arial" w:hAnsi="Arial" w:cs="Arial"/>
                <w:color w:val="000000"/>
                <w:sz w:val="18"/>
                <w:szCs w:val="18"/>
                <w:lang w:val="pt-BR" w:eastAsia="es-MX"/>
              </w:rPr>
              <w:t>120</w:t>
            </w:r>
          </w:p>
        </w:tc>
      </w:tr>
      <w:tr w:rsidR="00176E31" w:rsidRPr="0078289B" w14:paraId="371027EB" w14:textId="77777777" w:rsidTr="0043597D">
        <w:trPr>
          <w:trHeight w:val="284"/>
          <w:jc w:val="center"/>
        </w:trPr>
        <w:tc>
          <w:tcPr>
            <w:tcW w:w="3231" w:type="dxa"/>
            <w:vMerge/>
            <w:tcBorders>
              <w:bottom w:val="single" w:sz="4" w:space="0" w:color="auto"/>
              <w:right w:val="single" w:sz="4" w:space="0" w:color="auto"/>
            </w:tcBorders>
            <w:vAlign w:val="center"/>
          </w:tcPr>
          <w:p w14:paraId="3D354CEB"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0D4B5AD"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3B4A93AD"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30 (13.0)</w:t>
            </w:r>
          </w:p>
        </w:tc>
      </w:tr>
      <w:tr w:rsidR="00176E31" w:rsidRPr="0078289B" w14:paraId="268ABAFA" w14:textId="77777777" w:rsidTr="0043597D">
        <w:trPr>
          <w:trHeight w:val="284"/>
          <w:jc w:val="center"/>
        </w:trPr>
        <w:tc>
          <w:tcPr>
            <w:tcW w:w="3231" w:type="dxa"/>
            <w:vMerge w:val="restart"/>
            <w:tcBorders>
              <w:top w:val="single" w:sz="4" w:space="0" w:color="auto"/>
              <w:right w:val="single" w:sz="4" w:space="0" w:color="auto"/>
            </w:tcBorders>
            <w:vAlign w:val="center"/>
          </w:tcPr>
          <w:p w14:paraId="01D83492" w14:textId="77777777" w:rsidR="00176E31" w:rsidRPr="0078289B" w:rsidRDefault="00DB39D3" w:rsidP="0043597D">
            <w:pPr>
              <w:rPr>
                <w:rFonts w:ascii="Arial" w:hAnsi="Arial" w:cs="Arial"/>
                <w:color w:val="000000"/>
                <w:sz w:val="18"/>
                <w:szCs w:val="18"/>
                <w:lang w:val="pt-BR"/>
              </w:rPr>
            </w:pPr>
            <w:r w:rsidRPr="00DB39D3">
              <w:rPr>
                <w:rFonts w:ascii="Arial" w:hAnsi="Arial" w:cs="Arial"/>
                <w:color w:val="000000"/>
                <w:sz w:val="18"/>
                <w:szCs w:val="18"/>
                <w:lang w:val="pt-BR"/>
              </w:rPr>
              <w:t>Oxygen saturation</w:t>
            </w:r>
            <w:r w:rsidR="00176E31" w:rsidRPr="00DA0B7D">
              <w:rPr>
                <w:rFonts w:ascii="Arial" w:hAnsi="Arial" w:cs="Arial"/>
                <w:color w:val="000000"/>
                <w:sz w:val="18"/>
                <w:szCs w:val="18"/>
                <w:lang w:val="pt-BR"/>
              </w:rPr>
              <w:t xml:space="preserve"> (%)</w:t>
            </w:r>
          </w:p>
        </w:tc>
        <w:tc>
          <w:tcPr>
            <w:tcW w:w="1843" w:type="dxa"/>
            <w:vMerge w:val="restart"/>
            <w:tcBorders>
              <w:top w:val="single" w:sz="4" w:space="0" w:color="auto"/>
              <w:left w:val="single" w:sz="4" w:space="0" w:color="auto"/>
              <w:right w:val="single" w:sz="4" w:space="0" w:color="auto"/>
            </w:tcBorders>
            <w:noWrap/>
            <w:vAlign w:val="center"/>
          </w:tcPr>
          <w:p w14:paraId="5E65827B"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86.1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5.5</w:t>
            </w:r>
          </w:p>
        </w:tc>
        <w:tc>
          <w:tcPr>
            <w:tcW w:w="1803" w:type="dxa"/>
            <w:tcBorders>
              <w:top w:val="single" w:sz="4" w:space="0" w:color="auto"/>
              <w:left w:val="single" w:sz="4" w:space="0" w:color="auto"/>
            </w:tcBorders>
            <w:shd w:val="pct10" w:color="auto" w:fill="auto"/>
          </w:tcPr>
          <w:p w14:paraId="774B806D" w14:textId="77777777" w:rsidR="00176E31" w:rsidRPr="0078289B" w:rsidRDefault="00176E31" w:rsidP="0043597D">
            <w:pPr>
              <w:jc w:val="center"/>
              <w:rPr>
                <w:rFonts w:ascii="Arial" w:hAnsi="Arial" w:cs="Arial"/>
                <w:color w:val="000000"/>
                <w:sz w:val="18"/>
                <w:szCs w:val="18"/>
                <w:lang w:val="pt-BR" w:eastAsia="es-MX"/>
              </w:rPr>
            </w:pPr>
            <w:r w:rsidRPr="009815EF">
              <w:rPr>
                <w:rFonts w:ascii="Arial" w:hAnsi="Arial" w:cs="Arial"/>
                <w:color w:val="000000"/>
                <w:sz w:val="18"/>
                <w:szCs w:val="18"/>
                <w:lang w:val="pt-BR" w:eastAsia="es-MX"/>
              </w:rPr>
              <w:t>&lt;</w:t>
            </w:r>
            <w:r>
              <w:rPr>
                <w:rFonts w:ascii="Arial" w:hAnsi="Arial" w:cs="Arial"/>
                <w:color w:val="000000"/>
                <w:sz w:val="18"/>
                <w:szCs w:val="18"/>
                <w:lang w:val="pt-BR" w:eastAsia="es-MX"/>
              </w:rPr>
              <w:t xml:space="preserve"> </w:t>
            </w:r>
            <w:r w:rsidRPr="009815EF">
              <w:rPr>
                <w:rFonts w:ascii="Arial" w:hAnsi="Arial" w:cs="Arial"/>
                <w:color w:val="000000"/>
                <w:sz w:val="18"/>
                <w:szCs w:val="18"/>
                <w:lang w:val="pt-BR" w:eastAsia="es-MX"/>
              </w:rPr>
              <w:t xml:space="preserve">95 </w:t>
            </w:r>
          </w:p>
        </w:tc>
      </w:tr>
      <w:tr w:rsidR="00176E31" w:rsidRPr="0078289B" w14:paraId="0A31782B" w14:textId="77777777" w:rsidTr="0043597D">
        <w:trPr>
          <w:trHeight w:val="284"/>
          <w:jc w:val="center"/>
        </w:trPr>
        <w:tc>
          <w:tcPr>
            <w:tcW w:w="3231" w:type="dxa"/>
            <w:vMerge/>
            <w:tcBorders>
              <w:bottom w:val="single" w:sz="4" w:space="0" w:color="auto"/>
              <w:right w:val="single" w:sz="4" w:space="0" w:color="auto"/>
            </w:tcBorders>
            <w:vAlign w:val="center"/>
          </w:tcPr>
          <w:p w14:paraId="3333D985"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672C8ED8"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3370D1E8"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176E31" w:rsidRPr="004D2CC5" w14:paraId="302B83A7" w14:textId="77777777" w:rsidTr="0043597D">
        <w:trPr>
          <w:trHeight w:val="284"/>
          <w:jc w:val="center"/>
        </w:trPr>
        <w:tc>
          <w:tcPr>
            <w:tcW w:w="3231" w:type="dxa"/>
            <w:vMerge w:val="restart"/>
            <w:tcBorders>
              <w:top w:val="single" w:sz="4" w:space="0" w:color="auto"/>
              <w:right w:val="single" w:sz="4" w:space="0" w:color="auto"/>
            </w:tcBorders>
            <w:vAlign w:val="center"/>
          </w:tcPr>
          <w:p w14:paraId="26DBB6A8" w14:textId="77777777" w:rsidR="00176E31" w:rsidRPr="00DB39D3" w:rsidRDefault="00DB39D3" w:rsidP="0043597D">
            <w:pPr>
              <w:rPr>
                <w:rFonts w:ascii="Arial" w:hAnsi="Arial" w:cs="Arial"/>
                <w:color w:val="000000"/>
                <w:sz w:val="18"/>
                <w:szCs w:val="18"/>
              </w:rPr>
            </w:pPr>
            <w:r w:rsidRPr="00DB39D3">
              <w:rPr>
                <w:rFonts w:ascii="Arial" w:hAnsi="Arial" w:cs="Arial"/>
                <w:color w:val="000000"/>
                <w:sz w:val="18"/>
                <w:szCs w:val="18"/>
              </w:rPr>
              <w:t>Partial pressure of oxygen</w:t>
            </w:r>
            <w:r w:rsidR="00176E31" w:rsidRPr="00DB39D3">
              <w:rPr>
                <w:rFonts w:ascii="Arial" w:hAnsi="Arial" w:cs="Arial"/>
                <w:color w:val="000000"/>
                <w:sz w:val="18"/>
                <w:szCs w:val="18"/>
              </w:rPr>
              <w:t xml:space="preserve"> (mmHg)</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5FB04E0"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59.7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11.1</w:t>
            </w:r>
          </w:p>
        </w:tc>
        <w:tc>
          <w:tcPr>
            <w:tcW w:w="1803" w:type="dxa"/>
            <w:tcBorders>
              <w:top w:val="single" w:sz="4" w:space="0" w:color="auto"/>
              <w:left w:val="single" w:sz="4" w:space="0" w:color="auto"/>
            </w:tcBorders>
            <w:shd w:val="pct10" w:color="auto" w:fill="auto"/>
          </w:tcPr>
          <w:p w14:paraId="19F6E7E9"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&lt; 7</w:t>
            </w:r>
            <w:r w:rsidRPr="009815EF">
              <w:rPr>
                <w:rFonts w:ascii="Arial" w:hAnsi="Arial" w:cs="Arial"/>
                <w:color w:val="000000"/>
                <w:sz w:val="18"/>
                <w:szCs w:val="18"/>
                <w:lang w:val="pt-BR" w:eastAsia="es-MX"/>
              </w:rPr>
              <w:t xml:space="preserve">5 </w:t>
            </w:r>
          </w:p>
        </w:tc>
      </w:tr>
      <w:tr w:rsidR="00176E31" w:rsidRPr="004D2CC5" w14:paraId="2F8D5012" w14:textId="77777777" w:rsidTr="0043597D">
        <w:trPr>
          <w:trHeight w:val="284"/>
          <w:jc w:val="center"/>
        </w:trPr>
        <w:tc>
          <w:tcPr>
            <w:tcW w:w="3231" w:type="dxa"/>
            <w:vMerge/>
            <w:tcBorders>
              <w:bottom w:val="single" w:sz="4" w:space="0" w:color="auto"/>
              <w:right w:val="single" w:sz="4" w:space="0" w:color="auto"/>
            </w:tcBorders>
            <w:vAlign w:val="center"/>
          </w:tcPr>
          <w:p w14:paraId="10666561"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434BE732" w14:textId="77777777" w:rsidR="00176E31" w:rsidRPr="004D2CC5" w:rsidRDefault="00176E31"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51F14267"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230 (100.0)</w:t>
            </w:r>
          </w:p>
        </w:tc>
      </w:tr>
    </w:tbl>
    <w:p w14:paraId="5B459688" w14:textId="77777777" w:rsidR="00950576" w:rsidRDefault="00950576" w:rsidP="000305FF">
      <w:pPr>
        <w:suppressAutoHyphens/>
        <w:jc w:val="center"/>
        <w:rPr>
          <w:rFonts w:ascii="Arial" w:hAnsi="Arial" w:cs="Arial"/>
        </w:rPr>
      </w:pPr>
      <w:r w:rsidRPr="00EE7CC2">
        <w:rPr>
          <w:rFonts w:ascii="Arial" w:hAnsi="Arial" w:cs="Arial"/>
        </w:rPr>
        <w:t>*SD: Standard deviation</w:t>
      </w:r>
    </w:p>
    <w:p w14:paraId="17ACD100" w14:textId="77777777" w:rsidR="000305FF" w:rsidRPr="00EE7CC2" w:rsidRDefault="000305FF" w:rsidP="000305FF">
      <w:pPr>
        <w:suppressAutoHyphens/>
        <w:jc w:val="center"/>
        <w:rPr>
          <w:rFonts w:ascii="Arial" w:hAnsi="Arial" w:cs="Arial"/>
        </w:rPr>
      </w:pPr>
    </w:p>
    <w:p w14:paraId="5BDAAE90" w14:textId="77777777" w:rsidR="00950576" w:rsidRDefault="00DB39D3" w:rsidP="00DB39D3">
      <w:pPr>
        <w:tabs>
          <w:tab w:val="left" w:pos="1080"/>
        </w:tabs>
        <w:jc w:val="both"/>
        <w:rPr>
          <w:rFonts w:ascii="Arial" w:hAnsi="Arial"/>
        </w:rPr>
      </w:pPr>
      <w:r w:rsidRPr="00DB39D3">
        <w:rPr>
          <w:rFonts w:ascii="Arial" w:hAnsi="Arial"/>
        </w:rPr>
        <w:t>The recorded values ​​were hemoglobin (g/dL) 10.5 ± 2.2; leukocytes (x10</w:t>
      </w:r>
      <w:r w:rsidRPr="00DB39D3">
        <w:rPr>
          <w:rFonts w:ascii="Arial" w:hAnsi="Arial"/>
          <w:vertAlign w:val="superscript"/>
        </w:rPr>
        <w:t xml:space="preserve">3 </w:t>
      </w:r>
      <w:r w:rsidRPr="00DB39D3">
        <w:rPr>
          <w:rFonts w:ascii="Arial" w:hAnsi="Arial"/>
        </w:rPr>
        <w:t>mm</w:t>
      </w:r>
      <w:r w:rsidRPr="00DB39D3">
        <w:rPr>
          <w:rFonts w:ascii="Arial" w:hAnsi="Arial"/>
          <w:vertAlign w:val="superscript"/>
        </w:rPr>
        <w:t>3</w:t>
      </w:r>
      <w:r w:rsidRPr="00DB39D3">
        <w:rPr>
          <w:rFonts w:ascii="Arial" w:hAnsi="Arial"/>
        </w:rPr>
        <w:t>) 20.9 ± 3.4; and platelets (x10</w:t>
      </w:r>
      <w:r w:rsidRPr="00DB39D3">
        <w:rPr>
          <w:rFonts w:ascii="Arial" w:hAnsi="Arial"/>
          <w:vertAlign w:val="superscript"/>
        </w:rPr>
        <w:t xml:space="preserve">3 </w:t>
      </w:r>
      <w:r w:rsidRPr="00DB39D3">
        <w:rPr>
          <w:rFonts w:ascii="Arial" w:hAnsi="Arial"/>
        </w:rPr>
        <w:t>mm</w:t>
      </w:r>
      <w:r w:rsidRPr="00DB39D3">
        <w:rPr>
          <w:rFonts w:ascii="Arial" w:hAnsi="Arial"/>
          <w:vertAlign w:val="superscript"/>
        </w:rPr>
        <w:t>3</w:t>
      </w:r>
      <w:r w:rsidRPr="00DB39D3">
        <w:rPr>
          <w:rFonts w:ascii="Arial" w:hAnsi="Arial"/>
        </w:rPr>
        <w:t>) 186.9 ± 128.6. The total number of patients presented leukocyte values ​​&gt; 10 (x10</w:t>
      </w:r>
      <w:r w:rsidRPr="00DB39D3">
        <w:rPr>
          <w:rFonts w:ascii="Arial" w:hAnsi="Arial"/>
          <w:vertAlign w:val="superscript"/>
        </w:rPr>
        <w:t xml:space="preserve">3 </w:t>
      </w:r>
      <w:r w:rsidRPr="00DB39D3">
        <w:rPr>
          <w:rFonts w:ascii="Arial" w:hAnsi="Arial"/>
        </w:rPr>
        <w:t>mm</w:t>
      </w:r>
      <w:r w:rsidRPr="005641D4">
        <w:rPr>
          <w:rFonts w:ascii="Arial" w:hAnsi="Arial"/>
          <w:vertAlign w:val="superscript"/>
        </w:rPr>
        <w:t>3</w:t>
      </w:r>
      <w:r w:rsidRPr="00DB39D3">
        <w:rPr>
          <w:rFonts w:ascii="Arial" w:hAnsi="Arial"/>
        </w:rPr>
        <w:t>) (n=230; 100.0%); 39.1% (n=90) hemoglobin &lt; 10 (g/dL); and 52.2% (n=120) platelets &lt; 150 (x10</w:t>
      </w:r>
      <w:r w:rsidRPr="005641D4">
        <w:rPr>
          <w:rFonts w:ascii="Arial" w:hAnsi="Arial"/>
          <w:vertAlign w:val="superscript"/>
        </w:rPr>
        <w:t>3</w:t>
      </w:r>
      <w:r w:rsidRPr="00DB39D3">
        <w:rPr>
          <w:rFonts w:ascii="Arial" w:hAnsi="Arial"/>
        </w:rPr>
        <w:t xml:space="preserve"> mm</w:t>
      </w:r>
      <w:r w:rsidRPr="005641D4">
        <w:rPr>
          <w:rFonts w:ascii="Arial" w:hAnsi="Arial"/>
          <w:vertAlign w:val="superscript"/>
        </w:rPr>
        <w:t>3</w:t>
      </w:r>
      <w:r w:rsidRPr="00DB39D3">
        <w:rPr>
          <w:rFonts w:ascii="Arial" w:hAnsi="Arial"/>
        </w:rPr>
        <w:t>) (Table 3).</w:t>
      </w:r>
    </w:p>
    <w:p w14:paraId="6F67A1AD" w14:textId="77777777" w:rsidR="005641D4" w:rsidRDefault="005641D4" w:rsidP="00DB39D3">
      <w:pPr>
        <w:tabs>
          <w:tab w:val="left" w:pos="1080"/>
        </w:tabs>
        <w:jc w:val="both"/>
        <w:rPr>
          <w:rFonts w:ascii="Arial" w:hAnsi="Arial"/>
        </w:rPr>
      </w:pPr>
    </w:p>
    <w:p w14:paraId="75B2621B" w14:textId="77777777" w:rsidR="005641D4" w:rsidRDefault="005641D4" w:rsidP="005641D4">
      <w:pPr>
        <w:jc w:val="center"/>
        <w:rPr>
          <w:rFonts w:ascii="Arial" w:hAnsi="Arial"/>
          <w:b/>
        </w:rPr>
      </w:pPr>
      <w:r>
        <w:rPr>
          <w:rFonts w:ascii="Arial" w:hAnsi="Arial"/>
          <w:b/>
        </w:rPr>
        <w:t>Table 3</w:t>
      </w:r>
      <w:r w:rsidRPr="00EE7CC2">
        <w:rPr>
          <w:rFonts w:ascii="Arial" w:hAnsi="Arial"/>
          <w:b/>
        </w:rPr>
        <w:t xml:space="preserve">. </w:t>
      </w:r>
      <w:r w:rsidRPr="005641D4">
        <w:rPr>
          <w:rFonts w:ascii="Arial" w:hAnsi="Arial"/>
          <w:b/>
        </w:rPr>
        <w:t>Hematological profile in patients with sepsis.</w:t>
      </w:r>
    </w:p>
    <w:p w14:paraId="576A942D" w14:textId="77777777" w:rsidR="005641D4" w:rsidRPr="00EE7CC2" w:rsidRDefault="005641D4" w:rsidP="005641D4">
      <w:pPr>
        <w:jc w:val="both"/>
        <w:rPr>
          <w:rFonts w:ascii="Arial" w:hAnsi="Arial"/>
          <w:b/>
        </w:rPr>
      </w:pPr>
    </w:p>
    <w:tbl>
      <w:tblPr>
        <w:tblW w:w="6334" w:type="dxa"/>
        <w:jc w:val="center"/>
        <w:tblCellMar>
          <w:left w:w="70" w:type="dxa"/>
          <w:right w:w="70" w:type="dxa"/>
        </w:tblCellMar>
        <w:tblLook w:val="04A0" w:firstRow="1" w:lastRow="0" w:firstColumn="1" w:lastColumn="0" w:noHBand="0" w:noVBand="1"/>
      </w:tblPr>
      <w:tblGrid>
        <w:gridCol w:w="2688"/>
        <w:gridCol w:w="1843"/>
        <w:gridCol w:w="1803"/>
      </w:tblGrid>
      <w:tr w:rsidR="005641D4" w:rsidRPr="004D2CC5" w14:paraId="6D9A7D6A" w14:textId="77777777" w:rsidTr="0043597D">
        <w:trPr>
          <w:trHeight w:val="284"/>
          <w:jc w:val="center"/>
        </w:trPr>
        <w:tc>
          <w:tcPr>
            <w:tcW w:w="2688" w:type="dxa"/>
            <w:tcBorders>
              <w:top w:val="single" w:sz="4" w:space="0" w:color="auto"/>
              <w:bottom w:val="single" w:sz="4" w:space="0" w:color="auto"/>
              <w:right w:val="single" w:sz="4" w:space="0" w:color="auto"/>
            </w:tcBorders>
            <w:vAlign w:val="center"/>
          </w:tcPr>
          <w:p w14:paraId="2EC3719E" w14:textId="77777777" w:rsidR="005641D4" w:rsidRPr="004D2CC5" w:rsidRDefault="005641D4"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1AEA8A20" w14:textId="77777777" w:rsidR="005641D4" w:rsidRPr="004D2CC5" w:rsidRDefault="005641D4" w:rsidP="005641D4">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32C1AB4B" w14:textId="77777777" w:rsidR="005641D4" w:rsidRDefault="005641D4"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4AD52287"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5641D4" w:rsidRPr="0078289B" w14:paraId="4128F8CB" w14:textId="77777777" w:rsidTr="0043597D">
        <w:trPr>
          <w:trHeight w:val="284"/>
          <w:jc w:val="center"/>
        </w:trPr>
        <w:tc>
          <w:tcPr>
            <w:tcW w:w="2688" w:type="dxa"/>
            <w:vMerge w:val="restart"/>
            <w:tcBorders>
              <w:top w:val="single" w:sz="4" w:space="0" w:color="auto"/>
              <w:right w:val="single" w:sz="4" w:space="0" w:color="auto"/>
            </w:tcBorders>
            <w:vAlign w:val="center"/>
          </w:tcPr>
          <w:p w14:paraId="5ACA4CAF" w14:textId="77777777" w:rsidR="005641D4" w:rsidRDefault="005641D4" w:rsidP="0043597D">
            <w:pPr>
              <w:rPr>
                <w:rFonts w:ascii="Arial" w:hAnsi="Arial" w:cs="Arial"/>
                <w:color w:val="000000"/>
                <w:sz w:val="18"/>
                <w:szCs w:val="18"/>
              </w:rPr>
            </w:pPr>
            <w:r>
              <w:rPr>
                <w:rFonts w:ascii="Arial" w:hAnsi="Arial" w:cs="Arial"/>
                <w:color w:val="000000"/>
                <w:sz w:val="18"/>
                <w:szCs w:val="18"/>
              </w:rPr>
              <w:t>Hb (g/dL)</w:t>
            </w:r>
          </w:p>
        </w:tc>
        <w:tc>
          <w:tcPr>
            <w:tcW w:w="1843" w:type="dxa"/>
            <w:vMerge w:val="restart"/>
            <w:tcBorders>
              <w:top w:val="single" w:sz="4" w:space="0" w:color="auto"/>
              <w:left w:val="single" w:sz="4" w:space="0" w:color="auto"/>
              <w:right w:val="single" w:sz="4" w:space="0" w:color="auto"/>
            </w:tcBorders>
            <w:noWrap/>
            <w:vAlign w:val="center"/>
            <w:hideMark/>
          </w:tcPr>
          <w:p w14:paraId="1DECB51C"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10.5 ± 2.2</w:t>
            </w:r>
          </w:p>
        </w:tc>
        <w:tc>
          <w:tcPr>
            <w:tcW w:w="1803" w:type="dxa"/>
            <w:tcBorders>
              <w:top w:val="single" w:sz="4" w:space="0" w:color="auto"/>
              <w:left w:val="single" w:sz="4" w:space="0" w:color="auto"/>
            </w:tcBorders>
            <w:shd w:val="pct10" w:color="auto" w:fill="auto"/>
          </w:tcPr>
          <w:p w14:paraId="1CECBD5A"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&lt; 10</w:t>
            </w:r>
          </w:p>
        </w:tc>
      </w:tr>
      <w:tr w:rsidR="005641D4" w:rsidRPr="0078289B" w14:paraId="0AB15557" w14:textId="77777777" w:rsidTr="0043597D">
        <w:trPr>
          <w:trHeight w:val="284"/>
          <w:jc w:val="center"/>
        </w:trPr>
        <w:tc>
          <w:tcPr>
            <w:tcW w:w="2688" w:type="dxa"/>
            <w:vMerge/>
            <w:tcBorders>
              <w:bottom w:val="single" w:sz="4" w:space="0" w:color="auto"/>
              <w:right w:val="single" w:sz="4" w:space="0" w:color="auto"/>
            </w:tcBorders>
            <w:vAlign w:val="center"/>
          </w:tcPr>
          <w:p w14:paraId="5BDD4814"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53231A48" w14:textId="77777777" w:rsidR="005641D4" w:rsidRPr="0078289B"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04B40F08"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90 (39.1)</w:t>
            </w:r>
          </w:p>
        </w:tc>
      </w:tr>
      <w:tr w:rsidR="005641D4" w:rsidRPr="0078289B" w14:paraId="5D6747C8" w14:textId="77777777" w:rsidTr="0043597D">
        <w:trPr>
          <w:trHeight w:val="284"/>
          <w:jc w:val="center"/>
        </w:trPr>
        <w:tc>
          <w:tcPr>
            <w:tcW w:w="2688" w:type="dxa"/>
            <w:vMerge w:val="restart"/>
            <w:tcBorders>
              <w:top w:val="single" w:sz="4" w:space="0" w:color="auto"/>
              <w:right w:val="single" w:sz="4" w:space="0" w:color="auto"/>
            </w:tcBorders>
            <w:vAlign w:val="center"/>
          </w:tcPr>
          <w:p w14:paraId="50239D42" w14:textId="77777777" w:rsidR="005641D4" w:rsidRPr="00A56C39" w:rsidRDefault="005641D4" w:rsidP="0043597D">
            <w:pPr>
              <w:rPr>
                <w:rFonts w:ascii="Arial" w:hAnsi="Arial" w:cs="Arial"/>
                <w:color w:val="000000"/>
                <w:sz w:val="18"/>
                <w:szCs w:val="18"/>
                <w:lang w:val="pt-BR"/>
              </w:rPr>
            </w:pPr>
            <w:r w:rsidRPr="00A56C39">
              <w:rPr>
                <w:rFonts w:ascii="Arial" w:hAnsi="Arial" w:cs="Arial"/>
                <w:color w:val="000000"/>
                <w:sz w:val="18"/>
                <w:szCs w:val="18"/>
                <w:lang w:val="pt-BR"/>
              </w:rPr>
              <w:t xml:space="preserve">Leukocytes </w:t>
            </w:r>
            <w:r w:rsidRPr="00A56C39">
              <w:rPr>
                <w:rFonts w:ascii="Arial" w:hAnsi="Arial" w:cs="Arial"/>
                <w:sz w:val="18"/>
                <w:szCs w:val="18"/>
              </w:rPr>
              <w:t>(x10</w:t>
            </w:r>
            <w:r w:rsidRPr="00A56C39">
              <w:rPr>
                <w:rFonts w:ascii="Arial" w:hAnsi="Arial" w:cs="Arial"/>
                <w:sz w:val="18"/>
                <w:szCs w:val="18"/>
                <w:vertAlign w:val="superscript"/>
              </w:rPr>
              <w:t xml:space="preserve">3 </w:t>
            </w:r>
            <w:r w:rsidRPr="00A56C39">
              <w:rPr>
                <w:rFonts w:ascii="Arial" w:hAnsi="Arial" w:cs="Arial"/>
                <w:sz w:val="18"/>
                <w:szCs w:val="18"/>
              </w:rPr>
              <w:t>mm</w:t>
            </w:r>
            <w:r w:rsidRPr="00A56C39">
              <w:rPr>
                <w:rFonts w:ascii="Arial" w:hAnsi="Arial" w:cs="Arial"/>
                <w:sz w:val="18"/>
                <w:szCs w:val="18"/>
                <w:vertAlign w:val="superscript"/>
              </w:rPr>
              <w:t>3</w:t>
            </w:r>
            <w:r w:rsidRPr="00A56C39">
              <w:rPr>
                <w:rFonts w:ascii="Arial" w:hAnsi="Arial" w:cs="Arial"/>
                <w:sz w:val="18"/>
                <w:szCs w:val="18"/>
              </w:rPr>
              <w:t>)</w:t>
            </w:r>
          </w:p>
        </w:tc>
        <w:tc>
          <w:tcPr>
            <w:tcW w:w="1843" w:type="dxa"/>
            <w:vMerge w:val="restart"/>
            <w:tcBorders>
              <w:top w:val="single" w:sz="4" w:space="0" w:color="auto"/>
              <w:left w:val="single" w:sz="4" w:space="0" w:color="auto"/>
              <w:right w:val="single" w:sz="4" w:space="0" w:color="auto"/>
            </w:tcBorders>
            <w:noWrap/>
            <w:vAlign w:val="center"/>
            <w:hideMark/>
          </w:tcPr>
          <w:p w14:paraId="0154BEBA" w14:textId="77777777" w:rsidR="005641D4" w:rsidRPr="004D2CC5"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xml:space="preserve">20.9 </w:t>
            </w:r>
            <w:r w:rsidRPr="0078289B">
              <w:rPr>
                <w:rFonts w:ascii="Arial" w:hAnsi="Arial" w:cs="Arial"/>
                <w:color w:val="000000"/>
                <w:sz w:val="18"/>
                <w:szCs w:val="18"/>
                <w:lang w:val="pt-BR" w:eastAsia="es-MX"/>
              </w:rPr>
              <w:t>±</w:t>
            </w:r>
            <w:r>
              <w:rPr>
                <w:rFonts w:ascii="Arial" w:hAnsi="Arial" w:cs="Arial"/>
                <w:color w:val="000000"/>
                <w:sz w:val="18"/>
                <w:szCs w:val="18"/>
                <w:lang w:val="pt-BR" w:eastAsia="es-MX"/>
              </w:rPr>
              <w:t xml:space="preserve"> </w:t>
            </w:r>
            <w:r w:rsidRPr="004D2CC5">
              <w:rPr>
                <w:rFonts w:ascii="Arial" w:hAnsi="Arial" w:cs="Arial"/>
                <w:color w:val="000000"/>
                <w:sz w:val="18"/>
                <w:szCs w:val="18"/>
                <w:lang w:val="pt-BR" w:eastAsia="es-MX"/>
              </w:rPr>
              <w:t>3</w:t>
            </w:r>
            <w:r>
              <w:rPr>
                <w:rFonts w:ascii="Arial" w:hAnsi="Arial" w:cs="Arial"/>
                <w:color w:val="000000"/>
                <w:sz w:val="18"/>
                <w:szCs w:val="18"/>
                <w:lang w:val="pt-BR" w:eastAsia="es-MX"/>
              </w:rPr>
              <w:t>.</w:t>
            </w:r>
            <w:r w:rsidRPr="004D2CC5">
              <w:rPr>
                <w:rFonts w:ascii="Arial" w:hAnsi="Arial" w:cs="Arial"/>
                <w:color w:val="000000"/>
                <w:sz w:val="18"/>
                <w:szCs w:val="18"/>
                <w:lang w:val="pt-BR" w:eastAsia="es-MX"/>
              </w:rPr>
              <w:t>4</w:t>
            </w:r>
          </w:p>
        </w:tc>
        <w:tc>
          <w:tcPr>
            <w:tcW w:w="1803" w:type="dxa"/>
            <w:tcBorders>
              <w:top w:val="single" w:sz="4" w:space="0" w:color="auto"/>
              <w:left w:val="single" w:sz="4" w:space="0" w:color="auto"/>
            </w:tcBorders>
            <w:shd w:val="pct10" w:color="auto" w:fill="auto"/>
          </w:tcPr>
          <w:p w14:paraId="2B259F91" w14:textId="77777777" w:rsidR="005641D4" w:rsidRPr="009815EF" w:rsidRDefault="005641D4" w:rsidP="0043597D">
            <w:pPr>
              <w:jc w:val="center"/>
              <w:rPr>
                <w:rFonts w:ascii="Arial" w:hAnsi="Arial" w:cs="Arial"/>
                <w:color w:val="000000"/>
                <w:sz w:val="18"/>
                <w:szCs w:val="18"/>
                <w:lang w:val="pt-BR" w:eastAsia="es-MX"/>
              </w:rPr>
            </w:pPr>
            <w:r w:rsidRPr="009815EF">
              <w:rPr>
                <w:rFonts w:ascii="Arial" w:hAnsi="Arial" w:cs="Arial"/>
                <w:sz w:val="18"/>
                <w:szCs w:val="18"/>
              </w:rPr>
              <w:t>&gt;10</w:t>
            </w:r>
          </w:p>
        </w:tc>
      </w:tr>
      <w:tr w:rsidR="005641D4" w:rsidRPr="0078289B" w14:paraId="1B971428" w14:textId="77777777" w:rsidTr="0043597D">
        <w:trPr>
          <w:trHeight w:val="284"/>
          <w:jc w:val="center"/>
        </w:trPr>
        <w:tc>
          <w:tcPr>
            <w:tcW w:w="2688" w:type="dxa"/>
            <w:vMerge/>
            <w:tcBorders>
              <w:bottom w:val="single" w:sz="4" w:space="0" w:color="auto"/>
              <w:right w:val="single" w:sz="4" w:space="0" w:color="auto"/>
            </w:tcBorders>
            <w:vAlign w:val="center"/>
          </w:tcPr>
          <w:p w14:paraId="5E399B49"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63071696" w14:textId="77777777" w:rsidR="005641D4" w:rsidRPr="004D2CC5"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21FA54E2"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5641D4" w:rsidRPr="0078289B" w14:paraId="4EEB7C84" w14:textId="77777777" w:rsidTr="0043597D">
        <w:trPr>
          <w:trHeight w:val="284"/>
          <w:jc w:val="center"/>
        </w:trPr>
        <w:tc>
          <w:tcPr>
            <w:tcW w:w="2688" w:type="dxa"/>
            <w:vMerge w:val="restart"/>
            <w:tcBorders>
              <w:top w:val="single" w:sz="4" w:space="0" w:color="auto"/>
              <w:right w:val="single" w:sz="4" w:space="0" w:color="auto"/>
            </w:tcBorders>
            <w:vAlign w:val="center"/>
          </w:tcPr>
          <w:p w14:paraId="0DED02E6" w14:textId="77777777" w:rsidR="005641D4" w:rsidRPr="0078289B" w:rsidRDefault="005641D4" w:rsidP="0043597D">
            <w:pPr>
              <w:rPr>
                <w:rFonts w:ascii="Arial" w:hAnsi="Arial" w:cs="Arial"/>
                <w:color w:val="000000"/>
                <w:sz w:val="18"/>
                <w:szCs w:val="18"/>
                <w:lang w:val="pt-BR"/>
              </w:rPr>
            </w:pPr>
            <w:r>
              <w:rPr>
                <w:rFonts w:ascii="Arial" w:hAnsi="Arial" w:cs="Arial"/>
                <w:color w:val="000000"/>
                <w:sz w:val="18"/>
                <w:szCs w:val="18"/>
              </w:rPr>
              <w:t xml:space="preserve">Platelets </w:t>
            </w:r>
            <w:r w:rsidRPr="00A56C39">
              <w:rPr>
                <w:rFonts w:ascii="Arial" w:hAnsi="Arial" w:cs="Arial"/>
                <w:sz w:val="18"/>
                <w:szCs w:val="18"/>
              </w:rPr>
              <w:t>(x10</w:t>
            </w:r>
            <w:r w:rsidRPr="00A56C39">
              <w:rPr>
                <w:rFonts w:ascii="Arial" w:hAnsi="Arial" w:cs="Arial"/>
                <w:sz w:val="18"/>
                <w:szCs w:val="18"/>
                <w:vertAlign w:val="superscript"/>
              </w:rPr>
              <w:t xml:space="preserve">3 </w:t>
            </w:r>
            <w:r w:rsidRPr="00A56C39">
              <w:rPr>
                <w:rFonts w:ascii="Arial" w:hAnsi="Arial" w:cs="Arial"/>
                <w:sz w:val="18"/>
                <w:szCs w:val="18"/>
              </w:rPr>
              <w:t>mm</w:t>
            </w:r>
            <w:r w:rsidRPr="00A56C39">
              <w:rPr>
                <w:rFonts w:ascii="Arial" w:hAnsi="Arial" w:cs="Arial"/>
                <w:sz w:val="18"/>
                <w:szCs w:val="18"/>
                <w:vertAlign w:val="superscript"/>
              </w:rPr>
              <w:t>3</w:t>
            </w:r>
            <w:r w:rsidRPr="00A56C39">
              <w:rPr>
                <w:rFonts w:ascii="Arial" w:hAnsi="Arial" w:cs="Arial"/>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894E627" w14:textId="77777777" w:rsidR="005641D4" w:rsidRPr="004D2CC5"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186.9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128.6</w:t>
            </w:r>
          </w:p>
        </w:tc>
        <w:tc>
          <w:tcPr>
            <w:tcW w:w="1803" w:type="dxa"/>
            <w:tcBorders>
              <w:top w:val="single" w:sz="4" w:space="0" w:color="auto"/>
              <w:left w:val="single" w:sz="4" w:space="0" w:color="auto"/>
            </w:tcBorders>
            <w:shd w:val="pct10" w:color="auto" w:fill="auto"/>
          </w:tcPr>
          <w:p w14:paraId="634E53A3"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&lt;150</w:t>
            </w:r>
          </w:p>
        </w:tc>
      </w:tr>
      <w:tr w:rsidR="005641D4" w:rsidRPr="0078289B" w14:paraId="5FD32858" w14:textId="77777777" w:rsidTr="0043597D">
        <w:trPr>
          <w:trHeight w:val="284"/>
          <w:jc w:val="center"/>
        </w:trPr>
        <w:tc>
          <w:tcPr>
            <w:tcW w:w="2688" w:type="dxa"/>
            <w:vMerge/>
            <w:tcBorders>
              <w:bottom w:val="single" w:sz="4" w:space="0" w:color="auto"/>
              <w:right w:val="single" w:sz="4" w:space="0" w:color="auto"/>
            </w:tcBorders>
            <w:vAlign w:val="center"/>
          </w:tcPr>
          <w:p w14:paraId="3B14A7CC"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227620C4" w14:textId="77777777" w:rsidR="005641D4" w:rsidRPr="004D2CC5"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28D3C902"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120  (52.2)</w:t>
            </w:r>
          </w:p>
        </w:tc>
      </w:tr>
    </w:tbl>
    <w:p w14:paraId="42BF90E9" w14:textId="77777777" w:rsidR="005641D4" w:rsidRPr="00EE7CC2" w:rsidRDefault="005641D4" w:rsidP="000305FF">
      <w:pPr>
        <w:suppressAutoHyphens/>
        <w:jc w:val="center"/>
        <w:rPr>
          <w:rFonts w:ascii="Arial" w:hAnsi="Arial" w:cs="Arial"/>
        </w:rPr>
      </w:pPr>
      <w:r w:rsidRPr="00EE7CC2">
        <w:rPr>
          <w:rFonts w:ascii="Arial" w:hAnsi="Arial" w:cs="Arial"/>
        </w:rPr>
        <w:t>*SD: Standard deviation</w:t>
      </w:r>
    </w:p>
    <w:p w14:paraId="4A27056C" w14:textId="77777777" w:rsidR="000305FF" w:rsidRDefault="000305FF" w:rsidP="005641D4">
      <w:pPr>
        <w:tabs>
          <w:tab w:val="left" w:pos="1080"/>
        </w:tabs>
        <w:jc w:val="both"/>
        <w:rPr>
          <w:rFonts w:ascii="Arial" w:hAnsi="Arial"/>
        </w:rPr>
      </w:pPr>
    </w:p>
    <w:p w14:paraId="5607E4B6" w14:textId="77777777" w:rsidR="00176E31" w:rsidRDefault="005641D4" w:rsidP="005641D4">
      <w:pPr>
        <w:tabs>
          <w:tab w:val="left" w:pos="1080"/>
        </w:tabs>
        <w:jc w:val="both"/>
        <w:rPr>
          <w:rFonts w:ascii="Arial" w:hAnsi="Arial"/>
        </w:rPr>
      </w:pPr>
      <w:r w:rsidRPr="005641D4">
        <w:rPr>
          <w:rFonts w:ascii="Arial" w:hAnsi="Arial"/>
        </w:rPr>
        <w:t>The values ​​recorded in the biochemical analysis were bicarbonate (</w:t>
      </w:r>
      <w:proofErr w:type="spellStart"/>
      <w:r w:rsidRPr="005641D4">
        <w:rPr>
          <w:rFonts w:ascii="Arial" w:hAnsi="Arial"/>
        </w:rPr>
        <w:t>mEq</w:t>
      </w:r>
      <w:proofErr w:type="spellEnd"/>
      <w:r w:rsidRPr="005641D4">
        <w:rPr>
          <w:rFonts w:ascii="Arial" w:hAnsi="Arial"/>
        </w:rPr>
        <w:t>/L) 17.5 ± 5.2; serum sodium (</w:t>
      </w:r>
      <w:proofErr w:type="spellStart"/>
      <w:r w:rsidRPr="005641D4">
        <w:rPr>
          <w:rFonts w:ascii="Arial" w:hAnsi="Arial"/>
        </w:rPr>
        <w:t>mEq</w:t>
      </w:r>
      <w:proofErr w:type="spellEnd"/>
      <w:r w:rsidRPr="005641D4">
        <w:rPr>
          <w:rFonts w:ascii="Arial" w:hAnsi="Arial"/>
        </w:rPr>
        <w:t>/L) 135.2 ± 8.8; serum lactate (mmol/L) 2.3 ± 1.3; C-reactive protein (mg/L) 11.5 ± 3.9; erythrocyte sedimentation rate (mm/h) 40.1 ± 5.6; BUN (mg/dL) 99.1 ± 62.8; serum creatinine (mg/dL) 1.8 ± 0.7; ALT (U/L) 104.0 ± 90.1; AST (U/L)</w:t>
      </w:r>
      <w:r w:rsidR="00205C51">
        <w:rPr>
          <w:rFonts w:ascii="Arial" w:hAnsi="Arial"/>
        </w:rPr>
        <w:t xml:space="preserve"> 124.0 ± 111.8; INR 1.3 ± 0.4; a</w:t>
      </w:r>
      <w:r w:rsidRPr="005641D4">
        <w:rPr>
          <w:rFonts w:ascii="Arial" w:hAnsi="Arial"/>
        </w:rPr>
        <w:t>lbumin (g/dL) 2.8 ± 0.7; and serum glucose (mg/dL) 200.2 ± 71.8.</w:t>
      </w:r>
      <w:r w:rsidR="00205C51">
        <w:rPr>
          <w:rFonts w:ascii="Arial" w:hAnsi="Arial"/>
        </w:rPr>
        <w:t xml:space="preserve"> The</w:t>
      </w:r>
      <w:r w:rsidRPr="005641D4">
        <w:rPr>
          <w:rFonts w:ascii="Arial" w:hAnsi="Arial"/>
        </w:rPr>
        <w:t xml:space="preserve"> C-reactive protein ≥0.3 (mg/L) (n=230; 100.0</w:t>
      </w:r>
      <w:r w:rsidR="00205C51">
        <w:rPr>
          <w:rFonts w:ascii="Arial" w:hAnsi="Arial"/>
        </w:rPr>
        <w:t xml:space="preserve"> </w:t>
      </w:r>
      <w:r w:rsidRPr="005641D4">
        <w:rPr>
          <w:rFonts w:ascii="Arial" w:hAnsi="Arial"/>
        </w:rPr>
        <w:t>%) and erythrocyte sedimentation rate &gt; 20 (mm/h) (n=230; 100.0</w:t>
      </w:r>
      <w:r w:rsidR="00205C51">
        <w:rPr>
          <w:rFonts w:ascii="Arial" w:hAnsi="Arial"/>
        </w:rPr>
        <w:t xml:space="preserve"> </w:t>
      </w:r>
      <w:r w:rsidRPr="005641D4">
        <w:rPr>
          <w:rFonts w:ascii="Arial" w:hAnsi="Arial"/>
        </w:rPr>
        <w:t>%) were present in all patients.</w:t>
      </w:r>
      <w:r w:rsidR="00205C51">
        <w:rPr>
          <w:rFonts w:ascii="Arial" w:hAnsi="Arial"/>
        </w:rPr>
        <w:t xml:space="preserve"> The</w:t>
      </w:r>
      <w:r w:rsidRPr="005641D4">
        <w:rPr>
          <w:rFonts w:ascii="Arial" w:hAnsi="Arial"/>
        </w:rPr>
        <w:t xml:space="preserve"> </w:t>
      </w:r>
      <w:r w:rsidR="00205C51">
        <w:rPr>
          <w:rFonts w:ascii="Arial" w:hAnsi="Arial"/>
        </w:rPr>
        <w:t>b</w:t>
      </w:r>
      <w:r w:rsidRPr="005641D4">
        <w:rPr>
          <w:rFonts w:ascii="Arial" w:hAnsi="Arial"/>
        </w:rPr>
        <w:t>icarbonate &lt; 22 (</w:t>
      </w:r>
      <w:proofErr w:type="spellStart"/>
      <w:r w:rsidRPr="005641D4">
        <w:rPr>
          <w:rFonts w:ascii="Arial" w:hAnsi="Arial"/>
        </w:rPr>
        <w:t>mEq</w:t>
      </w:r>
      <w:proofErr w:type="spellEnd"/>
      <w:r w:rsidRPr="005641D4">
        <w:rPr>
          <w:rFonts w:ascii="Arial" w:hAnsi="Arial"/>
        </w:rPr>
        <w:t>/L) was recorded in 78.3</w:t>
      </w:r>
      <w:r w:rsidR="00205C51">
        <w:rPr>
          <w:rFonts w:ascii="Arial" w:hAnsi="Arial"/>
        </w:rPr>
        <w:t xml:space="preserve"> </w:t>
      </w:r>
      <w:r w:rsidRPr="005641D4">
        <w:rPr>
          <w:rFonts w:ascii="Arial" w:hAnsi="Arial"/>
        </w:rPr>
        <w:t>% (n=180); serum sodium &lt; 135 (</w:t>
      </w:r>
      <w:proofErr w:type="spellStart"/>
      <w:r w:rsidRPr="005641D4">
        <w:rPr>
          <w:rFonts w:ascii="Arial" w:hAnsi="Arial"/>
        </w:rPr>
        <w:t>mEq</w:t>
      </w:r>
      <w:proofErr w:type="spellEnd"/>
      <w:r w:rsidRPr="005641D4">
        <w:rPr>
          <w:rFonts w:ascii="Arial" w:hAnsi="Arial"/>
        </w:rPr>
        <w:t>/L) in 39.1</w:t>
      </w:r>
      <w:r w:rsidR="00205C51">
        <w:rPr>
          <w:rFonts w:ascii="Arial" w:hAnsi="Arial"/>
        </w:rPr>
        <w:t xml:space="preserve"> </w:t>
      </w:r>
      <w:r w:rsidRPr="005641D4">
        <w:rPr>
          <w:rFonts w:ascii="Arial" w:hAnsi="Arial"/>
        </w:rPr>
        <w:t>% (n=90); serum lactate &gt; 1.</w:t>
      </w:r>
      <w:r w:rsidR="00205C51">
        <w:rPr>
          <w:rFonts w:ascii="Arial" w:hAnsi="Arial"/>
        </w:rPr>
        <w:t>5 (mmol/L) in 52.2% (n=120);</w:t>
      </w:r>
      <w:r w:rsidRPr="005641D4">
        <w:rPr>
          <w:rFonts w:ascii="Arial" w:hAnsi="Arial"/>
        </w:rPr>
        <w:t xml:space="preserve"> BUN &gt; 25 (mg/dL) in 87</w:t>
      </w:r>
      <w:r w:rsidR="00205C51">
        <w:rPr>
          <w:rFonts w:ascii="Arial" w:hAnsi="Arial"/>
        </w:rPr>
        <w:t xml:space="preserve"> % (n=200);</w:t>
      </w:r>
      <w:r w:rsidRPr="005641D4">
        <w:rPr>
          <w:rFonts w:ascii="Arial" w:hAnsi="Arial"/>
        </w:rPr>
        <w:t xml:space="preserve"> </w:t>
      </w:r>
      <w:r w:rsidRPr="00205C51">
        <w:rPr>
          <w:rFonts w:ascii="Arial" w:hAnsi="Arial"/>
        </w:rPr>
        <w:t>69.6</w:t>
      </w:r>
      <w:r w:rsidR="00205C51">
        <w:rPr>
          <w:rFonts w:ascii="Arial" w:hAnsi="Arial"/>
        </w:rPr>
        <w:t xml:space="preserve"> </w:t>
      </w:r>
      <w:r w:rsidRPr="00205C51">
        <w:rPr>
          <w:rFonts w:ascii="Arial" w:hAnsi="Arial"/>
        </w:rPr>
        <w:t>% (n=160) serum creatinine &gt; 1.3 (mg/dL); 47.8</w:t>
      </w:r>
      <w:r w:rsidR="00205C51">
        <w:rPr>
          <w:rFonts w:ascii="Arial" w:hAnsi="Arial"/>
        </w:rPr>
        <w:t xml:space="preserve"> </w:t>
      </w:r>
      <w:r w:rsidRPr="00205C51">
        <w:rPr>
          <w:rFonts w:ascii="Arial" w:hAnsi="Arial"/>
        </w:rPr>
        <w:t>% (n=110) ALT &gt; 36 (U/L); 56.5</w:t>
      </w:r>
      <w:r w:rsidR="00205C51">
        <w:rPr>
          <w:rFonts w:ascii="Arial" w:hAnsi="Arial"/>
        </w:rPr>
        <w:t xml:space="preserve"> </w:t>
      </w:r>
      <w:r w:rsidRPr="00205C51">
        <w:rPr>
          <w:rFonts w:ascii="Arial" w:hAnsi="Arial"/>
        </w:rPr>
        <w:t>% (n=130) AST &gt; 33 (U/L); 39.1% (n=90) INR &gt; 1.2; 73.9</w:t>
      </w:r>
      <w:r w:rsidR="00205C51">
        <w:rPr>
          <w:rFonts w:ascii="Arial" w:hAnsi="Arial"/>
        </w:rPr>
        <w:t xml:space="preserve"> </w:t>
      </w:r>
      <w:r w:rsidRPr="00205C51">
        <w:rPr>
          <w:rFonts w:ascii="Arial" w:hAnsi="Arial"/>
        </w:rPr>
        <w:t>% (n=170) albumin &lt; 3.4 (g/dL); and 87</w:t>
      </w:r>
      <w:r w:rsidR="00205C51">
        <w:rPr>
          <w:rFonts w:ascii="Arial" w:hAnsi="Arial"/>
        </w:rPr>
        <w:t xml:space="preserve"> </w:t>
      </w:r>
      <w:r w:rsidRPr="00205C51">
        <w:rPr>
          <w:rFonts w:ascii="Arial" w:hAnsi="Arial"/>
        </w:rPr>
        <w:t xml:space="preserve">% (n=200) serum glucose &gt; 110 (mg/dL) (Table 4). </w:t>
      </w:r>
      <w:r w:rsidRPr="005641D4">
        <w:rPr>
          <w:rFonts w:ascii="Arial" w:hAnsi="Arial"/>
        </w:rPr>
        <w:t>The observed mortality was 26.1% (n=60).</w:t>
      </w:r>
    </w:p>
    <w:p w14:paraId="07DE0A37" w14:textId="77777777" w:rsidR="006971E8" w:rsidRDefault="006971E8" w:rsidP="005641D4">
      <w:pPr>
        <w:tabs>
          <w:tab w:val="left" w:pos="1080"/>
        </w:tabs>
        <w:jc w:val="both"/>
        <w:rPr>
          <w:rFonts w:ascii="Arial" w:hAnsi="Arial"/>
        </w:rPr>
      </w:pPr>
    </w:p>
    <w:p w14:paraId="6C3A8943" w14:textId="77777777" w:rsidR="000305FF" w:rsidRPr="005641D4" w:rsidRDefault="000305FF" w:rsidP="005641D4">
      <w:pPr>
        <w:tabs>
          <w:tab w:val="left" w:pos="1080"/>
        </w:tabs>
        <w:jc w:val="both"/>
        <w:rPr>
          <w:rFonts w:ascii="Arial" w:hAnsi="Arial"/>
        </w:rPr>
      </w:pPr>
    </w:p>
    <w:p w14:paraId="1CB0D2C4" w14:textId="77777777" w:rsidR="00176E31" w:rsidRDefault="00176E31" w:rsidP="00DC74ED">
      <w:pPr>
        <w:tabs>
          <w:tab w:val="left" w:pos="1080"/>
        </w:tabs>
        <w:jc w:val="center"/>
        <w:rPr>
          <w:rFonts w:ascii="Arial" w:hAnsi="Arial"/>
          <w:b/>
        </w:rPr>
      </w:pPr>
    </w:p>
    <w:p w14:paraId="469273C2" w14:textId="113A64D4" w:rsidR="00205C51" w:rsidRDefault="00205C51" w:rsidP="00205C51">
      <w:pPr>
        <w:jc w:val="center"/>
        <w:rPr>
          <w:rFonts w:ascii="Arial" w:hAnsi="Arial"/>
          <w:b/>
        </w:rPr>
      </w:pPr>
      <w:r w:rsidRPr="009E5F9E">
        <w:rPr>
          <w:rFonts w:ascii="Arial" w:hAnsi="Arial"/>
          <w:b/>
          <w:highlight w:val="yellow"/>
        </w:rPr>
        <w:t xml:space="preserve">Table 4. </w:t>
      </w:r>
      <w:proofErr w:type="gramStart"/>
      <w:r w:rsidR="009E5F9E" w:rsidRPr="009E5F9E">
        <w:rPr>
          <w:rFonts w:ascii="Arial" w:hAnsi="Arial"/>
          <w:b/>
          <w:highlight w:val="yellow"/>
        </w:rPr>
        <w:t>Biochemical</w:t>
      </w:r>
      <w:r w:rsidRPr="009E5F9E">
        <w:rPr>
          <w:rFonts w:ascii="Arial" w:hAnsi="Arial"/>
          <w:b/>
          <w:highlight w:val="yellow"/>
        </w:rPr>
        <w:t xml:space="preserve"> profile in patients with sepsis.</w:t>
      </w:r>
      <w:proofErr w:type="gramEnd"/>
    </w:p>
    <w:p w14:paraId="7B6FA90C" w14:textId="77777777" w:rsidR="00205C51" w:rsidRPr="00EE7CC2" w:rsidRDefault="00205C51" w:rsidP="00205C51">
      <w:pPr>
        <w:jc w:val="both"/>
        <w:rPr>
          <w:rFonts w:ascii="Arial" w:hAnsi="Arial"/>
          <w:b/>
        </w:rPr>
      </w:pPr>
    </w:p>
    <w:tbl>
      <w:tblPr>
        <w:tblW w:w="7573" w:type="dxa"/>
        <w:jc w:val="center"/>
        <w:tblCellMar>
          <w:left w:w="70" w:type="dxa"/>
          <w:right w:w="70" w:type="dxa"/>
        </w:tblCellMar>
        <w:tblLook w:val="04A0" w:firstRow="1" w:lastRow="0" w:firstColumn="1" w:lastColumn="0" w:noHBand="0" w:noVBand="1"/>
      </w:tblPr>
      <w:tblGrid>
        <w:gridCol w:w="3927"/>
        <w:gridCol w:w="1843"/>
        <w:gridCol w:w="1803"/>
      </w:tblGrid>
      <w:tr w:rsidR="006971E8" w:rsidRPr="004D2CC5" w14:paraId="6214F503" w14:textId="77777777" w:rsidTr="0043597D">
        <w:trPr>
          <w:trHeight w:val="284"/>
          <w:jc w:val="center"/>
        </w:trPr>
        <w:tc>
          <w:tcPr>
            <w:tcW w:w="3927" w:type="dxa"/>
            <w:tcBorders>
              <w:top w:val="single" w:sz="4" w:space="0" w:color="auto"/>
              <w:bottom w:val="single" w:sz="4" w:space="0" w:color="auto"/>
              <w:right w:val="single" w:sz="4" w:space="0" w:color="auto"/>
            </w:tcBorders>
            <w:vAlign w:val="center"/>
          </w:tcPr>
          <w:p w14:paraId="05B52DD2" w14:textId="77777777" w:rsidR="006971E8" w:rsidRPr="004D2CC5" w:rsidRDefault="006971E8"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12AB798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5761F846" w14:textId="77777777" w:rsidR="006971E8" w:rsidRDefault="006971E8"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647E732A"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6971E8" w:rsidRPr="0078289B" w14:paraId="1ACB3B05" w14:textId="77777777" w:rsidTr="0043597D">
        <w:trPr>
          <w:trHeight w:val="284"/>
          <w:jc w:val="center"/>
        </w:trPr>
        <w:tc>
          <w:tcPr>
            <w:tcW w:w="3927" w:type="dxa"/>
            <w:vMerge w:val="restart"/>
            <w:tcBorders>
              <w:top w:val="single" w:sz="4" w:space="0" w:color="auto"/>
              <w:right w:val="single" w:sz="4" w:space="0" w:color="auto"/>
            </w:tcBorders>
            <w:vAlign w:val="center"/>
          </w:tcPr>
          <w:p w14:paraId="59085D5D" w14:textId="77777777" w:rsidR="006971E8" w:rsidRDefault="006971E8" w:rsidP="006971E8">
            <w:pPr>
              <w:rPr>
                <w:rFonts w:ascii="Arial" w:hAnsi="Arial" w:cs="Arial"/>
                <w:color w:val="000000"/>
                <w:sz w:val="18"/>
                <w:szCs w:val="18"/>
              </w:rPr>
            </w:pPr>
            <w:r>
              <w:rPr>
                <w:rFonts w:ascii="Arial" w:hAnsi="Arial" w:cs="Arial"/>
                <w:color w:val="000000"/>
                <w:sz w:val="18"/>
                <w:szCs w:val="18"/>
              </w:rPr>
              <w:t>S</w:t>
            </w:r>
            <w:r w:rsidRPr="006971E8">
              <w:rPr>
                <w:rFonts w:ascii="Arial" w:hAnsi="Arial" w:cs="Arial"/>
                <w:color w:val="000000"/>
                <w:sz w:val="18"/>
                <w:szCs w:val="18"/>
              </w:rPr>
              <w:t>erum bicarbonate</w:t>
            </w:r>
            <w:r w:rsidRPr="003308F1">
              <w:rPr>
                <w:rFonts w:ascii="Arial" w:hAnsi="Arial" w:cs="Arial"/>
                <w:color w:val="000000"/>
                <w:sz w:val="18"/>
                <w:szCs w:val="18"/>
              </w:rPr>
              <w:t xml:space="preserve"> (</w:t>
            </w:r>
            <w:proofErr w:type="spellStart"/>
            <w:r w:rsidRPr="003308F1">
              <w:rPr>
                <w:rFonts w:ascii="Arial" w:hAnsi="Arial" w:cs="Arial"/>
                <w:color w:val="000000"/>
                <w:sz w:val="18"/>
                <w:szCs w:val="18"/>
              </w:rPr>
              <w:t>mEq</w:t>
            </w:r>
            <w:proofErr w:type="spellEnd"/>
            <w:r w:rsidRPr="003308F1">
              <w:rPr>
                <w:rFonts w:ascii="Arial" w:hAnsi="Arial" w:cs="Arial"/>
                <w:color w:val="000000"/>
                <w:sz w:val="18"/>
                <w:szCs w:val="18"/>
              </w:rPr>
              <w:t xml:space="preserve">/L) </w:t>
            </w:r>
          </w:p>
        </w:tc>
        <w:tc>
          <w:tcPr>
            <w:tcW w:w="1843" w:type="dxa"/>
            <w:vMerge w:val="restart"/>
            <w:tcBorders>
              <w:top w:val="single" w:sz="4" w:space="0" w:color="auto"/>
              <w:left w:val="single" w:sz="4" w:space="0" w:color="auto"/>
              <w:right w:val="single" w:sz="4" w:space="0" w:color="auto"/>
            </w:tcBorders>
            <w:noWrap/>
            <w:vAlign w:val="center"/>
          </w:tcPr>
          <w:p w14:paraId="30F29A7E"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17.5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5.2</w:t>
            </w:r>
          </w:p>
        </w:tc>
        <w:tc>
          <w:tcPr>
            <w:tcW w:w="1803" w:type="dxa"/>
            <w:tcBorders>
              <w:top w:val="single" w:sz="4" w:space="0" w:color="auto"/>
              <w:left w:val="single" w:sz="4" w:space="0" w:color="auto"/>
            </w:tcBorders>
            <w:shd w:val="pct10" w:color="auto" w:fill="auto"/>
          </w:tcPr>
          <w:p w14:paraId="661DA83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&lt; 22</w:t>
            </w:r>
          </w:p>
        </w:tc>
      </w:tr>
      <w:tr w:rsidR="006971E8" w:rsidRPr="0078289B" w14:paraId="33483597" w14:textId="77777777" w:rsidTr="0043597D">
        <w:trPr>
          <w:trHeight w:val="284"/>
          <w:jc w:val="center"/>
        </w:trPr>
        <w:tc>
          <w:tcPr>
            <w:tcW w:w="3927" w:type="dxa"/>
            <w:vMerge/>
            <w:tcBorders>
              <w:bottom w:val="single" w:sz="4" w:space="0" w:color="auto"/>
              <w:right w:val="single" w:sz="4" w:space="0" w:color="auto"/>
            </w:tcBorders>
            <w:vAlign w:val="center"/>
          </w:tcPr>
          <w:p w14:paraId="01A3FE05"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0B54B912" w14:textId="77777777" w:rsidR="006971E8" w:rsidRPr="0078289B"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C4CA44F"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180 (78.3)</w:t>
            </w:r>
          </w:p>
        </w:tc>
      </w:tr>
      <w:tr w:rsidR="006971E8" w:rsidRPr="0078289B" w14:paraId="6C2CAB04" w14:textId="77777777" w:rsidTr="0043597D">
        <w:trPr>
          <w:trHeight w:val="284"/>
          <w:jc w:val="center"/>
        </w:trPr>
        <w:tc>
          <w:tcPr>
            <w:tcW w:w="3927" w:type="dxa"/>
            <w:vMerge w:val="restart"/>
            <w:tcBorders>
              <w:top w:val="single" w:sz="4" w:space="0" w:color="auto"/>
              <w:right w:val="single" w:sz="4" w:space="0" w:color="auto"/>
            </w:tcBorders>
            <w:vAlign w:val="center"/>
          </w:tcPr>
          <w:p w14:paraId="743CBD91" w14:textId="77777777" w:rsidR="006971E8" w:rsidRPr="00A56C39" w:rsidRDefault="006971E8" w:rsidP="0043597D">
            <w:pPr>
              <w:rPr>
                <w:rFonts w:ascii="Arial" w:hAnsi="Arial" w:cs="Arial"/>
                <w:color w:val="000000"/>
                <w:sz w:val="18"/>
                <w:szCs w:val="18"/>
                <w:lang w:val="pt-BR"/>
              </w:rPr>
            </w:pPr>
            <w:r>
              <w:rPr>
                <w:rFonts w:ascii="Arial" w:hAnsi="Arial" w:cs="Arial"/>
                <w:color w:val="000000"/>
                <w:sz w:val="18"/>
                <w:szCs w:val="18"/>
                <w:lang w:val="pt-BR"/>
              </w:rPr>
              <w:lastRenderedPageBreak/>
              <w:t xml:space="preserve">Serum sodium </w:t>
            </w:r>
            <w:r w:rsidRPr="003308F1">
              <w:rPr>
                <w:rFonts w:ascii="Arial" w:hAnsi="Arial" w:cs="Arial"/>
                <w:color w:val="000000"/>
                <w:sz w:val="18"/>
                <w:szCs w:val="18"/>
              </w:rPr>
              <w:t>(</w:t>
            </w:r>
            <w:proofErr w:type="spellStart"/>
            <w:r w:rsidRPr="003308F1">
              <w:rPr>
                <w:rFonts w:ascii="Arial" w:hAnsi="Arial" w:cs="Arial"/>
                <w:color w:val="000000"/>
                <w:sz w:val="18"/>
                <w:szCs w:val="18"/>
              </w:rPr>
              <w:t>mEq</w:t>
            </w:r>
            <w:proofErr w:type="spellEnd"/>
            <w:r w:rsidRPr="003308F1">
              <w:rPr>
                <w:rFonts w:ascii="Arial" w:hAnsi="Arial" w:cs="Arial"/>
                <w:color w:val="000000"/>
                <w:sz w:val="18"/>
                <w:szCs w:val="18"/>
              </w:rPr>
              <w:t>/L)</w:t>
            </w:r>
          </w:p>
        </w:tc>
        <w:tc>
          <w:tcPr>
            <w:tcW w:w="1843" w:type="dxa"/>
            <w:vMerge w:val="restart"/>
            <w:tcBorders>
              <w:top w:val="single" w:sz="4" w:space="0" w:color="auto"/>
              <w:left w:val="single" w:sz="4" w:space="0" w:color="auto"/>
              <w:right w:val="single" w:sz="4" w:space="0" w:color="auto"/>
            </w:tcBorders>
            <w:noWrap/>
            <w:vAlign w:val="center"/>
          </w:tcPr>
          <w:p w14:paraId="59414A1A"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135.2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8.8</w:t>
            </w:r>
          </w:p>
        </w:tc>
        <w:tc>
          <w:tcPr>
            <w:tcW w:w="1803" w:type="dxa"/>
            <w:tcBorders>
              <w:top w:val="single" w:sz="4" w:space="0" w:color="auto"/>
              <w:left w:val="single" w:sz="4" w:space="0" w:color="auto"/>
            </w:tcBorders>
            <w:shd w:val="pct10" w:color="auto" w:fill="auto"/>
          </w:tcPr>
          <w:p w14:paraId="38C4ACF9"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&lt; 135</w:t>
            </w:r>
          </w:p>
        </w:tc>
      </w:tr>
      <w:tr w:rsidR="006971E8" w:rsidRPr="0078289B" w14:paraId="070C10E3" w14:textId="77777777" w:rsidTr="0043597D">
        <w:trPr>
          <w:trHeight w:val="284"/>
          <w:jc w:val="center"/>
        </w:trPr>
        <w:tc>
          <w:tcPr>
            <w:tcW w:w="3927" w:type="dxa"/>
            <w:vMerge/>
            <w:tcBorders>
              <w:bottom w:val="single" w:sz="4" w:space="0" w:color="auto"/>
              <w:right w:val="single" w:sz="4" w:space="0" w:color="auto"/>
            </w:tcBorders>
            <w:vAlign w:val="center"/>
          </w:tcPr>
          <w:p w14:paraId="08A99B23"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DB149BB"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56677BB"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90 (39.1)</w:t>
            </w:r>
          </w:p>
        </w:tc>
      </w:tr>
      <w:tr w:rsidR="006971E8" w:rsidRPr="0078289B" w14:paraId="20CFA783" w14:textId="77777777" w:rsidTr="0043597D">
        <w:trPr>
          <w:trHeight w:val="284"/>
          <w:jc w:val="center"/>
        </w:trPr>
        <w:tc>
          <w:tcPr>
            <w:tcW w:w="3927" w:type="dxa"/>
            <w:vMerge w:val="restart"/>
            <w:tcBorders>
              <w:top w:val="single" w:sz="4" w:space="0" w:color="auto"/>
              <w:right w:val="single" w:sz="4" w:space="0" w:color="auto"/>
            </w:tcBorders>
            <w:vAlign w:val="center"/>
          </w:tcPr>
          <w:p w14:paraId="74F080AB" w14:textId="77777777" w:rsidR="006971E8" w:rsidRPr="0078289B" w:rsidRDefault="00CE229E" w:rsidP="00CE229E">
            <w:pPr>
              <w:rPr>
                <w:rFonts w:ascii="Arial" w:hAnsi="Arial" w:cs="Arial"/>
                <w:color w:val="000000"/>
                <w:sz w:val="18"/>
                <w:szCs w:val="18"/>
                <w:lang w:val="pt-BR"/>
              </w:rPr>
            </w:pPr>
            <w:r>
              <w:rPr>
                <w:rFonts w:ascii="Arial" w:hAnsi="Arial" w:cs="Arial"/>
                <w:color w:val="000000"/>
                <w:sz w:val="18"/>
                <w:szCs w:val="18"/>
                <w:lang w:val="pt-BR"/>
              </w:rPr>
              <w:t xml:space="preserve">Serum </w:t>
            </w:r>
            <w:r w:rsidR="00435E74">
              <w:rPr>
                <w:rFonts w:ascii="Arial" w:hAnsi="Arial" w:cs="Arial"/>
                <w:color w:val="000000"/>
                <w:sz w:val="18"/>
                <w:szCs w:val="18"/>
                <w:lang w:val="pt-BR"/>
              </w:rPr>
              <w:t>lactate</w:t>
            </w:r>
            <w:r w:rsidR="006971E8" w:rsidRPr="003308F1">
              <w:rPr>
                <w:rFonts w:ascii="Arial" w:hAnsi="Arial" w:cs="Arial"/>
                <w:color w:val="000000"/>
                <w:sz w:val="18"/>
                <w:szCs w:val="18"/>
                <w:lang w:val="pt-BR"/>
              </w:rPr>
              <w:t xml:space="preserve"> (mmol/L)</w:t>
            </w:r>
          </w:p>
        </w:tc>
        <w:tc>
          <w:tcPr>
            <w:tcW w:w="1843" w:type="dxa"/>
            <w:vMerge w:val="restart"/>
            <w:tcBorders>
              <w:top w:val="single" w:sz="4" w:space="0" w:color="auto"/>
              <w:left w:val="single" w:sz="4" w:space="0" w:color="auto"/>
              <w:right w:val="single" w:sz="4" w:space="0" w:color="auto"/>
            </w:tcBorders>
            <w:noWrap/>
            <w:vAlign w:val="center"/>
          </w:tcPr>
          <w:p w14:paraId="498526C4"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2.3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1.3</w:t>
            </w:r>
          </w:p>
        </w:tc>
        <w:tc>
          <w:tcPr>
            <w:tcW w:w="1803" w:type="dxa"/>
            <w:tcBorders>
              <w:top w:val="single" w:sz="4" w:space="0" w:color="auto"/>
              <w:left w:val="single" w:sz="4" w:space="0" w:color="auto"/>
            </w:tcBorders>
            <w:shd w:val="pct10" w:color="auto" w:fill="auto"/>
          </w:tcPr>
          <w:p w14:paraId="142D16C8"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xml:space="preserve">&gt; 1.5 </w:t>
            </w:r>
          </w:p>
        </w:tc>
      </w:tr>
      <w:tr w:rsidR="006971E8" w:rsidRPr="0078289B" w14:paraId="1494709E" w14:textId="77777777" w:rsidTr="0043597D">
        <w:trPr>
          <w:trHeight w:val="284"/>
          <w:jc w:val="center"/>
        </w:trPr>
        <w:tc>
          <w:tcPr>
            <w:tcW w:w="3927" w:type="dxa"/>
            <w:vMerge/>
            <w:tcBorders>
              <w:bottom w:val="single" w:sz="4" w:space="0" w:color="auto"/>
              <w:right w:val="single" w:sz="4" w:space="0" w:color="auto"/>
            </w:tcBorders>
            <w:vAlign w:val="center"/>
          </w:tcPr>
          <w:p w14:paraId="595A108C"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F39C165"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5BD272C"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120 (52.2)</w:t>
            </w:r>
          </w:p>
        </w:tc>
      </w:tr>
      <w:tr w:rsidR="006971E8" w:rsidRPr="0078289B" w14:paraId="3DF0E041" w14:textId="77777777" w:rsidTr="0043597D">
        <w:trPr>
          <w:trHeight w:val="284"/>
          <w:jc w:val="center"/>
        </w:trPr>
        <w:tc>
          <w:tcPr>
            <w:tcW w:w="3927" w:type="dxa"/>
            <w:vMerge w:val="restart"/>
            <w:tcBorders>
              <w:top w:val="single" w:sz="4" w:space="0" w:color="auto"/>
              <w:right w:val="single" w:sz="4" w:space="0" w:color="auto"/>
            </w:tcBorders>
            <w:vAlign w:val="center"/>
          </w:tcPr>
          <w:p w14:paraId="1DB128A1" w14:textId="77777777" w:rsidR="006971E8" w:rsidRPr="00435E74" w:rsidRDefault="00435E74" w:rsidP="00435E74">
            <w:pPr>
              <w:rPr>
                <w:rFonts w:ascii="Arial" w:hAnsi="Arial" w:cs="Arial"/>
                <w:color w:val="000000"/>
                <w:sz w:val="18"/>
                <w:szCs w:val="18"/>
              </w:rPr>
            </w:pPr>
            <w:r w:rsidRPr="00435E74">
              <w:rPr>
                <w:rFonts w:ascii="Arial" w:hAnsi="Arial" w:cs="Arial"/>
                <w:color w:val="000000"/>
                <w:sz w:val="18"/>
                <w:szCs w:val="18"/>
              </w:rPr>
              <w:t xml:space="preserve">C-reactive protein </w:t>
            </w:r>
            <w:r w:rsidR="006971E8" w:rsidRPr="00435E74">
              <w:rPr>
                <w:rFonts w:ascii="Arial" w:hAnsi="Arial" w:cs="Arial"/>
                <w:color w:val="000000"/>
                <w:sz w:val="18"/>
                <w:szCs w:val="18"/>
              </w:rPr>
              <w:t>(mg/dL)</w:t>
            </w:r>
          </w:p>
        </w:tc>
        <w:tc>
          <w:tcPr>
            <w:tcW w:w="1843" w:type="dxa"/>
            <w:vMerge w:val="restart"/>
            <w:tcBorders>
              <w:top w:val="single" w:sz="4" w:space="0" w:color="auto"/>
              <w:left w:val="single" w:sz="4" w:space="0" w:color="auto"/>
              <w:right w:val="single" w:sz="4" w:space="0" w:color="auto"/>
            </w:tcBorders>
            <w:noWrap/>
            <w:vAlign w:val="center"/>
          </w:tcPr>
          <w:p w14:paraId="30706A0D"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11.5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3.9</w:t>
            </w:r>
          </w:p>
        </w:tc>
        <w:tc>
          <w:tcPr>
            <w:tcW w:w="1803" w:type="dxa"/>
            <w:tcBorders>
              <w:top w:val="single" w:sz="4" w:space="0" w:color="auto"/>
              <w:left w:val="single" w:sz="4" w:space="0" w:color="auto"/>
            </w:tcBorders>
            <w:shd w:val="pct10" w:color="auto" w:fill="auto"/>
          </w:tcPr>
          <w:p w14:paraId="63A14C16"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0.3</w:t>
            </w:r>
          </w:p>
        </w:tc>
      </w:tr>
      <w:tr w:rsidR="006971E8" w:rsidRPr="0078289B" w14:paraId="3014D068" w14:textId="77777777" w:rsidTr="0043597D">
        <w:trPr>
          <w:trHeight w:val="284"/>
          <w:jc w:val="center"/>
        </w:trPr>
        <w:tc>
          <w:tcPr>
            <w:tcW w:w="3927" w:type="dxa"/>
            <w:vMerge/>
            <w:tcBorders>
              <w:bottom w:val="single" w:sz="4" w:space="0" w:color="auto"/>
              <w:right w:val="single" w:sz="4" w:space="0" w:color="auto"/>
            </w:tcBorders>
            <w:vAlign w:val="center"/>
          </w:tcPr>
          <w:p w14:paraId="5CD7E58B"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18DEDB8"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CE59F16"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6971E8" w:rsidRPr="004D2CC5" w14:paraId="5761D573" w14:textId="77777777" w:rsidTr="0043597D">
        <w:trPr>
          <w:trHeight w:val="284"/>
          <w:jc w:val="center"/>
        </w:trPr>
        <w:tc>
          <w:tcPr>
            <w:tcW w:w="3927" w:type="dxa"/>
            <w:vMerge w:val="restart"/>
            <w:tcBorders>
              <w:top w:val="single" w:sz="4" w:space="0" w:color="auto"/>
              <w:right w:val="single" w:sz="4" w:space="0" w:color="auto"/>
            </w:tcBorders>
            <w:vAlign w:val="center"/>
          </w:tcPr>
          <w:p w14:paraId="298BEF36" w14:textId="77777777" w:rsidR="006971E8" w:rsidRPr="00435E74" w:rsidRDefault="00435E74" w:rsidP="00435E74">
            <w:pPr>
              <w:rPr>
                <w:rFonts w:ascii="Arial" w:hAnsi="Arial" w:cs="Arial"/>
                <w:color w:val="000000"/>
                <w:sz w:val="18"/>
                <w:szCs w:val="18"/>
              </w:rPr>
            </w:pPr>
            <w:r w:rsidRPr="00435E74">
              <w:rPr>
                <w:rFonts w:ascii="Arial" w:hAnsi="Arial" w:cs="Arial"/>
                <w:color w:val="000000"/>
                <w:sz w:val="18"/>
                <w:szCs w:val="18"/>
              </w:rPr>
              <w:t>Erythrocyte sedimentation rate</w:t>
            </w:r>
            <w:r w:rsidR="006971E8" w:rsidRPr="00435E74">
              <w:rPr>
                <w:rFonts w:ascii="Arial" w:hAnsi="Arial" w:cs="Arial"/>
                <w:color w:val="000000"/>
                <w:sz w:val="18"/>
                <w:szCs w:val="18"/>
              </w:rPr>
              <w:t xml:space="preserve"> (mm/h)</w:t>
            </w:r>
          </w:p>
        </w:tc>
        <w:tc>
          <w:tcPr>
            <w:tcW w:w="1843" w:type="dxa"/>
            <w:vMerge w:val="restart"/>
            <w:tcBorders>
              <w:top w:val="single" w:sz="4" w:space="0" w:color="auto"/>
              <w:left w:val="single" w:sz="4" w:space="0" w:color="auto"/>
              <w:right w:val="single" w:sz="4" w:space="0" w:color="auto"/>
            </w:tcBorders>
            <w:noWrap/>
            <w:vAlign w:val="center"/>
          </w:tcPr>
          <w:p w14:paraId="7864C4C1"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40.1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5.6</w:t>
            </w:r>
          </w:p>
        </w:tc>
        <w:tc>
          <w:tcPr>
            <w:tcW w:w="1803" w:type="dxa"/>
            <w:tcBorders>
              <w:top w:val="single" w:sz="4" w:space="0" w:color="auto"/>
              <w:left w:val="single" w:sz="4" w:space="0" w:color="auto"/>
            </w:tcBorders>
            <w:shd w:val="pct10" w:color="auto" w:fill="auto"/>
          </w:tcPr>
          <w:p w14:paraId="4CDD0DA8"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&gt; 20</w:t>
            </w:r>
          </w:p>
        </w:tc>
      </w:tr>
      <w:tr w:rsidR="006971E8" w:rsidRPr="004D2CC5" w14:paraId="13A6F708" w14:textId="77777777" w:rsidTr="0043597D">
        <w:trPr>
          <w:trHeight w:val="284"/>
          <w:jc w:val="center"/>
        </w:trPr>
        <w:tc>
          <w:tcPr>
            <w:tcW w:w="3927" w:type="dxa"/>
            <w:vMerge/>
            <w:tcBorders>
              <w:bottom w:val="single" w:sz="4" w:space="0" w:color="auto"/>
              <w:right w:val="single" w:sz="4" w:space="0" w:color="auto"/>
            </w:tcBorders>
            <w:vAlign w:val="center"/>
          </w:tcPr>
          <w:p w14:paraId="5F467A70"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2DD3F67A"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7A36D5A"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230 (100.0)</w:t>
            </w:r>
          </w:p>
        </w:tc>
      </w:tr>
      <w:tr w:rsidR="006971E8" w:rsidRPr="004D2CC5" w14:paraId="7A721D71" w14:textId="77777777" w:rsidTr="0043597D">
        <w:trPr>
          <w:trHeight w:val="284"/>
          <w:jc w:val="center"/>
        </w:trPr>
        <w:tc>
          <w:tcPr>
            <w:tcW w:w="3927" w:type="dxa"/>
            <w:vMerge w:val="restart"/>
            <w:tcBorders>
              <w:top w:val="single" w:sz="4" w:space="0" w:color="auto"/>
              <w:right w:val="single" w:sz="4" w:space="0" w:color="auto"/>
            </w:tcBorders>
            <w:vAlign w:val="center"/>
          </w:tcPr>
          <w:p w14:paraId="075F9F83" w14:textId="77777777" w:rsidR="006971E8" w:rsidRDefault="006971E8" w:rsidP="0043597D">
            <w:pPr>
              <w:rPr>
                <w:rFonts w:ascii="Arial" w:hAnsi="Arial" w:cs="Arial"/>
                <w:color w:val="000000"/>
                <w:sz w:val="18"/>
                <w:szCs w:val="18"/>
              </w:rPr>
            </w:pPr>
            <w:r>
              <w:rPr>
                <w:rFonts w:ascii="Arial" w:hAnsi="Arial" w:cs="Arial"/>
                <w:color w:val="000000"/>
                <w:sz w:val="18"/>
                <w:szCs w:val="18"/>
              </w:rPr>
              <w:t>BUN</w:t>
            </w:r>
            <w:r w:rsidRPr="003C4F27">
              <w:rPr>
                <w:rFonts w:ascii="Arial" w:hAnsi="Arial" w:cs="Arial"/>
                <w:color w:val="000000"/>
                <w:sz w:val="18"/>
                <w:szCs w:val="18"/>
              </w:rPr>
              <w:t xml:space="preserve"> (mg/dL)</w:t>
            </w:r>
          </w:p>
        </w:tc>
        <w:tc>
          <w:tcPr>
            <w:tcW w:w="1843" w:type="dxa"/>
            <w:vMerge w:val="restart"/>
            <w:tcBorders>
              <w:top w:val="single" w:sz="4" w:space="0" w:color="auto"/>
              <w:left w:val="single" w:sz="4" w:space="0" w:color="auto"/>
              <w:right w:val="single" w:sz="4" w:space="0" w:color="auto"/>
            </w:tcBorders>
            <w:noWrap/>
            <w:vAlign w:val="center"/>
          </w:tcPr>
          <w:p w14:paraId="7A772181"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99.1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62.8</w:t>
            </w:r>
          </w:p>
        </w:tc>
        <w:tc>
          <w:tcPr>
            <w:tcW w:w="1803" w:type="dxa"/>
            <w:tcBorders>
              <w:top w:val="single" w:sz="4" w:space="0" w:color="auto"/>
              <w:left w:val="single" w:sz="4" w:space="0" w:color="auto"/>
            </w:tcBorders>
            <w:shd w:val="pct10" w:color="auto" w:fill="auto"/>
          </w:tcPr>
          <w:p w14:paraId="474D458D"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25</w:t>
            </w:r>
          </w:p>
        </w:tc>
      </w:tr>
      <w:tr w:rsidR="006971E8" w:rsidRPr="004D2CC5" w14:paraId="629A994C" w14:textId="77777777" w:rsidTr="0043597D">
        <w:trPr>
          <w:trHeight w:val="284"/>
          <w:jc w:val="center"/>
        </w:trPr>
        <w:tc>
          <w:tcPr>
            <w:tcW w:w="3927" w:type="dxa"/>
            <w:vMerge/>
            <w:tcBorders>
              <w:bottom w:val="single" w:sz="4" w:space="0" w:color="auto"/>
              <w:right w:val="single" w:sz="4" w:space="0" w:color="auto"/>
            </w:tcBorders>
            <w:vAlign w:val="center"/>
          </w:tcPr>
          <w:p w14:paraId="06E0757C" w14:textId="77777777" w:rsidR="006971E8" w:rsidRDefault="006971E8" w:rsidP="0043597D">
            <w:pPr>
              <w:rPr>
                <w:rFonts w:ascii="Arial" w:hAnsi="Arial" w:cs="Arial"/>
                <w:color w:val="000000"/>
                <w:sz w:val="18"/>
                <w:szCs w:val="18"/>
              </w:rPr>
            </w:pPr>
          </w:p>
        </w:tc>
        <w:tc>
          <w:tcPr>
            <w:tcW w:w="1843" w:type="dxa"/>
            <w:vMerge/>
            <w:tcBorders>
              <w:left w:val="single" w:sz="4" w:space="0" w:color="auto"/>
              <w:right w:val="single" w:sz="4" w:space="0" w:color="auto"/>
            </w:tcBorders>
            <w:noWrap/>
            <w:vAlign w:val="center"/>
          </w:tcPr>
          <w:p w14:paraId="6C07CC38"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023266B3"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200 (87.0)</w:t>
            </w:r>
          </w:p>
        </w:tc>
      </w:tr>
      <w:tr w:rsidR="006971E8" w:rsidRPr="004D2CC5" w14:paraId="218E4711" w14:textId="77777777" w:rsidTr="0043597D">
        <w:trPr>
          <w:trHeight w:val="284"/>
          <w:jc w:val="center"/>
        </w:trPr>
        <w:tc>
          <w:tcPr>
            <w:tcW w:w="3927" w:type="dxa"/>
            <w:vMerge w:val="restart"/>
            <w:tcBorders>
              <w:top w:val="single" w:sz="4" w:space="0" w:color="auto"/>
              <w:right w:val="single" w:sz="4" w:space="0" w:color="auto"/>
            </w:tcBorders>
            <w:vAlign w:val="center"/>
          </w:tcPr>
          <w:p w14:paraId="5FF7E242" w14:textId="77777777" w:rsidR="006971E8" w:rsidRDefault="00435E74" w:rsidP="0043597D">
            <w:pPr>
              <w:rPr>
                <w:rFonts w:ascii="Arial" w:hAnsi="Arial" w:cs="Arial"/>
                <w:color w:val="000000"/>
                <w:sz w:val="18"/>
                <w:szCs w:val="18"/>
              </w:rPr>
            </w:pPr>
            <w:r>
              <w:rPr>
                <w:rFonts w:ascii="Arial" w:hAnsi="Arial" w:cs="Arial"/>
                <w:color w:val="000000"/>
                <w:sz w:val="18"/>
                <w:szCs w:val="18"/>
              </w:rPr>
              <w:t>Serum creatinine</w:t>
            </w:r>
            <w:r w:rsidR="006971E8" w:rsidRPr="007E370B">
              <w:rPr>
                <w:rFonts w:ascii="Arial" w:hAnsi="Arial" w:cs="Arial"/>
                <w:color w:val="000000"/>
                <w:sz w:val="18"/>
                <w:szCs w:val="18"/>
              </w:rPr>
              <w:t xml:space="preserve"> (mg/dL)</w:t>
            </w:r>
          </w:p>
        </w:tc>
        <w:tc>
          <w:tcPr>
            <w:tcW w:w="1843" w:type="dxa"/>
            <w:vMerge w:val="restart"/>
            <w:tcBorders>
              <w:top w:val="single" w:sz="4" w:space="0" w:color="auto"/>
              <w:left w:val="single" w:sz="4" w:space="0" w:color="auto"/>
              <w:right w:val="single" w:sz="4" w:space="0" w:color="auto"/>
            </w:tcBorders>
            <w:noWrap/>
            <w:vAlign w:val="center"/>
          </w:tcPr>
          <w:p w14:paraId="43AFF32A"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1.8</w:t>
            </w:r>
            <w:r>
              <w:rPr>
                <w:rFonts w:ascii="Arial" w:hAnsi="Arial" w:cs="Arial"/>
                <w:color w:val="000000"/>
                <w:sz w:val="18"/>
                <w:szCs w:val="18"/>
                <w:lang w:eastAsia="es-MX"/>
              </w:rPr>
              <w:t xml:space="preserve">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w:t>
            </w:r>
            <w:r w:rsidRPr="007E370B">
              <w:rPr>
                <w:rFonts w:ascii="Arial" w:hAnsi="Arial" w:cs="Arial"/>
                <w:color w:val="000000"/>
                <w:sz w:val="18"/>
                <w:szCs w:val="18"/>
                <w:lang w:eastAsia="es-MX"/>
              </w:rPr>
              <w:t>0.7</w:t>
            </w:r>
          </w:p>
        </w:tc>
        <w:tc>
          <w:tcPr>
            <w:tcW w:w="1803" w:type="dxa"/>
            <w:tcBorders>
              <w:top w:val="single" w:sz="4" w:space="0" w:color="auto"/>
              <w:left w:val="single" w:sz="4" w:space="0" w:color="auto"/>
            </w:tcBorders>
            <w:shd w:val="pct10" w:color="auto" w:fill="auto"/>
          </w:tcPr>
          <w:p w14:paraId="50106F65"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&gt; 1.3</w:t>
            </w:r>
          </w:p>
        </w:tc>
      </w:tr>
      <w:tr w:rsidR="006971E8" w:rsidRPr="004D2CC5" w14:paraId="4F83E408" w14:textId="77777777" w:rsidTr="0043597D">
        <w:trPr>
          <w:trHeight w:val="284"/>
          <w:jc w:val="center"/>
        </w:trPr>
        <w:tc>
          <w:tcPr>
            <w:tcW w:w="3927" w:type="dxa"/>
            <w:vMerge/>
            <w:tcBorders>
              <w:bottom w:val="single" w:sz="4" w:space="0" w:color="auto"/>
              <w:right w:val="single" w:sz="4" w:space="0" w:color="auto"/>
            </w:tcBorders>
            <w:vAlign w:val="center"/>
          </w:tcPr>
          <w:p w14:paraId="6A4914B1"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10ABA903"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247FA259"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160 (69.6)</w:t>
            </w:r>
          </w:p>
        </w:tc>
      </w:tr>
      <w:tr w:rsidR="006971E8" w:rsidRPr="004D2CC5" w14:paraId="78EC19DF" w14:textId="77777777" w:rsidTr="0043597D">
        <w:trPr>
          <w:trHeight w:val="284"/>
          <w:jc w:val="center"/>
        </w:trPr>
        <w:tc>
          <w:tcPr>
            <w:tcW w:w="3927" w:type="dxa"/>
            <w:vMerge w:val="restart"/>
            <w:tcBorders>
              <w:top w:val="single" w:sz="4" w:space="0" w:color="auto"/>
              <w:right w:val="single" w:sz="4" w:space="0" w:color="auto"/>
            </w:tcBorders>
            <w:vAlign w:val="center"/>
          </w:tcPr>
          <w:p w14:paraId="11CFED7C" w14:textId="77777777" w:rsidR="006971E8" w:rsidRDefault="006971E8" w:rsidP="0043597D">
            <w:pPr>
              <w:rPr>
                <w:rFonts w:ascii="Arial" w:hAnsi="Arial" w:cs="Arial"/>
                <w:color w:val="000000"/>
                <w:sz w:val="18"/>
                <w:szCs w:val="18"/>
              </w:rPr>
            </w:pPr>
            <w:r>
              <w:rPr>
                <w:rFonts w:ascii="Arial" w:hAnsi="Arial" w:cs="Arial"/>
                <w:color w:val="000000"/>
                <w:sz w:val="18"/>
                <w:szCs w:val="18"/>
              </w:rPr>
              <w:t>ALT (U/L)</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70D67B12"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04.0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9</w:t>
            </w:r>
            <w:r w:rsidRPr="007E370B">
              <w:rPr>
                <w:rFonts w:ascii="Arial" w:hAnsi="Arial" w:cs="Arial"/>
                <w:color w:val="000000"/>
                <w:sz w:val="18"/>
                <w:szCs w:val="18"/>
                <w:lang w:eastAsia="es-MX"/>
              </w:rPr>
              <w:t>0.</w:t>
            </w:r>
            <w:r>
              <w:rPr>
                <w:rFonts w:ascii="Arial" w:hAnsi="Arial" w:cs="Arial"/>
                <w:color w:val="000000"/>
                <w:sz w:val="18"/>
                <w:szCs w:val="18"/>
                <w:lang w:eastAsia="es-MX"/>
              </w:rPr>
              <w:t>1</w:t>
            </w:r>
          </w:p>
        </w:tc>
        <w:tc>
          <w:tcPr>
            <w:tcW w:w="1803" w:type="dxa"/>
            <w:tcBorders>
              <w:top w:val="single" w:sz="4" w:space="0" w:color="auto"/>
              <w:left w:val="single" w:sz="4" w:space="0" w:color="auto"/>
            </w:tcBorders>
            <w:shd w:val="pct10" w:color="auto" w:fill="auto"/>
          </w:tcPr>
          <w:p w14:paraId="6F3C5740"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&gt; 36</w:t>
            </w:r>
          </w:p>
        </w:tc>
      </w:tr>
      <w:tr w:rsidR="006971E8" w:rsidRPr="004D2CC5" w14:paraId="3D74F477" w14:textId="77777777" w:rsidTr="0043597D">
        <w:trPr>
          <w:trHeight w:val="284"/>
          <w:jc w:val="center"/>
        </w:trPr>
        <w:tc>
          <w:tcPr>
            <w:tcW w:w="3927" w:type="dxa"/>
            <w:vMerge/>
            <w:tcBorders>
              <w:bottom w:val="single" w:sz="4" w:space="0" w:color="auto"/>
              <w:right w:val="single" w:sz="4" w:space="0" w:color="auto"/>
            </w:tcBorders>
            <w:vAlign w:val="center"/>
          </w:tcPr>
          <w:p w14:paraId="14A9884F"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46DF01C3"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74535F1E"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110 (47.8)</w:t>
            </w:r>
          </w:p>
        </w:tc>
      </w:tr>
      <w:tr w:rsidR="006971E8" w:rsidRPr="004D2CC5" w14:paraId="6DE6AEF8" w14:textId="77777777" w:rsidTr="0043597D">
        <w:trPr>
          <w:trHeight w:val="284"/>
          <w:jc w:val="center"/>
        </w:trPr>
        <w:tc>
          <w:tcPr>
            <w:tcW w:w="3927" w:type="dxa"/>
            <w:vMerge w:val="restart"/>
            <w:tcBorders>
              <w:top w:val="single" w:sz="4" w:space="0" w:color="auto"/>
              <w:right w:val="single" w:sz="4" w:space="0" w:color="auto"/>
            </w:tcBorders>
            <w:vAlign w:val="center"/>
          </w:tcPr>
          <w:p w14:paraId="4AD348BB" w14:textId="77777777" w:rsidR="006971E8" w:rsidRDefault="006971E8" w:rsidP="0043597D">
            <w:pPr>
              <w:rPr>
                <w:rFonts w:ascii="Arial" w:hAnsi="Arial" w:cs="Arial"/>
                <w:color w:val="000000"/>
                <w:sz w:val="18"/>
                <w:szCs w:val="18"/>
              </w:rPr>
            </w:pPr>
            <w:r>
              <w:rPr>
                <w:rFonts w:ascii="Arial" w:hAnsi="Arial" w:cs="Arial"/>
                <w:color w:val="000000"/>
                <w:sz w:val="18"/>
                <w:szCs w:val="18"/>
              </w:rPr>
              <w:t>AST (U/L)</w:t>
            </w:r>
          </w:p>
        </w:tc>
        <w:tc>
          <w:tcPr>
            <w:tcW w:w="1843" w:type="dxa"/>
            <w:vMerge w:val="restart"/>
            <w:tcBorders>
              <w:top w:val="single" w:sz="4" w:space="0" w:color="auto"/>
              <w:left w:val="single" w:sz="4" w:space="0" w:color="auto"/>
              <w:right w:val="single" w:sz="4" w:space="0" w:color="auto"/>
            </w:tcBorders>
            <w:noWrap/>
            <w:vAlign w:val="center"/>
          </w:tcPr>
          <w:p w14:paraId="2699FD0F"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24.0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111.8</w:t>
            </w:r>
          </w:p>
        </w:tc>
        <w:tc>
          <w:tcPr>
            <w:tcW w:w="1803" w:type="dxa"/>
            <w:tcBorders>
              <w:top w:val="single" w:sz="4" w:space="0" w:color="auto"/>
              <w:left w:val="single" w:sz="4" w:space="0" w:color="auto"/>
            </w:tcBorders>
            <w:shd w:val="pct10" w:color="auto" w:fill="auto"/>
          </w:tcPr>
          <w:p w14:paraId="7C8DFB17"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33</w:t>
            </w:r>
            <w:r>
              <w:rPr>
                <w:rFonts w:ascii="Arial" w:hAnsi="Arial" w:cs="Arial"/>
                <w:color w:val="000000"/>
                <w:sz w:val="18"/>
                <w:szCs w:val="18"/>
                <w:lang w:eastAsia="es-MX"/>
              </w:rPr>
              <w:t xml:space="preserve"> </w:t>
            </w:r>
          </w:p>
        </w:tc>
      </w:tr>
      <w:tr w:rsidR="006971E8" w:rsidRPr="004D2CC5" w14:paraId="1D545ECB" w14:textId="77777777" w:rsidTr="0043597D">
        <w:trPr>
          <w:trHeight w:val="284"/>
          <w:jc w:val="center"/>
        </w:trPr>
        <w:tc>
          <w:tcPr>
            <w:tcW w:w="3927" w:type="dxa"/>
            <w:vMerge/>
            <w:tcBorders>
              <w:bottom w:val="single" w:sz="4" w:space="0" w:color="auto"/>
              <w:right w:val="single" w:sz="4" w:space="0" w:color="auto"/>
            </w:tcBorders>
            <w:vAlign w:val="center"/>
          </w:tcPr>
          <w:p w14:paraId="45D3459F"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5522C365"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1AEE35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130 (56.5)</w:t>
            </w:r>
          </w:p>
        </w:tc>
      </w:tr>
      <w:tr w:rsidR="006971E8" w:rsidRPr="004D2CC5" w14:paraId="3A46CF2C" w14:textId="77777777" w:rsidTr="0043597D">
        <w:trPr>
          <w:trHeight w:val="284"/>
          <w:jc w:val="center"/>
        </w:trPr>
        <w:tc>
          <w:tcPr>
            <w:tcW w:w="3927" w:type="dxa"/>
            <w:vMerge w:val="restart"/>
            <w:tcBorders>
              <w:top w:val="single" w:sz="4" w:space="0" w:color="auto"/>
              <w:right w:val="single" w:sz="4" w:space="0" w:color="auto"/>
            </w:tcBorders>
            <w:vAlign w:val="center"/>
          </w:tcPr>
          <w:p w14:paraId="48C55196" w14:textId="77777777" w:rsidR="006971E8" w:rsidRDefault="006971E8" w:rsidP="0043597D">
            <w:pPr>
              <w:rPr>
                <w:rFonts w:ascii="Arial" w:hAnsi="Arial" w:cs="Arial"/>
                <w:color w:val="000000"/>
                <w:sz w:val="18"/>
                <w:szCs w:val="18"/>
              </w:rPr>
            </w:pPr>
            <w:r>
              <w:rPr>
                <w:rFonts w:ascii="Arial" w:hAnsi="Arial" w:cs="Arial"/>
                <w:color w:val="000000"/>
                <w:sz w:val="18"/>
                <w:szCs w:val="18"/>
              </w:rPr>
              <w:t xml:space="preserve">INR </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4D7B80A"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.3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0.4</w:t>
            </w:r>
          </w:p>
        </w:tc>
        <w:tc>
          <w:tcPr>
            <w:tcW w:w="1803" w:type="dxa"/>
            <w:tcBorders>
              <w:top w:val="single" w:sz="4" w:space="0" w:color="auto"/>
              <w:left w:val="single" w:sz="4" w:space="0" w:color="auto"/>
            </w:tcBorders>
            <w:shd w:val="pct10" w:color="auto" w:fill="auto"/>
          </w:tcPr>
          <w:p w14:paraId="72BC3B96"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1.2</w:t>
            </w:r>
          </w:p>
        </w:tc>
      </w:tr>
      <w:tr w:rsidR="006971E8" w:rsidRPr="004D2CC5" w14:paraId="54623698" w14:textId="77777777" w:rsidTr="0043597D">
        <w:trPr>
          <w:trHeight w:val="284"/>
          <w:jc w:val="center"/>
        </w:trPr>
        <w:tc>
          <w:tcPr>
            <w:tcW w:w="3927" w:type="dxa"/>
            <w:vMerge/>
            <w:tcBorders>
              <w:bottom w:val="single" w:sz="4" w:space="0" w:color="auto"/>
              <w:right w:val="single" w:sz="4" w:space="0" w:color="auto"/>
            </w:tcBorders>
            <w:vAlign w:val="center"/>
          </w:tcPr>
          <w:p w14:paraId="49869131"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4A7CE635"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4985E30"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90 (39.1)</w:t>
            </w:r>
          </w:p>
        </w:tc>
      </w:tr>
      <w:tr w:rsidR="006971E8" w:rsidRPr="004D2CC5" w14:paraId="514DD5DC" w14:textId="77777777" w:rsidTr="0043597D">
        <w:trPr>
          <w:trHeight w:val="284"/>
          <w:jc w:val="center"/>
        </w:trPr>
        <w:tc>
          <w:tcPr>
            <w:tcW w:w="3927" w:type="dxa"/>
            <w:vMerge w:val="restart"/>
            <w:tcBorders>
              <w:top w:val="single" w:sz="4" w:space="0" w:color="auto"/>
              <w:right w:val="single" w:sz="4" w:space="0" w:color="auto"/>
            </w:tcBorders>
            <w:vAlign w:val="center"/>
          </w:tcPr>
          <w:p w14:paraId="56D55948" w14:textId="77777777" w:rsidR="006971E8" w:rsidRDefault="00435E74" w:rsidP="0043597D">
            <w:pPr>
              <w:rPr>
                <w:rFonts w:ascii="Arial" w:hAnsi="Arial" w:cs="Arial"/>
                <w:color w:val="000000"/>
                <w:sz w:val="18"/>
                <w:szCs w:val="18"/>
              </w:rPr>
            </w:pPr>
            <w:r>
              <w:rPr>
                <w:rFonts w:ascii="Arial" w:hAnsi="Arial" w:cs="Arial"/>
                <w:color w:val="000000"/>
                <w:sz w:val="18"/>
                <w:szCs w:val="18"/>
              </w:rPr>
              <w:t>Albumin</w:t>
            </w:r>
            <w:r w:rsidR="006971E8">
              <w:rPr>
                <w:rFonts w:ascii="Arial" w:hAnsi="Arial" w:cs="Arial"/>
                <w:color w:val="000000"/>
                <w:sz w:val="18"/>
                <w:szCs w:val="18"/>
              </w:rPr>
              <w:t xml:space="preserve"> (g/dL)</w:t>
            </w:r>
          </w:p>
        </w:tc>
        <w:tc>
          <w:tcPr>
            <w:tcW w:w="1843" w:type="dxa"/>
            <w:vMerge w:val="restart"/>
            <w:tcBorders>
              <w:top w:val="single" w:sz="4" w:space="0" w:color="auto"/>
              <w:left w:val="single" w:sz="4" w:space="0" w:color="auto"/>
              <w:right w:val="single" w:sz="4" w:space="0" w:color="auto"/>
            </w:tcBorders>
            <w:noWrap/>
            <w:vAlign w:val="center"/>
          </w:tcPr>
          <w:p w14:paraId="51CF06DB"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2.8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0.7</w:t>
            </w:r>
          </w:p>
        </w:tc>
        <w:tc>
          <w:tcPr>
            <w:tcW w:w="1803" w:type="dxa"/>
            <w:tcBorders>
              <w:top w:val="single" w:sz="4" w:space="0" w:color="auto"/>
              <w:left w:val="single" w:sz="4" w:space="0" w:color="auto"/>
            </w:tcBorders>
            <w:shd w:val="pct10" w:color="auto" w:fill="auto"/>
          </w:tcPr>
          <w:p w14:paraId="0E46E863" w14:textId="77777777" w:rsidR="006971E8" w:rsidRPr="004D2CC5" w:rsidRDefault="006971E8" w:rsidP="0043597D">
            <w:pPr>
              <w:jc w:val="center"/>
              <w:rPr>
                <w:rFonts w:ascii="Arial" w:hAnsi="Arial" w:cs="Arial"/>
                <w:color w:val="000000"/>
                <w:sz w:val="18"/>
                <w:szCs w:val="18"/>
                <w:lang w:eastAsia="es-MX"/>
              </w:rPr>
            </w:pPr>
            <w:r w:rsidRPr="0028671E">
              <w:rPr>
                <w:rFonts w:ascii="Arial" w:hAnsi="Arial" w:cs="Arial"/>
                <w:color w:val="000000"/>
                <w:sz w:val="18"/>
                <w:szCs w:val="18"/>
                <w:lang w:eastAsia="es-MX"/>
              </w:rPr>
              <w:t>&lt;</w:t>
            </w:r>
            <w:r>
              <w:rPr>
                <w:rFonts w:ascii="Arial" w:hAnsi="Arial" w:cs="Arial"/>
                <w:color w:val="000000"/>
                <w:sz w:val="18"/>
                <w:szCs w:val="18"/>
                <w:lang w:eastAsia="es-MX"/>
              </w:rPr>
              <w:t xml:space="preserve"> </w:t>
            </w:r>
            <w:r w:rsidRPr="0028671E">
              <w:rPr>
                <w:rFonts w:ascii="Arial" w:hAnsi="Arial" w:cs="Arial"/>
                <w:color w:val="000000"/>
                <w:sz w:val="18"/>
                <w:szCs w:val="18"/>
                <w:lang w:eastAsia="es-MX"/>
              </w:rPr>
              <w:t xml:space="preserve">3.4 </w:t>
            </w:r>
          </w:p>
        </w:tc>
      </w:tr>
      <w:tr w:rsidR="006971E8" w:rsidRPr="004D2CC5" w14:paraId="55D265B9" w14:textId="77777777" w:rsidTr="0043597D">
        <w:trPr>
          <w:trHeight w:val="284"/>
          <w:jc w:val="center"/>
        </w:trPr>
        <w:tc>
          <w:tcPr>
            <w:tcW w:w="3927" w:type="dxa"/>
            <w:vMerge/>
            <w:tcBorders>
              <w:bottom w:val="single" w:sz="4" w:space="0" w:color="auto"/>
              <w:right w:val="single" w:sz="4" w:space="0" w:color="auto"/>
            </w:tcBorders>
            <w:vAlign w:val="center"/>
          </w:tcPr>
          <w:p w14:paraId="32124618"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0217D326"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670C16C5"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170 (73.9)</w:t>
            </w:r>
          </w:p>
        </w:tc>
      </w:tr>
      <w:tr w:rsidR="006971E8" w:rsidRPr="004D2CC5" w14:paraId="49E8F8D0" w14:textId="77777777" w:rsidTr="0043597D">
        <w:trPr>
          <w:trHeight w:val="284"/>
          <w:jc w:val="center"/>
        </w:trPr>
        <w:tc>
          <w:tcPr>
            <w:tcW w:w="3927" w:type="dxa"/>
            <w:vMerge w:val="restart"/>
            <w:tcBorders>
              <w:top w:val="single" w:sz="4" w:space="0" w:color="auto"/>
              <w:right w:val="single" w:sz="4" w:space="0" w:color="auto"/>
            </w:tcBorders>
            <w:vAlign w:val="center"/>
          </w:tcPr>
          <w:p w14:paraId="0395591B" w14:textId="77777777" w:rsidR="006971E8" w:rsidRDefault="00435E74" w:rsidP="0043597D">
            <w:pPr>
              <w:rPr>
                <w:rFonts w:ascii="Arial" w:hAnsi="Arial" w:cs="Arial"/>
                <w:color w:val="000000"/>
                <w:sz w:val="18"/>
                <w:szCs w:val="18"/>
              </w:rPr>
            </w:pPr>
            <w:r>
              <w:rPr>
                <w:rFonts w:ascii="Arial" w:hAnsi="Arial" w:cs="Arial"/>
                <w:color w:val="000000"/>
                <w:sz w:val="18"/>
                <w:szCs w:val="18"/>
              </w:rPr>
              <w:t>Serum glucose</w:t>
            </w:r>
            <w:r w:rsidR="006971E8">
              <w:rPr>
                <w:rFonts w:ascii="Arial" w:hAnsi="Arial" w:cs="Arial"/>
                <w:color w:val="000000"/>
                <w:sz w:val="18"/>
                <w:szCs w:val="18"/>
              </w:rPr>
              <w:t xml:space="preserve"> (mg/dL)</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13880DB2"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200.2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71.8</w:t>
            </w:r>
          </w:p>
        </w:tc>
        <w:tc>
          <w:tcPr>
            <w:tcW w:w="1803" w:type="dxa"/>
            <w:tcBorders>
              <w:top w:val="single" w:sz="4" w:space="0" w:color="auto"/>
              <w:left w:val="single" w:sz="4" w:space="0" w:color="auto"/>
            </w:tcBorders>
            <w:shd w:val="pct10" w:color="auto" w:fill="auto"/>
          </w:tcPr>
          <w:p w14:paraId="65821192" w14:textId="77777777" w:rsidR="006971E8" w:rsidRPr="004D2CC5" w:rsidRDefault="006971E8" w:rsidP="0043597D">
            <w:pPr>
              <w:jc w:val="center"/>
              <w:rPr>
                <w:rFonts w:ascii="Arial" w:hAnsi="Arial" w:cs="Arial"/>
                <w:color w:val="000000"/>
                <w:sz w:val="18"/>
                <w:szCs w:val="18"/>
                <w:lang w:eastAsia="es-MX"/>
              </w:rPr>
            </w:pPr>
            <w:r w:rsidRPr="0028671E">
              <w:rPr>
                <w:rFonts w:ascii="Arial" w:hAnsi="Arial" w:cs="Arial"/>
                <w:color w:val="000000"/>
                <w:sz w:val="18"/>
                <w:szCs w:val="18"/>
                <w:lang w:eastAsia="es-MX"/>
              </w:rPr>
              <w:t>&gt;</w:t>
            </w:r>
            <w:r>
              <w:rPr>
                <w:rFonts w:ascii="Arial" w:hAnsi="Arial" w:cs="Arial"/>
                <w:color w:val="000000"/>
                <w:sz w:val="18"/>
                <w:szCs w:val="18"/>
                <w:lang w:eastAsia="es-MX"/>
              </w:rPr>
              <w:t xml:space="preserve"> </w:t>
            </w:r>
            <w:r w:rsidRPr="0028671E">
              <w:rPr>
                <w:rFonts w:ascii="Arial" w:hAnsi="Arial" w:cs="Arial"/>
                <w:color w:val="000000"/>
                <w:sz w:val="18"/>
                <w:szCs w:val="18"/>
                <w:lang w:eastAsia="es-MX"/>
              </w:rPr>
              <w:t xml:space="preserve">110 </w:t>
            </w:r>
          </w:p>
        </w:tc>
      </w:tr>
      <w:tr w:rsidR="006971E8" w:rsidRPr="004D2CC5" w14:paraId="0B6345C9" w14:textId="77777777" w:rsidTr="0043597D">
        <w:trPr>
          <w:trHeight w:val="284"/>
          <w:jc w:val="center"/>
        </w:trPr>
        <w:tc>
          <w:tcPr>
            <w:tcW w:w="3927" w:type="dxa"/>
            <w:vMerge/>
            <w:tcBorders>
              <w:bottom w:val="single" w:sz="4" w:space="0" w:color="auto"/>
              <w:right w:val="single" w:sz="4" w:space="0" w:color="auto"/>
            </w:tcBorders>
            <w:vAlign w:val="center"/>
          </w:tcPr>
          <w:p w14:paraId="099E1730"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10EC34D4"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50B358D2"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200 (87.0)</w:t>
            </w:r>
          </w:p>
        </w:tc>
      </w:tr>
    </w:tbl>
    <w:p w14:paraId="7A78ED28" w14:textId="77777777" w:rsidR="00205C51" w:rsidRPr="00EE7CC2" w:rsidRDefault="00205C51" w:rsidP="000305FF">
      <w:pPr>
        <w:suppressAutoHyphens/>
        <w:jc w:val="center"/>
        <w:rPr>
          <w:rFonts w:ascii="Arial" w:hAnsi="Arial" w:cs="Arial"/>
        </w:rPr>
      </w:pPr>
      <w:r w:rsidRPr="00EE7CC2">
        <w:rPr>
          <w:rFonts w:ascii="Arial" w:hAnsi="Arial" w:cs="Arial"/>
        </w:rPr>
        <w:t>*SD: Standard deviation</w:t>
      </w:r>
    </w:p>
    <w:p w14:paraId="0C2F2021" w14:textId="77777777" w:rsidR="00176E31" w:rsidRDefault="00176E31" w:rsidP="00DC74ED">
      <w:pPr>
        <w:tabs>
          <w:tab w:val="left" w:pos="1080"/>
        </w:tabs>
        <w:jc w:val="center"/>
        <w:rPr>
          <w:rFonts w:ascii="Arial" w:hAnsi="Arial"/>
          <w:b/>
        </w:rPr>
      </w:pPr>
    </w:p>
    <w:p w14:paraId="06F04A90" w14:textId="77777777" w:rsidR="009F109E" w:rsidRPr="00EE7CC2" w:rsidRDefault="009F109E" w:rsidP="009F109E">
      <w:pPr>
        <w:pStyle w:val="ConcHead"/>
        <w:spacing w:after="0"/>
        <w:jc w:val="both"/>
        <w:rPr>
          <w:rFonts w:ascii="Arial" w:hAnsi="Arial" w:cs="Arial"/>
        </w:rPr>
      </w:pPr>
      <w:r w:rsidRPr="00EE7CC2">
        <w:rPr>
          <w:rFonts w:ascii="Arial" w:hAnsi="Arial" w:cs="Arial"/>
        </w:rPr>
        <w:t>3. DISCUSSION</w:t>
      </w:r>
    </w:p>
    <w:p w14:paraId="4B692F1C" w14:textId="77777777" w:rsidR="009F109E" w:rsidRPr="00EE7CC2" w:rsidRDefault="009F109E" w:rsidP="00B10F31">
      <w:pPr>
        <w:jc w:val="both"/>
        <w:rPr>
          <w:rFonts w:ascii="Arial" w:eastAsia="Arial" w:hAnsi="Arial" w:cs="Arial"/>
        </w:rPr>
      </w:pPr>
    </w:p>
    <w:p w14:paraId="1D4112E0" w14:textId="77777777" w:rsidR="009603ED" w:rsidRPr="009603ED" w:rsidRDefault="009603ED" w:rsidP="009603ED">
      <w:pPr>
        <w:jc w:val="both"/>
        <w:rPr>
          <w:rFonts w:ascii="Arial" w:eastAsia="Arial" w:hAnsi="Arial" w:cs="Arial"/>
        </w:rPr>
      </w:pPr>
      <w:r w:rsidRPr="009603ED">
        <w:rPr>
          <w:rFonts w:ascii="Arial" w:eastAsia="Arial" w:hAnsi="Arial" w:cs="Arial"/>
        </w:rPr>
        <w:t xml:space="preserve">The results indicated that organ function is severely affected, reflected in the high mortality observed in patients with sepsis of pulmonary origin in southeastern Mexico. All patients presented SOFA ≥ 2; C-reactive protein ≥ 0.3 </w:t>
      </w:r>
      <w:r w:rsidR="00524DA9">
        <w:rPr>
          <w:rFonts w:ascii="Arial" w:eastAsia="Arial" w:hAnsi="Arial" w:cs="Arial"/>
        </w:rPr>
        <w:t>(</w:t>
      </w:r>
      <w:r w:rsidRPr="009603ED">
        <w:rPr>
          <w:rFonts w:ascii="Arial" w:eastAsia="Arial" w:hAnsi="Arial" w:cs="Arial"/>
        </w:rPr>
        <w:t>mg/L</w:t>
      </w:r>
      <w:r w:rsidR="00524DA9">
        <w:rPr>
          <w:rFonts w:ascii="Arial" w:eastAsia="Arial" w:hAnsi="Arial" w:cs="Arial"/>
        </w:rPr>
        <w:t>)</w:t>
      </w:r>
      <w:r w:rsidRPr="009603ED">
        <w:rPr>
          <w:rFonts w:ascii="Arial" w:eastAsia="Arial" w:hAnsi="Arial" w:cs="Arial"/>
        </w:rPr>
        <w:t xml:space="preserve">; erythrocyte sedimentation rate &gt; 20 </w:t>
      </w:r>
      <w:r w:rsidR="00524DA9">
        <w:rPr>
          <w:rFonts w:ascii="Arial" w:eastAsia="Arial" w:hAnsi="Arial" w:cs="Arial"/>
        </w:rPr>
        <w:t>(</w:t>
      </w:r>
      <w:r w:rsidRPr="009603ED">
        <w:rPr>
          <w:rFonts w:ascii="Arial" w:eastAsia="Arial" w:hAnsi="Arial" w:cs="Arial"/>
        </w:rPr>
        <w:t>mm/h</w:t>
      </w:r>
      <w:r w:rsidR="00524DA9">
        <w:rPr>
          <w:rFonts w:ascii="Arial" w:eastAsia="Arial" w:hAnsi="Arial" w:cs="Arial"/>
        </w:rPr>
        <w:t>); leukocytes &gt; 10 (x</w:t>
      </w:r>
      <w:r w:rsidRPr="009603ED">
        <w:rPr>
          <w:rFonts w:ascii="Arial" w:eastAsia="Arial" w:hAnsi="Arial" w:cs="Arial"/>
        </w:rPr>
        <w:t>10³/mm³</w:t>
      </w:r>
      <w:r w:rsidR="00524DA9">
        <w:rPr>
          <w:rFonts w:ascii="Arial" w:eastAsia="Arial" w:hAnsi="Arial" w:cs="Arial"/>
        </w:rPr>
        <w:t>)</w:t>
      </w:r>
      <w:r w:rsidRPr="009603ED">
        <w:rPr>
          <w:rFonts w:ascii="Arial" w:eastAsia="Arial" w:hAnsi="Arial" w:cs="Arial"/>
        </w:rPr>
        <w:t>; oxygen saturation &lt; 95</w:t>
      </w:r>
      <w:r w:rsidR="000D7D00">
        <w:rPr>
          <w:rFonts w:ascii="Arial" w:eastAsia="Arial" w:hAnsi="Arial" w:cs="Arial"/>
        </w:rPr>
        <w:t xml:space="preserve"> </w:t>
      </w:r>
      <w:r w:rsidRPr="009603ED">
        <w:rPr>
          <w:rFonts w:ascii="Arial" w:eastAsia="Arial" w:hAnsi="Arial" w:cs="Arial"/>
        </w:rPr>
        <w:t xml:space="preserve">%; and partial pressure of oxygen &lt; 75 mmHg. </w:t>
      </w:r>
      <w:r w:rsidR="00524DA9">
        <w:rPr>
          <w:rFonts w:ascii="Arial" w:eastAsia="Arial" w:hAnsi="Arial" w:cs="Arial"/>
        </w:rPr>
        <w:t xml:space="preserve">The </w:t>
      </w:r>
      <w:r w:rsidRPr="009603ED">
        <w:rPr>
          <w:rFonts w:ascii="Arial" w:eastAsia="Arial" w:hAnsi="Arial" w:cs="Arial"/>
        </w:rPr>
        <w:t>56.5</w:t>
      </w:r>
      <w:r w:rsidR="000D7D00">
        <w:rPr>
          <w:rFonts w:ascii="Arial" w:eastAsia="Arial" w:hAnsi="Arial" w:cs="Arial"/>
        </w:rPr>
        <w:t xml:space="preserve"> </w:t>
      </w:r>
      <w:r w:rsidRPr="009603ED">
        <w:rPr>
          <w:rFonts w:ascii="Arial" w:eastAsia="Arial" w:hAnsi="Arial" w:cs="Arial"/>
        </w:rPr>
        <w:t>%</w:t>
      </w:r>
      <w:r w:rsidR="000D7D00">
        <w:rPr>
          <w:rFonts w:ascii="Arial" w:eastAsia="Arial" w:hAnsi="Arial" w:cs="Arial"/>
        </w:rPr>
        <w:t xml:space="preserve"> p</w:t>
      </w:r>
      <w:r w:rsidRPr="009603ED">
        <w:rPr>
          <w:rFonts w:ascii="Arial" w:eastAsia="Arial" w:hAnsi="Arial" w:cs="Arial"/>
        </w:rPr>
        <w:t>resented Glasgow Coma Scale scores of 3-8; 91.3</w:t>
      </w:r>
      <w:r w:rsidR="000D7D00">
        <w:rPr>
          <w:rFonts w:ascii="Arial" w:eastAsia="Arial" w:hAnsi="Arial" w:cs="Arial"/>
        </w:rPr>
        <w:t xml:space="preserve"> </w:t>
      </w:r>
      <w:r w:rsidRPr="009603ED">
        <w:rPr>
          <w:rFonts w:ascii="Arial" w:eastAsia="Arial" w:hAnsi="Arial" w:cs="Arial"/>
        </w:rPr>
        <w:t>% body temperature &gt; 37</w:t>
      </w:r>
      <w:r w:rsidR="000D7D00">
        <w:rPr>
          <w:rFonts w:ascii="Arial" w:eastAsia="Arial" w:hAnsi="Arial" w:cs="Arial"/>
        </w:rPr>
        <w:t xml:space="preserve"> (</w:t>
      </w:r>
      <w:r w:rsidRPr="009603ED">
        <w:rPr>
          <w:rFonts w:ascii="Arial" w:eastAsia="Arial" w:hAnsi="Arial" w:cs="Arial"/>
        </w:rPr>
        <w:t>°C</w:t>
      </w:r>
      <w:r w:rsidR="000D7D00">
        <w:rPr>
          <w:rFonts w:ascii="Arial" w:eastAsia="Arial" w:hAnsi="Arial" w:cs="Arial"/>
        </w:rPr>
        <w:t>)</w:t>
      </w:r>
      <w:r w:rsidRPr="009603ED">
        <w:rPr>
          <w:rFonts w:ascii="Arial" w:eastAsia="Arial" w:hAnsi="Arial" w:cs="Arial"/>
        </w:rPr>
        <w:t>; 69.6</w:t>
      </w:r>
      <w:r w:rsidR="000D7D00">
        <w:rPr>
          <w:rFonts w:ascii="Arial" w:eastAsia="Arial" w:hAnsi="Arial" w:cs="Arial"/>
        </w:rPr>
        <w:t xml:space="preserve"> </w:t>
      </w:r>
      <w:r w:rsidRPr="009603ED">
        <w:rPr>
          <w:rFonts w:ascii="Arial" w:eastAsia="Arial" w:hAnsi="Arial" w:cs="Arial"/>
        </w:rPr>
        <w:t xml:space="preserve">% heart rate &gt; 100 </w:t>
      </w:r>
      <w:r w:rsidR="00524DA9">
        <w:rPr>
          <w:rFonts w:ascii="Arial" w:eastAsia="Arial" w:hAnsi="Arial" w:cs="Arial"/>
        </w:rPr>
        <w:t>(</w:t>
      </w:r>
      <w:r w:rsidRPr="009603ED">
        <w:rPr>
          <w:rFonts w:ascii="Arial" w:eastAsia="Arial" w:hAnsi="Arial" w:cs="Arial"/>
        </w:rPr>
        <w:t>bpm</w:t>
      </w:r>
      <w:r w:rsidR="00524DA9">
        <w:rPr>
          <w:rFonts w:ascii="Arial" w:eastAsia="Arial" w:hAnsi="Arial" w:cs="Arial"/>
        </w:rPr>
        <w:t>)</w:t>
      </w:r>
      <w:r w:rsidRPr="009603ED">
        <w:rPr>
          <w:rFonts w:ascii="Arial" w:eastAsia="Arial" w:hAnsi="Arial" w:cs="Arial"/>
        </w:rPr>
        <w:t>; 13</w:t>
      </w:r>
      <w:r w:rsidR="000D7D00">
        <w:rPr>
          <w:rFonts w:ascii="Arial" w:eastAsia="Arial" w:hAnsi="Arial" w:cs="Arial"/>
        </w:rPr>
        <w:t xml:space="preserve"> </w:t>
      </w:r>
      <w:r w:rsidRPr="009603ED">
        <w:rPr>
          <w:rFonts w:ascii="Arial" w:eastAsia="Arial" w:hAnsi="Arial" w:cs="Arial"/>
        </w:rPr>
        <w:t xml:space="preserve">% systolic blood pressure &gt; 120 </w:t>
      </w:r>
      <w:r w:rsidR="00524DA9">
        <w:rPr>
          <w:rFonts w:ascii="Arial" w:eastAsia="Arial" w:hAnsi="Arial" w:cs="Arial"/>
        </w:rPr>
        <w:t>(</w:t>
      </w:r>
      <w:r w:rsidRPr="009603ED">
        <w:rPr>
          <w:rFonts w:ascii="Arial" w:eastAsia="Arial" w:hAnsi="Arial" w:cs="Arial"/>
        </w:rPr>
        <w:t>mmHg</w:t>
      </w:r>
      <w:r w:rsidR="00524DA9">
        <w:rPr>
          <w:rFonts w:ascii="Arial" w:eastAsia="Arial" w:hAnsi="Arial" w:cs="Arial"/>
        </w:rPr>
        <w:t>)</w:t>
      </w:r>
      <w:r w:rsidRPr="009603ED">
        <w:rPr>
          <w:rFonts w:ascii="Arial" w:eastAsia="Arial" w:hAnsi="Arial" w:cs="Arial"/>
        </w:rPr>
        <w:t>; 39.1</w:t>
      </w:r>
      <w:r w:rsidR="00524DA9">
        <w:rPr>
          <w:rFonts w:ascii="Arial" w:eastAsia="Arial" w:hAnsi="Arial" w:cs="Arial"/>
        </w:rPr>
        <w:t xml:space="preserve"> </w:t>
      </w:r>
      <w:r w:rsidRPr="009603ED">
        <w:rPr>
          <w:rFonts w:ascii="Arial" w:eastAsia="Arial" w:hAnsi="Arial" w:cs="Arial"/>
        </w:rPr>
        <w:t xml:space="preserve">% hemoglobin &lt; 10 </w:t>
      </w:r>
      <w:r w:rsidR="00524DA9">
        <w:rPr>
          <w:rFonts w:ascii="Arial" w:eastAsia="Arial" w:hAnsi="Arial" w:cs="Arial"/>
        </w:rPr>
        <w:t>(</w:t>
      </w:r>
      <w:r w:rsidRPr="009603ED">
        <w:rPr>
          <w:rFonts w:ascii="Arial" w:eastAsia="Arial" w:hAnsi="Arial" w:cs="Arial"/>
        </w:rPr>
        <w:t>g/dL</w:t>
      </w:r>
      <w:r w:rsidR="00524DA9">
        <w:rPr>
          <w:rFonts w:ascii="Arial" w:eastAsia="Arial" w:hAnsi="Arial" w:cs="Arial"/>
        </w:rPr>
        <w:t>)</w:t>
      </w:r>
      <w:r w:rsidRPr="009603ED">
        <w:rPr>
          <w:rFonts w:ascii="Arial" w:eastAsia="Arial" w:hAnsi="Arial" w:cs="Arial"/>
        </w:rPr>
        <w:t xml:space="preserve">; and 52.2% platelets &lt; 150 </w:t>
      </w:r>
      <w:r w:rsidR="00524DA9">
        <w:rPr>
          <w:rFonts w:ascii="Arial" w:eastAsia="Arial" w:hAnsi="Arial" w:cs="Arial"/>
        </w:rPr>
        <w:t>(</w:t>
      </w:r>
      <w:r w:rsidRPr="009603ED">
        <w:rPr>
          <w:rFonts w:ascii="Arial" w:eastAsia="Arial" w:hAnsi="Arial" w:cs="Arial"/>
        </w:rPr>
        <w:t>x10³/mm³</w:t>
      </w:r>
      <w:r w:rsidR="00524DA9">
        <w:rPr>
          <w:rFonts w:ascii="Arial" w:eastAsia="Arial" w:hAnsi="Arial" w:cs="Arial"/>
        </w:rPr>
        <w:t>)</w:t>
      </w:r>
      <w:r w:rsidRPr="009603ED">
        <w:rPr>
          <w:rFonts w:ascii="Arial" w:eastAsia="Arial" w:hAnsi="Arial" w:cs="Arial"/>
        </w:rPr>
        <w:t xml:space="preserve">. </w:t>
      </w:r>
      <w:r w:rsidR="00524DA9">
        <w:rPr>
          <w:rFonts w:ascii="Arial" w:eastAsia="Arial" w:hAnsi="Arial" w:cs="Arial"/>
        </w:rPr>
        <w:t xml:space="preserve">The </w:t>
      </w:r>
      <w:r w:rsidRPr="009603ED">
        <w:rPr>
          <w:rFonts w:ascii="Arial" w:eastAsia="Arial" w:hAnsi="Arial" w:cs="Arial"/>
        </w:rPr>
        <w:t>78.3</w:t>
      </w:r>
      <w:r w:rsidR="00524DA9">
        <w:rPr>
          <w:rFonts w:ascii="Arial" w:eastAsia="Arial" w:hAnsi="Arial" w:cs="Arial"/>
        </w:rPr>
        <w:t xml:space="preserve"> </w:t>
      </w:r>
      <w:r w:rsidRPr="009603ED">
        <w:rPr>
          <w:rFonts w:ascii="Arial" w:eastAsia="Arial" w:hAnsi="Arial" w:cs="Arial"/>
        </w:rPr>
        <w:t>% bicarbonate &lt; 22 (</w:t>
      </w:r>
      <w:proofErr w:type="spellStart"/>
      <w:r w:rsidRPr="009603ED">
        <w:rPr>
          <w:rFonts w:ascii="Arial" w:eastAsia="Arial" w:hAnsi="Arial" w:cs="Arial"/>
        </w:rPr>
        <w:t>mEq</w:t>
      </w:r>
      <w:proofErr w:type="spellEnd"/>
      <w:r w:rsidRPr="009603ED">
        <w:rPr>
          <w:rFonts w:ascii="Arial" w:eastAsia="Arial" w:hAnsi="Arial" w:cs="Arial"/>
        </w:rPr>
        <w:t>/L); 39.1</w:t>
      </w:r>
      <w:r w:rsidR="00524DA9">
        <w:rPr>
          <w:rFonts w:ascii="Arial" w:eastAsia="Arial" w:hAnsi="Arial" w:cs="Arial"/>
        </w:rPr>
        <w:t xml:space="preserve"> </w:t>
      </w:r>
      <w:r w:rsidRPr="009603ED">
        <w:rPr>
          <w:rFonts w:ascii="Arial" w:eastAsia="Arial" w:hAnsi="Arial" w:cs="Arial"/>
        </w:rPr>
        <w:t>% serum sodium &lt; 135 (</w:t>
      </w:r>
      <w:proofErr w:type="spellStart"/>
      <w:r w:rsidRPr="009603ED">
        <w:rPr>
          <w:rFonts w:ascii="Arial" w:eastAsia="Arial" w:hAnsi="Arial" w:cs="Arial"/>
        </w:rPr>
        <w:t>mEq</w:t>
      </w:r>
      <w:proofErr w:type="spellEnd"/>
      <w:r w:rsidRPr="009603ED">
        <w:rPr>
          <w:rFonts w:ascii="Arial" w:eastAsia="Arial" w:hAnsi="Arial" w:cs="Arial"/>
        </w:rPr>
        <w:t>/L); 52.2</w:t>
      </w:r>
      <w:r w:rsidR="00524DA9">
        <w:rPr>
          <w:rFonts w:ascii="Arial" w:eastAsia="Arial" w:hAnsi="Arial" w:cs="Arial"/>
        </w:rPr>
        <w:t xml:space="preserve"> </w:t>
      </w:r>
      <w:r w:rsidRPr="009603ED">
        <w:rPr>
          <w:rFonts w:ascii="Arial" w:eastAsia="Arial" w:hAnsi="Arial" w:cs="Arial"/>
        </w:rPr>
        <w:t>% serum lactate &gt; 1.5 (mmol/L); 87</w:t>
      </w:r>
      <w:r w:rsidR="00524DA9">
        <w:rPr>
          <w:rFonts w:ascii="Arial" w:eastAsia="Arial" w:hAnsi="Arial" w:cs="Arial"/>
        </w:rPr>
        <w:t xml:space="preserve"> </w:t>
      </w:r>
      <w:r w:rsidRPr="009603ED">
        <w:rPr>
          <w:rFonts w:ascii="Arial" w:eastAsia="Arial" w:hAnsi="Arial" w:cs="Arial"/>
        </w:rPr>
        <w:t>% BUN &gt; 25 (mg/dL); 69.6</w:t>
      </w:r>
      <w:r w:rsidR="00EB6311">
        <w:rPr>
          <w:rFonts w:ascii="Arial" w:eastAsia="Arial" w:hAnsi="Arial" w:cs="Arial"/>
        </w:rPr>
        <w:t xml:space="preserve"> </w:t>
      </w:r>
      <w:r w:rsidRPr="009603ED">
        <w:rPr>
          <w:rFonts w:ascii="Arial" w:eastAsia="Arial" w:hAnsi="Arial" w:cs="Arial"/>
        </w:rPr>
        <w:t>% serum creatinine &gt; 1.3 (mg/dL); 47.8</w:t>
      </w:r>
      <w:r w:rsidR="00EB6311">
        <w:rPr>
          <w:rFonts w:ascii="Arial" w:eastAsia="Arial" w:hAnsi="Arial" w:cs="Arial"/>
        </w:rPr>
        <w:t xml:space="preserve"> </w:t>
      </w:r>
      <w:r w:rsidRPr="009603ED">
        <w:rPr>
          <w:rFonts w:ascii="Arial" w:eastAsia="Arial" w:hAnsi="Arial" w:cs="Arial"/>
        </w:rPr>
        <w:t>% ALT &gt; 36 (U/L); 56.5</w:t>
      </w:r>
      <w:r w:rsidR="00EB6311">
        <w:rPr>
          <w:rFonts w:ascii="Arial" w:eastAsia="Arial" w:hAnsi="Arial" w:cs="Arial"/>
        </w:rPr>
        <w:t xml:space="preserve"> </w:t>
      </w:r>
      <w:r w:rsidRPr="009603ED">
        <w:rPr>
          <w:rFonts w:ascii="Arial" w:eastAsia="Arial" w:hAnsi="Arial" w:cs="Arial"/>
        </w:rPr>
        <w:t>% AST &gt; 33 (U/L); 39.1</w:t>
      </w:r>
      <w:r w:rsidR="00EB6311">
        <w:rPr>
          <w:rFonts w:ascii="Arial" w:eastAsia="Arial" w:hAnsi="Arial" w:cs="Arial"/>
        </w:rPr>
        <w:t xml:space="preserve"> </w:t>
      </w:r>
      <w:r w:rsidRPr="009603ED">
        <w:rPr>
          <w:rFonts w:ascii="Arial" w:eastAsia="Arial" w:hAnsi="Arial" w:cs="Arial"/>
        </w:rPr>
        <w:t>% INR &gt; 1.2; 73.9</w:t>
      </w:r>
      <w:r w:rsidR="00EB6311">
        <w:rPr>
          <w:rFonts w:ascii="Arial" w:eastAsia="Arial" w:hAnsi="Arial" w:cs="Arial"/>
        </w:rPr>
        <w:t xml:space="preserve"> </w:t>
      </w:r>
      <w:r w:rsidRPr="009603ED">
        <w:rPr>
          <w:rFonts w:ascii="Arial" w:eastAsia="Arial" w:hAnsi="Arial" w:cs="Arial"/>
        </w:rPr>
        <w:t>% albumin &lt; 3.4 (g/dL); and 87</w:t>
      </w:r>
      <w:r w:rsidR="00EB6311">
        <w:rPr>
          <w:rFonts w:ascii="Arial" w:eastAsia="Arial" w:hAnsi="Arial" w:cs="Arial"/>
        </w:rPr>
        <w:t xml:space="preserve"> </w:t>
      </w:r>
      <w:r w:rsidRPr="009603ED">
        <w:rPr>
          <w:rFonts w:ascii="Arial" w:eastAsia="Arial" w:hAnsi="Arial" w:cs="Arial"/>
        </w:rPr>
        <w:t>% serum glucose &gt; 110 (mg/dL). The observed mortality rate was 26.1%.</w:t>
      </w:r>
    </w:p>
    <w:p w14:paraId="647DDCB6" w14:textId="77777777" w:rsidR="00EB6311" w:rsidRDefault="00EB6311" w:rsidP="009603ED">
      <w:pPr>
        <w:jc w:val="both"/>
        <w:rPr>
          <w:rFonts w:ascii="Arial" w:eastAsia="Arial" w:hAnsi="Arial" w:cs="Arial"/>
        </w:rPr>
      </w:pPr>
    </w:p>
    <w:p w14:paraId="538E9019" w14:textId="3D13B225" w:rsidR="00A7284A" w:rsidRPr="00614586" w:rsidRDefault="00614586" w:rsidP="009603ED">
      <w:pPr>
        <w:jc w:val="both"/>
        <w:rPr>
          <w:rFonts w:ascii="Arial" w:eastAsia="Arial" w:hAnsi="Arial" w:cs="Arial"/>
        </w:rPr>
      </w:pPr>
      <w:r w:rsidRPr="00614586">
        <w:rPr>
          <w:rFonts w:ascii="Arial" w:eastAsia="Arial" w:hAnsi="Arial" w:cs="Arial"/>
          <w:highlight w:val="yellow"/>
        </w:rPr>
        <w:t>Sepsis of pulmonary origin is an infectious process with a high mortality rate. It requires timely and efficient medical attention. The use of severity scales and prognostic markers allows for efficient therapeutic management. However, factors such as aging, the presence of comorbidities, and the increase in rates of multidrug-resistant pathogens (antibiotics) result in longer hospital stays, greater use of institutional resources, lower quality of medical care, and higher mortality (</w:t>
      </w:r>
      <w:proofErr w:type="spellStart"/>
      <w:r w:rsidRPr="00614586">
        <w:rPr>
          <w:rFonts w:ascii="Arial" w:eastAsia="Arial" w:hAnsi="Arial" w:cs="Arial"/>
          <w:highlight w:val="yellow"/>
        </w:rPr>
        <w:t>Póvoa</w:t>
      </w:r>
      <w:proofErr w:type="spellEnd"/>
      <w:r w:rsidRPr="00614586">
        <w:rPr>
          <w:rFonts w:ascii="Arial" w:eastAsia="Arial" w:hAnsi="Arial" w:cs="Arial"/>
          <w:highlight w:val="yellow"/>
        </w:rPr>
        <w:t xml:space="preserve"> et al., 2024).</w:t>
      </w:r>
    </w:p>
    <w:p w14:paraId="1F3AEADF" w14:textId="77777777" w:rsidR="00A7284A" w:rsidRPr="00614586" w:rsidRDefault="00A7284A" w:rsidP="009603ED">
      <w:pPr>
        <w:jc w:val="both"/>
        <w:rPr>
          <w:rFonts w:ascii="Arial" w:eastAsia="Arial" w:hAnsi="Arial" w:cs="Arial"/>
        </w:rPr>
      </w:pPr>
    </w:p>
    <w:p w14:paraId="3251340B" w14:textId="77777777" w:rsidR="00A7284A" w:rsidRPr="00614586" w:rsidRDefault="00A7284A" w:rsidP="009603ED">
      <w:pPr>
        <w:jc w:val="both"/>
        <w:rPr>
          <w:rFonts w:ascii="Arial" w:eastAsia="Arial" w:hAnsi="Arial" w:cs="Arial"/>
        </w:rPr>
      </w:pPr>
    </w:p>
    <w:p w14:paraId="0908071F" w14:textId="77777777" w:rsidR="00A7284A" w:rsidRPr="00614586" w:rsidRDefault="00A7284A" w:rsidP="009603ED">
      <w:pPr>
        <w:jc w:val="both"/>
        <w:rPr>
          <w:rFonts w:ascii="Arial" w:eastAsia="Arial" w:hAnsi="Arial" w:cs="Arial"/>
        </w:rPr>
      </w:pPr>
    </w:p>
    <w:p w14:paraId="26EEF50D" w14:textId="20039CE1" w:rsidR="00511B5C" w:rsidRDefault="00D61C8F" w:rsidP="009603ED">
      <w:pPr>
        <w:jc w:val="both"/>
        <w:rPr>
          <w:rFonts w:ascii="Arial" w:eastAsia="Arial" w:hAnsi="Arial" w:cs="Arial"/>
        </w:rPr>
      </w:pPr>
      <w:r w:rsidRPr="00D61C8F">
        <w:rPr>
          <w:rFonts w:ascii="Arial" w:eastAsia="Arial" w:hAnsi="Arial" w:cs="Arial"/>
          <w:highlight w:val="yellow"/>
        </w:rPr>
        <w:lastRenderedPageBreak/>
        <w:t>The Mexican population aged 50 to 69 years represents 16.8% of the total population (INEGI, 2020); 75% of people ≥20 years of age are overweight or obese to some degree (SS-INSP, 2020); 30 million suffer from systemic hypertension (SS, 2021); 8.5 million suffer from some type of diabetes (INEGI, 2021); and 16% are frequent tobacco users (SS, 2023). This demographic and epidemiological situation increases the risk of pulmonary sepsis.</w:t>
      </w:r>
    </w:p>
    <w:p w14:paraId="45A629A5" w14:textId="77777777" w:rsidR="00D61C8F" w:rsidRPr="00D61C8F" w:rsidRDefault="00D61C8F" w:rsidP="009603ED">
      <w:pPr>
        <w:jc w:val="both"/>
        <w:rPr>
          <w:rFonts w:ascii="Arial" w:eastAsia="Arial" w:hAnsi="Arial" w:cs="Arial"/>
        </w:rPr>
      </w:pPr>
    </w:p>
    <w:p w14:paraId="4B891AF1" w14:textId="77777777" w:rsidR="009603ED" w:rsidRPr="009603ED" w:rsidRDefault="009603ED" w:rsidP="009603ED">
      <w:pPr>
        <w:jc w:val="both"/>
        <w:rPr>
          <w:rFonts w:ascii="Arial" w:eastAsia="Arial" w:hAnsi="Arial" w:cs="Arial"/>
        </w:rPr>
      </w:pPr>
      <w:r w:rsidRPr="009603ED">
        <w:rPr>
          <w:rFonts w:ascii="Arial" w:eastAsia="Arial" w:hAnsi="Arial" w:cs="Arial"/>
        </w:rPr>
        <w:t>The predominant sex (males, 52.2</w:t>
      </w:r>
      <w:r w:rsidR="00EB6311">
        <w:rPr>
          <w:rFonts w:ascii="Arial" w:eastAsia="Arial" w:hAnsi="Arial" w:cs="Arial"/>
        </w:rPr>
        <w:t xml:space="preserve"> </w:t>
      </w:r>
      <w:r w:rsidRPr="009603ED">
        <w:rPr>
          <w:rFonts w:ascii="Arial" w:eastAsia="Arial" w:hAnsi="Arial" w:cs="Arial"/>
        </w:rPr>
        <w:t>%) and average age (66.1 ± 7.1 years) found in this study were similar to those reported by Seymour et al. (2019), who reported a male proportion of 50.0% and an average age of 64 ± 17 years. Sepsis, being a heterogeneous syndrome, requires the early identification of severity indicators. The Glasgow Coma Scale (11.0 ± 4.7) and SOFA scores (11.2 ± 5.7) were different from those reported by Seymour et al. (2019). The SOFA score after 24 hours (3.9 ± 2.4) was lower, possibly due to the diverse infectious origins of their patients. In this regard, Powell et al.</w:t>
      </w:r>
      <w:r w:rsidR="00CA5EA6">
        <w:rPr>
          <w:rFonts w:ascii="Arial" w:eastAsia="Arial" w:hAnsi="Arial" w:cs="Arial"/>
        </w:rPr>
        <w:t xml:space="preserve"> (2022)</w:t>
      </w:r>
      <w:r w:rsidRPr="009603ED">
        <w:rPr>
          <w:rFonts w:ascii="Arial" w:eastAsia="Arial" w:hAnsi="Arial" w:cs="Arial"/>
        </w:rPr>
        <w:t xml:space="preserve"> emphasize that patients with sepsis can be grouped according to clinical data that reveal ischemic damage in end organs and endothelial dysfunction. In their study, they found similar figures: 50.0% in men; a median age of 62 (52-73) years; and SOFA scores of 3-6.</w:t>
      </w:r>
    </w:p>
    <w:p w14:paraId="65DB6DCF" w14:textId="77777777" w:rsidR="009603ED" w:rsidRPr="009603ED" w:rsidRDefault="009603ED" w:rsidP="009603ED">
      <w:pPr>
        <w:jc w:val="both"/>
        <w:rPr>
          <w:rFonts w:ascii="Arial" w:eastAsia="Arial" w:hAnsi="Arial" w:cs="Arial"/>
        </w:rPr>
      </w:pPr>
    </w:p>
    <w:p w14:paraId="2E108B5F" w14:textId="77777777" w:rsidR="009603ED" w:rsidRDefault="009603ED" w:rsidP="009603ED">
      <w:pPr>
        <w:jc w:val="both"/>
        <w:rPr>
          <w:rFonts w:ascii="Arial" w:eastAsia="Arial" w:hAnsi="Arial" w:cs="Arial"/>
        </w:rPr>
      </w:pPr>
      <w:r w:rsidRPr="009603ED">
        <w:rPr>
          <w:rFonts w:ascii="Arial" w:eastAsia="Arial" w:hAnsi="Arial" w:cs="Arial"/>
        </w:rPr>
        <w:t>The authors Molinari et al. (2024) consider that, in addition to using severity scales, prognostic markers should be thoroughly studied to improve therapeutic management, especially in higher-risk patients (diabetes, hypertension, renal insufficiency).</w:t>
      </w:r>
    </w:p>
    <w:p w14:paraId="4BBF87F0" w14:textId="77777777" w:rsidR="00CA5EA6" w:rsidRPr="009603ED" w:rsidRDefault="00CA5EA6" w:rsidP="009603ED">
      <w:pPr>
        <w:jc w:val="both"/>
        <w:rPr>
          <w:rFonts w:ascii="Arial" w:eastAsia="Arial" w:hAnsi="Arial" w:cs="Arial"/>
        </w:rPr>
      </w:pPr>
    </w:p>
    <w:p w14:paraId="0DCEE685" w14:textId="77777777" w:rsidR="009603ED" w:rsidRDefault="009603ED" w:rsidP="009603ED">
      <w:pPr>
        <w:jc w:val="both"/>
        <w:rPr>
          <w:rFonts w:ascii="Arial" w:eastAsia="Arial" w:hAnsi="Arial" w:cs="Arial"/>
        </w:rPr>
      </w:pPr>
      <w:r w:rsidRPr="009603ED">
        <w:rPr>
          <w:rFonts w:ascii="Arial" w:eastAsia="Arial" w:hAnsi="Arial" w:cs="Arial"/>
        </w:rPr>
        <w:t xml:space="preserve">All patients registered SOFA ≥ 2; C-reactive protein ≥ 0.3 </w:t>
      </w:r>
      <w:r w:rsidR="00CA5EA6">
        <w:rPr>
          <w:rFonts w:ascii="Arial" w:eastAsia="Arial" w:hAnsi="Arial" w:cs="Arial"/>
        </w:rPr>
        <w:t>(</w:t>
      </w:r>
      <w:r w:rsidRPr="009603ED">
        <w:rPr>
          <w:rFonts w:ascii="Arial" w:eastAsia="Arial" w:hAnsi="Arial" w:cs="Arial"/>
        </w:rPr>
        <w:t>mg/L</w:t>
      </w:r>
      <w:r w:rsidR="00CA5EA6">
        <w:rPr>
          <w:rFonts w:ascii="Arial" w:eastAsia="Arial" w:hAnsi="Arial" w:cs="Arial"/>
        </w:rPr>
        <w:t>)</w:t>
      </w:r>
      <w:r w:rsidRPr="009603ED">
        <w:rPr>
          <w:rFonts w:ascii="Arial" w:eastAsia="Arial" w:hAnsi="Arial" w:cs="Arial"/>
        </w:rPr>
        <w:t xml:space="preserve">; erythrocyte sedimentation rate &gt; 20 </w:t>
      </w:r>
      <w:r w:rsidR="00CA5EA6">
        <w:rPr>
          <w:rFonts w:ascii="Arial" w:eastAsia="Arial" w:hAnsi="Arial" w:cs="Arial"/>
        </w:rPr>
        <w:t>(</w:t>
      </w:r>
      <w:r w:rsidRPr="009603ED">
        <w:rPr>
          <w:rFonts w:ascii="Arial" w:eastAsia="Arial" w:hAnsi="Arial" w:cs="Arial"/>
        </w:rPr>
        <w:t>mm/h</w:t>
      </w:r>
      <w:r w:rsidR="00CA5EA6">
        <w:rPr>
          <w:rFonts w:ascii="Arial" w:eastAsia="Arial" w:hAnsi="Arial" w:cs="Arial"/>
        </w:rPr>
        <w:t>)</w:t>
      </w:r>
      <w:r w:rsidRPr="009603ED">
        <w:rPr>
          <w:rFonts w:ascii="Arial" w:eastAsia="Arial" w:hAnsi="Arial" w:cs="Arial"/>
        </w:rPr>
        <w:t xml:space="preserve">; leukocytes &gt; 10 </w:t>
      </w:r>
      <w:r w:rsidR="00CA5EA6">
        <w:rPr>
          <w:rFonts w:ascii="Arial" w:eastAsia="Arial" w:hAnsi="Arial" w:cs="Arial"/>
        </w:rPr>
        <w:t>(x</w:t>
      </w:r>
      <w:r w:rsidRPr="009603ED">
        <w:rPr>
          <w:rFonts w:ascii="Arial" w:eastAsia="Arial" w:hAnsi="Arial" w:cs="Arial"/>
        </w:rPr>
        <w:t>10³/mm³</w:t>
      </w:r>
      <w:r w:rsidR="00CA5EA6">
        <w:rPr>
          <w:rFonts w:ascii="Arial" w:eastAsia="Arial" w:hAnsi="Arial" w:cs="Arial"/>
        </w:rPr>
        <w:t>)</w:t>
      </w:r>
      <w:r w:rsidRPr="009603ED">
        <w:rPr>
          <w:rFonts w:ascii="Arial" w:eastAsia="Arial" w:hAnsi="Arial" w:cs="Arial"/>
        </w:rPr>
        <w:t>; oxygen saturation &lt; 95</w:t>
      </w:r>
      <w:r w:rsidR="00CA5EA6">
        <w:rPr>
          <w:rFonts w:ascii="Arial" w:eastAsia="Arial" w:hAnsi="Arial" w:cs="Arial"/>
        </w:rPr>
        <w:t xml:space="preserve"> (</w:t>
      </w:r>
      <w:r w:rsidRPr="009603ED">
        <w:rPr>
          <w:rFonts w:ascii="Arial" w:eastAsia="Arial" w:hAnsi="Arial" w:cs="Arial"/>
        </w:rPr>
        <w:t>%</w:t>
      </w:r>
      <w:r w:rsidR="00CA5EA6">
        <w:rPr>
          <w:rFonts w:ascii="Arial" w:eastAsia="Arial" w:hAnsi="Arial" w:cs="Arial"/>
        </w:rPr>
        <w:t>)</w:t>
      </w:r>
      <w:r w:rsidRPr="009603ED">
        <w:rPr>
          <w:rFonts w:ascii="Arial" w:eastAsia="Arial" w:hAnsi="Arial" w:cs="Arial"/>
        </w:rPr>
        <w:t xml:space="preserve">; and partial pressure of oxygen &lt; 75 mmHg. </w:t>
      </w:r>
      <w:r w:rsidR="0043597D">
        <w:rPr>
          <w:rFonts w:ascii="Arial" w:eastAsia="Arial" w:hAnsi="Arial" w:cs="Arial"/>
        </w:rPr>
        <w:t xml:space="preserve">The </w:t>
      </w:r>
      <w:r w:rsidRPr="009603ED">
        <w:rPr>
          <w:rFonts w:ascii="Arial" w:eastAsia="Arial" w:hAnsi="Arial" w:cs="Arial"/>
        </w:rPr>
        <w:t>56.5</w:t>
      </w:r>
      <w:r w:rsidR="0043597D">
        <w:rPr>
          <w:rFonts w:ascii="Arial" w:eastAsia="Arial" w:hAnsi="Arial" w:cs="Arial"/>
        </w:rPr>
        <w:t xml:space="preserve"> </w:t>
      </w:r>
      <w:r w:rsidRPr="009603ED">
        <w:rPr>
          <w:rFonts w:ascii="Arial" w:eastAsia="Arial" w:hAnsi="Arial" w:cs="Arial"/>
        </w:rPr>
        <w:t>% presented Glasgow Coma Scale scores of 3-8; 91.3</w:t>
      </w:r>
      <w:r w:rsidR="0043597D">
        <w:rPr>
          <w:rFonts w:ascii="Arial" w:eastAsia="Arial" w:hAnsi="Arial" w:cs="Arial"/>
        </w:rPr>
        <w:t xml:space="preserve"> </w:t>
      </w:r>
      <w:r w:rsidRPr="009603ED">
        <w:rPr>
          <w:rFonts w:ascii="Arial" w:eastAsia="Arial" w:hAnsi="Arial" w:cs="Arial"/>
        </w:rPr>
        <w:t>% body temperature &gt; 37</w:t>
      </w:r>
      <w:r w:rsidR="0043597D">
        <w:rPr>
          <w:rFonts w:ascii="Arial" w:eastAsia="Arial" w:hAnsi="Arial" w:cs="Arial"/>
        </w:rPr>
        <w:t xml:space="preserve"> (</w:t>
      </w:r>
      <w:r w:rsidRPr="009603ED">
        <w:rPr>
          <w:rFonts w:ascii="Arial" w:eastAsia="Arial" w:hAnsi="Arial" w:cs="Arial"/>
        </w:rPr>
        <w:t>°C</w:t>
      </w:r>
      <w:r w:rsidR="0043597D">
        <w:rPr>
          <w:rFonts w:ascii="Arial" w:eastAsia="Arial" w:hAnsi="Arial" w:cs="Arial"/>
        </w:rPr>
        <w:t>)</w:t>
      </w:r>
      <w:r w:rsidRPr="009603ED">
        <w:rPr>
          <w:rFonts w:ascii="Arial" w:eastAsia="Arial" w:hAnsi="Arial" w:cs="Arial"/>
        </w:rPr>
        <w:t>. 69.6</w:t>
      </w:r>
      <w:r w:rsidR="0043597D">
        <w:rPr>
          <w:rFonts w:ascii="Arial" w:eastAsia="Arial" w:hAnsi="Arial" w:cs="Arial"/>
        </w:rPr>
        <w:t xml:space="preserve"> </w:t>
      </w:r>
      <w:r w:rsidRPr="009603ED">
        <w:rPr>
          <w:rFonts w:ascii="Arial" w:eastAsia="Arial" w:hAnsi="Arial" w:cs="Arial"/>
        </w:rPr>
        <w:t>% heart rate &gt; 100 (bpm); 13</w:t>
      </w:r>
      <w:r w:rsidR="0043597D">
        <w:rPr>
          <w:rFonts w:ascii="Arial" w:eastAsia="Arial" w:hAnsi="Arial" w:cs="Arial"/>
        </w:rPr>
        <w:t xml:space="preserve"> </w:t>
      </w:r>
      <w:r w:rsidRPr="009603ED">
        <w:rPr>
          <w:rFonts w:ascii="Arial" w:eastAsia="Arial" w:hAnsi="Arial" w:cs="Arial"/>
        </w:rPr>
        <w:t>% systolic blood pressure &gt; 120 (mmHg); 39.1</w:t>
      </w:r>
      <w:r w:rsidR="0043597D">
        <w:rPr>
          <w:rFonts w:ascii="Arial" w:eastAsia="Arial" w:hAnsi="Arial" w:cs="Arial"/>
        </w:rPr>
        <w:t xml:space="preserve"> </w:t>
      </w:r>
      <w:r w:rsidRPr="009603ED">
        <w:rPr>
          <w:rFonts w:ascii="Arial" w:eastAsia="Arial" w:hAnsi="Arial" w:cs="Arial"/>
        </w:rPr>
        <w:t>% hemoglobin &lt; 10 (g/dL); 52.2</w:t>
      </w:r>
      <w:r w:rsidR="0043597D">
        <w:rPr>
          <w:rFonts w:ascii="Arial" w:eastAsia="Arial" w:hAnsi="Arial" w:cs="Arial"/>
        </w:rPr>
        <w:t xml:space="preserve"> </w:t>
      </w:r>
      <w:r w:rsidRPr="009603ED">
        <w:rPr>
          <w:rFonts w:ascii="Arial" w:eastAsia="Arial" w:hAnsi="Arial" w:cs="Arial"/>
        </w:rPr>
        <w:t>% platelets &lt; 150 (x103 mm3); 78.3</w:t>
      </w:r>
      <w:r w:rsidR="0043597D">
        <w:rPr>
          <w:rFonts w:ascii="Arial" w:eastAsia="Arial" w:hAnsi="Arial" w:cs="Arial"/>
        </w:rPr>
        <w:t xml:space="preserve"> </w:t>
      </w:r>
      <w:r w:rsidRPr="009603ED">
        <w:rPr>
          <w:rFonts w:ascii="Arial" w:eastAsia="Arial" w:hAnsi="Arial" w:cs="Arial"/>
        </w:rPr>
        <w:t>% bicarbonate &lt; 22 (</w:t>
      </w:r>
      <w:proofErr w:type="spellStart"/>
      <w:r w:rsidRPr="009603ED">
        <w:rPr>
          <w:rFonts w:ascii="Arial" w:eastAsia="Arial" w:hAnsi="Arial" w:cs="Arial"/>
        </w:rPr>
        <w:t>mEq</w:t>
      </w:r>
      <w:proofErr w:type="spellEnd"/>
      <w:r w:rsidRPr="009603ED">
        <w:rPr>
          <w:rFonts w:ascii="Arial" w:eastAsia="Arial" w:hAnsi="Arial" w:cs="Arial"/>
        </w:rPr>
        <w:t>/L); 39.1</w:t>
      </w:r>
      <w:r w:rsidR="0043597D">
        <w:rPr>
          <w:rFonts w:ascii="Arial" w:eastAsia="Arial" w:hAnsi="Arial" w:cs="Arial"/>
        </w:rPr>
        <w:t xml:space="preserve"> </w:t>
      </w:r>
      <w:r w:rsidRPr="009603ED">
        <w:rPr>
          <w:rFonts w:ascii="Arial" w:eastAsia="Arial" w:hAnsi="Arial" w:cs="Arial"/>
        </w:rPr>
        <w:t>% serum sodium &lt; 135 (</w:t>
      </w:r>
      <w:proofErr w:type="spellStart"/>
      <w:r w:rsidRPr="009603ED">
        <w:rPr>
          <w:rFonts w:ascii="Arial" w:eastAsia="Arial" w:hAnsi="Arial" w:cs="Arial"/>
        </w:rPr>
        <w:t>mEq</w:t>
      </w:r>
      <w:proofErr w:type="spellEnd"/>
      <w:r w:rsidRPr="009603ED">
        <w:rPr>
          <w:rFonts w:ascii="Arial" w:eastAsia="Arial" w:hAnsi="Arial" w:cs="Arial"/>
        </w:rPr>
        <w:t>/L); 52.2</w:t>
      </w:r>
      <w:r w:rsidR="0043597D">
        <w:rPr>
          <w:rFonts w:ascii="Arial" w:eastAsia="Arial" w:hAnsi="Arial" w:cs="Arial"/>
        </w:rPr>
        <w:t xml:space="preserve"> </w:t>
      </w:r>
      <w:r w:rsidRPr="009603ED">
        <w:rPr>
          <w:rFonts w:ascii="Arial" w:eastAsia="Arial" w:hAnsi="Arial" w:cs="Arial"/>
        </w:rPr>
        <w:t>% serum lactate &gt; 1.5 (mmol/L); 87</w:t>
      </w:r>
      <w:r w:rsidR="0043597D">
        <w:rPr>
          <w:rFonts w:ascii="Arial" w:eastAsia="Arial" w:hAnsi="Arial" w:cs="Arial"/>
        </w:rPr>
        <w:t xml:space="preserve"> </w:t>
      </w:r>
      <w:r w:rsidRPr="009603ED">
        <w:rPr>
          <w:rFonts w:ascii="Arial" w:eastAsia="Arial" w:hAnsi="Arial" w:cs="Arial"/>
        </w:rPr>
        <w:t>% BUN &gt; 25 (mg/dL); 69.6</w:t>
      </w:r>
      <w:r w:rsidR="0043597D">
        <w:rPr>
          <w:rFonts w:ascii="Arial" w:eastAsia="Arial" w:hAnsi="Arial" w:cs="Arial"/>
        </w:rPr>
        <w:t xml:space="preserve"> </w:t>
      </w:r>
      <w:r w:rsidRPr="009603ED">
        <w:rPr>
          <w:rFonts w:ascii="Arial" w:eastAsia="Arial" w:hAnsi="Arial" w:cs="Arial"/>
        </w:rPr>
        <w:t>% serum creatinine &gt; 1.3 (mg/dL); 47.8</w:t>
      </w:r>
      <w:r w:rsidR="0043597D">
        <w:rPr>
          <w:rFonts w:ascii="Arial" w:eastAsia="Arial" w:hAnsi="Arial" w:cs="Arial"/>
        </w:rPr>
        <w:t xml:space="preserve"> </w:t>
      </w:r>
      <w:r w:rsidRPr="009603ED">
        <w:rPr>
          <w:rFonts w:ascii="Arial" w:eastAsia="Arial" w:hAnsi="Arial" w:cs="Arial"/>
        </w:rPr>
        <w:t>% ALT &gt; 36 (U/L); 56.5</w:t>
      </w:r>
      <w:r w:rsidR="0043597D">
        <w:rPr>
          <w:rFonts w:ascii="Arial" w:eastAsia="Arial" w:hAnsi="Arial" w:cs="Arial"/>
        </w:rPr>
        <w:t xml:space="preserve"> </w:t>
      </w:r>
      <w:r w:rsidRPr="009603ED">
        <w:rPr>
          <w:rFonts w:ascii="Arial" w:eastAsia="Arial" w:hAnsi="Arial" w:cs="Arial"/>
        </w:rPr>
        <w:t>% AST &gt; 33 (U/L); 39.1</w:t>
      </w:r>
      <w:r w:rsidR="0043597D">
        <w:rPr>
          <w:rFonts w:ascii="Arial" w:eastAsia="Arial" w:hAnsi="Arial" w:cs="Arial"/>
        </w:rPr>
        <w:t xml:space="preserve"> </w:t>
      </w:r>
      <w:r w:rsidRPr="009603ED">
        <w:rPr>
          <w:rFonts w:ascii="Arial" w:eastAsia="Arial" w:hAnsi="Arial" w:cs="Arial"/>
        </w:rPr>
        <w:t>% INR &gt; 1.2; 73.9</w:t>
      </w:r>
      <w:r w:rsidR="0043597D">
        <w:rPr>
          <w:rFonts w:ascii="Arial" w:eastAsia="Arial" w:hAnsi="Arial" w:cs="Arial"/>
        </w:rPr>
        <w:t xml:space="preserve"> </w:t>
      </w:r>
      <w:r w:rsidRPr="009603ED">
        <w:rPr>
          <w:rFonts w:ascii="Arial" w:eastAsia="Arial" w:hAnsi="Arial" w:cs="Arial"/>
        </w:rPr>
        <w:t>% albumin &lt; 3.4 g/dL; and 87</w:t>
      </w:r>
      <w:r w:rsidR="0043597D">
        <w:rPr>
          <w:rFonts w:ascii="Arial" w:eastAsia="Arial" w:hAnsi="Arial" w:cs="Arial"/>
        </w:rPr>
        <w:t xml:space="preserve"> </w:t>
      </w:r>
      <w:r w:rsidRPr="009603ED">
        <w:rPr>
          <w:rFonts w:ascii="Arial" w:eastAsia="Arial" w:hAnsi="Arial" w:cs="Arial"/>
        </w:rPr>
        <w:t xml:space="preserve">% serum glucose &gt; 110 </w:t>
      </w:r>
      <w:r w:rsidR="0043597D">
        <w:rPr>
          <w:rFonts w:ascii="Arial" w:eastAsia="Arial" w:hAnsi="Arial" w:cs="Arial"/>
        </w:rPr>
        <w:t>(</w:t>
      </w:r>
      <w:r w:rsidRPr="009603ED">
        <w:rPr>
          <w:rFonts w:ascii="Arial" w:eastAsia="Arial" w:hAnsi="Arial" w:cs="Arial"/>
        </w:rPr>
        <w:t>mg/dL</w:t>
      </w:r>
      <w:r w:rsidR="0043597D">
        <w:rPr>
          <w:rFonts w:ascii="Arial" w:eastAsia="Arial" w:hAnsi="Arial" w:cs="Arial"/>
        </w:rPr>
        <w:t>)</w:t>
      </w:r>
      <w:r w:rsidRPr="009603ED">
        <w:rPr>
          <w:rFonts w:ascii="Arial" w:eastAsia="Arial" w:hAnsi="Arial" w:cs="Arial"/>
        </w:rPr>
        <w:t xml:space="preserve">. These findings are consistent with </w:t>
      </w:r>
      <w:r w:rsidR="007C117D">
        <w:rPr>
          <w:rFonts w:ascii="Arial" w:eastAsia="Arial" w:hAnsi="Arial" w:cs="Arial"/>
        </w:rPr>
        <w:t xml:space="preserve">other </w:t>
      </w:r>
      <w:r w:rsidRPr="009603ED">
        <w:rPr>
          <w:rFonts w:ascii="Arial" w:eastAsia="Arial" w:hAnsi="Arial" w:cs="Arial"/>
        </w:rPr>
        <w:t>authors (Valerio &amp; Baddour, 2023; Shi et al., 2022), who mention that sepsis of pulmonary origin presents signs and symptoms related to and triggering of a systemic inflammatory process.</w:t>
      </w:r>
    </w:p>
    <w:p w14:paraId="556E381C" w14:textId="77777777" w:rsidR="0043597D" w:rsidRPr="009603ED" w:rsidRDefault="0043597D" w:rsidP="009603ED">
      <w:pPr>
        <w:jc w:val="both"/>
        <w:rPr>
          <w:rFonts w:ascii="Arial" w:eastAsia="Arial" w:hAnsi="Arial" w:cs="Arial"/>
        </w:rPr>
      </w:pPr>
    </w:p>
    <w:p w14:paraId="006B6211" w14:textId="77777777" w:rsidR="009603ED" w:rsidRPr="009603ED" w:rsidRDefault="009603ED" w:rsidP="009603ED">
      <w:pPr>
        <w:jc w:val="both"/>
        <w:rPr>
          <w:rFonts w:ascii="Arial" w:eastAsia="Arial" w:hAnsi="Arial" w:cs="Arial"/>
        </w:rPr>
      </w:pPr>
      <w:r w:rsidRPr="009603ED">
        <w:rPr>
          <w:rFonts w:ascii="Arial" w:eastAsia="Arial" w:hAnsi="Arial" w:cs="Arial"/>
        </w:rPr>
        <w:t xml:space="preserve">The observed mortality rate [26.1%] </w:t>
      </w:r>
      <w:r w:rsidR="007C117D">
        <w:rPr>
          <w:rFonts w:ascii="Arial" w:eastAsia="Arial" w:hAnsi="Arial" w:cs="Arial"/>
        </w:rPr>
        <w:t>was consistent</w:t>
      </w:r>
      <w:r w:rsidRPr="009603ED">
        <w:rPr>
          <w:rFonts w:ascii="Arial" w:eastAsia="Arial" w:hAnsi="Arial" w:cs="Arial"/>
        </w:rPr>
        <w:t xml:space="preserve"> with that </w:t>
      </w:r>
      <w:r w:rsidR="00C23158">
        <w:rPr>
          <w:rFonts w:ascii="Arial" w:eastAsia="Arial" w:hAnsi="Arial" w:cs="Arial"/>
        </w:rPr>
        <w:t>reported by</w:t>
      </w:r>
      <w:r w:rsidRPr="009603ED">
        <w:rPr>
          <w:rFonts w:ascii="Arial" w:eastAsia="Arial" w:hAnsi="Arial" w:cs="Arial"/>
        </w:rPr>
        <w:t xml:space="preserve"> Seymour et al. (2019), who found 28-day mortality rates of 5-</w:t>
      </w:r>
      <w:r w:rsidR="0043597D">
        <w:rPr>
          <w:rFonts w:ascii="Arial" w:eastAsia="Arial" w:hAnsi="Arial" w:cs="Arial"/>
        </w:rPr>
        <w:t xml:space="preserve">40%, depending on the patients </w:t>
      </w:r>
      <w:r w:rsidRPr="009603ED">
        <w:rPr>
          <w:rFonts w:ascii="Arial" w:eastAsia="Arial" w:hAnsi="Arial" w:cs="Arial"/>
        </w:rPr>
        <w:t>clinical, hematological, and biochemical manifestations; epidemiological factors also influenced the clinical outcome. The lack of studies related to determining mortality associated with new clinical phenotypes of sepsis in the Mexican context is notable, especially those that consider only pulmonary origin, which underscores the relevance of this research proposal.</w:t>
      </w:r>
    </w:p>
    <w:p w14:paraId="329DDC20" w14:textId="77777777" w:rsidR="009603ED" w:rsidRPr="009603ED" w:rsidRDefault="009603ED" w:rsidP="009603ED">
      <w:pPr>
        <w:jc w:val="both"/>
        <w:rPr>
          <w:rFonts w:ascii="Arial" w:eastAsia="Arial" w:hAnsi="Arial" w:cs="Arial"/>
        </w:rPr>
      </w:pPr>
    </w:p>
    <w:p w14:paraId="6D128912" w14:textId="77777777" w:rsidR="000305FF" w:rsidRDefault="009603ED" w:rsidP="000305FF">
      <w:pPr>
        <w:jc w:val="both"/>
        <w:rPr>
          <w:rFonts w:ascii="Arial" w:eastAsia="Arial" w:hAnsi="Arial" w:cs="Arial"/>
        </w:rPr>
      </w:pPr>
      <w:r w:rsidRPr="009603ED">
        <w:rPr>
          <w:rFonts w:ascii="Arial" w:eastAsia="Arial" w:hAnsi="Arial" w:cs="Arial"/>
        </w:rPr>
        <w:t>Identifying organ dysfunction in patients with sepsis of pulmonary origin is crucial for improving epidemiological indicators. However, the high prevalence of risk factors and limited access to public health services in</w:t>
      </w:r>
      <w:r w:rsidR="00C51DF7">
        <w:rPr>
          <w:rFonts w:ascii="Arial" w:eastAsia="Arial" w:hAnsi="Arial" w:cs="Arial"/>
        </w:rPr>
        <w:t xml:space="preserve"> Mexico increases hospital stay, </w:t>
      </w:r>
      <w:r w:rsidRPr="009603ED">
        <w:rPr>
          <w:rFonts w:ascii="Arial" w:eastAsia="Arial" w:hAnsi="Arial" w:cs="Arial"/>
        </w:rPr>
        <w:t>use of institutional resources, morbidity, and mortality.</w:t>
      </w:r>
    </w:p>
    <w:p w14:paraId="7B216DE3" w14:textId="77777777" w:rsidR="000305FF" w:rsidRDefault="000305FF" w:rsidP="000305FF">
      <w:pPr>
        <w:jc w:val="both"/>
        <w:rPr>
          <w:rFonts w:ascii="Arial" w:eastAsia="Arial" w:hAnsi="Arial" w:cs="Arial"/>
        </w:rPr>
      </w:pPr>
    </w:p>
    <w:p w14:paraId="4C8186BD" w14:textId="77777777" w:rsidR="000305FF" w:rsidRPr="00EE7CC2" w:rsidRDefault="000305FF" w:rsidP="000305FF">
      <w:pPr>
        <w:pStyle w:val="ConcHead"/>
        <w:spacing w:after="0"/>
        <w:jc w:val="both"/>
        <w:rPr>
          <w:rFonts w:ascii="Arial" w:hAnsi="Arial" w:cs="Arial"/>
        </w:rPr>
      </w:pPr>
      <w:r w:rsidRPr="00EE7CC2">
        <w:rPr>
          <w:rFonts w:ascii="Arial" w:hAnsi="Arial" w:cs="Arial"/>
        </w:rPr>
        <w:t>5. Conclusion</w:t>
      </w:r>
    </w:p>
    <w:p w14:paraId="201AE272" w14:textId="77777777" w:rsidR="000305FF" w:rsidRDefault="000305FF" w:rsidP="000305FF">
      <w:pPr>
        <w:jc w:val="both"/>
        <w:rPr>
          <w:rFonts w:ascii="Arial" w:eastAsia="Arial" w:hAnsi="Arial" w:cs="Arial"/>
        </w:rPr>
      </w:pPr>
    </w:p>
    <w:p w14:paraId="0CE273CA" w14:textId="3B84D1C4" w:rsidR="001E724F" w:rsidRPr="00922697" w:rsidRDefault="003162A5" w:rsidP="003162A5">
      <w:pPr>
        <w:jc w:val="both"/>
        <w:rPr>
          <w:rFonts w:ascii="Arial" w:eastAsia="Arial" w:hAnsi="Arial" w:cs="Arial"/>
          <w:b/>
          <w:caps/>
          <w:color w:val="000000"/>
        </w:rPr>
      </w:pPr>
      <w:r w:rsidRPr="00377EE0">
        <w:rPr>
          <w:rFonts w:ascii="Arial" w:eastAsia="Arial" w:hAnsi="Arial" w:cs="Arial"/>
          <w:color w:val="000000"/>
          <w:highlight w:val="yellow"/>
        </w:rPr>
        <w:t xml:space="preserve">Impaired organ function is common in patients with sepsis of pulmonary origin in southeastern Mexico. The epidemiological context increases the risk of associated mortality. </w:t>
      </w:r>
      <w:r w:rsidR="0043687E" w:rsidRPr="00377EE0">
        <w:rPr>
          <w:rFonts w:ascii="Arial" w:eastAsia="Arial" w:hAnsi="Arial" w:cs="Arial"/>
          <w:color w:val="000000"/>
          <w:highlight w:val="yellow"/>
        </w:rPr>
        <w:t>It is important to continue with similar research strengthen clinical decision-making, resulting in lower associated morbidity and mortality.</w:t>
      </w:r>
    </w:p>
    <w:p w14:paraId="6680B597" w14:textId="77777777" w:rsidR="009603ED" w:rsidRPr="00922697" w:rsidRDefault="009603ED" w:rsidP="000305FF">
      <w:pPr>
        <w:pStyle w:val="ConcHead"/>
        <w:spacing w:after="0"/>
        <w:jc w:val="both"/>
        <w:rPr>
          <w:rFonts w:ascii="Arial" w:hAnsi="Arial" w:cs="Arial"/>
          <w:b w:val="0"/>
          <w:sz w:val="20"/>
        </w:rPr>
      </w:pPr>
    </w:p>
    <w:p w14:paraId="29C78203" w14:textId="77777777" w:rsidR="00DF364F" w:rsidRDefault="00DF364F" w:rsidP="000305FF">
      <w:pPr>
        <w:pStyle w:val="ReferHead"/>
        <w:spacing w:after="0"/>
        <w:jc w:val="both"/>
        <w:rPr>
          <w:rFonts w:ascii="Arial" w:hAnsi="Arial" w:cs="Arial"/>
          <w:bCs/>
        </w:rPr>
      </w:pPr>
    </w:p>
    <w:p w14:paraId="377E0D92" w14:textId="4D39498D" w:rsidR="00BD7246" w:rsidRPr="00922697" w:rsidRDefault="00BD7246" w:rsidP="000305FF">
      <w:pPr>
        <w:pStyle w:val="ReferHead"/>
        <w:spacing w:after="0"/>
        <w:jc w:val="both"/>
        <w:rPr>
          <w:rFonts w:ascii="Arial" w:hAnsi="Arial" w:cs="Arial"/>
          <w:bCs/>
        </w:rPr>
      </w:pPr>
      <w:r w:rsidRPr="00922697">
        <w:rPr>
          <w:rFonts w:ascii="Arial" w:hAnsi="Arial" w:cs="Arial"/>
          <w:bCs/>
        </w:rPr>
        <w:t>Consent</w:t>
      </w:r>
    </w:p>
    <w:p w14:paraId="79DB5BE6" w14:textId="77777777" w:rsidR="00BD7246" w:rsidRPr="00922697" w:rsidRDefault="00BD7246" w:rsidP="000305FF">
      <w:pPr>
        <w:pStyle w:val="ReferHead"/>
        <w:spacing w:after="0"/>
        <w:jc w:val="both"/>
        <w:rPr>
          <w:rFonts w:ascii="Arial" w:hAnsi="Arial" w:cs="Arial"/>
          <w:bCs/>
        </w:rPr>
      </w:pPr>
    </w:p>
    <w:p w14:paraId="6F6179CB" w14:textId="77777777" w:rsidR="00BD7246" w:rsidRPr="00922697" w:rsidRDefault="00BD7246" w:rsidP="000305FF">
      <w:pPr>
        <w:pStyle w:val="ReferHead"/>
        <w:spacing w:after="0"/>
        <w:jc w:val="both"/>
        <w:rPr>
          <w:rFonts w:ascii="Arial" w:hAnsi="Arial" w:cs="Arial"/>
          <w:b w:val="0"/>
          <w:caps w:val="0"/>
          <w:sz w:val="20"/>
        </w:rPr>
      </w:pPr>
      <w:r w:rsidRPr="00922697">
        <w:rPr>
          <w:rFonts w:ascii="Arial" w:hAnsi="Arial" w:cs="Arial"/>
          <w:b w:val="0"/>
          <w:caps w:val="0"/>
          <w:sz w:val="20"/>
        </w:rPr>
        <w:t>All authors declare that written informed consent was obtained from the patient</w:t>
      </w:r>
      <w:r w:rsidR="00402521" w:rsidRPr="00922697">
        <w:rPr>
          <w:rFonts w:ascii="Arial" w:hAnsi="Arial" w:cs="Arial"/>
          <w:b w:val="0"/>
          <w:caps w:val="0"/>
          <w:sz w:val="20"/>
        </w:rPr>
        <w:t>s</w:t>
      </w:r>
      <w:r w:rsidRPr="00922697">
        <w:rPr>
          <w:rFonts w:ascii="Arial" w:hAnsi="Arial" w:cs="Arial"/>
          <w:b w:val="0"/>
          <w:caps w:val="0"/>
          <w:sz w:val="20"/>
        </w:rPr>
        <w:t xml:space="preserve"> for publication. </w:t>
      </w:r>
    </w:p>
    <w:p w14:paraId="098A48AD" w14:textId="77777777" w:rsidR="00BD7246" w:rsidRPr="00922697" w:rsidRDefault="00BD7246" w:rsidP="000305FF">
      <w:pPr>
        <w:pStyle w:val="ReferHead"/>
        <w:spacing w:after="0"/>
        <w:jc w:val="both"/>
        <w:rPr>
          <w:rFonts w:ascii="Arial" w:hAnsi="Arial" w:cs="Arial"/>
          <w:b w:val="0"/>
          <w:caps w:val="0"/>
          <w:sz w:val="20"/>
        </w:rPr>
      </w:pPr>
    </w:p>
    <w:p w14:paraId="1912C5EE" w14:textId="77777777" w:rsidR="00BD7246" w:rsidRPr="00922697" w:rsidRDefault="00BD7246" w:rsidP="000305FF">
      <w:pPr>
        <w:pStyle w:val="ReferHead"/>
        <w:spacing w:after="0"/>
        <w:jc w:val="both"/>
        <w:rPr>
          <w:rFonts w:ascii="Arial" w:hAnsi="Arial" w:cs="Arial"/>
          <w:bCs/>
        </w:rPr>
      </w:pPr>
      <w:r w:rsidRPr="00922697">
        <w:rPr>
          <w:rFonts w:ascii="Arial" w:hAnsi="Arial" w:cs="Arial"/>
          <w:bCs/>
        </w:rPr>
        <w:t>Ethical approval</w:t>
      </w:r>
    </w:p>
    <w:p w14:paraId="003FEDF8" w14:textId="77777777" w:rsidR="00BD7246" w:rsidRPr="00922697" w:rsidRDefault="00BD7246" w:rsidP="000305FF">
      <w:pPr>
        <w:pStyle w:val="ReferHead"/>
        <w:spacing w:after="0"/>
        <w:jc w:val="both"/>
        <w:rPr>
          <w:rFonts w:ascii="Arial" w:hAnsi="Arial" w:cs="Arial"/>
          <w:bCs/>
          <w:sz w:val="20"/>
        </w:rPr>
      </w:pPr>
    </w:p>
    <w:p w14:paraId="2F98E08B" w14:textId="079F324D" w:rsidR="00BD7246" w:rsidRDefault="00BD7246" w:rsidP="000305FF">
      <w:pPr>
        <w:pStyle w:val="ReferHead"/>
        <w:spacing w:after="0"/>
        <w:jc w:val="both"/>
        <w:rPr>
          <w:rFonts w:ascii="Arial" w:hAnsi="Arial" w:cs="Arial"/>
          <w:b w:val="0"/>
          <w:caps w:val="0"/>
          <w:sz w:val="20"/>
        </w:rPr>
      </w:pPr>
      <w:r w:rsidRPr="00922697">
        <w:rPr>
          <w:rFonts w:ascii="Arial" w:hAnsi="Arial" w:cs="Arial"/>
          <w:b w:val="0"/>
          <w:caps w:val="0"/>
          <w:sz w:val="20"/>
        </w:rPr>
        <w:t>The research work was examined and approved by the hospital research and ethics committee.</w:t>
      </w:r>
    </w:p>
    <w:p w14:paraId="53DC1646" w14:textId="77777777" w:rsidR="00EA5026" w:rsidRDefault="00EA5026" w:rsidP="000305FF">
      <w:pPr>
        <w:pStyle w:val="ReferHead"/>
        <w:spacing w:after="0"/>
        <w:jc w:val="both"/>
        <w:rPr>
          <w:rFonts w:ascii="Arial" w:hAnsi="Arial" w:cs="Arial"/>
          <w:b w:val="0"/>
          <w:caps w:val="0"/>
          <w:sz w:val="20"/>
        </w:rPr>
      </w:pPr>
    </w:p>
    <w:p w14:paraId="3D4F660E" w14:textId="77777777" w:rsidR="00EA5026" w:rsidRDefault="00EA5026" w:rsidP="000C5199">
      <w:pPr>
        <w:rPr>
          <w:highlight w:val="yellow"/>
        </w:rPr>
      </w:pPr>
    </w:p>
    <w:p w14:paraId="64AE4A03" w14:textId="77777777" w:rsidR="00EA5026" w:rsidRPr="00EA5026" w:rsidRDefault="00EA5026" w:rsidP="00EA5026">
      <w:pPr>
        <w:rPr>
          <w:highlight w:val="yellow"/>
        </w:rPr>
      </w:pPr>
      <w:r w:rsidRPr="00EA5026">
        <w:rPr>
          <w:highlight w:val="yellow"/>
        </w:rPr>
        <w:t>Disclaimer (Artificial intelligence)</w:t>
      </w:r>
    </w:p>
    <w:p w14:paraId="0D5A412C" w14:textId="77777777" w:rsidR="00EA5026" w:rsidRPr="00EA5026" w:rsidRDefault="00EA5026" w:rsidP="00EA5026">
      <w:pPr>
        <w:rPr>
          <w:highlight w:val="yellow"/>
        </w:rPr>
      </w:pPr>
    </w:p>
    <w:p w14:paraId="2A0AECC5" w14:textId="5A82F4AC" w:rsidR="00EA5026" w:rsidRPr="00EA5026" w:rsidRDefault="00EA5026" w:rsidP="00EA5026">
      <w:pPr>
        <w:rPr>
          <w:highlight w:val="yellow"/>
        </w:rPr>
      </w:pPr>
      <w:r w:rsidRPr="00EA5026">
        <w:rPr>
          <w:highlight w:val="yellow"/>
        </w:rPr>
        <w:t>Authors hereby declare that NO generative AI technologies such as Large Language Models (</w:t>
      </w:r>
      <w:proofErr w:type="spellStart"/>
      <w:r w:rsidRPr="00EA5026">
        <w:rPr>
          <w:highlight w:val="yellow"/>
        </w:rPr>
        <w:t>ChatGPT</w:t>
      </w:r>
      <w:proofErr w:type="spellEnd"/>
      <w:r w:rsidRPr="00EA5026">
        <w:rPr>
          <w:highlight w:val="yellow"/>
        </w:rPr>
        <w:t>, COPILOT, etc.) and text-to-image generators have been used during the writing or editing of this manuscript.</w:t>
      </w:r>
    </w:p>
    <w:p w14:paraId="01595612" w14:textId="77777777" w:rsidR="000C5199" w:rsidRDefault="000C5199" w:rsidP="000305FF">
      <w:pPr>
        <w:pStyle w:val="ReferHead"/>
        <w:spacing w:after="0"/>
        <w:jc w:val="both"/>
        <w:rPr>
          <w:rFonts w:ascii="Arial" w:hAnsi="Arial" w:cs="Arial"/>
          <w:b w:val="0"/>
          <w:caps w:val="0"/>
          <w:sz w:val="20"/>
        </w:rPr>
      </w:pPr>
      <w:bookmarkStart w:id="0" w:name="_GoBack"/>
      <w:bookmarkEnd w:id="0"/>
    </w:p>
    <w:p w14:paraId="16EAF6BD" w14:textId="77777777" w:rsidR="00EB7516" w:rsidRDefault="00EB7516" w:rsidP="000305FF">
      <w:pPr>
        <w:pStyle w:val="ReferHead"/>
        <w:spacing w:after="0"/>
        <w:jc w:val="both"/>
        <w:rPr>
          <w:rFonts w:ascii="Arial" w:hAnsi="Arial" w:cs="Arial"/>
          <w:b w:val="0"/>
          <w:caps w:val="0"/>
          <w:sz w:val="20"/>
        </w:rPr>
      </w:pPr>
    </w:p>
    <w:p w14:paraId="4F08620A" w14:textId="77777777" w:rsidR="00BD7246" w:rsidRPr="00AB1023" w:rsidRDefault="00BD7246" w:rsidP="000305FF">
      <w:pPr>
        <w:pStyle w:val="ReferHead"/>
        <w:spacing w:after="0"/>
        <w:jc w:val="both"/>
        <w:rPr>
          <w:rFonts w:ascii="Arial" w:hAnsi="Arial" w:cs="Arial"/>
          <w:lang w:val="es-MX"/>
        </w:rPr>
      </w:pPr>
      <w:r w:rsidRPr="00AB1023">
        <w:rPr>
          <w:rFonts w:ascii="Arial" w:hAnsi="Arial" w:cs="Arial"/>
          <w:lang w:val="es-MX"/>
        </w:rPr>
        <w:t>References</w:t>
      </w:r>
    </w:p>
    <w:p w14:paraId="0FA5E803" w14:textId="77777777" w:rsidR="00BD7246" w:rsidRPr="00AB1023" w:rsidRDefault="00BD7246" w:rsidP="000305FF">
      <w:pPr>
        <w:pStyle w:val="Body"/>
        <w:spacing w:after="0"/>
        <w:rPr>
          <w:rFonts w:ascii="Arial" w:hAnsi="Arial" w:cs="Arial"/>
          <w:lang w:val="es-MX"/>
        </w:rPr>
      </w:pPr>
    </w:p>
    <w:p w14:paraId="6AC26E6A" w14:textId="77777777" w:rsidR="00EB7516" w:rsidRPr="00EB7516" w:rsidRDefault="00EB7516" w:rsidP="000305FF">
      <w:pPr>
        <w:pStyle w:val="Body"/>
        <w:spacing w:after="0"/>
        <w:rPr>
          <w:rFonts w:ascii="Arial" w:hAnsi="Arial" w:cs="Arial"/>
          <w:lang w:val="es-MX"/>
        </w:rPr>
      </w:pPr>
      <w:proofErr w:type="spellStart"/>
      <w:r w:rsidRPr="00AB1023">
        <w:rPr>
          <w:rFonts w:ascii="Arial" w:hAnsi="Arial" w:cs="Arial"/>
          <w:lang w:val="es-MX"/>
        </w:rPr>
        <w:t>Arvaniti</w:t>
      </w:r>
      <w:proofErr w:type="spellEnd"/>
      <w:r w:rsidRPr="00AB1023">
        <w:rPr>
          <w:rFonts w:ascii="Arial" w:hAnsi="Arial" w:cs="Arial"/>
          <w:lang w:val="es-MX"/>
        </w:rPr>
        <w:t xml:space="preserve">, K., </w:t>
      </w:r>
      <w:proofErr w:type="spellStart"/>
      <w:r w:rsidRPr="00AB1023">
        <w:rPr>
          <w:rFonts w:ascii="Arial" w:hAnsi="Arial" w:cs="Arial"/>
          <w:lang w:val="es-MX"/>
        </w:rPr>
        <w:t>Dimopoulos</w:t>
      </w:r>
      <w:proofErr w:type="spellEnd"/>
      <w:r w:rsidRPr="00AB1023">
        <w:rPr>
          <w:rFonts w:ascii="Arial" w:hAnsi="Arial" w:cs="Arial"/>
          <w:lang w:val="es-MX"/>
        </w:rPr>
        <w:t xml:space="preserve">, G., Antonelli, M., et al. </w:t>
      </w:r>
      <w:r w:rsidRPr="00EB7516">
        <w:rPr>
          <w:rFonts w:ascii="Arial" w:hAnsi="Arial" w:cs="Arial"/>
        </w:rPr>
        <w:t xml:space="preserve">(2022). Epidemiology and age-related mortality in critically ill patients with intra-abdominal infection or sepsis: an international cohort study. </w:t>
      </w:r>
      <w:r w:rsidRPr="00EB7516">
        <w:rPr>
          <w:rFonts w:ascii="Arial" w:hAnsi="Arial" w:cs="Arial"/>
          <w:lang w:val="es-MX"/>
        </w:rPr>
        <w:t xml:space="preserve">International Journal of </w:t>
      </w:r>
      <w:proofErr w:type="spellStart"/>
      <w:r w:rsidRPr="00EB7516">
        <w:rPr>
          <w:rFonts w:ascii="Arial" w:hAnsi="Arial" w:cs="Arial"/>
          <w:lang w:val="es-MX"/>
        </w:rPr>
        <w:t>Antimicrobial</w:t>
      </w:r>
      <w:proofErr w:type="spellEnd"/>
      <w:r w:rsidRPr="00EB7516">
        <w:rPr>
          <w:rFonts w:ascii="Arial" w:hAnsi="Arial" w:cs="Arial"/>
          <w:lang w:val="es-MX"/>
        </w:rPr>
        <w:t xml:space="preserve"> </w:t>
      </w:r>
      <w:proofErr w:type="spellStart"/>
      <w:r w:rsidRPr="00EB7516">
        <w:rPr>
          <w:rFonts w:ascii="Arial" w:hAnsi="Arial" w:cs="Arial"/>
          <w:lang w:val="es-MX"/>
        </w:rPr>
        <w:t>Agents</w:t>
      </w:r>
      <w:proofErr w:type="spellEnd"/>
      <w:r w:rsidRPr="00EB7516">
        <w:rPr>
          <w:rFonts w:ascii="Arial" w:hAnsi="Arial" w:cs="Arial"/>
          <w:lang w:val="es-MX"/>
        </w:rPr>
        <w:t>. 60(1):106591. DOI: 10.1016/j.ijantimicag.2022.106591.</w:t>
      </w:r>
    </w:p>
    <w:p w14:paraId="4012C29B" w14:textId="77777777" w:rsidR="005C192F" w:rsidRDefault="005C192F" w:rsidP="000305FF">
      <w:pPr>
        <w:pStyle w:val="Body"/>
        <w:spacing w:after="0"/>
        <w:rPr>
          <w:rFonts w:ascii="Arial" w:hAnsi="Arial" w:cs="Arial"/>
          <w:lang w:val="es-MX"/>
        </w:rPr>
      </w:pPr>
    </w:p>
    <w:p w14:paraId="2AC095F1" w14:textId="26ABC629" w:rsidR="00EB7516" w:rsidRPr="00EB7516" w:rsidRDefault="00EB7516" w:rsidP="000305FF">
      <w:pPr>
        <w:pStyle w:val="Body"/>
        <w:spacing w:after="0"/>
        <w:rPr>
          <w:rFonts w:ascii="Arial" w:hAnsi="Arial" w:cs="Arial"/>
        </w:rPr>
      </w:pPr>
      <w:r w:rsidRPr="00EB7516">
        <w:rPr>
          <w:rFonts w:ascii="Arial" w:hAnsi="Arial" w:cs="Arial"/>
          <w:lang w:val="es-MX"/>
        </w:rPr>
        <w:t>Comisión Nacional de Arbitraje Médico (CONAMED) y Organización Panamericana de la Salud (OPS). (2018)</w:t>
      </w:r>
      <w:r w:rsidR="00391E27">
        <w:rPr>
          <w:rFonts w:ascii="Arial" w:hAnsi="Arial" w:cs="Arial"/>
          <w:lang w:val="es-MX"/>
        </w:rPr>
        <w:t xml:space="preserve">. </w:t>
      </w:r>
      <w:r w:rsidRPr="00EB7516">
        <w:rPr>
          <w:rFonts w:ascii="Arial" w:hAnsi="Arial" w:cs="Arial"/>
          <w:lang w:val="es-MX"/>
        </w:rPr>
        <w:t xml:space="preserve"> La sepsis como causas de egreso hospitalario en México; una revisión retrospectiva 2008-2015. </w:t>
      </w:r>
      <w:r w:rsidRPr="00391E27">
        <w:rPr>
          <w:rFonts w:ascii="Arial" w:hAnsi="Arial" w:cs="Arial"/>
          <w:lang w:val="es-MX"/>
        </w:rPr>
        <w:t>[</w:t>
      </w:r>
      <w:proofErr w:type="spellStart"/>
      <w:r w:rsidRPr="00391E27">
        <w:rPr>
          <w:rFonts w:ascii="Arial" w:hAnsi="Arial" w:cs="Arial"/>
          <w:lang w:val="es-MX"/>
        </w:rPr>
        <w:t>Accesed</w:t>
      </w:r>
      <w:proofErr w:type="spellEnd"/>
      <w:r w:rsidRPr="00391E27">
        <w:rPr>
          <w:rFonts w:ascii="Arial" w:hAnsi="Arial" w:cs="Arial"/>
          <w:lang w:val="es-MX"/>
        </w:rPr>
        <w:t xml:space="preserve"> </w:t>
      </w:r>
      <w:proofErr w:type="spellStart"/>
      <w:r w:rsidRPr="00391E27">
        <w:rPr>
          <w:rFonts w:ascii="Arial" w:hAnsi="Arial" w:cs="Arial"/>
          <w:lang w:val="es-MX"/>
        </w:rPr>
        <w:t>December</w:t>
      </w:r>
      <w:proofErr w:type="spellEnd"/>
      <w:r w:rsidRPr="00391E27">
        <w:rPr>
          <w:rFonts w:ascii="Arial" w:hAnsi="Arial" w:cs="Arial"/>
          <w:lang w:val="es-MX"/>
        </w:rPr>
        <w:t xml:space="preserve"> 2025]. [https://www.researchgate.net/publication/337843531_La_sepsis_como_causas_de_egreso_hospitalario_en_Me</w:t>
      </w:r>
      <w:r w:rsidRPr="00EB7516">
        <w:rPr>
          <w:rFonts w:ascii="Arial" w:hAnsi="Arial" w:cs="Arial"/>
        </w:rPr>
        <w:t>xico_una_revision_retrospectiva_2008-2015].</w:t>
      </w:r>
    </w:p>
    <w:p w14:paraId="39450C07" w14:textId="77777777" w:rsidR="005C192F" w:rsidRPr="001665F4" w:rsidRDefault="005C192F" w:rsidP="000305FF">
      <w:pPr>
        <w:pStyle w:val="Body"/>
        <w:spacing w:after="0"/>
        <w:rPr>
          <w:rFonts w:ascii="Arial" w:hAnsi="Arial" w:cs="Arial"/>
        </w:rPr>
      </w:pPr>
    </w:p>
    <w:p w14:paraId="28EB3B57" w14:textId="77777777" w:rsidR="00EB7516" w:rsidRPr="00EA7130" w:rsidRDefault="00EB7516" w:rsidP="000305FF">
      <w:pPr>
        <w:pStyle w:val="Body"/>
        <w:spacing w:after="0"/>
        <w:rPr>
          <w:rFonts w:ascii="Arial" w:hAnsi="Arial" w:cs="Arial"/>
        </w:rPr>
      </w:pPr>
      <w:r w:rsidRPr="00EB7516">
        <w:rPr>
          <w:rFonts w:ascii="Arial" w:hAnsi="Arial" w:cs="Arial"/>
          <w:lang w:val="es-MX"/>
        </w:rPr>
        <w:t xml:space="preserve">Egi, M., Ogura, H., Yatabe, T., et al. </w:t>
      </w:r>
      <w:r w:rsidRPr="00EB7516">
        <w:rPr>
          <w:rFonts w:ascii="Arial" w:hAnsi="Arial" w:cs="Arial"/>
        </w:rPr>
        <w:t xml:space="preserve">(2021). The Japanese clinical practice guidelines for management of sepsis and septic shock 2020 (J-SSCG 2020). Journal of intensive care. </w:t>
      </w:r>
      <w:r w:rsidRPr="00EA7130">
        <w:rPr>
          <w:rFonts w:ascii="Arial" w:hAnsi="Arial" w:cs="Arial"/>
        </w:rPr>
        <w:t>9:1-144. DOI: 10.1186/s40560-021-00555-7.</w:t>
      </w:r>
    </w:p>
    <w:p w14:paraId="6350476E" w14:textId="77777777" w:rsidR="005C192F" w:rsidRPr="00EA7130" w:rsidRDefault="005C192F" w:rsidP="000305FF">
      <w:pPr>
        <w:pStyle w:val="Body"/>
        <w:spacing w:after="0"/>
        <w:rPr>
          <w:rFonts w:ascii="Arial" w:hAnsi="Arial" w:cs="Arial"/>
        </w:rPr>
      </w:pPr>
    </w:p>
    <w:p w14:paraId="19D12419" w14:textId="77777777" w:rsidR="00EB7516" w:rsidRPr="00EA7130" w:rsidRDefault="00EB7516" w:rsidP="000305FF">
      <w:pPr>
        <w:pStyle w:val="Body"/>
        <w:spacing w:after="0"/>
        <w:rPr>
          <w:rFonts w:ascii="Arial" w:hAnsi="Arial" w:cs="Arial"/>
          <w:lang w:val="pt-BR"/>
        </w:rPr>
      </w:pPr>
      <w:proofErr w:type="spellStart"/>
      <w:r w:rsidRPr="00EA7130">
        <w:rPr>
          <w:rFonts w:ascii="Arial" w:hAnsi="Arial" w:cs="Arial"/>
        </w:rPr>
        <w:t>Gorordo</w:t>
      </w:r>
      <w:proofErr w:type="spellEnd"/>
      <w:r w:rsidRPr="00EA7130">
        <w:rPr>
          <w:rFonts w:ascii="Arial" w:hAnsi="Arial" w:cs="Arial"/>
        </w:rPr>
        <w:t xml:space="preserve">, D. L. A., Merinos, S. G., Estrada, E. R. A., et al. </w:t>
      </w:r>
      <w:r w:rsidRPr="00AB1023">
        <w:rPr>
          <w:rFonts w:ascii="Arial" w:hAnsi="Arial" w:cs="Arial"/>
          <w:lang w:val="es-MX"/>
        </w:rPr>
        <w:t xml:space="preserve">(2021). Sepsis y choque séptico en los servicios de urgencias de México: estudio multicéntrico de prevalencia puntual. </w:t>
      </w:r>
      <w:r w:rsidRPr="00EB7516">
        <w:rPr>
          <w:rFonts w:ascii="Arial" w:hAnsi="Arial" w:cs="Arial"/>
          <w:lang w:val="pt-BR"/>
        </w:rPr>
        <w:t>Gaceta médica de México. 156(6):495-501. DOI: 10.24875/GMM.19005468.</w:t>
      </w:r>
    </w:p>
    <w:p w14:paraId="0762A475" w14:textId="77777777" w:rsidR="005C192F" w:rsidRDefault="005C192F" w:rsidP="000305FF">
      <w:pPr>
        <w:pStyle w:val="Body"/>
        <w:spacing w:after="0"/>
        <w:rPr>
          <w:rFonts w:ascii="Arial" w:hAnsi="Arial" w:cs="Arial"/>
          <w:lang w:val="pt-BR"/>
        </w:rPr>
      </w:pPr>
    </w:p>
    <w:p w14:paraId="6E4BDA04" w14:textId="77777777" w:rsidR="00EB7516" w:rsidRDefault="00EB7516" w:rsidP="000305FF">
      <w:pPr>
        <w:pStyle w:val="Body"/>
        <w:spacing w:after="0"/>
        <w:rPr>
          <w:rFonts w:ascii="Arial" w:hAnsi="Arial" w:cs="Arial"/>
        </w:rPr>
      </w:pPr>
      <w:r w:rsidRPr="00EA7130">
        <w:rPr>
          <w:rFonts w:ascii="Arial" w:hAnsi="Arial" w:cs="Arial"/>
          <w:lang w:val="pt-BR"/>
        </w:rPr>
        <w:t xml:space="preserve">Hollenberg, S. M., Singer, M. (2021). </w:t>
      </w:r>
      <w:r w:rsidRPr="00EB7516">
        <w:rPr>
          <w:rFonts w:ascii="Arial" w:hAnsi="Arial" w:cs="Arial"/>
        </w:rPr>
        <w:t>Pathophysiology of sepsis-induced cardiomyopathy. Nature Reviews Cardiology. 8(6):424-434. DOI: 10.1038/s41569-020-00492-2.</w:t>
      </w:r>
    </w:p>
    <w:p w14:paraId="64319DD7" w14:textId="77777777" w:rsidR="00EE47EB" w:rsidRDefault="00EE47EB" w:rsidP="000305FF">
      <w:pPr>
        <w:pStyle w:val="Body"/>
        <w:spacing w:after="0"/>
        <w:rPr>
          <w:rFonts w:ascii="Arial" w:hAnsi="Arial" w:cs="Arial"/>
        </w:rPr>
      </w:pPr>
    </w:p>
    <w:p w14:paraId="7967F942" w14:textId="69619F5A" w:rsidR="00EE47EB" w:rsidRPr="00EE47EB" w:rsidRDefault="00EE47EB" w:rsidP="00EE47EB">
      <w:pPr>
        <w:pStyle w:val="Body"/>
        <w:rPr>
          <w:rFonts w:ascii="Arial" w:hAnsi="Arial" w:cs="Arial"/>
          <w:highlight w:val="yellow"/>
        </w:rPr>
      </w:pPr>
      <w:r w:rsidRPr="00EE47EB">
        <w:rPr>
          <w:rFonts w:ascii="Arial" w:hAnsi="Arial" w:cs="Arial"/>
          <w:highlight w:val="yellow"/>
          <w:lang w:val="es-MX"/>
        </w:rPr>
        <w:t>Instituto Nacional de Estadística y Geografía (</w:t>
      </w:r>
      <w:r w:rsidR="00ED0571">
        <w:rPr>
          <w:rFonts w:ascii="Arial" w:hAnsi="Arial" w:cs="Arial"/>
          <w:highlight w:val="yellow"/>
          <w:lang w:val="es-MX"/>
        </w:rPr>
        <w:t>INRGI</w:t>
      </w:r>
      <w:r w:rsidRPr="00EE47EB">
        <w:rPr>
          <w:rFonts w:ascii="Arial" w:hAnsi="Arial" w:cs="Arial"/>
          <w:highlight w:val="yellow"/>
          <w:lang w:val="es-MX"/>
        </w:rPr>
        <w:t xml:space="preserve">). (2020). Población total (Número de habitantes) 2020. </w:t>
      </w:r>
      <w:r w:rsidRPr="00EE47EB">
        <w:rPr>
          <w:rFonts w:ascii="Arial" w:hAnsi="Arial" w:cs="Arial"/>
          <w:highlight w:val="yellow"/>
        </w:rPr>
        <w:t>[</w:t>
      </w:r>
      <w:proofErr w:type="spellStart"/>
      <w:r w:rsidRPr="00EE47EB">
        <w:rPr>
          <w:rFonts w:ascii="Arial" w:hAnsi="Arial" w:cs="Arial"/>
          <w:highlight w:val="yellow"/>
        </w:rPr>
        <w:t>Accesed</w:t>
      </w:r>
      <w:proofErr w:type="spellEnd"/>
      <w:r w:rsidRPr="00EE47EB">
        <w:rPr>
          <w:rFonts w:ascii="Arial" w:hAnsi="Arial" w:cs="Arial"/>
          <w:highlight w:val="yellow"/>
        </w:rPr>
        <w:t xml:space="preserve"> December 2025]. [https://cuentame.inegi.org.mx/poblacion/habitantes.aspx?tema=P]</w:t>
      </w:r>
    </w:p>
    <w:p w14:paraId="5E812954" w14:textId="6D16FB38" w:rsidR="00EE47EB" w:rsidRPr="00EB7516" w:rsidRDefault="00EE47EB" w:rsidP="00EE47EB">
      <w:pPr>
        <w:pStyle w:val="Body"/>
        <w:spacing w:after="0"/>
        <w:rPr>
          <w:rFonts w:ascii="Arial" w:hAnsi="Arial" w:cs="Arial"/>
        </w:rPr>
      </w:pPr>
      <w:r w:rsidRPr="00EE47EB">
        <w:rPr>
          <w:rFonts w:ascii="Arial" w:hAnsi="Arial" w:cs="Arial"/>
          <w:highlight w:val="yellow"/>
          <w:lang w:val="es-MX"/>
        </w:rPr>
        <w:t>Instituto Nacional de Estadística y Geografía (</w:t>
      </w:r>
      <w:r w:rsidR="00ED0571">
        <w:rPr>
          <w:rFonts w:ascii="Arial" w:hAnsi="Arial" w:cs="Arial"/>
          <w:highlight w:val="yellow"/>
          <w:lang w:val="es-MX"/>
        </w:rPr>
        <w:t>INEGI</w:t>
      </w:r>
      <w:r w:rsidRPr="00EE47EB">
        <w:rPr>
          <w:rFonts w:ascii="Arial" w:hAnsi="Arial" w:cs="Arial"/>
          <w:highlight w:val="yellow"/>
          <w:lang w:val="es-MX"/>
        </w:rPr>
        <w:t xml:space="preserve">). (2021). Estadísticas a propósito del Día Mundial de la Diabetes.  </w:t>
      </w:r>
      <w:r w:rsidRPr="00EE47EB">
        <w:rPr>
          <w:rFonts w:ascii="Arial" w:hAnsi="Arial" w:cs="Arial"/>
          <w:highlight w:val="yellow"/>
        </w:rPr>
        <w:t>[</w:t>
      </w:r>
      <w:proofErr w:type="spellStart"/>
      <w:r w:rsidRPr="00EE47EB">
        <w:rPr>
          <w:rFonts w:ascii="Arial" w:hAnsi="Arial" w:cs="Arial"/>
          <w:highlight w:val="yellow"/>
        </w:rPr>
        <w:t>Accesed</w:t>
      </w:r>
      <w:proofErr w:type="spellEnd"/>
      <w:r w:rsidRPr="00EE47EB">
        <w:rPr>
          <w:rFonts w:ascii="Arial" w:hAnsi="Arial" w:cs="Arial"/>
          <w:highlight w:val="yellow"/>
        </w:rPr>
        <w:t xml:space="preserve"> December 2025]. [https://www.inegi.org.mx/contenidos/saladeprensa/aproposito/2021/EAP_Diabetes2021.pdf]</w:t>
      </w:r>
    </w:p>
    <w:p w14:paraId="6EF7D086" w14:textId="77777777" w:rsidR="005C192F" w:rsidRDefault="005C192F" w:rsidP="000305FF">
      <w:pPr>
        <w:pStyle w:val="Body"/>
        <w:spacing w:after="0"/>
        <w:rPr>
          <w:rFonts w:ascii="Arial" w:hAnsi="Arial" w:cs="Arial"/>
        </w:rPr>
      </w:pPr>
    </w:p>
    <w:p w14:paraId="3407954C" w14:textId="77777777" w:rsidR="00EB7516" w:rsidRPr="00AB1023" w:rsidRDefault="00EB7516" w:rsidP="000305FF">
      <w:pPr>
        <w:pStyle w:val="Body"/>
        <w:spacing w:after="0"/>
        <w:rPr>
          <w:rFonts w:ascii="Arial" w:hAnsi="Arial" w:cs="Arial"/>
          <w:lang w:val="es-MX"/>
        </w:rPr>
      </w:pPr>
      <w:proofErr w:type="spellStart"/>
      <w:r w:rsidRPr="00EB7516">
        <w:rPr>
          <w:rFonts w:ascii="Arial" w:hAnsi="Arial" w:cs="Arial"/>
        </w:rPr>
        <w:lastRenderedPageBreak/>
        <w:t>Mirijello</w:t>
      </w:r>
      <w:proofErr w:type="spellEnd"/>
      <w:r w:rsidRPr="00EB7516">
        <w:rPr>
          <w:rFonts w:ascii="Arial" w:hAnsi="Arial" w:cs="Arial"/>
        </w:rPr>
        <w:t xml:space="preserve">, A., </w:t>
      </w:r>
      <w:proofErr w:type="spellStart"/>
      <w:r w:rsidRPr="00EB7516">
        <w:rPr>
          <w:rFonts w:ascii="Arial" w:hAnsi="Arial" w:cs="Arial"/>
        </w:rPr>
        <w:t>Tosoni</w:t>
      </w:r>
      <w:proofErr w:type="spellEnd"/>
      <w:r w:rsidRPr="00EB7516">
        <w:rPr>
          <w:rFonts w:ascii="Arial" w:hAnsi="Arial" w:cs="Arial"/>
        </w:rPr>
        <w:t xml:space="preserve">, A. (2020). New strategies for treatment of sepsis. </w:t>
      </w:r>
      <w:r w:rsidRPr="00AB1023">
        <w:rPr>
          <w:rFonts w:ascii="Arial" w:hAnsi="Arial" w:cs="Arial"/>
          <w:lang w:val="es-MX"/>
        </w:rPr>
        <w:t>Medicina. 56(10):527. DOI: 10.3390/medicina56100527.</w:t>
      </w:r>
    </w:p>
    <w:p w14:paraId="21F75EC0" w14:textId="77777777" w:rsidR="005C192F" w:rsidRPr="00AB1023" w:rsidRDefault="005C192F" w:rsidP="000305FF">
      <w:pPr>
        <w:pStyle w:val="Body"/>
        <w:spacing w:after="0"/>
        <w:rPr>
          <w:rFonts w:ascii="Arial" w:hAnsi="Arial" w:cs="Arial"/>
          <w:lang w:val="es-MX"/>
        </w:rPr>
      </w:pPr>
    </w:p>
    <w:p w14:paraId="29FAB2EF" w14:textId="77777777" w:rsidR="00EB7516" w:rsidRPr="00EB7516" w:rsidRDefault="00EB7516" w:rsidP="000305FF">
      <w:pPr>
        <w:pStyle w:val="Body"/>
        <w:spacing w:after="0"/>
        <w:rPr>
          <w:rFonts w:ascii="Arial" w:hAnsi="Arial" w:cs="Arial"/>
        </w:rPr>
      </w:pPr>
      <w:proofErr w:type="spellStart"/>
      <w:r w:rsidRPr="00AB1023">
        <w:rPr>
          <w:rFonts w:ascii="Arial" w:hAnsi="Arial" w:cs="Arial"/>
          <w:lang w:val="es-MX"/>
        </w:rPr>
        <w:t>Molinari</w:t>
      </w:r>
      <w:proofErr w:type="spellEnd"/>
      <w:r w:rsidRPr="00AB1023">
        <w:rPr>
          <w:rFonts w:ascii="Arial" w:hAnsi="Arial" w:cs="Arial"/>
          <w:lang w:val="es-MX"/>
        </w:rPr>
        <w:t xml:space="preserve">, L., Del Rio, P. G., </w:t>
      </w:r>
      <w:proofErr w:type="spellStart"/>
      <w:r w:rsidRPr="00AB1023">
        <w:rPr>
          <w:rFonts w:ascii="Arial" w:hAnsi="Arial" w:cs="Arial"/>
          <w:lang w:val="es-MX"/>
        </w:rPr>
        <w:t>Priyanka</w:t>
      </w:r>
      <w:proofErr w:type="spellEnd"/>
      <w:r w:rsidRPr="00AB1023">
        <w:rPr>
          <w:rFonts w:ascii="Arial" w:hAnsi="Arial" w:cs="Arial"/>
          <w:lang w:val="es-MX"/>
        </w:rPr>
        <w:t xml:space="preserve">, P., et al. </w:t>
      </w:r>
      <w:r w:rsidRPr="00EB7516">
        <w:rPr>
          <w:rFonts w:ascii="Arial" w:hAnsi="Arial" w:cs="Arial"/>
        </w:rPr>
        <w:t>(2024). Distribution of Acute and Chronic Kidney Disease Across Clinical Phenotypes for Sepsis. Chest. DOI: 10.1016/j.chest.2024.03.006.</w:t>
      </w:r>
    </w:p>
    <w:p w14:paraId="11AF43BC" w14:textId="77777777" w:rsidR="005C192F" w:rsidRDefault="005C192F" w:rsidP="000305FF">
      <w:pPr>
        <w:pStyle w:val="Body"/>
        <w:spacing w:after="0"/>
        <w:rPr>
          <w:rFonts w:ascii="Arial" w:hAnsi="Arial" w:cs="Arial"/>
        </w:rPr>
      </w:pPr>
    </w:p>
    <w:p w14:paraId="0BC62CA9" w14:textId="77777777" w:rsidR="00EB7516" w:rsidRDefault="00EB7516" w:rsidP="000305FF">
      <w:pPr>
        <w:pStyle w:val="Body"/>
        <w:spacing w:after="0"/>
        <w:rPr>
          <w:rFonts w:ascii="Arial" w:hAnsi="Arial" w:cs="Arial"/>
        </w:rPr>
      </w:pPr>
      <w:r w:rsidRPr="00EB7516">
        <w:rPr>
          <w:rFonts w:ascii="Arial" w:hAnsi="Arial" w:cs="Arial"/>
        </w:rPr>
        <w:t>Pan American Health Organization (PAHO). (2024) The Americas advance towards a coordinated regional response to reduce sepsis. [</w:t>
      </w:r>
      <w:proofErr w:type="spellStart"/>
      <w:r w:rsidRPr="00EB7516">
        <w:rPr>
          <w:rFonts w:ascii="Arial" w:hAnsi="Arial" w:cs="Arial"/>
        </w:rPr>
        <w:t>Accesed</w:t>
      </w:r>
      <w:proofErr w:type="spellEnd"/>
      <w:r w:rsidRPr="00EB7516">
        <w:rPr>
          <w:rFonts w:ascii="Arial" w:hAnsi="Arial" w:cs="Arial"/>
        </w:rPr>
        <w:t xml:space="preserve"> December 2025]. [https://www.paho.org/en/news/2-10-2024-americas-advance-towards-coordinated-regional-response-reduce-sepsis].</w:t>
      </w:r>
    </w:p>
    <w:p w14:paraId="37A602B1" w14:textId="77777777" w:rsidR="00614586" w:rsidRDefault="00614586" w:rsidP="000305FF">
      <w:pPr>
        <w:pStyle w:val="Body"/>
        <w:spacing w:after="0"/>
        <w:rPr>
          <w:rFonts w:ascii="Arial" w:hAnsi="Arial" w:cs="Arial"/>
        </w:rPr>
      </w:pPr>
    </w:p>
    <w:p w14:paraId="76C2248D" w14:textId="73289D8D" w:rsidR="00614586" w:rsidRPr="00614586" w:rsidRDefault="00614586" w:rsidP="000305FF">
      <w:pPr>
        <w:pStyle w:val="Body"/>
        <w:spacing w:after="0"/>
        <w:rPr>
          <w:rFonts w:ascii="Arial" w:hAnsi="Arial" w:cs="Arial"/>
          <w:lang w:val="es-MX"/>
        </w:rPr>
      </w:pPr>
      <w:proofErr w:type="spellStart"/>
      <w:r w:rsidRPr="00614586">
        <w:rPr>
          <w:rFonts w:ascii="Arial" w:hAnsi="Arial" w:cs="Arial"/>
          <w:highlight w:val="yellow"/>
          <w:lang w:val="es-MX"/>
        </w:rPr>
        <w:t>Póvoa</w:t>
      </w:r>
      <w:proofErr w:type="spellEnd"/>
      <w:r w:rsidRPr="00614586">
        <w:rPr>
          <w:rFonts w:ascii="Arial" w:hAnsi="Arial" w:cs="Arial"/>
          <w:highlight w:val="yellow"/>
          <w:lang w:val="es-MX"/>
        </w:rPr>
        <w:t xml:space="preserve">, P., Coelho, L., </w:t>
      </w:r>
      <w:proofErr w:type="spellStart"/>
      <w:r w:rsidRPr="00614586">
        <w:rPr>
          <w:rFonts w:ascii="Arial" w:hAnsi="Arial" w:cs="Arial"/>
          <w:highlight w:val="yellow"/>
          <w:lang w:val="es-MX"/>
        </w:rPr>
        <w:t>Cidade</w:t>
      </w:r>
      <w:proofErr w:type="spellEnd"/>
      <w:r w:rsidRPr="00614586">
        <w:rPr>
          <w:rFonts w:ascii="Arial" w:hAnsi="Arial" w:cs="Arial"/>
          <w:highlight w:val="yellow"/>
          <w:lang w:val="es-MX"/>
        </w:rPr>
        <w:t>, J. P., et al. (2024). Biomarcadores en infecciones pulmonares: un enfoque clínico. Anales de Cuidados Intensivos. 14(1):113. DOI: 10.1186/s13613-024-01323-0.</w:t>
      </w:r>
    </w:p>
    <w:p w14:paraId="4CAC0D0F" w14:textId="77777777" w:rsidR="005C192F" w:rsidRPr="00614586" w:rsidRDefault="005C192F" w:rsidP="000305FF">
      <w:pPr>
        <w:pStyle w:val="Body"/>
        <w:spacing w:after="0"/>
        <w:rPr>
          <w:rFonts w:ascii="Arial" w:hAnsi="Arial" w:cs="Arial"/>
          <w:lang w:val="es-MX"/>
        </w:rPr>
      </w:pPr>
    </w:p>
    <w:p w14:paraId="7F7DE517" w14:textId="77777777" w:rsidR="00EB7516" w:rsidRDefault="00EB7516" w:rsidP="000305FF">
      <w:pPr>
        <w:pStyle w:val="Body"/>
        <w:spacing w:after="0"/>
        <w:rPr>
          <w:rFonts w:ascii="Arial" w:hAnsi="Arial" w:cs="Arial"/>
        </w:rPr>
      </w:pPr>
      <w:r w:rsidRPr="00614586">
        <w:rPr>
          <w:rFonts w:ascii="Arial" w:hAnsi="Arial" w:cs="Arial"/>
          <w:lang w:val="es-MX"/>
        </w:rPr>
        <w:t xml:space="preserve">Powell, R. E., </w:t>
      </w:r>
      <w:proofErr w:type="spellStart"/>
      <w:r w:rsidRPr="00614586">
        <w:rPr>
          <w:rFonts w:ascii="Arial" w:hAnsi="Arial" w:cs="Arial"/>
          <w:lang w:val="es-MX"/>
        </w:rPr>
        <w:t>Tai</w:t>
      </w:r>
      <w:proofErr w:type="spellEnd"/>
      <w:r w:rsidRPr="00614586">
        <w:rPr>
          <w:rFonts w:ascii="Arial" w:hAnsi="Arial" w:cs="Arial"/>
          <w:lang w:val="es-MX"/>
        </w:rPr>
        <w:t xml:space="preserve">, Y. Y., Kennedy, J. N., et al. (2022). </w:t>
      </w:r>
      <w:proofErr w:type="spellStart"/>
      <w:r w:rsidRPr="00614586">
        <w:rPr>
          <w:rFonts w:ascii="Arial" w:hAnsi="Arial" w:cs="Arial"/>
          <w:lang w:val="es-MX"/>
        </w:rPr>
        <w:t>Circulating</w:t>
      </w:r>
      <w:proofErr w:type="spellEnd"/>
      <w:r w:rsidRPr="00614586">
        <w:rPr>
          <w:rFonts w:ascii="Arial" w:hAnsi="Arial" w:cs="Arial"/>
          <w:lang w:val="es-MX"/>
        </w:rPr>
        <w:t xml:space="preserve"> </w:t>
      </w:r>
      <w:proofErr w:type="spellStart"/>
      <w:r w:rsidRPr="00614586">
        <w:rPr>
          <w:rFonts w:ascii="Arial" w:hAnsi="Arial" w:cs="Arial"/>
          <w:lang w:val="es-MX"/>
        </w:rPr>
        <w:t>hypoxia-dependent</w:t>
      </w:r>
      <w:proofErr w:type="spellEnd"/>
      <w:r w:rsidRPr="00614586">
        <w:rPr>
          <w:rFonts w:ascii="Arial" w:hAnsi="Arial" w:cs="Arial"/>
          <w:lang w:val="es-MX"/>
        </w:rPr>
        <w:t xml:space="preserve"> miR-210 </w:t>
      </w:r>
      <w:proofErr w:type="spellStart"/>
      <w:r w:rsidRPr="00614586">
        <w:rPr>
          <w:rFonts w:ascii="Arial" w:hAnsi="Arial" w:cs="Arial"/>
          <w:lang w:val="es-MX"/>
        </w:rPr>
        <w:t>is</w:t>
      </w:r>
      <w:proofErr w:type="spellEnd"/>
      <w:r w:rsidRPr="00614586">
        <w:rPr>
          <w:rFonts w:ascii="Arial" w:hAnsi="Arial" w:cs="Arial"/>
          <w:lang w:val="es-MX"/>
        </w:rPr>
        <w:t xml:space="preserve"> </w:t>
      </w:r>
      <w:proofErr w:type="spellStart"/>
      <w:r w:rsidRPr="00614586">
        <w:rPr>
          <w:rFonts w:ascii="Arial" w:hAnsi="Arial" w:cs="Arial"/>
          <w:lang w:val="es-MX"/>
        </w:rPr>
        <w:t>increased</w:t>
      </w:r>
      <w:proofErr w:type="spellEnd"/>
      <w:r w:rsidRPr="00614586">
        <w:rPr>
          <w:rFonts w:ascii="Arial" w:hAnsi="Arial" w:cs="Arial"/>
          <w:lang w:val="es-MX"/>
        </w:rPr>
        <w:t xml:space="preserve"> in clinical sepsis </w:t>
      </w:r>
      <w:r w:rsidRPr="00EB7516">
        <w:rPr>
          <w:rFonts w:ascii="Arial" w:hAnsi="Arial" w:cs="Arial"/>
        </w:rPr>
        <w:t>subtypes: A cohort study. Journal of Translational Medicine. 20(1):448. DOI: 10.1186/s12967-022-03655-6.</w:t>
      </w:r>
    </w:p>
    <w:p w14:paraId="5D5F391A" w14:textId="77777777" w:rsidR="00EE47EB" w:rsidRDefault="00EE47EB" w:rsidP="000305FF">
      <w:pPr>
        <w:pStyle w:val="Body"/>
        <w:spacing w:after="0"/>
        <w:rPr>
          <w:rFonts w:ascii="Arial" w:hAnsi="Arial" w:cs="Arial"/>
        </w:rPr>
      </w:pPr>
    </w:p>
    <w:p w14:paraId="7848E961" w14:textId="2AF9913D" w:rsidR="00EE47EB" w:rsidRPr="00EE47EB" w:rsidRDefault="00EE47EB" w:rsidP="00EE47EB">
      <w:pPr>
        <w:pStyle w:val="Body"/>
        <w:rPr>
          <w:rFonts w:ascii="Arial" w:hAnsi="Arial" w:cs="Arial"/>
          <w:highlight w:val="yellow"/>
        </w:rPr>
      </w:pPr>
      <w:r w:rsidRPr="00EE47EB">
        <w:rPr>
          <w:rFonts w:ascii="Arial" w:hAnsi="Arial" w:cs="Arial"/>
          <w:highlight w:val="yellow"/>
          <w:lang w:val="es-MX"/>
        </w:rPr>
        <w:t>Secretaría de Salud, Instituto Nacional de Salud Pública (</w:t>
      </w:r>
      <w:r w:rsidR="00ED0571">
        <w:rPr>
          <w:rFonts w:ascii="Arial" w:hAnsi="Arial" w:cs="Arial"/>
          <w:highlight w:val="yellow"/>
          <w:lang w:val="es-MX"/>
        </w:rPr>
        <w:t>SS-INSP</w:t>
      </w:r>
      <w:r w:rsidRPr="00EE47EB">
        <w:rPr>
          <w:rFonts w:ascii="Arial" w:hAnsi="Arial" w:cs="Arial"/>
          <w:highlight w:val="yellow"/>
          <w:lang w:val="es-MX"/>
        </w:rPr>
        <w:t>). (</w:t>
      </w:r>
      <w:r w:rsidR="00ED0571">
        <w:rPr>
          <w:rFonts w:ascii="Arial" w:hAnsi="Arial" w:cs="Arial"/>
          <w:highlight w:val="yellow"/>
          <w:lang w:val="es-MX"/>
        </w:rPr>
        <w:t>202</w:t>
      </w:r>
      <w:r w:rsidRPr="00EE47EB">
        <w:rPr>
          <w:rFonts w:ascii="Arial" w:hAnsi="Arial" w:cs="Arial"/>
          <w:highlight w:val="yellow"/>
          <w:lang w:val="es-MX"/>
        </w:rPr>
        <w:t xml:space="preserve">0). Encuesta Nacional de Salud y Nutrición 2020 sobre Covid-19: Resultados nacionales. </w:t>
      </w:r>
      <w:r w:rsidRPr="00EE47EB">
        <w:rPr>
          <w:rFonts w:ascii="Arial" w:hAnsi="Arial" w:cs="Arial"/>
          <w:highlight w:val="yellow"/>
        </w:rPr>
        <w:t>[</w:t>
      </w:r>
      <w:proofErr w:type="spellStart"/>
      <w:r w:rsidRPr="00EE47EB">
        <w:rPr>
          <w:rFonts w:ascii="Arial" w:hAnsi="Arial" w:cs="Arial"/>
          <w:highlight w:val="yellow"/>
        </w:rPr>
        <w:t>Accesed</w:t>
      </w:r>
      <w:proofErr w:type="spellEnd"/>
      <w:r w:rsidRPr="00EE47EB">
        <w:rPr>
          <w:rFonts w:ascii="Arial" w:hAnsi="Arial" w:cs="Arial"/>
          <w:highlight w:val="yellow"/>
        </w:rPr>
        <w:t xml:space="preserve"> December 2025]. [https://ensanut.insp.mx/encuestas/ensanutcontinua2020/doctos/informes/ensanutCovid19ResultadosNacionales.pdf] </w:t>
      </w:r>
    </w:p>
    <w:p w14:paraId="2587C482" w14:textId="5659EE9D" w:rsidR="00EE47EB" w:rsidRPr="00EE47EB" w:rsidRDefault="00EE47EB" w:rsidP="00EE47EB">
      <w:pPr>
        <w:pStyle w:val="Body"/>
        <w:rPr>
          <w:rFonts w:ascii="Arial" w:hAnsi="Arial" w:cs="Arial"/>
          <w:highlight w:val="yellow"/>
        </w:rPr>
      </w:pPr>
      <w:r w:rsidRPr="00EE47EB">
        <w:rPr>
          <w:rFonts w:ascii="Arial" w:hAnsi="Arial" w:cs="Arial"/>
          <w:highlight w:val="yellow"/>
          <w:lang w:val="es-MX"/>
        </w:rPr>
        <w:t>Secretaría de Salud (</w:t>
      </w:r>
      <w:r w:rsidR="00D61C8F">
        <w:rPr>
          <w:rFonts w:ascii="Arial" w:hAnsi="Arial" w:cs="Arial"/>
          <w:highlight w:val="yellow"/>
          <w:lang w:val="es-MX"/>
        </w:rPr>
        <w:t>SS</w:t>
      </w:r>
      <w:r w:rsidRPr="00EE47EB">
        <w:rPr>
          <w:rFonts w:ascii="Arial" w:hAnsi="Arial" w:cs="Arial"/>
          <w:highlight w:val="yellow"/>
          <w:lang w:val="es-MX"/>
        </w:rPr>
        <w:t xml:space="preserve">). (2021). En México, más de 30 millones de personas padecen hipertensión arterial. </w:t>
      </w:r>
      <w:r w:rsidRPr="00EE47EB">
        <w:rPr>
          <w:rFonts w:ascii="Arial" w:hAnsi="Arial" w:cs="Arial"/>
          <w:highlight w:val="yellow"/>
        </w:rPr>
        <w:t>[</w:t>
      </w:r>
      <w:proofErr w:type="spellStart"/>
      <w:r w:rsidRPr="00EE47EB">
        <w:rPr>
          <w:rFonts w:ascii="Arial" w:hAnsi="Arial" w:cs="Arial"/>
          <w:highlight w:val="yellow"/>
        </w:rPr>
        <w:t>Accesed</w:t>
      </w:r>
      <w:proofErr w:type="spellEnd"/>
      <w:r w:rsidRPr="00EE47EB">
        <w:rPr>
          <w:rFonts w:ascii="Arial" w:hAnsi="Arial" w:cs="Arial"/>
          <w:highlight w:val="yellow"/>
        </w:rPr>
        <w:t xml:space="preserve"> December 2025]. [https://www.gob.mx/salud/articulos/en-mexico-mas-de-30-millones-de-personas-padecen-hipertension-arterial-secretaria-de-salud]</w:t>
      </w:r>
    </w:p>
    <w:p w14:paraId="291E8405" w14:textId="285E7322" w:rsidR="00EE47EB" w:rsidRPr="00EE47EB" w:rsidRDefault="00EE47EB" w:rsidP="00EE47EB">
      <w:pPr>
        <w:pStyle w:val="Body"/>
        <w:spacing w:after="0"/>
        <w:rPr>
          <w:rFonts w:ascii="Arial" w:hAnsi="Arial" w:cs="Arial"/>
          <w:lang w:val="es-MX"/>
        </w:rPr>
      </w:pPr>
      <w:r w:rsidRPr="00EE47EB">
        <w:rPr>
          <w:rFonts w:ascii="Arial" w:hAnsi="Arial" w:cs="Arial"/>
          <w:highlight w:val="yellow"/>
          <w:lang w:val="es-MX"/>
        </w:rPr>
        <w:t>Secretaría de Salud (</w:t>
      </w:r>
      <w:r w:rsidR="00D61C8F">
        <w:rPr>
          <w:rFonts w:ascii="Arial" w:hAnsi="Arial" w:cs="Arial"/>
          <w:highlight w:val="yellow"/>
          <w:lang w:val="es-MX"/>
        </w:rPr>
        <w:t>SS</w:t>
      </w:r>
      <w:r w:rsidRPr="00EE47EB">
        <w:rPr>
          <w:rFonts w:ascii="Arial" w:hAnsi="Arial" w:cs="Arial"/>
          <w:highlight w:val="yellow"/>
          <w:lang w:val="es-MX"/>
        </w:rPr>
        <w:t>). (2023). Encuesta Global de Tabaquismo en Adultos (GATS). México 2009, 2015 y 2023: Hoja de comparación. [</w:t>
      </w:r>
      <w:proofErr w:type="spellStart"/>
      <w:r w:rsidRPr="00EE47EB">
        <w:rPr>
          <w:rFonts w:ascii="Arial" w:hAnsi="Arial" w:cs="Arial"/>
          <w:highlight w:val="yellow"/>
          <w:lang w:val="es-MX"/>
        </w:rPr>
        <w:t>Accesed</w:t>
      </w:r>
      <w:proofErr w:type="spellEnd"/>
      <w:r w:rsidRPr="00EE47EB">
        <w:rPr>
          <w:rFonts w:ascii="Arial" w:hAnsi="Arial" w:cs="Arial"/>
          <w:highlight w:val="yellow"/>
          <w:lang w:val="es-MX"/>
        </w:rPr>
        <w:t xml:space="preserve"> </w:t>
      </w:r>
      <w:proofErr w:type="spellStart"/>
      <w:r w:rsidRPr="00EE47EB">
        <w:rPr>
          <w:rFonts w:ascii="Arial" w:hAnsi="Arial" w:cs="Arial"/>
          <w:highlight w:val="yellow"/>
          <w:lang w:val="es-MX"/>
        </w:rPr>
        <w:t>December</w:t>
      </w:r>
      <w:proofErr w:type="spellEnd"/>
      <w:r w:rsidRPr="00EE47EB">
        <w:rPr>
          <w:rFonts w:ascii="Arial" w:hAnsi="Arial" w:cs="Arial"/>
          <w:highlight w:val="yellow"/>
          <w:lang w:val="es-MX"/>
        </w:rPr>
        <w:t xml:space="preserve"> 2025]. [https://www.insp.mx/resources/images/stories/2023/docs/20231211_Encuesta_Global_de_Tabaquismo_en_adultos_GATS_Hoja_de_Comparacion.pdf]</w:t>
      </w:r>
    </w:p>
    <w:p w14:paraId="1BCAB219" w14:textId="77777777" w:rsidR="005C192F" w:rsidRPr="00EE47EB" w:rsidRDefault="005C192F" w:rsidP="000305FF">
      <w:pPr>
        <w:pStyle w:val="Body"/>
        <w:spacing w:after="0"/>
        <w:rPr>
          <w:rFonts w:ascii="Arial" w:hAnsi="Arial" w:cs="Arial"/>
          <w:lang w:val="es-MX"/>
        </w:rPr>
      </w:pPr>
    </w:p>
    <w:p w14:paraId="4A1F1D9B" w14:textId="43C21ECC" w:rsidR="00EB7516" w:rsidRPr="00EB7516" w:rsidRDefault="00EB7516" w:rsidP="000305FF">
      <w:pPr>
        <w:pStyle w:val="Body"/>
        <w:spacing w:after="0"/>
        <w:rPr>
          <w:rFonts w:ascii="Arial" w:hAnsi="Arial" w:cs="Arial"/>
        </w:rPr>
      </w:pPr>
      <w:proofErr w:type="gramStart"/>
      <w:r w:rsidRPr="00EB7516">
        <w:rPr>
          <w:rFonts w:ascii="Arial" w:hAnsi="Arial" w:cs="Arial"/>
        </w:rPr>
        <w:t xml:space="preserve">Seymour, C. W., Kennedy, J. N., Wang, S., et al. </w:t>
      </w:r>
      <w:r w:rsidR="00614586">
        <w:rPr>
          <w:rFonts w:ascii="Arial" w:hAnsi="Arial" w:cs="Arial"/>
        </w:rPr>
        <w:t>(</w:t>
      </w:r>
      <w:r w:rsidRPr="00EB7516">
        <w:rPr>
          <w:rFonts w:ascii="Arial" w:hAnsi="Arial" w:cs="Arial"/>
        </w:rPr>
        <w:t>2019</w:t>
      </w:r>
      <w:r w:rsidR="00614586">
        <w:rPr>
          <w:rFonts w:ascii="Arial" w:hAnsi="Arial" w:cs="Arial"/>
        </w:rPr>
        <w:t>)</w:t>
      </w:r>
      <w:r w:rsidRPr="00EB7516">
        <w:rPr>
          <w:rFonts w:ascii="Arial" w:hAnsi="Arial" w:cs="Arial"/>
        </w:rPr>
        <w:t>.</w:t>
      </w:r>
      <w:proofErr w:type="gramEnd"/>
      <w:r w:rsidRPr="00EB7516">
        <w:rPr>
          <w:rFonts w:ascii="Arial" w:hAnsi="Arial" w:cs="Arial"/>
        </w:rPr>
        <w:t xml:space="preserve"> Derivation, validation, and potential treatment implications of novel clinical phenotypes for sepsis. Jama. 321(20):2003-2017. DOI: 10.1001/jama.2019.5791.</w:t>
      </w:r>
    </w:p>
    <w:p w14:paraId="26BFA9D0" w14:textId="77777777" w:rsidR="005C192F" w:rsidRDefault="005C192F" w:rsidP="000305FF">
      <w:pPr>
        <w:pStyle w:val="Body"/>
        <w:spacing w:after="0"/>
        <w:rPr>
          <w:rFonts w:ascii="Arial" w:hAnsi="Arial" w:cs="Arial"/>
        </w:rPr>
      </w:pPr>
    </w:p>
    <w:p w14:paraId="21E2569F" w14:textId="77777777" w:rsidR="00EB7516" w:rsidRPr="00EB7516" w:rsidRDefault="00EB7516" w:rsidP="000305FF">
      <w:pPr>
        <w:pStyle w:val="Body"/>
        <w:spacing w:after="0"/>
        <w:rPr>
          <w:rFonts w:ascii="Arial" w:hAnsi="Arial" w:cs="Arial"/>
        </w:rPr>
      </w:pPr>
      <w:r w:rsidRPr="00EB7516">
        <w:rPr>
          <w:rFonts w:ascii="Arial" w:hAnsi="Arial" w:cs="Arial"/>
        </w:rPr>
        <w:t>Shi, Y., Wang, L., Yu, S., et al. (2022). Risk factors for acute respiratory distress syndrome in sepsis patients: a retrospective study from a tertiary hospital in China. BMC Pulmonary Medicine. 22(1):238. DOI: 10.1186/s12890-022-02015-w.</w:t>
      </w:r>
    </w:p>
    <w:p w14:paraId="0321E53C" w14:textId="77777777" w:rsidR="005C192F" w:rsidRDefault="005C192F" w:rsidP="000305FF">
      <w:pPr>
        <w:pStyle w:val="Body"/>
        <w:spacing w:after="0"/>
        <w:rPr>
          <w:rFonts w:ascii="Arial" w:hAnsi="Arial" w:cs="Arial"/>
        </w:rPr>
      </w:pPr>
    </w:p>
    <w:p w14:paraId="4663EF9C" w14:textId="77777777" w:rsidR="00EB7516" w:rsidRPr="00EB7516" w:rsidRDefault="00EB7516" w:rsidP="000305FF">
      <w:pPr>
        <w:pStyle w:val="Body"/>
        <w:spacing w:after="0"/>
        <w:rPr>
          <w:rFonts w:ascii="Arial" w:hAnsi="Arial" w:cs="Arial"/>
        </w:rPr>
      </w:pPr>
      <w:r w:rsidRPr="00EA7130">
        <w:rPr>
          <w:rFonts w:ascii="Arial" w:hAnsi="Arial" w:cs="Arial"/>
        </w:rPr>
        <w:t xml:space="preserve">Valerio, L., </w:t>
      </w:r>
      <w:proofErr w:type="spellStart"/>
      <w:r w:rsidRPr="00EA7130">
        <w:rPr>
          <w:rFonts w:ascii="Arial" w:hAnsi="Arial" w:cs="Arial"/>
        </w:rPr>
        <w:t>Baddour</w:t>
      </w:r>
      <w:proofErr w:type="spellEnd"/>
      <w:r w:rsidRPr="00EA7130">
        <w:rPr>
          <w:rFonts w:ascii="Arial" w:hAnsi="Arial" w:cs="Arial"/>
        </w:rPr>
        <w:t xml:space="preserve">, L. M. (2023). </w:t>
      </w:r>
      <w:r w:rsidRPr="00EB7516">
        <w:rPr>
          <w:rFonts w:ascii="Arial" w:hAnsi="Arial" w:cs="Arial"/>
        </w:rPr>
        <w:t>Septic pulmonary embolism: a contemporary profile. In Seminars in Thrombosis and Hemostasis. 49(08):840-847. DOI: 10.1055/s-0042-1758742.</w:t>
      </w:r>
    </w:p>
    <w:p w14:paraId="02EC1217" w14:textId="77777777" w:rsidR="005C192F" w:rsidRDefault="005C192F" w:rsidP="000305FF">
      <w:pPr>
        <w:pStyle w:val="Body"/>
        <w:spacing w:after="0"/>
        <w:rPr>
          <w:rFonts w:ascii="Arial" w:hAnsi="Arial" w:cs="Arial"/>
        </w:rPr>
      </w:pPr>
    </w:p>
    <w:p w14:paraId="357E9B60" w14:textId="77777777" w:rsidR="00EB7516" w:rsidRPr="00EB7516" w:rsidRDefault="00EB7516" w:rsidP="000305FF">
      <w:pPr>
        <w:pStyle w:val="Body"/>
        <w:spacing w:after="0"/>
        <w:rPr>
          <w:rFonts w:ascii="Arial" w:hAnsi="Arial" w:cs="Arial"/>
        </w:rPr>
      </w:pPr>
      <w:r w:rsidRPr="00EB7516">
        <w:rPr>
          <w:rFonts w:ascii="Arial" w:hAnsi="Arial" w:cs="Arial"/>
        </w:rPr>
        <w:t xml:space="preserve">Van der Poll, T., Shankar-Hari, M., </w:t>
      </w:r>
      <w:proofErr w:type="spellStart"/>
      <w:r w:rsidRPr="00EB7516">
        <w:rPr>
          <w:rFonts w:ascii="Arial" w:hAnsi="Arial" w:cs="Arial"/>
        </w:rPr>
        <w:t>Wiersinga</w:t>
      </w:r>
      <w:proofErr w:type="spellEnd"/>
      <w:r w:rsidRPr="00EB7516">
        <w:rPr>
          <w:rFonts w:ascii="Arial" w:hAnsi="Arial" w:cs="Arial"/>
        </w:rPr>
        <w:t>, W. J. (2021). The immunology of sepsis. Immunity. 54(11):2450-2464. DOI: 10.1016/j.immuni.2021.10.012.</w:t>
      </w:r>
    </w:p>
    <w:p w14:paraId="551B935C" w14:textId="77777777" w:rsidR="005C192F" w:rsidRDefault="005C192F" w:rsidP="000305FF">
      <w:pPr>
        <w:pStyle w:val="Body"/>
        <w:spacing w:after="0"/>
        <w:rPr>
          <w:rFonts w:ascii="Arial" w:hAnsi="Arial" w:cs="Arial"/>
        </w:rPr>
      </w:pPr>
    </w:p>
    <w:p w14:paraId="1DF106F7" w14:textId="77777777" w:rsidR="00EB7516" w:rsidRPr="00EB7516" w:rsidRDefault="00EB7516" w:rsidP="000305FF">
      <w:pPr>
        <w:pStyle w:val="Body"/>
        <w:spacing w:after="0"/>
        <w:rPr>
          <w:rFonts w:ascii="Arial" w:hAnsi="Arial" w:cs="Arial"/>
        </w:rPr>
      </w:pPr>
      <w:r w:rsidRPr="00EB7516">
        <w:rPr>
          <w:rFonts w:ascii="Arial" w:hAnsi="Arial" w:cs="Arial"/>
        </w:rPr>
        <w:t>Wang, W., Liu, CF. (2023). Sepsis heterogeneity. World Journal of Pediatrics. 19(10):919-927. DOI: 10.1007/s12519-023-00689-8.</w:t>
      </w:r>
    </w:p>
    <w:p w14:paraId="42A503B4" w14:textId="77777777" w:rsidR="005C192F" w:rsidRDefault="005C192F" w:rsidP="000305FF">
      <w:pPr>
        <w:pStyle w:val="Body"/>
        <w:spacing w:after="0"/>
        <w:rPr>
          <w:rFonts w:ascii="Arial" w:hAnsi="Arial" w:cs="Arial"/>
        </w:rPr>
      </w:pPr>
    </w:p>
    <w:p w14:paraId="4F8BDF4A" w14:textId="77777777" w:rsidR="00EB7516" w:rsidRDefault="00EB7516" w:rsidP="000305FF">
      <w:pPr>
        <w:pStyle w:val="Body"/>
        <w:spacing w:after="0"/>
        <w:rPr>
          <w:rFonts w:ascii="Arial" w:hAnsi="Arial" w:cs="Arial"/>
        </w:rPr>
      </w:pPr>
      <w:r w:rsidRPr="00EB7516">
        <w:rPr>
          <w:rFonts w:ascii="Arial" w:hAnsi="Arial" w:cs="Arial"/>
        </w:rPr>
        <w:lastRenderedPageBreak/>
        <w:t>Zhang, Y. Y., Ning, B. T. (2021). Signaling pathways and intervention therapies in sepsis. Signal Transduction and Targeted Therapy. 6(1):407. DOI: 10.1038/s41392-021-00816-9.</w:t>
      </w:r>
    </w:p>
    <w:p w14:paraId="3A2DC9E7" w14:textId="77777777" w:rsidR="00511B5C" w:rsidRDefault="00511B5C" w:rsidP="000305FF">
      <w:pPr>
        <w:pStyle w:val="Body"/>
        <w:spacing w:after="0"/>
        <w:rPr>
          <w:rFonts w:ascii="Arial" w:hAnsi="Arial" w:cs="Arial"/>
        </w:rPr>
      </w:pPr>
    </w:p>
    <w:p w14:paraId="1F3DC410" w14:textId="77777777" w:rsidR="00511B5C" w:rsidRDefault="00511B5C" w:rsidP="00511B5C">
      <w:pPr>
        <w:pStyle w:val="Body"/>
        <w:rPr>
          <w:rFonts w:ascii="Arial" w:hAnsi="Arial" w:cs="Arial"/>
          <w:lang w:val="es-MX"/>
        </w:rPr>
      </w:pPr>
    </w:p>
    <w:p w14:paraId="23446498" w14:textId="77777777" w:rsidR="00EE47EB" w:rsidRPr="00EE47EB" w:rsidRDefault="00EE47EB" w:rsidP="00511B5C">
      <w:pPr>
        <w:pStyle w:val="Body"/>
        <w:rPr>
          <w:rFonts w:ascii="Arial" w:hAnsi="Arial" w:cs="Arial"/>
        </w:rPr>
      </w:pPr>
    </w:p>
    <w:p w14:paraId="6E0F6CB2" w14:textId="77777777" w:rsidR="00EE47EB" w:rsidRPr="00EE47EB" w:rsidRDefault="00EE47EB">
      <w:pPr>
        <w:pStyle w:val="Body"/>
        <w:spacing w:after="0"/>
        <w:rPr>
          <w:rFonts w:ascii="Arial" w:hAnsi="Arial" w:cs="Arial"/>
        </w:rPr>
      </w:pPr>
    </w:p>
    <w:sectPr w:rsidR="00EE47EB" w:rsidRPr="00EE47EB" w:rsidSect="00DF364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3AE48" w14:textId="77777777" w:rsidR="00930CB9" w:rsidRDefault="00930CB9" w:rsidP="00C37E61">
      <w:r>
        <w:separator/>
      </w:r>
    </w:p>
  </w:endnote>
  <w:endnote w:type="continuationSeparator" w:id="0">
    <w:p w14:paraId="6B8973B1" w14:textId="77777777" w:rsidR="00930CB9" w:rsidRDefault="00930C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E19A" w14:textId="77777777" w:rsidR="00DF364F" w:rsidRDefault="00DF3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EB0D" w14:textId="77777777" w:rsidR="00DF364F" w:rsidRDefault="00DF3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D472A" w14:textId="77777777" w:rsidR="0043597D" w:rsidRDefault="0043597D">
    <w:pPr>
      <w:pStyle w:val="Footer"/>
      <w:rPr>
        <w:rFonts w:ascii="Arial" w:hAnsi="Arial" w:cs="Arial"/>
        <w:sz w:val="16"/>
      </w:rPr>
    </w:pPr>
  </w:p>
  <w:p w14:paraId="252FFCD6"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036AD8" w14:textId="77777777" w:rsidR="0043597D" w:rsidRDefault="0043597D">
    <w:pPr>
      <w:pStyle w:val="Footer"/>
      <w:rPr>
        <w:rFonts w:ascii="Arial" w:hAnsi="Arial" w:cs="Arial"/>
        <w:sz w:val="16"/>
      </w:rPr>
    </w:pPr>
  </w:p>
  <w:p w14:paraId="4726B6C9" w14:textId="77777777" w:rsidR="0043597D" w:rsidRPr="009E048A" w:rsidRDefault="0043597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EB1B4" w14:textId="77777777" w:rsidR="00930CB9" w:rsidRDefault="00930CB9" w:rsidP="00C37E61">
      <w:r>
        <w:separator/>
      </w:r>
    </w:p>
  </w:footnote>
  <w:footnote w:type="continuationSeparator" w:id="0">
    <w:p w14:paraId="45AC6307" w14:textId="77777777" w:rsidR="00930CB9" w:rsidRDefault="00930CB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AAA97" w14:textId="1F0D5946" w:rsidR="00DF364F" w:rsidRDefault="00930CB9">
    <w:pPr>
      <w:pStyle w:val="Header"/>
    </w:pPr>
    <w:r>
      <w:rPr>
        <w:noProof/>
      </w:rPr>
      <w:pict w14:anchorId="78458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02B81" w14:textId="2B7C5173" w:rsidR="00DF364F" w:rsidRDefault="00930CB9">
    <w:pPr>
      <w:pStyle w:val="Header"/>
    </w:pPr>
    <w:r>
      <w:rPr>
        <w:noProof/>
      </w:rPr>
      <w:pict w14:anchorId="1DBE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38DC6" w14:textId="4CF1C0E8" w:rsidR="0043597D" w:rsidRPr="00296529" w:rsidRDefault="00930CB9" w:rsidP="00296529">
    <w:pPr>
      <w:ind w:left="2160"/>
      <w:jc w:val="center"/>
      <w:rPr>
        <w:rFonts w:ascii="Times New Roman" w:eastAsia="Calibri" w:hAnsi="Times New Roman"/>
        <w:i/>
        <w:sz w:val="18"/>
        <w:szCs w:val="22"/>
      </w:rPr>
    </w:pPr>
    <w:r>
      <w:rPr>
        <w:noProof/>
      </w:rPr>
      <w:pict w14:anchorId="3393E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E2915D"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EF6B9D"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001CCE"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5E0293"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957EEC"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32DC14" w14:textId="77777777" w:rsidR="0043597D" w:rsidRDefault="0043597D">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FE0"/>
    <w:rsid w:val="00014001"/>
    <w:rsid w:val="0001735C"/>
    <w:rsid w:val="00017971"/>
    <w:rsid w:val="00030174"/>
    <w:rsid w:val="000305FF"/>
    <w:rsid w:val="00034AA6"/>
    <w:rsid w:val="000355D6"/>
    <w:rsid w:val="0003627C"/>
    <w:rsid w:val="0004579C"/>
    <w:rsid w:val="00051137"/>
    <w:rsid w:val="00054937"/>
    <w:rsid w:val="00055E3F"/>
    <w:rsid w:val="00057400"/>
    <w:rsid w:val="00086310"/>
    <w:rsid w:val="00091111"/>
    <w:rsid w:val="000978F0"/>
    <w:rsid w:val="00097A81"/>
    <w:rsid w:val="000A2E99"/>
    <w:rsid w:val="000A47FA"/>
    <w:rsid w:val="000A5BFD"/>
    <w:rsid w:val="000A65D3"/>
    <w:rsid w:val="000A6CCE"/>
    <w:rsid w:val="000B1E33"/>
    <w:rsid w:val="000B3D6D"/>
    <w:rsid w:val="000B4C41"/>
    <w:rsid w:val="000C5199"/>
    <w:rsid w:val="000D12C9"/>
    <w:rsid w:val="000D1FD2"/>
    <w:rsid w:val="000D2FC9"/>
    <w:rsid w:val="000D4903"/>
    <w:rsid w:val="000D689F"/>
    <w:rsid w:val="000D6EB0"/>
    <w:rsid w:val="000D7D00"/>
    <w:rsid w:val="000E130C"/>
    <w:rsid w:val="000E1D19"/>
    <w:rsid w:val="000E681C"/>
    <w:rsid w:val="000E7B7B"/>
    <w:rsid w:val="000E7D62"/>
    <w:rsid w:val="000F6EC1"/>
    <w:rsid w:val="000F720C"/>
    <w:rsid w:val="00103357"/>
    <w:rsid w:val="00107325"/>
    <w:rsid w:val="001213FA"/>
    <w:rsid w:val="00121BBC"/>
    <w:rsid w:val="00123C9F"/>
    <w:rsid w:val="001244D8"/>
    <w:rsid w:val="00126190"/>
    <w:rsid w:val="00130F17"/>
    <w:rsid w:val="001320BF"/>
    <w:rsid w:val="00140EF3"/>
    <w:rsid w:val="00144FA5"/>
    <w:rsid w:val="00160FC6"/>
    <w:rsid w:val="00161800"/>
    <w:rsid w:val="00163BC4"/>
    <w:rsid w:val="001665F4"/>
    <w:rsid w:val="00171C34"/>
    <w:rsid w:val="00176E31"/>
    <w:rsid w:val="00177557"/>
    <w:rsid w:val="00181F6D"/>
    <w:rsid w:val="00184137"/>
    <w:rsid w:val="00191062"/>
    <w:rsid w:val="00191785"/>
    <w:rsid w:val="00192B72"/>
    <w:rsid w:val="001A29D8"/>
    <w:rsid w:val="001A5CAA"/>
    <w:rsid w:val="001B0427"/>
    <w:rsid w:val="001B1BDF"/>
    <w:rsid w:val="001B4365"/>
    <w:rsid w:val="001B4629"/>
    <w:rsid w:val="001B4C24"/>
    <w:rsid w:val="001C32C2"/>
    <w:rsid w:val="001C71B9"/>
    <w:rsid w:val="001D332C"/>
    <w:rsid w:val="001D3A51"/>
    <w:rsid w:val="001E0FDD"/>
    <w:rsid w:val="001E10D2"/>
    <w:rsid w:val="001E25B4"/>
    <w:rsid w:val="001E2E52"/>
    <w:rsid w:val="001E44FE"/>
    <w:rsid w:val="001E724F"/>
    <w:rsid w:val="001E7450"/>
    <w:rsid w:val="001F0626"/>
    <w:rsid w:val="001F40FE"/>
    <w:rsid w:val="00200595"/>
    <w:rsid w:val="00204124"/>
    <w:rsid w:val="00204835"/>
    <w:rsid w:val="00205C51"/>
    <w:rsid w:val="00207208"/>
    <w:rsid w:val="0021053C"/>
    <w:rsid w:val="002111D4"/>
    <w:rsid w:val="002121E1"/>
    <w:rsid w:val="002139FD"/>
    <w:rsid w:val="00216177"/>
    <w:rsid w:val="00220DDC"/>
    <w:rsid w:val="00231920"/>
    <w:rsid w:val="0023195C"/>
    <w:rsid w:val="00232502"/>
    <w:rsid w:val="002342AD"/>
    <w:rsid w:val="002403C1"/>
    <w:rsid w:val="0024282C"/>
    <w:rsid w:val="002460DC"/>
    <w:rsid w:val="0024712F"/>
    <w:rsid w:val="00250985"/>
    <w:rsid w:val="002556F6"/>
    <w:rsid w:val="00260E47"/>
    <w:rsid w:val="00271445"/>
    <w:rsid w:val="00280B16"/>
    <w:rsid w:val="00283105"/>
    <w:rsid w:val="0028454A"/>
    <w:rsid w:val="00284C4C"/>
    <w:rsid w:val="002850C3"/>
    <w:rsid w:val="00291B3F"/>
    <w:rsid w:val="00296529"/>
    <w:rsid w:val="002A4423"/>
    <w:rsid w:val="002A550D"/>
    <w:rsid w:val="002A6E0D"/>
    <w:rsid w:val="002B27FB"/>
    <w:rsid w:val="002B60F9"/>
    <w:rsid w:val="002B685A"/>
    <w:rsid w:val="002C0830"/>
    <w:rsid w:val="002C57D2"/>
    <w:rsid w:val="002C59FC"/>
    <w:rsid w:val="002C77F4"/>
    <w:rsid w:val="002E0B90"/>
    <w:rsid w:val="002E0D56"/>
    <w:rsid w:val="002E6DBA"/>
    <w:rsid w:val="002E73CA"/>
    <w:rsid w:val="002F2ABB"/>
    <w:rsid w:val="00307A5F"/>
    <w:rsid w:val="0031451F"/>
    <w:rsid w:val="00315186"/>
    <w:rsid w:val="003162A5"/>
    <w:rsid w:val="003218F7"/>
    <w:rsid w:val="00330251"/>
    <w:rsid w:val="0033343E"/>
    <w:rsid w:val="00340740"/>
    <w:rsid w:val="00344C28"/>
    <w:rsid w:val="00345762"/>
    <w:rsid w:val="0034787A"/>
    <w:rsid w:val="00347A90"/>
    <w:rsid w:val="003512C2"/>
    <w:rsid w:val="00351C26"/>
    <w:rsid w:val="00356525"/>
    <w:rsid w:val="00362662"/>
    <w:rsid w:val="003627DF"/>
    <w:rsid w:val="003663C9"/>
    <w:rsid w:val="003675D7"/>
    <w:rsid w:val="00371FB6"/>
    <w:rsid w:val="00374884"/>
    <w:rsid w:val="003750CC"/>
    <w:rsid w:val="003763C1"/>
    <w:rsid w:val="00376BBE"/>
    <w:rsid w:val="00377EE0"/>
    <w:rsid w:val="00382C2A"/>
    <w:rsid w:val="00385971"/>
    <w:rsid w:val="00391E27"/>
    <w:rsid w:val="0039224F"/>
    <w:rsid w:val="003A1005"/>
    <w:rsid w:val="003A2E5D"/>
    <w:rsid w:val="003A43A4"/>
    <w:rsid w:val="003A58F2"/>
    <w:rsid w:val="003A712C"/>
    <w:rsid w:val="003A7E18"/>
    <w:rsid w:val="003B1831"/>
    <w:rsid w:val="003B245B"/>
    <w:rsid w:val="003B65DC"/>
    <w:rsid w:val="003C1469"/>
    <w:rsid w:val="003C4C86"/>
    <w:rsid w:val="003C6258"/>
    <w:rsid w:val="003D08AF"/>
    <w:rsid w:val="003E20E2"/>
    <w:rsid w:val="003E2904"/>
    <w:rsid w:val="003F1BA1"/>
    <w:rsid w:val="003F2EDA"/>
    <w:rsid w:val="00401927"/>
    <w:rsid w:val="00402521"/>
    <w:rsid w:val="00402729"/>
    <w:rsid w:val="00402F6C"/>
    <w:rsid w:val="0040571F"/>
    <w:rsid w:val="00405F7C"/>
    <w:rsid w:val="0041027F"/>
    <w:rsid w:val="00412475"/>
    <w:rsid w:val="004178C1"/>
    <w:rsid w:val="0042005D"/>
    <w:rsid w:val="00423789"/>
    <w:rsid w:val="00431E1E"/>
    <w:rsid w:val="00433C59"/>
    <w:rsid w:val="0043597D"/>
    <w:rsid w:val="00435E74"/>
    <w:rsid w:val="00436514"/>
    <w:rsid w:val="0043687E"/>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56EA"/>
    <w:rsid w:val="004F0752"/>
    <w:rsid w:val="004F12D0"/>
    <w:rsid w:val="004F39B1"/>
    <w:rsid w:val="004F5FF3"/>
    <w:rsid w:val="00501C68"/>
    <w:rsid w:val="00502516"/>
    <w:rsid w:val="00505F06"/>
    <w:rsid w:val="00506828"/>
    <w:rsid w:val="00511B5C"/>
    <w:rsid w:val="00515083"/>
    <w:rsid w:val="00516E30"/>
    <w:rsid w:val="00520E1C"/>
    <w:rsid w:val="00524B2B"/>
    <w:rsid w:val="00524DA9"/>
    <w:rsid w:val="005250F0"/>
    <w:rsid w:val="0053056E"/>
    <w:rsid w:val="005407A9"/>
    <w:rsid w:val="005429CC"/>
    <w:rsid w:val="00543715"/>
    <w:rsid w:val="005463B1"/>
    <w:rsid w:val="005471BA"/>
    <w:rsid w:val="00550F37"/>
    <w:rsid w:val="00554FDA"/>
    <w:rsid w:val="005563EF"/>
    <w:rsid w:val="00560C4D"/>
    <w:rsid w:val="005641D4"/>
    <w:rsid w:val="005643B2"/>
    <w:rsid w:val="00566522"/>
    <w:rsid w:val="0057619B"/>
    <w:rsid w:val="0058751A"/>
    <w:rsid w:val="00592287"/>
    <w:rsid w:val="00595FDC"/>
    <w:rsid w:val="005A3DAC"/>
    <w:rsid w:val="005C087F"/>
    <w:rsid w:val="005C192F"/>
    <w:rsid w:val="005C3290"/>
    <w:rsid w:val="005C784C"/>
    <w:rsid w:val="005D17F6"/>
    <w:rsid w:val="005E5539"/>
    <w:rsid w:val="005F18B0"/>
    <w:rsid w:val="005F2E4F"/>
    <w:rsid w:val="005F301C"/>
    <w:rsid w:val="005F3B05"/>
    <w:rsid w:val="005F6BAF"/>
    <w:rsid w:val="006022FB"/>
    <w:rsid w:val="00602BF5"/>
    <w:rsid w:val="00604563"/>
    <w:rsid w:val="006117F0"/>
    <w:rsid w:val="00614586"/>
    <w:rsid w:val="00615333"/>
    <w:rsid w:val="00617FDD"/>
    <w:rsid w:val="00623F9E"/>
    <w:rsid w:val="0063191A"/>
    <w:rsid w:val="00633614"/>
    <w:rsid w:val="00633F68"/>
    <w:rsid w:val="00635D1E"/>
    <w:rsid w:val="00636EB2"/>
    <w:rsid w:val="006375B8"/>
    <w:rsid w:val="00637BD9"/>
    <w:rsid w:val="00641D2C"/>
    <w:rsid w:val="00652989"/>
    <w:rsid w:val="00662C63"/>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250C"/>
    <w:rsid w:val="006A3010"/>
    <w:rsid w:val="006B21D3"/>
    <w:rsid w:val="006B57D0"/>
    <w:rsid w:val="006C36C3"/>
    <w:rsid w:val="006C54E8"/>
    <w:rsid w:val="006C6BBE"/>
    <w:rsid w:val="006D07CA"/>
    <w:rsid w:val="006D0D55"/>
    <w:rsid w:val="006D30FF"/>
    <w:rsid w:val="006D6513"/>
    <w:rsid w:val="006D6940"/>
    <w:rsid w:val="006E36FB"/>
    <w:rsid w:val="006E4C4C"/>
    <w:rsid w:val="006F11EC"/>
    <w:rsid w:val="006F6BC2"/>
    <w:rsid w:val="006F7B32"/>
    <w:rsid w:val="0070082C"/>
    <w:rsid w:val="00703CB0"/>
    <w:rsid w:val="00717FAC"/>
    <w:rsid w:val="007217F7"/>
    <w:rsid w:val="007369E6"/>
    <w:rsid w:val="0074081A"/>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681B"/>
    <w:rsid w:val="007C0365"/>
    <w:rsid w:val="007C117D"/>
    <w:rsid w:val="007C435A"/>
    <w:rsid w:val="007D2036"/>
    <w:rsid w:val="007D2288"/>
    <w:rsid w:val="007D57DC"/>
    <w:rsid w:val="007D7136"/>
    <w:rsid w:val="007D7267"/>
    <w:rsid w:val="007E088F"/>
    <w:rsid w:val="007E5A64"/>
    <w:rsid w:val="007F695F"/>
    <w:rsid w:val="007F7B32"/>
    <w:rsid w:val="00803194"/>
    <w:rsid w:val="00804BC2"/>
    <w:rsid w:val="00805C12"/>
    <w:rsid w:val="00806A82"/>
    <w:rsid w:val="00806F85"/>
    <w:rsid w:val="008135FB"/>
    <w:rsid w:val="0081431A"/>
    <w:rsid w:val="00815D3B"/>
    <w:rsid w:val="00817F4A"/>
    <w:rsid w:val="00820D61"/>
    <w:rsid w:val="00822FE9"/>
    <w:rsid w:val="00823B2B"/>
    <w:rsid w:val="0083216F"/>
    <w:rsid w:val="0084067C"/>
    <w:rsid w:val="00852FAC"/>
    <w:rsid w:val="00856B35"/>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945A5"/>
    <w:rsid w:val="0089784C"/>
    <w:rsid w:val="008B0B7A"/>
    <w:rsid w:val="008B459E"/>
    <w:rsid w:val="008B550E"/>
    <w:rsid w:val="008C2E88"/>
    <w:rsid w:val="008C44A9"/>
    <w:rsid w:val="008C450A"/>
    <w:rsid w:val="008C5FB4"/>
    <w:rsid w:val="008D1958"/>
    <w:rsid w:val="008D2F5D"/>
    <w:rsid w:val="008E13AE"/>
    <w:rsid w:val="008E1506"/>
    <w:rsid w:val="008E457D"/>
    <w:rsid w:val="008E710C"/>
    <w:rsid w:val="008F3451"/>
    <w:rsid w:val="008F6244"/>
    <w:rsid w:val="008F69D6"/>
    <w:rsid w:val="00900EE4"/>
    <w:rsid w:val="00902823"/>
    <w:rsid w:val="00905E8F"/>
    <w:rsid w:val="00915CA6"/>
    <w:rsid w:val="00920622"/>
    <w:rsid w:val="00922697"/>
    <w:rsid w:val="009235F4"/>
    <w:rsid w:val="00927834"/>
    <w:rsid w:val="00927F0D"/>
    <w:rsid w:val="00930C6D"/>
    <w:rsid w:val="00930CB9"/>
    <w:rsid w:val="00946369"/>
    <w:rsid w:val="00947B3F"/>
    <w:rsid w:val="009500A6"/>
    <w:rsid w:val="00950576"/>
    <w:rsid w:val="00957C18"/>
    <w:rsid w:val="009603ED"/>
    <w:rsid w:val="00961EA4"/>
    <w:rsid w:val="009659BA"/>
    <w:rsid w:val="009671DA"/>
    <w:rsid w:val="00967335"/>
    <w:rsid w:val="00971517"/>
    <w:rsid w:val="00975726"/>
    <w:rsid w:val="00977EED"/>
    <w:rsid w:val="00983040"/>
    <w:rsid w:val="0098776E"/>
    <w:rsid w:val="009900AE"/>
    <w:rsid w:val="00990D52"/>
    <w:rsid w:val="00996E01"/>
    <w:rsid w:val="009A37EA"/>
    <w:rsid w:val="009A3D48"/>
    <w:rsid w:val="009B3FB9"/>
    <w:rsid w:val="009C155C"/>
    <w:rsid w:val="009C1BCC"/>
    <w:rsid w:val="009C2465"/>
    <w:rsid w:val="009C3939"/>
    <w:rsid w:val="009C6BBD"/>
    <w:rsid w:val="009D35A0"/>
    <w:rsid w:val="009D4E00"/>
    <w:rsid w:val="009D6CCF"/>
    <w:rsid w:val="009D7EB7"/>
    <w:rsid w:val="009E048A"/>
    <w:rsid w:val="009E08E9"/>
    <w:rsid w:val="009E0B78"/>
    <w:rsid w:val="009E27B7"/>
    <w:rsid w:val="009E3DB9"/>
    <w:rsid w:val="009E5F9E"/>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3D4D"/>
    <w:rsid w:val="00A24E7E"/>
    <w:rsid w:val="00A258C0"/>
    <w:rsid w:val="00A258C3"/>
    <w:rsid w:val="00A32B47"/>
    <w:rsid w:val="00A347C0"/>
    <w:rsid w:val="00A34E0C"/>
    <w:rsid w:val="00A35DCA"/>
    <w:rsid w:val="00A4455A"/>
    <w:rsid w:val="00A51431"/>
    <w:rsid w:val="00A539AD"/>
    <w:rsid w:val="00A54242"/>
    <w:rsid w:val="00A55036"/>
    <w:rsid w:val="00A57C95"/>
    <w:rsid w:val="00A70D2F"/>
    <w:rsid w:val="00A716FC"/>
    <w:rsid w:val="00A7284A"/>
    <w:rsid w:val="00A7341A"/>
    <w:rsid w:val="00A872BF"/>
    <w:rsid w:val="00A91AB1"/>
    <w:rsid w:val="00A94063"/>
    <w:rsid w:val="00AA2FE2"/>
    <w:rsid w:val="00AA6219"/>
    <w:rsid w:val="00AA6AA7"/>
    <w:rsid w:val="00AA74E0"/>
    <w:rsid w:val="00AB1023"/>
    <w:rsid w:val="00AB703F"/>
    <w:rsid w:val="00AC6BB8"/>
    <w:rsid w:val="00AD5775"/>
    <w:rsid w:val="00AE008F"/>
    <w:rsid w:val="00AE153D"/>
    <w:rsid w:val="00AF53ED"/>
    <w:rsid w:val="00B01FCD"/>
    <w:rsid w:val="00B04DDE"/>
    <w:rsid w:val="00B10F31"/>
    <w:rsid w:val="00B14361"/>
    <w:rsid w:val="00B14961"/>
    <w:rsid w:val="00B169E3"/>
    <w:rsid w:val="00B1776C"/>
    <w:rsid w:val="00B20991"/>
    <w:rsid w:val="00B25D91"/>
    <w:rsid w:val="00B264F3"/>
    <w:rsid w:val="00B30031"/>
    <w:rsid w:val="00B32752"/>
    <w:rsid w:val="00B47D04"/>
    <w:rsid w:val="00B50098"/>
    <w:rsid w:val="00B52896"/>
    <w:rsid w:val="00B53EF0"/>
    <w:rsid w:val="00B61116"/>
    <w:rsid w:val="00B66B94"/>
    <w:rsid w:val="00B7658B"/>
    <w:rsid w:val="00B83B36"/>
    <w:rsid w:val="00B84C80"/>
    <w:rsid w:val="00B87E92"/>
    <w:rsid w:val="00B92692"/>
    <w:rsid w:val="00B95236"/>
    <w:rsid w:val="00B96BD9"/>
    <w:rsid w:val="00B97FC2"/>
    <w:rsid w:val="00BA1B01"/>
    <w:rsid w:val="00BA2641"/>
    <w:rsid w:val="00BA3818"/>
    <w:rsid w:val="00BB3532"/>
    <w:rsid w:val="00BB37AA"/>
    <w:rsid w:val="00BC0908"/>
    <w:rsid w:val="00BC3EFF"/>
    <w:rsid w:val="00BC53A0"/>
    <w:rsid w:val="00BC64B7"/>
    <w:rsid w:val="00BD0C52"/>
    <w:rsid w:val="00BD109D"/>
    <w:rsid w:val="00BD14E6"/>
    <w:rsid w:val="00BD7246"/>
    <w:rsid w:val="00BE4197"/>
    <w:rsid w:val="00BE4871"/>
    <w:rsid w:val="00BE62AD"/>
    <w:rsid w:val="00BE72F8"/>
    <w:rsid w:val="00BE7725"/>
    <w:rsid w:val="00BE7940"/>
    <w:rsid w:val="00BF1000"/>
    <w:rsid w:val="00BF121F"/>
    <w:rsid w:val="00BF1F80"/>
    <w:rsid w:val="00BF21B4"/>
    <w:rsid w:val="00BF442F"/>
    <w:rsid w:val="00BF51DD"/>
    <w:rsid w:val="00C028EC"/>
    <w:rsid w:val="00C02C24"/>
    <w:rsid w:val="00C04D01"/>
    <w:rsid w:val="00C0561F"/>
    <w:rsid w:val="00C07A3E"/>
    <w:rsid w:val="00C10535"/>
    <w:rsid w:val="00C166EF"/>
    <w:rsid w:val="00C167E4"/>
    <w:rsid w:val="00C17EB0"/>
    <w:rsid w:val="00C20FDC"/>
    <w:rsid w:val="00C22E3D"/>
    <w:rsid w:val="00C23158"/>
    <w:rsid w:val="00C245CF"/>
    <w:rsid w:val="00C27F5F"/>
    <w:rsid w:val="00C30A0F"/>
    <w:rsid w:val="00C3774E"/>
    <w:rsid w:val="00C37E61"/>
    <w:rsid w:val="00C40112"/>
    <w:rsid w:val="00C45754"/>
    <w:rsid w:val="00C4602A"/>
    <w:rsid w:val="00C51DF7"/>
    <w:rsid w:val="00C52152"/>
    <w:rsid w:val="00C675DD"/>
    <w:rsid w:val="00C70F1B"/>
    <w:rsid w:val="00C71A47"/>
    <w:rsid w:val="00C7464C"/>
    <w:rsid w:val="00C8107B"/>
    <w:rsid w:val="00C81FDF"/>
    <w:rsid w:val="00C85588"/>
    <w:rsid w:val="00C878BA"/>
    <w:rsid w:val="00C931EB"/>
    <w:rsid w:val="00CA5EA6"/>
    <w:rsid w:val="00CB30F0"/>
    <w:rsid w:val="00CB34A0"/>
    <w:rsid w:val="00CB41AA"/>
    <w:rsid w:val="00CD28E8"/>
    <w:rsid w:val="00CD35D7"/>
    <w:rsid w:val="00CD5D97"/>
    <w:rsid w:val="00CD6755"/>
    <w:rsid w:val="00CD6856"/>
    <w:rsid w:val="00CE0089"/>
    <w:rsid w:val="00CE229E"/>
    <w:rsid w:val="00CE793C"/>
    <w:rsid w:val="00CF243E"/>
    <w:rsid w:val="00CF2471"/>
    <w:rsid w:val="00CF3E5C"/>
    <w:rsid w:val="00D11F0F"/>
    <w:rsid w:val="00D173F1"/>
    <w:rsid w:val="00D25E82"/>
    <w:rsid w:val="00D25FC0"/>
    <w:rsid w:val="00D302EF"/>
    <w:rsid w:val="00D4232D"/>
    <w:rsid w:val="00D46C65"/>
    <w:rsid w:val="00D61C8F"/>
    <w:rsid w:val="00D66098"/>
    <w:rsid w:val="00D77927"/>
    <w:rsid w:val="00D8295D"/>
    <w:rsid w:val="00D85568"/>
    <w:rsid w:val="00D86BA4"/>
    <w:rsid w:val="00D91D84"/>
    <w:rsid w:val="00D97C9E"/>
    <w:rsid w:val="00DA33E2"/>
    <w:rsid w:val="00DB0FD2"/>
    <w:rsid w:val="00DB39D3"/>
    <w:rsid w:val="00DB7584"/>
    <w:rsid w:val="00DC0510"/>
    <w:rsid w:val="00DC2879"/>
    <w:rsid w:val="00DC2A65"/>
    <w:rsid w:val="00DC74ED"/>
    <w:rsid w:val="00DC77F2"/>
    <w:rsid w:val="00DD437E"/>
    <w:rsid w:val="00DD4C68"/>
    <w:rsid w:val="00DD5785"/>
    <w:rsid w:val="00DE15F0"/>
    <w:rsid w:val="00DE1C51"/>
    <w:rsid w:val="00DE4602"/>
    <w:rsid w:val="00DE5663"/>
    <w:rsid w:val="00DE78AA"/>
    <w:rsid w:val="00DF0A2D"/>
    <w:rsid w:val="00DF3431"/>
    <w:rsid w:val="00DF364F"/>
    <w:rsid w:val="00DF6BC2"/>
    <w:rsid w:val="00E053D0"/>
    <w:rsid w:val="00E05A1F"/>
    <w:rsid w:val="00E07795"/>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6496"/>
    <w:rsid w:val="00E66B35"/>
    <w:rsid w:val="00E66E10"/>
    <w:rsid w:val="00E67B03"/>
    <w:rsid w:val="00E7449C"/>
    <w:rsid w:val="00E769F6"/>
    <w:rsid w:val="00E80D6D"/>
    <w:rsid w:val="00E8223B"/>
    <w:rsid w:val="00E8407C"/>
    <w:rsid w:val="00E84F3C"/>
    <w:rsid w:val="00E90CF6"/>
    <w:rsid w:val="00E97F35"/>
    <w:rsid w:val="00EA012C"/>
    <w:rsid w:val="00EA01A8"/>
    <w:rsid w:val="00EA0711"/>
    <w:rsid w:val="00EA11A1"/>
    <w:rsid w:val="00EA223C"/>
    <w:rsid w:val="00EA2F66"/>
    <w:rsid w:val="00EA5026"/>
    <w:rsid w:val="00EA51FD"/>
    <w:rsid w:val="00EA7130"/>
    <w:rsid w:val="00EA7384"/>
    <w:rsid w:val="00EB4D6B"/>
    <w:rsid w:val="00EB4ECE"/>
    <w:rsid w:val="00EB6311"/>
    <w:rsid w:val="00EB7516"/>
    <w:rsid w:val="00EC3B57"/>
    <w:rsid w:val="00ED0288"/>
    <w:rsid w:val="00ED0571"/>
    <w:rsid w:val="00ED32B7"/>
    <w:rsid w:val="00ED3D15"/>
    <w:rsid w:val="00ED4563"/>
    <w:rsid w:val="00EE2AA6"/>
    <w:rsid w:val="00EE3A5F"/>
    <w:rsid w:val="00EE41F3"/>
    <w:rsid w:val="00EE47EB"/>
    <w:rsid w:val="00EE52CB"/>
    <w:rsid w:val="00EE7CC2"/>
    <w:rsid w:val="00EF581D"/>
    <w:rsid w:val="00EF7FD8"/>
    <w:rsid w:val="00F00250"/>
    <w:rsid w:val="00F01128"/>
    <w:rsid w:val="00F06F59"/>
    <w:rsid w:val="00F11AEB"/>
    <w:rsid w:val="00F1217B"/>
    <w:rsid w:val="00F17988"/>
    <w:rsid w:val="00F238CD"/>
    <w:rsid w:val="00F241A3"/>
    <w:rsid w:val="00F310EF"/>
    <w:rsid w:val="00F32F68"/>
    <w:rsid w:val="00F339E4"/>
    <w:rsid w:val="00F3638F"/>
    <w:rsid w:val="00F36734"/>
    <w:rsid w:val="00F37922"/>
    <w:rsid w:val="00F402B2"/>
    <w:rsid w:val="00F4233C"/>
    <w:rsid w:val="00F42CA9"/>
    <w:rsid w:val="00F469F0"/>
    <w:rsid w:val="00F53273"/>
    <w:rsid w:val="00F5704C"/>
    <w:rsid w:val="00F62052"/>
    <w:rsid w:val="00F703C9"/>
    <w:rsid w:val="00F744D1"/>
    <w:rsid w:val="00F755E4"/>
    <w:rsid w:val="00F77D02"/>
    <w:rsid w:val="00F81915"/>
    <w:rsid w:val="00F83781"/>
    <w:rsid w:val="00F85FF7"/>
    <w:rsid w:val="00F97EEA"/>
    <w:rsid w:val="00FA3877"/>
    <w:rsid w:val="00FA67F8"/>
    <w:rsid w:val="00FB3A86"/>
    <w:rsid w:val="00FB41D6"/>
    <w:rsid w:val="00FB66D6"/>
    <w:rsid w:val="00FC6BDE"/>
    <w:rsid w:val="00FC6C8C"/>
    <w:rsid w:val="00FC731A"/>
    <w:rsid w:val="00FD10C7"/>
    <w:rsid w:val="00FD36C8"/>
    <w:rsid w:val="00FD6022"/>
    <w:rsid w:val="00FE4327"/>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47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customStyle="1" w:styleId="UnresolvedMention">
    <w:name w:val="Unresolved Mention"/>
    <w:basedOn w:val="DefaultParagraphFont"/>
    <w:uiPriority w:val="99"/>
    <w:semiHidden/>
    <w:unhideWhenUsed/>
    <w:rsid w:val="00BA38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customStyle="1" w:styleId="UnresolvedMention">
    <w:name w:val="Unresolved Mention"/>
    <w:basedOn w:val="DefaultParagraphFont"/>
    <w:uiPriority w:val="99"/>
    <w:semiHidden/>
    <w:unhideWhenUsed/>
    <w:rsid w:val="00BA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274305">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4_Dr_Eunar\Base%20de%20datos%20y%20an&#225;lisis_Dr_Eunar_240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Frecuencias!$C$8:$C$9</c:f>
              <c:strCache>
                <c:ptCount val="2"/>
                <c:pt idx="0">
                  <c:v>18-59</c:v>
                </c:pt>
                <c:pt idx="1">
                  <c:v>60-75</c:v>
                </c:pt>
              </c:strCache>
            </c:strRef>
          </c:cat>
          <c:val>
            <c:numRef>
              <c:f>Frecuencias!$D$8:$D$9</c:f>
              <c:numCache>
                <c:formatCode>###0</c:formatCode>
                <c:ptCount val="2"/>
                <c:pt idx="0">
                  <c:v>48</c:v>
                </c:pt>
                <c:pt idx="1">
                  <c:v>182</c:v>
                </c:pt>
              </c:numCache>
            </c:numRef>
          </c:val>
          <c:extLst xmlns:c16r2="http://schemas.microsoft.com/office/drawing/2015/06/chart">
            <c:ext xmlns:c16="http://schemas.microsoft.com/office/drawing/2014/chart" uri="{C3380CC4-5D6E-409C-BE32-E72D297353CC}">
              <c16:uniqueId val="{00000000-CF8D-4A85-B371-585DEACCC339}"/>
            </c:ext>
          </c:extLst>
        </c:ser>
        <c:dLbls>
          <c:showLegendKey val="0"/>
          <c:showVal val="0"/>
          <c:showCatName val="0"/>
          <c:showSerName val="0"/>
          <c:showPercent val="0"/>
          <c:showBubbleSize val="0"/>
        </c:dLbls>
        <c:gapWidth val="150"/>
        <c:axId val="47674368"/>
        <c:axId val="66186624"/>
      </c:barChart>
      <c:catAx>
        <c:axId val="47674368"/>
        <c:scaling>
          <c:orientation val="minMax"/>
        </c:scaling>
        <c:delete val="0"/>
        <c:axPos val="b"/>
        <c:title>
          <c:tx>
            <c:rich>
              <a:bodyPr/>
              <a:lstStyle/>
              <a:p>
                <a:pPr>
                  <a:defRPr/>
                </a:pPr>
                <a:r>
                  <a:rPr lang="en-US"/>
                  <a:t>Age</a:t>
                </a:r>
                <a:r>
                  <a:rPr lang="en-US" baseline="0"/>
                  <a:t> group</a:t>
                </a:r>
                <a:r>
                  <a:rPr lang="en-US"/>
                  <a:t> (years)</a:t>
                </a:r>
              </a:p>
            </c:rich>
          </c:tx>
          <c:overlay val="0"/>
        </c:title>
        <c:numFmt formatCode="General" sourceLinked="1"/>
        <c:majorTickMark val="out"/>
        <c:minorTickMark val="none"/>
        <c:tickLblPos val="nextTo"/>
        <c:crossAx val="66186624"/>
        <c:crosses val="autoZero"/>
        <c:auto val="1"/>
        <c:lblAlgn val="ctr"/>
        <c:lblOffset val="100"/>
        <c:noMultiLvlLbl val="0"/>
      </c:catAx>
      <c:valAx>
        <c:axId val="66186624"/>
        <c:scaling>
          <c:orientation val="minMax"/>
        </c:scaling>
        <c:delete val="0"/>
        <c:axPos val="l"/>
        <c:title>
          <c:tx>
            <c:rich>
              <a:bodyPr rot="-5400000" vert="horz"/>
              <a:lstStyle/>
              <a:p>
                <a:pPr>
                  <a:defRPr/>
                </a:pPr>
                <a:r>
                  <a:rPr lang="en-US"/>
                  <a:t>Number</a:t>
                </a:r>
                <a:r>
                  <a:rPr lang="en-US" baseline="0"/>
                  <a:t> of patients</a:t>
                </a:r>
                <a:endParaRPr lang="en-US"/>
              </a:p>
            </c:rich>
          </c:tx>
          <c:overlay val="0"/>
        </c:title>
        <c:numFmt formatCode="###0" sourceLinked="1"/>
        <c:majorTickMark val="out"/>
        <c:minorTickMark val="none"/>
        <c:tickLblPos val="nextTo"/>
        <c:crossAx val="4767436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9C7A-0BB0-4F4E-815B-08F690DE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1021</TotalTime>
  <Pages>9</Pages>
  <Words>3167</Words>
  <Characters>17420</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20546</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yareli velazquez flores</cp:lastModifiedBy>
  <cp:revision>69</cp:revision>
  <cp:lastPrinted>2026-01-07T06:37:00Z</cp:lastPrinted>
  <dcterms:created xsi:type="dcterms:W3CDTF">2025-12-28T06:10:00Z</dcterms:created>
  <dcterms:modified xsi:type="dcterms:W3CDTF">2026-01-16T18:55:00Z</dcterms:modified>
</cp:coreProperties>
</file>