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7F666" w14:textId="77777777" w:rsidR="0062302F" w:rsidRPr="00305A4F" w:rsidRDefault="0062302F" w:rsidP="00711C17">
      <w:pPr>
        <w:spacing w:after="120" w:line="360" w:lineRule="auto"/>
        <w:ind w:left="10" w:hanging="10"/>
        <w:jc w:val="center"/>
        <w:rPr>
          <w:rFonts w:ascii="Arial" w:eastAsia="Times New Roman" w:hAnsi="Arial" w:cs="Arial"/>
          <w:b/>
          <w:bCs/>
          <w:iCs/>
          <w:kern w:val="28"/>
          <w:sz w:val="36"/>
          <w:szCs w:val="20"/>
          <w14:ligatures w14:val="none"/>
        </w:rPr>
      </w:pPr>
      <w:r w:rsidRPr="00305A4F">
        <w:rPr>
          <w:rFonts w:ascii="Arial" w:eastAsia="Times New Roman" w:hAnsi="Arial" w:cs="Arial"/>
          <w:b/>
          <w:bCs/>
          <w:iCs/>
          <w:kern w:val="28"/>
          <w:sz w:val="36"/>
          <w:szCs w:val="20"/>
          <w14:ligatures w14:val="none"/>
        </w:rPr>
        <w:t>ORIGINAL RESEARCH ARTICLE</w:t>
      </w:r>
    </w:p>
    <w:p w14:paraId="612B7B2B" w14:textId="77777777" w:rsidR="0062302F" w:rsidRDefault="0062302F" w:rsidP="004D1045">
      <w:pPr>
        <w:spacing w:line="480" w:lineRule="auto"/>
        <w:jc w:val="both"/>
        <w:rPr>
          <w:rFonts w:ascii="Times New Roman" w:hAnsi="Times New Roman" w:cs="Times New Roman"/>
          <w:b/>
          <w:bCs/>
        </w:rPr>
      </w:pPr>
    </w:p>
    <w:p w14:paraId="31C471E9" w14:textId="7CCF69E4" w:rsidR="0062302F" w:rsidRPr="00893EA0" w:rsidRDefault="00305A4F" w:rsidP="00305A4F">
      <w:pPr>
        <w:spacing w:after="120" w:line="364" w:lineRule="auto"/>
        <w:ind w:left="10" w:hanging="10"/>
        <w:rPr>
          <w:rFonts w:ascii="Arial" w:eastAsia="Times New Roman" w:hAnsi="Arial" w:cs="Arial"/>
          <w:b/>
          <w:bCs/>
          <w:iCs/>
          <w:kern w:val="28"/>
          <w:sz w:val="36"/>
          <w:szCs w:val="20"/>
          <w:lang w:val="en-GB"/>
          <w14:ligatures w14:val="none"/>
        </w:rPr>
      </w:pPr>
      <w:r w:rsidRPr="00893EA0">
        <w:rPr>
          <w:rFonts w:ascii="Arial" w:eastAsia="Times New Roman" w:hAnsi="Arial" w:cs="Arial"/>
          <w:b/>
          <w:bCs/>
          <w:iCs/>
          <w:kern w:val="28"/>
          <w:sz w:val="36"/>
          <w:szCs w:val="20"/>
          <w:lang w:val="en-GB"/>
          <w14:ligatures w14:val="none"/>
        </w:rPr>
        <w:t xml:space="preserve">ANTIBIOTIC PRESCRIBING DURING INFLUENZA-LIKE ILLNESSES </w:t>
      </w:r>
      <w:r w:rsidR="0062302F" w:rsidRPr="00893EA0">
        <w:rPr>
          <w:rFonts w:ascii="Arial" w:eastAsia="Times New Roman" w:hAnsi="Arial" w:cs="Arial"/>
          <w:b/>
          <w:bCs/>
          <w:iCs/>
          <w:kern w:val="28"/>
          <w:sz w:val="36"/>
          <w:szCs w:val="20"/>
          <w14:ligatures w14:val="none"/>
        </w:rPr>
        <w:t>IN CONAKRY (GUINEA)</w:t>
      </w:r>
      <w:r w:rsidR="002C4637" w:rsidRPr="00893EA0">
        <w:t xml:space="preserve"> </w:t>
      </w:r>
      <w:r w:rsidR="002C4637" w:rsidRPr="00893EA0">
        <w:rPr>
          <w:rFonts w:ascii="Arial" w:eastAsia="Times New Roman" w:hAnsi="Arial" w:cs="Arial"/>
          <w:b/>
          <w:bCs/>
          <w:iCs/>
          <w:kern w:val="28"/>
          <w:sz w:val="36"/>
          <w:szCs w:val="20"/>
          <w14:ligatures w14:val="none"/>
        </w:rPr>
        <w:t>IN 2020</w:t>
      </w:r>
    </w:p>
    <w:p w14:paraId="5BA9685D" w14:textId="77777777" w:rsidR="00447640" w:rsidRPr="00305A4F" w:rsidRDefault="00447640" w:rsidP="00D16E5B">
      <w:pPr>
        <w:spacing w:after="0" w:line="240" w:lineRule="auto"/>
        <w:ind w:left="10" w:hanging="10"/>
        <w:jc w:val="both"/>
        <w:rPr>
          <w:rFonts w:ascii="Arial" w:eastAsia="Times New Roman" w:hAnsi="Arial" w:cs="Arial"/>
          <w:b/>
          <w:caps/>
          <w:kern w:val="0"/>
          <w:sz w:val="22"/>
          <w:szCs w:val="20"/>
          <w14:ligatures w14:val="none"/>
        </w:rPr>
      </w:pPr>
    </w:p>
    <w:p w14:paraId="06DE3935" w14:textId="77777777" w:rsidR="00305A4F" w:rsidRPr="00305A4F" w:rsidRDefault="00305A4F" w:rsidP="00D16E5B">
      <w:pPr>
        <w:spacing w:after="0" w:line="240" w:lineRule="auto"/>
        <w:ind w:left="10" w:hanging="10"/>
        <w:jc w:val="both"/>
        <w:rPr>
          <w:rFonts w:ascii="Arial" w:eastAsia="Times New Roman" w:hAnsi="Arial" w:cs="Arial"/>
          <w:b/>
          <w:caps/>
          <w:kern w:val="0"/>
          <w:sz w:val="22"/>
          <w:szCs w:val="20"/>
          <w:lang w:val="en-GB"/>
          <w14:ligatures w14:val="none"/>
        </w:rPr>
      </w:pPr>
    </w:p>
    <w:p w14:paraId="7B87FB01" w14:textId="77777777" w:rsidR="00305A4F" w:rsidRDefault="00305A4F" w:rsidP="00D16E5B">
      <w:pPr>
        <w:spacing w:after="0" w:line="240" w:lineRule="auto"/>
        <w:ind w:left="10" w:hanging="10"/>
        <w:jc w:val="both"/>
        <w:rPr>
          <w:rFonts w:ascii="Arial" w:eastAsia="Times New Roman" w:hAnsi="Arial" w:cs="Arial"/>
          <w:b/>
          <w:caps/>
          <w:kern w:val="0"/>
          <w:sz w:val="22"/>
          <w:szCs w:val="20"/>
          <w14:ligatures w14:val="none"/>
        </w:rPr>
      </w:pPr>
    </w:p>
    <w:p w14:paraId="0876EAC6" w14:textId="77777777" w:rsidR="00305A4F" w:rsidRPr="00305A4F" w:rsidRDefault="00305A4F" w:rsidP="00D16E5B">
      <w:pPr>
        <w:spacing w:after="0" w:line="240" w:lineRule="auto"/>
        <w:ind w:left="10" w:hanging="10"/>
        <w:jc w:val="both"/>
        <w:rPr>
          <w:rFonts w:ascii="Arial" w:eastAsia="Times New Roman" w:hAnsi="Arial" w:cs="Arial"/>
          <w:b/>
          <w:caps/>
          <w:kern w:val="0"/>
          <w:sz w:val="22"/>
          <w:szCs w:val="20"/>
          <w14:ligatures w14:val="none"/>
        </w:rPr>
      </w:pPr>
    </w:p>
    <w:p w14:paraId="6786BFF6" w14:textId="5C664D1E" w:rsidR="00C87868" w:rsidRPr="00305A4F" w:rsidRDefault="0062302F" w:rsidP="00D16E5B">
      <w:pPr>
        <w:spacing w:after="0" w:line="240" w:lineRule="auto"/>
        <w:ind w:left="10" w:hanging="10"/>
        <w:jc w:val="both"/>
        <w:rPr>
          <w:rFonts w:ascii="Arial" w:eastAsia="Times New Roman" w:hAnsi="Arial" w:cs="Arial"/>
          <w:b/>
          <w:caps/>
          <w:kern w:val="0"/>
          <w:sz w:val="22"/>
          <w:szCs w:val="20"/>
          <w14:ligatures w14:val="none"/>
        </w:rPr>
      </w:pPr>
      <w:r w:rsidRPr="00305A4F">
        <w:rPr>
          <w:rFonts w:ascii="Arial" w:eastAsia="Times New Roman" w:hAnsi="Arial" w:cs="Arial"/>
          <w:b/>
          <w:caps/>
          <w:kern w:val="0"/>
          <w:sz w:val="22"/>
          <w:szCs w:val="20"/>
          <w14:ligatures w14:val="none"/>
        </w:rPr>
        <w:t>ABSTRACT</w:t>
      </w:r>
    </w:p>
    <w:p w14:paraId="5B9B1595" w14:textId="484DB0DC" w:rsidR="0062302F" w:rsidRPr="00C87868" w:rsidRDefault="0062302F" w:rsidP="003110A1">
      <w:pPr>
        <w:spacing w:line="240" w:lineRule="auto"/>
        <w:jc w:val="both"/>
        <w:rPr>
          <w:rFonts w:ascii="Times New Roman" w:hAnsi="Times New Roman" w:cs="Times New Roman"/>
          <w:b/>
          <w:bCs/>
        </w:rPr>
      </w:pPr>
      <w:r w:rsidRPr="00523C83">
        <w:rPr>
          <w:rFonts w:ascii="Arial" w:eastAsia="Calibri" w:hAnsi="Arial" w:cs="Arial"/>
          <w:b/>
          <w:kern w:val="0"/>
          <w:sz w:val="20"/>
          <w:szCs w:val="20"/>
          <w14:ligatures w14:val="none"/>
        </w:rPr>
        <w:t xml:space="preserve">Introduction: </w:t>
      </w:r>
      <w:r w:rsidRPr="00523C83">
        <w:rPr>
          <w:rFonts w:ascii="Arial" w:eastAsia="Calibri" w:hAnsi="Arial" w:cs="Arial"/>
          <w:color w:val="000000"/>
          <w:kern w:val="0"/>
          <w:sz w:val="20"/>
          <w:szCs w:val="20"/>
          <w:lang w:eastAsia="fr-FR"/>
          <w14:ligatures w14:val="none"/>
        </w:rPr>
        <w:t xml:space="preserve">Despite the viral etiology of influenza, antibiotics are most often inappropriately prescribed. </w:t>
      </w:r>
      <w:r w:rsidRPr="00305A4F">
        <w:rPr>
          <w:rFonts w:ascii="Arial" w:eastAsia="Calibri" w:hAnsi="Arial" w:cs="Arial"/>
          <w:color w:val="000000"/>
          <w:kern w:val="0"/>
          <w:sz w:val="20"/>
          <w:szCs w:val="20"/>
          <w:lang w:eastAsia="fr-FR"/>
          <w14:ligatures w14:val="none"/>
        </w:rPr>
        <w:t>The objective of this study was to determine the frequency of antibiotic prescription during influenza-like illnesses</w:t>
      </w:r>
      <w:r w:rsidRPr="0062302F">
        <w:rPr>
          <w:rFonts w:ascii="Times New Roman" w:hAnsi="Times New Roman" w:cs="Times New Roman"/>
        </w:rPr>
        <w:t>.</w:t>
      </w:r>
    </w:p>
    <w:p w14:paraId="4880F405" w14:textId="77777777" w:rsidR="0062302F" w:rsidRPr="00305A4F" w:rsidRDefault="0062302F" w:rsidP="003110A1">
      <w:pPr>
        <w:spacing w:line="240" w:lineRule="auto"/>
        <w:jc w:val="both"/>
        <w:rPr>
          <w:rFonts w:ascii="Arial" w:eastAsia="Calibri" w:hAnsi="Arial" w:cs="Arial"/>
          <w:color w:val="000000"/>
          <w:kern w:val="0"/>
          <w:sz w:val="20"/>
          <w:szCs w:val="20"/>
          <w:lang w:eastAsia="fr-FR"/>
          <w14:ligatures w14:val="none"/>
        </w:rPr>
      </w:pPr>
      <w:r w:rsidRPr="00523C83">
        <w:rPr>
          <w:rFonts w:ascii="Arial" w:eastAsia="Calibri" w:hAnsi="Arial" w:cs="Arial"/>
          <w:b/>
          <w:kern w:val="0"/>
          <w:sz w:val="20"/>
          <w:szCs w:val="20"/>
          <w14:ligatures w14:val="none"/>
        </w:rPr>
        <w:t>Materials and Methods:</w:t>
      </w:r>
      <w:r w:rsidRPr="0062302F">
        <w:rPr>
          <w:rFonts w:ascii="Times New Roman" w:hAnsi="Times New Roman" w:cs="Times New Roman"/>
        </w:rPr>
        <w:t xml:space="preserve"> </w:t>
      </w:r>
      <w:r w:rsidRPr="00523C83">
        <w:rPr>
          <w:rFonts w:ascii="Arial" w:eastAsia="Calibri" w:hAnsi="Arial" w:cs="Arial"/>
          <w:color w:val="000000"/>
          <w:kern w:val="0"/>
          <w:sz w:val="20"/>
          <w:szCs w:val="20"/>
          <w:lang w:eastAsia="fr-FR"/>
          <w14:ligatures w14:val="none"/>
        </w:rPr>
        <w:t xml:space="preserve">We conducted a prospective descriptive study over a six-month period at the influenza sentinel surveillance site of Gbéssia Port I in Conakry. </w:t>
      </w:r>
      <w:r w:rsidRPr="00305A4F">
        <w:rPr>
          <w:rFonts w:ascii="Arial" w:eastAsia="Calibri" w:hAnsi="Arial" w:cs="Arial"/>
          <w:color w:val="000000"/>
          <w:kern w:val="0"/>
          <w:sz w:val="20"/>
          <w:szCs w:val="20"/>
          <w:lang w:eastAsia="fr-FR"/>
          <w14:ligatures w14:val="none"/>
        </w:rPr>
        <w:t>Patients presenting with influenza-like illness were included. Epidemiological, clinical, and therapeutic data were collected.</w:t>
      </w:r>
    </w:p>
    <w:p w14:paraId="22CE1515" w14:textId="77777777" w:rsidR="0062302F" w:rsidRPr="00305A4F" w:rsidRDefault="0062302F" w:rsidP="003110A1">
      <w:pPr>
        <w:spacing w:line="240" w:lineRule="auto"/>
        <w:jc w:val="both"/>
        <w:rPr>
          <w:rFonts w:ascii="Arial" w:eastAsia="Calibri" w:hAnsi="Arial" w:cs="Arial"/>
          <w:color w:val="000000"/>
          <w:kern w:val="0"/>
          <w:sz w:val="20"/>
          <w:szCs w:val="20"/>
          <w:lang w:eastAsia="fr-FR"/>
          <w14:ligatures w14:val="none"/>
        </w:rPr>
      </w:pPr>
      <w:r w:rsidRPr="00523C83">
        <w:rPr>
          <w:rFonts w:ascii="Arial" w:eastAsia="Calibri" w:hAnsi="Arial" w:cs="Arial"/>
          <w:b/>
          <w:kern w:val="0"/>
          <w:sz w:val="20"/>
          <w:szCs w:val="20"/>
          <w14:ligatures w14:val="none"/>
        </w:rPr>
        <w:t>Results</w:t>
      </w:r>
      <w:r w:rsidRPr="004D1045">
        <w:rPr>
          <w:rFonts w:ascii="Times New Roman" w:hAnsi="Times New Roman" w:cs="Times New Roman"/>
          <w:b/>
          <w:bCs/>
        </w:rPr>
        <w:t>:</w:t>
      </w:r>
      <w:r w:rsidRPr="0062302F">
        <w:rPr>
          <w:rFonts w:ascii="Times New Roman" w:hAnsi="Times New Roman" w:cs="Times New Roman"/>
        </w:rPr>
        <w:t xml:space="preserve"> </w:t>
      </w:r>
      <w:r w:rsidRPr="00523C83">
        <w:rPr>
          <w:rFonts w:ascii="Arial" w:eastAsia="Calibri" w:hAnsi="Arial" w:cs="Arial"/>
          <w:color w:val="000000"/>
          <w:kern w:val="0"/>
          <w:sz w:val="20"/>
          <w:szCs w:val="20"/>
          <w:lang w:eastAsia="fr-FR"/>
          <w14:ligatures w14:val="none"/>
        </w:rPr>
        <w:t xml:space="preserve">During the study period, a total of 1,823 consultations were conducted at the health facility, among which 368 cases of influenza-like illness were diagnosed. </w:t>
      </w:r>
      <w:r w:rsidRPr="00305A4F">
        <w:rPr>
          <w:rFonts w:ascii="Arial" w:eastAsia="Calibri" w:hAnsi="Arial" w:cs="Arial"/>
          <w:color w:val="000000"/>
          <w:kern w:val="0"/>
          <w:sz w:val="20"/>
          <w:szCs w:val="20"/>
          <w:lang w:eastAsia="fr-FR"/>
          <w14:ligatures w14:val="none"/>
        </w:rPr>
        <w:t>The mean age was 14.10 ± 16.20 years. A female predominance was observed (52.72%), and 60.60% of patients were not attending school. No patient had been vaccinated against influenza. Prior self-medication with antibiotics was reported in 21.20% of cases. Clinically, the main symptoms were cough (96.20%), fever (92.66%), and rhinorrhea (81.79%). Influenza RT-PCR was positive for H3N2 in three cases. Antibiotic therapy was prescribed in 92.11% of patients at the end of the consultation. Cotrimoxazole was the most frequently prescribed antibiotic (69.02%), followed by amoxicillin (30.38%).</w:t>
      </w:r>
    </w:p>
    <w:p w14:paraId="7266CF47" w14:textId="77777777" w:rsidR="00893EA0" w:rsidRDefault="0062302F" w:rsidP="00893EA0">
      <w:pPr>
        <w:spacing w:line="240" w:lineRule="auto"/>
        <w:jc w:val="both"/>
        <w:rPr>
          <w:rFonts w:ascii="Arial" w:eastAsia="Calibri" w:hAnsi="Arial" w:cs="Arial"/>
          <w:color w:val="000000"/>
          <w:kern w:val="0"/>
          <w:sz w:val="20"/>
          <w:szCs w:val="20"/>
          <w:lang w:eastAsia="fr-FR"/>
          <w14:ligatures w14:val="none"/>
        </w:rPr>
      </w:pPr>
      <w:r w:rsidRPr="00523C83">
        <w:rPr>
          <w:rFonts w:ascii="Arial" w:eastAsia="Calibri" w:hAnsi="Arial" w:cs="Arial"/>
          <w:b/>
          <w:kern w:val="0"/>
          <w:sz w:val="20"/>
          <w:szCs w:val="20"/>
          <w14:ligatures w14:val="none"/>
        </w:rPr>
        <w:t>Conclusion</w:t>
      </w:r>
      <w:r w:rsidRPr="00523C83">
        <w:rPr>
          <w:rFonts w:ascii="Arial" w:eastAsia="Calibri" w:hAnsi="Arial" w:cs="Arial"/>
          <w:color w:val="000000"/>
          <w:kern w:val="0"/>
          <w:sz w:val="20"/>
          <w:szCs w:val="20"/>
          <w:lang w:eastAsia="fr-FR"/>
          <w14:ligatures w14:val="none"/>
        </w:rPr>
        <w:t xml:space="preserve">: </w:t>
      </w:r>
      <w:r w:rsidR="00893EA0" w:rsidRPr="00893EA0">
        <w:rPr>
          <w:rFonts w:ascii="Arial" w:eastAsia="Calibri" w:hAnsi="Arial" w:cs="Arial"/>
          <w:color w:val="000000"/>
          <w:kern w:val="0"/>
          <w:sz w:val="20"/>
          <w:szCs w:val="20"/>
          <w:lang w:eastAsia="fr-FR"/>
          <w14:ligatures w14:val="none"/>
        </w:rPr>
        <w:t>Training and education of healthcare staff on the viral etiology of influenza are necessary for better case management and rational use of antibiotics.</w:t>
      </w:r>
    </w:p>
    <w:p w14:paraId="56580C23" w14:textId="2F5F3451" w:rsidR="0062302F" w:rsidRDefault="0062302F" w:rsidP="00893EA0">
      <w:pPr>
        <w:spacing w:line="240" w:lineRule="auto"/>
        <w:jc w:val="both"/>
        <w:rPr>
          <w:rFonts w:ascii="Times New Roman" w:hAnsi="Times New Roman" w:cs="Times New Roman"/>
        </w:rPr>
      </w:pPr>
      <w:r w:rsidRPr="00523C83">
        <w:rPr>
          <w:rFonts w:ascii="Arial" w:eastAsia="Calibri" w:hAnsi="Arial" w:cs="Arial"/>
          <w:b/>
          <w:kern w:val="0"/>
          <w:sz w:val="20"/>
          <w:szCs w:val="20"/>
          <w14:ligatures w14:val="none"/>
        </w:rPr>
        <w:t>Keywords:</w:t>
      </w:r>
      <w:r w:rsidRPr="0062302F">
        <w:rPr>
          <w:rFonts w:ascii="Times New Roman" w:hAnsi="Times New Roman" w:cs="Times New Roman"/>
        </w:rPr>
        <w:t xml:space="preserve"> </w:t>
      </w:r>
      <w:r w:rsidRPr="00523C83">
        <w:rPr>
          <w:rFonts w:ascii="Arial" w:eastAsia="Calibri" w:hAnsi="Arial" w:cs="Arial"/>
          <w:color w:val="000000"/>
          <w:kern w:val="0"/>
          <w:sz w:val="20"/>
          <w:szCs w:val="20"/>
          <w:lang w:eastAsia="fr-FR"/>
          <w14:ligatures w14:val="none"/>
        </w:rPr>
        <w:t>Influenza-like illness, Antibiotics, Prescription, Conakry</w:t>
      </w:r>
      <w:r w:rsidRPr="0062302F">
        <w:rPr>
          <w:rFonts w:ascii="Times New Roman" w:hAnsi="Times New Roman" w:cs="Times New Roman"/>
        </w:rPr>
        <w:t>.</w:t>
      </w:r>
    </w:p>
    <w:p w14:paraId="7A49AB9A" w14:textId="77777777" w:rsidR="00CD50D2" w:rsidRDefault="00CD50D2" w:rsidP="004D1045">
      <w:pPr>
        <w:spacing w:line="480" w:lineRule="auto"/>
        <w:jc w:val="both"/>
        <w:rPr>
          <w:rFonts w:ascii="Times New Roman" w:hAnsi="Times New Roman" w:cs="Times New Roman"/>
        </w:rPr>
      </w:pPr>
    </w:p>
    <w:p w14:paraId="4FF99695" w14:textId="77777777" w:rsidR="00CD50D2" w:rsidRDefault="00CD50D2" w:rsidP="004D1045">
      <w:pPr>
        <w:spacing w:line="480" w:lineRule="auto"/>
        <w:jc w:val="both"/>
        <w:rPr>
          <w:rFonts w:ascii="Times New Roman" w:hAnsi="Times New Roman" w:cs="Times New Roman"/>
        </w:rPr>
      </w:pPr>
    </w:p>
    <w:p w14:paraId="26A72E6D" w14:textId="77777777" w:rsidR="00CD50D2" w:rsidRDefault="00CD50D2" w:rsidP="004D1045">
      <w:pPr>
        <w:spacing w:line="480" w:lineRule="auto"/>
        <w:jc w:val="both"/>
        <w:rPr>
          <w:rFonts w:ascii="Times New Roman" w:hAnsi="Times New Roman" w:cs="Times New Roman"/>
        </w:rPr>
      </w:pPr>
    </w:p>
    <w:p w14:paraId="5DFCB89F" w14:textId="77777777" w:rsidR="00CD50D2" w:rsidRDefault="00CD50D2" w:rsidP="004D1045">
      <w:pPr>
        <w:spacing w:line="480" w:lineRule="auto"/>
        <w:jc w:val="both"/>
        <w:rPr>
          <w:rFonts w:ascii="Times New Roman" w:hAnsi="Times New Roman" w:cs="Times New Roman"/>
        </w:rPr>
      </w:pPr>
    </w:p>
    <w:p w14:paraId="13C78FD3" w14:textId="77777777" w:rsidR="00CD50D2" w:rsidRDefault="00CD50D2" w:rsidP="004D1045">
      <w:pPr>
        <w:spacing w:line="480" w:lineRule="auto"/>
        <w:jc w:val="both"/>
        <w:rPr>
          <w:rFonts w:ascii="Times New Roman" w:hAnsi="Times New Roman" w:cs="Times New Roman"/>
        </w:rPr>
      </w:pPr>
    </w:p>
    <w:p w14:paraId="1A3B2471" w14:textId="77777777" w:rsidR="00CD50D2" w:rsidRDefault="00CD50D2" w:rsidP="004D1045">
      <w:pPr>
        <w:spacing w:line="480" w:lineRule="auto"/>
        <w:jc w:val="both"/>
        <w:rPr>
          <w:rFonts w:ascii="Times New Roman" w:hAnsi="Times New Roman" w:cs="Times New Roman"/>
        </w:rPr>
      </w:pPr>
    </w:p>
    <w:p w14:paraId="6289C301" w14:textId="11E43E7E" w:rsidR="0062302F" w:rsidRPr="00305A4F" w:rsidRDefault="004D1045" w:rsidP="00986354">
      <w:pPr>
        <w:spacing w:after="120" w:line="364" w:lineRule="auto"/>
        <w:ind w:left="10" w:hanging="10"/>
        <w:rPr>
          <w:rFonts w:eastAsia="Calibri" w:cstheme="minorHAnsi"/>
          <w:b/>
          <w:color w:val="000000"/>
          <w:kern w:val="0"/>
          <w:lang w:eastAsia="fr-FR"/>
          <w14:ligatures w14:val="none"/>
        </w:rPr>
      </w:pPr>
      <w:r w:rsidRPr="00305A4F">
        <w:rPr>
          <w:rFonts w:eastAsia="Calibri" w:cstheme="minorHAnsi"/>
          <w:b/>
          <w:color w:val="000000"/>
          <w:kern w:val="0"/>
          <w:lang w:eastAsia="fr-FR"/>
          <w14:ligatures w14:val="none"/>
        </w:rPr>
        <w:lastRenderedPageBreak/>
        <w:t xml:space="preserve">1- </w:t>
      </w:r>
      <w:r w:rsidR="0062302F" w:rsidRPr="00305A4F">
        <w:rPr>
          <w:rFonts w:eastAsia="Calibri" w:cstheme="minorHAnsi"/>
          <w:b/>
          <w:color w:val="000000"/>
          <w:kern w:val="0"/>
          <w:lang w:eastAsia="fr-FR"/>
          <w14:ligatures w14:val="none"/>
        </w:rPr>
        <w:t>INTRODUCTION</w:t>
      </w:r>
    </w:p>
    <w:p w14:paraId="6DFA0B88"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Influenza is an acute viral infection of the respiratory tract that is highly contagious and characterized by fever, headache, myalgia, sore throat, and cough. It is caused by influenza viruses, which are classified into three types: A, B, and C [1,2]. </w:t>
      </w:r>
      <w:r w:rsidRPr="00305A4F">
        <w:rPr>
          <w:rFonts w:ascii="Arial" w:eastAsia="Calibri" w:hAnsi="Arial" w:cs="Arial"/>
          <w:color w:val="000000"/>
          <w:kern w:val="0"/>
          <w:sz w:val="20"/>
          <w:szCs w:val="20"/>
          <w:lang w:eastAsia="fr-FR"/>
          <w14:ligatures w14:val="none"/>
        </w:rPr>
        <w:t>Often trivialized as a mild upper respiratory infection, seasonal influenza is nevertheless responsible for approximately 3 to 5 million cases of severe illness and 290,000 to 650,000 deaths annually worldwide [3,4]. Children, older adults, pregnant women, and individuals with chronic diseases or immunosuppression are at the highest risk of morbidity and mortality related to influenza-like illness [5,6].</w:t>
      </w:r>
    </w:p>
    <w:p w14:paraId="131932A0"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Due to the constant genetic mutations of influenza viruses, vaccine effectiveness depends on continuous global surveillance of circulating strains [7]. Until recently, little was known about the epidemiology of influenza in sub-Saharan Africa [8]. Since 2006, several West African countries have established influenza surveillance systems. Although the number of sentinel sites and collected samples varies considerably between countries, all have demonstrated the capacity to establish and maintain sentinel surveillance or respond to periodic outbreaks of severe respiratory diseases [9].</w:t>
      </w:r>
    </w:p>
    <w:p w14:paraId="527A823A"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The overuse and misuse of antibiotics are major drivers of the emergence and spread of antibiotic resistance [10–12], with serious public health consequences [13]. One of the most concerning aspects of antibiotic use in this context is their continued prescription for viral respiratory infections [14,15], despite recommendations and evidence showing that they neither shorten the duration of acute illness nor prevent secondary bacterial infections [16,17]. Reducing inappropriate antibiotic use is therefore essential to decrease antibiotic resistance and adverse drug effects. However, the proportion of inappropriate antibiotic use that is preventable remains unknown [18].</w:t>
      </w:r>
    </w:p>
    <w:p w14:paraId="55306142"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In Guinea, to characterize the circulation of influenza viruses, the first two sentinel surveillance sites were established by the National Institute of Public Health (NIPH) in 2018. The network was later expanded to ten sites, including surveillance of severe acute respiratory infections. This surveillance is part of pandemic influenza preparedness.</w:t>
      </w:r>
    </w:p>
    <w:p w14:paraId="4C6F1197"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The objective of this study was to determine the frequency of antibiotic prescription during influenza-like illnesses.</w:t>
      </w:r>
    </w:p>
    <w:p w14:paraId="6AF11FF7" w14:textId="13EA2409" w:rsidR="0062302F" w:rsidRPr="00305A4F" w:rsidRDefault="004D1045" w:rsidP="00847469">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 xml:space="preserve">2- </w:t>
      </w:r>
      <w:r w:rsidR="0062302F" w:rsidRPr="00305A4F">
        <w:rPr>
          <w:rFonts w:ascii="Arial" w:eastAsia="Calibri" w:hAnsi="Arial" w:cs="Arial"/>
          <w:b/>
          <w:bCs/>
          <w:color w:val="000000"/>
          <w:kern w:val="0"/>
          <w:sz w:val="22"/>
          <w:szCs w:val="22"/>
          <w:lang w:eastAsia="fr-FR"/>
          <w14:ligatures w14:val="none"/>
        </w:rPr>
        <w:t>MATERIALS AND METHODS</w:t>
      </w:r>
    </w:p>
    <w:p w14:paraId="3F643EC4" w14:textId="063ACBF6" w:rsidR="0062302F" w:rsidRPr="00305A4F" w:rsidRDefault="004D1045" w:rsidP="00582DBC">
      <w:pPr>
        <w:spacing w:after="0" w:line="240" w:lineRule="auto"/>
        <w:ind w:left="10" w:hanging="10"/>
        <w:jc w:val="both"/>
        <w:rPr>
          <w:rFonts w:ascii="Arial" w:eastAsia="Calibri" w:hAnsi="Arial" w:cs="Arial"/>
          <w:b/>
          <w:bCs/>
          <w:color w:val="000000"/>
          <w:kern w:val="0"/>
          <w:sz w:val="22"/>
          <w:szCs w:val="22"/>
          <w:lang w:eastAsia="fr-FR"/>
          <w14:ligatures w14:val="none"/>
        </w:rPr>
      </w:pPr>
      <w:bookmarkStart w:id="0" w:name="_Hlk217976845"/>
      <w:r w:rsidRPr="00305A4F">
        <w:rPr>
          <w:rFonts w:ascii="Arial" w:eastAsia="Calibri" w:hAnsi="Arial" w:cs="Arial"/>
          <w:b/>
          <w:bCs/>
          <w:color w:val="000000"/>
          <w:kern w:val="0"/>
          <w:sz w:val="22"/>
          <w:szCs w:val="22"/>
          <w:lang w:eastAsia="fr-FR"/>
          <w14:ligatures w14:val="none"/>
        </w:rPr>
        <w:t xml:space="preserve">2-1 </w:t>
      </w:r>
      <w:bookmarkEnd w:id="0"/>
      <w:r w:rsidR="0062302F" w:rsidRPr="00305A4F">
        <w:rPr>
          <w:rFonts w:ascii="Arial" w:eastAsia="Calibri" w:hAnsi="Arial" w:cs="Arial"/>
          <w:b/>
          <w:bCs/>
          <w:color w:val="000000"/>
          <w:kern w:val="0"/>
          <w:sz w:val="22"/>
          <w:szCs w:val="22"/>
          <w:lang w:eastAsia="fr-FR"/>
          <w14:ligatures w14:val="none"/>
        </w:rPr>
        <w:t>Study population and site</w:t>
      </w:r>
    </w:p>
    <w:p w14:paraId="474A5B2F"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The study included patients presenting with influenza-like illness at the influenza syndromic sentinel surveillance site of the Gbéssia Port I health center, located in Conakry, Guinea. This health center serves a population of 302,939 inhabitants over an area of 7.5 km², with a population density of 40,391 inhabitants per km². It conducts approximately 14,018 consultations annually and corresponds to level two of the national healthcare pyramid.</w:t>
      </w:r>
    </w:p>
    <w:p w14:paraId="2B394E01"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Influenza cases were diagnosed among patients presenting with influenza-like illness, defined as fever ≥38 °C associated with cough and/or sore throat, with onset within the previous 10 days, in children or adults.</w:t>
      </w:r>
    </w:p>
    <w:p w14:paraId="4D61DA90" w14:textId="6D70F093" w:rsidR="0062302F" w:rsidRPr="00305A4F" w:rsidRDefault="00164DC0" w:rsidP="0014738D">
      <w:pPr>
        <w:spacing w:after="0" w:line="240"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 xml:space="preserve">2-2 </w:t>
      </w:r>
      <w:r w:rsidR="0062302F" w:rsidRPr="00305A4F">
        <w:rPr>
          <w:rFonts w:ascii="Arial" w:eastAsia="Calibri" w:hAnsi="Arial" w:cs="Arial"/>
          <w:b/>
          <w:bCs/>
          <w:color w:val="000000"/>
          <w:kern w:val="0"/>
          <w:sz w:val="22"/>
          <w:szCs w:val="22"/>
          <w:lang w:eastAsia="fr-FR"/>
          <w14:ligatures w14:val="none"/>
        </w:rPr>
        <w:t>Data collection</w:t>
      </w:r>
    </w:p>
    <w:p w14:paraId="389D8A9E"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Data were collected prospectively from March 2 to August 31, 2020. Variables included age, sex, occupation, residence, educational level, consultation delay, mode of onset, marital status, medical history, vaccination status, clinical manifestations, treatment, and PCR results.</w:t>
      </w:r>
    </w:p>
    <w:p w14:paraId="0EDB9B27"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The informal sector included patients engaged in income-generating activities without a fixed salary.</w:t>
      </w:r>
    </w:p>
    <w:p w14:paraId="260BB353" w14:textId="7BD54F62" w:rsidR="0062302F" w:rsidRPr="00305A4F" w:rsidRDefault="00164DC0" w:rsidP="0014738D">
      <w:pPr>
        <w:spacing w:after="0" w:line="240"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 xml:space="preserve">2-3 </w:t>
      </w:r>
      <w:r w:rsidR="0062302F" w:rsidRPr="00305A4F">
        <w:rPr>
          <w:rFonts w:ascii="Arial" w:eastAsia="Calibri" w:hAnsi="Arial" w:cs="Arial"/>
          <w:b/>
          <w:bCs/>
          <w:color w:val="000000"/>
          <w:kern w:val="0"/>
          <w:sz w:val="22"/>
          <w:szCs w:val="22"/>
          <w:lang w:eastAsia="fr-FR"/>
          <w14:ligatures w14:val="none"/>
        </w:rPr>
        <w:t>Diagnosis of infection</w:t>
      </w:r>
    </w:p>
    <w:p w14:paraId="42C2DB21" w14:textId="77777777" w:rsidR="0062302F" w:rsidRPr="0062302F" w:rsidRDefault="0062302F" w:rsidP="0014738D">
      <w:pPr>
        <w:spacing w:after="0" w:line="240" w:lineRule="auto"/>
        <w:ind w:left="10" w:hanging="10"/>
        <w:jc w:val="both"/>
        <w:rPr>
          <w:rFonts w:ascii="Times New Roman" w:hAnsi="Times New Roman" w:cs="Times New Roman"/>
        </w:rPr>
      </w:pPr>
      <w:r w:rsidRPr="00305A4F">
        <w:rPr>
          <w:rFonts w:ascii="Arial" w:eastAsia="Calibri" w:hAnsi="Arial" w:cs="Arial"/>
          <w:color w:val="000000"/>
          <w:kern w:val="0"/>
          <w:sz w:val="20"/>
          <w:szCs w:val="20"/>
          <w:lang w:eastAsia="fr-FR"/>
          <w14:ligatures w14:val="none"/>
        </w:rPr>
        <w:t>A nasopharyngeal swab was collected from each patient using sterile swabs and immediately placed in viral transport medium. Samples were transported from the sentinel site to the National Public Health Laboratory of the NIPH for testing. Viral detection and identification were performed by RT-PCR. RNA extraction was carried out using the QIAGEN RNA® kit, and amplification was performed using the ABI 7500® PCR system</w:t>
      </w:r>
      <w:r w:rsidRPr="0062302F">
        <w:rPr>
          <w:rFonts w:ascii="Times New Roman" w:hAnsi="Times New Roman" w:cs="Times New Roman"/>
        </w:rPr>
        <w:t>.</w:t>
      </w:r>
    </w:p>
    <w:p w14:paraId="3E3C022A" w14:textId="0CBBDC24" w:rsidR="0062302F" w:rsidRPr="00305A4F" w:rsidRDefault="00164DC0" w:rsidP="0014738D">
      <w:pPr>
        <w:spacing w:after="0" w:line="240"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 xml:space="preserve">2-4 </w:t>
      </w:r>
      <w:r w:rsidR="0062302F" w:rsidRPr="00305A4F">
        <w:rPr>
          <w:rFonts w:ascii="Arial" w:eastAsia="Calibri" w:hAnsi="Arial" w:cs="Arial"/>
          <w:b/>
          <w:bCs/>
          <w:color w:val="000000"/>
          <w:kern w:val="0"/>
          <w:sz w:val="22"/>
          <w:szCs w:val="22"/>
          <w:lang w:eastAsia="fr-FR"/>
          <w14:ligatures w14:val="none"/>
        </w:rPr>
        <w:t>Statistical analysis</w:t>
      </w:r>
    </w:p>
    <w:p w14:paraId="71F7E9CB" w14:textId="77777777" w:rsidR="0062302F" w:rsidRPr="0062302F" w:rsidRDefault="0062302F" w:rsidP="0014738D">
      <w:pPr>
        <w:spacing w:after="0" w:line="240" w:lineRule="auto"/>
        <w:ind w:left="10" w:hanging="10"/>
        <w:jc w:val="both"/>
        <w:rPr>
          <w:rFonts w:ascii="Times New Roman" w:hAnsi="Times New Roman" w:cs="Times New Roman"/>
        </w:rPr>
      </w:pPr>
      <w:r w:rsidRPr="00305A4F">
        <w:rPr>
          <w:rFonts w:ascii="Arial" w:eastAsia="Calibri" w:hAnsi="Arial" w:cs="Arial"/>
          <w:color w:val="000000"/>
          <w:kern w:val="0"/>
          <w:sz w:val="20"/>
          <w:szCs w:val="20"/>
          <w:lang w:eastAsia="fr-FR"/>
          <w14:ligatures w14:val="none"/>
        </w:rPr>
        <w:t>A descriptive analysis of the dataset was performed. Qualitative variables were expressed as proportions, and quantitative variables as means and medians</w:t>
      </w:r>
      <w:r w:rsidRPr="0062302F">
        <w:rPr>
          <w:rFonts w:ascii="Times New Roman" w:hAnsi="Times New Roman" w:cs="Times New Roman"/>
        </w:rPr>
        <w:t>.</w:t>
      </w:r>
    </w:p>
    <w:p w14:paraId="43E33EDA" w14:textId="50CF4326" w:rsidR="0062302F" w:rsidRPr="00305A4F" w:rsidRDefault="00164DC0"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 xml:space="preserve">3- </w:t>
      </w:r>
      <w:r w:rsidR="0062302F" w:rsidRPr="00305A4F">
        <w:rPr>
          <w:rFonts w:ascii="Arial" w:eastAsia="Calibri" w:hAnsi="Arial" w:cs="Arial"/>
          <w:b/>
          <w:bCs/>
          <w:color w:val="000000"/>
          <w:kern w:val="0"/>
          <w:sz w:val="22"/>
          <w:szCs w:val="22"/>
          <w:lang w:eastAsia="fr-FR"/>
          <w14:ligatures w14:val="none"/>
        </w:rPr>
        <w:t>RESULTS</w:t>
      </w:r>
    </w:p>
    <w:p w14:paraId="101CCEBB" w14:textId="3382D28D" w:rsidR="0062302F" w:rsidRPr="00305A4F" w:rsidRDefault="008A46DD"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8A46DD">
        <w:rPr>
          <w:rFonts w:ascii="Arial" w:eastAsia="Calibri" w:hAnsi="Arial" w:cs="Arial"/>
          <w:color w:val="000000"/>
          <w:kern w:val="0"/>
          <w:sz w:val="20"/>
          <w:szCs w:val="20"/>
          <w:lang w:eastAsia="fr-FR"/>
          <w14:ligatures w14:val="none"/>
        </w:rPr>
        <w:lastRenderedPageBreak/>
        <w:t xml:space="preserve">During our study period, a total of 1,823 consultations were conducted at the facility, among which 368 cases of influenza-like illness (ILI) were diagnosed, corresponding to a prevalence of 20.18%. Females were the most represented (52.72%) with a mean age of 14.10 ± 16.20 years. Most patients resided in the Matoto district (82.1%) and were predominantly unemployed or students, accounting for 45.11% and 23.91%, respectively. Regarding education level, the majority were unschooled (60%). </w:t>
      </w:r>
      <w:r w:rsidR="0062302F" w:rsidRPr="00305A4F">
        <w:rPr>
          <w:rFonts w:ascii="Arial" w:eastAsia="Calibri" w:hAnsi="Arial" w:cs="Arial"/>
          <w:color w:val="000000"/>
          <w:kern w:val="0"/>
          <w:sz w:val="20"/>
          <w:szCs w:val="20"/>
          <w:lang w:eastAsia="fr-FR"/>
          <w14:ligatures w14:val="none"/>
        </w:rPr>
        <w:t xml:space="preserve">(Table </w:t>
      </w:r>
      <w:r w:rsidR="00D05750" w:rsidRPr="00305A4F">
        <w:rPr>
          <w:rFonts w:ascii="Arial" w:eastAsia="Calibri" w:hAnsi="Arial" w:cs="Arial"/>
          <w:color w:val="000000"/>
          <w:kern w:val="0"/>
          <w:sz w:val="20"/>
          <w:szCs w:val="20"/>
          <w:lang w:eastAsia="fr-FR"/>
          <w14:ligatures w14:val="none"/>
        </w:rPr>
        <w:t>1</w:t>
      </w:r>
      <w:r w:rsidR="0062302F" w:rsidRPr="00305A4F">
        <w:rPr>
          <w:rFonts w:ascii="Arial" w:eastAsia="Calibri" w:hAnsi="Arial" w:cs="Arial"/>
          <w:color w:val="000000"/>
          <w:kern w:val="0"/>
          <w:sz w:val="20"/>
          <w:szCs w:val="20"/>
          <w:lang w:eastAsia="fr-FR"/>
          <w14:ligatures w14:val="none"/>
        </w:rPr>
        <w:t>).</w:t>
      </w:r>
    </w:p>
    <w:p w14:paraId="4598AFDB" w14:textId="243BB525" w:rsidR="00D05750" w:rsidRPr="00305A4F" w:rsidRDefault="00D05750" w:rsidP="00D05750">
      <w:pPr>
        <w:spacing w:line="480" w:lineRule="auto"/>
        <w:jc w:val="both"/>
        <w:rPr>
          <w:rFonts w:ascii="Arial" w:eastAsia="Calibri" w:hAnsi="Arial" w:cs="Arial"/>
          <w:bCs/>
          <w:color w:val="000000" w:themeColor="text1"/>
          <w:kern w:val="0"/>
          <w:sz w:val="20"/>
          <w:szCs w:val="20"/>
          <w:lang w:eastAsia="fr-FR"/>
          <w14:ligatures w14:val="none"/>
        </w:rPr>
      </w:pPr>
      <w:bookmarkStart w:id="1" w:name="_Hlk217973372"/>
      <w:r w:rsidRPr="00305A4F">
        <w:rPr>
          <w:rFonts w:ascii="Arial" w:eastAsia="Calibri" w:hAnsi="Arial" w:cs="Arial"/>
          <w:b/>
          <w:color w:val="000000" w:themeColor="text1"/>
          <w:kern w:val="0"/>
          <w:sz w:val="20"/>
          <w:szCs w:val="20"/>
          <w:lang w:eastAsia="fr-FR"/>
          <w14:ligatures w14:val="none"/>
        </w:rPr>
        <w:t xml:space="preserve">Table </w:t>
      </w:r>
      <w:proofErr w:type="gramStart"/>
      <w:r w:rsidRPr="00305A4F">
        <w:rPr>
          <w:rFonts w:ascii="Arial" w:eastAsia="Calibri" w:hAnsi="Arial" w:cs="Arial"/>
          <w:b/>
          <w:color w:val="000000" w:themeColor="text1"/>
          <w:kern w:val="0"/>
          <w:sz w:val="20"/>
          <w:szCs w:val="20"/>
          <w:lang w:eastAsia="fr-FR"/>
          <w14:ligatures w14:val="none"/>
        </w:rPr>
        <w:t>1 :</w:t>
      </w:r>
      <w:proofErr w:type="gramEnd"/>
      <w:r w:rsidRPr="00035A5A">
        <w:rPr>
          <w:rFonts w:ascii="Times New Roman" w:hAnsi="Times New Roman" w:cs="Times New Roman"/>
          <w:b/>
        </w:rPr>
        <w:t xml:space="preserve"> </w:t>
      </w:r>
      <w:r w:rsidRPr="00305A4F">
        <w:rPr>
          <w:rFonts w:ascii="Arial" w:eastAsia="Calibri" w:hAnsi="Arial" w:cs="Arial"/>
          <w:bCs/>
          <w:color w:val="000000" w:themeColor="text1"/>
          <w:kern w:val="0"/>
          <w:sz w:val="20"/>
          <w:szCs w:val="20"/>
          <w:lang w:eastAsia="fr-FR"/>
          <w14:ligatures w14:val="none"/>
        </w:rPr>
        <w:t>Distribution of the 368 influenza-like illness cases seen at the Gbéssia Port I sentinel site according to sociodemographic characteristics, March–August 2020, Conakry (Guinea)</w:t>
      </w:r>
    </w:p>
    <w:tbl>
      <w:tblPr>
        <w:tblStyle w:val="TableGrid"/>
        <w:tblW w:w="0" w:type="auto"/>
        <w:tblLook w:val="04A0" w:firstRow="1" w:lastRow="0" w:firstColumn="1" w:lastColumn="0" w:noHBand="0" w:noVBand="1"/>
      </w:tblPr>
      <w:tblGrid>
        <w:gridCol w:w="5983"/>
        <w:gridCol w:w="3099"/>
      </w:tblGrid>
      <w:tr w:rsidR="00D05750" w:rsidRPr="005A1CE9" w14:paraId="2B38F995" w14:textId="77777777" w:rsidTr="007B71FA">
        <w:trPr>
          <w:trHeight w:val="454"/>
        </w:trPr>
        <w:tc>
          <w:tcPr>
            <w:tcW w:w="5983" w:type="dxa"/>
            <w:tcBorders>
              <w:left w:val="nil"/>
              <w:bottom w:val="single" w:sz="4" w:space="0" w:color="auto"/>
              <w:right w:val="nil"/>
            </w:tcBorders>
          </w:tcPr>
          <w:p w14:paraId="0D9F3303" w14:textId="77777777" w:rsidR="00D05750" w:rsidRPr="005A1CE9" w:rsidRDefault="00D05750" w:rsidP="007B71FA">
            <w:pPr>
              <w:spacing w:line="480" w:lineRule="auto"/>
              <w:ind w:left="122"/>
              <w:contextualSpacing/>
              <w:rPr>
                <w:rFonts w:ascii="Arial" w:eastAsia="Calibri" w:hAnsi="Arial" w:cs="Arial"/>
                <w:b/>
                <w:color w:val="000000" w:themeColor="text1"/>
                <w:kern w:val="0"/>
                <w:sz w:val="20"/>
                <w:szCs w:val="20"/>
                <w:lang w:val="fr-FR" w:eastAsia="fr-FR"/>
                <w14:ligatures w14:val="none"/>
              </w:rPr>
            </w:pPr>
            <w:bookmarkStart w:id="2" w:name="_Hlk217973870"/>
            <w:bookmarkEnd w:id="1"/>
            <w:proofErr w:type="spellStart"/>
            <w:r w:rsidRPr="00D80CA9">
              <w:rPr>
                <w:rFonts w:ascii="Arial" w:eastAsia="Calibri" w:hAnsi="Arial" w:cs="Arial"/>
                <w:b/>
                <w:color w:val="000000" w:themeColor="text1"/>
                <w:kern w:val="0"/>
                <w:sz w:val="20"/>
                <w:szCs w:val="20"/>
                <w:lang w:val="fr-FR" w:eastAsia="fr-FR"/>
                <w14:ligatures w14:val="none"/>
              </w:rPr>
              <w:t>Sociodemographic</w:t>
            </w:r>
            <w:proofErr w:type="spellEnd"/>
            <w:r w:rsidRPr="005A1CE9">
              <w:rPr>
                <w:rFonts w:ascii="Arial" w:eastAsia="Calibri" w:hAnsi="Arial" w:cs="Arial"/>
                <w:b/>
                <w:color w:val="000000" w:themeColor="text1"/>
                <w:kern w:val="0"/>
                <w:sz w:val="20"/>
                <w:szCs w:val="20"/>
                <w:lang w:val="fr-FR" w:eastAsia="fr-FR"/>
                <w14:ligatures w14:val="none"/>
              </w:rPr>
              <w:t xml:space="preserve"> data</w:t>
            </w:r>
          </w:p>
        </w:tc>
        <w:tc>
          <w:tcPr>
            <w:tcW w:w="3099" w:type="dxa"/>
            <w:tcBorders>
              <w:left w:val="nil"/>
              <w:bottom w:val="single" w:sz="4" w:space="0" w:color="auto"/>
              <w:right w:val="nil"/>
            </w:tcBorders>
          </w:tcPr>
          <w:p w14:paraId="2F74B463" w14:textId="77777777" w:rsidR="00D05750" w:rsidRPr="005A1CE9" w:rsidRDefault="00D05750" w:rsidP="007B71FA">
            <w:pPr>
              <w:spacing w:line="480" w:lineRule="auto"/>
              <w:ind w:left="122"/>
              <w:contextualSpacing/>
              <w:jc w:val="both"/>
              <w:rPr>
                <w:rFonts w:ascii="Arial" w:eastAsia="Calibri" w:hAnsi="Arial" w:cs="Arial"/>
                <w:b/>
                <w:color w:val="000000" w:themeColor="text1"/>
                <w:kern w:val="0"/>
                <w:sz w:val="20"/>
                <w:szCs w:val="20"/>
                <w:lang w:val="fr-FR" w:eastAsia="fr-FR"/>
                <w14:ligatures w14:val="none"/>
              </w:rPr>
            </w:pPr>
            <w:r w:rsidRPr="005A1CE9">
              <w:rPr>
                <w:rFonts w:ascii="Arial" w:eastAsia="Calibri" w:hAnsi="Arial" w:cs="Arial"/>
                <w:b/>
                <w:color w:val="000000" w:themeColor="text1"/>
                <w:kern w:val="0"/>
                <w:sz w:val="20"/>
                <w:szCs w:val="20"/>
                <w:lang w:val="fr-FR" w:eastAsia="fr-FR"/>
                <w14:ligatures w14:val="none"/>
              </w:rPr>
              <w:t>Proportion</w:t>
            </w:r>
          </w:p>
        </w:tc>
      </w:tr>
      <w:tr w:rsidR="00D05750" w:rsidRPr="00F829C3" w14:paraId="3E37E7A8" w14:textId="77777777" w:rsidTr="007B71FA">
        <w:trPr>
          <w:trHeight w:val="465"/>
        </w:trPr>
        <w:tc>
          <w:tcPr>
            <w:tcW w:w="5983" w:type="dxa"/>
            <w:tcBorders>
              <w:left w:val="nil"/>
              <w:bottom w:val="nil"/>
              <w:right w:val="nil"/>
            </w:tcBorders>
          </w:tcPr>
          <w:p w14:paraId="43CB84C6"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Résidence</w:t>
            </w:r>
          </w:p>
        </w:tc>
        <w:tc>
          <w:tcPr>
            <w:tcW w:w="3099" w:type="dxa"/>
            <w:tcBorders>
              <w:left w:val="nil"/>
              <w:bottom w:val="nil"/>
              <w:right w:val="nil"/>
            </w:tcBorders>
          </w:tcPr>
          <w:p w14:paraId="71B169E2"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4CB17516" w14:textId="77777777" w:rsidTr="007B71FA">
        <w:trPr>
          <w:trHeight w:val="454"/>
        </w:trPr>
        <w:tc>
          <w:tcPr>
            <w:tcW w:w="5983" w:type="dxa"/>
            <w:tcBorders>
              <w:top w:val="nil"/>
              <w:left w:val="nil"/>
              <w:bottom w:val="nil"/>
              <w:right w:val="nil"/>
            </w:tcBorders>
          </w:tcPr>
          <w:p w14:paraId="01BEE8E2"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Matam</w:t>
            </w:r>
          </w:p>
        </w:tc>
        <w:tc>
          <w:tcPr>
            <w:tcW w:w="3099" w:type="dxa"/>
            <w:tcBorders>
              <w:top w:val="nil"/>
              <w:left w:val="nil"/>
              <w:bottom w:val="nil"/>
              <w:right w:val="nil"/>
            </w:tcBorders>
          </w:tcPr>
          <w:p w14:paraId="13F8D935"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6,5</w:t>
            </w:r>
          </w:p>
        </w:tc>
      </w:tr>
      <w:tr w:rsidR="00D05750" w:rsidRPr="00F829C3" w14:paraId="07D5441E" w14:textId="77777777" w:rsidTr="007B71FA">
        <w:trPr>
          <w:trHeight w:val="465"/>
        </w:trPr>
        <w:tc>
          <w:tcPr>
            <w:tcW w:w="5983" w:type="dxa"/>
            <w:tcBorders>
              <w:top w:val="nil"/>
              <w:left w:val="nil"/>
              <w:bottom w:val="nil"/>
              <w:right w:val="nil"/>
            </w:tcBorders>
          </w:tcPr>
          <w:p w14:paraId="4EE5ABA0"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Dixinn</w:t>
            </w:r>
          </w:p>
        </w:tc>
        <w:tc>
          <w:tcPr>
            <w:tcW w:w="3099" w:type="dxa"/>
            <w:tcBorders>
              <w:top w:val="nil"/>
              <w:left w:val="nil"/>
              <w:bottom w:val="nil"/>
              <w:right w:val="nil"/>
            </w:tcBorders>
          </w:tcPr>
          <w:p w14:paraId="5BF602C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0,8</w:t>
            </w:r>
          </w:p>
        </w:tc>
      </w:tr>
      <w:tr w:rsidR="00D05750" w:rsidRPr="00F829C3" w14:paraId="21D28E36" w14:textId="77777777" w:rsidTr="007B71FA">
        <w:trPr>
          <w:trHeight w:val="454"/>
        </w:trPr>
        <w:tc>
          <w:tcPr>
            <w:tcW w:w="5983" w:type="dxa"/>
            <w:tcBorders>
              <w:top w:val="nil"/>
              <w:left w:val="nil"/>
              <w:bottom w:val="nil"/>
              <w:right w:val="nil"/>
            </w:tcBorders>
          </w:tcPr>
          <w:p w14:paraId="1BA2F2BD"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Ratoma</w:t>
            </w:r>
          </w:p>
        </w:tc>
        <w:tc>
          <w:tcPr>
            <w:tcW w:w="3099" w:type="dxa"/>
            <w:tcBorders>
              <w:top w:val="nil"/>
              <w:left w:val="nil"/>
              <w:bottom w:val="nil"/>
              <w:right w:val="nil"/>
            </w:tcBorders>
          </w:tcPr>
          <w:p w14:paraId="55470D35"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7,1</w:t>
            </w:r>
          </w:p>
        </w:tc>
      </w:tr>
      <w:tr w:rsidR="00D05750" w:rsidRPr="00F829C3" w14:paraId="3382DB72" w14:textId="77777777" w:rsidTr="007B71FA">
        <w:trPr>
          <w:trHeight w:val="465"/>
        </w:trPr>
        <w:tc>
          <w:tcPr>
            <w:tcW w:w="5983" w:type="dxa"/>
            <w:tcBorders>
              <w:top w:val="nil"/>
              <w:left w:val="nil"/>
              <w:bottom w:val="nil"/>
              <w:right w:val="nil"/>
            </w:tcBorders>
          </w:tcPr>
          <w:p w14:paraId="25A66CEF"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Matoto</w:t>
            </w:r>
          </w:p>
        </w:tc>
        <w:tc>
          <w:tcPr>
            <w:tcW w:w="3099" w:type="dxa"/>
            <w:tcBorders>
              <w:top w:val="nil"/>
              <w:left w:val="nil"/>
              <w:bottom w:val="nil"/>
              <w:right w:val="nil"/>
            </w:tcBorders>
          </w:tcPr>
          <w:p w14:paraId="7CADD2F4"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82,1</w:t>
            </w:r>
          </w:p>
        </w:tc>
      </w:tr>
      <w:tr w:rsidR="00D05750" w:rsidRPr="00F829C3" w14:paraId="1B652D56" w14:textId="77777777" w:rsidTr="007B71FA">
        <w:trPr>
          <w:trHeight w:val="454"/>
        </w:trPr>
        <w:tc>
          <w:tcPr>
            <w:tcW w:w="5983" w:type="dxa"/>
            <w:tcBorders>
              <w:top w:val="nil"/>
              <w:left w:val="nil"/>
              <w:bottom w:val="nil"/>
              <w:right w:val="nil"/>
            </w:tcBorders>
          </w:tcPr>
          <w:p w14:paraId="3E29612E"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Hors Conakry</w:t>
            </w:r>
          </w:p>
        </w:tc>
        <w:tc>
          <w:tcPr>
            <w:tcW w:w="3099" w:type="dxa"/>
            <w:tcBorders>
              <w:top w:val="nil"/>
              <w:left w:val="nil"/>
              <w:bottom w:val="nil"/>
              <w:right w:val="nil"/>
            </w:tcBorders>
          </w:tcPr>
          <w:p w14:paraId="5482077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3,5</w:t>
            </w:r>
          </w:p>
        </w:tc>
      </w:tr>
      <w:tr w:rsidR="00D05750" w:rsidRPr="00F829C3" w14:paraId="78AE2B7A" w14:textId="77777777" w:rsidTr="007B71FA">
        <w:trPr>
          <w:trHeight w:val="465"/>
        </w:trPr>
        <w:tc>
          <w:tcPr>
            <w:tcW w:w="5983" w:type="dxa"/>
            <w:tcBorders>
              <w:top w:val="nil"/>
              <w:left w:val="nil"/>
              <w:bottom w:val="nil"/>
              <w:right w:val="nil"/>
            </w:tcBorders>
          </w:tcPr>
          <w:p w14:paraId="1388EC33"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Marital </w:t>
            </w:r>
            <w:proofErr w:type="spellStart"/>
            <w:r w:rsidRPr="00DD2BE5">
              <w:rPr>
                <w:rFonts w:ascii="Arial" w:eastAsia="Calibri" w:hAnsi="Arial" w:cs="Arial"/>
                <w:color w:val="000000" w:themeColor="text1"/>
                <w:kern w:val="0"/>
                <w:sz w:val="20"/>
                <w:szCs w:val="20"/>
                <w:lang w:val="fr-FR" w:eastAsia="fr-FR"/>
                <w14:ligatures w14:val="none"/>
              </w:rPr>
              <w:t>status</w:t>
            </w:r>
            <w:proofErr w:type="spellEnd"/>
          </w:p>
        </w:tc>
        <w:tc>
          <w:tcPr>
            <w:tcW w:w="3099" w:type="dxa"/>
            <w:tcBorders>
              <w:top w:val="nil"/>
              <w:left w:val="nil"/>
              <w:bottom w:val="nil"/>
              <w:right w:val="nil"/>
            </w:tcBorders>
          </w:tcPr>
          <w:p w14:paraId="06DA1D99"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5F79999D" w14:textId="77777777" w:rsidTr="007B71FA">
        <w:trPr>
          <w:trHeight w:val="465"/>
        </w:trPr>
        <w:tc>
          <w:tcPr>
            <w:tcW w:w="5983" w:type="dxa"/>
            <w:tcBorders>
              <w:top w:val="nil"/>
              <w:left w:val="nil"/>
              <w:bottom w:val="nil"/>
              <w:right w:val="nil"/>
            </w:tcBorders>
          </w:tcPr>
          <w:p w14:paraId="4CC6F0AA"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Célibataire</w:t>
            </w:r>
          </w:p>
        </w:tc>
        <w:tc>
          <w:tcPr>
            <w:tcW w:w="3099" w:type="dxa"/>
            <w:tcBorders>
              <w:top w:val="nil"/>
              <w:left w:val="nil"/>
              <w:bottom w:val="nil"/>
              <w:right w:val="nil"/>
            </w:tcBorders>
          </w:tcPr>
          <w:p w14:paraId="070B81A7"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75,54</w:t>
            </w:r>
          </w:p>
        </w:tc>
      </w:tr>
      <w:tr w:rsidR="00D05750" w:rsidRPr="00F829C3" w14:paraId="6DF76E03" w14:textId="77777777" w:rsidTr="007B71FA">
        <w:trPr>
          <w:trHeight w:val="454"/>
        </w:trPr>
        <w:tc>
          <w:tcPr>
            <w:tcW w:w="5983" w:type="dxa"/>
            <w:tcBorders>
              <w:top w:val="nil"/>
              <w:left w:val="nil"/>
              <w:bottom w:val="nil"/>
              <w:right w:val="nil"/>
            </w:tcBorders>
          </w:tcPr>
          <w:p w14:paraId="570713D8"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Maried</w:t>
            </w:r>
            <w:proofErr w:type="spellEnd"/>
          </w:p>
        </w:tc>
        <w:tc>
          <w:tcPr>
            <w:tcW w:w="3099" w:type="dxa"/>
            <w:tcBorders>
              <w:top w:val="nil"/>
              <w:left w:val="nil"/>
              <w:bottom w:val="nil"/>
              <w:right w:val="nil"/>
            </w:tcBorders>
          </w:tcPr>
          <w:p w14:paraId="45913051"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23,64</w:t>
            </w:r>
          </w:p>
        </w:tc>
      </w:tr>
      <w:tr w:rsidR="00D05750" w:rsidRPr="00F829C3" w14:paraId="29669FF5" w14:textId="77777777" w:rsidTr="007B71FA">
        <w:trPr>
          <w:trHeight w:val="465"/>
        </w:trPr>
        <w:tc>
          <w:tcPr>
            <w:tcW w:w="5983" w:type="dxa"/>
            <w:tcBorders>
              <w:top w:val="nil"/>
              <w:left w:val="nil"/>
              <w:bottom w:val="nil"/>
              <w:right w:val="nil"/>
            </w:tcBorders>
          </w:tcPr>
          <w:p w14:paraId="48445A15"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Divorced</w:t>
            </w:r>
            <w:proofErr w:type="spellEnd"/>
          </w:p>
        </w:tc>
        <w:tc>
          <w:tcPr>
            <w:tcW w:w="3099" w:type="dxa"/>
            <w:tcBorders>
              <w:top w:val="nil"/>
              <w:left w:val="nil"/>
              <w:bottom w:val="nil"/>
              <w:right w:val="nil"/>
            </w:tcBorders>
          </w:tcPr>
          <w:p w14:paraId="0140AE2D"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0,27</w:t>
            </w:r>
          </w:p>
        </w:tc>
      </w:tr>
      <w:tr w:rsidR="00D05750" w:rsidRPr="00F829C3" w14:paraId="36A0B18B" w14:textId="77777777" w:rsidTr="007B71FA">
        <w:trPr>
          <w:trHeight w:val="465"/>
        </w:trPr>
        <w:tc>
          <w:tcPr>
            <w:tcW w:w="5983" w:type="dxa"/>
            <w:tcBorders>
              <w:top w:val="nil"/>
              <w:left w:val="nil"/>
              <w:bottom w:val="nil"/>
              <w:right w:val="nil"/>
            </w:tcBorders>
          </w:tcPr>
          <w:p w14:paraId="611348E7"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Widowed</w:t>
            </w:r>
            <w:proofErr w:type="spellEnd"/>
          </w:p>
        </w:tc>
        <w:tc>
          <w:tcPr>
            <w:tcW w:w="3099" w:type="dxa"/>
            <w:tcBorders>
              <w:top w:val="nil"/>
              <w:left w:val="nil"/>
              <w:bottom w:val="nil"/>
              <w:right w:val="nil"/>
            </w:tcBorders>
          </w:tcPr>
          <w:p w14:paraId="3BE0B58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0,54</w:t>
            </w:r>
          </w:p>
        </w:tc>
      </w:tr>
      <w:tr w:rsidR="00D05750" w:rsidRPr="00F829C3" w14:paraId="301C06AC" w14:textId="77777777" w:rsidTr="007B71FA">
        <w:trPr>
          <w:trHeight w:val="454"/>
        </w:trPr>
        <w:tc>
          <w:tcPr>
            <w:tcW w:w="5983" w:type="dxa"/>
            <w:tcBorders>
              <w:top w:val="nil"/>
              <w:left w:val="nil"/>
              <w:bottom w:val="nil"/>
              <w:right w:val="nil"/>
            </w:tcBorders>
          </w:tcPr>
          <w:p w14:paraId="4DC7EF7F"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Educational</w:t>
            </w:r>
            <w:proofErr w:type="spellEnd"/>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level</w:t>
            </w:r>
            <w:proofErr w:type="spellEnd"/>
          </w:p>
        </w:tc>
        <w:tc>
          <w:tcPr>
            <w:tcW w:w="3099" w:type="dxa"/>
            <w:tcBorders>
              <w:top w:val="nil"/>
              <w:left w:val="nil"/>
              <w:bottom w:val="nil"/>
              <w:right w:val="nil"/>
            </w:tcBorders>
          </w:tcPr>
          <w:p w14:paraId="0A3BB85A"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37698068" w14:textId="77777777" w:rsidTr="007B71FA">
        <w:trPr>
          <w:trHeight w:val="465"/>
        </w:trPr>
        <w:tc>
          <w:tcPr>
            <w:tcW w:w="5983" w:type="dxa"/>
            <w:tcBorders>
              <w:top w:val="nil"/>
              <w:left w:val="nil"/>
              <w:bottom w:val="nil"/>
              <w:right w:val="nil"/>
            </w:tcBorders>
          </w:tcPr>
          <w:p w14:paraId="3E38D43E"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Not </w:t>
            </w:r>
            <w:proofErr w:type="spellStart"/>
            <w:r w:rsidRPr="00DD2BE5">
              <w:rPr>
                <w:rFonts w:ascii="Arial" w:eastAsia="Calibri" w:hAnsi="Arial" w:cs="Arial"/>
                <w:color w:val="000000" w:themeColor="text1"/>
                <w:kern w:val="0"/>
                <w:sz w:val="20"/>
                <w:szCs w:val="20"/>
                <w:lang w:val="fr-FR" w:eastAsia="fr-FR"/>
                <w14:ligatures w14:val="none"/>
              </w:rPr>
              <w:t>educated</w:t>
            </w:r>
            <w:proofErr w:type="spellEnd"/>
          </w:p>
        </w:tc>
        <w:tc>
          <w:tcPr>
            <w:tcW w:w="3099" w:type="dxa"/>
            <w:tcBorders>
              <w:top w:val="nil"/>
              <w:left w:val="nil"/>
              <w:bottom w:val="nil"/>
              <w:right w:val="nil"/>
            </w:tcBorders>
          </w:tcPr>
          <w:p w14:paraId="25332D9C"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60,60</w:t>
            </w:r>
          </w:p>
        </w:tc>
      </w:tr>
      <w:tr w:rsidR="00D05750" w:rsidRPr="00F829C3" w14:paraId="56709174" w14:textId="77777777" w:rsidTr="007B71FA">
        <w:trPr>
          <w:trHeight w:val="454"/>
        </w:trPr>
        <w:tc>
          <w:tcPr>
            <w:tcW w:w="5983" w:type="dxa"/>
            <w:tcBorders>
              <w:top w:val="nil"/>
              <w:left w:val="nil"/>
              <w:bottom w:val="nil"/>
              <w:right w:val="nil"/>
            </w:tcBorders>
          </w:tcPr>
          <w:p w14:paraId="656FDB3D"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Primary</w:t>
            </w:r>
            <w:proofErr w:type="spellEnd"/>
          </w:p>
        </w:tc>
        <w:tc>
          <w:tcPr>
            <w:tcW w:w="3099" w:type="dxa"/>
            <w:tcBorders>
              <w:top w:val="nil"/>
              <w:left w:val="nil"/>
              <w:bottom w:val="nil"/>
              <w:right w:val="nil"/>
            </w:tcBorders>
          </w:tcPr>
          <w:p w14:paraId="0F3A9B9D"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22,28</w:t>
            </w:r>
          </w:p>
        </w:tc>
      </w:tr>
      <w:tr w:rsidR="00D05750" w:rsidRPr="00F829C3" w14:paraId="4A6078A7" w14:textId="77777777" w:rsidTr="007B71FA">
        <w:trPr>
          <w:trHeight w:val="465"/>
        </w:trPr>
        <w:tc>
          <w:tcPr>
            <w:tcW w:w="5983" w:type="dxa"/>
            <w:tcBorders>
              <w:top w:val="nil"/>
              <w:left w:val="nil"/>
              <w:bottom w:val="nil"/>
              <w:right w:val="nil"/>
            </w:tcBorders>
          </w:tcPr>
          <w:p w14:paraId="3788EA8E"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Secondary</w:t>
            </w:r>
            <w:proofErr w:type="spellEnd"/>
          </w:p>
        </w:tc>
        <w:tc>
          <w:tcPr>
            <w:tcW w:w="3099" w:type="dxa"/>
            <w:tcBorders>
              <w:top w:val="nil"/>
              <w:left w:val="nil"/>
              <w:bottom w:val="nil"/>
              <w:right w:val="nil"/>
            </w:tcBorders>
          </w:tcPr>
          <w:p w14:paraId="1A9B1424"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10,05</w:t>
            </w:r>
          </w:p>
        </w:tc>
      </w:tr>
      <w:tr w:rsidR="00D05750" w:rsidRPr="00F829C3" w14:paraId="58317669" w14:textId="77777777" w:rsidTr="007B71FA">
        <w:trPr>
          <w:trHeight w:val="454"/>
        </w:trPr>
        <w:tc>
          <w:tcPr>
            <w:tcW w:w="5983" w:type="dxa"/>
            <w:tcBorders>
              <w:top w:val="nil"/>
              <w:left w:val="nil"/>
              <w:bottom w:val="nil"/>
              <w:right w:val="nil"/>
            </w:tcBorders>
          </w:tcPr>
          <w:p w14:paraId="720174C2"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Higher</w:t>
            </w:r>
            <w:proofErr w:type="spellEnd"/>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education</w:t>
            </w:r>
            <w:proofErr w:type="spellEnd"/>
          </w:p>
        </w:tc>
        <w:tc>
          <w:tcPr>
            <w:tcW w:w="3099" w:type="dxa"/>
            <w:tcBorders>
              <w:top w:val="nil"/>
              <w:left w:val="nil"/>
              <w:bottom w:val="nil"/>
              <w:right w:val="nil"/>
            </w:tcBorders>
          </w:tcPr>
          <w:p w14:paraId="3CE92B5D"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7,07</w:t>
            </w:r>
          </w:p>
        </w:tc>
      </w:tr>
      <w:tr w:rsidR="00D05750" w:rsidRPr="00F829C3" w14:paraId="439AEC1C" w14:textId="77777777" w:rsidTr="007B71FA">
        <w:trPr>
          <w:trHeight w:val="465"/>
        </w:trPr>
        <w:tc>
          <w:tcPr>
            <w:tcW w:w="5983" w:type="dxa"/>
            <w:tcBorders>
              <w:top w:val="nil"/>
              <w:left w:val="nil"/>
              <w:bottom w:val="nil"/>
              <w:right w:val="nil"/>
            </w:tcBorders>
          </w:tcPr>
          <w:p w14:paraId="7C987BFF"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Occupation</w:t>
            </w:r>
          </w:p>
        </w:tc>
        <w:tc>
          <w:tcPr>
            <w:tcW w:w="3099" w:type="dxa"/>
            <w:tcBorders>
              <w:top w:val="nil"/>
              <w:left w:val="nil"/>
              <w:bottom w:val="nil"/>
              <w:right w:val="nil"/>
            </w:tcBorders>
          </w:tcPr>
          <w:p w14:paraId="00D9EE63"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p>
        </w:tc>
      </w:tr>
      <w:tr w:rsidR="00D05750" w:rsidRPr="00F829C3" w14:paraId="44B678B5" w14:textId="77777777" w:rsidTr="007B71FA">
        <w:trPr>
          <w:trHeight w:val="454"/>
        </w:trPr>
        <w:tc>
          <w:tcPr>
            <w:tcW w:w="5983" w:type="dxa"/>
            <w:tcBorders>
              <w:top w:val="nil"/>
              <w:left w:val="nil"/>
              <w:bottom w:val="nil"/>
              <w:right w:val="nil"/>
            </w:tcBorders>
          </w:tcPr>
          <w:p w14:paraId="2960C517"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Formal</w:t>
            </w:r>
            <w:proofErr w:type="spellEnd"/>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sector</w:t>
            </w:r>
            <w:proofErr w:type="spellEnd"/>
          </w:p>
        </w:tc>
        <w:tc>
          <w:tcPr>
            <w:tcW w:w="3099" w:type="dxa"/>
            <w:tcBorders>
              <w:top w:val="nil"/>
              <w:left w:val="nil"/>
              <w:bottom w:val="nil"/>
              <w:right w:val="nil"/>
            </w:tcBorders>
          </w:tcPr>
          <w:p w14:paraId="0075DD46"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5,71</w:t>
            </w:r>
          </w:p>
        </w:tc>
      </w:tr>
      <w:tr w:rsidR="00D05750" w:rsidRPr="00F829C3" w14:paraId="6425A619" w14:textId="77777777" w:rsidTr="007B71FA">
        <w:trPr>
          <w:trHeight w:val="465"/>
        </w:trPr>
        <w:tc>
          <w:tcPr>
            <w:tcW w:w="5983" w:type="dxa"/>
            <w:tcBorders>
              <w:top w:val="nil"/>
              <w:left w:val="nil"/>
              <w:bottom w:val="nil"/>
              <w:right w:val="nil"/>
            </w:tcBorders>
          </w:tcPr>
          <w:p w14:paraId="27418D06"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Informal </w:t>
            </w:r>
            <w:proofErr w:type="spellStart"/>
            <w:r w:rsidRPr="00DD2BE5">
              <w:rPr>
                <w:rFonts w:ascii="Arial" w:eastAsia="Calibri" w:hAnsi="Arial" w:cs="Arial"/>
                <w:color w:val="000000" w:themeColor="text1"/>
                <w:kern w:val="0"/>
                <w:sz w:val="20"/>
                <w:szCs w:val="20"/>
                <w:lang w:val="fr-FR" w:eastAsia="fr-FR"/>
                <w14:ligatures w14:val="none"/>
              </w:rPr>
              <w:t>sector</w:t>
            </w:r>
            <w:proofErr w:type="spellEnd"/>
          </w:p>
        </w:tc>
        <w:tc>
          <w:tcPr>
            <w:tcW w:w="3099" w:type="dxa"/>
            <w:tcBorders>
              <w:top w:val="nil"/>
              <w:left w:val="nil"/>
              <w:bottom w:val="nil"/>
              <w:right w:val="nil"/>
            </w:tcBorders>
          </w:tcPr>
          <w:p w14:paraId="18CBF93F"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12,50</w:t>
            </w:r>
          </w:p>
        </w:tc>
      </w:tr>
      <w:tr w:rsidR="00D05750" w:rsidRPr="00F829C3" w14:paraId="1F0E24E4" w14:textId="77777777" w:rsidTr="007B71FA">
        <w:trPr>
          <w:trHeight w:val="454"/>
        </w:trPr>
        <w:tc>
          <w:tcPr>
            <w:tcW w:w="5983" w:type="dxa"/>
            <w:tcBorders>
              <w:top w:val="nil"/>
              <w:left w:val="nil"/>
              <w:bottom w:val="nil"/>
              <w:right w:val="nil"/>
            </w:tcBorders>
          </w:tcPr>
          <w:p w14:paraId="1362007A"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Housewife</w:t>
            </w:r>
            <w:proofErr w:type="spellEnd"/>
          </w:p>
        </w:tc>
        <w:tc>
          <w:tcPr>
            <w:tcW w:w="3099" w:type="dxa"/>
            <w:tcBorders>
              <w:top w:val="nil"/>
              <w:left w:val="nil"/>
              <w:bottom w:val="nil"/>
              <w:right w:val="nil"/>
            </w:tcBorders>
          </w:tcPr>
          <w:p w14:paraId="31B8F14F"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8,42</w:t>
            </w:r>
          </w:p>
        </w:tc>
      </w:tr>
      <w:tr w:rsidR="00D05750" w:rsidRPr="00F829C3" w14:paraId="05332C97" w14:textId="77777777" w:rsidTr="007B71FA">
        <w:trPr>
          <w:trHeight w:val="465"/>
        </w:trPr>
        <w:tc>
          <w:tcPr>
            <w:tcW w:w="5983" w:type="dxa"/>
            <w:tcBorders>
              <w:top w:val="nil"/>
              <w:left w:val="nil"/>
              <w:bottom w:val="nil"/>
              <w:right w:val="nil"/>
            </w:tcBorders>
          </w:tcPr>
          <w:p w14:paraId="7CA9F359"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Student</w:t>
            </w:r>
            <w:proofErr w:type="spellEnd"/>
          </w:p>
        </w:tc>
        <w:tc>
          <w:tcPr>
            <w:tcW w:w="3099" w:type="dxa"/>
            <w:tcBorders>
              <w:top w:val="nil"/>
              <w:left w:val="nil"/>
              <w:bottom w:val="nil"/>
              <w:right w:val="nil"/>
            </w:tcBorders>
          </w:tcPr>
          <w:p w14:paraId="1EE9AA33"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28,26</w:t>
            </w:r>
          </w:p>
        </w:tc>
      </w:tr>
      <w:tr w:rsidR="00D05750" w:rsidRPr="00F829C3" w14:paraId="093E37E9" w14:textId="77777777" w:rsidTr="007B71FA">
        <w:trPr>
          <w:trHeight w:val="454"/>
        </w:trPr>
        <w:tc>
          <w:tcPr>
            <w:tcW w:w="5983" w:type="dxa"/>
            <w:tcBorders>
              <w:top w:val="nil"/>
              <w:left w:val="nil"/>
              <w:right w:val="nil"/>
            </w:tcBorders>
          </w:tcPr>
          <w:p w14:paraId="174249F7" w14:textId="77777777" w:rsidR="00D05750" w:rsidRPr="00DD2BE5" w:rsidRDefault="00D05750" w:rsidP="007B71FA">
            <w:pPr>
              <w:tabs>
                <w:tab w:val="center" w:pos="3435"/>
                <w:tab w:val="center" w:pos="7214"/>
              </w:tabs>
              <w:spacing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            </w:t>
            </w:r>
            <w:proofErr w:type="spellStart"/>
            <w:r w:rsidRPr="00DD2BE5">
              <w:rPr>
                <w:rFonts w:ascii="Arial" w:eastAsia="Calibri" w:hAnsi="Arial" w:cs="Arial"/>
                <w:color w:val="000000" w:themeColor="text1"/>
                <w:kern w:val="0"/>
                <w:sz w:val="20"/>
                <w:szCs w:val="20"/>
                <w:lang w:val="fr-FR" w:eastAsia="fr-FR"/>
                <w14:ligatures w14:val="none"/>
              </w:rPr>
              <w:t>Unemployed</w:t>
            </w:r>
            <w:proofErr w:type="spellEnd"/>
          </w:p>
        </w:tc>
        <w:tc>
          <w:tcPr>
            <w:tcW w:w="3099" w:type="dxa"/>
            <w:tcBorders>
              <w:top w:val="nil"/>
              <w:left w:val="nil"/>
              <w:right w:val="nil"/>
            </w:tcBorders>
          </w:tcPr>
          <w:p w14:paraId="651C498B" w14:textId="77777777" w:rsidR="00D05750" w:rsidRPr="00DD2BE5" w:rsidRDefault="00D05750" w:rsidP="007B71FA">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45,11</w:t>
            </w:r>
          </w:p>
        </w:tc>
      </w:tr>
      <w:bookmarkEnd w:id="2"/>
    </w:tbl>
    <w:p w14:paraId="637DB3DB" w14:textId="77777777" w:rsidR="00D05750" w:rsidRPr="0014738D" w:rsidRDefault="00D05750" w:rsidP="00D05750">
      <w:pPr>
        <w:spacing w:after="0" w:line="240" w:lineRule="auto"/>
        <w:jc w:val="both"/>
        <w:rPr>
          <w:rFonts w:ascii="Arial" w:eastAsia="Calibri" w:hAnsi="Arial" w:cs="Arial"/>
          <w:color w:val="000000"/>
          <w:kern w:val="0"/>
          <w:sz w:val="20"/>
          <w:szCs w:val="20"/>
          <w:lang w:val="fr-FR" w:eastAsia="fr-FR"/>
          <w14:ligatures w14:val="none"/>
        </w:rPr>
      </w:pPr>
    </w:p>
    <w:p w14:paraId="2C5A942E" w14:textId="31D85220" w:rsidR="00055171" w:rsidRPr="00305A4F" w:rsidRDefault="001854B3"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1854B3">
        <w:rPr>
          <w:rFonts w:ascii="Arial" w:eastAsia="Calibri" w:hAnsi="Arial" w:cs="Arial"/>
          <w:color w:val="000000"/>
          <w:kern w:val="0"/>
          <w:sz w:val="20"/>
          <w:szCs w:val="20"/>
          <w:lang w:eastAsia="fr-FR"/>
          <w14:ligatures w14:val="none"/>
        </w:rPr>
        <w:t>No patient had been vaccinated against influenza. The consultation delay exceeded 72 hours for the majority of patients (54.35%). However, in 2.99% of cases, patients consulted within 24 hours of symptom onset. The onset of symptoms was abrupt in 91% of cases, and the general condition was poor in 63.04% of patients.</w:t>
      </w:r>
      <w:r w:rsidR="00241D1E">
        <w:rPr>
          <w:rFonts w:ascii="Arial" w:eastAsia="Calibri" w:hAnsi="Arial" w:cs="Arial"/>
          <w:color w:val="000000"/>
          <w:kern w:val="0"/>
          <w:sz w:val="20"/>
          <w:szCs w:val="20"/>
          <w:lang w:eastAsia="fr-FR"/>
          <w14:ligatures w14:val="none"/>
        </w:rPr>
        <w:t xml:space="preserve"> </w:t>
      </w:r>
      <w:r w:rsidRPr="001854B3">
        <w:rPr>
          <w:rFonts w:ascii="Arial" w:eastAsia="Calibri" w:hAnsi="Arial" w:cs="Arial"/>
          <w:color w:val="000000"/>
          <w:kern w:val="0"/>
          <w:sz w:val="20"/>
          <w:szCs w:val="20"/>
          <w:lang w:eastAsia="fr-FR"/>
          <w14:ligatures w14:val="none"/>
        </w:rPr>
        <w:t xml:space="preserve">A history of influenza exposure was reported in 41% of cases. Self-medication with antibiotics prior to consultation was noted in 21.20% of cases. Cotrimoxazole was the most commonly used antibiotic (91.03% of cases), with a duration of self-medication of 1 to 3 days in most cases (42.30%). Clinically, the main signs were cough (96.20%), fever (92.66%), and rhinorrhea (81.79%). Some patients also reported myalgia, anorexia, and physical asthenia </w:t>
      </w:r>
      <w:r w:rsidR="0062302F" w:rsidRPr="00305A4F">
        <w:rPr>
          <w:rFonts w:ascii="Arial" w:eastAsia="Calibri" w:hAnsi="Arial" w:cs="Arial"/>
          <w:color w:val="000000"/>
          <w:kern w:val="0"/>
          <w:sz w:val="20"/>
          <w:szCs w:val="20"/>
          <w:lang w:eastAsia="fr-FR"/>
          <w14:ligatures w14:val="none"/>
        </w:rPr>
        <w:t xml:space="preserve">(Table </w:t>
      </w:r>
      <w:r w:rsidR="00F01741" w:rsidRPr="00305A4F">
        <w:rPr>
          <w:rFonts w:ascii="Arial" w:eastAsia="Calibri" w:hAnsi="Arial" w:cs="Arial"/>
          <w:color w:val="000000"/>
          <w:kern w:val="0"/>
          <w:sz w:val="20"/>
          <w:szCs w:val="20"/>
          <w:lang w:eastAsia="fr-FR"/>
          <w14:ligatures w14:val="none"/>
        </w:rPr>
        <w:t>2</w:t>
      </w:r>
      <w:r w:rsidR="0062302F" w:rsidRPr="00305A4F">
        <w:rPr>
          <w:rFonts w:ascii="Arial" w:eastAsia="Calibri" w:hAnsi="Arial" w:cs="Arial"/>
          <w:color w:val="000000"/>
          <w:kern w:val="0"/>
          <w:sz w:val="20"/>
          <w:szCs w:val="20"/>
          <w:lang w:eastAsia="fr-FR"/>
          <w14:ligatures w14:val="none"/>
        </w:rPr>
        <w:t xml:space="preserve">). </w:t>
      </w:r>
    </w:p>
    <w:p w14:paraId="7D9F2FFF" w14:textId="77777777" w:rsidR="00055171" w:rsidRPr="00305A4F" w:rsidRDefault="00055171" w:rsidP="0014738D">
      <w:pPr>
        <w:spacing w:after="0" w:line="240" w:lineRule="auto"/>
        <w:ind w:left="10" w:hanging="10"/>
        <w:jc w:val="both"/>
        <w:rPr>
          <w:rFonts w:ascii="Arial" w:eastAsia="Calibri" w:hAnsi="Arial" w:cs="Arial"/>
          <w:color w:val="000000"/>
          <w:kern w:val="0"/>
          <w:sz w:val="20"/>
          <w:szCs w:val="20"/>
          <w:lang w:eastAsia="fr-FR"/>
          <w14:ligatures w14:val="none"/>
        </w:rPr>
      </w:pPr>
    </w:p>
    <w:p w14:paraId="0AB74DD4" w14:textId="4BC68B96" w:rsidR="00055171" w:rsidRPr="00F829C3" w:rsidRDefault="00055171" w:rsidP="00055171">
      <w:pPr>
        <w:spacing w:line="480" w:lineRule="auto"/>
        <w:jc w:val="both"/>
        <w:rPr>
          <w:rFonts w:ascii="Times New Roman" w:hAnsi="Times New Roman" w:cs="Times New Roman"/>
          <w:bCs/>
        </w:rPr>
      </w:pPr>
      <w:bookmarkStart w:id="3" w:name="_Hlk217973821"/>
      <w:r w:rsidRPr="00305A4F">
        <w:rPr>
          <w:rFonts w:ascii="Arial" w:eastAsia="Calibri" w:hAnsi="Arial" w:cs="Arial"/>
          <w:b/>
          <w:color w:val="000000" w:themeColor="text1"/>
          <w:kern w:val="0"/>
          <w:sz w:val="20"/>
          <w:szCs w:val="20"/>
          <w:lang w:eastAsia="fr-FR"/>
          <w14:ligatures w14:val="none"/>
        </w:rPr>
        <w:t xml:space="preserve">Table </w:t>
      </w:r>
      <w:r w:rsidR="00F01741" w:rsidRPr="00305A4F">
        <w:rPr>
          <w:rFonts w:ascii="Arial" w:eastAsia="Calibri" w:hAnsi="Arial" w:cs="Arial"/>
          <w:b/>
          <w:color w:val="000000" w:themeColor="text1"/>
          <w:kern w:val="0"/>
          <w:sz w:val="20"/>
          <w:szCs w:val="20"/>
          <w:lang w:eastAsia="fr-FR"/>
          <w14:ligatures w14:val="none"/>
        </w:rPr>
        <w:t>2</w:t>
      </w:r>
      <w:r w:rsidRPr="00305A4F">
        <w:rPr>
          <w:rFonts w:ascii="Arial" w:eastAsia="Calibri" w:hAnsi="Arial" w:cs="Arial"/>
          <w:b/>
          <w:color w:val="000000" w:themeColor="text1"/>
          <w:kern w:val="0"/>
          <w:sz w:val="20"/>
          <w:szCs w:val="20"/>
          <w:lang w:eastAsia="fr-FR"/>
          <w14:ligatures w14:val="none"/>
        </w:rPr>
        <w:t>:</w:t>
      </w:r>
      <w:r w:rsidRPr="00F829C3">
        <w:rPr>
          <w:rFonts w:ascii="Times New Roman" w:hAnsi="Times New Roman" w:cs="Times New Roman"/>
          <w:b/>
        </w:rPr>
        <w:t xml:space="preserve"> </w:t>
      </w:r>
      <w:r w:rsidRPr="00305A4F">
        <w:rPr>
          <w:rFonts w:ascii="Arial" w:eastAsia="Calibri" w:hAnsi="Arial" w:cs="Arial"/>
          <w:bCs/>
          <w:color w:val="000000" w:themeColor="text1"/>
          <w:kern w:val="0"/>
          <w:sz w:val="20"/>
          <w:szCs w:val="20"/>
          <w:lang w:eastAsia="fr-FR"/>
          <w14:ligatures w14:val="none"/>
        </w:rPr>
        <w:t>Distribution of the 368 influenza-like illness cases seen at the Gbéssia Port I sentinel site according to reasons for consultation, March–August 2020, Conakry (Guinea)</w:t>
      </w:r>
    </w:p>
    <w:tbl>
      <w:tblPr>
        <w:tblW w:w="8999" w:type="dxa"/>
        <w:tblInd w:w="70" w:type="dxa"/>
        <w:tblCellMar>
          <w:left w:w="70" w:type="dxa"/>
          <w:right w:w="70" w:type="dxa"/>
        </w:tblCellMar>
        <w:tblLook w:val="04A0" w:firstRow="1" w:lastRow="0" w:firstColumn="1" w:lastColumn="0" w:noHBand="0" w:noVBand="1"/>
      </w:tblPr>
      <w:tblGrid>
        <w:gridCol w:w="4442"/>
        <w:gridCol w:w="4557"/>
      </w:tblGrid>
      <w:tr w:rsidR="00055171" w:rsidRPr="008E4186" w14:paraId="48DC0730" w14:textId="77777777" w:rsidTr="00F01741">
        <w:trPr>
          <w:trHeight w:val="376"/>
        </w:trPr>
        <w:tc>
          <w:tcPr>
            <w:tcW w:w="4442" w:type="dxa"/>
            <w:tcBorders>
              <w:top w:val="single" w:sz="4" w:space="0" w:color="auto"/>
              <w:left w:val="nil"/>
              <w:bottom w:val="single" w:sz="4" w:space="0" w:color="auto"/>
              <w:right w:val="nil"/>
            </w:tcBorders>
            <w:noWrap/>
            <w:vAlign w:val="bottom"/>
            <w:hideMark/>
          </w:tcPr>
          <w:bookmarkEnd w:id="3"/>
          <w:p w14:paraId="353181AD" w14:textId="77777777" w:rsidR="00055171" w:rsidRPr="008E4186" w:rsidRDefault="00055171" w:rsidP="00F01741">
            <w:pPr>
              <w:spacing w:after="0" w:line="480" w:lineRule="auto"/>
              <w:ind w:left="122"/>
              <w:contextualSpacing/>
              <w:rPr>
                <w:rFonts w:ascii="Arial" w:eastAsia="Calibri" w:hAnsi="Arial" w:cs="Arial"/>
                <w:b/>
                <w:color w:val="000000" w:themeColor="text1"/>
                <w:kern w:val="0"/>
                <w:sz w:val="20"/>
                <w:szCs w:val="20"/>
                <w:lang w:val="fr-FR" w:eastAsia="fr-FR"/>
                <w14:ligatures w14:val="none"/>
              </w:rPr>
            </w:pPr>
            <w:proofErr w:type="spellStart"/>
            <w:r w:rsidRPr="008E4186">
              <w:rPr>
                <w:rFonts w:ascii="Arial" w:eastAsia="Calibri" w:hAnsi="Arial" w:cs="Arial"/>
                <w:b/>
                <w:color w:val="000000" w:themeColor="text1"/>
                <w:kern w:val="0"/>
                <w:sz w:val="20"/>
                <w:szCs w:val="20"/>
                <w:lang w:val="fr-FR" w:eastAsia="fr-FR"/>
                <w14:ligatures w14:val="none"/>
              </w:rPr>
              <w:t>Reasons</w:t>
            </w:r>
            <w:proofErr w:type="spellEnd"/>
            <w:r w:rsidRPr="008E4186">
              <w:rPr>
                <w:rFonts w:ascii="Arial" w:eastAsia="Calibri" w:hAnsi="Arial" w:cs="Arial"/>
                <w:b/>
                <w:color w:val="000000" w:themeColor="text1"/>
                <w:kern w:val="0"/>
                <w:sz w:val="20"/>
                <w:szCs w:val="20"/>
                <w:lang w:val="fr-FR" w:eastAsia="fr-FR"/>
                <w14:ligatures w14:val="none"/>
              </w:rPr>
              <w:t xml:space="preserve"> for consultation</w:t>
            </w:r>
          </w:p>
        </w:tc>
        <w:tc>
          <w:tcPr>
            <w:tcW w:w="4557" w:type="dxa"/>
            <w:tcBorders>
              <w:top w:val="single" w:sz="4" w:space="0" w:color="auto"/>
              <w:left w:val="nil"/>
              <w:bottom w:val="single" w:sz="4" w:space="0" w:color="auto"/>
              <w:right w:val="nil"/>
            </w:tcBorders>
            <w:noWrap/>
            <w:vAlign w:val="bottom"/>
            <w:hideMark/>
          </w:tcPr>
          <w:p w14:paraId="4748A483" w14:textId="77777777" w:rsidR="00055171" w:rsidRPr="008E4186" w:rsidRDefault="00055171" w:rsidP="00F01741">
            <w:pPr>
              <w:spacing w:after="0" w:line="480" w:lineRule="auto"/>
              <w:ind w:left="122"/>
              <w:contextualSpacing/>
              <w:rPr>
                <w:rFonts w:ascii="Arial" w:eastAsia="Calibri" w:hAnsi="Arial" w:cs="Arial"/>
                <w:b/>
                <w:color w:val="000000" w:themeColor="text1"/>
                <w:kern w:val="0"/>
                <w:sz w:val="20"/>
                <w:szCs w:val="20"/>
                <w:lang w:val="fr-FR" w:eastAsia="fr-FR"/>
                <w14:ligatures w14:val="none"/>
              </w:rPr>
            </w:pPr>
            <w:r w:rsidRPr="008E4186">
              <w:rPr>
                <w:rFonts w:ascii="Arial" w:eastAsia="Calibri" w:hAnsi="Arial" w:cs="Arial"/>
                <w:b/>
                <w:color w:val="000000" w:themeColor="text1"/>
                <w:kern w:val="0"/>
                <w:sz w:val="20"/>
                <w:szCs w:val="20"/>
                <w:lang w:val="fr-FR" w:eastAsia="fr-FR"/>
                <w14:ligatures w14:val="none"/>
              </w:rPr>
              <w:t>Proportion</w:t>
            </w:r>
          </w:p>
        </w:tc>
      </w:tr>
      <w:tr w:rsidR="00055171" w:rsidRPr="00DD2BE5" w14:paraId="23670272" w14:textId="77777777" w:rsidTr="00F01741">
        <w:trPr>
          <w:trHeight w:val="376"/>
        </w:trPr>
        <w:tc>
          <w:tcPr>
            <w:tcW w:w="4442" w:type="dxa"/>
            <w:tcBorders>
              <w:top w:val="nil"/>
              <w:left w:val="nil"/>
              <w:bottom w:val="nil"/>
              <w:right w:val="nil"/>
            </w:tcBorders>
            <w:noWrap/>
            <w:vAlign w:val="bottom"/>
            <w:hideMark/>
          </w:tcPr>
          <w:p w14:paraId="3C0C8EDC"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Sneezing</w:t>
            </w:r>
            <w:proofErr w:type="spellEnd"/>
          </w:p>
        </w:tc>
        <w:tc>
          <w:tcPr>
            <w:tcW w:w="4557" w:type="dxa"/>
            <w:tcBorders>
              <w:top w:val="nil"/>
              <w:left w:val="nil"/>
              <w:bottom w:val="nil"/>
              <w:right w:val="nil"/>
            </w:tcBorders>
            <w:noWrap/>
            <w:vAlign w:val="center"/>
            <w:hideMark/>
          </w:tcPr>
          <w:p w14:paraId="48D16045"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23,10</w:t>
            </w:r>
          </w:p>
        </w:tc>
      </w:tr>
      <w:tr w:rsidR="00055171" w:rsidRPr="00DD2BE5" w14:paraId="5F1558FF" w14:textId="77777777" w:rsidTr="00F01741">
        <w:trPr>
          <w:trHeight w:val="376"/>
        </w:trPr>
        <w:tc>
          <w:tcPr>
            <w:tcW w:w="4442" w:type="dxa"/>
            <w:tcBorders>
              <w:top w:val="nil"/>
              <w:left w:val="nil"/>
              <w:bottom w:val="nil"/>
              <w:right w:val="nil"/>
            </w:tcBorders>
            <w:noWrap/>
            <w:vAlign w:val="bottom"/>
          </w:tcPr>
          <w:p w14:paraId="41D59EEA"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Cough</w:t>
            </w:r>
            <w:proofErr w:type="spellEnd"/>
          </w:p>
        </w:tc>
        <w:tc>
          <w:tcPr>
            <w:tcW w:w="4557" w:type="dxa"/>
            <w:tcBorders>
              <w:top w:val="nil"/>
              <w:left w:val="nil"/>
              <w:bottom w:val="nil"/>
              <w:right w:val="nil"/>
            </w:tcBorders>
            <w:noWrap/>
            <w:vAlign w:val="center"/>
          </w:tcPr>
          <w:p w14:paraId="3B3E4622"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96,20</w:t>
            </w:r>
          </w:p>
        </w:tc>
      </w:tr>
      <w:tr w:rsidR="00055171" w:rsidRPr="00DD2BE5" w14:paraId="3C835118" w14:textId="77777777" w:rsidTr="00F01741">
        <w:trPr>
          <w:trHeight w:val="376"/>
        </w:trPr>
        <w:tc>
          <w:tcPr>
            <w:tcW w:w="4442" w:type="dxa"/>
            <w:tcBorders>
              <w:top w:val="nil"/>
              <w:left w:val="nil"/>
              <w:bottom w:val="nil"/>
              <w:right w:val="nil"/>
            </w:tcBorders>
            <w:noWrap/>
            <w:vAlign w:val="bottom"/>
            <w:hideMark/>
          </w:tcPr>
          <w:p w14:paraId="510415E3"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Headache</w:t>
            </w:r>
            <w:proofErr w:type="spellEnd"/>
          </w:p>
        </w:tc>
        <w:tc>
          <w:tcPr>
            <w:tcW w:w="4557" w:type="dxa"/>
            <w:tcBorders>
              <w:top w:val="nil"/>
              <w:left w:val="nil"/>
              <w:bottom w:val="nil"/>
              <w:right w:val="nil"/>
            </w:tcBorders>
            <w:noWrap/>
            <w:vAlign w:val="center"/>
            <w:hideMark/>
          </w:tcPr>
          <w:p w14:paraId="24C88AD8"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26,90</w:t>
            </w:r>
          </w:p>
        </w:tc>
      </w:tr>
      <w:tr w:rsidR="00055171" w:rsidRPr="00DD2BE5" w14:paraId="30BE2E34" w14:textId="77777777" w:rsidTr="00F01741">
        <w:trPr>
          <w:trHeight w:val="376"/>
        </w:trPr>
        <w:tc>
          <w:tcPr>
            <w:tcW w:w="4442" w:type="dxa"/>
            <w:tcBorders>
              <w:top w:val="nil"/>
              <w:left w:val="nil"/>
              <w:bottom w:val="nil"/>
              <w:right w:val="nil"/>
            </w:tcBorders>
            <w:noWrap/>
            <w:vAlign w:val="bottom"/>
          </w:tcPr>
          <w:p w14:paraId="14CACA48"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Fever</w:t>
            </w:r>
          </w:p>
        </w:tc>
        <w:tc>
          <w:tcPr>
            <w:tcW w:w="4557" w:type="dxa"/>
            <w:tcBorders>
              <w:top w:val="nil"/>
              <w:left w:val="nil"/>
              <w:bottom w:val="nil"/>
              <w:right w:val="nil"/>
            </w:tcBorders>
            <w:noWrap/>
            <w:vAlign w:val="center"/>
          </w:tcPr>
          <w:p w14:paraId="42BEE75A"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92,66</w:t>
            </w:r>
          </w:p>
        </w:tc>
      </w:tr>
      <w:tr w:rsidR="00055171" w:rsidRPr="00DD2BE5" w14:paraId="0A19B6F7" w14:textId="77777777" w:rsidTr="00F01741">
        <w:trPr>
          <w:trHeight w:val="376"/>
        </w:trPr>
        <w:tc>
          <w:tcPr>
            <w:tcW w:w="4442" w:type="dxa"/>
            <w:tcBorders>
              <w:top w:val="nil"/>
              <w:left w:val="nil"/>
              <w:bottom w:val="nil"/>
              <w:right w:val="nil"/>
            </w:tcBorders>
            <w:noWrap/>
            <w:vAlign w:val="bottom"/>
            <w:hideMark/>
          </w:tcPr>
          <w:p w14:paraId="0AFF57D0"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Malaise</w:t>
            </w:r>
          </w:p>
        </w:tc>
        <w:tc>
          <w:tcPr>
            <w:tcW w:w="4557" w:type="dxa"/>
            <w:tcBorders>
              <w:top w:val="nil"/>
              <w:left w:val="nil"/>
              <w:bottom w:val="nil"/>
              <w:right w:val="nil"/>
            </w:tcBorders>
            <w:noWrap/>
            <w:vAlign w:val="center"/>
            <w:hideMark/>
          </w:tcPr>
          <w:p w14:paraId="00D86EA7"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0,82</w:t>
            </w:r>
          </w:p>
        </w:tc>
      </w:tr>
      <w:tr w:rsidR="00055171" w:rsidRPr="00DD2BE5" w14:paraId="32A352ED" w14:textId="77777777" w:rsidTr="00F01741">
        <w:trPr>
          <w:trHeight w:val="376"/>
        </w:trPr>
        <w:tc>
          <w:tcPr>
            <w:tcW w:w="4442" w:type="dxa"/>
            <w:tcBorders>
              <w:top w:val="nil"/>
              <w:left w:val="nil"/>
              <w:bottom w:val="nil"/>
              <w:right w:val="nil"/>
            </w:tcBorders>
            <w:noWrap/>
            <w:vAlign w:val="bottom"/>
            <w:hideMark/>
          </w:tcPr>
          <w:p w14:paraId="178CE159"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Chills</w:t>
            </w:r>
            <w:proofErr w:type="spellEnd"/>
          </w:p>
        </w:tc>
        <w:tc>
          <w:tcPr>
            <w:tcW w:w="4557" w:type="dxa"/>
            <w:tcBorders>
              <w:top w:val="nil"/>
              <w:left w:val="nil"/>
              <w:bottom w:val="nil"/>
              <w:right w:val="nil"/>
            </w:tcBorders>
            <w:noWrap/>
            <w:vAlign w:val="center"/>
            <w:hideMark/>
          </w:tcPr>
          <w:p w14:paraId="12ADDA7B"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8,70</w:t>
            </w:r>
          </w:p>
        </w:tc>
      </w:tr>
      <w:tr w:rsidR="00055171" w:rsidRPr="00DD2BE5" w14:paraId="407DBD18" w14:textId="77777777" w:rsidTr="00F01741">
        <w:trPr>
          <w:trHeight w:val="376"/>
        </w:trPr>
        <w:tc>
          <w:tcPr>
            <w:tcW w:w="4442" w:type="dxa"/>
            <w:tcBorders>
              <w:top w:val="nil"/>
              <w:left w:val="nil"/>
              <w:bottom w:val="nil"/>
              <w:right w:val="nil"/>
            </w:tcBorders>
            <w:noWrap/>
            <w:vAlign w:val="bottom"/>
            <w:hideMark/>
          </w:tcPr>
          <w:p w14:paraId="3EB10CB3"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Sore </w:t>
            </w:r>
            <w:proofErr w:type="spellStart"/>
            <w:r w:rsidRPr="00DD2BE5">
              <w:rPr>
                <w:rFonts w:ascii="Arial" w:eastAsia="Calibri" w:hAnsi="Arial" w:cs="Arial"/>
                <w:color w:val="000000" w:themeColor="text1"/>
                <w:kern w:val="0"/>
                <w:sz w:val="20"/>
                <w:szCs w:val="20"/>
                <w:lang w:val="fr-FR" w:eastAsia="fr-FR"/>
                <w14:ligatures w14:val="none"/>
              </w:rPr>
              <w:t>throat</w:t>
            </w:r>
            <w:proofErr w:type="spellEnd"/>
          </w:p>
        </w:tc>
        <w:tc>
          <w:tcPr>
            <w:tcW w:w="4557" w:type="dxa"/>
            <w:tcBorders>
              <w:top w:val="nil"/>
              <w:left w:val="nil"/>
              <w:bottom w:val="nil"/>
              <w:right w:val="nil"/>
            </w:tcBorders>
            <w:noWrap/>
            <w:vAlign w:val="center"/>
            <w:hideMark/>
          </w:tcPr>
          <w:p w14:paraId="294112DF"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9,78</w:t>
            </w:r>
          </w:p>
        </w:tc>
      </w:tr>
      <w:tr w:rsidR="00055171" w:rsidRPr="00DD2BE5" w14:paraId="0A4455CE" w14:textId="77777777" w:rsidTr="00F01741">
        <w:trPr>
          <w:trHeight w:val="376"/>
        </w:trPr>
        <w:tc>
          <w:tcPr>
            <w:tcW w:w="4442" w:type="dxa"/>
            <w:tcBorders>
              <w:top w:val="nil"/>
              <w:left w:val="nil"/>
              <w:bottom w:val="nil"/>
              <w:right w:val="nil"/>
            </w:tcBorders>
            <w:noWrap/>
            <w:vAlign w:val="bottom"/>
            <w:hideMark/>
          </w:tcPr>
          <w:p w14:paraId="32CC1185"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Myalgia</w:t>
            </w:r>
            <w:proofErr w:type="spellEnd"/>
          </w:p>
        </w:tc>
        <w:tc>
          <w:tcPr>
            <w:tcW w:w="4557" w:type="dxa"/>
            <w:tcBorders>
              <w:top w:val="nil"/>
              <w:left w:val="nil"/>
              <w:bottom w:val="nil"/>
              <w:right w:val="nil"/>
            </w:tcBorders>
            <w:noWrap/>
            <w:vAlign w:val="center"/>
            <w:hideMark/>
          </w:tcPr>
          <w:p w14:paraId="59C8DFF3"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3,53</w:t>
            </w:r>
          </w:p>
        </w:tc>
      </w:tr>
      <w:tr w:rsidR="00055171" w:rsidRPr="00DD2BE5" w14:paraId="6D397700" w14:textId="77777777" w:rsidTr="00F01741">
        <w:trPr>
          <w:trHeight w:val="376"/>
        </w:trPr>
        <w:tc>
          <w:tcPr>
            <w:tcW w:w="4442" w:type="dxa"/>
            <w:tcBorders>
              <w:top w:val="nil"/>
              <w:left w:val="nil"/>
              <w:bottom w:val="nil"/>
              <w:right w:val="nil"/>
            </w:tcBorders>
            <w:noWrap/>
            <w:vAlign w:val="bottom"/>
            <w:hideMark/>
          </w:tcPr>
          <w:p w14:paraId="7A9C8238"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Arthralgia</w:t>
            </w:r>
            <w:proofErr w:type="spellEnd"/>
          </w:p>
        </w:tc>
        <w:tc>
          <w:tcPr>
            <w:tcW w:w="4557" w:type="dxa"/>
            <w:tcBorders>
              <w:top w:val="nil"/>
              <w:left w:val="nil"/>
              <w:bottom w:val="nil"/>
              <w:right w:val="nil"/>
            </w:tcBorders>
            <w:noWrap/>
            <w:vAlign w:val="center"/>
            <w:hideMark/>
          </w:tcPr>
          <w:p w14:paraId="613C9BFF"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23,91</w:t>
            </w:r>
          </w:p>
        </w:tc>
      </w:tr>
      <w:tr w:rsidR="00055171" w:rsidRPr="00DD2BE5" w14:paraId="400BC8A7" w14:textId="77777777" w:rsidTr="00F01741">
        <w:trPr>
          <w:trHeight w:val="376"/>
        </w:trPr>
        <w:tc>
          <w:tcPr>
            <w:tcW w:w="4442" w:type="dxa"/>
            <w:tcBorders>
              <w:top w:val="nil"/>
              <w:left w:val="nil"/>
              <w:bottom w:val="nil"/>
              <w:right w:val="nil"/>
            </w:tcBorders>
            <w:noWrap/>
            <w:vAlign w:val="bottom"/>
          </w:tcPr>
          <w:p w14:paraId="50973462"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Rhinorrhea</w:t>
            </w:r>
            <w:proofErr w:type="spellEnd"/>
          </w:p>
        </w:tc>
        <w:tc>
          <w:tcPr>
            <w:tcW w:w="4557" w:type="dxa"/>
            <w:tcBorders>
              <w:top w:val="nil"/>
              <w:left w:val="nil"/>
              <w:bottom w:val="nil"/>
              <w:right w:val="nil"/>
            </w:tcBorders>
            <w:noWrap/>
            <w:vAlign w:val="center"/>
          </w:tcPr>
          <w:p w14:paraId="53C17755"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81,79</w:t>
            </w:r>
          </w:p>
        </w:tc>
      </w:tr>
      <w:tr w:rsidR="00055171" w:rsidRPr="00DD2BE5" w14:paraId="3DD62BA9" w14:textId="77777777" w:rsidTr="00F01741">
        <w:trPr>
          <w:trHeight w:val="376"/>
        </w:trPr>
        <w:tc>
          <w:tcPr>
            <w:tcW w:w="4442" w:type="dxa"/>
            <w:tcBorders>
              <w:top w:val="nil"/>
              <w:left w:val="nil"/>
              <w:bottom w:val="nil"/>
              <w:right w:val="nil"/>
            </w:tcBorders>
            <w:noWrap/>
            <w:vAlign w:val="bottom"/>
            <w:hideMark/>
          </w:tcPr>
          <w:p w14:paraId="1F1D812B"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proofErr w:type="spellStart"/>
            <w:r w:rsidRPr="00DD2BE5">
              <w:rPr>
                <w:rFonts w:ascii="Arial" w:eastAsia="Calibri" w:hAnsi="Arial" w:cs="Arial"/>
                <w:color w:val="000000" w:themeColor="text1"/>
                <w:kern w:val="0"/>
                <w:sz w:val="20"/>
                <w:szCs w:val="20"/>
                <w:lang w:val="fr-FR" w:eastAsia="fr-FR"/>
                <w14:ligatures w14:val="none"/>
              </w:rPr>
              <w:t>Anorexia</w:t>
            </w:r>
            <w:proofErr w:type="spellEnd"/>
          </w:p>
        </w:tc>
        <w:tc>
          <w:tcPr>
            <w:tcW w:w="4557" w:type="dxa"/>
            <w:tcBorders>
              <w:top w:val="nil"/>
              <w:left w:val="nil"/>
              <w:bottom w:val="nil"/>
              <w:right w:val="nil"/>
            </w:tcBorders>
            <w:noWrap/>
            <w:vAlign w:val="center"/>
            <w:hideMark/>
          </w:tcPr>
          <w:p w14:paraId="49F10192"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38,86</w:t>
            </w:r>
          </w:p>
        </w:tc>
      </w:tr>
      <w:tr w:rsidR="00055171" w:rsidRPr="00DD2BE5" w14:paraId="6F293086" w14:textId="77777777" w:rsidTr="00F01741">
        <w:trPr>
          <w:trHeight w:val="376"/>
        </w:trPr>
        <w:tc>
          <w:tcPr>
            <w:tcW w:w="4442" w:type="dxa"/>
            <w:tcBorders>
              <w:top w:val="nil"/>
              <w:left w:val="nil"/>
              <w:bottom w:val="single" w:sz="8" w:space="0" w:color="auto"/>
              <w:right w:val="nil"/>
            </w:tcBorders>
            <w:noWrap/>
            <w:vAlign w:val="bottom"/>
            <w:hideMark/>
          </w:tcPr>
          <w:p w14:paraId="5C55C244"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 xml:space="preserve">Physical </w:t>
            </w:r>
            <w:proofErr w:type="spellStart"/>
            <w:r w:rsidRPr="00DD2BE5">
              <w:rPr>
                <w:rFonts w:ascii="Arial" w:eastAsia="Calibri" w:hAnsi="Arial" w:cs="Arial"/>
                <w:color w:val="000000" w:themeColor="text1"/>
                <w:kern w:val="0"/>
                <w:sz w:val="20"/>
                <w:szCs w:val="20"/>
                <w:lang w:val="fr-FR" w:eastAsia="fr-FR"/>
                <w14:ligatures w14:val="none"/>
              </w:rPr>
              <w:t>asthenia</w:t>
            </w:r>
            <w:proofErr w:type="spellEnd"/>
          </w:p>
        </w:tc>
        <w:tc>
          <w:tcPr>
            <w:tcW w:w="4557" w:type="dxa"/>
            <w:tcBorders>
              <w:top w:val="nil"/>
              <w:left w:val="nil"/>
              <w:bottom w:val="single" w:sz="8" w:space="0" w:color="auto"/>
              <w:right w:val="nil"/>
            </w:tcBorders>
            <w:noWrap/>
            <w:vAlign w:val="center"/>
            <w:hideMark/>
          </w:tcPr>
          <w:p w14:paraId="610A9CAB" w14:textId="77777777" w:rsidR="00055171" w:rsidRPr="00DD2BE5" w:rsidRDefault="00055171" w:rsidP="00F01741">
            <w:pPr>
              <w:tabs>
                <w:tab w:val="center" w:pos="3435"/>
                <w:tab w:val="center" w:pos="7214"/>
              </w:tabs>
              <w:spacing w:after="0" w:line="480" w:lineRule="auto"/>
              <w:contextualSpacing/>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19,57</w:t>
            </w:r>
          </w:p>
        </w:tc>
      </w:tr>
    </w:tbl>
    <w:p w14:paraId="4CFC6B90" w14:textId="77777777" w:rsidR="00055171" w:rsidRDefault="00055171"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0E4257ED" w14:textId="77777777" w:rsidR="00E73D9A" w:rsidRDefault="00E73D9A"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591A2F81" w14:textId="21B1A308" w:rsidR="00294DBC" w:rsidRPr="00305A4F" w:rsidRDefault="00E05BF9" w:rsidP="00840AC1">
      <w:pPr>
        <w:spacing w:after="0" w:line="240" w:lineRule="auto"/>
        <w:ind w:left="10" w:hanging="10"/>
        <w:jc w:val="both"/>
        <w:rPr>
          <w:rFonts w:ascii="Arial" w:eastAsia="Calibri" w:hAnsi="Arial" w:cs="Arial"/>
          <w:color w:val="000000"/>
          <w:kern w:val="0"/>
          <w:sz w:val="20"/>
          <w:szCs w:val="20"/>
          <w:lang w:eastAsia="fr-FR"/>
          <w14:ligatures w14:val="none"/>
        </w:rPr>
      </w:pPr>
      <w:r w:rsidRPr="00E05BF9">
        <w:rPr>
          <w:rFonts w:ascii="Arial" w:eastAsia="Calibri" w:hAnsi="Arial" w:cs="Arial"/>
          <w:color w:val="000000"/>
          <w:kern w:val="0"/>
          <w:sz w:val="20"/>
          <w:szCs w:val="20"/>
          <w:lang w:eastAsia="fr-FR"/>
          <w14:ligatures w14:val="none"/>
        </w:rPr>
        <w:t>A total of 68 patients out of 368 cases of influenza-like illness (18.47%) were sampled for RT-PCR testing. Results were positive for influenza A(H3N2) in 3 cases (4.41%). Without awaiting RT-PCR results, 92.11% of patients seen in consultation received antibiotic therapy at the end of the visit. Sulfonamides (69.03%) and beta-lactams (30.38%) were the most frequently prescribed antibiotics. In terms of specific drugs, cotrimoxazole was the most prescribed (69.02%), followed by amoxicillin (30.38%) and erythromycin (0.60%).</w:t>
      </w:r>
    </w:p>
    <w:p w14:paraId="1A7DCA94" w14:textId="77777777" w:rsidR="00294DBC" w:rsidRPr="00305A4F" w:rsidRDefault="00294DBC" w:rsidP="00840AC1">
      <w:pPr>
        <w:spacing w:after="0" w:line="240" w:lineRule="auto"/>
        <w:ind w:left="10" w:hanging="10"/>
        <w:jc w:val="both"/>
        <w:rPr>
          <w:rFonts w:ascii="Arial" w:eastAsia="Calibri" w:hAnsi="Arial" w:cs="Arial"/>
          <w:color w:val="000000"/>
          <w:kern w:val="0"/>
          <w:sz w:val="20"/>
          <w:szCs w:val="20"/>
          <w:lang w:eastAsia="fr-FR"/>
          <w14:ligatures w14:val="none"/>
        </w:rPr>
      </w:pPr>
    </w:p>
    <w:p w14:paraId="76D11ED4" w14:textId="272C3796" w:rsidR="00E769B6" w:rsidRPr="00305A4F" w:rsidRDefault="00E769B6" w:rsidP="00E769B6">
      <w:pPr>
        <w:spacing w:line="480" w:lineRule="auto"/>
        <w:jc w:val="both"/>
        <w:rPr>
          <w:rFonts w:ascii="Arial" w:eastAsia="Calibri" w:hAnsi="Arial" w:cs="Arial"/>
          <w:bCs/>
          <w:color w:val="000000" w:themeColor="text1"/>
          <w:kern w:val="0"/>
          <w:sz w:val="20"/>
          <w:szCs w:val="20"/>
          <w:lang w:eastAsia="fr-FR"/>
          <w14:ligatures w14:val="none"/>
        </w:rPr>
      </w:pPr>
      <w:r w:rsidRPr="00305A4F">
        <w:rPr>
          <w:rFonts w:ascii="Arial" w:eastAsia="Calibri" w:hAnsi="Arial" w:cs="Arial"/>
          <w:b/>
          <w:color w:val="000000" w:themeColor="text1"/>
          <w:kern w:val="0"/>
          <w:sz w:val="20"/>
          <w:szCs w:val="20"/>
          <w:lang w:eastAsia="fr-FR"/>
          <w14:ligatures w14:val="none"/>
        </w:rPr>
        <w:t>Table 3:</w:t>
      </w:r>
      <w:r w:rsidRPr="00305A4F">
        <w:rPr>
          <w:rFonts w:ascii="Times New Roman" w:hAnsi="Times New Roman" w:cs="Times New Roman"/>
        </w:rPr>
        <w:t xml:space="preserve"> </w:t>
      </w:r>
      <w:r w:rsidR="00032BC5" w:rsidRPr="00305A4F">
        <w:rPr>
          <w:rFonts w:ascii="Arial" w:eastAsia="Calibri" w:hAnsi="Arial" w:cs="Arial"/>
          <w:bCs/>
          <w:color w:val="000000" w:themeColor="text1"/>
          <w:kern w:val="0"/>
          <w:sz w:val="20"/>
          <w:szCs w:val="20"/>
          <w:lang w:eastAsia="fr-FR"/>
          <w14:ligatures w14:val="none"/>
        </w:rPr>
        <w:t>Distribution of the 368 influenza-like illness cases received at the Gbéssia Port I sentinel site according to the main antibiotics prescribed, March - August 2020, Conakry (Guinea)</w:t>
      </w:r>
    </w:p>
    <w:tbl>
      <w:tblPr>
        <w:tblStyle w:val="TableGrid"/>
        <w:tblW w:w="0" w:type="auto"/>
        <w:tblLook w:val="04A0" w:firstRow="1" w:lastRow="0" w:firstColumn="1" w:lastColumn="0" w:noHBand="0" w:noVBand="1"/>
      </w:tblPr>
      <w:tblGrid>
        <w:gridCol w:w="6151"/>
        <w:gridCol w:w="3186"/>
      </w:tblGrid>
      <w:tr w:rsidR="00E769B6" w:rsidRPr="00DE62A6" w14:paraId="113F2CBF" w14:textId="77777777" w:rsidTr="00E769B6">
        <w:trPr>
          <w:trHeight w:val="493"/>
        </w:trPr>
        <w:tc>
          <w:tcPr>
            <w:tcW w:w="6151" w:type="dxa"/>
            <w:tcBorders>
              <w:left w:val="nil"/>
              <w:bottom w:val="single" w:sz="4" w:space="0" w:color="auto"/>
              <w:right w:val="nil"/>
            </w:tcBorders>
          </w:tcPr>
          <w:p w14:paraId="4F98A7C5" w14:textId="77777777" w:rsidR="00E769B6" w:rsidRPr="00DE62A6" w:rsidRDefault="00E769B6" w:rsidP="001320F1">
            <w:pPr>
              <w:spacing w:line="480" w:lineRule="auto"/>
              <w:ind w:left="122"/>
              <w:contextualSpacing/>
              <w:jc w:val="both"/>
              <w:rPr>
                <w:rFonts w:ascii="Arial" w:eastAsia="Calibri" w:hAnsi="Arial" w:cs="Arial"/>
                <w:b/>
                <w:color w:val="000000" w:themeColor="text1"/>
                <w:kern w:val="0"/>
                <w:sz w:val="20"/>
                <w:szCs w:val="20"/>
                <w:lang w:val="fr-FR" w:eastAsia="fr-FR"/>
                <w14:ligatures w14:val="none"/>
              </w:rPr>
            </w:pPr>
            <w:proofErr w:type="spellStart"/>
            <w:r w:rsidRPr="00DE62A6">
              <w:rPr>
                <w:rFonts w:ascii="Arial" w:eastAsia="Calibri" w:hAnsi="Arial" w:cs="Arial"/>
                <w:b/>
                <w:color w:val="000000" w:themeColor="text1"/>
                <w:kern w:val="0"/>
                <w:sz w:val="20"/>
                <w:szCs w:val="20"/>
                <w:lang w:val="fr-FR" w:eastAsia="fr-FR"/>
                <w14:ligatures w14:val="none"/>
              </w:rPr>
              <w:lastRenderedPageBreak/>
              <w:t>Prescribed</w:t>
            </w:r>
            <w:proofErr w:type="spellEnd"/>
            <w:r w:rsidRPr="00DE62A6">
              <w:rPr>
                <w:rFonts w:ascii="Arial" w:eastAsia="Calibri" w:hAnsi="Arial" w:cs="Arial"/>
                <w:b/>
                <w:color w:val="000000" w:themeColor="text1"/>
                <w:kern w:val="0"/>
                <w:sz w:val="20"/>
                <w:szCs w:val="20"/>
                <w:lang w:val="fr-FR" w:eastAsia="fr-FR"/>
                <w14:ligatures w14:val="none"/>
              </w:rPr>
              <w:t xml:space="preserve"> </w:t>
            </w:r>
            <w:proofErr w:type="spellStart"/>
            <w:r w:rsidRPr="00DE62A6">
              <w:rPr>
                <w:rFonts w:ascii="Arial" w:eastAsia="Calibri" w:hAnsi="Arial" w:cs="Arial"/>
                <w:b/>
                <w:color w:val="000000" w:themeColor="text1"/>
                <w:kern w:val="0"/>
                <w:sz w:val="20"/>
                <w:szCs w:val="20"/>
                <w:lang w:val="fr-FR" w:eastAsia="fr-FR"/>
                <w14:ligatures w14:val="none"/>
              </w:rPr>
              <w:t>antibiotics</w:t>
            </w:r>
            <w:proofErr w:type="spellEnd"/>
          </w:p>
        </w:tc>
        <w:tc>
          <w:tcPr>
            <w:tcW w:w="3186" w:type="dxa"/>
            <w:tcBorders>
              <w:left w:val="nil"/>
              <w:bottom w:val="single" w:sz="4" w:space="0" w:color="auto"/>
              <w:right w:val="nil"/>
            </w:tcBorders>
          </w:tcPr>
          <w:p w14:paraId="2E691B0A" w14:textId="77777777" w:rsidR="00E769B6" w:rsidRPr="00DE62A6" w:rsidRDefault="00E769B6" w:rsidP="001320F1">
            <w:pPr>
              <w:spacing w:line="480" w:lineRule="auto"/>
              <w:ind w:left="122"/>
              <w:contextualSpacing/>
              <w:jc w:val="both"/>
              <w:rPr>
                <w:rFonts w:ascii="Arial" w:eastAsia="Calibri" w:hAnsi="Arial" w:cs="Arial"/>
                <w:b/>
                <w:color w:val="000000" w:themeColor="text1"/>
                <w:kern w:val="0"/>
                <w:sz w:val="20"/>
                <w:szCs w:val="20"/>
                <w:lang w:val="fr-FR" w:eastAsia="fr-FR"/>
                <w14:ligatures w14:val="none"/>
              </w:rPr>
            </w:pPr>
            <w:r w:rsidRPr="00DE62A6">
              <w:rPr>
                <w:rFonts w:ascii="Arial" w:eastAsia="Calibri" w:hAnsi="Arial" w:cs="Arial"/>
                <w:b/>
                <w:color w:val="000000" w:themeColor="text1"/>
                <w:kern w:val="0"/>
                <w:sz w:val="20"/>
                <w:szCs w:val="20"/>
                <w:lang w:val="fr-FR" w:eastAsia="fr-FR"/>
                <w14:ligatures w14:val="none"/>
              </w:rPr>
              <w:t>Proportion</w:t>
            </w:r>
          </w:p>
        </w:tc>
      </w:tr>
      <w:tr w:rsidR="00E769B6" w:rsidRPr="00DD2BE5" w14:paraId="47C06985" w14:textId="77777777" w:rsidTr="00E769B6">
        <w:trPr>
          <w:trHeight w:val="504"/>
        </w:trPr>
        <w:tc>
          <w:tcPr>
            <w:tcW w:w="6151" w:type="dxa"/>
            <w:tcBorders>
              <w:top w:val="nil"/>
              <w:left w:val="nil"/>
              <w:bottom w:val="nil"/>
              <w:right w:val="nil"/>
            </w:tcBorders>
          </w:tcPr>
          <w:p w14:paraId="3FA45442"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Amoxicilline 125 mg</w:t>
            </w:r>
          </w:p>
        </w:tc>
        <w:tc>
          <w:tcPr>
            <w:tcW w:w="3186" w:type="dxa"/>
            <w:tcBorders>
              <w:top w:val="nil"/>
              <w:left w:val="nil"/>
              <w:bottom w:val="nil"/>
              <w:right w:val="nil"/>
            </w:tcBorders>
          </w:tcPr>
          <w:p w14:paraId="1E413CA6"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6,49</w:t>
            </w:r>
          </w:p>
        </w:tc>
      </w:tr>
      <w:tr w:rsidR="00E769B6" w:rsidRPr="00DD2BE5" w14:paraId="065C14DF" w14:textId="77777777" w:rsidTr="00E769B6">
        <w:trPr>
          <w:trHeight w:val="493"/>
        </w:trPr>
        <w:tc>
          <w:tcPr>
            <w:tcW w:w="6151" w:type="dxa"/>
            <w:tcBorders>
              <w:top w:val="nil"/>
              <w:left w:val="nil"/>
              <w:bottom w:val="nil"/>
              <w:right w:val="nil"/>
            </w:tcBorders>
          </w:tcPr>
          <w:p w14:paraId="3B9CFC84"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Amoxicilline 250 mg</w:t>
            </w:r>
          </w:p>
        </w:tc>
        <w:tc>
          <w:tcPr>
            <w:tcW w:w="3186" w:type="dxa"/>
            <w:tcBorders>
              <w:top w:val="nil"/>
              <w:left w:val="nil"/>
              <w:bottom w:val="nil"/>
              <w:right w:val="nil"/>
            </w:tcBorders>
          </w:tcPr>
          <w:p w14:paraId="10902EB2"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12,68</w:t>
            </w:r>
          </w:p>
        </w:tc>
      </w:tr>
      <w:tr w:rsidR="00E769B6" w:rsidRPr="00DD2BE5" w14:paraId="1EE076DC" w14:textId="77777777" w:rsidTr="00E769B6">
        <w:trPr>
          <w:trHeight w:val="504"/>
        </w:trPr>
        <w:tc>
          <w:tcPr>
            <w:tcW w:w="6151" w:type="dxa"/>
            <w:tcBorders>
              <w:top w:val="nil"/>
              <w:left w:val="nil"/>
              <w:bottom w:val="nil"/>
              <w:right w:val="nil"/>
            </w:tcBorders>
          </w:tcPr>
          <w:p w14:paraId="159956F4"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Amoxicilline 500 mg</w:t>
            </w:r>
          </w:p>
        </w:tc>
        <w:tc>
          <w:tcPr>
            <w:tcW w:w="3186" w:type="dxa"/>
            <w:tcBorders>
              <w:top w:val="nil"/>
              <w:left w:val="nil"/>
              <w:bottom w:val="nil"/>
              <w:right w:val="nil"/>
            </w:tcBorders>
          </w:tcPr>
          <w:p w14:paraId="36A97B00"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11,21</w:t>
            </w:r>
          </w:p>
        </w:tc>
      </w:tr>
      <w:tr w:rsidR="00E769B6" w:rsidRPr="00DD2BE5" w14:paraId="2121AF23" w14:textId="77777777" w:rsidTr="00E769B6">
        <w:trPr>
          <w:trHeight w:val="493"/>
        </w:trPr>
        <w:tc>
          <w:tcPr>
            <w:tcW w:w="6151" w:type="dxa"/>
            <w:tcBorders>
              <w:top w:val="nil"/>
              <w:left w:val="nil"/>
              <w:bottom w:val="nil"/>
              <w:right w:val="nil"/>
            </w:tcBorders>
          </w:tcPr>
          <w:p w14:paraId="243C90D1"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Erythromycine 250 mg</w:t>
            </w:r>
          </w:p>
        </w:tc>
        <w:tc>
          <w:tcPr>
            <w:tcW w:w="3186" w:type="dxa"/>
            <w:tcBorders>
              <w:top w:val="nil"/>
              <w:left w:val="nil"/>
              <w:bottom w:val="nil"/>
              <w:right w:val="nil"/>
            </w:tcBorders>
          </w:tcPr>
          <w:p w14:paraId="428C72EC"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0,60</w:t>
            </w:r>
          </w:p>
        </w:tc>
      </w:tr>
      <w:tr w:rsidR="00E769B6" w:rsidRPr="00DD2BE5" w14:paraId="272DF02C" w14:textId="77777777" w:rsidTr="00E769B6">
        <w:trPr>
          <w:trHeight w:val="504"/>
        </w:trPr>
        <w:tc>
          <w:tcPr>
            <w:tcW w:w="6151" w:type="dxa"/>
            <w:tcBorders>
              <w:top w:val="nil"/>
              <w:left w:val="nil"/>
              <w:bottom w:val="nil"/>
              <w:right w:val="nil"/>
            </w:tcBorders>
          </w:tcPr>
          <w:p w14:paraId="24489EAB"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Cotrimoxazole 240 mg</w:t>
            </w:r>
          </w:p>
        </w:tc>
        <w:tc>
          <w:tcPr>
            <w:tcW w:w="3186" w:type="dxa"/>
            <w:tcBorders>
              <w:top w:val="nil"/>
              <w:left w:val="nil"/>
              <w:bottom w:val="nil"/>
              <w:right w:val="nil"/>
            </w:tcBorders>
          </w:tcPr>
          <w:p w14:paraId="10FBCE81"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26,25</w:t>
            </w:r>
          </w:p>
        </w:tc>
      </w:tr>
      <w:tr w:rsidR="00E769B6" w:rsidRPr="00DD2BE5" w14:paraId="566E1B8F" w14:textId="77777777" w:rsidTr="00E769B6">
        <w:trPr>
          <w:trHeight w:val="493"/>
        </w:trPr>
        <w:tc>
          <w:tcPr>
            <w:tcW w:w="6151" w:type="dxa"/>
            <w:tcBorders>
              <w:top w:val="nil"/>
              <w:left w:val="nil"/>
              <w:bottom w:val="single" w:sz="4" w:space="0" w:color="auto"/>
              <w:right w:val="nil"/>
            </w:tcBorders>
          </w:tcPr>
          <w:p w14:paraId="2863A280"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Cotrimoxazole 480 mg</w:t>
            </w:r>
          </w:p>
        </w:tc>
        <w:tc>
          <w:tcPr>
            <w:tcW w:w="3186" w:type="dxa"/>
            <w:tcBorders>
              <w:top w:val="nil"/>
              <w:left w:val="nil"/>
              <w:bottom w:val="single" w:sz="4" w:space="0" w:color="auto"/>
              <w:right w:val="nil"/>
            </w:tcBorders>
          </w:tcPr>
          <w:p w14:paraId="115DCC2A" w14:textId="77777777" w:rsidR="00E769B6" w:rsidRPr="00DD2BE5" w:rsidRDefault="00E769B6" w:rsidP="001320F1">
            <w:pPr>
              <w:tabs>
                <w:tab w:val="center" w:pos="3435"/>
                <w:tab w:val="center" w:pos="7214"/>
              </w:tabs>
              <w:spacing w:line="480" w:lineRule="auto"/>
              <w:contextualSpacing/>
              <w:jc w:val="both"/>
              <w:rPr>
                <w:rFonts w:ascii="Arial" w:eastAsia="Calibri" w:hAnsi="Arial" w:cs="Arial"/>
                <w:color w:val="000000" w:themeColor="text1"/>
                <w:kern w:val="0"/>
                <w:sz w:val="20"/>
                <w:szCs w:val="20"/>
                <w:lang w:val="fr-FR" w:eastAsia="fr-FR"/>
                <w14:ligatures w14:val="none"/>
              </w:rPr>
            </w:pPr>
            <w:r w:rsidRPr="00DD2BE5">
              <w:rPr>
                <w:rFonts w:ascii="Arial" w:eastAsia="Calibri" w:hAnsi="Arial" w:cs="Arial"/>
                <w:color w:val="000000" w:themeColor="text1"/>
                <w:kern w:val="0"/>
                <w:sz w:val="20"/>
                <w:szCs w:val="20"/>
                <w:lang w:val="fr-FR" w:eastAsia="fr-FR"/>
                <w14:ligatures w14:val="none"/>
              </w:rPr>
              <w:t>42,77</w:t>
            </w:r>
          </w:p>
        </w:tc>
      </w:tr>
    </w:tbl>
    <w:p w14:paraId="560CE0E7" w14:textId="77777777" w:rsidR="00E769B6" w:rsidRDefault="00E769B6"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384D5219" w14:textId="77777777" w:rsidR="00E769B6" w:rsidRDefault="00E769B6" w:rsidP="0014738D">
      <w:pPr>
        <w:spacing w:after="0" w:line="240" w:lineRule="auto"/>
        <w:ind w:left="10" w:hanging="10"/>
        <w:jc w:val="both"/>
        <w:rPr>
          <w:rFonts w:ascii="Arial" w:eastAsia="Calibri" w:hAnsi="Arial" w:cs="Arial"/>
          <w:color w:val="000000"/>
          <w:kern w:val="0"/>
          <w:sz w:val="20"/>
          <w:szCs w:val="20"/>
          <w:lang w:val="fr-FR" w:eastAsia="fr-FR"/>
          <w14:ligatures w14:val="none"/>
        </w:rPr>
      </w:pPr>
    </w:p>
    <w:p w14:paraId="786ACFCF" w14:textId="3B651E2F" w:rsidR="0062302F" w:rsidRPr="00305A4F" w:rsidRDefault="00164DC0"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 xml:space="preserve">4- </w:t>
      </w:r>
      <w:r w:rsidR="0062302F" w:rsidRPr="00305A4F">
        <w:rPr>
          <w:rFonts w:ascii="Arial" w:eastAsia="Calibri" w:hAnsi="Arial" w:cs="Arial"/>
          <w:b/>
          <w:bCs/>
          <w:color w:val="000000"/>
          <w:kern w:val="0"/>
          <w:sz w:val="22"/>
          <w:szCs w:val="22"/>
          <w:lang w:eastAsia="fr-FR"/>
          <w14:ligatures w14:val="none"/>
        </w:rPr>
        <w:t>DISCUSSION</w:t>
      </w:r>
    </w:p>
    <w:p w14:paraId="7CF40879" w14:textId="77777777" w:rsidR="005D3D77" w:rsidRDefault="005D3D77" w:rsidP="005D3D77">
      <w:pPr>
        <w:spacing w:after="0" w:line="240" w:lineRule="auto"/>
        <w:ind w:left="10" w:hanging="10"/>
        <w:jc w:val="both"/>
        <w:rPr>
          <w:rFonts w:ascii="Arial" w:eastAsia="Calibri" w:hAnsi="Arial" w:cs="Arial"/>
          <w:color w:val="000000"/>
          <w:kern w:val="0"/>
          <w:sz w:val="20"/>
          <w:szCs w:val="20"/>
          <w:lang w:eastAsia="fr-FR"/>
          <w14:ligatures w14:val="none"/>
        </w:rPr>
      </w:pPr>
      <w:r w:rsidRPr="005D3D77">
        <w:rPr>
          <w:rFonts w:ascii="Arial" w:eastAsia="Calibri" w:hAnsi="Arial" w:cs="Arial"/>
          <w:color w:val="000000"/>
          <w:kern w:val="0"/>
          <w:sz w:val="20"/>
          <w:szCs w:val="20"/>
          <w:lang w:eastAsia="fr-FR"/>
          <w14:ligatures w14:val="none"/>
        </w:rPr>
        <w:t xml:space="preserve">Respiratory infections are a frequent cause of medical consultations. Although the majority of these infections are of viral origin, they account for three-quarters of total antibiotic consumption. Bacterial infections of the upper and lower respiratory tracts, such as bronchitis, sinusitis, and pneumonia, are the most common complications of viral infections, particularly influenza in adults and children. The widespread use of antibiotics resulting from this is a major factor in the emergence of antibiotic resistance, both locally and regionally [19]. </w:t>
      </w:r>
    </w:p>
    <w:p w14:paraId="7801C9DA" w14:textId="67DC016B" w:rsidR="005D3D77" w:rsidRPr="005D3D77" w:rsidRDefault="005D3D77" w:rsidP="005D3D77">
      <w:pPr>
        <w:spacing w:after="0" w:line="240" w:lineRule="auto"/>
        <w:ind w:left="10" w:hanging="10"/>
        <w:jc w:val="both"/>
        <w:rPr>
          <w:rFonts w:ascii="Arial" w:eastAsia="Calibri" w:hAnsi="Arial" w:cs="Arial"/>
          <w:color w:val="000000"/>
          <w:kern w:val="0"/>
          <w:sz w:val="20"/>
          <w:szCs w:val="20"/>
          <w:lang w:eastAsia="fr-FR"/>
          <w14:ligatures w14:val="none"/>
        </w:rPr>
      </w:pPr>
      <w:r w:rsidRPr="005D3D77">
        <w:rPr>
          <w:rFonts w:ascii="Arial" w:eastAsia="Calibri" w:hAnsi="Arial" w:cs="Arial"/>
          <w:color w:val="000000"/>
          <w:kern w:val="0"/>
          <w:sz w:val="20"/>
          <w:szCs w:val="20"/>
          <w:lang w:eastAsia="fr-FR"/>
          <w14:ligatures w14:val="none"/>
        </w:rPr>
        <w:t>Although precise diagnosis of influenza is challenging, rapid pathogen identification tests, such as RT-PCR for influenza viruses, are becoming increasingly reliable and financially accessible. The use of antiviral drugs, particularly neuraminidase inhibitors, provides a specific and effective means to prevent and treat influenza, and has been shown to reduce the incidence of complications and associated antibiotic use. Unlike bacterial resistance to antibiotics, viral resistance to neuraminidase inhibitors is low, and their high specificity means they exert no selective pressure on other species. Widespread adoption of these principles could have a significant impact on antimicrobial use and resistance [19].</w:t>
      </w:r>
      <w:r w:rsidR="00A81F99">
        <w:rPr>
          <w:rFonts w:ascii="Arial" w:eastAsia="Calibri" w:hAnsi="Arial" w:cs="Arial"/>
          <w:color w:val="000000"/>
          <w:kern w:val="0"/>
          <w:sz w:val="20"/>
          <w:szCs w:val="20"/>
          <w:lang w:eastAsia="fr-FR"/>
          <w14:ligatures w14:val="none"/>
        </w:rPr>
        <w:t xml:space="preserve"> </w:t>
      </w:r>
      <w:r w:rsidRPr="005D3D77">
        <w:rPr>
          <w:rFonts w:ascii="Arial" w:eastAsia="Calibri" w:hAnsi="Arial" w:cs="Arial"/>
          <w:color w:val="000000"/>
          <w:kern w:val="0"/>
          <w:sz w:val="20"/>
          <w:szCs w:val="20"/>
          <w:lang w:eastAsia="fr-FR"/>
          <w14:ligatures w14:val="none"/>
        </w:rPr>
        <w:t>Despite its widespread use, the effectiveness of oseltamivir in influenza treatment remains uncertain. In adults with influenza, it shortens the duration of clinical symptoms, reduces the risk of lower respiratory tract complications and hospitalization, but increases the occurrence of nausea and vomiting [20]. Frequent alterations in the antigenic structures of respiratory viruses, particularly RNA viruses, complicate the production of effective vaccines [21]. In our series, none of the patients had been vaccinated against influenza due to lack of vaccine availability. The establishment of sentinel sites with circulating strain identification should encourage health authorities to make vaccines and treatment available.</w:t>
      </w:r>
    </w:p>
    <w:p w14:paraId="77A99977" w14:textId="77777777" w:rsidR="005D3D77" w:rsidRPr="005D3D77" w:rsidRDefault="005D3D77" w:rsidP="005D3D77">
      <w:pPr>
        <w:spacing w:after="0" w:line="240" w:lineRule="auto"/>
        <w:ind w:left="10" w:hanging="10"/>
        <w:jc w:val="both"/>
        <w:rPr>
          <w:rFonts w:ascii="Arial" w:eastAsia="Calibri" w:hAnsi="Arial" w:cs="Arial"/>
          <w:color w:val="000000"/>
          <w:kern w:val="0"/>
          <w:sz w:val="20"/>
          <w:szCs w:val="20"/>
          <w:lang w:eastAsia="fr-FR"/>
          <w14:ligatures w14:val="none"/>
        </w:rPr>
      </w:pPr>
      <w:r w:rsidRPr="005D3D77">
        <w:rPr>
          <w:rFonts w:ascii="Arial" w:eastAsia="Calibri" w:hAnsi="Arial" w:cs="Arial"/>
          <w:color w:val="000000"/>
          <w:kern w:val="0"/>
          <w:sz w:val="20"/>
          <w:szCs w:val="20"/>
          <w:lang w:eastAsia="fr-FR"/>
          <w14:ligatures w14:val="none"/>
        </w:rPr>
        <w:t>In Guinea, influenza virus circulation is a reality. Among these viruses, the H3N2 subtype (77.77% of influenza A cases) and B Victoria (100% of influenza B cases) were the most frequent. These influenza viruses circulate mainly during the rainy seasons [22]. In addition, inappropriate use of antibiotics has been reported in healthcare settings by inadequately trained, sensitized, and supervised health professionals; inappropriate antibiotic use in the community by insufficiently informed populations; and a lack of specific regulation on antimicrobials in general [23]. One study reported that almost all antibiotic treatments (99.4%) are initiated empirically, without prior microbiological testing [24]. In Senegal, 22% of consultations were for febrile syndromes, and 23% of febrile syndrome cases were influenza-like illnesses. Influenza viruses were the second most frequent cause of ILI (20%), after adenoviruses (21%) and before rhinoviruses (18%) and enteroviruses (15%) [25].</w:t>
      </w:r>
    </w:p>
    <w:p w14:paraId="40717260" w14:textId="77777777" w:rsidR="005D3D77" w:rsidRPr="005D3D77" w:rsidRDefault="005D3D77" w:rsidP="005D3D77">
      <w:pPr>
        <w:spacing w:after="0" w:line="240" w:lineRule="auto"/>
        <w:ind w:left="10" w:hanging="10"/>
        <w:jc w:val="both"/>
        <w:rPr>
          <w:rFonts w:ascii="Arial" w:eastAsia="Calibri" w:hAnsi="Arial" w:cs="Arial"/>
          <w:color w:val="000000"/>
          <w:kern w:val="0"/>
          <w:sz w:val="20"/>
          <w:szCs w:val="20"/>
          <w:lang w:eastAsia="fr-FR"/>
          <w14:ligatures w14:val="none"/>
        </w:rPr>
      </w:pPr>
      <w:r w:rsidRPr="005D3D77">
        <w:rPr>
          <w:rFonts w:ascii="Arial" w:eastAsia="Calibri" w:hAnsi="Arial" w:cs="Arial"/>
          <w:color w:val="000000"/>
          <w:kern w:val="0"/>
          <w:sz w:val="20"/>
          <w:szCs w:val="20"/>
          <w:lang w:eastAsia="fr-FR"/>
          <w14:ligatures w14:val="none"/>
        </w:rPr>
        <w:t xml:space="preserve">Various studies confirm that antibiotics are overprescribed in patients with influenza or influenza-like illness, even in the absence of bacterial infection signs and in patients without comorbidities. There is no evidence supporting the prescription of antibiotics for influenza patients without bacterial infection [26]. In the United States, more than half of consultations for acute respiratory tract infections result in antibiotic prescriptions, up to 55% of which are deemed unnecessary, leading to an estimated additional cost of $726 million per year [27,28]. In Germany, antibiotic prescription in influenza patients indicated that 41.92% of patients with influenza received antibiotics during the influenza season [29]. France had higher antibiotic consumption </w:t>
      </w:r>
      <w:r w:rsidRPr="005D3D77">
        <w:rPr>
          <w:rFonts w:ascii="Arial" w:eastAsia="Calibri" w:hAnsi="Arial" w:cs="Arial"/>
          <w:color w:val="000000"/>
          <w:kern w:val="0"/>
          <w:sz w:val="20"/>
          <w:szCs w:val="20"/>
          <w:lang w:eastAsia="fr-FR"/>
          <w14:ligatures w14:val="none"/>
        </w:rPr>
        <w:lastRenderedPageBreak/>
        <w:t xml:space="preserve">compared to other European Union countries. The most consumed class of antibiotics was beta-lactam </w:t>
      </w:r>
      <w:proofErr w:type="spellStart"/>
      <w:r w:rsidRPr="005D3D77">
        <w:rPr>
          <w:rFonts w:ascii="Arial" w:eastAsia="Calibri" w:hAnsi="Arial" w:cs="Arial"/>
          <w:color w:val="000000"/>
          <w:kern w:val="0"/>
          <w:sz w:val="20"/>
          <w:szCs w:val="20"/>
          <w:lang w:eastAsia="fr-FR"/>
          <w14:ligatures w14:val="none"/>
        </w:rPr>
        <w:t>penicillins</w:t>
      </w:r>
      <w:proofErr w:type="spellEnd"/>
      <w:r w:rsidRPr="005D3D77">
        <w:rPr>
          <w:rFonts w:ascii="Arial" w:eastAsia="Calibri" w:hAnsi="Arial" w:cs="Arial"/>
          <w:color w:val="000000"/>
          <w:kern w:val="0"/>
          <w:sz w:val="20"/>
          <w:szCs w:val="20"/>
          <w:lang w:eastAsia="fr-FR"/>
          <w14:ligatures w14:val="none"/>
        </w:rPr>
        <w:t>, widely used to treat respiratory infections. This class has increased over time and was correlated with the incidence of influenza-like illnesses [30]. In low-resource settings, the overprescription of antibiotics for respiratory infections appears even more frequent. In rural Thailand, 82% of outpatients presenting with influenza-like illness received an antibiotic prescription [31]. Similarly, in southern Sri Lanka, 81% of patients with ILI were prescribed antibiotics in the absence of influenza screening test results, although nearly 50% were confirmed positive for influenza virus [32]. In our series, the majority of patients (92%) received an antibiotic prescription at the end of the consultation.</w:t>
      </w:r>
    </w:p>
    <w:p w14:paraId="5B3DA85C" w14:textId="77777777" w:rsidR="005D3D77" w:rsidRPr="005D3D77" w:rsidRDefault="005D3D77" w:rsidP="005D3D77">
      <w:pPr>
        <w:spacing w:after="0" w:line="240" w:lineRule="auto"/>
        <w:ind w:left="10" w:hanging="10"/>
        <w:jc w:val="both"/>
        <w:rPr>
          <w:rFonts w:ascii="Arial" w:eastAsia="Calibri" w:hAnsi="Arial" w:cs="Arial"/>
          <w:color w:val="000000"/>
          <w:kern w:val="0"/>
          <w:sz w:val="20"/>
          <w:szCs w:val="20"/>
          <w:lang w:eastAsia="fr-FR"/>
          <w14:ligatures w14:val="none"/>
        </w:rPr>
      </w:pPr>
      <w:r w:rsidRPr="005D3D77">
        <w:rPr>
          <w:rFonts w:ascii="Arial" w:eastAsia="Calibri" w:hAnsi="Arial" w:cs="Arial"/>
          <w:color w:val="000000"/>
          <w:kern w:val="0"/>
          <w:sz w:val="20"/>
          <w:szCs w:val="20"/>
          <w:lang w:eastAsia="fr-FR"/>
          <w14:ligatures w14:val="none"/>
        </w:rPr>
        <w:t>Several factors explain this overprescription: the absence of rapid and specific diagnostic tests to distinguish viral from bacterial infections, lack of awareness of proper prescription guidelines among healthcare workers, and patient expectations regarding receiving antibiotics [33]. In low-resource settings, additional factors such as a high patient-to-doctor ratio and inability to ensure proper follow-up also contribute to excessive antibiotic prescriptions [31]. Beyond increasing healthcare costs, antibiotic overprescription is associated with adverse drug reactions and the emergence of antimicrobial resistance [27,34].</w:t>
      </w:r>
    </w:p>
    <w:p w14:paraId="6770C94E" w14:textId="77777777" w:rsidR="005D3D77" w:rsidRPr="005D3D77" w:rsidRDefault="005D3D77" w:rsidP="005D3D77">
      <w:pPr>
        <w:spacing w:after="0" w:line="240" w:lineRule="auto"/>
        <w:ind w:left="10" w:hanging="10"/>
        <w:jc w:val="both"/>
        <w:rPr>
          <w:rFonts w:ascii="Arial" w:eastAsia="Calibri" w:hAnsi="Arial" w:cs="Arial"/>
          <w:color w:val="000000"/>
          <w:kern w:val="0"/>
          <w:sz w:val="20"/>
          <w:szCs w:val="20"/>
          <w:lang w:eastAsia="fr-FR"/>
          <w14:ligatures w14:val="none"/>
        </w:rPr>
      </w:pPr>
      <w:r w:rsidRPr="005D3D77">
        <w:rPr>
          <w:rFonts w:ascii="Arial" w:eastAsia="Calibri" w:hAnsi="Arial" w:cs="Arial"/>
          <w:color w:val="000000"/>
          <w:kern w:val="0"/>
          <w:sz w:val="20"/>
          <w:szCs w:val="20"/>
          <w:lang w:eastAsia="fr-FR"/>
          <w14:ligatures w14:val="none"/>
        </w:rPr>
        <w:t>The limitations of this study include its single-center design, which does not allow for generalization of results. Additionally, the low rate of RT-PCR testing did not permit systematic analysis of antibiotic prescriptions according to confirmed virological status. Likewise, associated or secondary bacterial infections were not systematically investigated using microbiological or laboratory tests. Finally, the limited study duration did not capture possible seasonal variations in influenza and antibiotic prescriptions.</w:t>
      </w:r>
    </w:p>
    <w:p w14:paraId="64EE81CE" w14:textId="77777777" w:rsidR="00164DC0" w:rsidRPr="00305A4F" w:rsidRDefault="00164DC0"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CONCLUSION</w:t>
      </w:r>
    </w:p>
    <w:p w14:paraId="0E8D74D8" w14:textId="77777777" w:rsidR="00164DC0" w:rsidRPr="00305A4F" w:rsidRDefault="00164DC0"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Antibiotic prescription during influenza-like illnesses is a common practice at the Gbéssia Port I health center in the Republic of Guinea. The majority of patients (92%) received an antibiotic prescription at the end of the consultation. Sulfonamides, particularly cotrimoxazole, were the most frequently prescribed antibiotics.</w:t>
      </w:r>
    </w:p>
    <w:p w14:paraId="32B9821B" w14:textId="6A8E9F7A" w:rsidR="00374CC2" w:rsidRDefault="005B1212"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5B1212">
        <w:rPr>
          <w:rFonts w:ascii="Arial" w:eastAsia="Calibri" w:hAnsi="Arial" w:cs="Arial"/>
          <w:color w:val="000000"/>
          <w:kern w:val="0"/>
          <w:sz w:val="20"/>
          <w:szCs w:val="20"/>
          <w:lang w:eastAsia="fr-FR"/>
          <w14:ligatures w14:val="none"/>
        </w:rPr>
        <w:t>Healthcare staff education and training on the viral causes of influenza are necessary for better case management and rational antibiotic use.</w:t>
      </w:r>
    </w:p>
    <w:p w14:paraId="277FB348" w14:textId="77777777" w:rsidR="005B1212" w:rsidRPr="00164DC0" w:rsidRDefault="005B1212" w:rsidP="0014738D">
      <w:pPr>
        <w:spacing w:after="0" w:line="240" w:lineRule="auto"/>
        <w:ind w:left="10" w:hanging="10"/>
        <w:jc w:val="both"/>
        <w:rPr>
          <w:rFonts w:ascii="Times New Roman" w:hAnsi="Times New Roman" w:cs="Times New Roman"/>
        </w:rPr>
      </w:pPr>
    </w:p>
    <w:p w14:paraId="288D4BB6" w14:textId="77777777" w:rsidR="0062302F" w:rsidRPr="00305A4F" w:rsidRDefault="0062302F"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ARTIFICIAL INTELLIGENCE DECLARATION</w:t>
      </w:r>
    </w:p>
    <w:p w14:paraId="0712CCAF"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Generative artificial intelligence technologies, such as large language models (ChatGPT, Copilot, etc.) and text-image generators, were not used in the writing of this manuscript.</w:t>
      </w:r>
    </w:p>
    <w:p w14:paraId="35AC1A39" w14:textId="77777777" w:rsidR="00374CC2" w:rsidRPr="00305A4F" w:rsidRDefault="00374CC2" w:rsidP="0014738D">
      <w:pPr>
        <w:spacing w:after="0" w:line="240" w:lineRule="auto"/>
        <w:ind w:left="10" w:hanging="10"/>
        <w:jc w:val="both"/>
        <w:rPr>
          <w:rFonts w:ascii="Arial" w:eastAsia="Calibri" w:hAnsi="Arial" w:cs="Arial"/>
          <w:color w:val="000000"/>
          <w:kern w:val="0"/>
          <w:sz w:val="20"/>
          <w:szCs w:val="20"/>
          <w:lang w:eastAsia="fr-FR"/>
          <w14:ligatures w14:val="none"/>
        </w:rPr>
      </w:pPr>
    </w:p>
    <w:p w14:paraId="613ACF57" w14:textId="77777777" w:rsidR="0062302F" w:rsidRPr="00305A4F" w:rsidRDefault="0062302F"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CONSENT</w:t>
      </w:r>
    </w:p>
    <w:p w14:paraId="25EC3A57" w14:textId="3904E601" w:rsidR="0062302F" w:rsidRPr="00305A4F" w:rsidRDefault="002E2079"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Written informed consent was obtained from each patient.</w:t>
      </w:r>
    </w:p>
    <w:p w14:paraId="37A44F72" w14:textId="77777777" w:rsidR="00374CC2" w:rsidRPr="00305A4F" w:rsidRDefault="00374CC2" w:rsidP="0014738D">
      <w:pPr>
        <w:spacing w:after="0" w:line="240" w:lineRule="auto"/>
        <w:ind w:left="10" w:hanging="10"/>
        <w:jc w:val="both"/>
        <w:rPr>
          <w:rFonts w:ascii="Arial" w:eastAsia="Calibri" w:hAnsi="Arial" w:cs="Arial"/>
          <w:color w:val="000000"/>
          <w:kern w:val="0"/>
          <w:sz w:val="20"/>
          <w:szCs w:val="20"/>
          <w:lang w:eastAsia="fr-FR"/>
          <w14:ligatures w14:val="none"/>
        </w:rPr>
      </w:pPr>
    </w:p>
    <w:p w14:paraId="7286DC57" w14:textId="77777777" w:rsidR="0062302F" w:rsidRPr="00305A4F" w:rsidRDefault="0062302F"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ETHICAL APPROVAL</w:t>
      </w:r>
    </w:p>
    <w:p w14:paraId="70E9DC15"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The study protocol was approved by the Ethics Committee of the Faculty of Health Sciences and Technology at Gamal Abdel Nasser University of Conakry.</w:t>
      </w:r>
    </w:p>
    <w:p w14:paraId="56AD02C5" w14:textId="77777777" w:rsidR="0062302F" w:rsidRPr="00305A4F" w:rsidRDefault="0062302F" w:rsidP="0014738D">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Patient anonymity and data confidentiality were respected.</w:t>
      </w:r>
    </w:p>
    <w:p w14:paraId="562CE4A1" w14:textId="77777777" w:rsidR="00374CC2" w:rsidRPr="00305A4F" w:rsidRDefault="00374CC2" w:rsidP="0014738D">
      <w:pPr>
        <w:spacing w:after="0" w:line="240" w:lineRule="auto"/>
        <w:ind w:left="10" w:hanging="10"/>
        <w:jc w:val="both"/>
        <w:rPr>
          <w:rFonts w:ascii="Arial" w:eastAsia="Calibri" w:hAnsi="Arial" w:cs="Arial"/>
          <w:color w:val="000000"/>
          <w:kern w:val="0"/>
          <w:sz w:val="20"/>
          <w:szCs w:val="20"/>
          <w:lang w:eastAsia="fr-FR"/>
          <w14:ligatures w14:val="none"/>
        </w:rPr>
      </w:pPr>
    </w:p>
    <w:p w14:paraId="0B8969D5" w14:textId="77777777" w:rsidR="0062302F" w:rsidRPr="00305A4F" w:rsidRDefault="0062302F"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COMPETING INTERESTS</w:t>
      </w:r>
    </w:p>
    <w:p w14:paraId="4CE720AE" w14:textId="361E5971" w:rsidR="0062302F" w:rsidRDefault="0062302F"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The authors declare no competing interests.</w:t>
      </w:r>
    </w:p>
    <w:p w14:paraId="28FED5DA" w14:textId="77777777" w:rsidR="00273F0A" w:rsidRDefault="00273F0A" w:rsidP="00273F0A">
      <w:pPr>
        <w:rPr>
          <w:highlight w:val="yellow"/>
        </w:rPr>
      </w:pPr>
    </w:p>
    <w:p w14:paraId="294892E5" w14:textId="5B92C790" w:rsidR="00273F0A" w:rsidRPr="007A4135" w:rsidRDefault="00273F0A" w:rsidP="00273F0A">
      <w:pPr>
        <w:rPr>
          <w:highlight w:val="yellow"/>
        </w:rPr>
      </w:pPr>
      <w:bookmarkStart w:id="4" w:name="_GoBack"/>
      <w:bookmarkEnd w:id="4"/>
      <w:r w:rsidRPr="007A4135">
        <w:rPr>
          <w:highlight w:val="yellow"/>
        </w:rPr>
        <w:t>Disclaimer (Artificial intelligence)</w:t>
      </w:r>
    </w:p>
    <w:p w14:paraId="60382944" w14:textId="77777777" w:rsidR="00273F0A" w:rsidRPr="007A4135" w:rsidRDefault="00273F0A" w:rsidP="00273F0A">
      <w:pPr>
        <w:rPr>
          <w:highlight w:val="yellow"/>
        </w:rPr>
      </w:pPr>
      <w:r w:rsidRPr="007A4135">
        <w:rPr>
          <w:highlight w:val="yellow"/>
        </w:rPr>
        <w:t xml:space="preserve">Option 1: </w:t>
      </w:r>
    </w:p>
    <w:p w14:paraId="6593F9E1" w14:textId="77777777" w:rsidR="00273F0A" w:rsidRPr="007A4135" w:rsidRDefault="00273F0A" w:rsidP="00273F0A">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78E62751" w14:textId="77777777" w:rsidR="00273F0A" w:rsidRPr="007A4135" w:rsidRDefault="00273F0A" w:rsidP="00273F0A">
      <w:pPr>
        <w:rPr>
          <w:highlight w:val="yellow"/>
        </w:rPr>
      </w:pPr>
      <w:r w:rsidRPr="007A4135">
        <w:rPr>
          <w:highlight w:val="yellow"/>
        </w:rPr>
        <w:lastRenderedPageBreak/>
        <w:t xml:space="preserve">Option 2: </w:t>
      </w:r>
    </w:p>
    <w:p w14:paraId="307F54EC" w14:textId="77777777" w:rsidR="00273F0A" w:rsidRPr="007A4135" w:rsidRDefault="00273F0A" w:rsidP="00273F0A">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FE9BD60" w14:textId="77777777" w:rsidR="00273F0A" w:rsidRPr="007A4135" w:rsidRDefault="00273F0A" w:rsidP="00273F0A">
      <w:pPr>
        <w:rPr>
          <w:highlight w:val="yellow"/>
        </w:rPr>
      </w:pPr>
      <w:r w:rsidRPr="007A4135">
        <w:rPr>
          <w:highlight w:val="yellow"/>
        </w:rPr>
        <w:t>Details of the AI usage are given below:</w:t>
      </w:r>
    </w:p>
    <w:p w14:paraId="6512C4F8" w14:textId="77777777" w:rsidR="00273F0A" w:rsidRPr="007A4135" w:rsidRDefault="00273F0A" w:rsidP="00273F0A">
      <w:pPr>
        <w:rPr>
          <w:highlight w:val="yellow"/>
        </w:rPr>
      </w:pPr>
      <w:r w:rsidRPr="007A4135">
        <w:rPr>
          <w:highlight w:val="yellow"/>
        </w:rPr>
        <w:t>1.</w:t>
      </w:r>
    </w:p>
    <w:p w14:paraId="1C1B47AC" w14:textId="77777777" w:rsidR="00273F0A" w:rsidRPr="007A4135" w:rsidRDefault="00273F0A" w:rsidP="00273F0A">
      <w:pPr>
        <w:rPr>
          <w:highlight w:val="yellow"/>
        </w:rPr>
      </w:pPr>
      <w:r w:rsidRPr="007A4135">
        <w:rPr>
          <w:highlight w:val="yellow"/>
        </w:rPr>
        <w:t>2.</w:t>
      </w:r>
    </w:p>
    <w:p w14:paraId="5D994256" w14:textId="77777777" w:rsidR="00273F0A" w:rsidRPr="00D047BB" w:rsidRDefault="00273F0A" w:rsidP="00273F0A">
      <w:r w:rsidRPr="007A4135">
        <w:rPr>
          <w:highlight w:val="yellow"/>
        </w:rPr>
        <w:t>3.</w:t>
      </w:r>
    </w:p>
    <w:p w14:paraId="455A0397" w14:textId="77777777" w:rsidR="00273F0A" w:rsidRPr="00305A4F" w:rsidRDefault="00273F0A" w:rsidP="009B0FD3">
      <w:pPr>
        <w:spacing w:after="0" w:line="240" w:lineRule="auto"/>
        <w:ind w:left="10" w:hanging="10"/>
        <w:jc w:val="both"/>
        <w:rPr>
          <w:rFonts w:ascii="Arial" w:eastAsia="Calibri" w:hAnsi="Arial" w:cs="Arial"/>
          <w:color w:val="000000"/>
          <w:kern w:val="0"/>
          <w:sz w:val="20"/>
          <w:szCs w:val="20"/>
          <w:lang w:eastAsia="fr-FR"/>
          <w14:ligatures w14:val="none"/>
        </w:rPr>
      </w:pPr>
    </w:p>
    <w:p w14:paraId="5EE9762B" w14:textId="77777777" w:rsidR="00374CC2" w:rsidRPr="00305A4F" w:rsidRDefault="00374CC2" w:rsidP="009B0FD3">
      <w:pPr>
        <w:spacing w:after="0" w:line="240" w:lineRule="auto"/>
        <w:ind w:left="10" w:hanging="10"/>
        <w:jc w:val="both"/>
        <w:rPr>
          <w:rFonts w:ascii="Arial" w:eastAsia="Calibri" w:hAnsi="Arial" w:cs="Arial"/>
          <w:color w:val="000000"/>
          <w:kern w:val="0"/>
          <w:sz w:val="20"/>
          <w:szCs w:val="20"/>
          <w:lang w:eastAsia="fr-FR"/>
          <w14:ligatures w14:val="none"/>
        </w:rPr>
      </w:pPr>
    </w:p>
    <w:p w14:paraId="0081E0AE" w14:textId="77777777" w:rsidR="00164DC0" w:rsidRPr="00305A4F" w:rsidRDefault="00164DC0" w:rsidP="00BE54E5">
      <w:pPr>
        <w:spacing w:after="0" w:line="364" w:lineRule="auto"/>
        <w:ind w:left="10" w:hanging="10"/>
        <w:jc w:val="both"/>
        <w:rPr>
          <w:rFonts w:ascii="Arial" w:eastAsia="Calibri" w:hAnsi="Arial" w:cs="Arial"/>
          <w:b/>
          <w:bCs/>
          <w:color w:val="000000"/>
          <w:kern w:val="0"/>
          <w:sz w:val="22"/>
          <w:szCs w:val="22"/>
          <w:lang w:eastAsia="fr-FR"/>
          <w14:ligatures w14:val="none"/>
        </w:rPr>
      </w:pPr>
      <w:r w:rsidRPr="00305A4F">
        <w:rPr>
          <w:rFonts w:ascii="Arial" w:eastAsia="Calibri" w:hAnsi="Arial" w:cs="Arial"/>
          <w:b/>
          <w:bCs/>
          <w:color w:val="000000"/>
          <w:kern w:val="0"/>
          <w:sz w:val="22"/>
          <w:szCs w:val="22"/>
          <w:lang w:eastAsia="fr-FR"/>
          <w14:ligatures w14:val="none"/>
        </w:rPr>
        <w:t xml:space="preserve">REFERENCES </w:t>
      </w:r>
    </w:p>
    <w:p w14:paraId="1195208C" w14:textId="2797BEA9"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1- </w:t>
      </w:r>
      <w:proofErr w:type="spellStart"/>
      <w:r w:rsidR="003E7D25" w:rsidRPr="00305A4F">
        <w:rPr>
          <w:rFonts w:ascii="Arial" w:eastAsia="Calibri" w:hAnsi="Arial" w:cs="Arial"/>
          <w:color w:val="000000"/>
          <w:kern w:val="0"/>
          <w:sz w:val="20"/>
          <w:szCs w:val="20"/>
          <w:lang w:eastAsia="fr-FR"/>
          <w14:ligatures w14:val="none"/>
        </w:rPr>
        <w:t>Dapat</w:t>
      </w:r>
      <w:proofErr w:type="spellEnd"/>
      <w:r w:rsidR="003E7D25" w:rsidRPr="00305A4F">
        <w:rPr>
          <w:rFonts w:ascii="Arial" w:eastAsia="Calibri" w:hAnsi="Arial" w:cs="Arial"/>
          <w:color w:val="000000"/>
          <w:kern w:val="0"/>
          <w:sz w:val="20"/>
          <w:szCs w:val="20"/>
          <w:lang w:eastAsia="fr-FR"/>
          <w14:ligatures w14:val="none"/>
        </w:rPr>
        <w:t xml:space="preserve">, C., Saito, R., Kyaw, Y., Naito, M., Hasegawa, G., Suzuki, Y., Dapat, I. C., </w:t>
      </w:r>
      <w:proofErr w:type="spellStart"/>
      <w:r w:rsidR="003E7D25" w:rsidRPr="00305A4F">
        <w:rPr>
          <w:rFonts w:ascii="Arial" w:eastAsia="Calibri" w:hAnsi="Arial" w:cs="Arial"/>
          <w:color w:val="000000"/>
          <w:kern w:val="0"/>
          <w:sz w:val="20"/>
          <w:szCs w:val="20"/>
          <w:lang w:eastAsia="fr-FR"/>
          <w14:ligatures w14:val="none"/>
        </w:rPr>
        <w:t>Zaraket</w:t>
      </w:r>
      <w:proofErr w:type="spellEnd"/>
      <w:r w:rsidR="003E7D25" w:rsidRPr="00305A4F">
        <w:rPr>
          <w:rFonts w:ascii="Arial" w:eastAsia="Calibri" w:hAnsi="Arial" w:cs="Arial"/>
          <w:color w:val="000000"/>
          <w:kern w:val="0"/>
          <w:sz w:val="20"/>
          <w:szCs w:val="20"/>
          <w:lang w:eastAsia="fr-FR"/>
          <w14:ligatures w14:val="none"/>
        </w:rPr>
        <w:t xml:space="preserve">, H., Cho, T. M., Li, D., Oguma, T., </w:t>
      </w:r>
      <w:proofErr w:type="spellStart"/>
      <w:r w:rsidR="003E7D25" w:rsidRPr="00305A4F">
        <w:rPr>
          <w:rFonts w:ascii="Arial" w:eastAsia="Calibri" w:hAnsi="Arial" w:cs="Arial"/>
          <w:color w:val="000000"/>
          <w:kern w:val="0"/>
          <w:sz w:val="20"/>
          <w:szCs w:val="20"/>
          <w:lang w:eastAsia="fr-FR"/>
          <w14:ligatures w14:val="none"/>
        </w:rPr>
        <w:t>Baranovich</w:t>
      </w:r>
      <w:proofErr w:type="spellEnd"/>
      <w:r w:rsidR="003E7D25" w:rsidRPr="00305A4F">
        <w:rPr>
          <w:rFonts w:ascii="Arial" w:eastAsia="Calibri" w:hAnsi="Arial" w:cs="Arial"/>
          <w:color w:val="000000"/>
          <w:kern w:val="0"/>
          <w:sz w:val="20"/>
          <w:szCs w:val="20"/>
          <w:lang w:eastAsia="fr-FR"/>
          <w14:ligatures w14:val="none"/>
        </w:rPr>
        <w:t xml:space="preserve">, T., &amp; Suzuki, H. (2009). Epidemiology of human influenza A and B viruses in Myanmar from 2005 to 2007. </w:t>
      </w:r>
      <w:proofErr w:type="spellStart"/>
      <w:r w:rsidR="003E7D25" w:rsidRPr="00305A4F">
        <w:rPr>
          <w:rFonts w:ascii="Arial" w:eastAsia="Calibri" w:hAnsi="Arial" w:cs="Arial"/>
          <w:color w:val="000000"/>
          <w:kern w:val="0"/>
          <w:sz w:val="20"/>
          <w:szCs w:val="20"/>
          <w:lang w:eastAsia="fr-FR"/>
          <w14:ligatures w14:val="none"/>
        </w:rPr>
        <w:t>Intervirology</w:t>
      </w:r>
      <w:proofErr w:type="spellEnd"/>
      <w:r w:rsidR="003E7D25" w:rsidRPr="00305A4F">
        <w:rPr>
          <w:rFonts w:ascii="Arial" w:eastAsia="Calibri" w:hAnsi="Arial" w:cs="Arial"/>
          <w:color w:val="000000"/>
          <w:kern w:val="0"/>
          <w:sz w:val="20"/>
          <w:szCs w:val="20"/>
          <w:lang w:eastAsia="fr-FR"/>
          <w14:ligatures w14:val="none"/>
        </w:rPr>
        <w:t xml:space="preserve">, 52(6), 310-320. </w:t>
      </w:r>
      <w:hyperlink r:id="rId7" w:history="1">
        <w:r w:rsidR="003E7D25" w:rsidRPr="00305A4F">
          <w:rPr>
            <w:rStyle w:val="Hyperlink"/>
            <w:rFonts w:ascii="Arial" w:eastAsia="Calibri" w:hAnsi="Arial" w:cs="Arial"/>
            <w:kern w:val="0"/>
            <w:sz w:val="20"/>
            <w:szCs w:val="20"/>
            <w:lang w:eastAsia="fr-FR"/>
            <w14:ligatures w14:val="none"/>
          </w:rPr>
          <w:t>https://doi.org/10.1159/000237738</w:t>
        </w:r>
      </w:hyperlink>
      <w:r w:rsidR="003E7D25" w:rsidRPr="00305A4F">
        <w:rPr>
          <w:rFonts w:ascii="Arial" w:eastAsia="Calibri" w:hAnsi="Arial" w:cs="Arial"/>
          <w:color w:val="000000"/>
          <w:kern w:val="0"/>
          <w:sz w:val="20"/>
          <w:szCs w:val="20"/>
          <w:lang w:eastAsia="fr-FR"/>
          <w14:ligatures w14:val="none"/>
        </w:rPr>
        <w:t xml:space="preserve"> </w:t>
      </w:r>
    </w:p>
    <w:p w14:paraId="210E4A38" w14:textId="7DC02F72"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2- </w:t>
      </w:r>
      <w:proofErr w:type="spellStart"/>
      <w:r w:rsidR="00350FFD" w:rsidRPr="00305A4F">
        <w:rPr>
          <w:rFonts w:ascii="Arial" w:eastAsia="Calibri" w:hAnsi="Arial" w:cs="Arial"/>
          <w:color w:val="000000"/>
          <w:kern w:val="0"/>
          <w:sz w:val="20"/>
          <w:szCs w:val="20"/>
          <w:lang w:eastAsia="fr-FR"/>
          <w14:ligatures w14:val="none"/>
        </w:rPr>
        <w:t>Yazdanbakhsh</w:t>
      </w:r>
      <w:proofErr w:type="spellEnd"/>
      <w:r w:rsidR="00350FFD" w:rsidRPr="00305A4F">
        <w:rPr>
          <w:rFonts w:ascii="Arial" w:eastAsia="Calibri" w:hAnsi="Arial" w:cs="Arial"/>
          <w:color w:val="000000"/>
          <w:kern w:val="0"/>
          <w:sz w:val="20"/>
          <w:szCs w:val="20"/>
          <w:lang w:eastAsia="fr-FR"/>
          <w14:ligatures w14:val="none"/>
        </w:rPr>
        <w:t xml:space="preserve">, M., &amp; Kremsner, P. G. (2009). Influenza in Africa. </w:t>
      </w:r>
      <w:proofErr w:type="spellStart"/>
      <w:r w:rsidR="00350FFD" w:rsidRPr="00305A4F">
        <w:rPr>
          <w:rFonts w:ascii="Arial" w:eastAsia="Calibri" w:hAnsi="Arial" w:cs="Arial"/>
          <w:color w:val="000000"/>
          <w:kern w:val="0"/>
          <w:sz w:val="20"/>
          <w:szCs w:val="20"/>
          <w:lang w:eastAsia="fr-FR"/>
          <w14:ligatures w14:val="none"/>
        </w:rPr>
        <w:t>PLoS</w:t>
      </w:r>
      <w:proofErr w:type="spellEnd"/>
      <w:r w:rsidR="00350FFD" w:rsidRPr="00305A4F">
        <w:rPr>
          <w:rFonts w:ascii="Arial" w:eastAsia="Calibri" w:hAnsi="Arial" w:cs="Arial"/>
          <w:color w:val="000000"/>
          <w:kern w:val="0"/>
          <w:sz w:val="20"/>
          <w:szCs w:val="20"/>
          <w:lang w:eastAsia="fr-FR"/>
          <w14:ligatures w14:val="none"/>
        </w:rPr>
        <w:t xml:space="preserve"> Medicine, 6(12), e1000182. </w:t>
      </w:r>
      <w:hyperlink r:id="rId8" w:history="1">
        <w:r w:rsidR="00350FFD" w:rsidRPr="00305A4F">
          <w:rPr>
            <w:rStyle w:val="Hyperlink"/>
            <w:rFonts w:ascii="Arial" w:eastAsia="Calibri" w:hAnsi="Arial" w:cs="Arial"/>
            <w:kern w:val="0"/>
            <w:sz w:val="20"/>
            <w:szCs w:val="20"/>
            <w:lang w:eastAsia="fr-FR"/>
            <w14:ligatures w14:val="none"/>
          </w:rPr>
          <w:t>https://doi.org/10.1371/journal.pmed.1000182</w:t>
        </w:r>
      </w:hyperlink>
      <w:r w:rsidR="00350FFD" w:rsidRPr="00305A4F">
        <w:rPr>
          <w:rFonts w:ascii="Arial" w:eastAsia="Calibri" w:hAnsi="Arial" w:cs="Arial"/>
          <w:color w:val="000000"/>
          <w:kern w:val="0"/>
          <w:sz w:val="20"/>
          <w:szCs w:val="20"/>
          <w:lang w:eastAsia="fr-FR"/>
          <w14:ligatures w14:val="none"/>
        </w:rPr>
        <w:t xml:space="preserve"> </w:t>
      </w:r>
    </w:p>
    <w:p w14:paraId="3C41FD87" w14:textId="651D59F0"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305A4F">
        <w:rPr>
          <w:rFonts w:ascii="Arial" w:eastAsia="Calibri" w:hAnsi="Arial" w:cs="Arial"/>
          <w:color w:val="000000"/>
          <w:kern w:val="0"/>
          <w:sz w:val="20"/>
          <w:szCs w:val="20"/>
          <w:lang w:eastAsia="fr-FR"/>
          <w14:ligatures w14:val="none"/>
        </w:rPr>
        <w:t xml:space="preserve">3- </w:t>
      </w:r>
      <w:proofErr w:type="spellStart"/>
      <w:r w:rsidR="00314A04" w:rsidRPr="00305A4F">
        <w:rPr>
          <w:rFonts w:ascii="Arial" w:eastAsia="Calibri" w:hAnsi="Arial" w:cs="Arial"/>
          <w:color w:val="000000"/>
          <w:kern w:val="0"/>
          <w:sz w:val="20"/>
          <w:szCs w:val="20"/>
          <w:lang w:eastAsia="fr-FR"/>
          <w14:ligatures w14:val="none"/>
        </w:rPr>
        <w:t>Iuliano</w:t>
      </w:r>
      <w:proofErr w:type="spellEnd"/>
      <w:r w:rsidR="00314A04" w:rsidRPr="00305A4F">
        <w:rPr>
          <w:rFonts w:ascii="Arial" w:eastAsia="Calibri" w:hAnsi="Arial" w:cs="Arial"/>
          <w:color w:val="000000"/>
          <w:kern w:val="0"/>
          <w:sz w:val="20"/>
          <w:szCs w:val="20"/>
          <w:lang w:eastAsia="fr-FR"/>
          <w14:ligatures w14:val="none"/>
        </w:rPr>
        <w:t xml:space="preserve">, A. D., Roguski, K. M., Chang, H. H., Muscatello, D. J., Palekar, R., </w:t>
      </w:r>
      <w:proofErr w:type="spellStart"/>
      <w:r w:rsidR="00314A04" w:rsidRPr="00305A4F">
        <w:rPr>
          <w:rFonts w:ascii="Arial" w:eastAsia="Calibri" w:hAnsi="Arial" w:cs="Arial"/>
          <w:color w:val="000000"/>
          <w:kern w:val="0"/>
          <w:sz w:val="20"/>
          <w:szCs w:val="20"/>
          <w:lang w:eastAsia="fr-FR"/>
          <w14:ligatures w14:val="none"/>
        </w:rPr>
        <w:t>Tempia</w:t>
      </w:r>
      <w:proofErr w:type="spellEnd"/>
      <w:r w:rsidR="00314A04" w:rsidRPr="00305A4F">
        <w:rPr>
          <w:rFonts w:ascii="Arial" w:eastAsia="Calibri" w:hAnsi="Arial" w:cs="Arial"/>
          <w:color w:val="000000"/>
          <w:kern w:val="0"/>
          <w:sz w:val="20"/>
          <w:szCs w:val="20"/>
          <w:lang w:eastAsia="fr-FR"/>
          <w14:ligatures w14:val="none"/>
        </w:rPr>
        <w:t xml:space="preserve">, S., Cohen, C., Gran, J. M., Schanzer, D., Cowling, B. J., Wu, P., Kyncl, J., Ang, L. W., Park, M., Redlberger-Fritz, M., Yu, H., Espenhain, L., Krishnan, A., </w:t>
      </w:r>
      <w:proofErr w:type="spellStart"/>
      <w:r w:rsidR="00314A04" w:rsidRPr="00305A4F">
        <w:rPr>
          <w:rFonts w:ascii="Arial" w:eastAsia="Calibri" w:hAnsi="Arial" w:cs="Arial"/>
          <w:color w:val="000000"/>
          <w:kern w:val="0"/>
          <w:sz w:val="20"/>
          <w:szCs w:val="20"/>
          <w:lang w:eastAsia="fr-FR"/>
          <w14:ligatures w14:val="none"/>
        </w:rPr>
        <w:t>Emukule</w:t>
      </w:r>
      <w:proofErr w:type="spellEnd"/>
      <w:r w:rsidR="00314A04" w:rsidRPr="00305A4F">
        <w:rPr>
          <w:rFonts w:ascii="Arial" w:eastAsia="Calibri" w:hAnsi="Arial" w:cs="Arial"/>
          <w:color w:val="000000"/>
          <w:kern w:val="0"/>
          <w:sz w:val="20"/>
          <w:szCs w:val="20"/>
          <w:lang w:eastAsia="fr-FR"/>
          <w14:ligatures w14:val="none"/>
        </w:rPr>
        <w:t xml:space="preserve">, G., ... Bresee, J. S. (2018). </w:t>
      </w:r>
      <w:r w:rsidR="00314A04" w:rsidRPr="00523C83">
        <w:rPr>
          <w:rFonts w:ascii="Arial" w:eastAsia="Calibri" w:hAnsi="Arial" w:cs="Arial"/>
          <w:color w:val="000000"/>
          <w:kern w:val="0"/>
          <w:sz w:val="20"/>
          <w:szCs w:val="20"/>
          <w:lang w:eastAsia="fr-FR"/>
          <w14:ligatures w14:val="none"/>
        </w:rPr>
        <w:t xml:space="preserve">Estimates of global seasonal influenza-associated respiratory mortality: a modelling study. </w:t>
      </w:r>
      <w:r w:rsidR="00314A04" w:rsidRPr="00314A04">
        <w:rPr>
          <w:rFonts w:ascii="Arial" w:eastAsia="Calibri" w:hAnsi="Arial" w:cs="Arial"/>
          <w:color w:val="000000"/>
          <w:kern w:val="0"/>
          <w:sz w:val="20"/>
          <w:szCs w:val="20"/>
          <w:lang w:val="fr-FR" w:eastAsia="fr-FR"/>
          <w14:ligatures w14:val="none"/>
        </w:rPr>
        <w:t xml:space="preserve">*Lancet*, *391*(10127), 1285-1300. </w:t>
      </w:r>
      <w:hyperlink r:id="rId9" w:history="1">
        <w:r w:rsidR="00314A04" w:rsidRPr="006B4AD5">
          <w:rPr>
            <w:rStyle w:val="Hyperlink"/>
            <w:rFonts w:ascii="Arial" w:eastAsia="Calibri" w:hAnsi="Arial" w:cs="Arial"/>
            <w:kern w:val="0"/>
            <w:sz w:val="20"/>
            <w:szCs w:val="20"/>
            <w:lang w:val="fr-FR" w:eastAsia="fr-FR"/>
            <w14:ligatures w14:val="none"/>
          </w:rPr>
          <w:t>https://doi.org/10.1016/S0140-6736(17)33293-2</w:t>
        </w:r>
      </w:hyperlink>
      <w:r w:rsidR="00314A04">
        <w:rPr>
          <w:rFonts w:ascii="Arial" w:eastAsia="Calibri" w:hAnsi="Arial" w:cs="Arial"/>
          <w:color w:val="000000"/>
          <w:kern w:val="0"/>
          <w:sz w:val="20"/>
          <w:szCs w:val="20"/>
          <w:lang w:val="fr-FR" w:eastAsia="fr-FR"/>
          <w14:ligatures w14:val="none"/>
        </w:rPr>
        <w:t xml:space="preserve"> </w:t>
      </w:r>
    </w:p>
    <w:p w14:paraId="4AA8088F" w14:textId="32815723"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9B0FD3">
        <w:rPr>
          <w:rFonts w:ascii="Arial" w:eastAsia="Calibri" w:hAnsi="Arial" w:cs="Arial"/>
          <w:color w:val="000000"/>
          <w:kern w:val="0"/>
          <w:sz w:val="20"/>
          <w:szCs w:val="20"/>
          <w:lang w:val="fr-FR" w:eastAsia="fr-FR"/>
          <w14:ligatures w14:val="none"/>
        </w:rPr>
        <w:t xml:space="preserve">4- </w:t>
      </w:r>
      <w:bookmarkStart w:id="5" w:name="_Hlk211527326"/>
      <w:r w:rsidR="00A1284D" w:rsidRPr="00A1284D">
        <w:rPr>
          <w:rFonts w:ascii="Arial" w:eastAsia="Calibri" w:hAnsi="Arial" w:cs="Arial"/>
          <w:color w:val="000000"/>
          <w:kern w:val="0"/>
          <w:sz w:val="20"/>
          <w:szCs w:val="20"/>
          <w:lang w:val="fr-FR" w:eastAsia="fr-FR"/>
          <w14:ligatures w14:val="none"/>
        </w:rPr>
        <w:t xml:space="preserve">Organisation mondiale de la santé. (2025). Grippe saisonnière. </w:t>
      </w:r>
      <w:hyperlink r:id="rId10" w:history="1">
        <w:r w:rsidR="00A1284D" w:rsidRPr="006B4AD5">
          <w:rPr>
            <w:rStyle w:val="Hyperlink"/>
            <w:rFonts w:ascii="Arial" w:eastAsia="Calibri" w:hAnsi="Arial" w:cs="Arial"/>
            <w:kern w:val="0"/>
            <w:sz w:val="20"/>
            <w:szCs w:val="20"/>
            <w:lang w:val="fr-FR" w:eastAsia="fr-FR"/>
            <w14:ligatures w14:val="none"/>
          </w:rPr>
          <w:t>https://www.who.int/fr/news-room/fact-sheets/detail/influenza-(seasonal)</w:t>
        </w:r>
      </w:hyperlink>
      <w:r w:rsidR="00A1284D">
        <w:rPr>
          <w:rFonts w:ascii="Arial" w:eastAsia="Calibri" w:hAnsi="Arial" w:cs="Arial"/>
          <w:color w:val="000000"/>
          <w:kern w:val="0"/>
          <w:sz w:val="20"/>
          <w:szCs w:val="20"/>
          <w:lang w:val="fr-FR" w:eastAsia="fr-FR"/>
          <w14:ligatures w14:val="none"/>
        </w:rPr>
        <w:t xml:space="preserve"> </w:t>
      </w:r>
    </w:p>
    <w:bookmarkEnd w:id="5"/>
    <w:p w14:paraId="2B5D364F" w14:textId="2F1E3EA6"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5- </w:t>
      </w:r>
      <w:r w:rsidR="00F572A6" w:rsidRPr="00305A4F">
        <w:rPr>
          <w:rFonts w:ascii="Arial" w:eastAsia="Calibri" w:hAnsi="Arial" w:cs="Arial"/>
          <w:color w:val="000000"/>
          <w:kern w:val="0"/>
          <w:sz w:val="20"/>
          <w:szCs w:val="20"/>
          <w:lang w:eastAsia="fr-FR"/>
          <w14:ligatures w14:val="none"/>
        </w:rPr>
        <w:t xml:space="preserve">World Health Organization &amp; Centers for Disease Control and Prevention. (2010). Technical Guidelines for Integrated Disease Surveillance and Response in the African Region (2nd ed.). Brazzaville, Republic of Congo and Atlanta, USA. </w:t>
      </w:r>
      <w:hyperlink r:id="rId11" w:history="1">
        <w:r w:rsidR="00F572A6" w:rsidRPr="00305A4F">
          <w:rPr>
            <w:rStyle w:val="Hyperlink"/>
            <w:rFonts w:ascii="Arial" w:eastAsia="Calibri" w:hAnsi="Arial" w:cs="Arial"/>
            <w:kern w:val="0"/>
            <w:sz w:val="20"/>
            <w:szCs w:val="20"/>
            <w:lang w:eastAsia="fr-FR"/>
            <w14:ligatures w14:val="none"/>
          </w:rPr>
          <w:t>https://www.cdc.gov/globalhealth/healthprotection/idsr/pdf/technicalguidelines/idsrtechnical-guidelines-2nd-edition_2010_english.pdf</w:t>
        </w:r>
      </w:hyperlink>
      <w:r w:rsidR="00F572A6" w:rsidRPr="00305A4F">
        <w:rPr>
          <w:rFonts w:ascii="Arial" w:eastAsia="Calibri" w:hAnsi="Arial" w:cs="Arial"/>
          <w:color w:val="000000"/>
          <w:kern w:val="0"/>
          <w:sz w:val="20"/>
          <w:szCs w:val="20"/>
          <w:lang w:eastAsia="fr-FR"/>
          <w14:ligatures w14:val="none"/>
        </w:rPr>
        <w:t xml:space="preserve"> </w:t>
      </w:r>
    </w:p>
    <w:p w14:paraId="31F93ECE" w14:textId="77777777"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9B0FD3">
        <w:rPr>
          <w:rFonts w:ascii="Arial" w:eastAsia="Calibri" w:hAnsi="Arial" w:cs="Arial"/>
          <w:color w:val="000000"/>
          <w:kern w:val="0"/>
          <w:sz w:val="20"/>
          <w:szCs w:val="20"/>
          <w:lang w:val="fr-FR" w:eastAsia="fr-FR"/>
          <w14:ligatures w14:val="none"/>
        </w:rPr>
        <w:t xml:space="preserve">6- Organisation mondiale de la santé. Gestion communautaire des cas lors d’une éclosion d’influenza : manuel du participant. </w:t>
      </w:r>
      <w:proofErr w:type="gramStart"/>
      <w:r w:rsidRPr="00305A4F">
        <w:rPr>
          <w:rFonts w:ascii="Arial" w:eastAsia="Calibri" w:hAnsi="Arial" w:cs="Arial"/>
          <w:color w:val="000000"/>
          <w:kern w:val="0"/>
          <w:sz w:val="20"/>
          <w:szCs w:val="20"/>
          <w:lang w:eastAsia="fr-FR"/>
          <w14:ligatures w14:val="none"/>
        </w:rPr>
        <w:t>Genève :</w:t>
      </w:r>
      <w:proofErr w:type="gramEnd"/>
      <w:r w:rsidRPr="00305A4F">
        <w:rPr>
          <w:rFonts w:ascii="Arial" w:eastAsia="Calibri" w:hAnsi="Arial" w:cs="Arial"/>
          <w:color w:val="000000"/>
          <w:kern w:val="0"/>
          <w:sz w:val="20"/>
          <w:szCs w:val="20"/>
          <w:lang w:eastAsia="fr-FR"/>
          <w14:ligatures w14:val="none"/>
        </w:rPr>
        <w:t xml:space="preserve"> OMS Press ; 2011.</w:t>
      </w:r>
    </w:p>
    <w:p w14:paraId="41EB30F7" w14:textId="04FC73CA"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7- </w:t>
      </w:r>
      <w:proofErr w:type="spellStart"/>
      <w:r w:rsidR="00707BC4" w:rsidRPr="00305A4F">
        <w:rPr>
          <w:rFonts w:ascii="Arial" w:eastAsia="Calibri" w:hAnsi="Arial" w:cs="Arial"/>
          <w:color w:val="000000"/>
          <w:kern w:val="0"/>
          <w:sz w:val="20"/>
          <w:szCs w:val="20"/>
          <w:lang w:eastAsia="fr-FR"/>
          <w14:ligatures w14:val="none"/>
        </w:rPr>
        <w:t>Hannoun</w:t>
      </w:r>
      <w:proofErr w:type="spellEnd"/>
      <w:r w:rsidR="00707BC4" w:rsidRPr="00305A4F">
        <w:rPr>
          <w:rFonts w:ascii="Arial" w:eastAsia="Calibri" w:hAnsi="Arial" w:cs="Arial"/>
          <w:color w:val="000000"/>
          <w:kern w:val="0"/>
          <w:sz w:val="20"/>
          <w:szCs w:val="20"/>
          <w:lang w:eastAsia="fr-FR"/>
          <w14:ligatures w14:val="none"/>
        </w:rPr>
        <w:t xml:space="preserve">, C. (1994). Role of international networks for the surveillance of influenza. European Journal of Epidemiology, 10(4), 459–461. </w:t>
      </w:r>
      <w:hyperlink r:id="rId12" w:history="1">
        <w:r w:rsidR="00707BC4" w:rsidRPr="00305A4F">
          <w:rPr>
            <w:rStyle w:val="Hyperlink"/>
            <w:rFonts w:ascii="Arial" w:eastAsia="Calibri" w:hAnsi="Arial" w:cs="Arial"/>
            <w:kern w:val="0"/>
            <w:sz w:val="20"/>
            <w:szCs w:val="20"/>
            <w:lang w:eastAsia="fr-FR"/>
            <w14:ligatures w14:val="none"/>
          </w:rPr>
          <w:t>https://doi.org/10.1007/BF01719675</w:t>
        </w:r>
      </w:hyperlink>
      <w:r w:rsidR="00707BC4" w:rsidRPr="00305A4F">
        <w:rPr>
          <w:rFonts w:ascii="Arial" w:eastAsia="Calibri" w:hAnsi="Arial" w:cs="Arial"/>
          <w:color w:val="000000"/>
          <w:kern w:val="0"/>
          <w:sz w:val="20"/>
          <w:szCs w:val="20"/>
          <w:lang w:eastAsia="fr-FR"/>
          <w14:ligatures w14:val="none"/>
        </w:rPr>
        <w:t xml:space="preserve"> </w:t>
      </w:r>
    </w:p>
    <w:p w14:paraId="76C23C2F" w14:textId="4EBBAD64"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8- </w:t>
      </w:r>
      <w:r w:rsidR="00EC4753" w:rsidRPr="00523C83">
        <w:rPr>
          <w:rFonts w:ascii="Arial" w:eastAsia="Calibri" w:hAnsi="Arial" w:cs="Arial"/>
          <w:color w:val="000000"/>
          <w:kern w:val="0"/>
          <w:sz w:val="20"/>
          <w:szCs w:val="20"/>
          <w:lang w:eastAsia="fr-FR"/>
          <w14:ligatures w14:val="none"/>
        </w:rPr>
        <w:t xml:space="preserve">Katz, M. A., Schoub, B. D., Heraud, J. M., Breiman, R. F., Njenga, M. K., &amp; Widdowson, M. A. (2012). Influenza in Africa: Uncovering the Epidemiology of a Long-Overlooked Disease. </w:t>
      </w:r>
      <w:r w:rsidR="00EC4753" w:rsidRPr="00305A4F">
        <w:rPr>
          <w:rFonts w:ascii="Arial" w:eastAsia="Calibri" w:hAnsi="Arial" w:cs="Arial"/>
          <w:color w:val="000000"/>
          <w:kern w:val="0"/>
          <w:sz w:val="20"/>
          <w:szCs w:val="20"/>
          <w:lang w:eastAsia="fr-FR"/>
          <w14:ligatures w14:val="none"/>
        </w:rPr>
        <w:t xml:space="preserve">Journal of Infectious Diseases, 206(Suppl 1), S1-S4. </w:t>
      </w:r>
      <w:hyperlink r:id="rId13" w:history="1">
        <w:r w:rsidR="00EC4753" w:rsidRPr="00305A4F">
          <w:rPr>
            <w:rStyle w:val="Hyperlink"/>
            <w:rFonts w:ascii="Arial" w:eastAsia="Calibri" w:hAnsi="Arial" w:cs="Arial"/>
            <w:kern w:val="0"/>
            <w:sz w:val="20"/>
            <w:szCs w:val="20"/>
            <w:lang w:eastAsia="fr-FR"/>
            <w14:ligatures w14:val="none"/>
          </w:rPr>
          <w:t>https://doi.org/10.1093/infdis/jis548</w:t>
        </w:r>
      </w:hyperlink>
      <w:r w:rsidR="00EC4753" w:rsidRPr="00305A4F">
        <w:rPr>
          <w:rFonts w:ascii="Arial" w:eastAsia="Calibri" w:hAnsi="Arial" w:cs="Arial"/>
          <w:color w:val="000000"/>
          <w:kern w:val="0"/>
          <w:sz w:val="20"/>
          <w:szCs w:val="20"/>
          <w:lang w:eastAsia="fr-FR"/>
          <w14:ligatures w14:val="none"/>
        </w:rPr>
        <w:t xml:space="preserve"> </w:t>
      </w:r>
    </w:p>
    <w:p w14:paraId="148BC9B8" w14:textId="40F97A05"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9- </w:t>
      </w:r>
      <w:proofErr w:type="spellStart"/>
      <w:r w:rsidR="008A4EDD" w:rsidRPr="00305A4F">
        <w:rPr>
          <w:rFonts w:ascii="Arial" w:eastAsia="Calibri" w:hAnsi="Arial" w:cs="Arial"/>
          <w:color w:val="000000"/>
          <w:kern w:val="0"/>
          <w:sz w:val="20"/>
          <w:szCs w:val="20"/>
          <w:lang w:eastAsia="fr-FR"/>
          <w14:ligatures w14:val="none"/>
        </w:rPr>
        <w:t>Nzussouo</w:t>
      </w:r>
      <w:proofErr w:type="spellEnd"/>
      <w:r w:rsidR="008A4EDD" w:rsidRPr="00305A4F">
        <w:rPr>
          <w:rFonts w:ascii="Arial" w:eastAsia="Calibri" w:hAnsi="Arial" w:cs="Arial"/>
          <w:color w:val="000000"/>
          <w:kern w:val="0"/>
          <w:sz w:val="20"/>
          <w:szCs w:val="20"/>
          <w:lang w:eastAsia="fr-FR"/>
          <w14:ligatures w14:val="none"/>
        </w:rPr>
        <w:t xml:space="preserve">, N. T., Duque, J., Adedeji, A. A., Coulibaly, D., Sow, S., Tarnagda, Z., Maman, I., </w:t>
      </w:r>
      <w:proofErr w:type="spellStart"/>
      <w:r w:rsidR="008A4EDD" w:rsidRPr="00305A4F">
        <w:rPr>
          <w:rFonts w:ascii="Arial" w:eastAsia="Calibri" w:hAnsi="Arial" w:cs="Arial"/>
          <w:color w:val="000000"/>
          <w:kern w:val="0"/>
          <w:sz w:val="20"/>
          <w:szCs w:val="20"/>
          <w:lang w:eastAsia="fr-FR"/>
          <w14:ligatures w14:val="none"/>
        </w:rPr>
        <w:t>Lagare</w:t>
      </w:r>
      <w:proofErr w:type="spellEnd"/>
      <w:r w:rsidR="008A4EDD" w:rsidRPr="00305A4F">
        <w:rPr>
          <w:rFonts w:ascii="Arial" w:eastAsia="Calibri" w:hAnsi="Arial" w:cs="Arial"/>
          <w:color w:val="000000"/>
          <w:kern w:val="0"/>
          <w:sz w:val="20"/>
          <w:szCs w:val="20"/>
          <w:lang w:eastAsia="fr-FR"/>
          <w14:ligatures w14:val="none"/>
        </w:rPr>
        <w:t xml:space="preserve">, A., Makaya, S., </w:t>
      </w:r>
      <w:proofErr w:type="spellStart"/>
      <w:r w:rsidR="008A4EDD" w:rsidRPr="00305A4F">
        <w:rPr>
          <w:rFonts w:ascii="Arial" w:eastAsia="Calibri" w:hAnsi="Arial" w:cs="Arial"/>
          <w:color w:val="000000"/>
          <w:kern w:val="0"/>
          <w:sz w:val="20"/>
          <w:szCs w:val="20"/>
          <w:lang w:eastAsia="fr-FR"/>
          <w14:ligatures w14:val="none"/>
        </w:rPr>
        <w:t>Elkory</w:t>
      </w:r>
      <w:proofErr w:type="spellEnd"/>
      <w:r w:rsidR="008A4EDD" w:rsidRPr="00305A4F">
        <w:rPr>
          <w:rFonts w:ascii="Arial" w:eastAsia="Calibri" w:hAnsi="Arial" w:cs="Arial"/>
          <w:color w:val="000000"/>
          <w:kern w:val="0"/>
          <w:sz w:val="20"/>
          <w:szCs w:val="20"/>
          <w:lang w:eastAsia="fr-FR"/>
          <w14:ligatures w14:val="none"/>
        </w:rPr>
        <w:t xml:space="preserve">, M. B., Adje, H. K., Shilo, P. A., Tamboura, B., Cisse, A., </w:t>
      </w:r>
      <w:proofErr w:type="spellStart"/>
      <w:r w:rsidR="008A4EDD" w:rsidRPr="00305A4F">
        <w:rPr>
          <w:rFonts w:ascii="Arial" w:eastAsia="Calibri" w:hAnsi="Arial" w:cs="Arial"/>
          <w:color w:val="000000"/>
          <w:kern w:val="0"/>
          <w:sz w:val="20"/>
          <w:szCs w:val="20"/>
          <w:lang w:eastAsia="fr-FR"/>
          <w14:ligatures w14:val="none"/>
        </w:rPr>
        <w:t>Badziklou</w:t>
      </w:r>
      <w:proofErr w:type="spellEnd"/>
      <w:r w:rsidR="008A4EDD" w:rsidRPr="00305A4F">
        <w:rPr>
          <w:rFonts w:ascii="Arial" w:eastAsia="Calibri" w:hAnsi="Arial" w:cs="Arial"/>
          <w:color w:val="000000"/>
          <w:kern w:val="0"/>
          <w:sz w:val="20"/>
          <w:szCs w:val="20"/>
          <w:lang w:eastAsia="fr-FR"/>
          <w14:ligatures w14:val="none"/>
        </w:rPr>
        <w:t xml:space="preserve">, K., </w:t>
      </w:r>
      <w:proofErr w:type="spellStart"/>
      <w:r w:rsidR="008A4EDD" w:rsidRPr="00305A4F">
        <w:rPr>
          <w:rFonts w:ascii="Arial" w:eastAsia="Calibri" w:hAnsi="Arial" w:cs="Arial"/>
          <w:color w:val="000000"/>
          <w:kern w:val="0"/>
          <w:sz w:val="20"/>
          <w:szCs w:val="20"/>
          <w:lang w:eastAsia="fr-FR"/>
          <w14:ligatures w14:val="none"/>
        </w:rPr>
        <w:t>Maïnassara</w:t>
      </w:r>
      <w:proofErr w:type="spellEnd"/>
      <w:r w:rsidR="008A4EDD" w:rsidRPr="00305A4F">
        <w:rPr>
          <w:rFonts w:ascii="Arial" w:eastAsia="Calibri" w:hAnsi="Arial" w:cs="Arial"/>
          <w:color w:val="000000"/>
          <w:kern w:val="0"/>
          <w:sz w:val="20"/>
          <w:szCs w:val="20"/>
          <w:lang w:eastAsia="fr-FR"/>
          <w14:ligatures w14:val="none"/>
        </w:rPr>
        <w:t xml:space="preserve">, H. B., Bara, A. O., Keita, A. M., Williams, T., Moen, A., Widdowson, M. A., &amp; McMorrow, M. (2017). Epidemiology of influenza in West Africa after the 2009 influenza A(H1N1) pandemic, 2010–2012. BMC Infectious Diseases, 17(1), 745. </w:t>
      </w:r>
      <w:hyperlink r:id="rId14" w:history="1">
        <w:r w:rsidR="008A4EDD" w:rsidRPr="00305A4F">
          <w:rPr>
            <w:rStyle w:val="Hyperlink"/>
            <w:rFonts w:ascii="Arial" w:eastAsia="Calibri" w:hAnsi="Arial" w:cs="Arial"/>
            <w:kern w:val="0"/>
            <w:sz w:val="20"/>
            <w:szCs w:val="20"/>
            <w:lang w:eastAsia="fr-FR"/>
            <w14:ligatures w14:val="none"/>
          </w:rPr>
          <w:t>https://doi.org/10.1186/s12879-017-2839-1</w:t>
        </w:r>
      </w:hyperlink>
      <w:r w:rsidR="008A4EDD" w:rsidRPr="00305A4F">
        <w:rPr>
          <w:rFonts w:ascii="Arial" w:eastAsia="Calibri" w:hAnsi="Arial" w:cs="Arial"/>
          <w:color w:val="000000"/>
          <w:kern w:val="0"/>
          <w:sz w:val="20"/>
          <w:szCs w:val="20"/>
          <w:lang w:eastAsia="fr-FR"/>
          <w14:ligatures w14:val="none"/>
        </w:rPr>
        <w:t xml:space="preserve"> </w:t>
      </w:r>
      <w:r w:rsidR="00F042B8" w:rsidRPr="00305A4F">
        <w:rPr>
          <w:rFonts w:ascii="Arial" w:eastAsia="Calibri" w:hAnsi="Arial" w:cs="Arial"/>
          <w:color w:val="000000"/>
          <w:kern w:val="0"/>
          <w:sz w:val="20"/>
          <w:szCs w:val="20"/>
          <w:lang w:eastAsia="fr-FR"/>
          <w14:ligatures w14:val="none"/>
        </w:rPr>
        <w:tab/>
      </w:r>
      <w:r w:rsidRPr="00305A4F">
        <w:rPr>
          <w:rFonts w:ascii="Arial" w:eastAsia="Calibri" w:hAnsi="Arial" w:cs="Arial"/>
          <w:color w:val="000000"/>
          <w:kern w:val="0"/>
          <w:sz w:val="20"/>
          <w:szCs w:val="20"/>
          <w:lang w:eastAsia="fr-FR"/>
          <w14:ligatures w14:val="none"/>
        </w:rPr>
        <w:t xml:space="preserve"> </w:t>
      </w:r>
    </w:p>
    <w:p w14:paraId="51C64806" w14:textId="3F587A10"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10- </w:t>
      </w:r>
      <w:proofErr w:type="spellStart"/>
      <w:r w:rsidR="00F042B8" w:rsidRPr="00523C83">
        <w:rPr>
          <w:rFonts w:ascii="Arial" w:eastAsia="Calibri" w:hAnsi="Arial" w:cs="Arial"/>
          <w:color w:val="000000"/>
          <w:kern w:val="0"/>
          <w:sz w:val="20"/>
          <w:szCs w:val="20"/>
          <w:lang w:eastAsia="fr-FR"/>
          <w14:ligatures w14:val="none"/>
        </w:rPr>
        <w:t>Goossens</w:t>
      </w:r>
      <w:proofErr w:type="spellEnd"/>
      <w:r w:rsidR="00F042B8" w:rsidRPr="00523C83">
        <w:rPr>
          <w:rFonts w:ascii="Arial" w:eastAsia="Calibri" w:hAnsi="Arial" w:cs="Arial"/>
          <w:color w:val="000000"/>
          <w:kern w:val="0"/>
          <w:sz w:val="20"/>
          <w:szCs w:val="20"/>
          <w:lang w:eastAsia="fr-FR"/>
          <w14:ligatures w14:val="none"/>
        </w:rPr>
        <w:t xml:space="preserve">, H., Ferech, M., Vander Stichele, R., &amp; Elseviers, M. (2005). Outpatient antibiotic use in Europe and association with resistance: a cross-national database study. </w:t>
      </w:r>
      <w:r w:rsidR="00F042B8" w:rsidRPr="00305A4F">
        <w:rPr>
          <w:rFonts w:ascii="Arial" w:eastAsia="Calibri" w:hAnsi="Arial" w:cs="Arial"/>
          <w:color w:val="000000"/>
          <w:kern w:val="0"/>
          <w:sz w:val="20"/>
          <w:szCs w:val="20"/>
          <w:lang w:eastAsia="fr-FR"/>
          <w14:ligatures w14:val="none"/>
        </w:rPr>
        <w:t xml:space="preserve">Lancet, 365(9459), 579–587. </w:t>
      </w:r>
      <w:hyperlink r:id="rId15" w:history="1">
        <w:r w:rsidR="00F042B8" w:rsidRPr="00305A4F">
          <w:rPr>
            <w:rStyle w:val="Hyperlink"/>
            <w:rFonts w:ascii="Arial" w:eastAsia="Calibri" w:hAnsi="Arial" w:cs="Arial"/>
            <w:kern w:val="0"/>
            <w:sz w:val="20"/>
            <w:szCs w:val="20"/>
            <w:lang w:eastAsia="fr-FR"/>
            <w14:ligatures w14:val="none"/>
          </w:rPr>
          <w:t>https://doi.org/10.1016/S0140-6736(05)17907-0</w:t>
        </w:r>
      </w:hyperlink>
      <w:r w:rsidR="00F042B8" w:rsidRPr="00305A4F">
        <w:rPr>
          <w:rFonts w:ascii="Arial" w:eastAsia="Calibri" w:hAnsi="Arial" w:cs="Arial"/>
          <w:color w:val="000000"/>
          <w:kern w:val="0"/>
          <w:sz w:val="20"/>
          <w:szCs w:val="20"/>
          <w:lang w:eastAsia="fr-FR"/>
          <w14:ligatures w14:val="none"/>
        </w:rPr>
        <w:t xml:space="preserve"> </w:t>
      </w:r>
    </w:p>
    <w:p w14:paraId="3EC5E027" w14:textId="111B5E84"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11- </w:t>
      </w:r>
      <w:r w:rsidR="008A7643" w:rsidRPr="00305A4F">
        <w:rPr>
          <w:rFonts w:ascii="Arial" w:eastAsia="Calibri" w:hAnsi="Arial" w:cs="Arial"/>
          <w:color w:val="000000"/>
          <w:kern w:val="0"/>
          <w:sz w:val="20"/>
          <w:szCs w:val="20"/>
          <w:lang w:eastAsia="fr-FR"/>
          <w14:ligatures w14:val="none"/>
        </w:rPr>
        <w:t>van de Sande-</w:t>
      </w:r>
      <w:proofErr w:type="spellStart"/>
      <w:r w:rsidR="008A7643" w:rsidRPr="00305A4F">
        <w:rPr>
          <w:rFonts w:ascii="Arial" w:eastAsia="Calibri" w:hAnsi="Arial" w:cs="Arial"/>
          <w:color w:val="000000"/>
          <w:kern w:val="0"/>
          <w:sz w:val="20"/>
          <w:szCs w:val="20"/>
          <w:lang w:eastAsia="fr-FR"/>
          <w14:ligatures w14:val="none"/>
        </w:rPr>
        <w:t>Bruinsma</w:t>
      </w:r>
      <w:proofErr w:type="spellEnd"/>
      <w:r w:rsidR="008A7643" w:rsidRPr="00305A4F">
        <w:rPr>
          <w:rFonts w:ascii="Arial" w:eastAsia="Calibri" w:hAnsi="Arial" w:cs="Arial"/>
          <w:color w:val="000000"/>
          <w:kern w:val="0"/>
          <w:sz w:val="20"/>
          <w:szCs w:val="20"/>
          <w:lang w:eastAsia="fr-FR"/>
          <w14:ligatures w14:val="none"/>
        </w:rPr>
        <w:t xml:space="preserve">, N., Grundmann, H., </w:t>
      </w:r>
      <w:proofErr w:type="spellStart"/>
      <w:r w:rsidR="008A7643" w:rsidRPr="00305A4F">
        <w:rPr>
          <w:rFonts w:ascii="Arial" w:eastAsia="Calibri" w:hAnsi="Arial" w:cs="Arial"/>
          <w:color w:val="000000"/>
          <w:kern w:val="0"/>
          <w:sz w:val="20"/>
          <w:szCs w:val="20"/>
          <w:lang w:eastAsia="fr-FR"/>
          <w14:ligatures w14:val="none"/>
        </w:rPr>
        <w:t>Verloo</w:t>
      </w:r>
      <w:proofErr w:type="spellEnd"/>
      <w:r w:rsidR="008A7643" w:rsidRPr="00305A4F">
        <w:rPr>
          <w:rFonts w:ascii="Arial" w:eastAsia="Calibri" w:hAnsi="Arial" w:cs="Arial"/>
          <w:color w:val="000000"/>
          <w:kern w:val="0"/>
          <w:sz w:val="20"/>
          <w:szCs w:val="20"/>
          <w:lang w:eastAsia="fr-FR"/>
          <w14:ligatures w14:val="none"/>
        </w:rPr>
        <w:t xml:space="preserve">, D., Tiemersma, E., Monen, J., Goossens, H., </w:t>
      </w:r>
      <w:proofErr w:type="spellStart"/>
      <w:r w:rsidR="008A7643" w:rsidRPr="00305A4F">
        <w:rPr>
          <w:rFonts w:ascii="Arial" w:eastAsia="Calibri" w:hAnsi="Arial" w:cs="Arial"/>
          <w:color w:val="000000"/>
          <w:kern w:val="0"/>
          <w:sz w:val="20"/>
          <w:szCs w:val="20"/>
          <w:lang w:eastAsia="fr-FR"/>
          <w14:ligatures w14:val="none"/>
        </w:rPr>
        <w:t>Ferech</w:t>
      </w:r>
      <w:proofErr w:type="spellEnd"/>
      <w:r w:rsidR="008A7643" w:rsidRPr="00305A4F">
        <w:rPr>
          <w:rFonts w:ascii="Arial" w:eastAsia="Calibri" w:hAnsi="Arial" w:cs="Arial"/>
          <w:color w:val="000000"/>
          <w:kern w:val="0"/>
          <w:sz w:val="20"/>
          <w:szCs w:val="20"/>
          <w:lang w:eastAsia="fr-FR"/>
          <w14:ligatures w14:val="none"/>
        </w:rPr>
        <w:t xml:space="preserve">, M., European Antimicrobial Resistance Surveillance System Group, &amp; European Surveillance of </w:t>
      </w:r>
      <w:r w:rsidR="008A7643" w:rsidRPr="00305A4F">
        <w:rPr>
          <w:rFonts w:ascii="Arial" w:eastAsia="Calibri" w:hAnsi="Arial" w:cs="Arial"/>
          <w:color w:val="000000"/>
          <w:kern w:val="0"/>
          <w:sz w:val="20"/>
          <w:szCs w:val="20"/>
          <w:lang w:eastAsia="fr-FR"/>
          <w14:ligatures w14:val="none"/>
        </w:rPr>
        <w:lastRenderedPageBreak/>
        <w:t xml:space="preserve">Antimicrobial Consumption Project Group. (2008). Antimicrobial drug use and resistance in Europe. Emerging Infectious Diseases, 14(11), 1722-1730. </w:t>
      </w:r>
      <w:hyperlink r:id="rId16" w:history="1">
        <w:r w:rsidR="008A7643" w:rsidRPr="00305A4F">
          <w:rPr>
            <w:rStyle w:val="Hyperlink"/>
            <w:rFonts w:ascii="Arial" w:eastAsia="Calibri" w:hAnsi="Arial" w:cs="Arial"/>
            <w:kern w:val="0"/>
            <w:sz w:val="20"/>
            <w:szCs w:val="20"/>
            <w:lang w:eastAsia="fr-FR"/>
            <w14:ligatures w14:val="none"/>
          </w:rPr>
          <w:t>https://doi.org/10.3201/eid1411.070467</w:t>
        </w:r>
      </w:hyperlink>
      <w:r w:rsidR="008A7643"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48350711" w14:textId="70548627"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12- </w:t>
      </w:r>
      <w:r w:rsidR="00FC0540" w:rsidRPr="00305A4F">
        <w:rPr>
          <w:rFonts w:ascii="Arial" w:eastAsia="Calibri" w:hAnsi="Arial" w:cs="Arial"/>
          <w:color w:val="000000"/>
          <w:kern w:val="0"/>
          <w:sz w:val="20"/>
          <w:szCs w:val="20"/>
          <w:lang w:eastAsia="fr-FR"/>
          <w14:ligatures w14:val="none"/>
        </w:rPr>
        <w:t xml:space="preserve">Bell, B. G., Schellevis, F., </w:t>
      </w:r>
      <w:proofErr w:type="spellStart"/>
      <w:r w:rsidR="00FC0540" w:rsidRPr="00305A4F">
        <w:rPr>
          <w:rFonts w:ascii="Arial" w:eastAsia="Calibri" w:hAnsi="Arial" w:cs="Arial"/>
          <w:color w:val="000000"/>
          <w:kern w:val="0"/>
          <w:sz w:val="20"/>
          <w:szCs w:val="20"/>
          <w:lang w:eastAsia="fr-FR"/>
          <w14:ligatures w14:val="none"/>
        </w:rPr>
        <w:t>Stobberingh</w:t>
      </w:r>
      <w:proofErr w:type="spellEnd"/>
      <w:r w:rsidR="00FC0540" w:rsidRPr="00305A4F">
        <w:rPr>
          <w:rFonts w:ascii="Arial" w:eastAsia="Calibri" w:hAnsi="Arial" w:cs="Arial"/>
          <w:color w:val="000000"/>
          <w:kern w:val="0"/>
          <w:sz w:val="20"/>
          <w:szCs w:val="20"/>
          <w:lang w:eastAsia="fr-FR"/>
          <w14:ligatures w14:val="none"/>
        </w:rPr>
        <w:t xml:space="preserve">, E., Goossens, H., &amp; Pringle, M. (2014). A systematic review and meta-analysis of the effects of antibiotic consumption on antibiotic resistance. BMC Infectious Diseases, 14, 13. </w:t>
      </w:r>
      <w:hyperlink r:id="rId17" w:history="1">
        <w:r w:rsidR="00FC0540" w:rsidRPr="00305A4F">
          <w:rPr>
            <w:rStyle w:val="Hyperlink"/>
            <w:rFonts w:ascii="Arial" w:eastAsia="Calibri" w:hAnsi="Arial" w:cs="Arial"/>
            <w:kern w:val="0"/>
            <w:sz w:val="20"/>
            <w:szCs w:val="20"/>
            <w:lang w:eastAsia="fr-FR"/>
            <w14:ligatures w14:val="none"/>
          </w:rPr>
          <w:t>https://doi.org/10.1186/1471-2334-14-13</w:t>
        </w:r>
      </w:hyperlink>
      <w:r w:rsidR="00FC0540"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355CFB48" w14:textId="78F7B913"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13- </w:t>
      </w:r>
      <w:r w:rsidR="003A3059" w:rsidRPr="00305A4F">
        <w:rPr>
          <w:rFonts w:ascii="Arial" w:eastAsia="Calibri" w:hAnsi="Arial" w:cs="Arial"/>
          <w:color w:val="000000"/>
          <w:kern w:val="0"/>
          <w:sz w:val="20"/>
          <w:szCs w:val="20"/>
          <w:lang w:eastAsia="fr-FR"/>
          <w14:ligatures w14:val="none"/>
        </w:rPr>
        <w:t xml:space="preserve">Cassini, A., </w:t>
      </w:r>
      <w:proofErr w:type="spellStart"/>
      <w:r w:rsidR="003A3059" w:rsidRPr="00305A4F">
        <w:rPr>
          <w:rFonts w:ascii="Arial" w:eastAsia="Calibri" w:hAnsi="Arial" w:cs="Arial"/>
          <w:color w:val="000000"/>
          <w:kern w:val="0"/>
          <w:sz w:val="20"/>
          <w:szCs w:val="20"/>
          <w:lang w:eastAsia="fr-FR"/>
          <w14:ligatures w14:val="none"/>
        </w:rPr>
        <w:t>Högberg</w:t>
      </w:r>
      <w:proofErr w:type="spellEnd"/>
      <w:r w:rsidR="003A3059" w:rsidRPr="00305A4F">
        <w:rPr>
          <w:rFonts w:ascii="Arial" w:eastAsia="Calibri" w:hAnsi="Arial" w:cs="Arial"/>
          <w:color w:val="000000"/>
          <w:kern w:val="0"/>
          <w:sz w:val="20"/>
          <w:szCs w:val="20"/>
          <w:lang w:eastAsia="fr-FR"/>
          <w14:ligatures w14:val="none"/>
        </w:rPr>
        <w:t xml:space="preserve">, L. D., </w:t>
      </w:r>
      <w:proofErr w:type="spellStart"/>
      <w:r w:rsidR="003A3059" w:rsidRPr="00305A4F">
        <w:rPr>
          <w:rFonts w:ascii="Arial" w:eastAsia="Calibri" w:hAnsi="Arial" w:cs="Arial"/>
          <w:color w:val="000000"/>
          <w:kern w:val="0"/>
          <w:sz w:val="20"/>
          <w:szCs w:val="20"/>
          <w:lang w:eastAsia="fr-FR"/>
          <w14:ligatures w14:val="none"/>
        </w:rPr>
        <w:t>Plachouras</w:t>
      </w:r>
      <w:proofErr w:type="spellEnd"/>
      <w:r w:rsidR="003A3059" w:rsidRPr="00305A4F">
        <w:rPr>
          <w:rFonts w:ascii="Arial" w:eastAsia="Calibri" w:hAnsi="Arial" w:cs="Arial"/>
          <w:color w:val="000000"/>
          <w:kern w:val="0"/>
          <w:sz w:val="20"/>
          <w:szCs w:val="20"/>
          <w:lang w:eastAsia="fr-FR"/>
          <w14:ligatures w14:val="none"/>
        </w:rPr>
        <w:t xml:space="preserve">, D., Quattrocchi, A., Hoxha, A., Simonsen, G. S., </w:t>
      </w:r>
      <w:proofErr w:type="spellStart"/>
      <w:r w:rsidR="003A3059" w:rsidRPr="00305A4F">
        <w:rPr>
          <w:rFonts w:ascii="Arial" w:eastAsia="Calibri" w:hAnsi="Arial" w:cs="Arial"/>
          <w:color w:val="000000"/>
          <w:kern w:val="0"/>
          <w:sz w:val="20"/>
          <w:szCs w:val="20"/>
          <w:lang w:eastAsia="fr-FR"/>
          <w14:ligatures w14:val="none"/>
        </w:rPr>
        <w:t>Colomb-Cotinat</w:t>
      </w:r>
      <w:proofErr w:type="spellEnd"/>
      <w:r w:rsidR="003A3059" w:rsidRPr="00305A4F">
        <w:rPr>
          <w:rFonts w:ascii="Arial" w:eastAsia="Calibri" w:hAnsi="Arial" w:cs="Arial"/>
          <w:color w:val="000000"/>
          <w:kern w:val="0"/>
          <w:sz w:val="20"/>
          <w:szCs w:val="20"/>
          <w:lang w:eastAsia="fr-FR"/>
          <w14:ligatures w14:val="none"/>
        </w:rPr>
        <w:t xml:space="preserve">, M., Kretzschmar, M. E., </w:t>
      </w:r>
      <w:proofErr w:type="spellStart"/>
      <w:r w:rsidR="003A3059" w:rsidRPr="00305A4F">
        <w:rPr>
          <w:rFonts w:ascii="Arial" w:eastAsia="Calibri" w:hAnsi="Arial" w:cs="Arial"/>
          <w:color w:val="000000"/>
          <w:kern w:val="0"/>
          <w:sz w:val="20"/>
          <w:szCs w:val="20"/>
          <w:lang w:eastAsia="fr-FR"/>
          <w14:ligatures w14:val="none"/>
        </w:rPr>
        <w:t>Devleesschauwer</w:t>
      </w:r>
      <w:proofErr w:type="spellEnd"/>
      <w:r w:rsidR="003A3059" w:rsidRPr="00305A4F">
        <w:rPr>
          <w:rFonts w:ascii="Arial" w:eastAsia="Calibri" w:hAnsi="Arial" w:cs="Arial"/>
          <w:color w:val="000000"/>
          <w:kern w:val="0"/>
          <w:sz w:val="20"/>
          <w:szCs w:val="20"/>
          <w:lang w:eastAsia="fr-FR"/>
          <w14:ligatures w14:val="none"/>
        </w:rPr>
        <w:t xml:space="preserve">, B., Cecchini, M., </w:t>
      </w:r>
      <w:proofErr w:type="spellStart"/>
      <w:r w:rsidR="003A3059" w:rsidRPr="00305A4F">
        <w:rPr>
          <w:rFonts w:ascii="Arial" w:eastAsia="Calibri" w:hAnsi="Arial" w:cs="Arial"/>
          <w:color w:val="000000"/>
          <w:kern w:val="0"/>
          <w:sz w:val="20"/>
          <w:szCs w:val="20"/>
          <w:lang w:eastAsia="fr-FR"/>
          <w14:ligatures w14:val="none"/>
        </w:rPr>
        <w:t>Ait</w:t>
      </w:r>
      <w:proofErr w:type="spellEnd"/>
      <w:r w:rsidR="003A3059" w:rsidRPr="00305A4F">
        <w:rPr>
          <w:rFonts w:ascii="Arial" w:eastAsia="Calibri" w:hAnsi="Arial" w:cs="Arial"/>
          <w:color w:val="000000"/>
          <w:kern w:val="0"/>
          <w:sz w:val="20"/>
          <w:szCs w:val="20"/>
          <w:lang w:eastAsia="fr-FR"/>
          <w14:ligatures w14:val="none"/>
        </w:rPr>
        <w:t xml:space="preserve"> </w:t>
      </w:r>
      <w:proofErr w:type="spellStart"/>
      <w:r w:rsidR="003A3059" w:rsidRPr="00305A4F">
        <w:rPr>
          <w:rFonts w:ascii="Arial" w:eastAsia="Calibri" w:hAnsi="Arial" w:cs="Arial"/>
          <w:color w:val="000000"/>
          <w:kern w:val="0"/>
          <w:sz w:val="20"/>
          <w:szCs w:val="20"/>
          <w:lang w:eastAsia="fr-FR"/>
          <w14:ligatures w14:val="none"/>
        </w:rPr>
        <w:t>Ouakrim</w:t>
      </w:r>
      <w:proofErr w:type="spellEnd"/>
      <w:r w:rsidR="003A3059" w:rsidRPr="00305A4F">
        <w:rPr>
          <w:rFonts w:ascii="Arial" w:eastAsia="Calibri" w:hAnsi="Arial" w:cs="Arial"/>
          <w:color w:val="000000"/>
          <w:kern w:val="0"/>
          <w:sz w:val="20"/>
          <w:szCs w:val="20"/>
          <w:lang w:eastAsia="fr-FR"/>
          <w14:ligatures w14:val="none"/>
        </w:rPr>
        <w:t xml:space="preserve">, D., Cravo Oliveira, T., </w:t>
      </w:r>
      <w:proofErr w:type="spellStart"/>
      <w:r w:rsidR="003A3059" w:rsidRPr="00305A4F">
        <w:rPr>
          <w:rFonts w:ascii="Arial" w:eastAsia="Calibri" w:hAnsi="Arial" w:cs="Arial"/>
          <w:color w:val="000000"/>
          <w:kern w:val="0"/>
          <w:sz w:val="20"/>
          <w:szCs w:val="20"/>
          <w:lang w:eastAsia="fr-FR"/>
          <w14:ligatures w14:val="none"/>
        </w:rPr>
        <w:t>Struelens</w:t>
      </w:r>
      <w:proofErr w:type="spellEnd"/>
      <w:r w:rsidR="003A3059" w:rsidRPr="00305A4F">
        <w:rPr>
          <w:rFonts w:ascii="Arial" w:eastAsia="Calibri" w:hAnsi="Arial" w:cs="Arial"/>
          <w:color w:val="000000"/>
          <w:kern w:val="0"/>
          <w:sz w:val="20"/>
          <w:szCs w:val="20"/>
          <w:lang w:eastAsia="fr-FR"/>
          <w14:ligatures w14:val="none"/>
        </w:rPr>
        <w:t xml:space="preserve">, M. J., </w:t>
      </w:r>
      <w:proofErr w:type="spellStart"/>
      <w:r w:rsidR="003A3059" w:rsidRPr="00305A4F">
        <w:rPr>
          <w:rFonts w:ascii="Arial" w:eastAsia="Calibri" w:hAnsi="Arial" w:cs="Arial"/>
          <w:color w:val="000000"/>
          <w:kern w:val="0"/>
          <w:sz w:val="20"/>
          <w:szCs w:val="20"/>
          <w:lang w:eastAsia="fr-FR"/>
          <w14:ligatures w14:val="none"/>
        </w:rPr>
        <w:t>Suetens</w:t>
      </w:r>
      <w:proofErr w:type="spellEnd"/>
      <w:r w:rsidR="003A3059" w:rsidRPr="00305A4F">
        <w:rPr>
          <w:rFonts w:ascii="Arial" w:eastAsia="Calibri" w:hAnsi="Arial" w:cs="Arial"/>
          <w:color w:val="000000"/>
          <w:kern w:val="0"/>
          <w:sz w:val="20"/>
          <w:szCs w:val="20"/>
          <w:lang w:eastAsia="fr-FR"/>
          <w14:ligatures w14:val="none"/>
        </w:rPr>
        <w:t xml:space="preserve">, C., &amp; Monnet, D. L. (2019). </w:t>
      </w:r>
      <w:r w:rsidR="003A3059" w:rsidRPr="00523C83">
        <w:rPr>
          <w:rFonts w:ascii="Arial" w:eastAsia="Calibri" w:hAnsi="Arial" w:cs="Arial"/>
          <w:color w:val="000000"/>
          <w:kern w:val="0"/>
          <w:sz w:val="20"/>
          <w:szCs w:val="20"/>
          <w:lang w:eastAsia="fr-FR"/>
          <w14:ligatures w14:val="none"/>
        </w:rPr>
        <w:t xml:space="preserve">Attributable deaths and disability-adjusted life-years caused by infections with antibiotic-resistant bacteria in the EU and the European Economic Area in 2015: A population-level modelling analysis. </w:t>
      </w:r>
      <w:r w:rsidR="003A3059" w:rsidRPr="00305A4F">
        <w:rPr>
          <w:rFonts w:ascii="Arial" w:eastAsia="Calibri" w:hAnsi="Arial" w:cs="Arial"/>
          <w:color w:val="000000"/>
          <w:kern w:val="0"/>
          <w:sz w:val="20"/>
          <w:szCs w:val="20"/>
          <w:lang w:eastAsia="fr-FR"/>
          <w14:ligatures w14:val="none"/>
        </w:rPr>
        <w:t xml:space="preserve">Lancet Infectious Diseases, 19(1), 56–66. </w:t>
      </w:r>
      <w:hyperlink r:id="rId18" w:history="1">
        <w:r w:rsidR="003A3059" w:rsidRPr="00305A4F">
          <w:rPr>
            <w:rStyle w:val="Hyperlink"/>
            <w:rFonts w:ascii="Arial" w:eastAsia="Calibri" w:hAnsi="Arial" w:cs="Arial"/>
            <w:kern w:val="0"/>
            <w:sz w:val="20"/>
            <w:szCs w:val="20"/>
            <w:lang w:eastAsia="fr-FR"/>
            <w14:ligatures w14:val="none"/>
          </w:rPr>
          <w:t>https://doi.org/10.1016/S1473-3099(18)30605-4</w:t>
        </w:r>
      </w:hyperlink>
      <w:r w:rsidR="003A3059"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4B20C668" w14:textId="66B23821"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14- </w:t>
      </w:r>
      <w:r w:rsidR="00517416" w:rsidRPr="00523C83">
        <w:rPr>
          <w:rFonts w:ascii="Arial" w:eastAsia="Calibri" w:hAnsi="Arial" w:cs="Arial"/>
          <w:color w:val="000000"/>
          <w:kern w:val="0"/>
          <w:sz w:val="20"/>
          <w:szCs w:val="20"/>
          <w:lang w:eastAsia="fr-FR"/>
          <w14:ligatures w14:val="none"/>
        </w:rPr>
        <w:t xml:space="preserve">Gulliford, M. C., Dregan, A., Moore, M. V., Ashworth, M., van Staa, T., McCann, G., Charlton, J., Yardley, L., Little, P., &amp; McDermott, L. (2014). Continued high rates of antibiotic prescribing to adults with respiratory tract infection: survey of 568 UK general practices. </w:t>
      </w:r>
      <w:r w:rsidR="00517416" w:rsidRPr="00305A4F">
        <w:rPr>
          <w:rFonts w:ascii="Arial" w:eastAsia="Calibri" w:hAnsi="Arial" w:cs="Arial"/>
          <w:color w:val="000000"/>
          <w:kern w:val="0"/>
          <w:sz w:val="20"/>
          <w:szCs w:val="20"/>
          <w:lang w:eastAsia="fr-FR"/>
          <w14:ligatures w14:val="none"/>
        </w:rPr>
        <w:t xml:space="preserve">BMJ Open, 4(10), e006245. </w:t>
      </w:r>
      <w:hyperlink r:id="rId19" w:history="1">
        <w:r w:rsidR="00517416" w:rsidRPr="00305A4F">
          <w:rPr>
            <w:rStyle w:val="Hyperlink"/>
            <w:rFonts w:ascii="Arial" w:eastAsia="Calibri" w:hAnsi="Arial" w:cs="Arial"/>
            <w:kern w:val="0"/>
            <w:sz w:val="20"/>
            <w:szCs w:val="20"/>
            <w:lang w:eastAsia="fr-FR"/>
            <w14:ligatures w14:val="none"/>
          </w:rPr>
          <w:t>https://doi.org/10.1136/bmjopen-2014-006245</w:t>
        </w:r>
      </w:hyperlink>
      <w:r w:rsidR="00517416"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43686809" w14:textId="15E408CA"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15- </w:t>
      </w:r>
      <w:proofErr w:type="spellStart"/>
      <w:r w:rsidR="00B3161D" w:rsidRPr="00523C83">
        <w:rPr>
          <w:rFonts w:ascii="Arial" w:eastAsia="Calibri" w:hAnsi="Arial" w:cs="Arial"/>
          <w:color w:val="000000"/>
          <w:kern w:val="0"/>
          <w:sz w:val="20"/>
          <w:szCs w:val="20"/>
          <w:lang w:eastAsia="fr-FR"/>
          <w14:ligatures w14:val="none"/>
        </w:rPr>
        <w:t>Dolk</w:t>
      </w:r>
      <w:proofErr w:type="spellEnd"/>
      <w:r w:rsidR="00B3161D" w:rsidRPr="00523C83">
        <w:rPr>
          <w:rFonts w:ascii="Arial" w:eastAsia="Calibri" w:hAnsi="Arial" w:cs="Arial"/>
          <w:color w:val="000000"/>
          <w:kern w:val="0"/>
          <w:sz w:val="20"/>
          <w:szCs w:val="20"/>
          <w:lang w:eastAsia="fr-FR"/>
          <w14:ligatures w14:val="none"/>
        </w:rPr>
        <w:t xml:space="preserve">, F. C. K., Pouwels, K. B., Smith, D. R. M., Robotham, J. V., &amp; Smieszek, T. (2018). Antibiotics in primary care in England: which antibiotics are prescribed and for which conditions? </w:t>
      </w:r>
      <w:r w:rsidR="00B3161D" w:rsidRPr="00305A4F">
        <w:rPr>
          <w:rFonts w:ascii="Arial" w:eastAsia="Calibri" w:hAnsi="Arial" w:cs="Arial"/>
          <w:color w:val="000000"/>
          <w:kern w:val="0"/>
          <w:sz w:val="20"/>
          <w:szCs w:val="20"/>
          <w:lang w:eastAsia="fr-FR"/>
          <w14:ligatures w14:val="none"/>
        </w:rPr>
        <w:t xml:space="preserve">Journal of Antimicrobial Chemotherapy, 73(suppl_2), ii2–ii10. </w:t>
      </w:r>
      <w:hyperlink r:id="rId20" w:history="1">
        <w:r w:rsidR="00B3161D" w:rsidRPr="00305A4F">
          <w:rPr>
            <w:rStyle w:val="Hyperlink"/>
            <w:rFonts w:ascii="Arial" w:eastAsia="Calibri" w:hAnsi="Arial" w:cs="Arial"/>
            <w:kern w:val="0"/>
            <w:sz w:val="20"/>
            <w:szCs w:val="20"/>
            <w:lang w:eastAsia="fr-FR"/>
            <w14:ligatures w14:val="none"/>
          </w:rPr>
          <w:t>https://doi.org/10.1093/jac/dkx504</w:t>
        </w:r>
      </w:hyperlink>
      <w:r w:rsidR="00B3161D"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176BFC76" w14:textId="505373D6"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val="it-IT" w:eastAsia="fr-FR"/>
          <w14:ligatures w14:val="none"/>
        </w:rPr>
        <w:t xml:space="preserve">16- </w:t>
      </w:r>
      <w:r w:rsidR="00752A2D" w:rsidRPr="00305A4F">
        <w:rPr>
          <w:rFonts w:ascii="Arial" w:eastAsia="Calibri" w:hAnsi="Arial" w:cs="Arial"/>
          <w:color w:val="000000"/>
          <w:kern w:val="0"/>
          <w:sz w:val="20"/>
          <w:szCs w:val="20"/>
          <w:lang w:val="it-IT" w:eastAsia="fr-FR"/>
          <w14:ligatures w14:val="none"/>
        </w:rPr>
        <w:t xml:space="preserve">Alves Galvão, M. G., Rocha Crispino Santos, M. A., &amp; Alves da Cunha, A. J. (2016). </w:t>
      </w:r>
      <w:r w:rsidR="00752A2D" w:rsidRPr="00305A4F">
        <w:rPr>
          <w:rFonts w:ascii="Arial" w:eastAsia="Calibri" w:hAnsi="Arial" w:cs="Arial"/>
          <w:color w:val="000000"/>
          <w:kern w:val="0"/>
          <w:sz w:val="20"/>
          <w:szCs w:val="20"/>
          <w:lang w:eastAsia="fr-FR"/>
          <w14:ligatures w14:val="none"/>
        </w:rPr>
        <w:t xml:space="preserve">Antibiotics for preventing suppurative complications from undifferentiated acute respiratory infections in children under five years of age. Cochrane Database of Systematic Reviews. </w:t>
      </w:r>
      <w:hyperlink r:id="rId21" w:history="1">
        <w:r w:rsidR="00752A2D" w:rsidRPr="00305A4F">
          <w:rPr>
            <w:rStyle w:val="Hyperlink"/>
            <w:rFonts w:ascii="Arial" w:eastAsia="Calibri" w:hAnsi="Arial" w:cs="Arial"/>
            <w:kern w:val="0"/>
            <w:sz w:val="20"/>
            <w:szCs w:val="20"/>
            <w:lang w:eastAsia="fr-FR"/>
            <w14:ligatures w14:val="none"/>
          </w:rPr>
          <w:t>https://doi.org/10.1002/14651858.CD007880.pub3</w:t>
        </w:r>
      </w:hyperlink>
      <w:r w:rsidR="00752A2D"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24C0F085" w14:textId="3384B8B0"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 </w:t>
      </w:r>
      <w:r w:rsidRPr="00523C83">
        <w:rPr>
          <w:rFonts w:ascii="Arial" w:eastAsia="Calibri" w:hAnsi="Arial" w:cs="Arial"/>
          <w:color w:val="000000"/>
          <w:kern w:val="0"/>
          <w:sz w:val="20"/>
          <w:szCs w:val="20"/>
          <w:lang w:eastAsia="fr-FR"/>
          <w14:ligatures w14:val="none"/>
        </w:rPr>
        <w:t xml:space="preserve">17- </w:t>
      </w:r>
      <w:bookmarkStart w:id="6" w:name="_Hlk210294438"/>
      <w:r w:rsidR="001C1BC3" w:rsidRPr="00523C83">
        <w:rPr>
          <w:rFonts w:ascii="Arial" w:eastAsia="Calibri" w:hAnsi="Arial" w:cs="Arial"/>
          <w:color w:val="000000"/>
          <w:kern w:val="0"/>
          <w:sz w:val="20"/>
          <w:szCs w:val="20"/>
          <w:lang w:eastAsia="fr-FR"/>
          <w14:ligatures w14:val="none"/>
        </w:rPr>
        <w:t xml:space="preserve">Gulliford, M. C., Moore, M. V., Little, P., Hay, A. D., Fox, R., Prevost, A. T., Juszczyk, D., Charlton, J., &amp; Ashworth, M. (2016). Safety of reduced antibiotic prescribing for self limiting respiratory tract infections in primary care: cohort study using electronic health records. </w:t>
      </w:r>
      <w:r w:rsidR="001C1BC3" w:rsidRPr="00305A4F">
        <w:rPr>
          <w:rFonts w:ascii="Arial" w:eastAsia="Calibri" w:hAnsi="Arial" w:cs="Arial"/>
          <w:color w:val="000000"/>
          <w:kern w:val="0"/>
          <w:sz w:val="20"/>
          <w:szCs w:val="20"/>
          <w:lang w:eastAsia="fr-FR"/>
          <w14:ligatures w14:val="none"/>
        </w:rPr>
        <w:t xml:space="preserve">BMJ, 354, i3410. </w:t>
      </w:r>
      <w:hyperlink r:id="rId22" w:history="1">
        <w:r w:rsidR="001C1BC3" w:rsidRPr="00305A4F">
          <w:rPr>
            <w:rStyle w:val="Hyperlink"/>
            <w:rFonts w:ascii="Arial" w:eastAsia="Calibri" w:hAnsi="Arial" w:cs="Arial"/>
            <w:kern w:val="0"/>
            <w:sz w:val="20"/>
            <w:szCs w:val="20"/>
            <w:lang w:eastAsia="fr-FR"/>
            <w14:ligatures w14:val="none"/>
          </w:rPr>
          <w:t>https://doi.org/10.1136/bmj.i3410</w:t>
        </w:r>
      </w:hyperlink>
      <w:r w:rsidR="001C1BC3"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18D7D3E5" w14:textId="0A27B35C"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18- </w:t>
      </w:r>
      <w:bookmarkEnd w:id="6"/>
      <w:proofErr w:type="spellStart"/>
      <w:r w:rsidR="00B412E6" w:rsidRPr="00523C83">
        <w:rPr>
          <w:rFonts w:ascii="Arial" w:eastAsia="Calibri" w:hAnsi="Arial" w:cs="Arial"/>
          <w:color w:val="000000"/>
          <w:kern w:val="0"/>
          <w:sz w:val="20"/>
          <w:szCs w:val="20"/>
          <w:lang w:eastAsia="fr-FR"/>
          <w14:ligatures w14:val="none"/>
        </w:rPr>
        <w:t>Metlay</w:t>
      </w:r>
      <w:proofErr w:type="spellEnd"/>
      <w:r w:rsidR="00B412E6" w:rsidRPr="00523C83">
        <w:rPr>
          <w:rFonts w:ascii="Arial" w:eastAsia="Calibri" w:hAnsi="Arial" w:cs="Arial"/>
          <w:color w:val="000000"/>
          <w:kern w:val="0"/>
          <w:sz w:val="20"/>
          <w:szCs w:val="20"/>
          <w:lang w:eastAsia="fr-FR"/>
          <w14:ligatures w14:val="none"/>
        </w:rPr>
        <w:t xml:space="preserve">, J. P. (2015). Editorial commentary: Setting national targets for antibiotic use. </w:t>
      </w:r>
      <w:r w:rsidR="00B412E6" w:rsidRPr="00305A4F">
        <w:rPr>
          <w:rFonts w:ascii="Arial" w:eastAsia="Calibri" w:hAnsi="Arial" w:cs="Arial"/>
          <w:color w:val="000000"/>
          <w:kern w:val="0"/>
          <w:sz w:val="20"/>
          <w:szCs w:val="20"/>
          <w:lang w:eastAsia="fr-FR"/>
          <w14:ligatures w14:val="none"/>
        </w:rPr>
        <w:t xml:space="preserve">Clinical Infectious Diseases, 60(9), 1317–1318. </w:t>
      </w:r>
      <w:hyperlink r:id="rId23" w:history="1">
        <w:r w:rsidR="00B412E6" w:rsidRPr="00305A4F">
          <w:rPr>
            <w:rStyle w:val="Hyperlink"/>
            <w:rFonts w:ascii="Arial" w:eastAsia="Calibri" w:hAnsi="Arial" w:cs="Arial"/>
            <w:kern w:val="0"/>
            <w:sz w:val="20"/>
            <w:szCs w:val="20"/>
            <w:lang w:eastAsia="fr-FR"/>
            <w14:ligatures w14:val="none"/>
          </w:rPr>
          <w:t>https://doi.org/10.1093/cid/civ081</w:t>
        </w:r>
      </w:hyperlink>
      <w:r w:rsidR="00B412E6"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2AE8A6CC" w14:textId="125DC4FB"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19- </w:t>
      </w:r>
      <w:r w:rsidR="00260EF4" w:rsidRPr="00523C83">
        <w:rPr>
          <w:rFonts w:ascii="Arial" w:eastAsia="Calibri" w:hAnsi="Arial" w:cs="Arial"/>
          <w:color w:val="000000"/>
          <w:kern w:val="0"/>
          <w:sz w:val="20"/>
          <w:szCs w:val="20"/>
          <w:lang w:eastAsia="fr-FR"/>
          <w14:ligatures w14:val="none"/>
        </w:rPr>
        <w:t xml:space="preserve">Low, D. (2008). Reducing antibiotic use in influenza: challenges and rewards. </w:t>
      </w:r>
      <w:r w:rsidR="00260EF4" w:rsidRPr="00305A4F">
        <w:rPr>
          <w:rFonts w:ascii="Arial" w:eastAsia="Calibri" w:hAnsi="Arial" w:cs="Arial"/>
          <w:color w:val="000000"/>
          <w:kern w:val="0"/>
          <w:sz w:val="20"/>
          <w:szCs w:val="20"/>
          <w:lang w:eastAsia="fr-FR"/>
          <w14:ligatures w14:val="none"/>
        </w:rPr>
        <w:t xml:space="preserve">Clinical Microbiology and Infection, 14(4), 298–306. </w:t>
      </w:r>
      <w:hyperlink r:id="rId24" w:history="1">
        <w:r w:rsidR="00260EF4" w:rsidRPr="00305A4F">
          <w:rPr>
            <w:rStyle w:val="Hyperlink"/>
            <w:rFonts w:ascii="Arial" w:eastAsia="Calibri" w:hAnsi="Arial" w:cs="Arial"/>
            <w:kern w:val="0"/>
            <w:sz w:val="20"/>
            <w:szCs w:val="20"/>
            <w:lang w:eastAsia="fr-FR"/>
            <w14:ligatures w14:val="none"/>
          </w:rPr>
          <w:t>https://doi.org/10.1111/j.1469-0691.2007.01910.x</w:t>
        </w:r>
      </w:hyperlink>
      <w:r w:rsidR="00260EF4"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3A53B933" w14:textId="388DA114"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 xml:space="preserve">20- </w:t>
      </w:r>
      <w:r w:rsidR="00F442C7" w:rsidRPr="00523C83">
        <w:rPr>
          <w:rFonts w:ascii="Arial" w:eastAsia="Calibri" w:hAnsi="Arial" w:cs="Arial"/>
          <w:color w:val="000000"/>
          <w:kern w:val="0"/>
          <w:sz w:val="20"/>
          <w:szCs w:val="20"/>
          <w:lang w:eastAsia="fr-FR"/>
          <w14:ligatures w14:val="none"/>
        </w:rPr>
        <w:t xml:space="preserve">Dobson, J., Whitley, R. J., Pocock, S., &amp; Monto, A. S. (2015). Oseltamivir treatment for influenza in adults: a meta-analysis of randomised controlled trials. </w:t>
      </w:r>
      <w:r w:rsidR="00F442C7" w:rsidRPr="00305A4F">
        <w:rPr>
          <w:rFonts w:ascii="Arial" w:eastAsia="Calibri" w:hAnsi="Arial" w:cs="Arial"/>
          <w:color w:val="000000"/>
          <w:kern w:val="0"/>
          <w:sz w:val="20"/>
          <w:szCs w:val="20"/>
          <w:lang w:eastAsia="fr-FR"/>
          <w14:ligatures w14:val="none"/>
        </w:rPr>
        <w:t xml:space="preserve">Lancet, 385(9979), 1729–1737. </w:t>
      </w:r>
      <w:hyperlink r:id="rId25" w:history="1">
        <w:r w:rsidR="00F442C7" w:rsidRPr="00305A4F">
          <w:rPr>
            <w:rStyle w:val="Hyperlink"/>
            <w:rFonts w:ascii="Arial" w:eastAsia="Calibri" w:hAnsi="Arial" w:cs="Arial"/>
            <w:kern w:val="0"/>
            <w:sz w:val="20"/>
            <w:szCs w:val="20"/>
            <w:lang w:eastAsia="fr-FR"/>
            <w14:ligatures w14:val="none"/>
          </w:rPr>
          <w:t>https://doi.org/10.1016/S0140-6736(14)62449-1</w:t>
        </w:r>
      </w:hyperlink>
      <w:r w:rsidR="00F442C7"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38F4B23E" w14:textId="3BF60B5C"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305A4F">
        <w:rPr>
          <w:rFonts w:ascii="Arial" w:eastAsia="Calibri" w:hAnsi="Arial" w:cs="Arial"/>
          <w:color w:val="000000"/>
          <w:kern w:val="0"/>
          <w:sz w:val="20"/>
          <w:szCs w:val="20"/>
          <w:lang w:eastAsia="fr-FR"/>
          <w14:ligatures w14:val="none"/>
        </w:rPr>
        <w:t xml:space="preserve">21- </w:t>
      </w:r>
      <w:r w:rsidR="00D87C94" w:rsidRPr="00305A4F">
        <w:rPr>
          <w:rFonts w:ascii="Arial" w:eastAsia="Calibri" w:hAnsi="Arial" w:cs="Arial"/>
          <w:color w:val="000000"/>
          <w:kern w:val="0"/>
          <w:sz w:val="20"/>
          <w:szCs w:val="20"/>
          <w:lang w:eastAsia="fr-FR"/>
          <w14:ligatures w14:val="none"/>
        </w:rPr>
        <w:t xml:space="preserve">Mousa, H. A.-L. (2017). Prevention and treatment of influenza, influenza-like illness, and common cold by herbal, complementary, and natural therapies. Journal of Evidence-Based Complementary &amp; Alternative Medicine, 22(1), 166–174. </w:t>
      </w:r>
      <w:hyperlink r:id="rId26" w:history="1">
        <w:r w:rsidR="00D87C94" w:rsidRPr="00305A4F">
          <w:rPr>
            <w:rStyle w:val="Hyperlink"/>
            <w:rFonts w:ascii="Arial" w:eastAsia="Calibri" w:hAnsi="Arial" w:cs="Arial"/>
            <w:kern w:val="0"/>
            <w:sz w:val="20"/>
            <w:szCs w:val="20"/>
            <w:lang w:eastAsia="fr-FR"/>
            <w14:ligatures w14:val="none"/>
          </w:rPr>
          <w:t>https://doi.org/10.1177/2156587216641831</w:t>
        </w:r>
      </w:hyperlink>
      <w:r w:rsidR="00D87C94"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1EF357C7" w14:textId="77777777" w:rsidR="00F0198B" w:rsidRPr="00F0198B" w:rsidRDefault="00F0198B" w:rsidP="00F0198B">
      <w:pPr>
        <w:spacing w:after="0" w:line="240" w:lineRule="auto"/>
        <w:ind w:left="10" w:hanging="10"/>
        <w:jc w:val="both"/>
        <w:rPr>
          <w:rFonts w:ascii="Arial" w:eastAsia="Calibri" w:hAnsi="Arial" w:cs="Arial"/>
          <w:color w:val="000000"/>
          <w:kern w:val="0"/>
          <w:sz w:val="20"/>
          <w:szCs w:val="20"/>
          <w:lang w:val="fr-FR" w:eastAsia="fr-FR"/>
          <w14:ligatures w14:val="none"/>
        </w:rPr>
      </w:pPr>
      <w:r w:rsidRPr="00F0198B">
        <w:rPr>
          <w:rFonts w:ascii="Arial" w:eastAsia="Calibri" w:hAnsi="Arial" w:cs="Arial"/>
          <w:color w:val="000000"/>
          <w:kern w:val="0"/>
          <w:sz w:val="20"/>
          <w:szCs w:val="20"/>
          <w:lang w:eastAsia="fr-FR"/>
          <w14:ligatures w14:val="none"/>
        </w:rPr>
        <w:t xml:space="preserve">22- Keita M.B., </w:t>
      </w:r>
      <w:proofErr w:type="spellStart"/>
      <w:r w:rsidRPr="00F0198B">
        <w:rPr>
          <w:rFonts w:ascii="Arial" w:eastAsia="Calibri" w:hAnsi="Arial" w:cs="Arial"/>
          <w:color w:val="000000"/>
          <w:kern w:val="0"/>
          <w:sz w:val="20"/>
          <w:szCs w:val="20"/>
          <w:lang w:eastAsia="fr-FR"/>
          <w14:ligatures w14:val="none"/>
        </w:rPr>
        <w:t>Sampou</w:t>
      </w:r>
      <w:proofErr w:type="spellEnd"/>
      <w:r w:rsidRPr="00F0198B">
        <w:rPr>
          <w:rFonts w:ascii="Arial" w:eastAsia="Calibri" w:hAnsi="Arial" w:cs="Arial"/>
          <w:color w:val="000000"/>
          <w:kern w:val="0"/>
          <w:sz w:val="20"/>
          <w:szCs w:val="20"/>
          <w:lang w:eastAsia="fr-FR"/>
          <w14:ligatures w14:val="none"/>
        </w:rPr>
        <w:t xml:space="preserve"> M.A., Barry A.O., Conde M., </w:t>
      </w:r>
      <w:proofErr w:type="spellStart"/>
      <w:r w:rsidRPr="00F0198B">
        <w:rPr>
          <w:rFonts w:ascii="Arial" w:eastAsia="Calibri" w:hAnsi="Arial" w:cs="Arial"/>
          <w:color w:val="000000"/>
          <w:kern w:val="0"/>
          <w:sz w:val="20"/>
          <w:szCs w:val="20"/>
          <w:lang w:eastAsia="fr-FR"/>
          <w14:ligatures w14:val="none"/>
        </w:rPr>
        <w:t>Felano</w:t>
      </w:r>
      <w:proofErr w:type="spellEnd"/>
      <w:r w:rsidRPr="00F0198B">
        <w:rPr>
          <w:rFonts w:ascii="Arial" w:eastAsia="Calibri" w:hAnsi="Arial" w:cs="Arial"/>
          <w:color w:val="000000"/>
          <w:kern w:val="0"/>
          <w:sz w:val="20"/>
          <w:szCs w:val="20"/>
          <w:lang w:eastAsia="fr-FR"/>
          <w14:ligatures w14:val="none"/>
        </w:rPr>
        <w:t xml:space="preserve"> P., Soumare M., Traore B., </w:t>
      </w:r>
      <w:proofErr w:type="spellStart"/>
      <w:r w:rsidRPr="00F0198B">
        <w:rPr>
          <w:rFonts w:ascii="Arial" w:eastAsia="Calibri" w:hAnsi="Arial" w:cs="Arial"/>
          <w:color w:val="000000"/>
          <w:kern w:val="0"/>
          <w:sz w:val="20"/>
          <w:szCs w:val="20"/>
          <w:lang w:eastAsia="fr-FR"/>
          <w14:ligatures w14:val="none"/>
        </w:rPr>
        <w:t>Tohonamou</w:t>
      </w:r>
      <w:proofErr w:type="spellEnd"/>
      <w:r w:rsidRPr="00F0198B">
        <w:rPr>
          <w:rFonts w:ascii="Arial" w:eastAsia="Calibri" w:hAnsi="Arial" w:cs="Arial"/>
          <w:color w:val="000000"/>
          <w:kern w:val="0"/>
          <w:sz w:val="20"/>
          <w:szCs w:val="20"/>
          <w:lang w:eastAsia="fr-FR"/>
          <w14:ligatures w14:val="none"/>
        </w:rPr>
        <w:t xml:space="preserve"> P., Kourouma K. &amp; Traore F.A. (2025). </w:t>
      </w:r>
      <w:r w:rsidRPr="00F0198B">
        <w:rPr>
          <w:rFonts w:ascii="Arial" w:eastAsia="Calibri" w:hAnsi="Arial" w:cs="Arial"/>
          <w:i/>
          <w:iCs/>
          <w:color w:val="000000"/>
          <w:kern w:val="0"/>
          <w:sz w:val="20"/>
          <w:szCs w:val="20"/>
          <w:lang w:val="fr-FR" w:eastAsia="fr-FR"/>
          <w14:ligatures w14:val="none"/>
        </w:rPr>
        <w:t xml:space="preserve">Etude de la </w:t>
      </w:r>
      <w:proofErr w:type="spellStart"/>
      <w:r w:rsidRPr="00F0198B">
        <w:rPr>
          <w:rFonts w:ascii="Arial" w:eastAsia="Calibri" w:hAnsi="Arial" w:cs="Arial"/>
          <w:i/>
          <w:iCs/>
          <w:color w:val="000000"/>
          <w:kern w:val="0"/>
          <w:sz w:val="20"/>
          <w:szCs w:val="20"/>
          <w:lang w:val="fr-FR" w:eastAsia="fr-FR"/>
          <w14:ligatures w14:val="none"/>
        </w:rPr>
        <w:t>co</w:t>
      </w:r>
      <w:proofErr w:type="spellEnd"/>
      <w:r w:rsidRPr="00F0198B">
        <w:rPr>
          <w:rFonts w:ascii="Arial" w:eastAsia="Calibri" w:hAnsi="Arial" w:cs="Arial"/>
          <w:i/>
          <w:iCs/>
          <w:color w:val="000000"/>
          <w:kern w:val="0"/>
          <w:sz w:val="20"/>
          <w:szCs w:val="20"/>
          <w:lang w:val="fr-FR" w:eastAsia="fr-FR"/>
          <w14:ligatures w14:val="none"/>
        </w:rPr>
        <w:t xml:space="preserve">-circulation des virus Grippaux et SARSCoV-2 dans les sites sentinelles d’Infection Respiratoire Aigüe Sévère de la Grippe en République de Guinée. </w:t>
      </w:r>
      <w:r w:rsidRPr="00F0198B">
        <w:rPr>
          <w:rFonts w:ascii="Arial" w:eastAsia="Calibri" w:hAnsi="Arial" w:cs="Arial"/>
          <w:color w:val="000000"/>
          <w:kern w:val="0"/>
          <w:sz w:val="20"/>
          <w:szCs w:val="20"/>
          <w:lang w:val="fr-FR" w:eastAsia="fr-FR"/>
          <w14:ligatures w14:val="none"/>
        </w:rPr>
        <w:t xml:space="preserve">ESI </w:t>
      </w:r>
      <w:proofErr w:type="spellStart"/>
      <w:r w:rsidRPr="00F0198B">
        <w:rPr>
          <w:rFonts w:ascii="Arial" w:eastAsia="Calibri" w:hAnsi="Arial" w:cs="Arial"/>
          <w:color w:val="000000"/>
          <w:kern w:val="0"/>
          <w:sz w:val="20"/>
          <w:szCs w:val="20"/>
          <w:lang w:val="fr-FR" w:eastAsia="fr-FR"/>
          <w14:ligatures w14:val="none"/>
        </w:rPr>
        <w:t>Preprints</w:t>
      </w:r>
      <w:proofErr w:type="spellEnd"/>
      <w:r w:rsidRPr="00F0198B">
        <w:rPr>
          <w:rFonts w:ascii="Arial" w:eastAsia="Calibri" w:hAnsi="Arial" w:cs="Arial"/>
          <w:color w:val="000000"/>
          <w:kern w:val="0"/>
          <w:sz w:val="20"/>
          <w:szCs w:val="20"/>
          <w:lang w:val="fr-FR" w:eastAsia="fr-FR"/>
          <w14:ligatures w14:val="none"/>
        </w:rPr>
        <w:t>. https://doi.org/10.19044/esipreprint.5.2025.p187</w:t>
      </w:r>
    </w:p>
    <w:p w14:paraId="787B360C" w14:textId="77777777" w:rsidR="00F0198B" w:rsidRPr="00F0198B" w:rsidRDefault="00F0198B" w:rsidP="00F0198B">
      <w:pPr>
        <w:spacing w:after="0" w:line="240" w:lineRule="auto"/>
        <w:ind w:left="10" w:hanging="10"/>
        <w:jc w:val="both"/>
        <w:rPr>
          <w:rFonts w:ascii="Arial" w:eastAsia="Calibri" w:hAnsi="Arial" w:cs="Arial"/>
          <w:color w:val="000000"/>
          <w:kern w:val="0"/>
          <w:sz w:val="20"/>
          <w:szCs w:val="20"/>
          <w:lang w:val="fr-FR" w:eastAsia="fr-FR"/>
          <w14:ligatures w14:val="none"/>
        </w:rPr>
      </w:pPr>
      <w:r w:rsidRPr="00F0198B">
        <w:rPr>
          <w:rFonts w:ascii="Arial" w:eastAsia="Calibri" w:hAnsi="Arial" w:cs="Arial"/>
          <w:color w:val="000000"/>
          <w:kern w:val="0"/>
          <w:sz w:val="20"/>
          <w:szCs w:val="20"/>
          <w:lang w:val="fr-FR" w:eastAsia="fr-FR"/>
          <w14:ligatures w14:val="none"/>
        </w:rPr>
        <w:t xml:space="preserve">23- République de Guinée, Ministère de la Santé, Expertise France, Banque mondiale, Organisation mondiale de la Santé (OMS), Organisation mondiale de la santé animale (OIE), Organisation des Nations Unies pour l’alimentation et l’agriculture (FAO). </w:t>
      </w:r>
      <w:r w:rsidRPr="00F0198B">
        <w:rPr>
          <w:rFonts w:ascii="Arial" w:eastAsia="Calibri" w:hAnsi="Arial" w:cs="Arial"/>
          <w:i/>
          <w:iCs/>
          <w:color w:val="000000"/>
          <w:kern w:val="0"/>
          <w:sz w:val="20"/>
          <w:szCs w:val="20"/>
          <w:lang w:val="fr-FR" w:eastAsia="fr-FR"/>
          <w14:ligatures w14:val="none"/>
        </w:rPr>
        <w:t>Plan d’action national multisectoriel de lutte contre la résistance aux antimicrobiens en Guinée</w:t>
      </w:r>
      <w:r w:rsidRPr="00F0198B">
        <w:rPr>
          <w:rFonts w:ascii="Arial" w:eastAsia="Calibri" w:hAnsi="Arial" w:cs="Arial"/>
          <w:color w:val="000000"/>
          <w:kern w:val="0"/>
          <w:sz w:val="20"/>
          <w:szCs w:val="20"/>
          <w:lang w:val="fr-FR" w:eastAsia="fr-FR"/>
          <w14:ligatures w14:val="none"/>
        </w:rPr>
        <w:t xml:space="preserve"> : Ministère de la Santé ; juin 2021 Disponible à : </w:t>
      </w:r>
      <w:hyperlink r:id="rId27" w:tgtFrame="_new" w:history="1">
        <w:r w:rsidRPr="00F0198B">
          <w:rPr>
            <w:rStyle w:val="Hyperlink"/>
            <w:rFonts w:ascii="Arial" w:eastAsia="Calibri" w:hAnsi="Arial" w:cs="Arial"/>
            <w:kern w:val="0"/>
            <w:sz w:val="20"/>
            <w:szCs w:val="20"/>
            <w:lang w:val="fr-FR" w:eastAsia="fr-FR"/>
            <w14:ligatures w14:val="none"/>
          </w:rPr>
          <w:t>https://pasa2.sante.gov.gn/documents/plan-daction-national-multisectoriel-de-lutte-contre-la-resistance-aux-antimicrobiens-en-guinee-ms-ef-bm-oms-oie-fao-6-2021/</w:t>
        </w:r>
      </w:hyperlink>
      <w:r w:rsidRPr="00F0198B">
        <w:rPr>
          <w:rFonts w:ascii="Arial" w:eastAsia="Calibri" w:hAnsi="Arial" w:cs="Arial"/>
          <w:color w:val="000000"/>
          <w:kern w:val="0"/>
          <w:sz w:val="20"/>
          <w:szCs w:val="20"/>
          <w:lang w:val="fr-FR" w:eastAsia="fr-FR"/>
          <w14:ligatures w14:val="none"/>
        </w:rPr>
        <w:t xml:space="preserve"> </w:t>
      </w:r>
      <w:bookmarkStart w:id="7" w:name="_Hlk210552393"/>
      <w:r w:rsidRPr="00F0198B">
        <w:rPr>
          <w:rFonts w:ascii="Arial" w:eastAsia="Calibri" w:hAnsi="Arial" w:cs="Arial"/>
          <w:color w:val="000000"/>
          <w:kern w:val="0"/>
          <w:sz w:val="20"/>
          <w:szCs w:val="20"/>
          <w:lang w:val="fr-FR" w:eastAsia="fr-FR"/>
          <w14:ligatures w14:val="none"/>
        </w:rPr>
        <w:t>Consulté le 15 Novembre 2025.</w:t>
      </w:r>
    </w:p>
    <w:bookmarkEnd w:id="7"/>
    <w:p w14:paraId="29D55283" w14:textId="77777777" w:rsidR="00F0198B" w:rsidRPr="00F0198B" w:rsidRDefault="00F0198B" w:rsidP="00F0198B">
      <w:pPr>
        <w:spacing w:after="0" w:line="240" w:lineRule="auto"/>
        <w:ind w:left="10" w:hanging="10"/>
        <w:jc w:val="both"/>
        <w:rPr>
          <w:rFonts w:ascii="Arial" w:eastAsia="Calibri" w:hAnsi="Arial" w:cs="Arial"/>
          <w:color w:val="000000"/>
          <w:kern w:val="0"/>
          <w:sz w:val="20"/>
          <w:szCs w:val="20"/>
          <w:lang w:eastAsia="fr-FR"/>
          <w14:ligatures w14:val="none"/>
        </w:rPr>
      </w:pPr>
      <w:r w:rsidRPr="00F0198B">
        <w:rPr>
          <w:rFonts w:ascii="Arial" w:eastAsia="Calibri" w:hAnsi="Arial" w:cs="Arial"/>
          <w:color w:val="000000"/>
          <w:kern w:val="0"/>
          <w:sz w:val="20"/>
          <w:szCs w:val="20"/>
          <w:lang w:eastAsia="fr-FR"/>
          <w14:ligatures w14:val="none"/>
        </w:rPr>
        <w:t xml:space="preserve">24- </w:t>
      </w:r>
      <w:proofErr w:type="spellStart"/>
      <w:r w:rsidRPr="00F0198B">
        <w:rPr>
          <w:rFonts w:ascii="Arial" w:eastAsia="Calibri" w:hAnsi="Arial" w:cs="Arial"/>
          <w:color w:val="000000"/>
          <w:kern w:val="0"/>
          <w:sz w:val="20"/>
          <w:szCs w:val="20"/>
          <w:lang w:eastAsia="fr-FR"/>
          <w14:ligatures w14:val="none"/>
        </w:rPr>
        <w:t>Gnimadi</w:t>
      </w:r>
      <w:proofErr w:type="spellEnd"/>
      <w:r w:rsidRPr="00F0198B">
        <w:rPr>
          <w:rFonts w:ascii="Arial" w:eastAsia="Calibri" w:hAnsi="Arial" w:cs="Arial"/>
          <w:color w:val="000000"/>
          <w:kern w:val="0"/>
          <w:sz w:val="20"/>
          <w:szCs w:val="20"/>
          <w:lang w:eastAsia="fr-FR"/>
          <w14:ligatures w14:val="none"/>
        </w:rPr>
        <w:t xml:space="preserve"> TA, </w:t>
      </w:r>
      <w:proofErr w:type="spellStart"/>
      <w:r w:rsidRPr="00F0198B">
        <w:rPr>
          <w:rFonts w:ascii="Arial" w:eastAsia="Calibri" w:hAnsi="Arial" w:cs="Arial"/>
          <w:color w:val="000000"/>
          <w:kern w:val="0"/>
          <w:sz w:val="20"/>
          <w:szCs w:val="20"/>
          <w:lang w:eastAsia="fr-FR"/>
          <w14:ligatures w14:val="none"/>
        </w:rPr>
        <w:t>Kadio</w:t>
      </w:r>
      <w:proofErr w:type="spellEnd"/>
      <w:r w:rsidRPr="00F0198B">
        <w:rPr>
          <w:rFonts w:ascii="Arial" w:eastAsia="Calibri" w:hAnsi="Arial" w:cs="Arial"/>
          <w:color w:val="000000"/>
          <w:kern w:val="0"/>
          <w:sz w:val="20"/>
          <w:szCs w:val="20"/>
          <w:lang w:eastAsia="fr-FR"/>
          <w14:ligatures w14:val="none"/>
        </w:rPr>
        <w:t xml:space="preserve"> OJK, </w:t>
      </w:r>
      <w:proofErr w:type="spellStart"/>
      <w:r w:rsidRPr="00F0198B">
        <w:rPr>
          <w:rFonts w:ascii="Arial" w:eastAsia="Calibri" w:hAnsi="Arial" w:cs="Arial"/>
          <w:color w:val="000000"/>
          <w:kern w:val="0"/>
          <w:sz w:val="20"/>
          <w:szCs w:val="20"/>
          <w:lang w:eastAsia="fr-FR"/>
          <w14:ligatures w14:val="none"/>
        </w:rPr>
        <w:t>Camara</w:t>
      </w:r>
      <w:proofErr w:type="spellEnd"/>
      <w:r w:rsidRPr="00F0198B">
        <w:rPr>
          <w:rFonts w:ascii="Arial" w:eastAsia="Calibri" w:hAnsi="Arial" w:cs="Arial"/>
          <w:color w:val="000000"/>
          <w:kern w:val="0"/>
          <w:sz w:val="20"/>
          <w:szCs w:val="20"/>
          <w:lang w:eastAsia="fr-FR"/>
          <w14:ligatures w14:val="none"/>
        </w:rPr>
        <w:t xml:space="preserve"> A, </w:t>
      </w:r>
      <w:proofErr w:type="spellStart"/>
      <w:r w:rsidRPr="00F0198B">
        <w:rPr>
          <w:rFonts w:ascii="Arial" w:eastAsia="Calibri" w:hAnsi="Arial" w:cs="Arial"/>
          <w:color w:val="000000"/>
          <w:kern w:val="0"/>
          <w:sz w:val="20"/>
          <w:szCs w:val="20"/>
          <w:lang w:eastAsia="fr-FR"/>
          <w14:ligatures w14:val="none"/>
        </w:rPr>
        <w:t>Hounmenou</w:t>
      </w:r>
      <w:proofErr w:type="spellEnd"/>
      <w:r w:rsidRPr="00F0198B">
        <w:rPr>
          <w:rFonts w:ascii="Arial" w:eastAsia="Calibri" w:hAnsi="Arial" w:cs="Arial"/>
          <w:color w:val="000000"/>
          <w:kern w:val="0"/>
          <w:sz w:val="20"/>
          <w:szCs w:val="20"/>
          <w:lang w:eastAsia="fr-FR"/>
          <w14:ligatures w14:val="none"/>
        </w:rPr>
        <w:t xml:space="preserve"> CG, </w:t>
      </w:r>
      <w:proofErr w:type="spellStart"/>
      <w:r w:rsidRPr="00F0198B">
        <w:rPr>
          <w:rFonts w:ascii="Arial" w:eastAsia="Calibri" w:hAnsi="Arial" w:cs="Arial"/>
          <w:color w:val="000000"/>
          <w:kern w:val="0"/>
          <w:sz w:val="20"/>
          <w:szCs w:val="20"/>
          <w:lang w:eastAsia="fr-FR"/>
          <w14:ligatures w14:val="none"/>
        </w:rPr>
        <w:t>Camara</w:t>
      </w:r>
      <w:proofErr w:type="spellEnd"/>
      <w:r w:rsidRPr="00F0198B">
        <w:rPr>
          <w:rFonts w:ascii="Arial" w:eastAsia="Calibri" w:hAnsi="Arial" w:cs="Arial"/>
          <w:color w:val="000000"/>
          <w:kern w:val="0"/>
          <w:sz w:val="20"/>
          <w:szCs w:val="20"/>
          <w:lang w:eastAsia="fr-FR"/>
          <w14:ligatures w14:val="none"/>
        </w:rPr>
        <w:t xml:space="preserve"> SC, Bangoura ST et al. Prevalence and patterns of antibiotic prescriptions in Conakry hospitals, Guinea: a </w:t>
      </w:r>
      <w:proofErr w:type="spellStart"/>
      <w:r w:rsidRPr="00F0198B">
        <w:rPr>
          <w:rFonts w:ascii="Arial" w:eastAsia="Calibri" w:hAnsi="Arial" w:cs="Arial"/>
          <w:color w:val="000000"/>
          <w:kern w:val="0"/>
          <w:sz w:val="20"/>
          <w:szCs w:val="20"/>
          <w:lang w:eastAsia="fr-FR"/>
          <w14:ligatures w14:val="none"/>
        </w:rPr>
        <w:t>multicentre</w:t>
      </w:r>
      <w:proofErr w:type="spellEnd"/>
      <w:r w:rsidRPr="00F0198B">
        <w:rPr>
          <w:rFonts w:ascii="Arial" w:eastAsia="Calibri" w:hAnsi="Arial" w:cs="Arial"/>
          <w:color w:val="000000"/>
          <w:kern w:val="0"/>
          <w:sz w:val="20"/>
          <w:szCs w:val="20"/>
          <w:lang w:eastAsia="fr-FR"/>
          <w14:ligatures w14:val="none"/>
        </w:rPr>
        <w:t xml:space="preserve"> cross-sectional survey. JAC-</w:t>
      </w:r>
      <w:proofErr w:type="spellStart"/>
      <w:r w:rsidRPr="00F0198B">
        <w:rPr>
          <w:rFonts w:ascii="Arial" w:eastAsia="Calibri" w:hAnsi="Arial" w:cs="Arial"/>
          <w:color w:val="000000"/>
          <w:kern w:val="0"/>
          <w:sz w:val="20"/>
          <w:szCs w:val="20"/>
          <w:lang w:eastAsia="fr-FR"/>
          <w14:ligatures w14:val="none"/>
        </w:rPr>
        <w:t>Antimicrob</w:t>
      </w:r>
      <w:proofErr w:type="spellEnd"/>
      <w:r w:rsidRPr="00F0198B">
        <w:rPr>
          <w:rFonts w:ascii="Arial" w:eastAsia="Calibri" w:hAnsi="Arial" w:cs="Arial"/>
          <w:color w:val="000000"/>
          <w:kern w:val="0"/>
          <w:sz w:val="20"/>
          <w:szCs w:val="20"/>
          <w:lang w:eastAsia="fr-FR"/>
          <w14:ligatures w14:val="none"/>
        </w:rPr>
        <w:t xml:space="preserve"> Resist. 2025 Nov 20;7(6</w:t>
      </w:r>
      <w:proofErr w:type="gramStart"/>
      <w:r w:rsidRPr="00F0198B">
        <w:rPr>
          <w:rFonts w:ascii="Arial" w:eastAsia="Calibri" w:hAnsi="Arial" w:cs="Arial"/>
          <w:color w:val="000000"/>
          <w:kern w:val="0"/>
          <w:sz w:val="20"/>
          <w:szCs w:val="20"/>
          <w:lang w:eastAsia="fr-FR"/>
          <w14:ligatures w14:val="none"/>
        </w:rPr>
        <w:t>):dlaf</w:t>
      </w:r>
      <w:proofErr w:type="gramEnd"/>
      <w:r w:rsidRPr="00F0198B">
        <w:rPr>
          <w:rFonts w:ascii="Arial" w:eastAsia="Calibri" w:hAnsi="Arial" w:cs="Arial"/>
          <w:color w:val="000000"/>
          <w:kern w:val="0"/>
          <w:sz w:val="20"/>
          <w:szCs w:val="20"/>
          <w:lang w:eastAsia="fr-FR"/>
          <w14:ligatures w14:val="none"/>
        </w:rPr>
        <w:t>223. doi:10.1093/</w:t>
      </w:r>
      <w:proofErr w:type="spellStart"/>
      <w:r w:rsidRPr="00F0198B">
        <w:rPr>
          <w:rFonts w:ascii="Arial" w:eastAsia="Calibri" w:hAnsi="Arial" w:cs="Arial"/>
          <w:color w:val="000000"/>
          <w:kern w:val="0"/>
          <w:sz w:val="20"/>
          <w:szCs w:val="20"/>
          <w:lang w:eastAsia="fr-FR"/>
          <w14:ligatures w14:val="none"/>
        </w:rPr>
        <w:t>jacamr</w:t>
      </w:r>
      <w:proofErr w:type="spellEnd"/>
      <w:r w:rsidRPr="00F0198B">
        <w:rPr>
          <w:rFonts w:ascii="Arial" w:eastAsia="Calibri" w:hAnsi="Arial" w:cs="Arial"/>
          <w:color w:val="000000"/>
          <w:kern w:val="0"/>
          <w:sz w:val="20"/>
          <w:szCs w:val="20"/>
          <w:lang w:eastAsia="fr-FR"/>
          <w14:ligatures w14:val="none"/>
        </w:rPr>
        <w:t>/dlaf223</w:t>
      </w:r>
    </w:p>
    <w:p w14:paraId="17A59863" w14:textId="5423F884" w:rsidR="00F0198B" w:rsidRDefault="00F0198B" w:rsidP="00243D3F">
      <w:pPr>
        <w:spacing w:after="0" w:line="240" w:lineRule="auto"/>
        <w:ind w:left="10" w:hanging="10"/>
        <w:jc w:val="both"/>
        <w:rPr>
          <w:rFonts w:ascii="Arial" w:eastAsia="Calibri" w:hAnsi="Arial" w:cs="Arial"/>
          <w:color w:val="000000"/>
          <w:kern w:val="0"/>
          <w:sz w:val="20"/>
          <w:szCs w:val="20"/>
          <w:lang w:eastAsia="fr-FR"/>
          <w14:ligatures w14:val="none"/>
        </w:rPr>
      </w:pPr>
      <w:r w:rsidRPr="00F0198B">
        <w:rPr>
          <w:rFonts w:ascii="Arial" w:eastAsia="Calibri" w:hAnsi="Arial" w:cs="Arial"/>
          <w:color w:val="000000"/>
          <w:kern w:val="0"/>
          <w:sz w:val="20"/>
          <w:szCs w:val="20"/>
          <w:lang w:eastAsia="fr-FR"/>
          <w14:ligatures w14:val="none"/>
        </w:rPr>
        <w:t xml:space="preserve">25- </w:t>
      </w:r>
      <w:proofErr w:type="spellStart"/>
      <w:r w:rsidRPr="00F0198B">
        <w:rPr>
          <w:rFonts w:ascii="Arial" w:eastAsia="Calibri" w:hAnsi="Arial" w:cs="Arial"/>
          <w:color w:val="000000"/>
          <w:kern w:val="0"/>
          <w:sz w:val="20"/>
          <w:szCs w:val="20"/>
          <w:lang w:eastAsia="fr-FR"/>
          <w14:ligatures w14:val="none"/>
        </w:rPr>
        <w:t>Dia</w:t>
      </w:r>
      <w:proofErr w:type="spellEnd"/>
      <w:r w:rsidRPr="00F0198B">
        <w:rPr>
          <w:rFonts w:ascii="Arial" w:eastAsia="Calibri" w:hAnsi="Arial" w:cs="Arial"/>
          <w:color w:val="000000"/>
          <w:kern w:val="0"/>
          <w:sz w:val="20"/>
          <w:szCs w:val="20"/>
          <w:lang w:eastAsia="fr-FR"/>
          <w14:ligatures w14:val="none"/>
        </w:rPr>
        <w:t xml:space="preserve"> N, Diene </w:t>
      </w:r>
      <w:proofErr w:type="spellStart"/>
      <w:r w:rsidRPr="00F0198B">
        <w:rPr>
          <w:rFonts w:ascii="Arial" w:eastAsia="Calibri" w:hAnsi="Arial" w:cs="Arial"/>
          <w:color w:val="000000"/>
          <w:kern w:val="0"/>
          <w:sz w:val="20"/>
          <w:szCs w:val="20"/>
          <w:lang w:eastAsia="fr-FR"/>
          <w14:ligatures w14:val="none"/>
        </w:rPr>
        <w:t>Sarr</w:t>
      </w:r>
      <w:proofErr w:type="spellEnd"/>
      <w:r w:rsidRPr="00F0198B">
        <w:rPr>
          <w:rFonts w:ascii="Arial" w:eastAsia="Calibri" w:hAnsi="Arial" w:cs="Arial"/>
          <w:color w:val="000000"/>
          <w:kern w:val="0"/>
          <w:sz w:val="20"/>
          <w:szCs w:val="20"/>
          <w:lang w:eastAsia="fr-FR"/>
          <w14:ligatures w14:val="none"/>
        </w:rPr>
        <w:t xml:space="preserve"> F, Thiam D, Faye </w:t>
      </w:r>
      <w:proofErr w:type="spellStart"/>
      <w:r w:rsidRPr="00F0198B">
        <w:rPr>
          <w:rFonts w:ascii="Arial" w:eastAsia="Calibri" w:hAnsi="Arial" w:cs="Arial"/>
          <w:color w:val="000000"/>
          <w:kern w:val="0"/>
          <w:sz w:val="20"/>
          <w:szCs w:val="20"/>
          <w:lang w:eastAsia="fr-FR"/>
          <w14:ligatures w14:val="none"/>
        </w:rPr>
        <w:t>Sarr</w:t>
      </w:r>
      <w:proofErr w:type="spellEnd"/>
      <w:r w:rsidRPr="00F0198B">
        <w:rPr>
          <w:rFonts w:ascii="Arial" w:eastAsia="Calibri" w:hAnsi="Arial" w:cs="Arial"/>
          <w:color w:val="000000"/>
          <w:kern w:val="0"/>
          <w:sz w:val="20"/>
          <w:szCs w:val="20"/>
          <w:lang w:eastAsia="fr-FR"/>
          <w14:ligatures w14:val="none"/>
        </w:rPr>
        <w:t xml:space="preserve"> T, </w:t>
      </w:r>
      <w:proofErr w:type="spellStart"/>
      <w:r w:rsidRPr="00F0198B">
        <w:rPr>
          <w:rFonts w:ascii="Arial" w:eastAsia="Calibri" w:hAnsi="Arial" w:cs="Arial"/>
          <w:color w:val="000000"/>
          <w:kern w:val="0"/>
          <w:sz w:val="20"/>
          <w:szCs w:val="20"/>
          <w:lang w:eastAsia="fr-FR"/>
          <w14:ligatures w14:val="none"/>
        </w:rPr>
        <w:t>Espié</w:t>
      </w:r>
      <w:proofErr w:type="spellEnd"/>
      <w:r w:rsidRPr="00F0198B">
        <w:rPr>
          <w:rFonts w:ascii="Arial" w:eastAsia="Calibri" w:hAnsi="Arial" w:cs="Arial"/>
          <w:color w:val="000000"/>
          <w:kern w:val="0"/>
          <w:sz w:val="20"/>
          <w:szCs w:val="20"/>
          <w:lang w:eastAsia="fr-FR"/>
          <w14:ligatures w14:val="none"/>
        </w:rPr>
        <w:t xml:space="preserve"> E, </w:t>
      </w:r>
      <w:proofErr w:type="spellStart"/>
      <w:r w:rsidRPr="00F0198B">
        <w:rPr>
          <w:rFonts w:ascii="Arial" w:eastAsia="Calibri" w:hAnsi="Arial" w:cs="Arial"/>
          <w:color w:val="000000"/>
          <w:kern w:val="0"/>
          <w:sz w:val="20"/>
          <w:szCs w:val="20"/>
          <w:lang w:eastAsia="fr-FR"/>
          <w14:ligatures w14:val="none"/>
        </w:rPr>
        <w:t>OmarBa</w:t>
      </w:r>
      <w:proofErr w:type="spellEnd"/>
      <w:r w:rsidRPr="00F0198B">
        <w:rPr>
          <w:rFonts w:ascii="Arial" w:eastAsia="Calibri" w:hAnsi="Arial" w:cs="Arial"/>
          <w:color w:val="000000"/>
          <w:kern w:val="0"/>
          <w:sz w:val="20"/>
          <w:szCs w:val="20"/>
          <w:lang w:eastAsia="fr-FR"/>
          <w14:ligatures w14:val="none"/>
        </w:rPr>
        <w:t xml:space="preserve"> IO, et al.; 4S Network Group. Influenza-like illnesses in Senegal: not only focus on influenza viruses. </w:t>
      </w:r>
      <w:proofErr w:type="spellStart"/>
      <w:r w:rsidRPr="00F0198B">
        <w:rPr>
          <w:rFonts w:ascii="Arial" w:eastAsia="Calibri" w:hAnsi="Arial" w:cs="Arial"/>
          <w:i/>
          <w:iCs/>
          <w:color w:val="000000"/>
          <w:kern w:val="0"/>
          <w:sz w:val="20"/>
          <w:szCs w:val="20"/>
          <w:lang w:eastAsia="fr-FR"/>
          <w14:ligatures w14:val="none"/>
        </w:rPr>
        <w:t>PLoS</w:t>
      </w:r>
      <w:proofErr w:type="spellEnd"/>
      <w:r w:rsidRPr="00F0198B">
        <w:rPr>
          <w:rFonts w:ascii="Arial" w:eastAsia="Calibri" w:hAnsi="Arial" w:cs="Arial"/>
          <w:i/>
          <w:iCs/>
          <w:color w:val="000000"/>
          <w:kern w:val="0"/>
          <w:sz w:val="20"/>
          <w:szCs w:val="20"/>
          <w:lang w:eastAsia="fr-FR"/>
          <w14:ligatures w14:val="none"/>
        </w:rPr>
        <w:t xml:space="preserve"> One</w:t>
      </w:r>
      <w:r w:rsidRPr="00F0198B">
        <w:rPr>
          <w:rFonts w:ascii="Arial" w:eastAsia="Calibri" w:hAnsi="Arial" w:cs="Arial"/>
          <w:color w:val="000000"/>
          <w:kern w:val="0"/>
          <w:sz w:val="20"/>
          <w:szCs w:val="20"/>
          <w:lang w:eastAsia="fr-FR"/>
          <w14:ligatures w14:val="none"/>
        </w:rPr>
        <w:t>. 2014;9(3</w:t>
      </w:r>
      <w:proofErr w:type="gramStart"/>
      <w:r w:rsidRPr="00F0198B">
        <w:rPr>
          <w:rFonts w:ascii="Arial" w:eastAsia="Calibri" w:hAnsi="Arial" w:cs="Arial"/>
          <w:color w:val="000000"/>
          <w:kern w:val="0"/>
          <w:sz w:val="20"/>
          <w:szCs w:val="20"/>
          <w:lang w:eastAsia="fr-FR"/>
          <w14:ligatures w14:val="none"/>
        </w:rPr>
        <w:t>):e</w:t>
      </w:r>
      <w:proofErr w:type="gramEnd"/>
      <w:r w:rsidRPr="00F0198B">
        <w:rPr>
          <w:rFonts w:ascii="Arial" w:eastAsia="Calibri" w:hAnsi="Arial" w:cs="Arial"/>
          <w:color w:val="000000"/>
          <w:kern w:val="0"/>
          <w:sz w:val="20"/>
          <w:szCs w:val="20"/>
          <w:lang w:eastAsia="fr-FR"/>
          <w14:ligatures w14:val="none"/>
        </w:rPr>
        <w:t xml:space="preserve">93227. </w:t>
      </w:r>
      <w:proofErr w:type="gramStart"/>
      <w:r w:rsidRPr="00F0198B">
        <w:rPr>
          <w:rFonts w:ascii="Arial" w:eastAsia="Calibri" w:hAnsi="Arial" w:cs="Arial"/>
          <w:color w:val="000000"/>
          <w:kern w:val="0"/>
          <w:sz w:val="20"/>
          <w:szCs w:val="20"/>
          <w:lang w:eastAsia="fr-FR"/>
          <w14:ligatures w14:val="none"/>
        </w:rPr>
        <w:t>doi:10.1371/journal.pone</w:t>
      </w:r>
      <w:proofErr w:type="gramEnd"/>
      <w:r w:rsidRPr="00F0198B">
        <w:rPr>
          <w:rFonts w:ascii="Arial" w:eastAsia="Calibri" w:hAnsi="Arial" w:cs="Arial"/>
          <w:color w:val="000000"/>
          <w:kern w:val="0"/>
          <w:sz w:val="20"/>
          <w:szCs w:val="20"/>
          <w:lang w:eastAsia="fr-FR"/>
          <w14:ligatures w14:val="none"/>
        </w:rPr>
        <w:t xml:space="preserve">.0093227. PMID:24675982; </w:t>
      </w:r>
      <w:proofErr w:type="gramStart"/>
      <w:r w:rsidRPr="00F0198B">
        <w:rPr>
          <w:rFonts w:ascii="Arial" w:eastAsia="Calibri" w:hAnsi="Arial" w:cs="Arial"/>
          <w:color w:val="000000"/>
          <w:kern w:val="0"/>
          <w:sz w:val="20"/>
          <w:szCs w:val="20"/>
          <w:lang w:eastAsia="fr-FR"/>
          <w14:ligatures w14:val="none"/>
        </w:rPr>
        <w:t>PMCID:PMC</w:t>
      </w:r>
      <w:proofErr w:type="gramEnd"/>
      <w:r w:rsidRPr="00F0198B">
        <w:rPr>
          <w:rFonts w:ascii="Arial" w:eastAsia="Calibri" w:hAnsi="Arial" w:cs="Arial"/>
          <w:color w:val="000000"/>
          <w:kern w:val="0"/>
          <w:sz w:val="20"/>
          <w:szCs w:val="20"/>
          <w:lang w:eastAsia="fr-FR"/>
          <w14:ligatures w14:val="none"/>
        </w:rPr>
        <w:t>3968133.</w:t>
      </w:r>
    </w:p>
    <w:p w14:paraId="1E66D0C3" w14:textId="6FF84778"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305A4F">
        <w:rPr>
          <w:rFonts w:ascii="Arial" w:eastAsia="Calibri" w:hAnsi="Arial" w:cs="Arial"/>
          <w:color w:val="000000"/>
          <w:kern w:val="0"/>
          <w:sz w:val="20"/>
          <w:szCs w:val="20"/>
          <w:lang w:eastAsia="fr-FR"/>
          <w14:ligatures w14:val="none"/>
        </w:rPr>
        <w:t>2</w:t>
      </w:r>
      <w:r w:rsidR="00CD1B31">
        <w:rPr>
          <w:rFonts w:ascii="Arial" w:eastAsia="Calibri" w:hAnsi="Arial" w:cs="Arial"/>
          <w:color w:val="000000"/>
          <w:kern w:val="0"/>
          <w:sz w:val="20"/>
          <w:szCs w:val="20"/>
          <w:lang w:eastAsia="fr-FR"/>
          <w14:ligatures w14:val="none"/>
        </w:rPr>
        <w:t>6</w:t>
      </w:r>
      <w:r w:rsidRPr="00305A4F">
        <w:rPr>
          <w:rFonts w:ascii="Arial" w:eastAsia="Calibri" w:hAnsi="Arial" w:cs="Arial"/>
          <w:color w:val="000000"/>
          <w:kern w:val="0"/>
          <w:sz w:val="20"/>
          <w:szCs w:val="20"/>
          <w:lang w:eastAsia="fr-FR"/>
          <w14:ligatures w14:val="none"/>
        </w:rPr>
        <w:t xml:space="preserve">- </w:t>
      </w:r>
      <w:proofErr w:type="spellStart"/>
      <w:r w:rsidR="0045565A" w:rsidRPr="00305A4F">
        <w:rPr>
          <w:rFonts w:ascii="Arial" w:eastAsia="Calibri" w:hAnsi="Arial" w:cs="Arial"/>
          <w:color w:val="000000"/>
          <w:kern w:val="0"/>
          <w:sz w:val="20"/>
          <w:szCs w:val="20"/>
          <w:lang w:eastAsia="fr-FR"/>
          <w14:ligatures w14:val="none"/>
        </w:rPr>
        <w:t>Chidiac</w:t>
      </w:r>
      <w:proofErr w:type="spellEnd"/>
      <w:r w:rsidR="0045565A" w:rsidRPr="00305A4F">
        <w:rPr>
          <w:rFonts w:ascii="Arial" w:eastAsia="Calibri" w:hAnsi="Arial" w:cs="Arial"/>
          <w:color w:val="000000"/>
          <w:kern w:val="0"/>
          <w:sz w:val="20"/>
          <w:szCs w:val="20"/>
          <w:lang w:eastAsia="fr-FR"/>
          <w14:ligatures w14:val="none"/>
        </w:rPr>
        <w:t xml:space="preserve">, C., &amp; Maulin, L. (2006). [Using antibiotics in case of influenza]. </w:t>
      </w:r>
      <w:r w:rsidR="0045565A" w:rsidRPr="0045565A">
        <w:rPr>
          <w:rFonts w:ascii="Arial" w:eastAsia="Calibri" w:hAnsi="Arial" w:cs="Arial"/>
          <w:color w:val="000000"/>
          <w:kern w:val="0"/>
          <w:sz w:val="20"/>
          <w:szCs w:val="20"/>
          <w:lang w:val="fr-FR" w:eastAsia="fr-FR"/>
          <w14:ligatures w14:val="none"/>
        </w:rPr>
        <w:t xml:space="preserve">Médecine et Maladies Infectieuses. </w:t>
      </w:r>
      <w:hyperlink r:id="rId28" w:history="1">
        <w:r w:rsidR="0045565A" w:rsidRPr="006B4AD5">
          <w:rPr>
            <w:rStyle w:val="Hyperlink"/>
            <w:rFonts w:ascii="Arial" w:eastAsia="Calibri" w:hAnsi="Arial" w:cs="Arial"/>
            <w:kern w:val="0"/>
            <w:sz w:val="20"/>
            <w:szCs w:val="20"/>
            <w:lang w:val="fr-FR" w:eastAsia="fr-FR"/>
            <w14:ligatures w14:val="none"/>
          </w:rPr>
          <w:t>https://doi.org/10.1016/j.medmal.2005.12.008</w:t>
        </w:r>
      </w:hyperlink>
      <w:r w:rsidR="0045565A">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p w14:paraId="69639351" w14:textId="3EB8A9E5"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CD1B31">
        <w:rPr>
          <w:rFonts w:ascii="Arial" w:eastAsia="Calibri" w:hAnsi="Arial" w:cs="Arial"/>
          <w:color w:val="000000"/>
          <w:kern w:val="0"/>
          <w:sz w:val="20"/>
          <w:szCs w:val="20"/>
          <w:lang w:val="it-IT" w:eastAsia="fr-FR"/>
          <w14:ligatures w14:val="none"/>
        </w:rPr>
        <w:lastRenderedPageBreak/>
        <w:t>2</w:t>
      </w:r>
      <w:r w:rsidR="00CD1B31" w:rsidRPr="00CD1B31">
        <w:rPr>
          <w:rFonts w:ascii="Arial" w:eastAsia="Calibri" w:hAnsi="Arial" w:cs="Arial"/>
          <w:color w:val="000000"/>
          <w:kern w:val="0"/>
          <w:sz w:val="20"/>
          <w:szCs w:val="20"/>
          <w:lang w:val="it-IT" w:eastAsia="fr-FR"/>
          <w14:ligatures w14:val="none"/>
        </w:rPr>
        <w:t>7</w:t>
      </w:r>
      <w:r w:rsidRPr="00CD1B31">
        <w:rPr>
          <w:rFonts w:ascii="Arial" w:eastAsia="Calibri" w:hAnsi="Arial" w:cs="Arial"/>
          <w:color w:val="000000"/>
          <w:kern w:val="0"/>
          <w:sz w:val="20"/>
          <w:szCs w:val="20"/>
          <w:lang w:val="it-IT" w:eastAsia="fr-FR"/>
          <w14:ligatures w14:val="none"/>
        </w:rPr>
        <w:t xml:space="preserve">. </w:t>
      </w:r>
      <w:r w:rsidR="007419C0" w:rsidRPr="00CD1B31">
        <w:rPr>
          <w:rFonts w:ascii="Arial" w:eastAsia="Calibri" w:hAnsi="Arial" w:cs="Arial"/>
          <w:color w:val="000000"/>
          <w:kern w:val="0"/>
          <w:sz w:val="20"/>
          <w:szCs w:val="20"/>
          <w:lang w:val="it-IT" w:eastAsia="fr-FR"/>
          <w14:ligatures w14:val="none"/>
        </w:rPr>
        <w:t xml:space="preserve">Gonzales, R., Malone, D. C., Maselli, J. H., &amp; Sande, M. A. (2001). </w:t>
      </w:r>
      <w:r w:rsidR="007419C0" w:rsidRPr="00305A4F">
        <w:rPr>
          <w:rFonts w:ascii="Arial" w:eastAsia="Calibri" w:hAnsi="Arial" w:cs="Arial"/>
          <w:color w:val="000000"/>
          <w:kern w:val="0"/>
          <w:sz w:val="20"/>
          <w:szCs w:val="20"/>
          <w:lang w:eastAsia="fr-FR"/>
          <w14:ligatures w14:val="none"/>
        </w:rPr>
        <w:t xml:space="preserve">Excessive antibiotic use for acute respiratory infections in the United States. Clinical Infectious Diseases, 33(6), 757–762. </w:t>
      </w:r>
      <w:hyperlink r:id="rId29" w:history="1">
        <w:r w:rsidR="007419C0" w:rsidRPr="00305A4F">
          <w:rPr>
            <w:rStyle w:val="Hyperlink"/>
            <w:rFonts w:ascii="Arial" w:eastAsia="Calibri" w:hAnsi="Arial" w:cs="Arial"/>
            <w:kern w:val="0"/>
            <w:sz w:val="20"/>
            <w:szCs w:val="20"/>
            <w:lang w:eastAsia="fr-FR"/>
            <w14:ligatures w14:val="none"/>
          </w:rPr>
          <w:t>https://doi.org/10.1086/322627</w:t>
        </w:r>
      </w:hyperlink>
      <w:r w:rsidR="007419C0"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2C177965" w14:textId="0AD2E18B" w:rsidR="00164DC0" w:rsidRPr="00305A4F" w:rsidRDefault="00164DC0" w:rsidP="009B0FD3">
      <w:pPr>
        <w:spacing w:after="0" w:line="240" w:lineRule="auto"/>
        <w:ind w:left="10" w:hanging="10"/>
        <w:jc w:val="both"/>
        <w:rPr>
          <w:rFonts w:ascii="Arial" w:eastAsia="Calibri" w:hAnsi="Arial" w:cs="Arial"/>
          <w:color w:val="000000"/>
          <w:kern w:val="0"/>
          <w:sz w:val="20"/>
          <w:szCs w:val="20"/>
          <w:lang w:eastAsia="fr-FR"/>
          <w14:ligatures w14:val="none"/>
        </w:rPr>
      </w:pPr>
      <w:r w:rsidRPr="00523C83">
        <w:rPr>
          <w:rFonts w:ascii="Arial" w:eastAsia="Calibri" w:hAnsi="Arial" w:cs="Arial"/>
          <w:color w:val="000000"/>
          <w:kern w:val="0"/>
          <w:sz w:val="20"/>
          <w:szCs w:val="20"/>
          <w:lang w:eastAsia="fr-FR"/>
          <w14:ligatures w14:val="none"/>
        </w:rPr>
        <w:t>2</w:t>
      </w:r>
      <w:r w:rsidR="00CD1B31">
        <w:rPr>
          <w:rFonts w:ascii="Arial" w:eastAsia="Calibri" w:hAnsi="Arial" w:cs="Arial"/>
          <w:color w:val="000000"/>
          <w:kern w:val="0"/>
          <w:sz w:val="20"/>
          <w:szCs w:val="20"/>
          <w:lang w:eastAsia="fr-FR"/>
          <w14:ligatures w14:val="none"/>
        </w:rPr>
        <w:t>8</w:t>
      </w:r>
      <w:r w:rsidRPr="00523C83">
        <w:rPr>
          <w:rFonts w:ascii="Arial" w:eastAsia="Calibri" w:hAnsi="Arial" w:cs="Arial"/>
          <w:color w:val="000000"/>
          <w:kern w:val="0"/>
          <w:sz w:val="20"/>
          <w:szCs w:val="20"/>
          <w:lang w:eastAsia="fr-FR"/>
          <w14:ligatures w14:val="none"/>
        </w:rPr>
        <w:t xml:space="preserve">. </w:t>
      </w:r>
      <w:r w:rsidR="00B93DBD" w:rsidRPr="00523C83">
        <w:rPr>
          <w:rFonts w:ascii="Arial" w:eastAsia="Calibri" w:hAnsi="Arial" w:cs="Arial"/>
          <w:color w:val="000000"/>
          <w:kern w:val="0"/>
          <w:sz w:val="20"/>
          <w:szCs w:val="20"/>
          <w:lang w:eastAsia="fr-FR"/>
          <w14:ligatures w14:val="none"/>
        </w:rPr>
        <w:t xml:space="preserve">Ulrich, A. K., Matthes, J., Dressel, A., Tesch, F., Schmidt, C., &amp; Wolf-Ostermann, K. (2016). Burden of influenza in Germany: a retrospective claims database analysis for the influenza season 2012/2013. </w:t>
      </w:r>
      <w:r w:rsidR="00B93DBD" w:rsidRPr="00305A4F">
        <w:rPr>
          <w:rFonts w:ascii="Arial" w:eastAsia="Calibri" w:hAnsi="Arial" w:cs="Arial"/>
          <w:color w:val="000000"/>
          <w:kern w:val="0"/>
          <w:sz w:val="20"/>
          <w:szCs w:val="20"/>
          <w:lang w:eastAsia="fr-FR"/>
          <w14:ligatures w14:val="none"/>
        </w:rPr>
        <w:t xml:space="preserve">European Journal of Health Economics, 17(6), 669–679. </w:t>
      </w:r>
      <w:hyperlink r:id="rId30" w:history="1">
        <w:r w:rsidR="00B93DBD" w:rsidRPr="00305A4F">
          <w:rPr>
            <w:rStyle w:val="Hyperlink"/>
            <w:rFonts w:ascii="Arial" w:eastAsia="Calibri" w:hAnsi="Arial" w:cs="Arial"/>
            <w:kern w:val="0"/>
            <w:sz w:val="20"/>
            <w:szCs w:val="20"/>
            <w:lang w:eastAsia="fr-FR"/>
            <w14:ligatures w14:val="none"/>
          </w:rPr>
          <w:t>https://doi.org/10.1007/s10198-015-0708-7</w:t>
        </w:r>
      </w:hyperlink>
      <w:r w:rsidR="00B93DBD" w:rsidRPr="00305A4F">
        <w:rPr>
          <w:rFonts w:ascii="Arial" w:eastAsia="Calibri" w:hAnsi="Arial" w:cs="Arial"/>
          <w:color w:val="000000"/>
          <w:kern w:val="0"/>
          <w:sz w:val="20"/>
          <w:szCs w:val="20"/>
          <w:lang w:eastAsia="fr-FR"/>
          <w14:ligatures w14:val="none"/>
        </w:rPr>
        <w:t xml:space="preserve"> </w:t>
      </w:r>
      <w:r w:rsidRPr="00305A4F">
        <w:rPr>
          <w:rFonts w:ascii="Arial" w:eastAsia="Calibri" w:hAnsi="Arial" w:cs="Arial"/>
          <w:color w:val="000000"/>
          <w:kern w:val="0"/>
          <w:sz w:val="20"/>
          <w:szCs w:val="20"/>
          <w:lang w:eastAsia="fr-FR"/>
          <w14:ligatures w14:val="none"/>
        </w:rPr>
        <w:t xml:space="preserve"> </w:t>
      </w:r>
    </w:p>
    <w:p w14:paraId="1B98F1E8" w14:textId="5E25EFF2" w:rsidR="00164DC0" w:rsidRPr="00305A4F" w:rsidRDefault="00E61C8B" w:rsidP="009B0FD3">
      <w:pPr>
        <w:spacing w:after="0" w:line="240" w:lineRule="auto"/>
        <w:ind w:left="10" w:hanging="10"/>
        <w:jc w:val="both"/>
        <w:rPr>
          <w:rFonts w:ascii="Arial" w:eastAsia="Calibri" w:hAnsi="Arial" w:cs="Arial"/>
          <w:color w:val="000000"/>
          <w:kern w:val="0"/>
          <w:sz w:val="20"/>
          <w:szCs w:val="20"/>
          <w:lang w:eastAsia="fr-FR"/>
          <w14:ligatures w14:val="none"/>
        </w:rPr>
      </w:pPr>
      <w:r>
        <w:rPr>
          <w:rFonts w:ascii="Arial" w:eastAsia="Calibri" w:hAnsi="Arial" w:cs="Arial"/>
          <w:color w:val="000000"/>
          <w:kern w:val="0"/>
          <w:sz w:val="20"/>
          <w:szCs w:val="20"/>
          <w:lang w:eastAsia="fr-FR"/>
          <w14:ligatures w14:val="none"/>
        </w:rPr>
        <w:t>29</w:t>
      </w:r>
      <w:r w:rsidR="00164DC0" w:rsidRPr="00305A4F">
        <w:rPr>
          <w:rFonts w:ascii="Arial" w:eastAsia="Calibri" w:hAnsi="Arial" w:cs="Arial"/>
          <w:color w:val="000000"/>
          <w:kern w:val="0"/>
          <w:sz w:val="20"/>
          <w:szCs w:val="20"/>
          <w:lang w:eastAsia="fr-FR"/>
          <w14:ligatures w14:val="none"/>
        </w:rPr>
        <w:t xml:space="preserve">. </w:t>
      </w:r>
      <w:proofErr w:type="spellStart"/>
      <w:r w:rsidR="00991BA3" w:rsidRPr="00305A4F">
        <w:rPr>
          <w:rFonts w:ascii="Arial" w:eastAsia="Calibri" w:hAnsi="Arial" w:cs="Arial"/>
          <w:color w:val="000000"/>
          <w:kern w:val="0"/>
          <w:sz w:val="20"/>
          <w:szCs w:val="20"/>
          <w:lang w:eastAsia="fr-FR"/>
          <w14:ligatures w14:val="none"/>
        </w:rPr>
        <w:t>Yaacoub</w:t>
      </w:r>
      <w:proofErr w:type="spellEnd"/>
      <w:r w:rsidR="00991BA3" w:rsidRPr="00305A4F">
        <w:rPr>
          <w:rFonts w:ascii="Arial" w:eastAsia="Calibri" w:hAnsi="Arial" w:cs="Arial"/>
          <w:color w:val="000000"/>
          <w:kern w:val="0"/>
          <w:sz w:val="20"/>
          <w:szCs w:val="20"/>
          <w:lang w:eastAsia="fr-FR"/>
          <w14:ligatures w14:val="none"/>
        </w:rPr>
        <w:t>, S., Lanoy, E., Hider-</w:t>
      </w:r>
      <w:proofErr w:type="spellStart"/>
      <w:r w:rsidR="00991BA3" w:rsidRPr="00305A4F">
        <w:rPr>
          <w:rFonts w:ascii="Arial" w:eastAsia="Calibri" w:hAnsi="Arial" w:cs="Arial"/>
          <w:color w:val="000000"/>
          <w:kern w:val="0"/>
          <w:sz w:val="20"/>
          <w:szCs w:val="20"/>
          <w:lang w:eastAsia="fr-FR"/>
          <w14:ligatures w14:val="none"/>
        </w:rPr>
        <w:t>Mlynarz</w:t>
      </w:r>
      <w:proofErr w:type="spellEnd"/>
      <w:r w:rsidR="00991BA3" w:rsidRPr="00305A4F">
        <w:rPr>
          <w:rFonts w:ascii="Arial" w:eastAsia="Calibri" w:hAnsi="Arial" w:cs="Arial"/>
          <w:color w:val="000000"/>
          <w:kern w:val="0"/>
          <w:sz w:val="20"/>
          <w:szCs w:val="20"/>
          <w:lang w:eastAsia="fr-FR"/>
          <w14:ligatures w14:val="none"/>
        </w:rPr>
        <w:t xml:space="preserve">, K., Saleh, N., &amp; Maison, P. (2021). Trend of antibiotic consumption and its association with influenza-like illnesses in France between 2004 and 2018. European Journal of Public Health, 31(6), 1137–1143. </w:t>
      </w:r>
      <w:hyperlink r:id="rId31" w:history="1">
        <w:r w:rsidR="00991BA3" w:rsidRPr="00305A4F">
          <w:rPr>
            <w:rStyle w:val="Hyperlink"/>
            <w:rFonts w:ascii="Arial" w:eastAsia="Calibri" w:hAnsi="Arial" w:cs="Arial"/>
            <w:kern w:val="0"/>
            <w:sz w:val="20"/>
            <w:szCs w:val="20"/>
            <w:lang w:eastAsia="fr-FR"/>
            <w14:ligatures w14:val="none"/>
          </w:rPr>
          <w:t>https://doi.org/10.1093/eurpub/ckab143</w:t>
        </w:r>
      </w:hyperlink>
      <w:r w:rsidR="00991BA3" w:rsidRPr="00305A4F">
        <w:rPr>
          <w:rFonts w:ascii="Arial" w:eastAsia="Calibri" w:hAnsi="Arial" w:cs="Arial"/>
          <w:color w:val="000000"/>
          <w:kern w:val="0"/>
          <w:sz w:val="20"/>
          <w:szCs w:val="20"/>
          <w:lang w:eastAsia="fr-FR"/>
          <w14:ligatures w14:val="none"/>
        </w:rPr>
        <w:t xml:space="preserve"> </w:t>
      </w:r>
      <w:r w:rsidR="00164DC0" w:rsidRPr="00305A4F">
        <w:rPr>
          <w:rFonts w:ascii="Arial" w:eastAsia="Calibri" w:hAnsi="Arial" w:cs="Arial"/>
          <w:color w:val="000000"/>
          <w:kern w:val="0"/>
          <w:sz w:val="20"/>
          <w:szCs w:val="20"/>
          <w:lang w:eastAsia="fr-FR"/>
          <w14:ligatures w14:val="none"/>
        </w:rPr>
        <w:t xml:space="preserve"> </w:t>
      </w:r>
    </w:p>
    <w:p w14:paraId="55851F6E" w14:textId="098CF41C" w:rsidR="00164DC0" w:rsidRPr="00305A4F" w:rsidRDefault="00CD1B31" w:rsidP="009B0FD3">
      <w:pPr>
        <w:spacing w:after="0" w:line="240" w:lineRule="auto"/>
        <w:ind w:left="10" w:hanging="10"/>
        <w:jc w:val="both"/>
        <w:rPr>
          <w:rFonts w:ascii="Arial" w:eastAsia="Calibri" w:hAnsi="Arial" w:cs="Arial"/>
          <w:color w:val="000000"/>
          <w:kern w:val="0"/>
          <w:sz w:val="20"/>
          <w:szCs w:val="20"/>
          <w:lang w:eastAsia="fr-FR"/>
          <w14:ligatures w14:val="none"/>
        </w:rPr>
      </w:pPr>
      <w:r>
        <w:rPr>
          <w:rFonts w:ascii="Arial" w:eastAsia="Calibri" w:hAnsi="Arial" w:cs="Arial"/>
          <w:color w:val="000000"/>
          <w:kern w:val="0"/>
          <w:sz w:val="20"/>
          <w:szCs w:val="20"/>
          <w:lang w:eastAsia="fr-FR"/>
          <w14:ligatures w14:val="none"/>
        </w:rPr>
        <w:t>3</w:t>
      </w:r>
      <w:r w:rsidR="00E61C8B">
        <w:rPr>
          <w:rFonts w:ascii="Arial" w:eastAsia="Calibri" w:hAnsi="Arial" w:cs="Arial"/>
          <w:color w:val="000000"/>
          <w:kern w:val="0"/>
          <w:sz w:val="20"/>
          <w:szCs w:val="20"/>
          <w:lang w:eastAsia="fr-FR"/>
          <w14:ligatures w14:val="none"/>
        </w:rPr>
        <w:t>0</w:t>
      </w:r>
      <w:r w:rsidR="00164DC0" w:rsidRPr="00305A4F">
        <w:rPr>
          <w:rFonts w:ascii="Arial" w:eastAsia="Calibri" w:hAnsi="Arial" w:cs="Arial"/>
          <w:color w:val="000000"/>
          <w:kern w:val="0"/>
          <w:sz w:val="20"/>
          <w:szCs w:val="20"/>
          <w:lang w:eastAsia="fr-FR"/>
          <w14:ligatures w14:val="none"/>
        </w:rPr>
        <w:t xml:space="preserve">. </w:t>
      </w:r>
      <w:r w:rsidR="005C007A" w:rsidRPr="00305A4F">
        <w:rPr>
          <w:rFonts w:ascii="Arial" w:eastAsia="Calibri" w:hAnsi="Arial" w:cs="Arial"/>
          <w:color w:val="000000"/>
          <w:kern w:val="0"/>
          <w:sz w:val="20"/>
          <w:szCs w:val="20"/>
          <w:lang w:eastAsia="fr-FR"/>
          <w14:ligatures w14:val="none"/>
        </w:rPr>
        <w:t xml:space="preserve">Bhavnani, D., </w:t>
      </w:r>
      <w:proofErr w:type="spellStart"/>
      <w:r w:rsidR="005C007A" w:rsidRPr="00305A4F">
        <w:rPr>
          <w:rFonts w:ascii="Arial" w:eastAsia="Calibri" w:hAnsi="Arial" w:cs="Arial"/>
          <w:color w:val="000000"/>
          <w:kern w:val="0"/>
          <w:sz w:val="20"/>
          <w:szCs w:val="20"/>
          <w:lang w:eastAsia="fr-FR"/>
          <w14:ligatures w14:val="none"/>
        </w:rPr>
        <w:t>Phatinawin</w:t>
      </w:r>
      <w:proofErr w:type="spellEnd"/>
      <w:r w:rsidR="005C007A" w:rsidRPr="00305A4F">
        <w:rPr>
          <w:rFonts w:ascii="Arial" w:eastAsia="Calibri" w:hAnsi="Arial" w:cs="Arial"/>
          <w:color w:val="000000"/>
          <w:kern w:val="0"/>
          <w:sz w:val="20"/>
          <w:szCs w:val="20"/>
          <w:lang w:eastAsia="fr-FR"/>
          <w14:ligatures w14:val="none"/>
        </w:rPr>
        <w:t xml:space="preserve">, L., Chantra, S., Olsen, S. J., &amp; Simmerman, J. M. (2007). The influence of rapid influenza diagnostic testing on antibiotic prescribing patterns in rural Thailand. International Journal of Infectious Diseases, 11(4), 355–359. </w:t>
      </w:r>
      <w:hyperlink r:id="rId32" w:history="1">
        <w:r w:rsidR="005C007A" w:rsidRPr="00305A4F">
          <w:rPr>
            <w:rStyle w:val="Hyperlink"/>
            <w:rFonts w:ascii="Arial" w:eastAsia="Calibri" w:hAnsi="Arial" w:cs="Arial"/>
            <w:kern w:val="0"/>
            <w:sz w:val="20"/>
            <w:szCs w:val="20"/>
            <w:lang w:eastAsia="fr-FR"/>
            <w14:ligatures w14:val="none"/>
          </w:rPr>
          <w:t>https://doi.org/10.1016/j.ijid.2006.09.009</w:t>
        </w:r>
      </w:hyperlink>
      <w:r w:rsidR="005C007A" w:rsidRPr="00305A4F">
        <w:rPr>
          <w:rFonts w:ascii="Arial" w:eastAsia="Calibri" w:hAnsi="Arial" w:cs="Arial"/>
          <w:color w:val="000000"/>
          <w:kern w:val="0"/>
          <w:sz w:val="20"/>
          <w:szCs w:val="20"/>
          <w:lang w:eastAsia="fr-FR"/>
          <w14:ligatures w14:val="none"/>
        </w:rPr>
        <w:t xml:space="preserve"> </w:t>
      </w:r>
    </w:p>
    <w:p w14:paraId="6F13AA1B" w14:textId="0E8971CF" w:rsidR="00164DC0" w:rsidRPr="00305A4F" w:rsidRDefault="00CD1B31" w:rsidP="009B0FD3">
      <w:pPr>
        <w:spacing w:after="0" w:line="240" w:lineRule="auto"/>
        <w:ind w:left="10" w:hanging="10"/>
        <w:jc w:val="both"/>
        <w:rPr>
          <w:rFonts w:ascii="Arial" w:eastAsia="Calibri" w:hAnsi="Arial" w:cs="Arial"/>
          <w:color w:val="000000"/>
          <w:kern w:val="0"/>
          <w:sz w:val="20"/>
          <w:szCs w:val="20"/>
          <w:lang w:eastAsia="fr-FR"/>
          <w14:ligatures w14:val="none"/>
        </w:rPr>
      </w:pPr>
      <w:r>
        <w:rPr>
          <w:rFonts w:ascii="Arial" w:eastAsia="Calibri" w:hAnsi="Arial" w:cs="Arial"/>
          <w:color w:val="000000"/>
          <w:kern w:val="0"/>
          <w:sz w:val="20"/>
          <w:szCs w:val="20"/>
          <w:lang w:eastAsia="fr-FR"/>
          <w14:ligatures w14:val="none"/>
        </w:rPr>
        <w:t>3</w:t>
      </w:r>
      <w:r w:rsidR="00E61C8B">
        <w:rPr>
          <w:rFonts w:ascii="Arial" w:eastAsia="Calibri" w:hAnsi="Arial" w:cs="Arial"/>
          <w:color w:val="000000"/>
          <w:kern w:val="0"/>
          <w:sz w:val="20"/>
          <w:szCs w:val="20"/>
          <w:lang w:eastAsia="fr-FR"/>
          <w14:ligatures w14:val="none"/>
        </w:rPr>
        <w:t>1</w:t>
      </w:r>
      <w:r w:rsidR="00164DC0" w:rsidRPr="00305A4F">
        <w:rPr>
          <w:rFonts w:ascii="Arial" w:eastAsia="Calibri" w:hAnsi="Arial" w:cs="Arial"/>
          <w:color w:val="000000"/>
          <w:kern w:val="0"/>
          <w:sz w:val="20"/>
          <w:szCs w:val="20"/>
          <w:lang w:eastAsia="fr-FR"/>
          <w14:ligatures w14:val="none"/>
        </w:rPr>
        <w:t xml:space="preserve">. </w:t>
      </w:r>
      <w:proofErr w:type="spellStart"/>
      <w:r w:rsidR="00F37D6F" w:rsidRPr="00305A4F">
        <w:rPr>
          <w:rFonts w:ascii="Arial" w:eastAsia="Calibri" w:hAnsi="Arial" w:cs="Arial"/>
          <w:color w:val="000000"/>
          <w:kern w:val="0"/>
          <w:sz w:val="20"/>
          <w:szCs w:val="20"/>
          <w:lang w:eastAsia="fr-FR"/>
          <w14:ligatures w14:val="none"/>
        </w:rPr>
        <w:t>Tillekeratne</w:t>
      </w:r>
      <w:proofErr w:type="spellEnd"/>
      <w:r w:rsidR="00F37D6F" w:rsidRPr="00305A4F">
        <w:rPr>
          <w:rFonts w:ascii="Arial" w:eastAsia="Calibri" w:hAnsi="Arial" w:cs="Arial"/>
          <w:color w:val="000000"/>
          <w:kern w:val="0"/>
          <w:sz w:val="20"/>
          <w:szCs w:val="20"/>
          <w:lang w:eastAsia="fr-FR"/>
          <w14:ligatures w14:val="none"/>
        </w:rPr>
        <w:t xml:space="preserve">, L. G., </w:t>
      </w:r>
      <w:proofErr w:type="spellStart"/>
      <w:r w:rsidR="00F37D6F" w:rsidRPr="00305A4F">
        <w:rPr>
          <w:rFonts w:ascii="Arial" w:eastAsia="Calibri" w:hAnsi="Arial" w:cs="Arial"/>
          <w:color w:val="000000"/>
          <w:kern w:val="0"/>
          <w:sz w:val="20"/>
          <w:szCs w:val="20"/>
          <w:lang w:eastAsia="fr-FR"/>
          <w14:ligatures w14:val="none"/>
        </w:rPr>
        <w:t>Bodinayake</w:t>
      </w:r>
      <w:proofErr w:type="spellEnd"/>
      <w:r w:rsidR="00F37D6F" w:rsidRPr="00305A4F">
        <w:rPr>
          <w:rFonts w:ascii="Arial" w:eastAsia="Calibri" w:hAnsi="Arial" w:cs="Arial"/>
          <w:color w:val="000000"/>
          <w:kern w:val="0"/>
          <w:sz w:val="20"/>
          <w:szCs w:val="20"/>
          <w:lang w:eastAsia="fr-FR"/>
          <w14:ligatures w14:val="none"/>
        </w:rPr>
        <w:t xml:space="preserve">, C. K., </w:t>
      </w:r>
      <w:proofErr w:type="spellStart"/>
      <w:r w:rsidR="00F37D6F" w:rsidRPr="00305A4F">
        <w:rPr>
          <w:rFonts w:ascii="Arial" w:eastAsia="Calibri" w:hAnsi="Arial" w:cs="Arial"/>
          <w:color w:val="000000"/>
          <w:kern w:val="0"/>
          <w:sz w:val="20"/>
          <w:szCs w:val="20"/>
          <w:lang w:eastAsia="fr-FR"/>
          <w14:ligatures w14:val="none"/>
        </w:rPr>
        <w:t>Nagahawatte</w:t>
      </w:r>
      <w:proofErr w:type="spellEnd"/>
      <w:r w:rsidR="00F37D6F" w:rsidRPr="00305A4F">
        <w:rPr>
          <w:rFonts w:ascii="Arial" w:eastAsia="Calibri" w:hAnsi="Arial" w:cs="Arial"/>
          <w:color w:val="000000"/>
          <w:kern w:val="0"/>
          <w:sz w:val="20"/>
          <w:szCs w:val="20"/>
          <w:lang w:eastAsia="fr-FR"/>
          <w14:ligatures w14:val="none"/>
        </w:rPr>
        <w:t xml:space="preserve">, A., </w:t>
      </w:r>
      <w:proofErr w:type="spellStart"/>
      <w:r w:rsidR="00F37D6F" w:rsidRPr="00305A4F">
        <w:rPr>
          <w:rFonts w:ascii="Arial" w:eastAsia="Calibri" w:hAnsi="Arial" w:cs="Arial"/>
          <w:color w:val="000000"/>
          <w:kern w:val="0"/>
          <w:sz w:val="20"/>
          <w:szCs w:val="20"/>
          <w:lang w:eastAsia="fr-FR"/>
          <w14:ligatures w14:val="none"/>
        </w:rPr>
        <w:t>Vidanagama</w:t>
      </w:r>
      <w:proofErr w:type="spellEnd"/>
      <w:r w:rsidR="00F37D6F" w:rsidRPr="00305A4F">
        <w:rPr>
          <w:rFonts w:ascii="Arial" w:eastAsia="Calibri" w:hAnsi="Arial" w:cs="Arial"/>
          <w:color w:val="000000"/>
          <w:kern w:val="0"/>
          <w:sz w:val="20"/>
          <w:szCs w:val="20"/>
          <w:lang w:eastAsia="fr-FR"/>
          <w14:ligatures w14:val="none"/>
        </w:rPr>
        <w:t xml:space="preserve">, D., </w:t>
      </w:r>
      <w:proofErr w:type="spellStart"/>
      <w:r w:rsidR="00F37D6F" w:rsidRPr="00305A4F">
        <w:rPr>
          <w:rFonts w:ascii="Arial" w:eastAsia="Calibri" w:hAnsi="Arial" w:cs="Arial"/>
          <w:color w:val="000000"/>
          <w:kern w:val="0"/>
          <w:sz w:val="20"/>
          <w:szCs w:val="20"/>
          <w:lang w:eastAsia="fr-FR"/>
          <w14:ligatures w14:val="none"/>
        </w:rPr>
        <w:t>Devasiri</w:t>
      </w:r>
      <w:proofErr w:type="spellEnd"/>
      <w:r w:rsidR="00F37D6F" w:rsidRPr="00305A4F">
        <w:rPr>
          <w:rFonts w:ascii="Arial" w:eastAsia="Calibri" w:hAnsi="Arial" w:cs="Arial"/>
          <w:color w:val="000000"/>
          <w:kern w:val="0"/>
          <w:sz w:val="20"/>
          <w:szCs w:val="20"/>
          <w:lang w:eastAsia="fr-FR"/>
          <w14:ligatures w14:val="none"/>
        </w:rPr>
        <w:t xml:space="preserve">, V., Kodikara Arachchi, W., </w:t>
      </w:r>
      <w:proofErr w:type="spellStart"/>
      <w:r w:rsidR="00F37D6F" w:rsidRPr="00305A4F">
        <w:rPr>
          <w:rFonts w:ascii="Arial" w:eastAsia="Calibri" w:hAnsi="Arial" w:cs="Arial"/>
          <w:color w:val="000000"/>
          <w:kern w:val="0"/>
          <w:sz w:val="20"/>
          <w:szCs w:val="20"/>
          <w:lang w:eastAsia="fr-FR"/>
          <w14:ligatures w14:val="none"/>
        </w:rPr>
        <w:t>Kurukulasooriya</w:t>
      </w:r>
      <w:proofErr w:type="spellEnd"/>
      <w:r w:rsidR="00F37D6F" w:rsidRPr="00305A4F">
        <w:rPr>
          <w:rFonts w:ascii="Arial" w:eastAsia="Calibri" w:hAnsi="Arial" w:cs="Arial"/>
          <w:color w:val="000000"/>
          <w:kern w:val="0"/>
          <w:sz w:val="20"/>
          <w:szCs w:val="20"/>
          <w:lang w:eastAsia="fr-FR"/>
          <w14:ligatures w14:val="none"/>
        </w:rPr>
        <w:t xml:space="preserve">, R., De Silva, A. D., Østbye, T., Reller, M. E., &amp; Woods, C. W. (2015). An under-recognized influenza epidemic identified by rapid influenza testing, southern Sri Lanka, 2013. The American Journal of Tropical Medicine and Hygiene, 92(5), 1023–1029. </w:t>
      </w:r>
      <w:hyperlink r:id="rId33" w:history="1">
        <w:r w:rsidR="00F37D6F" w:rsidRPr="00305A4F">
          <w:rPr>
            <w:rStyle w:val="Hyperlink"/>
            <w:rFonts w:ascii="Arial" w:eastAsia="Calibri" w:hAnsi="Arial" w:cs="Arial"/>
            <w:kern w:val="0"/>
            <w:sz w:val="20"/>
            <w:szCs w:val="20"/>
            <w:lang w:eastAsia="fr-FR"/>
            <w14:ligatures w14:val="none"/>
          </w:rPr>
          <w:t>https://doi.org/10.4269/ajtmh.14-0708</w:t>
        </w:r>
      </w:hyperlink>
      <w:r w:rsidR="00F37D6F" w:rsidRPr="00305A4F">
        <w:rPr>
          <w:rFonts w:ascii="Arial" w:eastAsia="Calibri" w:hAnsi="Arial" w:cs="Arial"/>
          <w:color w:val="000000"/>
          <w:kern w:val="0"/>
          <w:sz w:val="20"/>
          <w:szCs w:val="20"/>
          <w:lang w:eastAsia="fr-FR"/>
          <w14:ligatures w14:val="none"/>
        </w:rPr>
        <w:t xml:space="preserve"> </w:t>
      </w:r>
      <w:r w:rsidR="00164DC0" w:rsidRPr="00305A4F">
        <w:rPr>
          <w:rFonts w:ascii="Arial" w:eastAsia="Calibri" w:hAnsi="Arial" w:cs="Arial"/>
          <w:color w:val="000000"/>
          <w:kern w:val="0"/>
          <w:sz w:val="20"/>
          <w:szCs w:val="20"/>
          <w:lang w:eastAsia="fr-FR"/>
          <w14:ligatures w14:val="none"/>
        </w:rPr>
        <w:t xml:space="preserve"> </w:t>
      </w:r>
    </w:p>
    <w:p w14:paraId="6071C445" w14:textId="26EEE3B2" w:rsidR="00164DC0" w:rsidRPr="00305A4F" w:rsidRDefault="00CD1B31" w:rsidP="009B0FD3">
      <w:pPr>
        <w:spacing w:after="0" w:line="240" w:lineRule="auto"/>
        <w:ind w:left="10" w:hanging="10"/>
        <w:jc w:val="both"/>
        <w:rPr>
          <w:rFonts w:ascii="Arial" w:eastAsia="Calibri" w:hAnsi="Arial" w:cs="Arial"/>
          <w:color w:val="000000"/>
          <w:kern w:val="0"/>
          <w:sz w:val="20"/>
          <w:szCs w:val="20"/>
          <w:lang w:eastAsia="fr-FR"/>
          <w14:ligatures w14:val="none"/>
        </w:rPr>
      </w:pPr>
      <w:r>
        <w:rPr>
          <w:rFonts w:ascii="Arial" w:eastAsia="Calibri" w:hAnsi="Arial" w:cs="Arial"/>
          <w:color w:val="000000"/>
          <w:kern w:val="0"/>
          <w:sz w:val="20"/>
          <w:szCs w:val="20"/>
          <w:lang w:eastAsia="fr-FR"/>
          <w14:ligatures w14:val="none"/>
        </w:rPr>
        <w:t>3</w:t>
      </w:r>
      <w:r w:rsidR="00E61C8B">
        <w:rPr>
          <w:rFonts w:ascii="Arial" w:eastAsia="Calibri" w:hAnsi="Arial" w:cs="Arial"/>
          <w:color w:val="000000"/>
          <w:kern w:val="0"/>
          <w:sz w:val="20"/>
          <w:szCs w:val="20"/>
          <w:lang w:eastAsia="fr-FR"/>
          <w14:ligatures w14:val="none"/>
        </w:rPr>
        <w:t>2</w:t>
      </w:r>
      <w:r w:rsidR="00164DC0" w:rsidRPr="00305A4F">
        <w:rPr>
          <w:rFonts w:ascii="Arial" w:eastAsia="Calibri" w:hAnsi="Arial" w:cs="Arial"/>
          <w:color w:val="000000"/>
          <w:kern w:val="0"/>
          <w:sz w:val="20"/>
          <w:szCs w:val="20"/>
          <w:lang w:eastAsia="fr-FR"/>
          <w14:ligatures w14:val="none"/>
        </w:rPr>
        <w:t xml:space="preserve">. </w:t>
      </w:r>
      <w:proofErr w:type="spellStart"/>
      <w:r w:rsidR="00866523" w:rsidRPr="00305A4F">
        <w:rPr>
          <w:rFonts w:ascii="Arial" w:eastAsia="Calibri" w:hAnsi="Arial" w:cs="Arial"/>
          <w:color w:val="000000"/>
          <w:kern w:val="0"/>
          <w:sz w:val="20"/>
          <w:szCs w:val="20"/>
          <w:lang w:eastAsia="fr-FR"/>
          <w14:ligatures w14:val="none"/>
        </w:rPr>
        <w:t>Zaas</w:t>
      </w:r>
      <w:proofErr w:type="spellEnd"/>
      <w:r w:rsidR="00866523" w:rsidRPr="00305A4F">
        <w:rPr>
          <w:rFonts w:ascii="Arial" w:eastAsia="Calibri" w:hAnsi="Arial" w:cs="Arial"/>
          <w:color w:val="000000"/>
          <w:kern w:val="0"/>
          <w:sz w:val="20"/>
          <w:szCs w:val="20"/>
          <w:lang w:eastAsia="fr-FR"/>
          <w14:ligatures w14:val="none"/>
        </w:rPr>
        <w:t xml:space="preserve">, A. K., Garner, B. H., </w:t>
      </w:r>
      <w:proofErr w:type="spellStart"/>
      <w:r w:rsidR="00866523" w:rsidRPr="00305A4F">
        <w:rPr>
          <w:rFonts w:ascii="Arial" w:eastAsia="Calibri" w:hAnsi="Arial" w:cs="Arial"/>
          <w:color w:val="000000"/>
          <w:kern w:val="0"/>
          <w:sz w:val="20"/>
          <w:szCs w:val="20"/>
          <w:lang w:eastAsia="fr-FR"/>
          <w14:ligatures w14:val="none"/>
        </w:rPr>
        <w:t>Tsalik</w:t>
      </w:r>
      <w:proofErr w:type="spellEnd"/>
      <w:r w:rsidR="00866523" w:rsidRPr="00305A4F">
        <w:rPr>
          <w:rFonts w:ascii="Arial" w:eastAsia="Calibri" w:hAnsi="Arial" w:cs="Arial"/>
          <w:color w:val="000000"/>
          <w:kern w:val="0"/>
          <w:sz w:val="20"/>
          <w:szCs w:val="20"/>
          <w:lang w:eastAsia="fr-FR"/>
          <w14:ligatures w14:val="none"/>
        </w:rPr>
        <w:t xml:space="preserve">, E. L., Burke, T., Woods, C. W., &amp; Ginsburg, G. S. (2014). The current epidemiology and clinical decisions surrounding acute respiratory infections. Trends in Molecular Medicine, 20(10), 579–588. </w:t>
      </w:r>
      <w:hyperlink r:id="rId34" w:history="1">
        <w:r w:rsidR="00866523" w:rsidRPr="00305A4F">
          <w:rPr>
            <w:rStyle w:val="Hyperlink"/>
            <w:rFonts w:ascii="Arial" w:eastAsia="Calibri" w:hAnsi="Arial" w:cs="Arial"/>
            <w:kern w:val="0"/>
            <w:sz w:val="20"/>
            <w:szCs w:val="20"/>
            <w:lang w:eastAsia="fr-FR"/>
            <w14:ligatures w14:val="none"/>
          </w:rPr>
          <w:t>https://doi.org/10.1016/j.molmed.2014.08.001</w:t>
        </w:r>
      </w:hyperlink>
      <w:r w:rsidR="00866523" w:rsidRPr="00305A4F">
        <w:rPr>
          <w:rFonts w:ascii="Arial" w:eastAsia="Calibri" w:hAnsi="Arial" w:cs="Arial"/>
          <w:color w:val="000000"/>
          <w:kern w:val="0"/>
          <w:sz w:val="20"/>
          <w:szCs w:val="20"/>
          <w:lang w:eastAsia="fr-FR"/>
          <w14:ligatures w14:val="none"/>
        </w:rPr>
        <w:t xml:space="preserve"> </w:t>
      </w:r>
      <w:r w:rsidR="00164DC0" w:rsidRPr="00305A4F">
        <w:rPr>
          <w:rFonts w:ascii="Arial" w:eastAsia="Calibri" w:hAnsi="Arial" w:cs="Arial"/>
          <w:color w:val="000000"/>
          <w:kern w:val="0"/>
          <w:sz w:val="20"/>
          <w:szCs w:val="20"/>
          <w:lang w:eastAsia="fr-FR"/>
          <w14:ligatures w14:val="none"/>
        </w:rPr>
        <w:t xml:space="preserve"> </w:t>
      </w:r>
    </w:p>
    <w:p w14:paraId="07836BA7" w14:textId="2111605A" w:rsidR="00164DC0" w:rsidRPr="009B0FD3" w:rsidRDefault="00164DC0" w:rsidP="009B0FD3">
      <w:pPr>
        <w:spacing w:after="0" w:line="240" w:lineRule="auto"/>
        <w:ind w:left="10" w:hanging="10"/>
        <w:jc w:val="both"/>
        <w:rPr>
          <w:rFonts w:ascii="Arial" w:eastAsia="Calibri" w:hAnsi="Arial" w:cs="Arial"/>
          <w:color w:val="000000"/>
          <w:kern w:val="0"/>
          <w:sz w:val="20"/>
          <w:szCs w:val="20"/>
          <w:lang w:val="fr-FR" w:eastAsia="fr-FR"/>
          <w14:ligatures w14:val="none"/>
        </w:rPr>
      </w:pPr>
      <w:r w:rsidRPr="00523C83">
        <w:rPr>
          <w:rFonts w:ascii="Arial" w:eastAsia="Calibri" w:hAnsi="Arial" w:cs="Arial"/>
          <w:color w:val="000000"/>
          <w:kern w:val="0"/>
          <w:sz w:val="20"/>
          <w:szCs w:val="20"/>
          <w:lang w:eastAsia="fr-FR"/>
          <w14:ligatures w14:val="none"/>
        </w:rPr>
        <w:t>3</w:t>
      </w:r>
      <w:r w:rsidR="00E61C8B">
        <w:rPr>
          <w:rFonts w:ascii="Arial" w:eastAsia="Calibri" w:hAnsi="Arial" w:cs="Arial"/>
          <w:color w:val="000000"/>
          <w:kern w:val="0"/>
          <w:sz w:val="20"/>
          <w:szCs w:val="20"/>
          <w:lang w:eastAsia="fr-FR"/>
          <w14:ligatures w14:val="none"/>
        </w:rPr>
        <w:t>3</w:t>
      </w:r>
      <w:r w:rsidRPr="00523C83">
        <w:rPr>
          <w:rFonts w:ascii="Arial" w:eastAsia="Calibri" w:hAnsi="Arial" w:cs="Arial"/>
          <w:color w:val="000000"/>
          <w:kern w:val="0"/>
          <w:sz w:val="20"/>
          <w:szCs w:val="20"/>
          <w:lang w:eastAsia="fr-FR"/>
          <w14:ligatures w14:val="none"/>
        </w:rPr>
        <w:t xml:space="preserve">. </w:t>
      </w:r>
      <w:r w:rsidR="003A393F" w:rsidRPr="00523C83">
        <w:rPr>
          <w:rFonts w:ascii="Arial" w:eastAsia="Calibri" w:hAnsi="Arial" w:cs="Arial"/>
          <w:color w:val="000000"/>
          <w:kern w:val="0"/>
          <w:sz w:val="20"/>
          <w:szCs w:val="20"/>
          <w:lang w:eastAsia="fr-FR"/>
          <w14:ligatures w14:val="none"/>
        </w:rPr>
        <w:t xml:space="preserve">Spellberg, B., Guidos, R., Gilbert, D., Bradley, J., Boucher, H. W., Scheld, W. M., Bartlett, J. G., &amp; Edwards, J. Jr. </w:t>
      </w:r>
      <w:r w:rsidR="003A393F" w:rsidRPr="00305A4F">
        <w:rPr>
          <w:rFonts w:ascii="Arial" w:eastAsia="Calibri" w:hAnsi="Arial" w:cs="Arial"/>
          <w:color w:val="000000"/>
          <w:kern w:val="0"/>
          <w:sz w:val="20"/>
          <w:szCs w:val="20"/>
          <w:lang w:eastAsia="fr-FR"/>
          <w14:ligatures w14:val="none"/>
        </w:rPr>
        <w:t xml:space="preserve">(2008). </w:t>
      </w:r>
      <w:r w:rsidR="003A393F" w:rsidRPr="00523C83">
        <w:rPr>
          <w:rFonts w:ascii="Arial" w:eastAsia="Calibri" w:hAnsi="Arial" w:cs="Arial"/>
          <w:color w:val="000000"/>
          <w:kern w:val="0"/>
          <w:sz w:val="20"/>
          <w:szCs w:val="20"/>
          <w:lang w:eastAsia="fr-FR"/>
          <w14:ligatures w14:val="none"/>
        </w:rPr>
        <w:t xml:space="preserve">The epidemic of antibiotic-resistant infections: A call to action for the medical community from the Infectious Diseases Society of America. </w:t>
      </w:r>
      <w:proofErr w:type="spellStart"/>
      <w:r w:rsidR="003A393F" w:rsidRPr="003A393F">
        <w:rPr>
          <w:rFonts w:ascii="Arial" w:eastAsia="Calibri" w:hAnsi="Arial" w:cs="Arial"/>
          <w:color w:val="000000"/>
          <w:kern w:val="0"/>
          <w:sz w:val="20"/>
          <w:szCs w:val="20"/>
          <w:lang w:val="fr-FR" w:eastAsia="fr-FR"/>
          <w14:ligatures w14:val="none"/>
        </w:rPr>
        <w:t>Clinical</w:t>
      </w:r>
      <w:proofErr w:type="spellEnd"/>
      <w:r w:rsidR="003A393F" w:rsidRPr="003A393F">
        <w:rPr>
          <w:rFonts w:ascii="Arial" w:eastAsia="Calibri" w:hAnsi="Arial" w:cs="Arial"/>
          <w:color w:val="000000"/>
          <w:kern w:val="0"/>
          <w:sz w:val="20"/>
          <w:szCs w:val="20"/>
          <w:lang w:val="fr-FR" w:eastAsia="fr-FR"/>
          <w14:ligatures w14:val="none"/>
        </w:rPr>
        <w:t xml:space="preserve"> </w:t>
      </w:r>
      <w:proofErr w:type="spellStart"/>
      <w:r w:rsidR="003A393F" w:rsidRPr="003A393F">
        <w:rPr>
          <w:rFonts w:ascii="Arial" w:eastAsia="Calibri" w:hAnsi="Arial" w:cs="Arial"/>
          <w:color w:val="000000"/>
          <w:kern w:val="0"/>
          <w:sz w:val="20"/>
          <w:szCs w:val="20"/>
          <w:lang w:val="fr-FR" w:eastAsia="fr-FR"/>
          <w14:ligatures w14:val="none"/>
        </w:rPr>
        <w:t>Infectious</w:t>
      </w:r>
      <w:proofErr w:type="spellEnd"/>
      <w:r w:rsidR="003A393F" w:rsidRPr="003A393F">
        <w:rPr>
          <w:rFonts w:ascii="Arial" w:eastAsia="Calibri" w:hAnsi="Arial" w:cs="Arial"/>
          <w:color w:val="000000"/>
          <w:kern w:val="0"/>
          <w:sz w:val="20"/>
          <w:szCs w:val="20"/>
          <w:lang w:val="fr-FR" w:eastAsia="fr-FR"/>
          <w14:ligatures w14:val="none"/>
        </w:rPr>
        <w:t xml:space="preserve"> </w:t>
      </w:r>
      <w:proofErr w:type="spellStart"/>
      <w:r w:rsidR="003A393F" w:rsidRPr="003A393F">
        <w:rPr>
          <w:rFonts w:ascii="Arial" w:eastAsia="Calibri" w:hAnsi="Arial" w:cs="Arial"/>
          <w:color w:val="000000"/>
          <w:kern w:val="0"/>
          <w:sz w:val="20"/>
          <w:szCs w:val="20"/>
          <w:lang w:val="fr-FR" w:eastAsia="fr-FR"/>
          <w14:ligatures w14:val="none"/>
        </w:rPr>
        <w:t>Diseases</w:t>
      </w:r>
      <w:proofErr w:type="spellEnd"/>
      <w:r w:rsidR="003A393F" w:rsidRPr="003A393F">
        <w:rPr>
          <w:rFonts w:ascii="Arial" w:eastAsia="Calibri" w:hAnsi="Arial" w:cs="Arial"/>
          <w:color w:val="000000"/>
          <w:kern w:val="0"/>
          <w:sz w:val="20"/>
          <w:szCs w:val="20"/>
          <w:lang w:val="fr-FR" w:eastAsia="fr-FR"/>
          <w14:ligatures w14:val="none"/>
        </w:rPr>
        <w:t xml:space="preserve">, 46(2), 155–164. </w:t>
      </w:r>
      <w:hyperlink r:id="rId35" w:history="1">
        <w:r w:rsidR="003A393F" w:rsidRPr="006B4AD5">
          <w:rPr>
            <w:rStyle w:val="Hyperlink"/>
            <w:rFonts w:ascii="Arial" w:eastAsia="Calibri" w:hAnsi="Arial" w:cs="Arial"/>
            <w:kern w:val="0"/>
            <w:sz w:val="20"/>
            <w:szCs w:val="20"/>
            <w:lang w:val="fr-FR" w:eastAsia="fr-FR"/>
            <w14:ligatures w14:val="none"/>
          </w:rPr>
          <w:t>https://doi.org/10.1086/524891</w:t>
        </w:r>
      </w:hyperlink>
      <w:r w:rsidR="003A393F">
        <w:rPr>
          <w:rFonts w:ascii="Arial" w:eastAsia="Calibri" w:hAnsi="Arial" w:cs="Arial"/>
          <w:color w:val="000000"/>
          <w:kern w:val="0"/>
          <w:sz w:val="20"/>
          <w:szCs w:val="20"/>
          <w:lang w:val="fr-FR" w:eastAsia="fr-FR"/>
          <w14:ligatures w14:val="none"/>
        </w:rPr>
        <w:t xml:space="preserve"> </w:t>
      </w:r>
      <w:r w:rsidRPr="009B0FD3">
        <w:rPr>
          <w:rFonts w:ascii="Arial" w:eastAsia="Calibri" w:hAnsi="Arial" w:cs="Arial"/>
          <w:color w:val="000000"/>
          <w:kern w:val="0"/>
          <w:sz w:val="20"/>
          <w:szCs w:val="20"/>
          <w:lang w:val="fr-FR" w:eastAsia="fr-FR"/>
          <w14:ligatures w14:val="none"/>
        </w:rPr>
        <w:t xml:space="preserve"> </w:t>
      </w:r>
    </w:p>
    <w:sectPr w:rsidR="00164DC0" w:rsidRPr="009B0FD3">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8F6AB" w14:textId="77777777" w:rsidR="00A87AB6" w:rsidRDefault="00A87AB6" w:rsidP="00447640">
      <w:pPr>
        <w:spacing w:after="0" w:line="240" w:lineRule="auto"/>
      </w:pPr>
      <w:r>
        <w:separator/>
      </w:r>
    </w:p>
  </w:endnote>
  <w:endnote w:type="continuationSeparator" w:id="0">
    <w:p w14:paraId="46403094" w14:textId="77777777" w:rsidR="00A87AB6" w:rsidRDefault="00A87AB6" w:rsidP="00447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29392" w14:textId="77777777" w:rsidR="00447640" w:rsidRDefault="00447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F2C58" w14:textId="77777777" w:rsidR="00447640" w:rsidRDefault="00447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E74D" w14:textId="77777777" w:rsidR="00447640" w:rsidRDefault="00447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AE4A6" w14:textId="77777777" w:rsidR="00A87AB6" w:rsidRDefault="00A87AB6" w:rsidP="00447640">
      <w:pPr>
        <w:spacing w:after="0" w:line="240" w:lineRule="auto"/>
      </w:pPr>
      <w:r>
        <w:separator/>
      </w:r>
    </w:p>
  </w:footnote>
  <w:footnote w:type="continuationSeparator" w:id="0">
    <w:p w14:paraId="541F1FE7" w14:textId="77777777" w:rsidR="00A87AB6" w:rsidRDefault="00A87AB6" w:rsidP="00447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D938" w14:textId="2DE01345" w:rsidR="00447640" w:rsidRDefault="00A87AB6">
    <w:pPr>
      <w:pStyle w:val="Header"/>
    </w:pPr>
    <w:r>
      <w:rPr>
        <w:noProof/>
      </w:rPr>
      <w:pict w14:anchorId="144B7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5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30519" w14:textId="6AC3ECC3" w:rsidR="00447640" w:rsidRDefault="00A87AB6">
    <w:pPr>
      <w:pStyle w:val="Header"/>
    </w:pPr>
    <w:r>
      <w:rPr>
        <w:noProof/>
      </w:rPr>
      <w:pict w14:anchorId="59F6C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5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580A" w14:textId="7994229B" w:rsidR="00447640" w:rsidRDefault="00A87AB6">
    <w:pPr>
      <w:pStyle w:val="Header"/>
    </w:pPr>
    <w:r>
      <w:rPr>
        <w:noProof/>
      </w:rPr>
      <w:pict w14:anchorId="1ADBB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215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2F"/>
    <w:rsid w:val="00031551"/>
    <w:rsid w:val="00032BC5"/>
    <w:rsid w:val="00035A5A"/>
    <w:rsid w:val="00055171"/>
    <w:rsid w:val="000E03F7"/>
    <w:rsid w:val="000E6AD9"/>
    <w:rsid w:val="0014738D"/>
    <w:rsid w:val="00164DC0"/>
    <w:rsid w:val="001854B3"/>
    <w:rsid w:val="001C1BC3"/>
    <w:rsid w:val="001C36E6"/>
    <w:rsid w:val="001F1F05"/>
    <w:rsid w:val="00241D1E"/>
    <w:rsid w:val="00243D3F"/>
    <w:rsid w:val="00260EF4"/>
    <w:rsid w:val="00273F0A"/>
    <w:rsid w:val="00286D03"/>
    <w:rsid w:val="00286E3C"/>
    <w:rsid w:val="00294DBC"/>
    <w:rsid w:val="002C3B26"/>
    <w:rsid w:val="002C4637"/>
    <w:rsid w:val="002E2079"/>
    <w:rsid w:val="00305A4F"/>
    <w:rsid w:val="003110A1"/>
    <w:rsid w:val="00314A04"/>
    <w:rsid w:val="00317B0E"/>
    <w:rsid w:val="00350FFD"/>
    <w:rsid w:val="00373799"/>
    <w:rsid w:val="00374CC2"/>
    <w:rsid w:val="003A3059"/>
    <w:rsid w:val="003A393F"/>
    <w:rsid w:val="003C249C"/>
    <w:rsid w:val="003C44A8"/>
    <w:rsid w:val="003D542F"/>
    <w:rsid w:val="003E2012"/>
    <w:rsid w:val="003E7D25"/>
    <w:rsid w:val="00447640"/>
    <w:rsid w:val="0045565A"/>
    <w:rsid w:val="004928E3"/>
    <w:rsid w:val="004A40D4"/>
    <w:rsid w:val="004C3546"/>
    <w:rsid w:val="004D1045"/>
    <w:rsid w:val="00517416"/>
    <w:rsid w:val="00523C83"/>
    <w:rsid w:val="00582DBC"/>
    <w:rsid w:val="005A1CE9"/>
    <w:rsid w:val="005B1212"/>
    <w:rsid w:val="005C007A"/>
    <w:rsid w:val="005D3D77"/>
    <w:rsid w:val="00606FB1"/>
    <w:rsid w:val="0062302F"/>
    <w:rsid w:val="00633D78"/>
    <w:rsid w:val="006630AE"/>
    <w:rsid w:val="006F76D6"/>
    <w:rsid w:val="00707BC4"/>
    <w:rsid w:val="0071093B"/>
    <w:rsid w:val="00711C17"/>
    <w:rsid w:val="007419C0"/>
    <w:rsid w:val="00752A2D"/>
    <w:rsid w:val="007B71FA"/>
    <w:rsid w:val="00840AC1"/>
    <w:rsid w:val="00847469"/>
    <w:rsid w:val="00866523"/>
    <w:rsid w:val="00881B10"/>
    <w:rsid w:val="00885307"/>
    <w:rsid w:val="0088625C"/>
    <w:rsid w:val="00893EA0"/>
    <w:rsid w:val="008A46DD"/>
    <w:rsid w:val="008A4EDD"/>
    <w:rsid w:val="008A7643"/>
    <w:rsid w:val="008B3013"/>
    <w:rsid w:val="008D2DF7"/>
    <w:rsid w:val="008E4186"/>
    <w:rsid w:val="00937B08"/>
    <w:rsid w:val="009618A5"/>
    <w:rsid w:val="00961E2F"/>
    <w:rsid w:val="00967887"/>
    <w:rsid w:val="00986354"/>
    <w:rsid w:val="00986814"/>
    <w:rsid w:val="00991BA3"/>
    <w:rsid w:val="009955CD"/>
    <w:rsid w:val="009B0FD3"/>
    <w:rsid w:val="00A1284D"/>
    <w:rsid w:val="00A13F32"/>
    <w:rsid w:val="00A3098D"/>
    <w:rsid w:val="00A71707"/>
    <w:rsid w:val="00A7291B"/>
    <w:rsid w:val="00A76AD4"/>
    <w:rsid w:val="00A81006"/>
    <w:rsid w:val="00A81F99"/>
    <w:rsid w:val="00A87AB6"/>
    <w:rsid w:val="00AB6FFA"/>
    <w:rsid w:val="00AE014D"/>
    <w:rsid w:val="00B3161D"/>
    <w:rsid w:val="00B412E6"/>
    <w:rsid w:val="00B70DAF"/>
    <w:rsid w:val="00B93DBD"/>
    <w:rsid w:val="00BE54E5"/>
    <w:rsid w:val="00C008EA"/>
    <w:rsid w:val="00C15FFE"/>
    <w:rsid w:val="00C87868"/>
    <w:rsid w:val="00CC01F2"/>
    <w:rsid w:val="00CD1B31"/>
    <w:rsid w:val="00CD50D2"/>
    <w:rsid w:val="00CD73A0"/>
    <w:rsid w:val="00D05750"/>
    <w:rsid w:val="00D16E5B"/>
    <w:rsid w:val="00D2054C"/>
    <w:rsid w:val="00D80CA9"/>
    <w:rsid w:val="00D87C94"/>
    <w:rsid w:val="00D94510"/>
    <w:rsid w:val="00DD2BE5"/>
    <w:rsid w:val="00DE62A6"/>
    <w:rsid w:val="00DF5D32"/>
    <w:rsid w:val="00E05BF9"/>
    <w:rsid w:val="00E12E35"/>
    <w:rsid w:val="00E14CF9"/>
    <w:rsid w:val="00E61238"/>
    <w:rsid w:val="00E61C8B"/>
    <w:rsid w:val="00E73D9A"/>
    <w:rsid w:val="00E769B6"/>
    <w:rsid w:val="00E81699"/>
    <w:rsid w:val="00EC4753"/>
    <w:rsid w:val="00F01741"/>
    <w:rsid w:val="00F0198B"/>
    <w:rsid w:val="00F042B8"/>
    <w:rsid w:val="00F21705"/>
    <w:rsid w:val="00F31993"/>
    <w:rsid w:val="00F37D6F"/>
    <w:rsid w:val="00F442C7"/>
    <w:rsid w:val="00F572A6"/>
    <w:rsid w:val="00F829C3"/>
    <w:rsid w:val="00F93C9C"/>
    <w:rsid w:val="00FC0540"/>
    <w:rsid w:val="00FC6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2B744E"/>
  <w15:chartTrackingRefBased/>
  <w15:docId w15:val="{955D37D6-CBBC-4E86-B140-24511968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0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0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0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0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0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0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0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0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0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0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0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0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0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0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02F"/>
    <w:rPr>
      <w:rFonts w:eastAsiaTheme="majorEastAsia" w:cstheme="majorBidi"/>
      <w:color w:val="272727" w:themeColor="text1" w:themeTint="D8"/>
    </w:rPr>
  </w:style>
  <w:style w:type="paragraph" w:styleId="Title">
    <w:name w:val="Title"/>
    <w:basedOn w:val="Normal"/>
    <w:next w:val="Normal"/>
    <w:link w:val="TitleChar"/>
    <w:uiPriority w:val="10"/>
    <w:qFormat/>
    <w:rsid w:val="00623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0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02F"/>
    <w:pPr>
      <w:spacing w:before="160"/>
      <w:jc w:val="center"/>
    </w:pPr>
    <w:rPr>
      <w:i/>
      <w:iCs/>
      <w:color w:val="404040" w:themeColor="text1" w:themeTint="BF"/>
    </w:rPr>
  </w:style>
  <w:style w:type="character" w:customStyle="1" w:styleId="QuoteChar">
    <w:name w:val="Quote Char"/>
    <w:basedOn w:val="DefaultParagraphFont"/>
    <w:link w:val="Quote"/>
    <w:uiPriority w:val="29"/>
    <w:rsid w:val="0062302F"/>
    <w:rPr>
      <w:i/>
      <w:iCs/>
      <w:color w:val="404040" w:themeColor="text1" w:themeTint="BF"/>
    </w:rPr>
  </w:style>
  <w:style w:type="paragraph" w:styleId="ListParagraph">
    <w:name w:val="List Paragraph"/>
    <w:basedOn w:val="Normal"/>
    <w:uiPriority w:val="34"/>
    <w:qFormat/>
    <w:rsid w:val="0062302F"/>
    <w:pPr>
      <w:ind w:left="720"/>
      <w:contextualSpacing/>
    </w:pPr>
  </w:style>
  <w:style w:type="character" w:styleId="IntenseEmphasis">
    <w:name w:val="Intense Emphasis"/>
    <w:basedOn w:val="DefaultParagraphFont"/>
    <w:uiPriority w:val="21"/>
    <w:qFormat/>
    <w:rsid w:val="0062302F"/>
    <w:rPr>
      <w:i/>
      <w:iCs/>
      <w:color w:val="2F5496" w:themeColor="accent1" w:themeShade="BF"/>
    </w:rPr>
  </w:style>
  <w:style w:type="paragraph" w:styleId="IntenseQuote">
    <w:name w:val="Intense Quote"/>
    <w:basedOn w:val="Normal"/>
    <w:next w:val="Normal"/>
    <w:link w:val="IntenseQuoteChar"/>
    <w:uiPriority w:val="30"/>
    <w:qFormat/>
    <w:rsid w:val="00623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02F"/>
    <w:rPr>
      <w:i/>
      <w:iCs/>
      <w:color w:val="2F5496" w:themeColor="accent1" w:themeShade="BF"/>
    </w:rPr>
  </w:style>
  <w:style w:type="character" w:styleId="IntenseReference">
    <w:name w:val="Intense Reference"/>
    <w:basedOn w:val="DefaultParagraphFont"/>
    <w:uiPriority w:val="32"/>
    <w:qFormat/>
    <w:rsid w:val="0062302F"/>
    <w:rPr>
      <w:b/>
      <w:bCs/>
      <w:smallCaps/>
      <w:color w:val="2F5496" w:themeColor="accent1" w:themeShade="BF"/>
      <w:spacing w:val="5"/>
    </w:rPr>
  </w:style>
  <w:style w:type="character" w:styleId="Hyperlink">
    <w:name w:val="Hyperlink"/>
    <w:basedOn w:val="DefaultParagraphFont"/>
    <w:uiPriority w:val="99"/>
    <w:unhideWhenUsed/>
    <w:rsid w:val="00164DC0"/>
    <w:rPr>
      <w:color w:val="0563C1" w:themeColor="hyperlink"/>
      <w:u w:val="single"/>
    </w:rPr>
  </w:style>
  <w:style w:type="character" w:styleId="UnresolvedMention">
    <w:name w:val="Unresolved Mention"/>
    <w:basedOn w:val="DefaultParagraphFont"/>
    <w:uiPriority w:val="99"/>
    <w:semiHidden/>
    <w:unhideWhenUsed/>
    <w:rsid w:val="00164DC0"/>
    <w:rPr>
      <w:color w:val="605E5C"/>
      <w:shd w:val="clear" w:color="auto" w:fill="E1DFDD"/>
    </w:rPr>
  </w:style>
  <w:style w:type="table" w:styleId="TableGrid">
    <w:name w:val="Table Grid"/>
    <w:basedOn w:val="TableNormal"/>
    <w:uiPriority w:val="39"/>
    <w:rsid w:val="00F82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7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640"/>
  </w:style>
  <w:style w:type="paragraph" w:styleId="Footer">
    <w:name w:val="footer"/>
    <w:basedOn w:val="Normal"/>
    <w:link w:val="FooterChar"/>
    <w:uiPriority w:val="99"/>
    <w:unhideWhenUsed/>
    <w:rsid w:val="00447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infdis/jis548" TargetMode="External"/><Relationship Id="rId18" Type="http://schemas.openxmlformats.org/officeDocument/2006/relationships/hyperlink" Target="https://doi.org/10.1016/S1473-3099(18)30605-4" TargetMode="External"/><Relationship Id="rId26" Type="http://schemas.openxmlformats.org/officeDocument/2006/relationships/hyperlink" Target="https://doi.org/10.1177/2156587216641831" TargetMode="External"/><Relationship Id="rId39" Type="http://schemas.openxmlformats.org/officeDocument/2006/relationships/footer" Target="footer2.xml"/><Relationship Id="rId21" Type="http://schemas.openxmlformats.org/officeDocument/2006/relationships/hyperlink" Target="https://doi.org/10.1002/14651858.CD007880.pub3" TargetMode="External"/><Relationship Id="rId34" Type="http://schemas.openxmlformats.org/officeDocument/2006/relationships/hyperlink" Target="https://doi.org/10.1016/j.molmed.2014.08.001" TargetMode="External"/><Relationship Id="rId42" Type="http://schemas.openxmlformats.org/officeDocument/2006/relationships/fontTable" Target="fontTable.xml"/><Relationship Id="rId7" Type="http://schemas.openxmlformats.org/officeDocument/2006/relationships/hyperlink" Target="https://doi.org/10.1159/000237738" TargetMode="External"/><Relationship Id="rId2" Type="http://schemas.openxmlformats.org/officeDocument/2006/relationships/styles" Target="styles.xml"/><Relationship Id="rId16" Type="http://schemas.openxmlformats.org/officeDocument/2006/relationships/hyperlink" Target="https://doi.org/10.3201/eid1411.070467" TargetMode="External"/><Relationship Id="rId20" Type="http://schemas.openxmlformats.org/officeDocument/2006/relationships/hyperlink" Target="https://doi.org/10.1093/jac/dkx504" TargetMode="External"/><Relationship Id="rId29" Type="http://schemas.openxmlformats.org/officeDocument/2006/relationships/hyperlink" Target="https://doi.org/10.1086/32262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dc.gov/globalhealth/healthprotection/idsr/pdf/technicalguidelines/idsrtechnical-guidelines-2nd-edition_2010_english.pdf" TargetMode="External"/><Relationship Id="rId24" Type="http://schemas.openxmlformats.org/officeDocument/2006/relationships/hyperlink" Target="https://doi.org/10.1111/j.1469-0691.2007.01910.x" TargetMode="External"/><Relationship Id="rId32" Type="http://schemas.openxmlformats.org/officeDocument/2006/relationships/hyperlink" Target="https://doi.org/10.1016/j.ijid.2006.09.009"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S0140-6736(05)17907-0" TargetMode="External"/><Relationship Id="rId23" Type="http://schemas.openxmlformats.org/officeDocument/2006/relationships/hyperlink" Target="https://doi.org/10.1093/cid/civ081" TargetMode="External"/><Relationship Id="rId28" Type="http://schemas.openxmlformats.org/officeDocument/2006/relationships/hyperlink" Target="https://doi.org/10.1016/j.medmal.2005.12.008" TargetMode="External"/><Relationship Id="rId36" Type="http://schemas.openxmlformats.org/officeDocument/2006/relationships/header" Target="header1.xml"/><Relationship Id="rId10" Type="http://schemas.openxmlformats.org/officeDocument/2006/relationships/hyperlink" Target="https://www.who.int/fr/news-room/fact-sheets/detail/influenza-(seasonal)" TargetMode="External"/><Relationship Id="rId19" Type="http://schemas.openxmlformats.org/officeDocument/2006/relationships/hyperlink" Target="https://doi.org/10.1136/bmjopen-2014-006245" TargetMode="External"/><Relationship Id="rId31" Type="http://schemas.openxmlformats.org/officeDocument/2006/relationships/hyperlink" Target="https://doi.org/10.1093/eurpub/ckab143" TargetMode="External"/><Relationship Id="rId4" Type="http://schemas.openxmlformats.org/officeDocument/2006/relationships/webSettings" Target="webSettings.xml"/><Relationship Id="rId9" Type="http://schemas.openxmlformats.org/officeDocument/2006/relationships/hyperlink" Target="https://doi.org/10.1016/S0140-6736(17)33293-2" TargetMode="External"/><Relationship Id="rId14" Type="http://schemas.openxmlformats.org/officeDocument/2006/relationships/hyperlink" Target="https://doi.org/10.1186/s12879-017-2839-1" TargetMode="External"/><Relationship Id="rId22" Type="http://schemas.openxmlformats.org/officeDocument/2006/relationships/hyperlink" Target="https://doi.org/10.1136/bmj.i3410" TargetMode="External"/><Relationship Id="rId27" Type="http://schemas.openxmlformats.org/officeDocument/2006/relationships/hyperlink" Target="https://pasa2.sante.gov.gn/documents/plan-daction-national-multisectoriel-de-lutte-contre-la-resistance-aux-antimicrobiens-en-guinee-ms-ef-bm-oms-oie-fao-6-2021/" TargetMode="External"/><Relationship Id="rId30" Type="http://schemas.openxmlformats.org/officeDocument/2006/relationships/hyperlink" Target="https://doi.org/10.1007/s10198-015-0708-7" TargetMode="External"/><Relationship Id="rId35" Type="http://schemas.openxmlformats.org/officeDocument/2006/relationships/hyperlink" Target="https://doi.org/10.1086/524891" TargetMode="External"/><Relationship Id="rId43" Type="http://schemas.openxmlformats.org/officeDocument/2006/relationships/theme" Target="theme/theme1.xml"/><Relationship Id="rId8" Type="http://schemas.openxmlformats.org/officeDocument/2006/relationships/hyperlink" Target="https://doi.org/10.1371/journal.pmed.1000182" TargetMode="External"/><Relationship Id="rId3" Type="http://schemas.openxmlformats.org/officeDocument/2006/relationships/settings" Target="settings.xml"/><Relationship Id="rId12" Type="http://schemas.openxmlformats.org/officeDocument/2006/relationships/hyperlink" Target="https://doi.org/10.1007/BF01719675" TargetMode="External"/><Relationship Id="rId17" Type="http://schemas.openxmlformats.org/officeDocument/2006/relationships/hyperlink" Target="https://doi.org/10.1186/1471-2334-14-13" TargetMode="External"/><Relationship Id="rId25" Type="http://schemas.openxmlformats.org/officeDocument/2006/relationships/hyperlink" Target="https://doi.org/10.1016/S0140-6736(14)62449-1" TargetMode="External"/><Relationship Id="rId33" Type="http://schemas.openxmlformats.org/officeDocument/2006/relationships/hyperlink" Target="https://doi.org/10.4269/ajtmh.14-0708" TargetMode="External"/><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E18C0-0F92-4D1A-8387-BC8EABFBC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4268</Words>
  <Characters>24328</Characters>
  <Application>Microsoft Office Word</Application>
  <DocSecurity>0</DocSecurity>
  <Lines>202</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Fodé Amara TRAORE</dc:creator>
  <cp:keywords/>
  <dc:description/>
  <cp:lastModifiedBy>SDI 1022</cp:lastModifiedBy>
  <cp:revision>25</cp:revision>
  <dcterms:created xsi:type="dcterms:W3CDTF">2026-01-05T15:29:00Z</dcterms:created>
  <dcterms:modified xsi:type="dcterms:W3CDTF">2026-01-07T13:21:00Z</dcterms:modified>
</cp:coreProperties>
</file>