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8CAB5" w14:textId="77777777" w:rsidR="003C4E3E" w:rsidRDefault="003C4E3E" w:rsidP="007E6EC9">
      <w:pPr>
        <w:spacing w:line="360" w:lineRule="auto"/>
        <w:jc w:val="center"/>
        <w:rPr>
          <w:rFonts w:ascii="Arial" w:hAnsi="Arial" w:cs="Arial"/>
          <w:b/>
          <w:bCs/>
          <w:sz w:val="20"/>
          <w:szCs w:val="20"/>
        </w:rPr>
      </w:pPr>
      <w:bookmarkStart w:id="0" w:name="_Hlk217460467"/>
    </w:p>
    <w:p w14:paraId="47727D5E" w14:textId="0B8376BC" w:rsidR="003C4E3E" w:rsidRDefault="003C4E3E" w:rsidP="007E6EC9">
      <w:pPr>
        <w:spacing w:line="360" w:lineRule="auto"/>
        <w:jc w:val="center"/>
        <w:rPr>
          <w:rFonts w:ascii="Arial" w:hAnsi="Arial" w:cs="Arial"/>
          <w:b/>
          <w:bCs/>
          <w:sz w:val="20"/>
          <w:szCs w:val="20"/>
        </w:rPr>
      </w:pPr>
      <w:r w:rsidRPr="003C4E3E">
        <w:rPr>
          <w:rFonts w:ascii="Arial" w:hAnsi="Arial" w:cs="Arial"/>
          <w:b/>
          <w:bCs/>
          <w:sz w:val="20"/>
          <w:szCs w:val="20"/>
        </w:rPr>
        <w:t>ORIGINAL RESEARCH ARTICLE</w:t>
      </w:r>
    </w:p>
    <w:p w14:paraId="6DE84528" w14:textId="116AC0C8" w:rsidR="007E6EC9" w:rsidRPr="007E6EC9" w:rsidRDefault="007E6EC9" w:rsidP="007E6EC9">
      <w:pPr>
        <w:spacing w:line="360" w:lineRule="auto"/>
        <w:jc w:val="center"/>
        <w:rPr>
          <w:rFonts w:ascii="Arial" w:hAnsi="Arial" w:cs="Arial"/>
          <w:b/>
          <w:bCs/>
          <w:sz w:val="20"/>
          <w:szCs w:val="20"/>
        </w:rPr>
      </w:pPr>
      <w:r w:rsidRPr="007E6EC9">
        <w:rPr>
          <w:rFonts w:ascii="Arial" w:hAnsi="Arial" w:cs="Arial"/>
          <w:b/>
          <w:bCs/>
          <w:sz w:val="20"/>
          <w:szCs w:val="20"/>
        </w:rPr>
        <w:t>ANTIMICROBIAL RESISTANCE SURVEILLANCE IN GUINEA</w:t>
      </w:r>
    </w:p>
    <w:bookmarkEnd w:id="0"/>
    <w:p w14:paraId="46491F35" w14:textId="77777777" w:rsidR="007E6EC9" w:rsidRPr="007E6EC9" w:rsidRDefault="007E6EC9" w:rsidP="00D9471B">
      <w:pPr>
        <w:jc w:val="both"/>
        <w:rPr>
          <w:rFonts w:ascii="Arial" w:hAnsi="Arial" w:cs="Arial"/>
          <w:b/>
          <w:bCs/>
          <w:sz w:val="20"/>
          <w:szCs w:val="20"/>
        </w:rPr>
      </w:pPr>
    </w:p>
    <w:p w14:paraId="6D4F8D40" w14:textId="77777777" w:rsidR="007E6EC9" w:rsidRPr="007E6EC9" w:rsidRDefault="007E6EC9" w:rsidP="007E6EC9">
      <w:pPr>
        <w:jc w:val="both"/>
        <w:rPr>
          <w:rFonts w:ascii="Arial" w:hAnsi="Arial" w:cs="Arial"/>
          <w:b/>
          <w:bCs/>
          <w:sz w:val="20"/>
          <w:szCs w:val="20"/>
        </w:rPr>
      </w:pPr>
      <w:r w:rsidRPr="007E6EC9">
        <w:rPr>
          <w:rFonts w:ascii="Arial" w:hAnsi="Arial" w:cs="Arial"/>
          <w:b/>
          <w:bCs/>
          <w:sz w:val="20"/>
          <w:szCs w:val="20"/>
        </w:rPr>
        <w:t>ABSTRACT</w:t>
      </w:r>
      <w:bookmarkStart w:id="1" w:name="_GoBack"/>
      <w:bookmarkEnd w:id="1"/>
    </w:p>
    <w:p w14:paraId="31B98566" w14:textId="77777777" w:rsidR="004F51A8" w:rsidRDefault="004F51A8" w:rsidP="007E6EC9">
      <w:pPr>
        <w:jc w:val="both"/>
        <w:rPr>
          <w:rFonts w:ascii="Arial" w:hAnsi="Arial" w:cs="Arial"/>
          <w:b/>
          <w:bCs/>
          <w:sz w:val="20"/>
          <w:szCs w:val="20"/>
        </w:rPr>
      </w:pPr>
    </w:p>
    <w:p w14:paraId="4C6DE498" w14:textId="77777777" w:rsidR="00DF141D" w:rsidRPr="00DF141D" w:rsidRDefault="00DF141D" w:rsidP="00DF141D">
      <w:pPr>
        <w:jc w:val="both"/>
        <w:rPr>
          <w:rFonts w:ascii="Arial" w:hAnsi="Arial" w:cs="Arial"/>
          <w:b/>
          <w:bCs/>
          <w:sz w:val="20"/>
          <w:szCs w:val="20"/>
        </w:rPr>
      </w:pPr>
      <w:r w:rsidRPr="00DF141D">
        <w:rPr>
          <w:rFonts w:ascii="Arial" w:hAnsi="Arial" w:cs="Arial"/>
          <w:b/>
          <w:bCs/>
          <w:sz w:val="20"/>
          <w:szCs w:val="20"/>
        </w:rPr>
        <w:t xml:space="preserve">Introduction: </w:t>
      </w:r>
      <w:r w:rsidRPr="00DF141D">
        <w:rPr>
          <w:rFonts w:ascii="Arial" w:hAnsi="Arial" w:cs="Arial"/>
          <w:sz w:val="20"/>
          <w:szCs w:val="20"/>
        </w:rPr>
        <w:t>The Republic of Guinea has a multisectoral action plan for the surveillance and control of antimicrobial resistance (AMR). The objective of this study was to describe the current status of AMR surveillance in the country.</w:t>
      </w:r>
    </w:p>
    <w:p w14:paraId="2EE77522" w14:textId="77777777" w:rsidR="00DF141D" w:rsidRPr="00DF141D" w:rsidRDefault="00DF141D" w:rsidP="00DF141D">
      <w:pPr>
        <w:jc w:val="both"/>
        <w:rPr>
          <w:rFonts w:ascii="Arial" w:hAnsi="Arial" w:cs="Arial"/>
          <w:sz w:val="20"/>
          <w:szCs w:val="20"/>
        </w:rPr>
      </w:pPr>
      <w:r w:rsidRPr="00DF141D">
        <w:rPr>
          <w:rFonts w:ascii="Arial" w:hAnsi="Arial" w:cs="Arial"/>
          <w:b/>
          <w:bCs/>
          <w:sz w:val="20"/>
          <w:szCs w:val="20"/>
        </w:rPr>
        <w:t xml:space="preserve">Materials and Methods: </w:t>
      </w:r>
      <w:r w:rsidRPr="00DF141D">
        <w:rPr>
          <w:rFonts w:ascii="Arial" w:hAnsi="Arial" w:cs="Arial"/>
          <w:sz w:val="20"/>
          <w:szCs w:val="20"/>
        </w:rPr>
        <w:t>This was a retrospective study based on data collected from AMR sentinel surveillance laboratories during the first half of 2024. The national surveillance network is composed of 13 laboratories. Bacterial identification and antimicrobial susceptibility testing were performed using conventional methods and the automated VITEK® 2 Compact system.</w:t>
      </w:r>
    </w:p>
    <w:p w14:paraId="008571FF" w14:textId="77777777" w:rsidR="00DF141D" w:rsidRPr="00DF141D" w:rsidRDefault="00DF141D" w:rsidP="00DF141D">
      <w:pPr>
        <w:jc w:val="both"/>
        <w:rPr>
          <w:rFonts w:ascii="Arial" w:hAnsi="Arial" w:cs="Arial"/>
          <w:sz w:val="20"/>
          <w:szCs w:val="20"/>
        </w:rPr>
      </w:pPr>
      <w:r w:rsidRPr="00DF141D">
        <w:rPr>
          <w:rFonts w:ascii="Arial" w:hAnsi="Arial" w:cs="Arial"/>
          <w:b/>
          <w:bCs/>
          <w:sz w:val="20"/>
          <w:szCs w:val="20"/>
        </w:rPr>
        <w:t xml:space="preserve">Results: </w:t>
      </w:r>
      <w:r w:rsidRPr="00DF141D">
        <w:rPr>
          <w:rFonts w:ascii="Arial" w:hAnsi="Arial" w:cs="Arial"/>
          <w:sz w:val="20"/>
          <w:szCs w:val="20"/>
        </w:rPr>
        <w:t xml:space="preserve">During the study period, 8,355 samples were analyzed, and 2,832 bacterial isolates were identified by Gram staining. A total of 1,197 antimicrobial susceptibility tests were performed. Most samples originated from the regional hospital laboratories of </w:t>
      </w:r>
      <w:proofErr w:type="spellStart"/>
      <w:r w:rsidRPr="00DF141D">
        <w:rPr>
          <w:rFonts w:ascii="Arial" w:hAnsi="Arial" w:cs="Arial"/>
          <w:sz w:val="20"/>
          <w:szCs w:val="20"/>
        </w:rPr>
        <w:t>N’zérékoré</w:t>
      </w:r>
      <w:proofErr w:type="spellEnd"/>
      <w:r w:rsidRPr="00DF141D">
        <w:rPr>
          <w:rFonts w:ascii="Arial" w:hAnsi="Arial" w:cs="Arial"/>
          <w:sz w:val="20"/>
          <w:szCs w:val="20"/>
        </w:rPr>
        <w:t xml:space="preserve"> (1,603) and Kankan (1,343), as well as from the national hospitals Donka (1,434) and Ignace Deen (1,154) in Conakry. Urine samples accounted for the majority of biological specimens analyzed (77%), while blood samples represented only 1%. The main bacterial strains isolated were </w:t>
      </w:r>
      <w:r w:rsidRPr="00DF141D">
        <w:rPr>
          <w:rFonts w:ascii="Arial" w:hAnsi="Arial" w:cs="Arial"/>
          <w:i/>
          <w:iCs/>
          <w:sz w:val="20"/>
          <w:szCs w:val="20"/>
        </w:rPr>
        <w:t>Escherichia coli</w:t>
      </w:r>
      <w:r w:rsidRPr="00DF141D">
        <w:rPr>
          <w:rFonts w:ascii="Arial" w:hAnsi="Arial" w:cs="Arial"/>
          <w:sz w:val="20"/>
          <w:szCs w:val="20"/>
        </w:rPr>
        <w:t xml:space="preserve"> (54%), </w:t>
      </w:r>
      <w:r w:rsidRPr="00DF141D">
        <w:rPr>
          <w:rFonts w:ascii="Arial" w:hAnsi="Arial" w:cs="Arial"/>
          <w:i/>
          <w:iCs/>
          <w:sz w:val="20"/>
          <w:szCs w:val="20"/>
        </w:rPr>
        <w:t>Klebsiella pneumoniae</w:t>
      </w:r>
      <w:r w:rsidRPr="00DF141D">
        <w:rPr>
          <w:rFonts w:ascii="Arial" w:hAnsi="Arial" w:cs="Arial"/>
          <w:sz w:val="20"/>
          <w:szCs w:val="20"/>
        </w:rPr>
        <w:t xml:space="preserve"> (27%), and </w:t>
      </w:r>
      <w:r w:rsidRPr="00DF141D">
        <w:rPr>
          <w:rFonts w:ascii="Arial" w:hAnsi="Arial" w:cs="Arial"/>
          <w:i/>
          <w:iCs/>
          <w:sz w:val="20"/>
          <w:szCs w:val="20"/>
        </w:rPr>
        <w:t>Staphylococcus aureus</w:t>
      </w:r>
      <w:r w:rsidRPr="00DF141D">
        <w:rPr>
          <w:rFonts w:ascii="Arial" w:hAnsi="Arial" w:cs="Arial"/>
          <w:sz w:val="20"/>
          <w:szCs w:val="20"/>
        </w:rPr>
        <w:t xml:space="preserve"> (14%). Acquired resistance of these isolates to the tested antibiotics was 96% for penicillin, 24% for ceftriaxone, 14% for imipenem, 40% for meropenem, and 7% for ertapenem.</w:t>
      </w:r>
    </w:p>
    <w:p w14:paraId="1A72F28B" w14:textId="77777777" w:rsidR="00DF141D" w:rsidRPr="00DF141D" w:rsidRDefault="00DF141D" w:rsidP="00DF141D">
      <w:pPr>
        <w:jc w:val="both"/>
        <w:rPr>
          <w:rFonts w:ascii="Arial" w:hAnsi="Arial" w:cs="Arial"/>
          <w:sz w:val="20"/>
          <w:szCs w:val="20"/>
        </w:rPr>
      </w:pPr>
      <w:r w:rsidRPr="00DF141D">
        <w:rPr>
          <w:rFonts w:ascii="Arial" w:hAnsi="Arial" w:cs="Arial"/>
          <w:b/>
          <w:bCs/>
          <w:sz w:val="20"/>
          <w:szCs w:val="20"/>
        </w:rPr>
        <w:t xml:space="preserve">Conclusion: </w:t>
      </w:r>
      <w:r w:rsidRPr="00DF141D">
        <w:rPr>
          <w:rFonts w:ascii="Arial" w:hAnsi="Arial" w:cs="Arial"/>
          <w:sz w:val="20"/>
          <w:szCs w:val="20"/>
        </w:rPr>
        <w:t>Strengthening AMR surveillance in Guinea requires increasing the number of sentinel sites, improving the skills of stakeholders, securing sustainable funding, and raising awareness among prescribers and the general population to promote the rational use of antibiotics.</w:t>
      </w:r>
    </w:p>
    <w:p w14:paraId="075DC698" w14:textId="77777777" w:rsidR="007E6EC9" w:rsidRPr="007E6EC9" w:rsidRDefault="007E6EC9" w:rsidP="007E6EC9">
      <w:pPr>
        <w:jc w:val="both"/>
        <w:rPr>
          <w:rFonts w:ascii="Arial" w:hAnsi="Arial" w:cs="Arial"/>
          <w:sz w:val="20"/>
          <w:szCs w:val="20"/>
        </w:rPr>
      </w:pPr>
      <w:r w:rsidRPr="007E6EC9">
        <w:rPr>
          <w:rFonts w:ascii="Arial" w:hAnsi="Arial" w:cs="Arial"/>
          <w:b/>
          <w:bCs/>
          <w:sz w:val="20"/>
          <w:szCs w:val="20"/>
        </w:rPr>
        <w:t>Keywords:</w:t>
      </w:r>
      <w:r w:rsidRPr="007E6EC9">
        <w:rPr>
          <w:rFonts w:ascii="Arial" w:hAnsi="Arial" w:cs="Arial"/>
          <w:sz w:val="20"/>
          <w:szCs w:val="20"/>
        </w:rPr>
        <w:t xml:space="preserve"> Surveillance, AMR, Bacteria, Antibiotics, Guinea</w:t>
      </w:r>
    </w:p>
    <w:p w14:paraId="532C4A7A" w14:textId="77777777" w:rsidR="007E6EC9" w:rsidRPr="007E6EC9" w:rsidRDefault="007E6EC9" w:rsidP="00D9471B">
      <w:pPr>
        <w:jc w:val="both"/>
        <w:rPr>
          <w:rFonts w:ascii="Arial" w:hAnsi="Arial" w:cs="Arial"/>
          <w:b/>
          <w:bCs/>
          <w:sz w:val="20"/>
          <w:szCs w:val="20"/>
        </w:rPr>
      </w:pPr>
    </w:p>
    <w:p w14:paraId="154EF676" w14:textId="743BD6D9" w:rsidR="00512857" w:rsidRPr="007E6EC9" w:rsidRDefault="002D57F5" w:rsidP="00D9471B">
      <w:pPr>
        <w:jc w:val="both"/>
        <w:rPr>
          <w:rFonts w:ascii="Arial" w:hAnsi="Arial" w:cs="Arial"/>
          <w:b/>
          <w:bCs/>
          <w:sz w:val="20"/>
          <w:szCs w:val="20"/>
        </w:rPr>
      </w:pPr>
      <w:r w:rsidRPr="007E6EC9">
        <w:rPr>
          <w:rFonts w:ascii="Arial" w:hAnsi="Arial" w:cs="Arial"/>
          <w:b/>
          <w:bCs/>
          <w:sz w:val="20"/>
          <w:szCs w:val="20"/>
        </w:rPr>
        <w:t xml:space="preserve">1- </w:t>
      </w:r>
      <w:r w:rsidR="00512857" w:rsidRPr="007E6EC9">
        <w:rPr>
          <w:rFonts w:ascii="Arial" w:hAnsi="Arial" w:cs="Arial"/>
          <w:b/>
          <w:bCs/>
          <w:sz w:val="20"/>
          <w:szCs w:val="20"/>
        </w:rPr>
        <w:t>INTRODUCTION</w:t>
      </w:r>
    </w:p>
    <w:p w14:paraId="1151C764"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 xml:space="preserve">Antimicrobial resistance (AMR), particularly bacterial resistance, has become a critical threat to global health, undermining the effectiveness of infection treatment and prevention [1]. The global emergence of AMR against various </w:t>
      </w:r>
      <w:proofErr w:type="spellStart"/>
      <w:r w:rsidRPr="007E6EC9">
        <w:rPr>
          <w:rFonts w:ascii="Arial" w:hAnsi="Arial" w:cs="Arial"/>
          <w:sz w:val="20"/>
          <w:szCs w:val="20"/>
        </w:rPr>
        <w:t>carbapenemases</w:t>
      </w:r>
      <w:proofErr w:type="spellEnd"/>
      <w:r w:rsidRPr="007E6EC9">
        <w:rPr>
          <w:rFonts w:ascii="Arial" w:hAnsi="Arial" w:cs="Arial"/>
          <w:sz w:val="20"/>
          <w:szCs w:val="20"/>
        </w:rPr>
        <w:t xml:space="preserve"> across multiple bacterial species, associated with high mortality rates and potential biofilm formation, further highlights the unmet clinical need to address AMR [2–4].</w:t>
      </w:r>
    </w:p>
    <w:p w14:paraId="095AF57D"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AMR is one of the leading causes of mortality, contributing to approximately 9% of all deaths worldwide [1]. In 2019, around 13.7 million infection-related deaths were reported [5], of which AMR-associated infections directly contributed to about 1.27 million deaths and indirectly to 4.95 million deaths. The incidence of AMR-related deaths ranged from 28.0 in Australia to 114.8 in Western Sub-Saharan Africa per 100,000 population [1]. Up to 1.27 million of the estimated 7.7 million deaths attributable to bacterial infections could be caused by antibiotic-resistant bacterial pathogens [1,5].</w:t>
      </w:r>
    </w:p>
    <w:p w14:paraId="01886BB2"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lastRenderedPageBreak/>
        <w:t xml:space="preserve">AMR is often viewed as an isolated issue and therefore remains invisible to many stakeholders, yet it currently affects the health, well-being, and potential of most humans and other species inhabiting the planet [6]. It is a global health threat that has prompted a reinforced response from both national and international organizations [7–8]. In 2015, the World Health Organization (WHO), in collaboration with the World </w:t>
      </w:r>
      <w:proofErr w:type="spellStart"/>
      <w:r w:rsidRPr="007E6EC9">
        <w:rPr>
          <w:rFonts w:ascii="Arial" w:hAnsi="Arial" w:cs="Arial"/>
          <w:sz w:val="20"/>
          <w:szCs w:val="20"/>
        </w:rPr>
        <w:t>Organisation</w:t>
      </w:r>
      <w:proofErr w:type="spellEnd"/>
      <w:r w:rsidRPr="007E6EC9">
        <w:rPr>
          <w:rFonts w:ascii="Arial" w:hAnsi="Arial" w:cs="Arial"/>
          <w:sz w:val="20"/>
          <w:szCs w:val="20"/>
        </w:rPr>
        <w:t xml:space="preserve"> for Animal Health (WOAH) and the Food and Agriculture Organization of the United Nations (FAO), developed the Global Action Plan on AMR [9].</w:t>
      </w:r>
    </w:p>
    <w:p w14:paraId="0E84D33B" w14:textId="14CC83D9" w:rsidR="00512857" w:rsidRPr="007E6EC9" w:rsidRDefault="00512857" w:rsidP="00D9471B">
      <w:pPr>
        <w:jc w:val="both"/>
        <w:rPr>
          <w:rFonts w:ascii="Arial" w:hAnsi="Arial" w:cs="Arial"/>
          <w:sz w:val="20"/>
          <w:szCs w:val="20"/>
        </w:rPr>
      </w:pPr>
      <w:r w:rsidRPr="007E6EC9">
        <w:rPr>
          <w:rFonts w:ascii="Arial" w:hAnsi="Arial" w:cs="Arial"/>
          <w:sz w:val="20"/>
          <w:szCs w:val="20"/>
        </w:rPr>
        <w:t>In Guinea, combating AMR remains a national priority, leading to the development of a multisectoral action plan in 2019, aligned with the objectives of the Global Action Plan. A situational analysis conducted by the Ministry of Health, with support from technical and financial partners, identified several weaknesses, including: inappropriate use of antibiotics in healthcare settings by insufficiently trained and supervised professionals; inappropriate community use of antibiotics by inadequately informed populations; and the absence of specific antimicrobial regulations [10].</w:t>
      </w:r>
      <w:r w:rsidR="008A44C1" w:rsidRPr="007E6EC9">
        <w:rPr>
          <w:rFonts w:ascii="Arial" w:hAnsi="Arial" w:cs="Arial"/>
          <w:sz w:val="20"/>
          <w:szCs w:val="20"/>
        </w:rPr>
        <w:t xml:space="preserve"> </w:t>
      </w:r>
      <w:r w:rsidRPr="007E6EC9">
        <w:rPr>
          <w:rFonts w:ascii="Arial" w:hAnsi="Arial" w:cs="Arial"/>
          <w:sz w:val="20"/>
          <w:szCs w:val="20"/>
        </w:rPr>
        <w:t>Laboratory-based AMR surveillance, a key component of this plan, supports improvements in healthcare delivery as well as disease prevention and control. It also allows the evaluation of the impact of interventions to combat AMR. This surveillance is coordinated within the human health sector by the National Institute of Public Health (NIPH).</w:t>
      </w:r>
    </w:p>
    <w:p w14:paraId="18A84325"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The objective of this study was to describe the current aspects of AMR surveillance in Guinea.</w:t>
      </w:r>
    </w:p>
    <w:p w14:paraId="3BD6E4AB" w14:textId="057AF706" w:rsidR="00512857" w:rsidRPr="007E6EC9" w:rsidRDefault="00FF66F3" w:rsidP="00D9471B">
      <w:pPr>
        <w:jc w:val="both"/>
        <w:rPr>
          <w:rFonts w:ascii="Arial" w:hAnsi="Arial" w:cs="Arial"/>
          <w:b/>
          <w:bCs/>
          <w:sz w:val="20"/>
          <w:szCs w:val="20"/>
        </w:rPr>
      </w:pPr>
      <w:r w:rsidRPr="007E6EC9">
        <w:rPr>
          <w:rFonts w:ascii="Arial" w:hAnsi="Arial" w:cs="Arial"/>
          <w:b/>
          <w:bCs/>
          <w:sz w:val="20"/>
          <w:szCs w:val="20"/>
        </w:rPr>
        <w:t xml:space="preserve">2- </w:t>
      </w:r>
      <w:r w:rsidR="00512857" w:rsidRPr="007E6EC9">
        <w:rPr>
          <w:rFonts w:ascii="Arial" w:hAnsi="Arial" w:cs="Arial"/>
          <w:b/>
          <w:bCs/>
          <w:sz w:val="20"/>
          <w:szCs w:val="20"/>
        </w:rPr>
        <w:t>MATERIALS AND METHODS</w:t>
      </w:r>
    </w:p>
    <w:p w14:paraId="3E0F4BCA" w14:textId="4FF06284" w:rsidR="00512857" w:rsidRPr="007E6EC9" w:rsidRDefault="00FF66F3" w:rsidP="00D9471B">
      <w:pPr>
        <w:jc w:val="both"/>
        <w:rPr>
          <w:rFonts w:ascii="Arial" w:hAnsi="Arial" w:cs="Arial"/>
          <w:b/>
          <w:bCs/>
          <w:sz w:val="20"/>
          <w:szCs w:val="20"/>
        </w:rPr>
      </w:pPr>
      <w:r w:rsidRPr="007E6EC9">
        <w:rPr>
          <w:rFonts w:ascii="Arial" w:hAnsi="Arial" w:cs="Arial"/>
          <w:b/>
          <w:bCs/>
          <w:sz w:val="20"/>
          <w:szCs w:val="20"/>
        </w:rPr>
        <w:t>2.</w:t>
      </w:r>
      <w:r w:rsidR="00512857" w:rsidRPr="007E6EC9">
        <w:rPr>
          <w:rFonts w:ascii="Arial" w:hAnsi="Arial" w:cs="Arial"/>
          <w:b/>
          <w:bCs/>
          <w:sz w:val="20"/>
          <w:szCs w:val="20"/>
        </w:rPr>
        <w:t>1. Study setting</w:t>
      </w:r>
    </w:p>
    <w:p w14:paraId="6BDB4BCA"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The Republic of Guinea is a coastal country located in the western part of the African continent, midway between the equator and the Tropic of Cancer. It covers an area of 245,857 km², with an estimated population of 13,261,638 inhabitants in 2022, and an average density of 53.94 inhabitants per km². The health system is structured according to the administrative divisions of the country, comprising 8 regions and 38 health prefectures.</w:t>
      </w:r>
    </w:p>
    <w:p w14:paraId="56F76231"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Public healthcare facilities are organized into three levels. The secondary level includes regional hospitals and laboratories, which also serve as prefectural hospitals where they are located, acting as referral centers for prefectural health facilities. Following the major Ebola outbreak (2014–2016), Guinea strengthened its health system through the establishment of coordination and surveillance bodies, capacity building of human resources, and the construction and equipping of diagnostic and treatment centers. As part of this effort, regional hospital laboratories were equipped and personnel were trained in AMR diagnosis.</w:t>
      </w:r>
    </w:p>
    <w:p w14:paraId="0BDA18D9" w14:textId="77777777" w:rsidR="004F51A8" w:rsidRDefault="004F51A8" w:rsidP="00D9471B">
      <w:pPr>
        <w:jc w:val="both"/>
        <w:rPr>
          <w:rFonts w:ascii="Arial" w:hAnsi="Arial" w:cs="Arial"/>
          <w:b/>
          <w:bCs/>
          <w:sz w:val="20"/>
          <w:szCs w:val="20"/>
        </w:rPr>
      </w:pPr>
    </w:p>
    <w:p w14:paraId="6BA54E8A" w14:textId="77777777" w:rsidR="004F51A8" w:rsidRDefault="004F51A8" w:rsidP="00D9471B">
      <w:pPr>
        <w:jc w:val="both"/>
        <w:rPr>
          <w:rFonts w:ascii="Arial" w:hAnsi="Arial" w:cs="Arial"/>
          <w:b/>
          <w:bCs/>
          <w:sz w:val="20"/>
          <w:szCs w:val="20"/>
        </w:rPr>
      </w:pPr>
    </w:p>
    <w:p w14:paraId="6B7EDB86" w14:textId="48F7F601" w:rsidR="00512857" w:rsidRPr="007E6EC9" w:rsidRDefault="00512857" w:rsidP="00D9471B">
      <w:pPr>
        <w:jc w:val="both"/>
        <w:rPr>
          <w:rFonts w:ascii="Arial" w:hAnsi="Arial" w:cs="Arial"/>
          <w:b/>
          <w:bCs/>
          <w:sz w:val="20"/>
          <w:szCs w:val="20"/>
        </w:rPr>
      </w:pPr>
      <w:r w:rsidRPr="007E6EC9">
        <w:rPr>
          <w:rFonts w:ascii="Arial" w:hAnsi="Arial" w:cs="Arial"/>
          <w:b/>
          <w:bCs/>
          <w:sz w:val="20"/>
          <w:szCs w:val="20"/>
        </w:rPr>
        <w:t>2.</w:t>
      </w:r>
      <w:r w:rsidR="00FF66F3" w:rsidRPr="007E6EC9">
        <w:rPr>
          <w:rFonts w:ascii="Arial" w:hAnsi="Arial" w:cs="Arial"/>
          <w:b/>
          <w:bCs/>
          <w:sz w:val="20"/>
          <w:szCs w:val="20"/>
        </w:rPr>
        <w:t>2</w:t>
      </w:r>
      <w:r w:rsidRPr="007E6EC9">
        <w:rPr>
          <w:rFonts w:ascii="Arial" w:hAnsi="Arial" w:cs="Arial"/>
          <w:b/>
          <w:bCs/>
          <w:sz w:val="20"/>
          <w:szCs w:val="20"/>
        </w:rPr>
        <w:t xml:space="preserve"> Study design and period</w:t>
      </w:r>
    </w:p>
    <w:p w14:paraId="7CB888D4"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This was a descriptive, retrospective study covering the period from January 1 to July 31, 2024.</w:t>
      </w:r>
    </w:p>
    <w:p w14:paraId="4E66359C" w14:textId="77777777" w:rsidR="00512857" w:rsidRPr="007E6EC9" w:rsidRDefault="00512857" w:rsidP="00D9471B">
      <w:pPr>
        <w:jc w:val="both"/>
        <w:rPr>
          <w:rFonts w:ascii="Arial" w:hAnsi="Arial" w:cs="Arial"/>
          <w:b/>
          <w:bCs/>
          <w:sz w:val="20"/>
          <w:szCs w:val="20"/>
        </w:rPr>
      </w:pPr>
      <w:r w:rsidRPr="007E6EC9">
        <w:rPr>
          <w:rFonts w:ascii="Arial" w:hAnsi="Arial" w:cs="Arial"/>
          <w:b/>
          <w:bCs/>
          <w:sz w:val="20"/>
          <w:szCs w:val="20"/>
        </w:rPr>
        <w:t>3. Organization of AMR surveillance in Guinea</w:t>
      </w:r>
    </w:p>
    <w:p w14:paraId="4223809B" w14:textId="77777777" w:rsidR="00512857" w:rsidRPr="007E6EC9" w:rsidRDefault="00512857" w:rsidP="00D9471B">
      <w:pPr>
        <w:jc w:val="both"/>
        <w:rPr>
          <w:rFonts w:ascii="Arial" w:hAnsi="Arial" w:cs="Arial"/>
          <w:b/>
          <w:bCs/>
          <w:sz w:val="20"/>
          <w:szCs w:val="20"/>
        </w:rPr>
      </w:pPr>
      <w:r w:rsidRPr="007E6EC9">
        <w:rPr>
          <w:rFonts w:ascii="Arial" w:hAnsi="Arial" w:cs="Arial"/>
          <w:b/>
          <w:bCs/>
          <w:sz w:val="20"/>
          <w:szCs w:val="20"/>
        </w:rPr>
        <w:t>3.1 Multisectoral governance and coordination</w:t>
      </w:r>
    </w:p>
    <w:p w14:paraId="67099977"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At the national level, the AMR Steering Committee serves as the supreme decision-making body and is chaired by the Minister of Health. In fulfilling its mandate, it relies on several structures, including: the National Executive Secretariat for AMR, the Multisectoral Coordination Committee, and various multisectoral technical working groups. Within the One Health framework, each ministry has a designated AMR sectoral focal point.</w:t>
      </w:r>
    </w:p>
    <w:p w14:paraId="76515E4B"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lastRenderedPageBreak/>
        <w:t>The National Reference Laboratory of the NIPH serves as the national reference laboratory for bacteriological analysis and AMR surveillance in human health, while the Central Veterinary Diagnostic Laboratory performs the same role in the animal health sector. The country also has other laboratories capable of conducting AMR surveillance activities. A national laboratory surveillance protocol was developed based on national needs and available resources.</w:t>
      </w:r>
    </w:p>
    <w:p w14:paraId="2A9B4AF3" w14:textId="77777777" w:rsidR="00512857" w:rsidRPr="007E6EC9" w:rsidRDefault="00512857" w:rsidP="00D9471B">
      <w:pPr>
        <w:jc w:val="both"/>
        <w:rPr>
          <w:rFonts w:ascii="Arial" w:hAnsi="Arial" w:cs="Arial"/>
          <w:b/>
          <w:bCs/>
          <w:sz w:val="20"/>
          <w:szCs w:val="20"/>
        </w:rPr>
      </w:pPr>
      <w:r w:rsidRPr="007E6EC9">
        <w:rPr>
          <w:rFonts w:ascii="Arial" w:hAnsi="Arial" w:cs="Arial"/>
          <w:b/>
          <w:bCs/>
          <w:sz w:val="20"/>
          <w:szCs w:val="20"/>
        </w:rPr>
        <w:t>3.2 AMR sentinel surveillance sites</w:t>
      </w:r>
    </w:p>
    <w:p w14:paraId="22970EBE"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In the human health sector, 13 laboratories participate in AMR surveillance. These include:</w:t>
      </w:r>
    </w:p>
    <w:p w14:paraId="181D46EC" w14:textId="77777777" w:rsidR="00512857" w:rsidRPr="007E6EC9" w:rsidRDefault="00512857" w:rsidP="00D9471B">
      <w:pPr>
        <w:numPr>
          <w:ilvl w:val="0"/>
          <w:numId w:val="1"/>
        </w:numPr>
        <w:jc w:val="both"/>
        <w:rPr>
          <w:rFonts w:ascii="Arial" w:hAnsi="Arial" w:cs="Arial"/>
          <w:sz w:val="20"/>
          <w:szCs w:val="20"/>
        </w:rPr>
      </w:pPr>
      <w:r w:rsidRPr="007E6EC9">
        <w:rPr>
          <w:rFonts w:ascii="Arial" w:hAnsi="Arial" w:cs="Arial"/>
          <w:sz w:val="20"/>
          <w:szCs w:val="20"/>
        </w:rPr>
        <w:t>7 of the 8 regional hospital laboratories (</w:t>
      </w:r>
      <w:proofErr w:type="spellStart"/>
      <w:r w:rsidRPr="007E6EC9">
        <w:rPr>
          <w:rFonts w:ascii="Arial" w:hAnsi="Arial" w:cs="Arial"/>
          <w:sz w:val="20"/>
          <w:szCs w:val="20"/>
        </w:rPr>
        <w:t>N’zérékoré</w:t>
      </w:r>
      <w:proofErr w:type="spellEnd"/>
      <w:r w:rsidRPr="007E6EC9">
        <w:rPr>
          <w:rFonts w:ascii="Arial" w:hAnsi="Arial" w:cs="Arial"/>
          <w:sz w:val="20"/>
          <w:szCs w:val="20"/>
        </w:rPr>
        <w:t xml:space="preserve">, </w:t>
      </w:r>
      <w:proofErr w:type="spellStart"/>
      <w:r w:rsidRPr="007E6EC9">
        <w:rPr>
          <w:rFonts w:ascii="Arial" w:hAnsi="Arial" w:cs="Arial"/>
          <w:sz w:val="20"/>
          <w:szCs w:val="20"/>
        </w:rPr>
        <w:t>Faranah</w:t>
      </w:r>
      <w:proofErr w:type="spellEnd"/>
      <w:r w:rsidRPr="007E6EC9">
        <w:rPr>
          <w:rFonts w:ascii="Arial" w:hAnsi="Arial" w:cs="Arial"/>
          <w:sz w:val="20"/>
          <w:szCs w:val="20"/>
        </w:rPr>
        <w:t xml:space="preserve">, Kankan, </w:t>
      </w:r>
      <w:proofErr w:type="spellStart"/>
      <w:r w:rsidRPr="007E6EC9">
        <w:rPr>
          <w:rFonts w:ascii="Arial" w:hAnsi="Arial" w:cs="Arial"/>
          <w:sz w:val="20"/>
          <w:szCs w:val="20"/>
        </w:rPr>
        <w:t>Mamou</w:t>
      </w:r>
      <w:proofErr w:type="spellEnd"/>
      <w:r w:rsidRPr="007E6EC9">
        <w:rPr>
          <w:rFonts w:ascii="Arial" w:hAnsi="Arial" w:cs="Arial"/>
          <w:sz w:val="20"/>
          <w:szCs w:val="20"/>
        </w:rPr>
        <w:t xml:space="preserve">, </w:t>
      </w:r>
      <w:proofErr w:type="spellStart"/>
      <w:r w:rsidRPr="007E6EC9">
        <w:rPr>
          <w:rFonts w:ascii="Arial" w:hAnsi="Arial" w:cs="Arial"/>
          <w:sz w:val="20"/>
          <w:szCs w:val="20"/>
        </w:rPr>
        <w:t>Labé</w:t>
      </w:r>
      <w:proofErr w:type="spellEnd"/>
      <w:r w:rsidRPr="007E6EC9">
        <w:rPr>
          <w:rFonts w:ascii="Arial" w:hAnsi="Arial" w:cs="Arial"/>
          <w:sz w:val="20"/>
          <w:szCs w:val="20"/>
        </w:rPr>
        <w:t xml:space="preserve">, </w:t>
      </w:r>
      <w:proofErr w:type="spellStart"/>
      <w:r w:rsidRPr="007E6EC9">
        <w:rPr>
          <w:rFonts w:ascii="Arial" w:hAnsi="Arial" w:cs="Arial"/>
          <w:sz w:val="20"/>
          <w:szCs w:val="20"/>
        </w:rPr>
        <w:t>Boké</w:t>
      </w:r>
      <w:proofErr w:type="spellEnd"/>
      <w:r w:rsidRPr="007E6EC9">
        <w:rPr>
          <w:rFonts w:ascii="Arial" w:hAnsi="Arial" w:cs="Arial"/>
          <w:sz w:val="20"/>
          <w:szCs w:val="20"/>
        </w:rPr>
        <w:t xml:space="preserve">, and </w:t>
      </w:r>
      <w:proofErr w:type="spellStart"/>
      <w:r w:rsidRPr="007E6EC9">
        <w:rPr>
          <w:rFonts w:ascii="Arial" w:hAnsi="Arial" w:cs="Arial"/>
          <w:sz w:val="20"/>
          <w:szCs w:val="20"/>
        </w:rPr>
        <w:t>Kindia</w:t>
      </w:r>
      <w:proofErr w:type="spellEnd"/>
      <w:r w:rsidRPr="007E6EC9">
        <w:rPr>
          <w:rFonts w:ascii="Arial" w:hAnsi="Arial" w:cs="Arial"/>
          <w:sz w:val="20"/>
          <w:szCs w:val="20"/>
        </w:rPr>
        <w:t>)</w:t>
      </w:r>
    </w:p>
    <w:p w14:paraId="3636928B" w14:textId="77777777" w:rsidR="00512857" w:rsidRPr="007E6EC9" w:rsidRDefault="00512857" w:rsidP="00D9471B">
      <w:pPr>
        <w:numPr>
          <w:ilvl w:val="0"/>
          <w:numId w:val="1"/>
        </w:numPr>
        <w:jc w:val="both"/>
        <w:rPr>
          <w:rFonts w:ascii="Arial" w:hAnsi="Arial" w:cs="Arial"/>
          <w:sz w:val="20"/>
          <w:szCs w:val="20"/>
        </w:rPr>
      </w:pPr>
      <w:r w:rsidRPr="007E6EC9">
        <w:rPr>
          <w:rFonts w:ascii="Arial" w:hAnsi="Arial" w:cs="Arial"/>
          <w:sz w:val="20"/>
          <w:szCs w:val="20"/>
        </w:rPr>
        <w:t>2 of the 3 national hospital laboratories (Donka and Ignace Deen)</w:t>
      </w:r>
    </w:p>
    <w:p w14:paraId="66A0AAEC" w14:textId="77777777" w:rsidR="00512857" w:rsidRPr="007E6EC9" w:rsidRDefault="00512857" w:rsidP="00D9471B">
      <w:pPr>
        <w:numPr>
          <w:ilvl w:val="0"/>
          <w:numId w:val="1"/>
        </w:numPr>
        <w:jc w:val="both"/>
        <w:rPr>
          <w:rFonts w:ascii="Arial" w:hAnsi="Arial" w:cs="Arial"/>
          <w:sz w:val="20"/>
          <w:szCs w:val="20"/>
        </w:rPr>
      </w:pPr>
      <w:r w:rsidRPr="007E6EC9">
        <w:rPr>
          <w:rFonts w:ascii="Arial" w:hAnsi="Arial" w:cs="Arial"/>
          <w:sz w:val="20"/>
          <w:szCs w:val="20"/>
        </w:rPr>
        <w:t>2 private laboratories (Biomar 24 and Biolab-Guinée)</w:t>
      </w:r>
    </w:p>
    <w:p w14:paraId="3CCA0410" w14:textId="77777777" w:rsidR="00512857" w:rsidRPr="007E6EC9" w:rsidRDefault="00512857" w:rsidP="00D9471B">
      <w:pPr>
        <w:numPr>
          <w:ilvl w:val="0"/>
          <w:numId w:val="1"/>
        </w:numPr>
        <w:jc w:val="both"/>
        <w:rPr>
          <w:rFonts w:ascii="Arial" w:hAnsi="Arial" w:cs="Arial"/>
          <w:sz w:val="20"/>
          <w:szCs w:val="20"/>
        </w:rPr>
      </w:pPr>
      <w:r w:rsidRPr="007E6EC9">
        <w:rPr>
          <w:rFonts w:ascii="Arial" w:hAnsi="Arial" w:cs="Arial"/>
          <w:sz w:val="20"/>
          <w:szCs w:val="20"/>
        </w:rPr>
        <w:t>1 mixed laboratory (National Social Security Fund Laboratory)</w:t>
      </w:r>
    </w:p>
    <w:p w14:paraId="2D0ABBF8" w14:textId="77777777" w:rsidR="00512857" w:rsidRPr="007E6EC9" w:rsidRDefault="00512857" w:rsidP="00D9471B">
      <w:pPr>
        <w:numPr>
          <w:ilvl w:val="0"/>
          <w:numId w:val="1"/>
        </w:numPr>
        <w:jc w:val="both"/>
        <w:rPr>
          <w:rFonts w:ascii="Arial" w:hAnsi="Arial" w:cs="Arial"/>
          <w:sz w:val="20"/>
          <w:szCs w:val="20"/>
        </w:rPr>
      </w:pPr>
      <w:r w:rsidRPr="007E6EC9">
        <w:rPr>
          <w:rFonts w:ascii="Arial" w:hAnsi="Arial" w:cs="Arial"/>
          <w:sz w:val="20"/>
          <w:szCs w:val="20"/>
        </w:rPr>
        <w:t>1 central-level laboratory (National Reference Laboratory, NIPH).</w:t>
      </w:r>
    </w:p>
    <w:p w14:paraId="36F50347" w14:textId="3F375C50" w:rsidR="00980C37" w:rsidRPr="00980C37" w:rsidRDefault="00980C37" w:rsidP="00980C37">
      <w:pPr>
        <w:jc w:val="both"/>
        <w:rPr>
          <w:rFonts w:ascii="Arial" w:hAnsi="Arial" w:cs="Arial"/>
          <w:b/>
          <w:bCs/>
          <w:sz w:val="20"/>
          <w:szCs w:val="20"/>
        </w:rPr>
      </w:pPr>
      <w:r>
        <w:rPr>
          <w:rFonts w:ascii="Arial" w:hAnsi="Arial" w:cs="Arial"/>
          <w:b/>
          <w:bCs/>
          <w:sz w:val="20"/>
          <w:szCs w:val="20"/>
        </w:rPr>
        <w:t>4</w:t>
      </w:r>
      <w:r w:rsidRPr="00980C37">
        <w:rPr>
          <w:rFonts w:ascii="Arial" w:hAnsi="Arial" w:cs="Arial"/>
          <w:b/>
          <w:bCs/>
          <w:sz w:val="20"/>
          <w:szCs w:val="20"/>
        </w:rPr>
        <w:t>. Inclusion criteria</w:t>
      </w:r>
    </w:p>
    <w:p w14:paraId="708B8678" w14:textId="77777777" w:rsidR="00980C37" w:rsidRPr="00980C37" w:rsidRDefault="00980C37" w:rsidP="00980C37">
      <w:pPr>
        <w:jc w:val="both"/>
        <w:rPr>
          <w:rFonts w:ascii="Arial" w:hAnsi="Arial" w:cs="Arial"/>
          <w:sz w:val="20"/>
          <w:szCs w:val="20"/>
        </w:rPr>
      </w:pPr>
      <w:r w:rsidRPr="00980C37">
        <w:rPr>
          <w:rFonts w:ascii="Arial" w:hAnsi="Arial" w:cs="Arial"/>
          <w:sz w:val="20"/>
          <w:szCs w:val="20"/>
        </w:rPr>
        <w:t>All samples collected from patients attending sites belonging to the national AMR surveillance network in Guinea during the study period were included, provided that the essential data were available in the DHIS2 system.</w:t>
      </w:r>
    </w:p>
    <w:p w14:paraId="1302B136" w14:textId="33B294F8" w:rsidR="00980C37" w:rsidRPr="00980C37" w:rsidRDefault="00980C37" w:rsidP="00980C37">
      <w:pPr>
        <w:jc w:val="both"/>
        <w:rPr>
          <w:rFonts w:ascii="Arial" w:hAnsi="Arial" w:cs="Arial"/>
          <w:sz w:val="20"/>
          <w:szCs w:val="20"/>
        </w:rPr>
      </w:pPr>
      <w:r w:rsidRPr="00980C37">
        <w:rPr>
          <w:rFonts w:ascii="Arial" w:hAnsi="Arial" w:cs="Arial"/>
          <w:sz w:val="20"/>
          <w:szCs w:val="20"/>
        </w:rPr>
        <w:t>For the analysis, only one isolate per bacterial species per patient was retained.</w:t>
      </w:r>
    </w:p>
    <w:p w14:paraId="0FD9F0FD" w14:textId="47A471DE" w:rsidR="00512857" w:rsidRPr="007E6EC9" w:rsidRDefault="00980C37" w:rsidP="00D9471B">
      <w:pPr>
        <w:jc w:val="both"/>
        <w:rPr>
          <w:rFonts w:ascii="Arial" w:hAnsi="Arial" w:cs="Arial"/>
          <w:b/>
          <w:bCs/>
          <w:sz w:val="20"/>
          <w:szCs w:val="20"/>
        </w:rPr>
      </w:pPr>
      <w:r>
        <w:rPr>
          <w:rFonts w:ascii="Arial" w:hAnsi="Arial" w:cs="Arial"/>
          <w:b/>
          <w:bCs/>
          <w:sz w:val="20"/>
          <w:szCs w:val="20"/>
        </w:rPr>
        <w:t>5</w:t>
      </w:r>
      <w:r w:rsidR="00512857" w:rsidRPr="007E6EC9">
        <w:rPr>
          <w:rFonts w:ascii="Arial" w:hAnsi="Arial" w:cs="Arial"/>
          <w:b/>
          <w:bCs/>
          <w:sz w:val="20"/>
          <w:szCs w:val="20"/>
        </w:rPr>
        <w:t>. Antimicrobial resistance testing</w:t>
      </w:r>
    </w:p>
    <w:p w14:paraId="36FECFDC"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Bacterial identification was performed using both conventional methods and the automated VITEK® 2 Compact system. Antibiotic susceptibility testing was carried out using the disk diffusion method on Mueller-Hinton agar, according to the CA-SFM–EUCAST 2023 recommendations [11], and by the automated VITEK® 2 Compact system.</w:t>
      </w:r>
    </w:p>
    <w:p w14:paraId="6878FC5E" w14:textId="186E4D2E" w:rsidR="00512857" w:rsidRPr="007E6EC9" w:rsidRDefault="007449B9" w:rsidP="00D9471B">
      <w:pPr>
        <w:jc w:val="both"/>
        <w:rPr>
          <w:rFonts w:ascii="Arial" w:hAnsi="Arial" w:cs="Arial"/>
          <w:b/>
          <w:bCs/>
          <w:sz w:val="20"/>
          <w:szCs w:val="20"/>
        </w:rPr>
      </w:pPr>
      <w:r>
        <w:rPr>
          <w:rFonts w:ascii="Arial" w:hAnsi="Arial" w:cs="Arial"/>
          <w:b/>
          <w:bCs/>
          <w:sz w:val="20"/>
          <w:szCs w:val="20"/>
        </w:rPr>
        <w:t>6</w:t>
      </w:r>
      <w:r w:rsidR="00512857" w:rsidRPr="007E6EC9">
        <w:rPr>
          <w:rFonts w:ascii="Arial" w:hAnsi="Arial" w:cs="Arial"/>
          <w:b/>
          <w:bCs/>
          <w:sz w:val="20"/>
          <w:szCs w:val="20"/>
        </w:rPr>
        <w:t>. Data management and analysis</w:t>
      </w:r>
    </w:p>
    <w:p w14:paraId="04768D00"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Data were extracted from the DHIS2 surveillance system of the Ministry of Health and Public Hygiene in Excel format and analyzed using R software, version 4.3.1. A descriptive analysis was conducted for the entire dataset. Qualitative variables were presented as proportions, while quantitative variables were expressed as medians and means.</w:t>
      </w:r>
    </w:p>
    <w:p w14:paraId="368774A1" w14:textId="77777777" w:rsidR="004F51A8" w:rsidRDefault="004F51A8" w:rsidP="00D9471B">
      <w:pPr>
        <w:jc w:val="both"/>
        <w:rPr>
          <w:rFonts w:ascii="Arial" w:hAnsi="Arial" w:cs="Arial"/>
          <w:b/>
          <w:bCs/>
          <w:sz w:val="20"/>
          <w:szCs w:val="20"/>
        </w:rPr>
      </w:pPr>
    </w:p>
    <w:p w14:paraId="50B3B8EC" w14:textId="77777777" w:rsidR="004F51A8" w:rsidRDefault="004F51A8" w:rsidP="00D9471B">
      <w:pPr>
        <w:jc w:val="both"/>
        <w:rPr>
          <w:rFonts w:ascii="Arial" w:hAnsi="Arial" w:cs="Arial"/>
          <w:b/>
          <w:bCs/>
          <w:sz w:val="20"/>
          <w:szCs w:val="20"/>
        </w:rPr>
      </w:pPr>
    </w:p>
    <w:p w14:paraId="77377268" w14:textId="77777777" w:rsidR="004F51A8" w:rsidRDefault="004F51A8" w:rsidP="00D9471B">
      <w:pPr>
        <w:jc w:val="both"/>
        <w:rPr>
          <w:rFonts w:ascii="Arial" w:hAnsi="Arial" w:cs="Arial"/>
          <w:b/>
          <w:bCs/>
          <w:sz w:val="20"/>
          <w:szCs w:val="20"/>
        </w:rPr>
      </w:pPr>
    </w:p>
    <w:p w14:paraId="4BD80789" w14:textId="77777777" w:rsidR="004F51A8" w:rsidRDefault="004F51A8" w:rsidP="00D9471B">
      <w:pPr>
        <w:jc w:val="both"/>
        <w:rPr>
          <w:rFonts w:ascii="Arial" w:hAnsi="Arial" w:cs="Arial"/>
          <w:b/>
          <w:bCs/>
          <w:sz w:val="20"/>
          <w:szCs w:val="20"/>
        </w:rPr>
      </w:pPr>
    </w:p>
    <w:p w14:paraId="0B9894B4" w14:textId="252D09A7" w:rsidR="00512857" w:rsidRPr="007E6EC9" w:rsidRDefault="00512857" w:rsidP="00D9471B">
      <w:pPr>
        <w:jc w:val="both"/>
        <w:rPr>
          <w:rFonts w:ascii="Arial" w:hAnsi="Arial" w:cs="Arial"/>
          <w:b/>
          <w:bCs/>
          <w:sz w:val="20"/>
          <w:szCs w:val="20"/>
        </w:rPr>
      </w:pPr>
      <w:r w:rsidRPr="007E6EC9">
        <w:rPr>
          <w:rFonts w:ascii="Arial" w:hAnsi="Arial" w:cs="Arial"/>
          <w:b/>
          <w:bCs/>
          <w:sz w:val="20"/>
          <w:szCs w:val="20"/>
        </w:rPr>
        <w:t>RESULTS</w:t>
      </w:r>
    </w:p>
    <w:p w14:paraId="778D6D91"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 xml:space="preserve">During the study period, a total of 8,355 samples were analyzed, from which 2,832 bacterial strains were Gram-identified. The number of antibiotic susceptibility tests (antibiograms) performed was 1,197. These </w:t>
      </w:r>
      <w:r w:rsidRPr="007E6EC9">
        <w:rPr>
          <w:rFonts w:ascii="Arial" w:hAnsi="Arial" w:cs="Arial"/>
          <w:sz w:val="20"/>
          <w:szCs w:val="20"/>
        </w:rPr>
        <w:lastRenderedPageBreak/>
        <w:t xml:space="preserve">samples mainly originated from the regional hospital laboratories of </w:t>
      </w:r>
      <w:proofErr w:type="spellStart"/>
      <w:r w:rsidRPr="007E6EC9">
        <w:rPr>
          <w:rFonts w:ascii="Arial" w:hAnsi="Arial" w:cs="Arial"/>
          <w:sz w:val="20"/>
          <w:szCs w:val="20"/>
        </w:rPr>
        <w:t>N’zérékoré</w:t>
      </w:r>
      <w:proofErr w:type="spellEnd"/>
      <w:r w:rsidRPr="007E6EC9">
        <w:rPr>
          <w:rFonts w:ascii="Arial" w:hAnsi="Arial" w:cs="Arial"/>
          <w:sz w:val="20"/>
          <w:szCs w:val="20"/>
        </w:rPr>
        <w:t xml:space="preserve"> (1,603) and Kankan (1,343), as well as the national hospitals Donka (1,434) and Ignace Deen (1,154) in Conakry (Table I).</w:t>
      </w:r>
    </w:p>
    <w:p w14:paraId="131C3983" w14:textId="082631D2" w:rsidR="00512857" w:rsidRPr="007E6EC9" w:rsidRDefault="00384340" w:rsidP="00D9471B">
      <w:pPr>
        <w:jc w:val="both"/>
        <w:rPr>
          <w:rFonts w:ascii="Arial" w:hAnsi="Arial" w:cs="Arial"/>
          <w:sz w:val="20"/>
          <w:szCs w:val="20"/>
        </w:rPr>
      </w:pPr>
      <w:r w:rsidRPr="007E6EC9">
        <w:rPr>
          <w:rFonts w:ascii="Arial" w:hAnsi="Arial" w:cs="Arial"/>
          <w:b/>
          <w:bCs/>
          <w:sz w:val="20"/>
          <w:szCs w:val="20"/>
        </w:rPr>
        <w:t>Table I:</w:t>
      </w:r>
      <w:r w:rsidRPr="007E6EC9">
        <w:rPr>
          <w:rFonts w:ascii="Arial" w:hAnsi="Arial" w:cs="Arial"/>
          <w:sz w:val="20"/>
          <w:szCs w:val="20"/>
        </w:rPr>
        <w:t xml:space="preserve"> Number of Antibiotic Susceptibility Tests (Antibiograms) Performed by Sentinel Site, January 1 – July 31, 2024, Guinea</w:t>
      </w:r>
    </w:p>
    <w:tbl>
      <w:tblPr>
        <w:tblStyle w:val="TableGrid"/>
        <w:tblW w:w="0" w:type="auto"/>
        <w:tblLayout w:type="fixed"/>
        <w:tblLook w:val="04A0" w:firstRow="1" w:lastRow="0" w:firstColumn="1" w:lastColumn="0" w:noHBand="0" w:noVBand="1"/>
      </w:tblPr>
      <w:tblGrid>
        <w:gridCol w:w="4111"/>
        <w:gridCol w:w="1559"/>
        <w:gridCol w:w="1701"/>
        <w:gridCol w:w="1989"/>
      </w:tblGrid>
      <w:tr w:rsidR="00384340" w:rsidRPr="007E6EC9" w14:paraId="5265FB13" w14:textId="77777777" w:rsidTr="00374969">
        <w:tc>
          <w:tcPr>
            <w:tcW w:w="4111" w:type="dxa"/>
            <w:tcBorders>
              <w:left w:val="nil"/>
              <w:bottom w:val="single" w:sz="4" w:space="0" w:color="auto"/>
              <w:right w:val="nil"/>
            </w:tcBorders>
          </w:tcPr>
          <w:p w14:paraId="7B82109E" w14:textId="14465F85" w:rsidR="00384340" w:rsidRPr="007E6EC9" w:rsidRDefault="00384340" w:rsidP="00D9471B">
            <w:pPr>
              <w:jc w:val="both"/>
              <w:rPr>
                <w:rFonts w:ascii="Arial" w:hAnsi="Arial" w:cs="Arial"/>
                <w:b/>
                <w:bCs/>
                <w:sz w:val="20"/>
                <w:szCs w:val="20"/>
                <w:lang w:val="fr-FR"/>
              </w:rPr>
            </w:pPr>
            <w:r w:rsidRPr="007E6EC9">
              <w:rPr>
                <w:rFonts w:ascii="Arial" w:hAnsi="Arial" w:cs="Arial"/>
                <w:b/>
                <w:bCs/>
                <w:sz w:val="20"/>
                <w:szCs w:val="20"/>
              </w:rPr>
              <w:t>Sentinel Sites</w:t>
            </w:r>
          </w:p>
        </w:tc>
        <w:tc>
          <w:tcPr>
            <w:tcW w:w="1559" w:type="dxa"/>
            <w:tcBorders>
              <w:left w:val="nil"/>
              <w:bottom w:val="single" w:sz="4" w:space="0" w:color="auto"/>
              <w:right w:val="nil"/>
            </w:tcBorders>
          </w:tcPr>
          <w:p w14:paraId="47C47A87" w14:textId="205B2427" w:rsidR="00384340" w:rsidRPr="007E6EC9" w:rsidRDefault="00384340" w:rsidP="00993808">
            <w:pPr>
              <w:jc w:val="center"/>
              <w:rPr>
                <w:rFonts w:ascii="Arial" w:hAnsi="Arial" w:cs="Arial"/>
                <w:b/>
                <w:bCs/>
                <w:sz w:val="20"/>
                <w:szCs w:val="20"/>
                <w:lang w:val="fr-FR"/>
              </w:rPr>
            </w:pPr>
            <w:r w:rsidRPr="007E6EC9">
              <w:rPr>
                <w:rFonts w:ascii="Arial" w:hAnsi="Arial" w:cs="Arial"/>
                <w:b/>
                <w:bCs/>
                <w:sz w:val="20"/>
                <w:szCs w:val="20"/>
              </w:rPr>
              <w:t>Samples Analyzed</w:t>
            </w:r>
          </w:p>
        </w:tc>
        <w:tc>
          <w:tcPr>
            <w:tcW w:w="1701" w:type="dxa"/>
            <w:tcBorders>
              <w:left w:val="nil"/>
              <w:bottom w:val="single" w:sz="4" w:space="0" w:color="auto"/>
              <w:right w:val="nil"/>
            </w:tcBorders>
          </w:tcPr>
          <w:p w14:paraId="579D7411" w14:textId="65C4040F" w:rsidR="00384340" w:rsidRPr="007E6EC9" w:rsidRDefault="00384340" w:rsidP="00993808">
            <w:pPr>
              <w:jc w:val="center"/>
              <w:rPr>
                <w:rFonts w:ascii="Arial" w:hAnsi="Arial" w:cs="Arial"/>
                <w:b/>
                <w:bCs/>
                <w:sz w:val="20"/>
                <w:szCs w:val="20"/>
                <w:lang w:val="fr-FR"/>
              </w:rPr>
            </w:pPr>
            <w:r w:rsidRPr="007E6EC9">
              <w:rPr>
                <w:rFonts w:ascii="Arial" w:hAnsi="Arial" w:cs="Arial"/>
                <w:b/>
                <w:bCs/>
                <w:sz w:val="20"/>
                <w:szCs w:val="20"/>
              </w:rPr>
              <w:t>Isolated Germs (Gram)</w:t>
            </w:r>
          </w:p>
        </w:tc>
        <w:tc>
          <w:tcPr>
            <w:tcW w:w="1989" w:type="dxa"/>
            <w:tcBorders>
              <w:left w:val="nil"/>
              <w:bottom w:val="single" w:sz="4" w:space="0" w:color="auto"/>
              <w:right w:val="nil"/>
            </w:tcBorders>
          </w:tcPr>
          <w:p w14:paraId="4E7AA703" w14:textId="2942CB8C" w:rsidR="00384340" w:rsidRPr="007E6EC9" w:rsidRDefault="00384340" w:rsidP="00993808">
            <w:pPr>
              <w:jc w:val="center"/>
              <w:rPr>
                <w:rFonts w:ascii="Arial" w:hAnsi="Arial" w:cs="Arial"/>
                <w:b/>
                <w:bCs/>
                <w:sz w:val="20"/>
                <w:szCs w:val="20"/>
                <w:lang w:val="fr-FR"/>
              </w:rPr>
            </w:pPr>
            <w:r w:rsidRPr="007E6EC9">
              <w:rPr>
                <w:rFonts w:ascii="Arial" w:hAnsi="Arial" w:cs="Arial"/>
                <w:b/>
                <w:bCs/>
                <w:sz w:val="20"/>
                <w:szCs w:val="20"/>
              </w:rPr>
              <w:t>Antibiograms Performed</w:t>
            </w:r>
          </w:p>
        </w:tc>
      </w:tr>
      <w:tr w:rsidR="00384340" w:rsidRPr="007E6EC9" w14:paraId="5A603E69" w14:textId="77777777" w:rsidTr="00374969">
        <w:tc>
          <w:tcPr>
            <w:tcW w:w="4111" w:type="dxa"/>
            <w:tcBorders>
              <w:left w:val="nil"/>
              <w:bottom w:val="nil"/>
              <w:right w:val="nil"/>
            </w:tcBorders>
          </w:tcPr>
          <w:p w14:paraId="2D5DF1B4"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Labo Régional N’zérékore</w:t>
            </w:r>
          </w:p>
        </w:tc>
        <w:tc>
          <w:tcPr>
            <w:tcW w:w="1559" w:type="dxa"/>
            <w:tcBorders>
              <w:left w:val="nil"/>
              <w:bottom w:val="nil"/>
              <w:right w:val="nil"/>
            </w:tcBorders>
          </w:tcPr>
          <w:p w14:paraId="080E4C27"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1603</w:t>
            </w:r>
          </w:p>
        </w:tc>
        <w:tc>
          <w:tcPr>
            <w:tcW w:w="1701" w:type="dxa"/>
            <w:tcBorders>
              <w:left w:val="nil"/>
              <w:bottom w:val="nil"/>
              <w:right w:val="nil"/>
            </w:tcBorders>
          </w:tcPr>
          <w:p w14:paraId="278C2BC4"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342</w:t>
            </w:r>
          </w:p>
        </w:tc>
        <w:tc>
          <w:tcPr>
            <w:tcW w:w="1989" w:type="dxa"/>
            <w:tcBorders>
              <w:left w:val="nil"/>
              <w:bottom w:val="nil"/>
              <w:right w:val="nil"/>
            </w:tcBorders>
          </w:tcPr>
          <w:p w14:paraId="4777CF80"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30</w:t>
            </w:r>
          </w:p>
        </w:tc>
      </w:tr>
      <w:tr w:rsidR="00384340" w:rsidRPr="007E6EC9" w14:paraId="388C5F95" w14:textId="77777777" w:rsidTr="00374969">
        <w:tc>
          <w:tcPr>
            <w:tcW w:w="4111" w:type="dxa"/>
            <w:tcBorders>
              <w:top w:val="nil"/>
              <w:left w:val="nil"/>
              <w:bottom w:val="nil"/>
              <w:right w:val="nil"/>
            </w:tcBorders>
          </w:tcPr>
          <w:p w14:paraId="394724FA"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Hôpital National Donka</w:t>
            </w:r>
          </w:p>
        </w:tc>
        <w:tc>
          <w:tcPr>
            <w:tcW w:w="1559" w:type="dxa"/>
            <w:tcBorders>
              <w:top w:val="nil"/>
              <w:left w:val="nil"/>
              <w:bottom w:val="nil"/>
              <w:right w:val="nil"/>
            </w:tcBorders>
          </w:tcPr>
          <w:p w14:paraId="796254B2"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1434</w:t>
            </w:r>
          </w:p>
        </w:tc>
        <w:tc>
          <w:tcPr>
            <w:tcW w:w="1701" w:type="dxa"/>
            <w:tcBorders>
              <w:top w:val="nil"/>
              <w:left w:val="nil"/>
              <w:bottom w:val="nil"/>
              <w:right w:val="nil"/>
            </w:tcBorders>
          </w:tcPr>
          <w:p w14:paraId="4C58349D"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282</w:t>
            </w:r>
          </w:p>
        </w:tc>
        <w:tc>
          <w:tcPr>
            <w:tcW w:w="1989" w:type="dxa"/>
            <w:tcBorders>
              <w:top w:val="nil"/>
              <w:left w:val="nil"/>
              <w:bottom w:val="nil"/>
              <w:right w:val="nil"/>
            </w:tcBorders>
          </w:tcPr>
          <w:p w14:paraId="6EE73FED"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260</w:t>
            </w:r>
          </w:p>
        </w:tc>
      </w:tr>
      <w:tr w:rsidR="00384340" w:rsidRPr="007E6EC9" w14:paraId="51F20BB5" w14:textId="77777777" w:rsidTr="00374969">
        <w:tc>
          <w:tcPr>
            <w:tcW w:w="4111" w:type="dxa"/>
            <w:tcBorders>
              <w:top w:val="nil"/>
              <w:left w:val="nil"/>
              <w:bottom w:val="nil"/>
              <w:right w:val="nil"/>
            </w:tcBorders>
          </w:tcPr>
          <w:p w14:paraId="7C3BB3F6"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Labo Régional Kankan</w:t>
            </w:r>
          </w:p>
        </w:tc>
        <w:tc>
          <w:tcPr>
            <w:tcW w:w="1559" w:type="dxa"/>
            <w:tcBorders>
              <w:top w:val="nil"/>
              <w:left w:val="nil"/>
              <w:bottom w:val="nil"/>
              <w:right w:val="nil"/>
            </w:tcBorders>
          </w:tcPr>
          <w:p w14:paraId="1973E698"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1343</w:t>
            </w:r>
          </w:p>
        </w:tc>
        <w:tc>
          <w:tcPr>
            <w:tcW w:w="1701" w:type="dxa"/>
            <w:tcBorders>
              <w:top w:val="nil"/>
              <w:left w:val="nil"/>
              <w:bottom w:val="nil"/>
              <w:right w:val="nil"/>
            </w:tcBorders>
          </w:tcPr>
          <w:p w14:paraId="0E62235F"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680</w:t>
            </w:r>
          </w:p>
        </w:tc>
        <w:tc>
          <w:tcPr>
            <w:tcW w:w="1989" w:type="dxa"/>
            <w:tcBorders>
              <w:top w:val="nil"/>
              <w:left w:val="nil"/>
              <w:bottom w:val="nil"/>
              <w:right w:val="nil"/>
            </w:tcBorders>
          </w:tcPr>
          <w:p w14:paraId="65F3B84B"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83</w:t>
            </w:r>
          </w:p>
        </w:tc>
      </w:tr>
      <w:tr w:rsidR="00384340" w:rsidRPr="007E6EC9" w14:paraId="05764AB6" w14:textId="77777777" w:rsidTr="00374969">
        <w:tc>
          <w:tcPr>
            <w:tcW w:w="4111" w:type="dxa"/>
            <w:tcBorders>
              <w:top w:val="nil"/>
              <w:left w:val="nil"/>
              <w:bottom w:val="nil"/>
              <w:right w:val="nil"/>
            </w:tcBorders>
          </w:tcPr>
          <w:p w14:paraId="4DB7FF43"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Hôpital National Ignace Deen</w:t>
            </w:r>
          </w:p>
        </w:tc>
        <w:tc>
          <w:tcPr>
            <w:tcW w:w="1559" w:type="dxa"/>
            <w:tcBorders>
              <w:top w:val="nil"/>
              <w:left w:val="nil"/>
              <w:bottom w:val="nil"/>
              <w:right w:val="nil"/>
            </w:tcBorders>
          </w:tcPr>
          <w:p w14:paraId="26C88562"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1154</w:t>
            </w:r>
          </w:p>
        </w:tc>
        <w:tc>
          <w:tcPr>
            <w:tcW w:w="1701" w:type="dxa"/>
            <w:tcBorders>
              <w:top w:val="nil"/>
              <w:left w:val="nil"/>
              <w:bottom w:val="nil"/>
              <w:right w:val="nil"/>
            </w:tcBorders>
          </w:tcPr>
          <w:p w14:paraId="75B1C47C"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297</w:t>
            </w:r>
          </w:p>
        </w:tc>
        <w:tc>
          <w:tcPr>
            <w:tcW w:w="1989" w:type="dxa"/>
            <w:tcBorders>
              <w:top w:val="nil"/>
              <w:left w:val="nil"/>
              <w:bottom w:val="nil"/>
              <w:right w:val="nil"/>
            </w:tcBorders>
          </w:tcPr>
          <w:p w14:paraId="3FCBB89E"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212</w:t>
            </w:r>
          </w:p>
        </w:tc>
      </w:tr>
      <w:tr w:rsidR="00384340" w:rsidRPr="007E6EC9" w14:paraId="14E5501E" w14:textId="77777777" w:rsidTr="00374969">
        <w:tc>
          <w:tcPr>
            <w:tcW w:w="4111" w:type="dxa"/>
            <w:tcBorders>
              <w:top w:val="nil"/>
              <w:left w:val="nil"/>
              <w:bottom w:val="nil"/>
              <w:right w:val="nil"/>
            </w:tcBorders>
          </w:tcPr>
          <w:p w14:paraId="261CDC45"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Labo Régional Faranah</w:t>
            </w:r>
          </w:p>
        </w:tc>
        <w:tc>
          <w:tcPr>
            <w:tcW w:w="1559" w:type="dxa"/>
            <w:tcBorders>
              <w:top w:val="nil"/>
              <w:left w:val="nil"/>
              <w:bottom w:val="nil"/>
              <w:right w:val="nil"/>
            </w:tcBorders>
          </w:tcPr>
          <w:p w14:paraId="3C3B06BA"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611</w:t>
            </w:r>
          </w:p>
        </w:tc>
        <w:tc>
          <w:tcPr>
            <w:tcW w:w="1701" w:type="dxa"/>
            <w:tcBorders>
              <w:top w:val="nil"/>
              <w:left w:val="nil"/>
              <w:bottom w:val="nil"/>
              <w:right w:val="nil"/>
            </w:tcBorders>
          </w:tcPr>
          <w:p w14:paraId="3F7DE83C"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258</w:t>
            </w:r>
          </w:p>
        </w:tc>
        <w:tc>
          <w:tcPr>
            <w:tcW w:w="1989" w:type="dxa"/>
            <w:tcBorders>
              <w:top w:val="nil"/>
              <w:left w:val="nil"/>
              <w:bottom w:val="nil"/>
              <w:right w:val="nil"/>
            </w:tcBorders>
          </w:tcPr>
          <w:p w14:paraId="5C431764"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18</w:t>
            </w:r>
          </w:p>
        </w:tc>
      </w:tr>
      <w:tr w:rsidR="00384340" w:rsidRPr="007E6EC9" w14:paraId="28D9FE2D" w14:textId="77777777" w:rsidTr="00374969">
        <w:tc>
          <w:tcPr>
            <w:tcW w:w="4111" w:type="dxa"/>
            <w:tcBorders>
              <w:top w:val="nil"/>
              <w:left w:val="nil"/>
              <w:bottom w:val="nil"/>
              <w:right w:val="nil"/>
            </w:tcBorders>
          </w:tcPr>
          <w:p w14:paraId="3C3F3AE2"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Labo Régional Mamou</w:t>
            </w:r>
          </w:p>
        </w:tc>
        <w:tc>
          <w:tcPr>
            <w:tcW w:w="1559" w:type="dxa"/>
            <w:tcBorders>
              <w:top w:val="nil"/>
              <w:left w:val="nil"/>
              <w:bottom w:val="nil"/>
              <w:right w:val="nil"/>
            </w:tcBorders>
          </w:tcPr>
          <w:p w14:paraId="60C2BB7A"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542</w:t>
            </w:r>
          </w:p>
        </w:tc>
        <w:tc>
          <w:tcPr>
            <w:tcW w:w="1701" w:type="dxa"/>
            <w:tcBorders>
              <w:top w:val="nil"/>
              <w:left w:val="nil"/>
              <w:bottom w:val="nil"/>
              <w:right w:val="nil"/>
            </w:tcBorders>
          </w:tcPr>
          <w:p w14:paraId="299F2D2F"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66</w:t>
            </w:r>
          </w:p>
        </w:tc>
        <w:tc>
          <w:tcPr>
            <w:tcW w:w="1989" w:type="dxa"/>
            <w:tcBorders>
              <w:top w:val="nil"/>
              <w:left w:val="nil"/>
              <w:bottom w:val="nil"/>
              <w:right w:val="nil"/>
            </w:tcBorders>
          </w:tcPr>
          <w:p w14:paraId="5A953332"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6</w:t>
            </w:r>
          </w:p>
        </w:tc>
      </w:tr>
      <w:tr w:rsidR="00384340" w:rsidRPr="007E6EC9" w14:paraId="28AEDE03" w14:textId="77777777" w:rsidTr="00374969">
        <w:tc>
          <w:tcPr>
            <w:tcW w:w="4111" w:type="dxa"/>
            <w:tcBorders>
              <w:top w:val="nil"/>
              <w:left w:val="nil"/>
              <w:bottom w:val="nil"/>
              <w:right w:val="nil"/>
            </w:tcBorders>
          </w:tcPr>
          <w:p w14:paraId="4DF8C53C"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Labo Régional Labé</w:t>
            </w:r>
          </w:p>
        </w:tc>
        <w:tc>
          <w:tcPr>
            <w:tcW w:w="1559" w:type="dxa"/>
            <w:tcBorders>
              <w:top w:val="nil"/>
              <w:left w:val="nil"/>
              <w:bottom w:val="nil"/>
              <w:right w:val="nil"/>
            </w:tcBorders>
          </w:tcPr>
          <w:p w14:paraId="5BB3742C"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322</w:t>
            </w:r>
          </w:p>
        </w:tc>
        <w:tc>
          <w:tcPr>
            <w:tcW w:w="1701" w:type="dxa"/>
            <w:tcBorders>
              <w:top w:val="nil"/>
              <w:left w:val="nil"/>
              <w:bottom w:val="nil"/>
              <w:right w:val="nil"/>
            </w:tcBorders>
          </w:tcPr>
          <w:p w14:paraId="0E7CB2F9"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107</w:t>
            </w:r>
          </w:p>
        </w:tc>
        <w:tc>
          <w:tcPr>
            <w:tcW w:w="1989" w:type="dxa"/>
            <w:tcBorders>
              <w:top w:val="nil"/>
              <w:left w:val="nil"/>
              <w:bottom w:val="nil"/>
              <w:right w:val="nil"/>
            </w:tcBorders>
          </w:tcPr>
          <w:p w14:paraId="60EABF04"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13</w:t>
            </w:r>
          </w:p>
        </w:tc>
      </w:tr>
      <w:tr w:rsidR="00384340" w:rsidRPr="007E6EC9" w14:paraId="3FB657CD" w14:textId="77777777" w:rsidTr="00374969">
        <w:tc>
          <w:tcPr>
            <w:tcW w:w="4111" w:type="dxa"/>
            <w:tcBorders>
              <w:top w:val="nil"/>
              <w:left w:val="nil"/>
              <w:bottom w:val="nil"/>
              <w:right w:val="nil"/>
            </w:tcBorders>
          </w:tcPr>
          <w:p w14:paraId="5787DF99"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Labo Caisse Nationale Sécurité Sociale</w:t>
            </w:r>
          </w:p>
        </w:tc>
        <w:tc>
          <w:tcPr>
            <w:tcW w:w="1559" w:type="dxa"/>
            <w:tcBorders>
              <w:top w:val="nil"/>
              <w:left w:val="nil"/>
              <w:bottom w:val="nil"/>
              <w:right w:val="nil"/>
            </w:tcBorders>
          </w:tcPr>
          <w:p w14:paraId="1299C780"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306</w:t>
            </w:r>
          </w:p>
        </w:tc>
        <w:tc>
          <w:tcPr>
            <w:tcW w:w="1701" w:type="dxa"/>
            <w:tcBorders>
              <w:top w:val="nil"/>
              <w:left w:val="nil"/>
              <w:bottom w:val="nil"/>
              <w:right w:val="nil"/>
            </w:tcBorders>
          </w:tcPr>
          <w:p w14:paraId="308747F4"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179</w:t>
            </w:r>
          </w:p>
        </w:tc>
        <w:tc>
          <w:tcPr>
            <w:tcW w:w="1989" w:type="dxa"/>
            <w:tcBorders>
              <w:top w:val="nil"/>
              <w:left w:val="nil"/>
              <w:bottom w:val="nil"/>
              <w:right w:val="nil"/>
            </w:tcBorders>
          </w:tcPr>
          <w:p w14:paraId="50E015EF"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93</w:t>
            </w:r>
          </w:p>
        </w:tc>
      </w:tr>
      <w:tr w:rsidR="00384340" w:rsidRPr="007E6EC9" w14:paraId="20F33EB2" w14:textId="77777777" w:rsidTr="00374969">
        <w:tc>
          <w:tcPr>
            <w:tcW w:w="4111" w:type="dxa"/>
            <w:tcBorders>
              <w:top w:val="nil"/>
              <w:left w:val="nil"/>
              <w:bottom w:val="nil"/>
              <w:right w:val="nil"/>
            </w:tcBorders>
          </w:tcPr>
          <w:p w14:paraId="5153357A"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LNSP de l’INSP</w:t>
            </w:r>
          </w:p>
        </w:tc>
        <w:tc>
          <w:tcPr>
            <w:tcW w:w="1559" w:type="dxa"/>
            <w:tcBorders>
              <w:top w:val="nil"/>
              <w:left w:val="nil"/>
              <w:bottom w:val="nil"/>
              <w:right w:val="nil"/>
            </w:tcBorders>
          </w:tcPr>
          <w:p w14:paraId="003779A4"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271</w:t>
            </w:r>
          </w:p>
        </w:tc>
        <w:tc>
          <w:tcPr>
            <w:tcW w:w="1701" w:type="dxa"/>
            <w:tcBorders>
              <w:top w:val="nil"/>
              <w:left w:val="nil"/>
              <w:bottom w:val="nil"/>
              <w:right w:val="nil"/>
            </w:tcBorders>
          </w:tcPr>
          <w:p w14:paraId="6B4246C4"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57</w:t>
            </w:r>
          </w:p>
        </w:tc>
        <w:tc>
          <w:tcPr>
            <w:tcW w:w="1989" w:type="dxa"/>
            <w:tcBorders>
              <w:top w:val="nil"/>
              <w:left w:val="nil"/>
              <w:bottom w:val="nil"/>
              <w:right w:val="nil"/>
            </w:tcBorders>
          </w:tcPr>
          <w:p w14:paraId="68A1C443"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55</w:t>
            </w:r>
          </w:p>
        </w:tc>
      </w:tr>
      <w:tr w:rsidR="00384340" w:rsidRPr="007E6EC9" w14:paraId="5EC17580" w14:textId="77777777" w:rsidTr="00374969">
        <w:tc>
          <w:tcPr>
            <w:tcW w:w="4111" w:type="dxa"/>
            <w:tcBorders>
              <w:top w:val="nil"/>
              <w:left w:val="nil"/>
              <w:bottom w:val="nil"/>
              <w:right w:val="nil"/>
            </w:tcBorders>
          </w:tcPr>
          <w:p w14:paraId="2EB8EBE9"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 xml:space="preserve">Labo Privé </w:t>
            </w:r>
            <w:bookmarkStart w:id="2" w:name="_Hlk210477620"/>
            <w:r w:rsidRPr="007E6EC9">
              <w:rPr>
                <w:rFonts w:ascii="Arial" w:hAnsi="Arial" w:cs="Arial"/>
                <w:sz w:val="20"/>
                <w:szCs w:val="20"/>
                <w:lang w:val="fr-FR"/>
              </w:rPr>
              <w:t>Biolab-Guinée</w:t>
            </w:r>
            <w:bookmarkEnd w:id="2"/>
          </w:p>
        </w:tc>
        <w:tc>
          <w:tcPr>
            <w:tcW w:w="1559" w:type="dxa"/>
            <w:tcBorders>
              <w:top w:val="nil"/>
              <w:left w:val="nil"/>
              <w:bottom w:val="nil"/>
              <w:right w:val="nil"/>
            </w:tcBorders>
          </w:tcPr>
          <w:p w14:paraId="073F1ACC"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238</w:t>
            </w:r>
          </w:p>
        </w:tc>
        <w:tc>
          <w:tcPr>
            <w:tcW w:w="1701" w:type="dxa"/>
            <w:tcBorders>
              <w:top w:val="nil"/>
              <w:left w:val="nil"/>
              <w:bottom w:val="nil"/>
              <w:right w:val="nil"/>
            </w:tcBorders>
          </w:tcPr>
          <w:p w14:paraId="1AF3ACB9"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230</w:t>
            </w:r>
          </w:p>
        </w:tc>
        <w:tc>
          <w:tcPr>
            <w:tcW w:w="1989" w:type="dxa"/>
            <w:tcBorders>
              <w:top w:val="nil"/>
              <w:left w:val="nil"/>
              <w:bottom w:val="nil"/>
              <w:right w:val="nil"/>
            </w:tcBorders>
          </w:tcPr>
          <w:p w14:paraId="1135F9EB"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230</w:t>
            </w:r>
          </w:p>
        </w:tc>
      </w:tr>
      <w:tr w:rsidR="00384340" w:rsidRPr="007E6EC9" w14:paraId="12B494DD" w14:textId="77777777" w:rsidTr="00374969">
        <w:tc>
          <w:tcPr>
            <w:tcW w:w="4111" w:type="dxa"/>
            <w:tcBorders>
              <w:top w:val="nil"/>
              <w:left w:val="nil"/>
              <w:bottom w:val="nil"/>
              <w:right w:val="nil"/>
            </w:tcBorders>
          </w:tcPr>
          <w:p w14:paraId="3EC59421"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Labo Régional Kindia</w:t>
            </w:r>
          </w:p>
        </w:tc>
        <w:tc>
          <w:tcPr>
            <w:tcW w:w="1559" w:type="dxa"/>
            <w:tcBorders>
              <w:top w:val="nil"/>
              <w:left w:val="nil"/>
              <w:bottom w:val="nil"/>
              <w:right w:val="nil"/>
            </w:tcBorders>
          </w:tcPr>
          <w:p w14:paraId="3CD08DA8"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201</w:t>
            </w:r>
          </w:p>
        </w:tc>
        <w:tc>
          <w:tcPr>
            <w:tcW w:w="1701" w:type="dxa"/>
            <w:tcBorders>
              <w:top w:val="nil"/>
              <w:left w:val="nil"/>
              <w:bottom w:val="nil"/>
              <w:right w:val="nil"/>
            </w:tcBorders>
          </w:tcPr>
          <w:p w14:paraId="27D72D71"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179</w:t>
            </w:r>
          </w:p>
        </w:tc>
        <w:tc>
          <w:tcPr>
            <w:tcW w:w="1989" w:type="dxa"/>
            <w:tcBorders>
              <w:top w:val="nil"/>
              <w:left w:val="nil"/>
              <w:bottom w:val="nil"/>
              <w:right w:val="nil"/>
            </w:tcBorders>
          </w:tcPr>
          <w:p w14:paraId="04F6FF80"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45</w:t>
            </w:r>
          </w:p>
        </w:tc>
      </w:tr>
      <w:tr w:rsidR="00384340" w:rsidRPr="007E6EC9" w14:paraId="10BE109E" w14:textId="77777777" w:rsidTr="00374969">
        <w:tc>
          <w:tcPr>
            <w:tcW w:w="4111" w:type="dxa"/>
            <w:tcBorders>
              <w:top w:val="nil"/>
              <w:left w:val="nil"/>
              <w:bottom w:val="nil"/>
              <w:right w:val="nil"/>
            </w:tcBorders>
          </w:tcPr>
          <w:p w14:paraId="34BFA113"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Labo Privé Biomar-24</w:t>
            </w:r>
          </w:p>
        </w:tc>
        <w:tc>
          <w:tcPr>
            <w:tcW w:w="1559" w:type="dxa"/>
            <w:tcBorders>
              <w:top w:val="nil"/>
              <w:left w:val="nil"/>
              <w:bottom w:val="nil"/>
              <w:right w:val="nil"/>
            </w:tcBorders>
          </w:tcPr>
          <w:p w14:paraId="369337FC"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198</w:t>
            </w:r>
          </w:p>
        </w:tc>
        <w:tc>
          <w:tcPr>
            <w:tcW w:w="1701" w:type="dxa"/>
            <w:tcBorders>
              <w:top w:val="nil"/>
              <w:left w:val="nil"/>
              <w:bottom w:val="nil"/>
              <w:right w:val="nil"/>
            </w:tcBorders>
          </w:tcPr>
          <w:p w14:paraId="48D78F78"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111</w:t>
            </w:r>
          </w:p>
        </w:tc>
        <w:tc>
          <w:tcPr>
            <w:tcW w:w="1989" w:type="dxa"/>
            <w:tcBorders>
              <w:top w:val="nil"/>
              <w:left w:val="nil"/>
              <w:bottom w:val="nil"/>
              <w:right w:val="nil"/>
            </w:tcBorders>
          </w:tcPr>
          <w:p w14:paraId="10A7CF08"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108</w:t>
            </w:r>
          </w:p>
        </w:tc>
      </w:tr>
      <w:tr w:rsidR="00384340" w:rsidRPr="007E6EC9" w14:paraId="03DCD8AE" w14:textId="77777777" w:rsidTr="00374969">
        <w:tc>
          <w:tcPr>
            <w:tcW w:w="4111" w:type="dxa"/>
            <w:tcBorders>
              <w:top w:val="nil"/>
              <w:left w:val="nil"/>
              <w:bottom w:val="nil"/>
              <w:right w:val="nil"/>
            </w:tcBorders>
          </w:tcPr>
          <w:p w14:paraId="66904567"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Labo Régional Boké</w:t>
            </w:r>
          </w:p>
        </w:tc>
        <w:tc>
          <w:tcPr>
            <w:tcW w:w="1559" w:type="dxa"/>
            <w:tcBorders>
              <w:top w:val="nil"/>
              <w:left w:val="nil"/>
              <w:bottom w:val="nil"/>
              <w:right w:val="nil"/>
            </w:tcBorders>
          </w:tcPr>
          <w:p w14:paraId="47C36F9D"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132</w:t>
            </w:r>
          </w:p>
        </w:tc>
        <w:tc>
          <w:tcPr>
            <w:tcW w:w="1701" w:type="dxa"/>
            <w:tcBorders>
              <w:top w:val="nil"/>
              <w:left w:val="nil"/>
              <w:bottom w:val="nil"/>
              <w:right w:val="nil"/>
            </w:tcBorders>
          </w:tcPr>
          <w:p w14:paraId="2F9DA2CB"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44</w:t>
            </w:r>
          </w:p>
        </w:tc>
        <w:tc>
          <w:tcPr>
            <w:tcW w:w="1989" w:type="dxa"/>
            <w:tcBorders>
              <w:top w:val="nil"/>
              <w:left w:val="nil"/>
              <w:bottom w:val="nil"/>
              <w:right w:val="nil"/>
            </w:tcBorders>
          </w:tcPr>
          <w:p w14:paraId="4D7B0788"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44</w:t>
            </w:r>
          </w:p>
        </w:tc>
      </w:tr>
      <w:tr w:rsidR="00384340" w:rsidRPr="007E6EC9" w14:paraId="6271CC0E" w14:textId="77777777" w:rsidTr="00374969">
        <w:tc>
          <w:tcPr>
            <w:tcW w:w="4111" w:type="dxa"/>
            <w:tcBorders>
              <w:top w:val="nil"/>
              <w:left w:val="nil"/>
              <w:bottom w:val="single" w:sz="4" w:space="0" w:color="auto"/>
              <w:right w:val="nil"/>
            </w:tcBorders>
          </w:tcPr>
          <w:p w14:paraId="4A7150BE" w14:textId="77777777" w:rsidR="00384340" w:rsidRPr="007E6EC9" w:rsidRDefault="00384340" w:rsidP="00D9471B">
            <w:pPr>
              <w:jc w:val="both"/>
              <w:rPr>
                <w:rFonts w:ascii="Arial" w:hAnsi="Arial" w:cs="Arial"/>
                <w:b/>
                <w:bCs/>
                <w:sz w:val="20"/>
                <w:szCs w:val="20"/>
                <w:lang w:val="fr-FR"/>
              </w:rPr>
            </w:pPr>
            <w:r w:rsidRPr="007E6EC9">
              <w:rPr>
                <w:rFonts w:ascii="Arial" w:hAnsi="Arial" w:cs="Arial"/>
                <w:b/>
                <w:bCs/>
                <w:sz w:val="20"/>
                <w:szCs w:val="20"/>
                <w:lang w:val="fr-FR"/>
              </w:rPr>
              <w:t xml:space="preserve">Total </w:t>
            </w:r>
          </w:p>
        </w:tc>
        <w:tc>
          <w:tcPr>
            <w:tcW w:w="1559" w:type="dxa"/>
            <w:tcBorders>
              <w:top w:val="nil"/>
              <w:left w:val="nil"/>
              <w:bottom w:val="single" w:sz="4" w:space="0" w:color="auto"/>
              <w:right w:val="nil"/>
            </w:tcBorders>
          </w:tcPr>
          <w:p w14:paraId="78337870"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8355</w:t>
            </w:r>
          </w:p>
        </w:tc>
        <w:tc>
          <w:tcPr>
            <w:tcW w:w="1701" w:type="dxa"/>
            <w:tcBorders>
              <w:top w:val="nil"/>
              <w:left w:val="nil"/>
              <w:bottom w:val="single" w:sz="4" w:space="0" w:color="auto"/>
              <w:right w:val="nil"/>
            </w:tcBorders>
          </w:tcPr>
          <w:p w14:paraId="69A064B5"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2832</w:t>
            </w:r>
          </w:p>
        </w:tc>
        <w:tc>
          <w:tcPr>
            <w:tcW w:w="1989" w:type="dxa"/>
            <w:tcBorders>
              <w:top w:val="nil"/>
              <w:left w:val="nil"/>
              <w:bottom w:val="single" w:sz="4" w:space="0" w:color="auto"/>
              <w:right w:val="nil"/>
            </w:tcBorders>
          </w:tcPr>
          <w:p w14:paraId="4944760E"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1197</w:t>
            </w:r>
          </w:p>
        </w:tc>
      </w:tr>
    </w:tbl>
    <w:p w14:paraId="20FB8236" w14:textId="77777777" w:rsidR="00D9471B" w:rsidRPr="007E6EC9" w:rsidRDefault="00D9471B" w:rsidP="00D9471B">
      <w:pPr>
        <w:jc w:val="both"/>
        <w:rPr>
          <w:rFonts w:ascii="Arial" w:hAnsi="Arial" w:cs="Arial"/>
          <w:sz w:val="20"/>
          <w:szCs w:val="20"/>
        </w:rPr>
      </w:pPr>
      <w:r w:rsidRPr="007E6EC9">
        <w:rPr>
          <w:rFonts w:ascii="Arial" w:hAnsi="Arial" w:cs="Arial"/>
          <w:sz w:val="20"/>
          <w:szCs w:val="20"/>
        </w:rPr>
        <w:t xml:space="preserve">Urine samples accounted for the majority of analyzed biological fluids at 77%, followed by stool (4%) and pus (2%). Blood samples represented 1% of the total. The main bacterial strains isolated were </w:t>
      </w:r>
      <w:r w:rsidRPr="007E6EC9">
        <w:rPr>
          <w:rFonts w:ascii="Arial" w:hAnsi="Arial" w:cs="Arial"/>
          <w:i/>
          <w:iCs/>
          <w:sz w:val="20"/>
          <w:szCs w:val="20"/>
        </w:rPr>
        <w:t>Escherichia coli</w:t>
      </w:r>
      <w:r w:rsidRPr="007E6EC9">
        <w:rPr>
          <w:rFonts w:ascii="Arial" w:hAnsi="Arial" w:cs="Arial"/>
          <w:sz w:val="20"/>
          <w:szCs w:val="20"/>
        </w:rPr>
        <w:t xml:space="preserve"> (54%), </w:t>
      </w:r>
      <w:r w:rsidRPr="007E6EC9">
        <w:rPr>
          <w:rFonts w:ascii="Arial" w:hAnsi="Arial" w:cs="Arial"/>
          <w:i/>
          <w:iCs/>
          <w:sz w:val="20"/>
          <w:szCs w:val="20"/>
        </w:rPr>
        <w:t>Klebsiella pneumoniae</w:t>
      </w:r>
      <w:r w:rsidRPr="007E6EC9">
        <w:rPr>
          <w:rFonts w:ascii="Arial" w:hAnsi="Arial" w:cs="Arial"/>
          <w:sz w:val="20"/>
          <w:szCs w:val="20"/>
        </w:rPr>
        <w:t xml:space="preserve"> (27%), and </w:t>
      </w:r>
      <w:r w:rsidRPr="007E6EC9">
        <w:rPr>
          <w:rFonts w:ascii="Arial" w:hAnsi="Arial" w:cs="Arial"/>
          <w:i/>
          <w:iCs/>
          <w:sz w:val="20"/>
          <w:szCs w:val="20"/>
        </w:rPr>
        <w:t>Staphylococcus aureus</w:t>
      </w:r>
      <w:r w:rsidRPr="007E6EC9">
        <w:rPr>
          <w:rFonts w:ascii="Arial" w:hAnsi="Arial" w:cs="Arial"/>
          <w:sz w:val="20"/>
          <w:szCs w:val="20"/>
        </w:rPr>
        <w:t xml:space="preserve"> (14%) (Table II).</w:t>
      </w:r>
    </w:p>
    <w:p w14:paraId="6BBF0D68" w14:textId="07CA5211" w:rsidR="00D9471B" w:rsidRPr="007E6EC9" w:rsidRDefault="00D9471B" w:rsidP="00D9471B">
      <w:pPr>
        <w:jc w:val="both"/>
        <w:rPr>
          <w:rFonts w:ascii="Arial" w:hAnsi="Arial" w:cs="Arial"/>
          <w:sz w:val="20"/>
          <w:szCs w:val="20"/>
        </w:rPr>
      </w:pPr>
      <w:r w:rsidRPr="007E6EC9">
        <w:rPr>
          <w:rFonts w:ascii="Arial" w:hAnsi="Arial" w:cs="Arial"/>
          <w:b/>
          <w:bCs/>
          <w:sz w:val="20"/>
          <w:szCs w:val="20"/>
        </w:rPr>
        <w:t xml:space="preserve">Table II: </w:t>
      </w:r>
      <w:r w:rsidR="00C2146C" w:rsidRPr="00C2146C">
        <w:rPr>
          <w:rFonts w:ascii="Arial" w:hAnsi="Arial" w:cs="Arial"/>
          <w:sz w:val="20"/>
          <w:szCs w:val="20"/>
        </w:rPr>
        <w:t>Main organisms isolated from clinical specimens</w:t>
      </w:r>
      <w:r w:rsidRPr="007E6EC9">
        <w:rPr>
          <w:rFonts w:ascii="Arial" w:hAnsi="Arial" w:cs="Arial"/>
          <w:sz w:val="20"/>
          <w:szCs w:val="20"/>
        </w:rPr>
        <w:t>, January 1 – July 31, 2024, Guinea</w:t>
      </w:r>
    </w:p>
    <w:tbl>
      <w:tblPr>
        <w:tblStyle w:val="TableGrid"/>
        <w:tblW w:w="0" w:type="auto"/>
        <w:tblLook w:val="04A0" w:firstRow="1" w:lastRow="0" w:firstColumn="1" w:lastColumn="0" w:noHBand="0" w:noVBand="1"/>
      </w:tblPr>
      <w:tblGrid>
        <w:gridCol w:w="4675"/>
        <w:gridCol w:w="2413"/>
      </w:tblGrid>
      <w:tr w:rsidR="00D9471B" w:rsidRPr="007E6EC9" w14:paraId="72AC5D14" w14:textId="77777777" w:rsidTr="00374969">
        <w:tc>
          <w:tcPr>
            <w:tcW w:w="4675" w:type="dxa"/>
            <w:tcBorders>
              <w:left w:val="nil"/>
              <w:bottom w:val="single" w:sz="4" w:space="0" w:color="auto"/>
              <w:right w:val="nil"/>
            </w:tcBorders>
          </w:tcPr>
          <w:p w14:paraId="0AF16984" w14:textId="3589F2BF" w:rsidR="00D9471B" w:rsidRPr="007E6EC9" w:rsidRDefault="00C2146C" w:rsidP="00D9471B">
            <w:pPr>
              <w:jc w:val="both"/>
              <w:rPr>
                <w:rFonts w:ascii="Arial" w:hAnsi="Arial" w:cs="Arial"/>
                <w:b/>
                <w:sz w:val="20"/>
                <w:szCs w:val="20"/>
                <w:lang w:val="fr-FR"/>
              </w:rPr>
            </w:pPr>
            <w:r w:rsidRPr="00C2146C">
              <w:rPr>
                <w:rFonts w:ascii="Arial" w:hAnsi="Arial" w:cs="Arial"/>
                <w:b/>
                <w:bCs/>
                <w:sz w:val="20"/>
                <w:szCs w:val="20"/>
                <w:lang w:val="fr-FR"/>
              </w:rPr>
              <w:t> </w:t>
            </w:r>
            <w:proofErr w:type="spellStart"/>
            <w:r w:rsidRPr="00C2146C">
              <w:rPr>
                <w:rFonts w:ascii="Arial" w:hAnsi="Arial" w:cs="Arial"/>
                <w:b/>
                <w:bCs/>
                <w:sz w:val="20"/>
                <w:szCs w:val="20"/>
                <w:lang w:val="fr-FR"/>
              </w:rPr>
              <w:t>Isolated</w:t>
            </w:r>
            <w:proofErr w:type="spellEnd"/>
            <w:r w:rsidRPr="00C2146C">
              <w:rPr>
                <w:rFonts w:ascii="Arial" w:hAnsi="Arial" w:cs="Arial"/>
                <w:b/>
                <w:bCs/>
                <w:sz w:val="20"/>
                <w:szCs w:val="20"/>
                <w:lang w:val="fr-FR"/>
              </w:rPr>
              <w:t xml:space="preserve"> </w:t>
            </w:r>
            <w:proofErr w:type="spellStart"/>
            <w:r w:rsidRPr="00C2146C">
              <w:rPr>
                <w:rFonts w:ascii="Arial" w:hAnsi="Arial" w:cs="Arial"/>
                <w:b/>
                <w:bCs/>
                <w:sz w:val="20"/>
                <w:szCs w:val="20"/>
                <w:lang w:val="fr-FR"/>
              </w:rPr>
              <w:t>organisms</w:t>
            </w:r>
            <w:proofErr w:type="spellEnd"/>
            <w:r w:rsidRPr="00C2146C">
              <w:rPr>
                <w:rFonts w:ascii="Arial" w:hAnsi="Arial" w:cs="Arial"/>
                <w:b/>
                <w:bCs/>
                <w:sz w:val="20"/>
                <w:szCs w:val="20"/>
                <w:lang w:val="fr-FR"/>
              </w:rPr>
              <w:t> </w:t>
            </w:r>
          </w:p>
        </w:tc>
        <w:tc>
          <w:tcPr>
            <w:tcW w:w="2413" w:type="dxa"/>
            <w:tcBorders>
              <w:left w:val="nil"/>
              <w:bottom w:val="single" w:sz="4" w:space="0" w:color="auto"/>
              <w:right w:val="nil"/>
            </w:tcBorders>
          </w:tcPr>
          <w:p w14:paraId="6A69AA04" w14:textId="35D8DF16" w:rsidR="00D9471B" w:rsidRPr="007E6EC9" w:rsidRDefault="00D9471B" w:rsidP="00993808">
            <w:pPr>
              <w:jc w:val="center"/>
              <w:rPr>
                <w:rFonts w:ascii="Arial" w:hAnsi="Arial" w:cs="Arial"/>
                <w:b/>
                <w:sz w:val="20"/>
                <w:szCs w:val="20"/>
                <w:lang w:val="fr-FR"/>
              </w:rPr>
            </w:pPr>
            <w:r w:rsidRPr="007E6EC9">
              <w:rPr>
                <w:rFonts w:ascii="Arial" w:hAnsi="Arial" w:cs="Arial"/>
                <w:b/>
                <w:sz w:val="20"/>
                <w:szCs w:val="20"/>
              </w:rPr>
              <w:t>Proportion</w:t>
            </w:r>
          </w:p>
        </w:tc>
      </w:tr>
      <w:tr w:rsidR="00D9471B" w:rsidRPr="007E6EC9" w14:paraId="654B199A" w14:textId="77777777" w:rsidTr="00374969">
        <w:tc>
          <w:tcPr>
            <w:tcW w:w="4675" w:type="dxa"/>
            <w:tcBorders>
              <w:left w:val="nil"/>
              <w:bottom w:val="nil"/>
              <w:right w:val="nil"/>
            </w:tcBorders>
          </w:tcPr>
          <w:p w14:paraId="597BAB3F" w14:textId="77777777" w:rsidR="00D9471B" w:rsidRPr="007E6EC9" w:rsidRDefault="00D9471B" w:rsidP="00D9471B">
            <w:pPr>
              <w:jc w:val="both"/>
              <w:rPr>
                <w:rFonts w:ascii="Arial" w:hAnsi="Arial" w:cs="Arial"/>
                <w:bCs/>
                <w:i/>
                <w:iCs/>
                <w:sz w:val="20"/>
                <w:szCs w:val="20"/>
                <w:lang w:val="fr-FR"/>
              </w:rPr>
            </w:pPr>
            <w:r w:rsidRPr="007E6EC9">
              <w:rPr>
                <w:rFonts w:ascii="Arial" w:hAnsi="Arial" w:cs="Arial"/>
                <w:i/>
                <w:iCs/>
                <w:sz w:val="20"/>
                <w:szCs w:val="20"/>
                <w:lang w:val="it-IT"/>
              </w:rPr>
              <w:t xml:space="preserve">Escherichia coli  </w:t>
            </w:r>
          </w:p>
        </w:tc>
        <w:tc>
          <w:tcPr>
            <w:tcW w:w="2413" w:type="dxa"/>
            <w:tcBorders>
              <w:left w:val="nil"/>
              <w:bottom w:val="nil"/>
              <w:right w:val="nil"/>
            </w:tcBorders>
          </w:tcPr>
          <w:p w14:paraId="786567C6" w14:textId="77777777" w:rsidR="00D9471B" w:rsidRPr="007E6EC9" w:rsidRDefault="00D9471B" w:rsidP="00993808">
            <w:pPr>
              <w:jc w:val="center"/>
              <w:rPr>
                <w:rFonts w:ascii="Arial" w:hAnsi="Arial" w:cs="Arial"/>
                <w:bCs/>
                <w:sz w:val="20"/>
                <w:szCs w:val="20"/>
                <w:lang w:val="fr-FR"/>
              </w:rPr>
            </w:pPr>
            <w:r w:rsidRPr="007E6EC9">
              <w:rPr>
                <w:rFonts w:ascii="Arial" w:hAnsi="Arial" w:cs="Arial"/>
                <w:bCs/>
                <w:sz w:val="20"/>
                <w:szCs w:val="20"/>
                <w:lang w:val="fr-FR"/>
              </w:rPr>
              <w:t>54</w:t>
            </w:r>
          </w:p>
        </w:tc>
      </w:tr>
      <w:tr w:rsidR="00D9471B" w:rsidRPr="007E6EC9" w14:paraId="109395F5" w14:textId="77777777" w:rsidTr="00374969">
        <w:tc>
          <w:tcPr>
            <w:tcW w:w="4675" w:type="dxa"/>
            <w:tcBorders>
              <w:top w:val="nil"/>
              <w:left w:val="nil"/>
              <w:bottom w:val="nil"/>
              <w:right w:val="nil"/>
            </w:tcBorders>
          </w:tcPr>
          <w:p w14:paraId="0D2220C2" w14:textId="77777777" w:rsidR="00D9471B" w:rsidRPr="007E6EC9" w:rsidRDefault="00D9471B" w:rsidP="00D9471B">
            <w:pPr>
              <w:jc w:val="both"/>
              <w:rPr>
                <w:rFonts w:ascii="Arial" w:hAnsi="Arial" w:cs="Arial"/>
                <w:bCs/>
                <w:i/>
                <w:iCs/>
                <w:sz w:val="20"/>
                <w:szCs w:val="20"/>
                <w:lang w:val="fr-FR"/>
              </w:rPr>
            </w:pPr>
            <w:r w:rsidRPr="007E6EC9">
              <w:rPr>
                <w:rFonts w:ascii="Arial" w:hAnsi="Arial" w:cs="Arial"/>
                <w:i/>
                <w:iCs/>
                <w:sz w:val="20"/>
                <w:szCs w:val="20"/>
                <w:lang w:val="it-IT"/>
              </w:rPr>
              <w:t xml:space="preserve">Klebsiela Pneumoniae  </w:t>
            </w:r>
          </w:p>
        </w:tc>
        <w:tc>
          <w:tcPr>
            <w:tcW w:w="2413" w:type="dxa"/>
            <w:tcBorders>
              <w:top w:val="nil"/>
              <w:left w:val="nil"/>
              <w:bottom w:val="nil"/>
              <w:right w:val="nil"/>
            </w:tcBorders>
          </w:tcPr>
          <w:p w14:paraId="714F76F5" w14:textId="77777777" w:rsidR="00D9471B" w:rsidRPr="007E6EC9" w:rsidRDefault="00D9471B" w:rsidP="00993808">
            <w:pPr>
              <w:jc w:val="center"/>
              <w:rPr>
                <w:rFonts w:ascii="Arial" w:hAnsi="Arial" w:cs="Arial"/>
                <w:bCs/>
                <w:sz w:val="20"/>
                <w:szCs w:val="20"/>
                <w:lang w:val="fr-FR"/>
              </w:rPr>
            </w:pPr>
            <w:r w:rsidRPr="007E6EC9">
              <w:rPr>
                <w:rFonts w:ascii="Arial" w:hAnsi="Arial" w:cs="Arial"/>
                <w:bCs/>
                <w:sz w:val="20"/>
                <w:szCs w:val="20"/>
                <w:lang w:val="fr-FR"/>
              </w:rPr>
              <w:t>27</w:t>
            </w:r>
          </w:p>
        </w:tc>
      </w:tr>
      <w:tr w:rsidR="00D9471B" w:rsidRPr="007E6EC9" w14:paraId="7B91198D" w14:textId="77777777" w:rsidTr="00374969">
        <w:tc>
          <w:tcPr>
            <w:tcW w:w="4675" w:type="dxa"/>
            <w:tcBorders>
              <w:top w:val="nil"/>
              <w:left w:val="nil"/>
              <w:bottom w:val="nil"/>
              <w:right w:val="nil"/>
            </w:tcBorders>
          </w:tcPr>
          <w:p w14:paraId="08ECA2B6" w14:textId="77777777" w:rsidR="00D9471B" w:rsidRPr="007E6EC9" w:rsidRDefault="00D9471B" w:rsidP="00D9471B">
            <w:pPr>
              <w:jc w:val="both"/>
              <w:rPr>
                <w:rFonts w:ascii="Arial" w:hAnsi="Arial" w:cs="Arial"/>
                <w:bCs/>
                <w:i/>
                <w:iCs/>
                <w:sz w:val="20"/>
                <w:szCs w:val="20"/>
                <w:lang w:val="fr-FR"/>
              </w:rPr>
            </w:pPr>
            <w:r w:rsidRPr="007E6EC9">
              <w:rPr>
                <w:rFonts w:ascii="Arial" w:hAnsi="Arial" w:cs="Arial"/>
                <w:i/>
                <w:iCs/>
                <w:sz w:val="20"/>
                <w:szCs w:val="20"/>
                <w:lang w:val="it-IT"/>
              </w:rPr>
              <w:t>Staphylococcus auréus</w:t>
            </w:r>
          </w:p>
        </w:tc>
        <w:tc>
          <w:tcPr>
            <w:tcW w:w="2413" w:type="dxa"/>
            <w:tcBorders>
              <w:top w:val="nil"/>
              <w:left w:val="nil"/>
              <w:bottom w:val="nil"/>
              <w:right w:val="nil"/>
            </w:tcBorders>
          </w:tcPr>
          <w:p w14:paraId="792AD743" w14:textId="77777777" w:rsidR="00D9471B" w:rsidRPr="007E6EC9" w:rsidRDefault="00D9471B" w:rsidP="00993808">
            <w:pPr>
              <w:jc w:val="center"/>
              <w:rPr>
                <w:rFonts w:ascii="Arial" w:hAnsi="Arial" w:cs="Arial"/>
                <w:bCs/>
                <w:sz w:val="20"/>
                <w:szCs w:val="20"/>
                <w:lang w:val="fr-FR"/>
              </w:rPr>
            </w:pPr>
            <w:r w:rsidRPr="007E6EC9">
              <w:rPr>
                <w:rFonts w:ascii="Arial" w:hAnsi="Arial" w:cs="Arial"/>
                <w:bCs/>
                <w:sz w:val="20"/>
                <w:szCs w:val="20"/>
                <w:lang w:val="fr-FR"/>
              </w:rPr>
              <w:t>14</w:t>
            </w:r>
          </w:p>
        </w:tc>
      </w:tr>
      <w:tr w:rsidR="00D9471B" w:rsidRPr="007E6EC9" w14:paraId="797FB8A1" w14:textId="77777777" w:rsidTr="00374969">
        <w:tc>
          <w:tcPr>
            <w:tcW w:w="4675" w:type="dxa"/>
            <w:tcBorders>
              <w:top w:val="nil"/>
              <w:left w:val="nil"/>
              <w:bottom w:val="nil"/>
              <w:right w:val="nil"/>
            </w:tcBorders>
          </w:tcPr>
          <w:p w14:paraId="088E2BF0" w14:textId="77777777" w:rsidR="00D9471B" w:rsidRPr="007E6EC9" w:rsidRDefault="00D9471B" w:rsidP="00D9471B">
            <w:pPr>
              <w:jc w:val="both"/>
              <w:rPr>
                <w:rFonts w:ascii="Arial" w:hAnsi="Arial" w:cs="Arial"/>
                <w:bCs/>
                <w:i/>
                <w:iCs/>
                <w:sz w:val="20"/>
                <w:szCs w:val="20"/>
                <w:lang w:val="fr-FR"/>
              </w:rPr>
            </w:pPr>
            <w:r w:rsidRPr="007E6EC9">
              <w:rPr>
                <w:rFonts w:ascii="Arial" w:hAnsi="Arial" w:cs="Arial"/>
                <w:i/>
                <w:iCs/>
                <w:sz w:val="20"/>
                <w:szCs w:val="20"/>
                <w:lang w:val="fr-FR"/>
              </w:rPr>
              <w:t xml:space="preserve">Acinetobacter </w:t>
            </w:r>
            <w:proofErr w:type="spellStart"/>
            <w:r w:rsidRPr="007E6EC9">
              <w:rPr>
                <w:rFonts w:ascii="Arial" w:hAnsi="Arial" w:cs="Arial"/>
                <w:i/>
                <w:iCs/>
                <w:sz w:val="20"/>
                <w:szCs w:val="20"/>
                <w:lang w:val="fr-FR"/>
              </w:rPr>
              <w:t>baumanii</w:t>
            </w:r>
            <w:proofErr w:type="spellEnd"/>
          </w:p>
        </w:tc>
        <w:tc>
          <w:tcPr>
            <w:tcW w:w="2413" w:type="dxa"/>
            <w:tcBorders>
              <w:top w:val="nil"/>
              <w:left w:val="nil"/>
              <w:bottom w:val="nil"/>
              <w:right w:val="nil"/>
            </w:tcBorders>
          </w:tcPr>
          <w:p w14:paraId="51385773" w14:textId="77777777" w:rsidR="00D9471B" w:rsidRPr="007E6EC9" w:rsidRDefault="00D9471B" w:rsidP="00993808">
            <w:pPr>
              <w:jc w:val="center"/>
              <w:rPr>
                <w:rFonts w:ascii="Arial" w:hAnsi="Arial" w:cs="Arial"/>
                <w:bCs/>
                <w:sz w:val="20"/>
                <w:szCs w:val="20"/>
                <w:lang w:val="fr-FR"/>
              </w:rPr>
            </w:pPr>
            <w:r w:rsidRPr="007E6EC9">
              <w:rPr>
                <w:rFonts w:ascii="Arial" w:hAnsi="Arial" w:cs="Arial"/>
                <w:bCs/>
                <w:sz w:val="20"/>
                <w:szCs w:val="20"/>
                <w:lang w:val="fr-FR"/>
              </w:rPr>
              <w:t>3</w:t>
            </w:r>
          </w:p>
        </w:tc>
      </w:tr>
      <w:tr w:rsidR="00D9471B" w:rsidRPr="007E6EC9" w14:paraId="52C98440" w14:textId="77777777" w:rsidTr="00374969">
        <w:tc>
          <w:tcPr>
            <w:tcW w:w="4675" w:type="dxa"/>
            <w:tcBorders>
              <w:top w:val="nil"/>
              <w:left w:val="nil"/>
              <w:right w:val="nil"/>
            </w:tcBorders>
          </w:tcPr>
          <w:p w14:paraId="33DB013C" w14:textId="77777777" w:rsidR="00D9471B" w:rsidRPr="007E6EC9" w:rsidRDefault="00D9471B" w:rsidP="00D9471B">
            <w:pPr>
              <w:jc w:val="both"/>
              <w:rPr>
                <w:rFonts w:ascii="Arial" w:hAnsi="Arial" w:cs="Arial"/>
                <w:i/>
                <w:iCs/>
                <w:sz w:val="20"/>
                <w:szCs w:val="20"/>
                <w:lang w:val="fr-FR"/>
              </w:rPr>
            </w:pPr>
            <w:r w:rsidRPr="007E6EC9">
              <w:rPr>
                <w:rFonts w:ascii="Arial" w:hAnsi="Arial" w:cs="Arial"/>
                <w:i/>
                <w:iCs/>
                <w:sz w:val="20"/>
                <w:szCs w:val="20"/>
                <w:lang w:val="fr-FR"/>
              </w:rPr>
              <w:t xml:space="preserve">Pseudomonas </w:t>
            </w:r>
            <w:proofErr w:type="spellStart"/>
            <w:r w:rsidRPr="007E6EC9">
              <w:rPr>
                <w:rFonts w:ascii="Arial" w:hAnsi="Arial" w:cs="Arial"/>
                <w:i/>
                <w:iCs/>
                <w:sz w:val="20"/>
                <w:szCs w:val="20"/>
                <w:lang w:val="fr-FR"/>
              </w:rPr>
              <w:t>aeruginosa</w:t>
            </w:r>
            <w:proofErr w:type="spellEnd"/>
          </w:p>
        </w:tc>
        <w:tc>
          <w:tcPr>
            <w:tcW w:w="2413" w:type="dxa"/>
            <w:tcBorders>
              <w:top w:val="nil"/>
              <w:left w:val="nil"/>
              <w:right w:val="nil"/>
            </w:tcBorders>
          </w:tcPr>
          <w:p w14:paraId="73CB214D" w14:textId="77777777" w:rsidR="00D9471B" w:rsidRPr="007E6EC9" w:rsidRDefault="00D9471B" w:rsidP="00993808">
            <w:pPr>
              <w:jc w:val="center"/>
              <w:rPr>
                <w:rFonts w:ascii="Arial" w:hAnsi="Arial" w:cs="Arial"/>
                <w:bCs/>
                <w:sz w:val="20"/>
                <w:szCs w:val="20"/>
                <w:lang w:val="fr-FR"/>
              </w:rPr>
            </w:pPr>
            <w:r w:rsidRPr="007E6EC9">
              <w:rPr>
                <w:rFonts w:ascii="Arial" w:hAnsi="Arial" w:cs="Arial"/>
                <w:bCs/>
                <w:sz w:val="20"/>
                <w:szCs w:val="20"/>
                <w:lang w:val="fr-FR"/>
              </w:rPr>
              <w:t>2</w:t>
            </w:r>
          </w:p>
        </w:tc>
      </w:tr>
    </w:tbl>
    <w:p w14:paraId="1300CD7A" w14:textId="77777777" w:rsidR="00FF66F3" w:rsidRPr="007E6EC9" w:rsidRDefault="00FF66F3" w:rsidP="00D9471B">
      <w:pPr>
        <w:jc w:val="both"/>
        <w:rPr>
          <w:rFonts w:ascii="Arial" w:hAnsi="Arial" w:cs="Arial"/>
          <w:sz w:val="20"/>
          <w:szCs w:val="20"/>
        </w:rPr>
      </w:pPr>
    </w:p>
    <w:p w14:paraId="06D852CB" w14:textId="2E19889B" w:rsidR="00D9471B" w:rsidRPr="007E6EC9" w:rsidRDefault="00D9471B" w:rsidP="00D9471B">
      <w:pPr>
        <w:jc w:val="both"/>
        <w:rPr>
          <w:rFonts w:ascii="Arial" w:hAnsi="Arial" w:cs="Arial"/>
          <w:sz w:val="20"/>
          <w:szCs w:val="20"/>
        </w:rPr>
      </w:pPr>
      <w:r w:rsidRPr="007E6EC9">
        <w:rPr>
          <w:rFonts w:ascii="Arial" w:hAnsi="Arial" w:cs="Arial"/>
          <w:sz w:val="20"/>
          <w:szCs w:val="20"/>
        </w:rPr>
        <w:t>The overall acquired resistance of these pathogens to the antibiotics tested was 96% for penicillin, 24% for ceftriaxone, 14% for imipenem, 40% for meropenem, and 7% for ertapenem</w:t>
      </w:r>
      <w:r w:rsidR="00A619E4" w:rsidRPr="007E6EC9">
        <w:rPr>
          <w:rFonts w:ascii="Arial" w:hAnsi="Arial" w:cs="Arial"/>
          <w:sz w:val="20"/>
          <w:szCs w:val="20"/>
        </w:rPr>
        <w:t xml:space="preserve"> (Table III)</w:t>
      </w:r>
      <w:r w:rsidRPr="007E6EC9">
        <w:rPr>
          <w:rFonts w:ascii="Arial" w:hAnsi="Arial" w:cs="Arial"/>
          <w:sz w:val="20"/>
          <w:szCs w:val="20"/>
        </w:rPr>
        <w:t>.</w:t>
      </w:r>
    </w:p>
    <w:p w14:paraId="33ECE69A" w14:textId="77777777" w:rsidR="00D9471B" w:rsidRPr="007E6EC9" w:rsidRDefault="00D9471B" w:rsidP="00D9471B">
      <w:pPr>
        <w:jc w:val="both"/>
        <w:rPr>
          <w:rFonts w:ascii="Arial" w:hAnsi="Arial" w:cs="Arial"/>
          <w:sz w:val="20"/>
          <w:szCs w:val="20"/>
        </w:rPr>
      </w:pPr>
      <w:r w:rsidRPr="007E6EC9">
        <w:rPr>
          <w:rFonts w:ascii="Arial" w:hAnsi="Arial" w:cs="Arial"/>
          <w:b/>
          <w:bCs/>
          <w:sz w:val="20"/>
          <w:szCs w:val="20"/>
        </w:rPr>
        <w:t xml:space="preserve">Table III: </w:t>
      </w:r>
      <w:r w:rsidRPr="007E6EC9">
        <w:rPr>
          <w:rFonts w:ascii="Arial" w:hAnsi="Arial" w:cs="Arial"/>
          <w:sz w:val="20"/>
          <w:szCs w:val="20"/>
        </w:rPr>
        <w:t>Acquired Resistance of Bacterial Strains to Tested Antibiotics, January 1 – July 31, 2024, Guinea</w:t>
      </w:r>
    </w:p>
    <w:tbl>
      <w:tblPr>
        <w:tblStyle w:val="TableGrid"/>
        <w:tblW w:w="0" w:type="auto"/>
        <w:tblLook w:val="04A0" w:firstRow="1" w:lastRow="0" w:firstColumn="1" w:lastColumn="0" w:noHBand="0" w:noVBand="1"/>
      </w:tblPr>
      <w:tblGrid>
        <w:gridCol w:w="4675"/>
        <w:gridCol w:w="2413"/>
      </w:tblGrid>
      <w:tr w:rsidR="00D9471B" w:rsidRPr="007E6EC9" w14:paraId="421BA411" w14:textId="77777777" w:rsidTr="00374969">
        <w:tc>
          <w:tcPr>
            <w:tcW w:w="4675" w:type="dxa"/>
            <w:tcBorders>
              <w:left w:val="nil"/>
              <w:bottom w:val="single" w:sz="4" w:space="0" w:color="auto"/>
              <w:right w:val="nil"/>
            </w:tcBorders>
          </w:tcPr>
          <w:p w14:paraId="548305E3" w14:textId="34C7BA86" w:rsidR="00D9471B" w:rsidRPr="007E6EC9" w:rsidRDefault="00D9471B" w:rsidP="00D9471B">
            <w:pPr>
              <w:jc w:val="both"/>
              <w:rPr>
                <w:rFonts w:ascii="Arial" w:hAnsi="Arial" w:cs="Arial"/>
                <w:b/>
                <w:bCs/>
                <w:sz w:val="20"/>
                <w:szCs w:val="20"/>
                <w:lang w:val="fr-FR"/>
              </w:rPr>
            </w:pPr>
            <w:r w:rsidRPr="007E6EC9">
              <w:rPr>
                <w:rFonts w:ascii="Arial" w:hAnsi="Arial" w:cs="Arial"/>
                <w:b/>
                <w:bCs/>
                <w:sz w:val="20"/>
                <w:szCs w:val="20"/>
              </w:rPr>
              <w:t>Antibiotics</w:t>
            </w:r>
          </w:p>
        </w:tc>
        <w:tc>
          <w:tcPr>
            <w:tcW w:w="2413" w:type="dxa"/>
            <w:tcBorders>
              <w:left w:val="nil"/>
              <w:bottom w:val="single" w:sz="4" w:space="0" w:color="auto"/>
              <w:right w:val="nil"/>
            </w:tcBorders>
          </w:tcPr>
          <w:p w14:paraId="4185B91F" w14:textId="77777777" w:rsidR="00D9471B" w:rsidRPr="007E6EC9" w:rsidRDefault="00D9471B" w:rsidP="00993808">
            <w:pPr>
              <w:jc w:val="center"/>
              <w:rPr>
                <w:rFonts w:ascii="Arial" w:hAnsi="Arial" w:cs="Arial"/>
                <w:b/>
                <w:bCs/>
                <w:sz w:val="20"/>
                <w:szCs w:val="20"/>
                <w:lang w:val="fr-FR"/>
              </w:rPr>
            </w:pPr>
            <w:r w:rsidRPr="007E6EC9">
              <w:rPr>
                <w:rFonts w:ascii="Arial" w:hAnsi="Arial" w:cs="Arial"/>
                <w:b/>
                <w:bCs/>
                <w:sz w:val="20"/>
                <w:szCs w:val="20"/>
                <w:lang w:val="fr-FR"/>
              </w:rPr>
              <w:t>Proportion</w:t>
            </w:r>
          </w:p>
        </w:tc>
      </w:tr>
      <w:tr w:rsidR="00D9471B" w:rsidRPr="007E6EC9" w14:paraId="2D0F04B8" w14:textId="77777777" w:rsidTr="00374969">
        <w:tc>
          <w:tcPr>
            <w:tcW w:w="4675" w:type="dxa"/>
            <w:tcBorders>
              <w:left w:val="nil"/>
              <w:bottom w:val="nil"/>
              <w:right w:val="nil"/>
            </w:tcBorders>
          </w:tcPr>
          <w:p w14:paraId="3971F6CB"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Penicilline</w:t>
            </w:r>
            <w:proofErr w:type="spellEnd"/>
            <w:r w:rsidRPr="007E6EC9">
              <w:rPr>
                <w:rFonts w:ascii="Arial" w:hAnsi="Arial" w:cs="Arial"/>
                <w:sz w:val="20"/>
                <w:szCs w:val="20"/>
                <w:lang w:val="fr-FR"/>
              </w:rPr>
              <w:t xml:space="preserve"> G </w:t>
            </w:r>
          </w:p>
        </w:tc>
        <w:tc>
          <w:tcPr>
            <w:tcW w:w="2413" w:type="dxa"/>
            <w:tcBorders>
              <w:left w:val="nil"/>
              <w:bottom w:val="nil"/>
              <w:right w:val="nil"/>
            </w:tcBorders>
          </w:tcPr>
          <w:p w14:paraId="6415A2AF"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96</w:t>
            </w:r>
          </w:p>
        </w:tc>
      </w:tr>
      <w:tr w:rsidR="00D9471B" w:rsidRPr="007E6EC9" w14:paraId="09061DBC" w14:textId="77777777" w:rsidTr="00374969">
        <w:tc>
          <w:tcPr>
            <w:tcW w:w="4675" w:type="dxa"/>
            <w:tcBorders>
              <w:top w:val="nil"/>
              <w:left w:val="nil"/>
              <w:bottom w:val="nil"/>
              <w:right w:val="nil"/>
            </w:tcBorders>
          </w:tcPr>
          <w:p w14:paraId="3434C4F6"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 xml:space="preserve">Ampicilline </w:t>
            </w:r>
          </w:p>
        </w:tc>
        <w:tc>
          <w:tcPr>
            <w:tcW w:w="2413" w:type="dxa"/>
            <w:tcBorders>
              <w:top w:val="nil"/>
              <w:left w:val="nil"/>
              <w:bottom w:val="nil"/>
              <w:right w:val="nil"/>
            </w:tcBorders>
          </w:tcPr>
          <w:p w14:paraId="6774DB18"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91</w:t>
            </w:r>
          </w:p>
        </w:tc>
      </w:tr>
      <w:tr w:rsidR="00D9471B" w:rsidRPr="007E6EC9" w14:paraId="0975C7A3" w14:textId="77777777" w:rsidTr="00374969">
        <w:tc>
          <w:tcPr>
            <w:tcW w:w="4675" w:type="dxa"/>
            <w:tcBorders>
              <w:top w:val="nil"/>
              <w:left w:val="nil"/>
              <w:bottom w:val="nil"/>
              <w:right w:val="nil"/>
            </w:tcBorders>
          </w:tcPr>
          <w:p w14:paraId="4AAF6BFF"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Amoxicilline</w:t>
            </w:r>
          </w:p>
        </w:tc>
        <w:tc>
          <w:tcPr>
            <w:tcW w:w="2413" w:type="dxa"/>
            <w:tcBorders>
              <w:top w:val="nil"/>
              <w:left w:val="nil"/>
              <w:bottom w:val="nil"/>
              <w:right w:val="nil"/>
            </w:tcBorders>
          </w:tcPr>
          <w:p w14:paraId="46CEE00A"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72</w:t>
            </w:r>
          </w:p>
        </w:tc>
      </w:tr>
      <w:tr w:rsidR="00D9471B" w:rsidRPr="007E6EC9" w14:paraId="78729948" w14:textId="77777777" w:rsidTr="00374969">
        <w:tc>
          <w:tcPr>
            <w:tcW w:w="4675" w:type="dxa"/>
            <w:tcBorders>
              <w:top w:val="nil"/>
              <w:left w:val="nil"/>
              <w:bottom w:val="nil"/>
              <w:right w:val="nil"/>
            </w:tcBorders>
          </w:tcPr>
          <w:p w14:paraId="06787031"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Amoxicilline + Acide clavulanique</w:t>
            </w:r>
          </w:p>
        </w:tc>
        <w:tc>
          <w:tcPr>
            <w:tcW w:w="2413" w:type="dxa"/>
            <w:tcBorders>
              <w:top w:val="nil"/>
              <w:left w:val="nil"/>
              <w:bottom w:val="nil"/>
              <w:right w:val="nil"/>
            </w:tcBorders>
          </w:tcPr>
          <w:p w14:paraId="5574AF36"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51</w:t>
            </w:r>
          </w:p>
        </w:tc>
      </w:tr>
      <w:tr w:rsidR="00D9471B" w:rsidRPr="007E6EC9" w14:paraId="2FF2B29D" w14:textId="77777777" w:rsidTr="00374969">
        <w:tc>
          <w:tcPr>
            <w:tcW w:w="4675" w:type="dxa"/>
            <w:tcBorders>
              <w:top w:val="nil"/>
              <w:left w:val="nil"/>
              <w:bottom w:val="nil"/>
              <w:right w:val="nil"/>
            </w:tcBorders>
          </w:tcPr>
          <w:p w14:paraId="7CE765CB"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Piperacilline</w:t>
            </w:r>
            <w:proofErr w:type="spellEnd"/>
            <w:r w:rsidRPr="007E6EC9">
              <w:rPr>
                <w:rFonts w:ascii="Arial" w:hAnsi="Arial" w:cs="Arial"/>
                <w:sz w:val="20"/>
                <w:szCs w:val="20"/>
                <w:lang w:val="fr-FR"/>
              </w:rPr>
              <w:t xml:space="preserve">/ </w:t>
            </w:r>
            <w:proofErr w:type="spellStart"/>
            <w:r w:rsidRPr="007E6EC9">
              <w:rPr>
                <w:rFonts w:ascii="Arial" w:hAnsi="Arial" w:cs="Arial"/>
                <w:sz w:val="20"/>
                <w:szCs w:val="20"/>
                <w:lang w:val="fr-FR"/>
              </w:rPr>
              <w:t>Tazobactam</w:t>
            </w:r>
            <w:proofErr w:type="spellEnd"/>
          </w:p>
        </w:tc>
        <w:tc>
          <w:tcPr>
            <w:tcW w:w="2413" w:type="dxa"/>
            <w:tcBorders>
              <w:top w:val="nil"/>
              <w:left w:val="nil"/>
              <w:bottom w:val="nil"/>
              <w:right w:val="nil"/>
            </w:tcBorders>
          </w:tcPr>
          <w:p w14:paraId="54392950"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26</w:t>
            </w:r>
          </w:p>
        </w:tc>
      </w:tr>
      <w:tr w:rsidR="00D9471B" w:rsidRPr="007E6EC9" w14:paraId="3C6F5FC5" w14:textId="77777777" w:rsidTr="00374969">
        <w:tc>
          <w:tcPr>
            <w:tcW w:w="4675" w:type="dxa"/>
            <w:tcBorders>
              <w:top w:val="nil"/>
              <w:left w:val="nil"/>
              <w:bottom w:val="nil"/>
              <w:right w:val="nil"/>
            </w:tcBorders>
          </w:tcPr>
          <w:p w14:paraId="4B309630"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Cefalotine</w:t>
            </w:r>
            <w:proofErr w:type="spellEnd"/>
          </w:p>
        </w:tc>
        <w:tc>
          <w:tcPr>
            <w:tcW w:w="2413" w:type="dxa"/>
            <w:tcBorders>
              <w:top w:val="nil"/>
              <w:left w:val="nil"/>
              <w:bottom w:val="nil"/>
              <w:right w:val="nil"/>
            </w:tcBorders>
          </w:tcPr>
          <w:p w14:paraId="21FE8635"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66</w:t>
            </w:r>
          </w:p>
        </w:tc>
      </w:tr>
      <w:tr w:rsidR="00D9471B" w:rsidRPr="007E6EC9" w14:paraId="2D2BA762" w14:textId="77777777" w:rsidTr="00374969">
        <w:tc>
          <w:tcPr>
            <w:tcW w:w="4675" w:type="dxa"/>
            <w:tcBorders>
              <w:top w:val="nil"/>
              <w:left w:val="nil"/>
              <w:bottom w:val="nil"/>
              <w:right w:val="nil"/>
            </w:tcBorders>
          </w:tcPr>
          <w:p w14:paraId="7FB27891"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Cefixime</w:t>
            </w:r>
            <w:proofErr w:type="spellEnd"/>
          </w:p>
        </w:tc>
        <w:tc>
          <w:tcPr>
            <w:tcW w:w="2413" w:type="dxa"/>
            <w:tcBorders>
              <w:top w:val="nil"/>
              <w:left w:val="nil"/>
              <w:bottom w:val="nil"/>
              <w:right w:val="nil"/>
            </w:tcBorders>
          </w:tcPr>
          <w:p w14:paraId="7CC859D8"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84</w:t>
            </w:r>
          </w:p>
        </w:tc>
      </w:tr>
      <w:tr w:rsidR="00D9471B" w:rsidRPr="007E6EC9" w14:paraId="548D26BF" w14:textId="77777777" w:rsidTr="00374969">
        <w:tc>
          <w:tcPr>
            <w:tcW w:w="4675" w:type="dxa"/>
            <w:tcBorders>
              <w:top w:val="nil"/>
              <w:left w:val="nil"/>
              <w:bottom w:val="nil"/>
              <w:right w:val="nil"/>
            </w:tcBorders>
          </w:tcPr>
          <w:p w14:paraId="7EC13470"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Cefepime</w:t>
            </w:r>
            <w:proofErr w:type="spellEnd"/>
          </w:p>
        </w:tc>
        <w:tc>
          <w:tcPr>
            <w:tcW w:w="2413" w:type="dxa"/>
            <w:tcBorders>
              <w:top w:val="nil"/>
              <w:left w:val="nil"/>
              <w:bottom w:val="nil"/>
              <w:right w:val="nil"/>
            </w:tcBorders>
          </w:tcPr>
          <w:p w14:paraId="5505A4B9"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67</w:t>
            </w:r>
          </w:p>
        </w:tc>
      </w:tr>
      <w:tr w:rsidR="00D9471B" w:rsidRPr="007E6EC9" w14:paraId="75231E05" w14:textId="77777777" w:rsidTr="00374969">
        <w:tc>
          <w:tcPr>
            <w:tcW w:w="4675" w:type="dxa"/>
            <w:tcBorders>
              <w:top w:val="nil"/>
              <w:left w:val="nil"/>
              <w:bottom w:val="nil"/>
              <w:right w:val="nil"/>
            </w:tcBorders>
          </w:tcPr>
          <w:p w14:paraId="4614498C"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Cefoxitine</w:t>
            </w:r>
            <w:proofErr w:type="spellEnd"/>
          </w:p>
        </w:tc>
        <w:tc>
          <w:tcPr>
            <w:tcW w:w="2413" w:type="dxa"/>
            <w:tcBorders>
              <w:top w:val="nil"/>
              <w:left w:val="nil"/>
              <w:bottom w:val="nil"/>
              <w:right w:val="nil"/>
            </w:tcBorders>
          </w:tcPr>
          <w:p w14:paraId="135669BC"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51</w:t>
            </w:r>
          </w:p>
        </w:tc>
      </w:tr>
      <w:tr w:rsidR="00D9471B" w:rsidRPr="007E6EC9" w14:paraId="0A4177AD" w14:textId="77777777" w:rsidTr="00374969">
        <w:tc>
          <w:tcPr>
            <w:tcW w:w="4675" w:type="dxa"/>
            <w:tcBorders>
              <w:top w:val="nil"/>
              <w:left w:val="nil"/>
              <w:bottom w:val="nil"/>
              <w:right w:val="nil"/>
            </w:tcBorders>
          </w:tcPr>
          <w:p w14:paraId="5F43A604"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Oxacilline</w:t>
            </w:r>
          </w:p>
        </w:tc>
        <w:tc>
          <w:tcPr>
            <w:tcW w:w="2413" w:type="dxa"/>
            <w:tcBorders>
              <w:top w:val="nil"/>
              <w:left w:val="nil"/>
              <w:bottom w:val="nil"/>
              <w:right w:val="nil"/>
            </w:tcBorders>
          </w:tcPr>
          <w:p w14:paraId="4144DF90"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87</w:t>
            </w:r>
          </w:p>
        </w:tc>
      </w:tr>
      <w:tr w:rsidR="00D9471B" w:rsidRPr="007E6EC9" w14:paraId="09771292" w14:textId="77777777" w:rsidTr="00374969">
        <w:tc>
          <w:tcPr>
            <w:tcW w:w="4675" w:type="dxa"/>
            <w:tcBorders>
              <w:top w:val="nil"/>
              <w:left w:val="nil"/>
              <w:bottom w:val="nil"/>
              <w:right w:val="nil"/>
            </w:tcBorders>
          </w:tcPr>
          <w:p w14:paraId="755191A3"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Ceftazidime</w:t>
            </w:r>
            <w:proofErr w:type="spellEnd"/>
          </w:p>
        </w:tc>
        <w:tc>
          <w:tcPr>
            <w:tcW w:w="2413" w:type="dxa"/>
            <w:tcBorders>
              <w:top w:val="nil"/>
              <w:left w:val="nil"/>
              <w:bottom w:val="nil"/>
              <w:right w:val="nil"/>
            </w:tcBorders>
          </w:tcPr>
          <w:p w14:paraId="554D16F8"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65</w:t>
            </w:r>
          </w:p>
        </w:tc>
      </w:tr>
      <w:tr w:rsidR="00D9471B" w:rsidRPr="007E6EC9" w14:paraId="272D8A49" w14:textId="77777777" w:rsidTr="00374969">
        <w:tc>
          <w:tcPr>
            <w:tcW w:w="4675" w:type="dxa"/>
            <w:tcBorders>
              <w:top w:val="nil"/>
              <w:left w:val="nil"/>
              <w:bottom w:val="nil"/>
              <w:right w:val="nil"/>
            </w:tcBorders>
          </w:tcPr>
          <w:p w14:paraId="381022C9"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Ceftriaxone</w:t>
            </w:r>
          </w:p>
        </w:tc>
        <w:tc>
          <w:tcPr>
            <w:tcW w:w="2413" w:type="dxa"/>
            <w:tcBorders>
              <w:top w:val="nil"/>
              <w:left w:val="nil"/>
              <w:bottom w:val="nil"/>
              <w:right w:val="nil"/>
            </w:tcBorders>
          </w:tcPr>
          <w:p w14:paraId="5E135840"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24</w:t>
            </w:r>
          </w:p>
        </w:tc>
      </w:tr>
      <w:tr w:rsidR="00D9471B" w:rsidRPr="007E6EC9" w14:paraId="4E863FA8" w14:textId="77777777" w:rsidTr="00374969">
        <w:tc>
          <w:tcPr>
            <w:tcW w:w="4675" w:type="dxa"/>
            <w:tcBorders>
              <w:top w:val="nil"/>
              <w:left w:val="nil"/>
              <w:bottom w:val="nil"/>
              <w:right w:val="nil"/>
            </w:tcBorders>
          </w:tcPr>
          <w:p w14:paraId="30640BF1"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Imipénème</w:t>
            </w:r>
            <w:proofErr w:type="spellEnd"/>
          </w:p>
        </w:tc>
        <w:tc>
          <w:tcPr>
            <w:tcW w:w="2413" w:type="dxa"/>
            <w:tcBorders>
              <w:top w:val="nil"/>
              <w:left w:val="nil"/>
              <w:bottom w:val="nil"/>
              <w:right w:val="nil"/>
            </w:tcBorders>
          </w:tcPr>
          <w:p w14:paraId="092AEB01"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14</w:t>
            </w:r>
          </w:p>
        </w:tc>
      </w:tr>
      <w:tr w:rsidR="00D9471B" w:rsidRPr="007E6EC9" w14:paraId="5489D240" w14:textId="77777777" w:rsidTr="00374969">
        <w:tc>
          <w:tcPr>
            <w:tcW w:w="4675" w:type="dxa"/>
            <w:tcBorders>
              <w:top w:val="nil"/>
              <w:left w:val="nil"/>
              <w:bottom w:val="nil"/>
              <w:right w:val="nil"/>
            </w:tcBorders>
          </w:tcPr>
          <w:p w14:paraId="0F44F603"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Méropénème</w:t>
            </w:r>
          </w:p>
        </w:tc>
        <w:tc>
          <w:tcPr>
            <w:tcW w:w="2413" w:type="dxa"/>
            <w:tcBorders>
              <w:top w:val="nil"/>
              <w:left w:val="nil"/>
              <w:bottom w:val="nil"/>
              <w:right w:val="nil"/>
            </w:tcBorders>
          </w:tcPr>
          <w:p w14:paraId="639E8CBB"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40</w:t>
            </w:r>
          </w:p>
        </w:tc>
      </w:tr>
      <w:tr w:rsidR="00D9471B" w:rsidRPr="007E6EC9" w14:paraId="0130934D" w14:textId="77777777" w:rsidTr="00374969">
        <w:tc>
          <w:tcPr>
            <w:tcW w:w="4675" w:type="dxa"/>
            <w:tcBorders>
              <w:top w:val="nil"/>
              <w:left w:val="nil"/>
              <w:bottom w:val="nil"/>
              <w:right w:val="nil"/>
            </w:tcBorders>
          </w:tcPr>
          <w:p w14:paraId="4653C5CE"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lastRenderedPageBreak/>
              <w:t>Ertapénème</w:t>
            </w:r>
          </w:p>
        </w:tc>
        <w:tc>
          <w:tcPr>
            <w:tcW w:w="2413" w:type="dxa"/>
            <w:tcBorders>
              <w:top w:val="nil"/>
              <w:left w:val="nil"/>
              <w:bottom w:val="nil"/>
              <w:right w:val="nil"/>
            </w:tcBorders>
          </w:tcPr>
          <w:p w14:paraId="16D84089"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7</w:t>
            </w:r>
          </w:p>
        </w:tc>
      </w:tr>
      <w:tr w:rsidR="00D9471B" w:rsidRPr="007E6EC9" w14:paraId="370E2201" w14:textId="77777777" w:rsidTr="00374969">
        <w:tc>
          <w:tcPr>
            <w:tcW w:w="4675" w:type="dxa"/>
            <w:tcBorders>
              <w:top w:val="nil"/>
              <w:left w:val="nil"/>
              <w:bottom w:val="nil"/>
              <w:right w:val="nil"/>
            </w:tcBorders>
          </w:tcPr>
          <w:p w14:paraId="5B451FCA"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Amikacine</w:t>
            </w:r>
          </w:p>
        </w:tc>
        <w:tc>
          <w:tcPr>
            <w:tcW w:w="2413" w:type="dxa"/>
            <w:tcBorders>
              <w:top w:val="nil"/>
              <w:left w:val="nil"/>
              <w:bottom w:val="nil"/>
              <w:right w:val="nil"/>
            </w:tcBorders>
          </w:tcPr>
          <w:p w14:paraId="05E18092"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29</w:t>
            </w:r>
          </w:p>
        </w:tc>
      </w:tr>
      <w:tr w:rsidR="00D9471B" w:rsidRPr="007E6EC9" w14:paraId="53EF26AD" w14:textId="77777777" w:rsidTr="00374969">
        <w:tc>
          <w:tcPr>
            <w:tcW w:w="4675" w:type="dxa"/>
            <w:tcBorders>
              <w:top w:val="nil"/>
              <w:left w:val="nil"/>
              <w:bottom w:val="nil"/>
              <w:right w:val="nil"/>
            </w:tcBorders>
          </w:tcPr>
          <w:p w14:paraId="343B4659"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Kanamycine</w:t>
            </w:r>
          </w:p>
        </w:tc>
        <w:tc>
          <w:tcPr>
            <w:tcW w:w="2413" w:type="dxa"/>
            <w:tcBorders>
              <w:top w:val="nil"/>
              <w:left w:val="nil"/>
              <w:bottom w:val="nil"/>
              <w:right w:val="nil"/>
            </w:tcBorders>
          </w:tcPr>
          <w:p w14:paraId="610690D5"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75</w:t>
            </w:r>
          </w:p>
        </w:tc>
      </w:tr>
      <w:tr w:rsidR="00D9471B" w:rsidRPr="007E6EC9" w14:paraId="600964F0" w14:textId="77777777" w:rsidTr="00374969">
        <w:tc>
          <w:tcPr>
            <w:tcW w:w="4675" w:type="dxa"/>
            <w:tcBorders>
              <w:top w:val="nil"/>
              <w:left w:val="nil"/>
              <w:bottom w:val="nil"/>
              <w:right w:val="nil"/>
            </w:tcBorders>
          </w:tcPr>
          <w:p w14:paraId="18AB98E3"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Tobramycine</w:t>
            </w:r>
            <w:proofErr w:type="spellEnd"/>
          </w:p>
        </w:tc>
        <w:tc>
          <w:tcPr>
            <w:tcW w:w="2413" w:type="dxa"/>
            <w:tcBorders>
              <w:top w:val="nil"/>
              <w:left w:val="nil"/>
              <w:bottom w:val="nil"/>
              <w:right w:val="nil"/>
            </w:tcBorders>
          </w:tcPr>
          <w:p w14:paraId="0A14EE5F"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56</w:t>
            </w:r>
          </w:p>
        </w:tc>
      </w:tr>
      <w:tr w:rsidR="00D9471B" w:rsidRPr="007E6EC9" w14:paraId="4B647EB4" w14:textId="77777777" w:rsidTr="00374969">
        <w:tc>
          <w:tcPr>
            <w:tcW w:w="4675" w:type="dxa"/>
            <w:tcBorders>
              <w:top w:val="nil"/>
              <w:left w:val="nil"/>
              <w:bottom w:val="nil"/>
              <w:right w:val="nil"/>
            </w:tcBorders>
          </w:tcPr>
          <w:p w14:paraId="63722E64"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Gentamycine</w:t>
            </w:r>
          </w:p>
        </w:tc>
        <w:tc>
          <w:tcPr>
            <w:tcW w:w="2413" w:type="dxa"/>
            <w:tcBorders>
              <w:top w:val="nil"/>
              <w:left w:val="nil"/>
              <w:bottom w:val="nil"/>
              <w:right w:val="nil"/>
            </w:tcBorders>
          </w:tcPr>
          <w:p w14:paraId="2E6A9F0D"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57</w:t>
            </w:r>
          </w:p>
        </w:tc>
      </w:tr>
      <w:tr w:rsidR="00D9471B" w:rsidRPr="007E6EC9" w14:paraId="0CEA0BCB" w14:textId="77777777" w:rsidTr="00374969">
        <w:tc>
          <w:tcPr>
            <w:tcW w:w="4675" w:type="dxa"/>
            <w:tcBorders>
              <w:top w:val="nil"/>
              <w:left w:val="nil"/>
              <w:bottom w:val="nil"/>
              <w:right w:val="nil"/>
            </w:tcBorders>
          </w:tcPr>
          <w:p w14:paraId="695D9615"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Trimétoprime</w:t>
            </w:r>
            <w:proofErr w:type="spellEnd"/>
            <w:r w:rsidRPr="007E6EC9">
              <w:rPr>
                <w:rFonts w:ascii="Arial" w:hAnsi="Arial" w:cs="Arial"/>
                <w:sz w:val="20"/>
                <w:szCs w:val="20"/>
                <w:lang w:val="fr-FR"/>
              </w:rPr>
              <w:t xml:space="preserve"> / </w:t>
            </w:r>
            <w:proofErr w:type="spellStart"/>
            <w:r w:rsidRPr="007E6EC9">
              <w:rPr>
                <w:rFonts w:ascii="Arial" w:hAnsi="Arial" w:cs="Arial"/>
                <w:sz w:val="20"/>
                <w:szCs w:val="20"/>
                <w:lang w:val="fr-FR"/>
              </w:rPr>
              <w:t>Sulfaméthoxazole</w:t>
            </w:r>
            <w:proofErr w:type="spellEnd"/>
          </w:p>
        </w:tc>
        <w:tc>
          <w:tcPr>
            <w:tcW w:w="2413" w:type="dxa"/>
            <w:tcBorders>
              <w:top w:val="nil"/>
              <w:left w:val="nil"/>
              <w:bottom w:val="nil"/>
              <w:right w:val="nil"/>
            </w:tcBorders>
          </w:tcPr>
          <w:p w14:paraId="46538389"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74</w:t>
            </w:r>
          </w:p>
        </w:tc>
      </w:tr>
      <w:tr w:rsidR="00D9471B" w:rsidRPr="007E6EC9" w14:paraId="65DD2A8E" w14:textId="77777777" w:rsidTr="00374969">
        <w:tc>
          <w:tcPr>
            <w:tcW w:w="4675" w:type="dxa"/>
            <w:tcBorders>
              <w:top w:val="nil"/>
              <w:left w:val="nil"/>
              <w:bottom w:val="nil"/>
              <w:right w:val="nil"/>
            </w:tcBorders>
          </w:tcPr>
          <w:p w14:paraId="09D3293D"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 xml:space="preserve">Acide </w:t>
            </w:r>
            <w:proofErr w:type="spellStart"/>
            <w:r w:rsidRPr="007E6EC9">
              <w:rPr>
                <w:rFonts w:ascii="Arial" w:hAnsi="Arial" w:cs="Arial"/>
                <w:sz w:val="20"/>
                <w:szCs w:val="20"/>
                <w:lang w:val="fr-FR"/>
              </w:rPr>
              <w:t>Nalidixique</w:t>
            </w:r>
            <w:proofErr w:type="spellEnd"/>
          </w:p>
        </w:tc>
        <w:tc>
          <w:tcPr>
            <w:tcW w:w="2413" w:type="dxa"/>
            <w:tcBorders>
              <w:top w:val="nil"/>
              <w:left w:val="nil"/>
              <w:bottom w:val="nil"/>
              <w:right w:val="nil"/>
            </w:tcBorders>
          </w:tcPr>
          <w:p w14:paraId="04E1CF5F"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73</w:t>
            </w:r>
          </w:p>
        </w:tc>
      </w:tr>
      <w:tr w:rsidR="00D9471B" w:rsidRPr="007E6EC9" w14:paraId="1677372C" w14:textId="77777777" w:rsidTr="00374969">
        <w:tc>
          <w:tcPr>
            <w:tcW w:w="4675" w:type="dxa"/>
            <w:tcBorders>
              <w:top w:val="nil"/>
              <w:left w:val="nil"/>
              <w:bottom w:val="nil"/>
              <w:right w:val="nil"/>
            </w:tcBorders>
          </w:tcPr>
          <w:p w14:paraId="70B66884"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Ciprofloxacine</w:t>
            </w:r>
          </w:p>
        </w:tc>
        <w:tc>
          <w:tcPr>
            <w:tcW w:w="2413" w:type="dxa"/>
            <w:tcBorders>
              <w:top w:val="nil"/>
              <w:left w:val="nil"/>
              <w:bottom w:val="nil"/>
              <w:right w:val="nil"/>
            </w:tcBorders>
          </w:tcPr>
          <w:p w14:paraId="20D4957A"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67</w:t>
            </w:r>
          </w:p>
        </w:tc>
      </w:tr>
      <w:tr w:rsidR="00D9471B" w:rsidRPr="007E6EC9" w14:paraId="2A127309" w14:textId="77777777" w:rsidTr="00374969">
        <w:tc>
          <w:tcPr>
            <w:tcW w:w="4675" w:type="dxa"/>
            <w:tcBorders>
              <w:top w:val="nil"/>
              <w:left w:val="nil"/>
              <w:bottom w:val="nil"/>
              <w:right w:val="nil"/>
            </w:tcBorders>
          </w:tcPr>
          <w:p w14:paraId="768C6241"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Ofloxacine</w:t>
            </w:r>
          </w:p>
        </w:tc>
        <w:tc>
          <w:tcPr>
            <w:tcW w:w="2413" w:type="dxa"/>
            <w:tcBorders>
              <w:top w:val="nil"/>
              <w:left w:val="nil"/>
              <w:bottom w:val="nil"/>
              <w:right w:val="nil"/>
            </w:tcBorders>
          </w:tcPr>
          <w:p w14:paraId="02A25E90"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46</w:t>
            </w:r>
          </w:p>
        </w:tc>
      </w:tr>
      <w:tr w:rsidR="00D9471B" w:rsidRPr="007E6EC9" w14:paraId="6E1D9709" w14:textId="77777777" w:rsidTr="00374969">
        <w:tc>
          <w:tcPr>
            <w:tcW w:w="4675" w:type="dxa"/>
            <w:tcBorders>
              <w:top w:val="nil"/>
              <w:left w:val="nil"/>
              <w:bottom w:val="nil"/>
              <w:right w:val="nil"/>
            </w:tcBorders>
          </w:tcPr>
          <w:p w14:paraId="20D3E702"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Norfloxacine</w:t>
            </w:r>
            <w:proofErr w:type="spellEnd"/>
          </w:p>
        </w:tc>
        <w:tc>
          <w:tcPr>
            <w:tcW w:w="2413" w:type="dxa"/>
            <w:tcBorders>
              <w:top w:val="nil"/>
              <w:left w:val="nil"/>
              <w:bottom w:val="nil"/>
              <w:right w:val="nil"/>
            </w:tcBorders>
          </w:tcPr>
          <w:p w14:paraId="7C51EDD2"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90</w:t>
            </w:r>
          </w:p>
        </w:tc>
      </w:tr>
      <w:tr w:rsidR="00D9471B" w:rsidRPr="007E6EC9" w14:paraId="4B9DFBD4" w14:textId="77777777" w:rsidTr="00374969">
        <w:tc>
          <w:tcPr>
            <w:tcW w:w="4675" w:type="dxa"/>
            <w:tcBorders>
              <w:top w:val="nil"/>
              <w:left w:val="nil"/>
              <w:bottom w:val="nil"/>
              <w:right w:val="nil"/>
            </w:tcBorders>
          </w:tcPr>
          <w:p w14:paraId="003816F4"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Levofloxacine</w:t>
            </w:r>
            <w:proofErr w:type="spellEnd"/>
          </w:p>
        </w:tc>
        <w:tc>
          <w:tcPr>
            <w:tcW w:w="2413" w:type="dxa"/>
            <w:tcBorders>
              <w:top w:val="nil"/>
              <w:left w:val="nil"/>
              <w:bottom w:val="nil"/>
              <w:right w:val="nil"/>
            </w:tcBorders>
          </w:tcPr>
          <w:p w14:paraId="02D54AAA"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44</w:t>
            </w:r>
          </w:p>
        </w:tc>
      </w:tr>
      <w:tr w:rsidR="00D9471B" w:rsidRPr="007E6EC9" w14:paraId="77FC54C6" w14:textId="77777777" w:rsidTr="00374969">
        <w:tc>
          <w:tcPr>
            <w:tcW w:w="4675" w:type="dxa"/>
            <w:tcBorders>
              <w:top w:val="nil"/>
              <w:left w:val="nil"/>
              <w:bottom w:val="nil"/>
              <w:right w:val="nil"/>
            </w:tcBorders>
          </w:tcPr>
          <w:p w14:paraId="06D2D258"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Clindamycine</w:t>
            </w:r>
          </w:p>
        </w:tc>
        <w:tc>
          <w:tcPr>
            <w:tcW w:w="2413" w:type="dxa"/>
            <w:tcBorders>
              <w:top w:val="nil"/>
              <w:left w:val="nil"/>
              <w:bottom w:val="nil"/>
              <w:right w:val="nil"/>
            </w:tcBorders>
          </w:tcPr>
          <w:p w14:paraId="60DC2174"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54</w:t>
            </w:r>
          </w:p>
        </w:tc>
      </w:tr>
      <w:tr w:rsidR="00D9471B" w:rsidRPr="007E6EC9" w14:paraId="3D1A8B9A" w14:textId="77777777" w:rsidTr="00374969">
        <w:tc>
          <w:tcPr>
            <w:tcW w:w="4675" w:type="dxa"/>
            <w:tcBorders>
              <w:top w:val="nil"/>
              <w:left w:val="nil"/>
              <w:bottom w:val="nil"/>
              <w:right w:val="nil"/>
            </w:tcBorders>
          </w:tcPr>
          <w:p w14:paraId="264D36E1"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Lincomycine</w:t>
            </w:r>
            <w:proofErr w:type="spellEnd"/>
          </w:p>
        </w:tc>
        <w:tc>
          <w:tcPr>
            <w:tcW w:w="2413" w:type="dxa"/>
            <w:tcBorders>
              <w:top w:val="nil"/>
              <w:left w:val="nil"/>
              <w:bottom w:val="nil"/>
              <w:right w:val="nil"/>
            </w:tcBorders>
          </w:tcPr>
          <w:p w14:paraId="7B3F0E75"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68</w:t>
            </w:r>
          </w:p>
        </w:tc>
      </w:tr>
      <w:tr w:rsidR="00D9471B" w:rsidRPr="007E6EC9" w14:paraId="55DAD96E" w14:textId="77777777" w:rsidTr="00374969">
        <w:tc>
          <w:tcPr>
            <w:tcW w:w="4675" w:type="dxa"/>
            <w:tcBorders>
              <w:top w:val="nil"/>
              <w:left w:val="nil"/>
              <w:bottom w:val="nil"/>
              <w:right w:val="nil"/>
            </w:tcBorders>
          </w:tcPr>
          <w:p w14:paraId="3E6A5867"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Erythromycine</w:t>
            </w:r>
          </w:p>
        </w:tc>
        <w:tc>
          <w:tcPr>
            <w:tcW w:w="2413" w:type="dxa"/>
            <w:tcBorders>
              <w:top w:val="nil"/>
              <w:left w:val="nil"/>
              <w:bottom w:val="nil"/>
              <w:right w:val="nil"/>
            </w:tcBorders>
          </w:tcPr>
          <w:p w14:paraId="10CE4FDF"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64</w:t>
            </w:r>
          </w:p>
        </w:tc>
      </w:tr>
      <w:tr w:rsidR="00D9471B" w:rsidRPr="007E6EC9" w14:paraId="70010D1F" w14:textId="77777777" w:rsidTr="00374969">
        <w:tc>
          <w:tcPr>
            <w:tcW w:w="4675" w:type="dxa"/>
            <w:tcBorders>
              <w:top w:val="nil"/>
              <w:left w:val="nil"/>
              <w:bottom w:val="nil"/>
              <w:right w:val="nil"/>
            </w:tcBorders>
          </w:tcPr>
          <w:p w14:paraId="14351649"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Tétracycline</w:t>
            </w:r>
          </w:p>
        </w:tc>
        <w:tc>
          <w:tcPr>
            <w:tcW w:w="2413" w:type="dxa"/>
            <w:tcBorders>
              <w:top w:val="nil"/>
              <w:left w:val="nil"/>
              <w:bottom w:val="nil"/>
              <w:right w:val="nil"/>
            </w:tcBorders>
          </w:tcPr>
          <w:p w14:paraId="53A4B002"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88</w:t>
            </w:r>
          </w:p>
        </w:tc>
      </w:tr>
      <w:tr w:rsidR="00D9471B" w:rsidRPr="007E6EC9" w14:paraId="1EF16F28" w14:textId="77777777" w:rsidTr="00374969">
        <w:tc>
          <w:tcPr>
            <w:tcW w:w="4675" w:type="dxa"/>
            <w:tcBorders>
              <w:top w:val="nil"/>
              <w:left w:val="nil"/>
              <w:bottom w:val="nil"/>
              <w:right w:val="nil"/>
            </w:tcBorders>
          </w:tcPr>
          <w:p w14:paraId="6ABC5C38"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Rifampicine</w:t>
            </w:r>
          </w:p>
        </w:tc>
        <w:tc>
          <w:tcPr>
            <w:tcW w:w="2413" w:type="dxa"/>
            <w:tcBorders>
              <w:top w:val="nil"/>
              <w:left w:val="nil"/>
              <w:bottom w:val="nil"/>
              <w:right w:val="nil"/>
            </w:tcBorders>
          </w:tcPr>
          <w:p w14:paraId="572AC5C1"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91</w:t>
            </w:r>
          </w:p>
        </w:tc>
      </w:tr>
      <w:tr w:rsidR="00D9471B" w:rsidRPr="007E6EC9" w14:paraId="1B65A760" w14:textId="77777777" w:rsidTr="00374969">
        <w:tc>
          <w:tcPr>
            <w:tcW w:w="4675" w:type="dxa"/>
            <w:tcBorders>
              <w:top w:val="nil"/>
              <w:left w:val="nil"/>
              <w:right w:val="nil"/>
            </w:tcBorders>
          </w:tcPr>
          <w:p w14:paraId="2058C996" w14:textId="77777777" w:rsidR="00D9471B" w:rsidRPr="000D04DA" w:rsidRDefault="00D9471B" w:rsidP="00D9471B">
            <w:pPr>
              <w:jc w:val="both"/>
              <w:rPr>
                <w:rFonts w:ascii="Arial" w:hAnsi="Arial" w:cs="Arial"/>
                <w:sz w:val="20"/>
                <w:szCs w:val="20"/>
                <w:lang w:val="fr-FR"/>
              </w:rPr>
            </w:pPr>
            <w:proofErr w:type="spellStart"/>
            <w:r w:rsidRPr="000D04DA">
              <w:rPr>
                <w:rFonts w:ascii="Arial" w:hAnsi="Arial" w:cs="Arial"/>
                <w:sz w:val="20"/>
                <w:szCs w:val="20"/>
                <w:lang w:val="fr-FR"/>
              </w:rPr>
              <w:t>Aztreoname</w:t>
            </w:r>
            <w:proofErr w:type="spellEnd"/>
          </w:p>
        </w:tc>
        <w:tc>
          <w:tcPr>
            <w:tcW w:w="2413" w:type="dxa"/>
            <w:tcBorders>
              <w:top w:val="nil"/>
              <w:left w:val="nil"/>
              <w:right w:val="nil"/>
            </w:tcBorders>
          </w:tcPr>
          <w:p w14:paraId="093A4494" w14:textId="77777777" w:rsidR="00D9471B" w:rsidRPr="007E6EC9" w:rsidRDefault="00D9471B" w:rsidP="00993808">
            <w:pPr>
              <w:jc w:val="center"/>
              <w:rPr>
                <w:rFonts w:ascii="Arial" w:hAnsi="Arial" w:cs="Arial"/>
                <w:sz w:val="20"/>
                <w:szCs w:val="20"/>
                <w:lang w:val="fr-FR"/>
              </w:rPr>
            </w:pPr>
            <w:r w:rsidRPr="000D04DA">
              <w:rPr>
                <w:rFonts w:ascii="Arial" w:hAnsi="Arial" w:cs="Arial"/>
                <w:sz w:val="20"/>
                <w:szCs w:val="20"/>
                <w:lang w:val="fr-FR"/>
              </w:rPr>
              <w:t>27</w:t>
            </w:r>
          </w:p>
        </w:tc>
      </w:tr>
    </w:tbl>
    <w:p w14:paraId="36456FBA" w14:textId="77777777" w:rsidR="00384340" w:rsidRPr="007E6EC9" w:rsidRDefault="00384340" w:rsidP="00D9471B">
      <w:pPr>
        <w:jc w:val="both"/>
        <w:rPr>
          <w:rFonts w:ascii="Arial" w:hAnsi="Arial" w:cs="Arial"/>
          <w:sz w:val="20"/>
          <w:szCs w:val="20"/>
        </w:rPr>
      </w:pPr>
    </w:p>
    <w:p w14:paraId="1001C380" w14:textId="77777777" w:rsidR="00D9471B" w:rsidRPr="007E6EC9" w:rsidRDefault="00D9471B" w:rsidP="00D9471B">
      <w:pPr>
        <w:jc w:val="both"/>
        <w:rPr>
          <w:rFonts w:ascii="Arial" w:hAnsi="Arial" w:cs="Arial"/>
          <w:b/>
          <w:bCs/>
          <w:sz w:val="20"/>
          <w:szCs w:val="20"/>
        </w:rPr>
      </w:pPr>
      <w:r w:rsidRPr="007E6EC9">
        <w:rPr>
          <w:rFonts w:ascii="Arial" w:hAnsi="Arial" w:cs="Arial"/>
          <w:b/>
          <w:bCs/>
          <w:sz w:val="20"/>
          <w:szCs w:val="20"/>
        </w:rPr>
        <w:t>DISCUSSION</w:t>
      </w:r>
    </w:p>
    <w:p w14:paraId="74F85EBE" w14:textId="77777777" w:rsidR="00796924" w:rsidRPr="00796924" w:rsidRDefault="00796924" w:rsidP="00796924">
      <w:pPr>
        <w:jc w:val="both"/>
        <w:rPr>
          <w:rFonts w:ascii="Arial" w:hAnsi="Arial" w:cs="Arial"/>
          <w:sz w:val="20"/>
          <w:szCs w:val="20"/>
        </w:rPr>
      </w:pPr>
      <w:r w:rsidRPr="00796924">
        <w:rPr>
          <w:rFonts w:ascii="Arial" w:hAnsi="Arial" w:cs="Arial"/>
          <w:sz w:val="20"/>
          <w:szCs w:val="20"/>
        </w:rPr>
        <w:t>To our knowledge, this study represents the first effort to describe antimicrobial resistance (AMR) surveillance in Guinea. Such surveillance is essential for containing antimicrobial resistance [12]. Information on resistance patterns is required at the local level (clinical management, updating treatment protocols, training of prescribers), at the national level (guiding health policies, updating the essential medicines list and national treatment guidelines), and at the international level (information sharing, strengthening dialogue and engagement of decision-makers, development of awareness and education programs, and stimulation of research) to support decision-making and interventions [13]. Today, the development of new antimicrobial agents is limited, and the increasing prevalence of multidrug-resistant bacteria leading to therapeutic failures makes antibiotic-resistant bacteria a major threat to modern healthcare systems [14].</w:t>
      </w:r>
    </w:p>
    <w:p w14:paraId="75E098B2" w14:textId="1BFC8370" w:rsidR="00796924" w:rsidRPr="00796924" w:rsidRDefault="00796924" w:rsidP="00796924">
      <w:pPr>
        <w:jc w:val="both"/>
        <w:rPr>
          <w:rFonts w:ascii="Arial" w:hAnsi="Arial" w:cs="Arial"/>
          <w:sz w:val="20"/>
          <w:szCs w:val="20"/>
        </w:rPr>
      </w:pPr>
      <w:r w:rsidRPr="00796924">
        <w:rPr>
          <w:rFonts w:ascii="Arial" w:hAnsi="Arial" w:cs="Arial"/>
          <w:sz w:val="20"/>
          <w:szCs w:val="20"/>
        </w:rPr>
        <w:t xml:space="preserve">In 2015, the World Health Organization (WHO) launched the Global Antimicrobial Resistance Surveillance System (GLASS), a key contribution to the Global Action Plan on AMR. This surveillance system includes several priority pathogens, notably </w:t>
      </w:r>
      <w:r w:rsidRPr="00796924">
        <w:rPr>
          <w:rFonts w:ascii="Arial" w:hAnsi="Arial" w:cs="Arial"/>
          <w:i/>
          <w:iCs/>
          <w:sz w:val="20"/>
          <w:szCs w:val="20"/>
        </w:rPr>
        <w:t>Escherichia coli</w:t>
      </w:r>
      <w:r w:rsidRPr="00796924">
        <w:rPr>
          <w:rFonts w:ascii="Arial" w:hAnsi="Arial" w:cs="Arial"/>
          <w:sz w:val="20"/>
          <w:szCs w:val="20"/>
        </w:rPr>
        <w:t xml:space="preserve"> and </w:t>
      </w:r>
      <w:r w:rsidRPr="00796924">
        <w:rPr>
          <w:rFonts w:ascii="Arial" w:hAnsi="Arial" w:cs="Arial"/>
          <w:i/>
          <w:iCs/>
          <w:sz w:val="20"/>
          <w:szCs w:val="20"/>
        </w:rPr>
        <w:t>Klebsiella pneumoniae</w:t>
      </w:r>
      <w:r w:rsidRPr="00796924">
        <w:rPr>
          <w:rFonts w:ascii="Arial" w:hAnsi="Arial" w:cs="Arial"/>
          <w:sz w:val="20"/>
          <w:szCs w:val="20"/>
        </w:rPr>
        <w:t xml:space="preserve"> [15]. The main classes of antimicrobials used for susceptibility testing include </w:t>
      </w:r>
      <w:proofErr w:type="spellStart"/>
      <w:r w:rsidRPr="00796924">
        <w:rPr>
          <w:rFonts w:ascii="Arial" w:hAnsi="Arial" w:cs="Arial"/>
          <w:sz w:val="20"/>
          <w:szCs w:val="20"/>
        </w:rPr>
        <w:t>penicillins</w:t>
      </w:r>
      <w:proofErr w:type="spellEnd"/>
      <w:r w:rsidRPr="00796924">
        <w:rPr>
          <w:rFonts w:ascii="Arial" w:hAnsi="Arial" w:cs="Arial"/>
          <w:sz w:val="20"/>
          <w:szCs w:val="20"/>
        </w:rPr>
        <w:t xml:space="preserve">, third- and fourth-generation cephalosporins, carbapenems, fluoroquinolones, aminoglycosides, tetracyclines, polymyxins, macrolides, and co-trimoxazole [16]. Knowledge of antimicrobial resistance trends among </w:t>
      </w:r>
      <w:proofErr w:type="spellStart"/>
      <w:r w:rsidRPr="00796924">
        <w:rPr>
          <w:rFonts w:ascii="Arial" w:hAnsi="Arial" w:cs="Arial"/>
          <w:sz w:val="20"/>
          <w:szCs w:val="20"/>
        </w:rPr>
        <w:t>uropathogen</w:t>
      </w:r>
      <w:proofErr w:type="spellEnd"/>
      <w:r w:rsidRPr="00796924">
        <w:rPr>
          <w:rFonts w:ascii="Arial" w:hAnsi="Arial" w:cs="Arial"/>
          <w:sz w:val="20"/>
          <w:szCs w:val="20"/>
        </w:rPr>
        <w:t xml:space="preserve"> isolates is essential for clinicians when selecting empirical treatment for uncomplicated urinary tract infections in primary care. According to the Infectious Diseases Society of America (IDSA) guidelines, up-to-date local antimicrobial resistance rates should be available to physicians to support optimal therapeutic choices [17].</w:t>
      </w:r>
      <w:r w:rsidR="00E602EE">
        <w:rPr>
          <w:rFonts w:ascii="Arial" w:hAnsi="Arial" w:cs="Arial"/>
          <w:sz w:val="20"/>
          <w:szCs w:val="20"/>
        </w:rPr>
        <w:t xml:space="preserve"> </w:t>
      </w:r>
      <w:r w:rsidRPr="00796924">
        <w:rPr>
          <w:rFonts w:ascii="Arial" w:hAnsi="Arial" w:cs="Arial"/>
          <w:i/>
          <w:iCs/>
          <w:sz w:val="20"/>
          <w:szCs w:val="20"/>
        </w:rPr>
        <w:t>Escherichia coli</w:t>
      </w:r>
      <w:r w:rsidRPr="00796924">
        <w:rPr>
          <w:rFonts w:ascii="Arial" w:hAnsi="Arial" w:cs="Arial"/>
          <w:sz w:val="20"/>
          <w:szCs w:val="20"/>
        </w:rPr>
        <w:t xml:space="preserve"> is the leading causative pathogen of urinary tract infections, accounting for 75–90% of cases [18]. In our series, </w:t>
      </w:r>
      <w:r w:rsidRPr="00796924">
        <w:rPr>
          <w:rFonts w:ascii="Arial" w:hAnsi="Arial" w:cs="Arial"/>
          <w:i/>
          <w:iCs/>
          <w:sz w:val="20"/>
          <w:szCs w:val="20"/>
        </w:rPr>
        <w:t>Escherichia coli</w:t>
      </w:r>
      <w:r w:rsidRPr="00796924">
        <w:rPr>
          <w:rFonts w:ascii="Arial" w:hAnsi="Arial" w:cs="Arial"/>
          <w:sz w:val="20"/>
          <w:szCs w:val="20"/>
        </w:rPr>
        <w:t xml:space="preserve"> and </w:t>
      </w:r>
      <w:r w:rsidRPr="00796924">
        <w:rPr>
          <w:rFonts w:ascii="Arial" w:hAnsi="Arial" w:cs="Arial"/>
          <w:i/>
          <w:iCs/>
          <w:sz w:val="20"/>
          <w:szCs w:val="20"/>
        </w:rPr>
        <w:t>Klebsiella pneumoniae</w:t>
      </w:r>
      <w:r w:rsidRPr="00796924">
        <w:rPr>
          <w:rFonts w:ascii="Arial" w:hAnsi="Arial" w:cs="Arial"/>
          <w:sz w:val="20"/>
          <w:szCs w:val="20"/>
        </w:rPr>
        <w:t xml:space="preserve"> were the main organisms isolated from samples that were predominantly urinary, with high levels of resistance to the antibiotics tested. The near-systematic use of empirical antibiotic therapy in both central and peripheral healthcare facilities resulted in a low proportion of blood samples being analyzed compared with other biological specimens. This situation further highlights the need for clinicians to perform blood cultures in patients with persistent febrile syndromes.</w:t>
      </w:r>
    </w:p>
    <w:p w14:paraId="20DA33F8" w14:textId="79D9D48E" w:rsidR="00796924" w:rsidRPr="00796924" w:rsidRDefault="00796924" w:rsidP="00796924">
      <w:pPr>
        <w:jc w:val="both"/>
        <w:rPr>
          <w:rFonts w:ascii="Arial" w:hAnsi="Arial" w:cs="Arial"/>
          <w:sz w:val="20"/>
          <w:szCs w:val="20"/>
        </w:rPr>
      </w:pPr>
      <w:r w:rsidRPr="00796924">
        <w:rPr>
          <w:rFonts w:ascii="Arial" w:hAnsi="Arial" w:cs="Arial"/>
          <w:sz w:val="20"/>
          <w:szCs w:val="20"/>
        </w:rPr>
        <w:t xml:space="preserve">In West Africa, a systematic review and meta-analysis reported moderate levels of antimicrobial resistance among common bloodstream pathogens to first-line antibiotics such as ampicillin, co-trimoxazole, gentamicin, and amoxicillin/clavulanic acid. Among </w:t>
      </w:r>
      <w:r w:rsidRPr="00796924">
        <w:rPr>
          <w:rFonts w:ascii="Arial" w:hAnsi="Arial" w:cs="Arial"/>
          <w:i/>
          <w:iCs/>
          <w:sz w:val="20"/>
          <w:szCs w:val="20"/>
        </w:rPr>
        <w:t>Streptococcus pneumoniae</w:t>
      </w:r>
      <w:r w:rsidRPr="00796924">
        <w:rPr>
          <w:rFonts w:ascii="Arial" w:hAnsi="Arial" w:cs="Arial"/>
          <w:sz w:val="20"/>
          <w:szCs w:val="20"/>
        </w:rPr>
        <w:t xml:space="preserve"> isolates from patients with </w:t>
      </w:r>
      <w:r w:rsidRPr="00796924">
        <w:rPr>
          <w:rFonts w:ascii="Arial" w:hAnsi="Arial" w:cs="Arial"/>
          <w:sz w:val="20"/>
          <w:szCs w:val="20"/>
        </w:rPr>
        <w:lastRenderedPageBreak/>
        <w:t>meningitis, resistance levels to penicillin were low to moderate, with no significant resistance to ceftriaxone or cefotaxime. AMR was frequent in the region, particularly among hospitalized patients with bloodstream infections and among both hospitalized and non-hospitalized patients with urinary tract infections. These findings raise concerns given the limited diagnostic capacity and restricted availability of second-line treatment options in the public health sector in this region of Africa [19].</w:t>
      </w:r>
      <w:r w:rsidR="00E602EE">
        <w:rPr>
          <w:rFonts w:ascii="Arial" w:hAnsi="Arial" w:cs="Arial"/>
          <w:sz w:val="20"/>
          <w:szCs w:val="20"/>
        </w:rPr>
        <w:t xml:space="preserve"> </w:t>
      </w:r>
      <w:r w:rsidRPr="00796924">
        <w:rPr>
          <w:rFonts w:ascii="Arial" w:hAnsi="Arial" w:cs="Arial"/>
          <w:sz w:val="20"/>
          <w:szCs w:val="20"/>
        </w:rPr>
        <w:t xml:space="preserve">In Guinea, among 359 </w:t>
      </w:r>
      <w:r w:rsidRPr="00796924">
        <w:rPr>
          <w:rFonts w:ascii="Arial" w:hAnsi="Arial" w:cs="Arial"/>
          <w:i/>
          <w:iCs/>
          <w:sz w:val="20"/>
          <w:szCs w:val="20"/>
        </w:rPr>
        <w:t>Mycobacterium tuberculosis</w:t>
      </w:r>
      <w:r w:rsidRPr="00796924">
        <w:rPr>
          <w:rFonts w:ascii="Arial" w:hAnsi="Arial" w:cs="Arial"/>
          <w:sz w:val="20"/>
          <w:szCs w:val="20"/>
        </w:rPr>
        <w:t xml:space="preserve"> complex strains analyzed, 22.8% were resistant to at least one first-line anti-tuberculosis drug, including 2.5% with multidrug resistance and 17.5% with isoniazid resistance, with or without resistance to other drugs [20]. Another study reported that nearly all antibiotic treatments (99.4%) were initiated empirically, without prior microbiological testing [21].</w:t>
      </w:r>
    </w:p>
    <w:p w14:paraId="6E086923" w14:textId="77777777" w:rsidR="00796924" w:rsidRPr="00796924" w:rsidRDefault="00796924" w:rsidP="00796924">
      <w:pPr>
        <w:jc w:val="both"/>
        <w:rPr>
          <w:rFonts w:ascii="Arial" w:hAnsi="Arial" w:cs="Arial"/>
          <w:sz w:val="20"/>
          <w:szCs w:val="20"/>
        </w:rPr>
      </w:pPr>
      <w:r w:rsidRPr="00796924">
        <w:rPr>
          <w:rFonts w:ascii="Arial" w:hAnsi="Arial" w:cs="Arial"/>
          <w:sz w:val="20"/>
          <w:szCs w:val="20"/>
        </w:rPr>
        <w:t>The exact number of surveillance sites required per country is not defined by WHO. The organization recommends establishing sites in representative hospitals and healthcare facilities to ensure AMR data collection, with the number of sites varying according to available resources and national priorities [22]. In Guinea, 13 sites currently participate in AMR surveillance. Efforts are underway by health authorities at all levels, in collaboration with technical and financial partners, to increase this number. In the coming months, 15 additional sites will join the national surveillance network. The selection of these sites, based on well-defined criteria, has enabled the inclusion of facilities located both in the capital city Conakry and in inland health districts.</w:t>
      </w:r>
    </w:p>
    <w:p w14:paraId="166088EA" w14:textId="5E850F73" w:rsidR="00796924" w:rsidRPr="00796924" w:rsidRDefault="00796924" w:rsidP="00796924">
      <w:pPr>
        <w:jc w:val="both"/>
        <w:rPr>
          <w:rFonts w:ascii="Arial" w:hAnsi="Arial" w:cs="Arial"/>
          <w:sz w:val="20"/>
          <w:szCs w:val="20"/>
        </w:rPr>
      </w:pPr>
      <w:r w:rsidRPr="00796924">
        <w:rPr>
          <w:rFonts w:ascii="Arial" w:hAnsi="Arial" w:cs="Arial"/>
          <w:sz w:val="20"/>
          <w:szCs w:val="20"/>
        </w:rPr>
        <w:t>Major challenges remain in anticipation of the expansion of surveillance sites, particularly regarding human resources (training of personnel on AMR at different levels of the health system and redeployment of staff at decentralized levels), equipment, materials, and consumables (procurement of equipment, consumables, and reagents; stock management; and preventive and corrective maintenance of laboratory equipment), and financing (integration of AMR surveillance into operational action plans of hospitals and sentinel sites, and advocacy for mobilization and sustainability of AMR funding).</w:t>
      </w:r>
      <w:r w:rsidR="006D3864">
        <w:rPr>
          <w:rFonts w:ascii="Arial" w:hAnsi="Arial" w:cs="Arial"/>
          <w:sz w:val="20"/>
          <w:szCs w:val="20"/>
        </w:rPr>
        <w:t xml:space="preserve"> </w:t>
      </w:r>
      <w:r w:rsidRPr="00796924">
        <w:rPr>
          <w:rFonts w:ascii="Arial" w:hAnsi="Arial" w:cs="Arial"/>
          <w:sz w:val="20"/>
          <w:szCs w:val="20"/>
        </w:rPr>
        <w:t>To address these challenges, several strategies can be considered to strengthen system effectiveness. Improving the logistical capacities of sentinel site laboratories and the National Institute of Public Health (INSP) laboratory is necessary to ensure proper collection, storage, and transport of isolates to the national reference laboratory. Ensuring the availability of supplies and reagents across laboratories will help maintain service continuity. In addition, data management and analysis systems need improvement. In Guinea, AMR data are entered into the DHIS2 Surveillance system with variable completeness and timeliness, and are not transmitted in a timely manner to WHONET and the GLASS system. Furthermore, implementing continuous training and mentorship programs for laboratory practitioners would help update their knowledge and align practices with evolving national and international guidelines. Finally, greater efforts are needed to raise awareness among prescribers and the general population to promote the rational use of antimicrobials.</w:t>
      </w:r>
    </w:p>
    <w:p w14:paraId="0D325670" w14:textId="142DDB61" w:rsidR="00A010BD" w:rsidRDefault="00796924" w:rsidP="00D9471B">
      <w:pPr>
        <w:jc w:val="both"/>
        <w:rPr>
          <w:rFonts w:ascii="Arial" w:hAnsi="Arial" w:cs="Arial"/>
          <w:sz w:val="20"/>
          <w:szCs w:val="20"/>
        </w:rPr>
      </w:pPr>
      <w:r w:rsidRPr="00796924">
        <w:rPr>
          <w:rFonts w:ascii="Arial" w:hAnsi="Arial" w:cs="Arial"/>
          <w:sz w:val="20"/>
          <w:szCs w:val="20"/>
        </w:rPr>
        <w:t>This study has several limitations: its retrospective design did not allow analysis of factors associated with AMR; the representativeness of the samples did not cover all public and private healthcare actors nationwide; the large discrepancy between the number of isolates and the number of antimicrobial susceptibility tests may be explained by shortages of reagents and consumables; the low proportion of blood cultures limited the assessment of AMR in invasive infections; and incomplete and delayed data reporting affected data quality.</w:t>
      </w:r>
    </w:p>
    <w:p w14:paraId="1679DF18" w14:textId="77777777" w:rsidR="00877F01" w:rsidRDefault="00877F01" w:rsidP="00D9471B">
      <w:pPr>
        <w:jc w:val="both"/>
        <w:rPr>
          <w:rFonts w:ascii="Arial" w:hAnsi="Arial" w:cs="Arial"/>
          <w:b/>
          <w:bCs/>
          <w:sz w:val="20"/>
          <w:szCs w:val="20"/>
        </w:rPr>
      </w:pPr>
    </w:p>
    <w:p w14:paraId="5F0D7B22" w14:textId="77777777" w:rsidR="00877F01" w:rsidRDefault="00877F01" w:rsidP="00D9471B">
      <w:pPr>
        <w:jc w:val="both"/>
        <w:rPr>
          <w:rFonts w:ascii="Arial" w:hAnsi="Arial" w:cs="Arial"/>
          <w:b/>
          <w:bCs/>
          <w:sz w:val="20"/>
          <w:szCs w:val="20"/>
        </w:rPr>
      </w:pPr>
    </w:p>
    <w:p w14:paraId="74F805D3" w14:textId="77777777" w:rsidR="00877F01" w:rsidRDefault="00877F01" w:rsidP="00D9471B">
      <w:pPr>
        <w:jc w:val="both"/>
        <w:rPr>
          <w:rFonts w:ascii="Arial" w:hAnsi="Arial" w:cs="Arial"/>
          <w:b/>
          <w:bCs/>
          <w:sz w:val="20"/>
          <w:szCs w:val="20"/>
        </w:rPr>
      </w:pPr>
    </w:p>
    <w:p w14:paraId="3817EC42" w14:textId="2339A191" w:rsidR="00D9471B" w:rsidRPr="007E6EC9" w:rsidRDefault="00D9471B" w:rsidP="00D9471B">
      <w:pPr>
        <w:jc w:val="both"/>
        <w:rPr>
          <w:rFonts w:ascii="Arial" w:hAnsi="Arial" w:cs="Arial"/>
          <w:b/>
          <w:bCs/>
          <w:sz w:val="20"/>
          <w:szCs w:val="20"/>
        </w:rPr>
      </w:pPr>
      <w:r w:rsidRPr="007E6EC9">
        <w:rPr>
          <w:rFonts w:ascii="Arial" w:hAnsi="Arial" w:cs="Arial"/>
          <w:b/>
          <w:bCs/>
          <w:sz w:val="20"/>
          <w:szCs w:val="20"/>
        </w:rPr>
        <w:t>CONCLUSION</w:t>
      </w:r>
    </w:p>
    <w:p w14:paraId="08CF8057" w14:textId="77777777" w:rsidR="00D9471B" w:rsidRPr="007E6EC9" w:rsidRDefault="00D9471B" w:rsidP="00D9471B">
      <w:pPr>
        <w:jc w:val="both"/>
        <w:rPr>
          <w:rFonts w:ascii="Arial" w:hAnsi="Arial" w:cs="Arial"/>
          <w:sz w:val="20"/>
          <w:szCs w:val="20"/>
        </w:rPr>
      </w:pPr>
      <w:r w:rsidRPr="007E6EC9">
        <w:rPr>
          <w:rFonts w:ascii="Arial" w:hAnsi="Arial" w:cs="Arial"/>
          <w:sz w:val="20"/>
          <w:szCs w:val="20"/>
        </w:rPr>
        <w:lastRenderedPageBreak/>
        <w:t>Despite the limited number of sentinel sites, AMR surveillance is a reality in Guinea. It has enabled the identification of major circulating bacterial strains and the overall resistance profile to tested antibiotics.</w:t>
      </w:r>
    </w:p>
    <w:p w14:paraId="1B7B2D59" w14:textId="77777777" w:rsidR="00D9471B" w:rsidRDefault="00D9471B" w:rsidP="00D9471B">
      <w:pPr>
        <w:jc w:val="both"/>
        <w:rPr>
          <w:rFonts w:ascii="Arial" w:hAnsi="Arial" w:cs="Arial"/>
          <w:sz w:val="20"/>
          <w:szCs w:val="20"/>
        </w:rPr>
      </w:pPr>
      <w:r w:rsidRPr="007E6EC9">
        <w:rPr>
          <w:rFonts w:ascii="Arial" w:hAnsi="Arial" w:cs="Arial"/>
          <w:sz w:val="20"/>
          <w:szCs w:val="20"/>
        </w:rPr>
        <w:t>Strengthening this surveillance requires expanding the number of sites, improving personnel competencies, securing adequate funding, and raising awareness among prescribers and the population for rational antibiotic use.</w:t>
      </w:r>
    </w:p>
    <w:p w14:paraId="27B0DD49" w14:textId="77777777" w:rsidR="007E0B6C" w:rsidRPr="003A29C6" w:rsidRDefault="007E0B6C" w:rsidP="007E0B6C">
      <w:pPr>
        <w:jc w:val="both"/>
        <w:outlineLvl w:val="0"/>
        <w:rPr>
          <w:rFonts w:ascii="Arial" w:hAnsi="Arial" w:cs="Arial"/>
        </w:rPr>
      </w:pPr>
      <w:r w:rsidRPr="003A29C6">
        <w:rPr>
          <w:rFonts w:ascii="Arial" w:hAnsi="Arial" w:cs="Arial"/>
          <w:b/>
          <w:bCs/>
        </w:rPr>
        <w:t>COMPETING INTERESTS DISCLAIMER:</w:t>
      </w:r>
    </w:p>
    <w:p w14:paraId="4725F550" w14:textId="77777777" w:rsidR="007E0B6C" w:rsidRDefault="007E0B6C" w:rsidP="007E0B6C">
      <w:r w:rsidRPr="00A10EDE">
        <w:t>Authors have declared that they have no known competing financial interests OR non-financial interests OR personal relationships that could have appeared to influence the work reported in this paper.</w:t>
      </w:r>
    </w:p>
    <w:p w14:paraId="76861428" w14:textId="77777777" w:rsidR="004F51A8" w:rsidRDefault="004F51A8" w:rsidP="007E6EC9">
      <w:pPr>
        <w:spacing w:line="360" w:lineRule="auto"/>
        <w:contextualSpacing/>
        <w:rPr>
          <w:rFonts w:ascii="Arial" w:hAnsi="Arial" w:cs="Arial"/>
          <w:b/>
          <w:sz w:val="20"/>
          <w:szCs w:val="20"/>
        </w:rPr>
      </w:pPr>
    </w:p>
    <w:p w14:paraId="1FA287BF" w14:textId="30959BC8" w:rsidR="007E6EC9" w:rsidRPr="007E6EC9" w:rsidRDefault="007E6EC9" w:rsidP="007E6EC9">
      <w:pPr>
        <w:spacing w:line="360" w:lineRule="auto"/>
        <w:contextualSpacing/>
        <w:rPr>
          <w:rFonts w:ascii="Arial" w:hAnsi="Arial" w:cs="Arial"/>
          <w:b/>
          <w:sz w:val="20"/>
          <w:szCs w:val="20"/>
        </w:rPr>
      </w:pPr>
      <w:r w:rsidRPr="007E6EC9">
        <w:rPr>
          <w:rFonts w:ascii="Arial" w:hAnsi="Arial" w:cs="Arial"/>
          <w:b/>
          <w:sz w:val="20"/>
          <w:szCs w:val="20"/>
        </w:rPr>
        <w:t xml:space="preserve">DISCLAIMER (ARTIFICIAL INTELLIGENCE) </w:t>
      </w:r>
    </w:p>
    <w:p w14:paraId="393E61D6" w14:textId="77777777" w:rsidR="007E6EC9" w:rsidRPr="007E6EC9" w:rsidRDefault="007E6EC9" w:rsidP="007E6EC9">
      <w:pPr>
        <w:spacing w:line="360" w:lineRule="auto"/>
        <w:contextualSpacing/>
        <w:rPr>
          <w:rFonts w:ascii="Arial" w:hAnsi="Arial" w:cs="Arial"/>
          <w:sz w:val="20"/>
          <w:szCs w:val="20"/>
        </w:rPr>
      </w:pPr>
      <w:r w:rsidRPr="007E6EC9">
        <w:rPr>
          <w:rFonts w:ascii="Arial" w:hAnsi="Arial" w:cs="Arial"/>
          <w:sz w:val="20"/>
          <w:szCs w:val="20"/>
        </w:rPr>
        <w:t>Generative AI technologies such as large language models (ChatGPT, COPILOT, etc.) and text-image generators were not used in the writing of this manuscript.</w:t>
      </w:r>
    </w:p>
    <w:p w14:paraId="293C121B" w14:textId="77777777" w:rsidR="007E6EC9" w:rsidRPr="007E6EC9" w:rsidRDefault="007E6EC9" w:rsidP="007E6EC9">
      <w:pPr>
        <w:spacing w:line="360" w:lineRule="auto"/>
        <w:contextualSpacing/>
        <w:rPr>
          <w:rFonts w:ascii="Arial" w:hAnsi="Arial" w:cs="Arial"/>
          <w:b/>
          <w:sz w:val="20"/>
          <w:szCs w:val="20"/>
        </w:rPr>
      </w:pPr>
      <w:r w:rsidRPr="007E6EC9">
        <w:rPr>
          <w:rFonts w:ascii="Arial" w:hAnsi="Arial" w:cs="Arial"/>
          <w:b/>
          <w:sz w:val="20"/>
          <w:szCs w:val="20"/>
        </w:rPr>
        <w:t xml:space="preserve">CONSENT </w:t>
      </w:r>
    </w:p>
    <w:p w14:paraId="008F549A" w14:textId="77777777" w:rsidR="007E6EC9" w:rsidRPr="007E6EC9" w:rsidRDefault="007E6EC9" w:rsidP="007E6EC9">
      <w:pPr>
        <w:spacing w:line="360" w:lineRule="auto"/>
        <w:contextualSpacing/>
        <w:rPr>
          <w:rFonts w:ascii="Arial" w:hAnsi="Arial" w:cs="Arial"/>
          <w:sz w:val="20"/>
          <w:szCs w:val="20"/>
        </w:rPr>
      </w:pPr>
      <w:r w:rsidRPr="007E6EC9">
        <w:rPr>
          <w:rFonts w:ascii="Arial" w:hAnsi="Arial" w:cs="Arial"/>
          <w:sz w:val="20"/>
          <w:szCs w:val="20"/>
        </w:rPr>
        <w:t xml:space="preserve">It is not applicable </w:t>
      </w:r>
    </w:p>
    <w:p w14:paraId="15AD53AB" w14:textId="77777777" w:rsidR="007E6EC9" w:rsidRPr="007E6EC9" w:rsidRDefault="007E6EC9" w:rsidP="007E6EC9">
      <w:pPr>
        <w:spacing w:line="360" w:lineRule="auto"/>
        <w:contextualSpacing/>
        <w:rPr>
          <w:rFonts w:ascii="Arial" w:hAnsi="Arial" w:cs="Arial"/>
          <w:b/>
          <w:sz w:val="20"/>
          <w:szCs w:val="20"/>
        </w:rPr>
      </w:pPr>
      <w:r w:rsidRPr="007E6EC9">
        <w:rPr>
          <w:rFonts w:ascii="Arial" w:hAnsi="Arial" w:cs="Arial"/>
          <w:b/>
          <w:sz w:val="20"/>
          <w:szCs w:val="20"/>
        </w:rPr>
        <w:t xml:space="preserve">ETHICAL APPROVAL </w:t>
      </w:r>
    </w:p>
    <w:p w14:paraId="356F71AF" w14:textId="77777777" w:rsidR="007E6EC9" w:rsidRPr="007E6EC9" w:rsidRDefault="007E6EC9" w:rsidP="007E6EC9">
      <w:pPr>
        <w:spacing w:line="360" w:lineRule="auto"/>
        <w:contextualSpacing/>
        <w:rPr>
          <w:rFonts w:ascii="Arial" w:hAnsi="Arial" w:cs="Arial"/>
          <w:sz w:val="20"/>
          <w:szCs w:val="20"/>
        </w:rPr>
      </w:pPr>
      <w:r w:rsidRPr="007E6EC9">
        <w:rPr>
          <w:rFonts w:ascii="Arial" w:hAnsi="Arial" w:cs="Arial"/>
          <w:sz w:val="20"/>
          <w:szCs w:val="20"/>
        </w:rPr>
        <w:t xml:space="preserve">The study protocol was approved by the ethics committee of the Faculty of Health Sciences and Technology at Gamal Abdel Nasser University in Conakry. </w:t>
      </w:r>
    </w:p>
    <w:p w14:paraId="0F690C26" w14:textId="77777777" w:rsidR="007E6EC9" w:rsidRPr="007E6EC9" w:rsidRDefault="007E6EC9" w:rsidP="007E6EC9">
      <w:pPr>
        <w:spacing w:line="360" w:lineRule="auto"/>
        <w:contextualSpacing/>
        <w:rPr>
          <w:rFonts w:ascii="Arial" w:hAnsi="Arial" w:cs="Arial"/>
          <w:sz w:val="20"/>
          <w:szCs w:val="20"/>
        </w:rPr>
      </w:pPr>
      <w:r w:rsidRPr="007E6EC9">
        <w:rPr>
          <w:rFonts w:ascii="Arial" w:hAnsi="Arial" w:cs="Arial"/>
          <w:sz w:val="20"/>
          <w:szCs w:val="20"/>
        </w:rPr>
        <w:t>Patient anonymity and confidentiality were respected.</w:t>
      </w:r>
    </w:p>
    <w:p w14:paraId="47FDCE9C" w14:textId="3CD4DED8" w:rsidR="007E6EC9" w:rsidRPr="007E6EC9" w:rsidRDefault="007E6EC9" w:rsidP="007E6EC9">
      <w:pPr>
        <w:spacing w:line="360" w:lineRule="auto"/>
        <w:contextualSpacing/>
        <w:rPr>
          <w:rFonts w:ascii="Arial" w:hAnsi="Arial" w:cs="Arial"/>
          <w:sz w:val="20"/>
          <w:szCs w:val="20"/>
        </w:rPr>
      </w:pPr>
      <w:r w:rsidRPr="007E6EC9">
        <w:rPr>
          <w:rFonts w:ascii="Arial" w:hAnsi="Arial" w:cs="Arial"/>
          <w:sz w:val="20"/>
          <w:szCs w:val="20"/>
        </w:rPr>
        <w:t xml:space="preserve">. </w:t>
      </w:r>
    </w:p>
    <w:p w14:paraId="7A99234C"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REFERENCES</w:t>
      </w:r>
    </w:p>
    <w:p w14:paraId="5FEC1005" w14:textId="77777777" w:rsidR="00E8675D" w:rsidRPr="00D840E7" w:rsidRDefault="00E8675D" w:rsidP="00E8675D">
      <w:pPr>
        <w:jc w:val="both"/>
        <w:rPr>
          <w:rFonts w:ascii="Arial" w:hAnsi="Arial" w:cs="Arial"/>
          <w:sz w:val="20"/>
          <w:szCs w:val="20"/>
          <w:lang w:val="fr-FR"/>
        </w:rPr>
      </w:pPr>
      <w:r w:rsidRPr="00E8675D">
        <w:rPr>
          <w:rFonts w:ascii="Arial" w:hAnsi="Arial" w:cs="Arial"/>
          <w:sz w:val="20"/>
          <w:szCs w:val="20"/>
        </w:rPr>
        <w:t xml:space="preserve">1- Antimicrobial Resistance Collaborators. (2022). Global burden of bacterial antimicrobial resistance in 2019: A systematic analysis. </w:t>
      </w:r>
      <w:r w:rsidRPr="00D840E7">
        <w:rPr>
          <w:rFonts w:ascii="Arial" w:hAnsi="Arial" w:cs="Arial"/>
          <w:sz w:val="20"/>
          <w:szCs w:val="20"/>
          <w:lang w:val="fr-FR"/>
        </w:rPr>
        <w:t>Lancet, 399(10325), 629–655. https://doi.org/10.1016/S0140-6736(21)02724-0.</w:t>
      </w:r>
    </w:p>
    <w:p w14:paraId="7E2F81EE" w14:textId="77777777" w:rsidR="00E8675D" w:rsidRPr="00D840E7" w:rsidRDefault="00E8675D" w:rsidP="00E8675D">
      <w:pPr>
        <w:jc w:val="both"/>
        <w:rPr>
          <w:rFonts w:ascii="Arial" w:hAnsi="Arial" w:cs="Arial"/>
          <w:sz w:val="20"/>
          <w:szCs w:val="20"/>
          <w:lang w:val="it-IT"/>
        </w:rPr>
      </w:pPr>
      <w:r w:rsidRPr="00D840E7">
        <w:rPr>
          <w:rFonts w:ascii="Arial" w:hAnsi="Arial" w:cs="Arial"/>
          <w:sz w:val="20"/>
          <w:szCs w:val="20"/>
          <w:lang w:val="fr-FR"/>
        </w:rPr>
        <w:t xml:space="preserve">2- Reyes, J., Komarow, L., Chen, L., Ge, L., Hanson, B. M., Cober, E., et al. </w:t>
      </w:r>
      <w:r w:rsidRPr="00E8675D">
        <w:rPr>
          <w:rFonts w:ascii="Arial" w:hAnsi="Arial" w:cs="Arial"/>
          <w:sz w:val="20"/>
          <w:szCs w:val="20"/>
        </w:rPr>
        <w:t xml:space="preserve">(2023). Global epidemiology and clinical outcomes of carbapenem-resistant Pseudomonas aeruginosa and associated </w:t>
      </w:r>
      <w:proofErr w:type="spellStart"/>
      <w:r w:rsidRPr="00E8675D">
        <w:rPr>
          <w:rFonts w:ascii="Arial" w:hAnsi="Arial" w:cs="Arial"/>
          <w:sz w:val="20"/>
          <w:szCs w:val="20"/>
        </w:rPr>
        <w:t>carbapenemases</w:t>
      </w:r>
      <w:proofErr w:type="spellEnd"/>
      <w:r w:rsidRPr="00E8675D">
        <w:rPr>
          <w:rFonts w:ascii="Arial" w:hAnsi="Arial" w:cs="Arial"/>
          <w:sz w:val="20"/>
          <w:szCs w:val="20"/>
        </w:rPr>
        <w:t xml:space="preserve"> (POP): a prospective cohort study. </w:t>
      </w:r>
      <w:r w:rsidRPr="00D840E7">
        <w:rPr>
          <w:rFonts w:ascii="Arial" w:hAnsi="Arial" w:cs="Arial"/>
          <w:sz w:val="20"/>
          <w:szCs w:val="20"/>
          <w:lang w:val="it-IT"/>
        </w:rPr>
        <w:t>Lancet Microbe, 4(3), e159–e170. https://doi.org/10.1016/S2666-5247(22)00329-9.</w:t>
      </w:r>
    </w:p>
    <w:p w14:paraId="7F9879CC" w14:textId="77777777" w:rsidR="00E8675D" w:rsidRPr="00E8675D" w:rsidRDefault="00E8675D" w:rsidP="00E8675D">
      <w:pPr>
        <w:jc w:val="both"/>
        <w:rPr>
          <w:rFonts w:ascii="Arial" w:hAnsi="Arial" w:cs="Arial"/>
          <w:sz w:val="20"/>
          <w:szCs w:val="20"/>
        </w:rPr>
      </w:pPr>
      <w:r w:rsidRPr="00D840E7">
        <w:rPr>
          <w:rFonts w:ascii="Arial" w:hAnsi="Arial" w:cs="Arial"/>
          <w:sz w:val="20"/>
          <w:szCs w:val="20"/>
          <w:lang w:val="it-IT"/>
        </w:rPr>
        <w:t xml:space="preserve">3- Ma, Y., Aung, T. T., Lakshminarayanan, R., &amp; Chua, S. L. (2023). </w:t>
      </w:r>
      <w:r w:rsidRPr="00E8675D">
        <w:rPr>
          <w:rFonts w:ascii="Arial" w:hAnsi="Arial" w:cs="Arial"/>
          <w:sz w:val="20"/>
          <w:szCs w:val="20"/>
        </w:rPr>
        <w:t>Biofilm formation and virulence potential of carbapenem-resistant Pseudomonas aeruginosa. The Lancet Microbe. https://doi.org/10.1016/S2666-5247(23)00097-6.</w:t>
      </w:r>
    </w:p>
    <w:p w14:paraId="17858E82"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 xml:space="preserve">4- Wang, M., Earley, M., Chen, L., Hanson, B. M., Yu, Y., Liu, Z., Salcedo, S., Cober, E., Li, L., Kanj, S. S., Gao, H., Munita, J. M., Ordoñez, K., Weston, G., </w:t>
      </w:r>
      <w:proofErr w:type="spellStart"/>
      <w:r w:rsidRPr="00E8675D">
        <w:rPr>
          <w:rFonts w:ascii="Arial" w:hAnsi="Arial" w:cs="Arial"/>
          <w:sz w:val="20"/>
          <w:szCs w:val="20"/>
        </w:rPr>
        <w:t>Satlin</w:t>
      </w:r>
      <w:proofErr w:type="spellEnd"/>
      <w:r w:rsidRPr="00E8675D">
        <w:rPr>
          <w:rFonts w:ascii="Arial" w:hAnsi="Arial" w:cs="Arial"/>
          <w:sz w:val="20"/>
          <w:szCs w:val="20"/>
        </w:rPr>
        <w:t xml:space="preserve">, M. J., Valderrama-Beltrán, S. L., Marimuthu, K., Stryjewski, M. E., </w:t>
      </w:r>
      <w:proofErr w:type="spellStart"/>
      <w:r w:rsidRPr="00E8675D">
        <w:rPr>
          <w:rFonts w:ascii="Arial" w:hAnsi="Arial" w:cs="Arial"/>
          <w:sz w:val="20"/>
          <w:szCs w:val="20"/>
        </w:rPr>
        <w:t>Komarow</w:t>
      </w:r>
      <w:proofErr w:type="spellEnd"/>
      <w:r w:rsidRPr="00E8675D">
        <w:rPr>
          <w:rFonts w:ascii="Arial" w:hAnsi="Arial" w:cs="Arial"/>
          <w:sz w:val="20"/>
          <w:szCs w:val="20"/>
        </w:rPr>
        <w:t xml:space="preserve">, L., Luterbach, C., Marshall, S. H., Rudin, S. D., Manca, C., Paterson, D. L., Reyes, J., Villegas, M. V., Evans, S., Hill, C., Arias, R., Baum, K., Fries, B. C., Doi, Y., Patel, R., </w:t>
      </w:r>
      <w:proofErr w:type="spellStart"/>
      <w:r w:rsidRPr="00E8675D">
        <w:rPr>
          <w:rFonts w:ascii="Arial" w:hAnsi="Arial" w:cs="Arial"/>
          <w:sz w:val="20"/>
          <w:szCs w:val="20"/>
        </w:rPr>
        <w:t>Kreiswirth</w:t>
      </w:r>
      <w:proofErr w:type="spellEnd"/>
      <w:r w:rsidRPr="00E8675D">
        <w:rPr>
          <w:rFonts w:ascii="Arial" w:hAnsi="Arial" w:cs="Arial"/>
          <w:sz w:val="20"/>
          <w:szCs w:val="20"/>
        </w:rPr>
        <w:t xml:space="preserve">, B. N., Bonomo, R. A., Chambers, H. F., Fowler, V. G. Jr, Arias, C. A., van Duin, D., &amp; Multi-Drug Resistant Organism Network Investigators. (2022). Clinical outcomes and bacterial characteristics of carbapenem-resistant Klebsiella pneumoniae complex among patients from different global regions (CRACKLE-2): a </w:t>
      </w:r>
      <w:r w:rsidRPr="00E8675D">
        <w:rPr>
          <w:rFonts w:ascii="Arial" w:hAnsi="Arial" w:cs="Arial"/>
          <w:sz w:val="20"/>
          <w:szCs w:val="20"/>
        </w:rPr>
        <w:lastRenderedPageBreak/>
        <w:t xml:space="preserve">prospective, </w:t>
      </w:r>
      <w:proofErr w:type="spellStart"/>
      <w:r w:rsidRPr="00E8675D">
        <w:rPr>
          <w:rFonts w:ascii="Arial" w:hAnsi="Arial" w:cs="Arial"/>
          <w:sz w:val="20"/>
          <w:szCs w:val="20"/>
        </w:rPr>
        <w:t>multicentre</w:t>
      </w:r>
      <w:proofErr w:type="spellEnd"/>
      <w:r w:rsidRPr="00E8675D">
        <w:rPr>
          <w:rFonts w:ascii="Arial" w:hAnsi="Arial" w:cs="Arial"/>
          <w:sz w:val="20"/>
          <w:szCs w:val="20"/>
        </w:rPr>
        <w:t>, cohort study. Lancet Infectious Diseases, 22(3), 401–412. https://doi.org/10.1016/S1473-3099(21)00399-6.</w:t>
      </w:r>
    </w:p>
    <w:p w14:paraId="79B8CD64"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 xml:space="preserve">5- Murray, C. J. L., Ikuta, K. S., Sharara, F., </w:t>
      </w:r>
      <w:proofErr w:type="spellStart"/>
      <w:r w:rsidRPr="00E8675D">
        <w:rPr>
          <w:rFonts w:ascii="Arial" w:hAnsi="Arial" w:cs="Arial"/>
          <w:sz w:val="20"/>
          <w:szCs w:val="20"/>
        </w:rPr>
        <w:t>Swetschinski</w:t>
      </w:r>
      <w:proofErr w:type="spellEnd"/>
      <w:r w:rsidRPr="00E8675D">
        <w:rPr>
          <w:rFonts w:ascii="Arial" w:hAnsi="Arial" w:cs="Arial"/>
          <w:sz w:val="20"/>
          <w:szCs w:val="20"/>
        </w:rPr>
        <w:t>, L., Robles Aguilar, G., Gray, A., et al. (2022). Global mortality associated with 33 bacterial pathogens in 2019: A systematic analysis for the Global Burden of Disease Study 2019. The Lancet, 400(10369), 2221–2248. https://doi.org/10.1016/S0140-6736(22)02185-7.</w:t>
      </w:r>
    </w:p>
    <w:p w14:paraId="41AC7010"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 xml:space="preserve">6- Okeke, I. N., de Kraker, M. E. A., Van Boeckel, T. P., Kumar, C. K., Schmitt, H., Gales, A. C., </w:t>
      </w:r>
      <w:proofErr w:type="spellStart"/>
      <w:r w:rsidRPr="00E8675D">
        <w:rPr>
          <w:rFonts w:ascii="Arial" w:hAnsi="Arial" w:cs="Arial"/>
          <w:sz w:val="20"/>
          <w:szCs w:val="20"/>
        </w:rPr>
        <w:t>Bertagnolio</w:t>
      </w:r>
      <w:proofErr w:type="spellEnd"/>
      <w:r w:rsidRPr="00E8675D">
        <w:rPr>
          <w:rFonts w:ascii="Arial" w:hAnsi="Arial" w:cs="Arial"/>
          <w:sz w:val="20"/>
          <w:szCs w:val="20"/>
        </w:rPr>
        <w:t>, S., Sharland, M., &amp; Laxminarayan, R. (2024). The scope of the antimicrobial resistance challenge. The Lancet, 403(10442), 2426-2438. https://doi.org/10.1016/S0140-6736(24)00876-6</w:t>
      </w:r>
    </w:p>
    <w:p w14:paraId="0F53DDAC"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 xml:space="preserve">7- O'Neill, J. (2016). Tackling drug-resistant infections globally: Final report and recommendations. HM Government and </w:t>
      </w:r>
      <w:proofErr w:type="spellStart"/>
      <w:r w:rsidRPr="00E8675D">
        <w:rPr>
          <w:rFonts w:ascii="Arial" w:hAnsi="Arial" w:cs="Arial"/>
          <w:sz w:val="20"/>
          <w:szCs w:val="20"/>
        </w:rPr>
        <w:t>Wellcome</w:t>
      </w:r>
      <w:proofErr w:type="spellEnd"/>
      <w:r w:rsidRPr="00E8675D">
        <w:rPr>
          <w:rFonts w:ascii="Arial" w:hAnsi="Arial" w:cs="Arial"/>
          <w:sz w:val="20"/>
          <w:szCs w:val="20"/>
        </w:rPr>
        <w:t xml:space="preserve"> Trust. https://amr-review.org/sites/default/files/160518_Final%20paper_with%20cover.pdf.</w:t>
      </w:r>
    </w:p>
    <w:p w14:paraId="1F6BCA61"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 xml:space="preserve">8- Cassini, A., Diaz </w:t>
      </w:r>
      <w:proofErr w:type="spellStart"/>
      <w:r w:rsidRPr="00E8675D">
        <w:rPr>
          <w:rFonts w:ascii="Arial" w:hAnsi="Arial" w:cs="Arial"/>
          <w:sz w:val="20"/>
          <w:szCs w:val="20"/>
        </w:rPr>
        <w:t>Högberg</w:t>
      </w:r>
      <w:proofErr w:type="spellEnd"/>
      <w:r w:rsidRPr="00E8675D">
        <w:rPr>
          <w:rFonts w:ascii="Arial" w:hAnsi="Arial" w:cs="Arial"/>
          <w:sz w:val="20"/>
          <w:szCs w:val="20"/>
        </w:rPr>
        <w:t xml:space="preserve">, L. D., </w:t>
      </w:r>
      <w:proofErr w:type="spellStart"/>
      <w:r w:rsidRPr="00E8675D">
        <w:rPr>
          <w:rFonts w:ascii="Arial" w:hAnsi="Arial" w:cs="Arial"/>
          <w:sz w:val="20"/>
          <w:szCs w:val="20"/>
        </w:rPr>
        <w:t>Plachouras</w:t>
      </w:r>
      <w:proofErr w:type="spellEnd"/>
      <w:r w:rsidRPr="00E8675D">
        <w:rPr>
          <w:rFonts w:ascii="Arial" w:hAnsi="Arial" w:cs="Arial"/>
          <w:sz w:val="20"/>
          <w:szCs w:val="20"/>
        </w:rPr>
        <w:t xml:space="preserve">, D., Quattrocchi, A., Hoxha, A., Simonsen, G. S., </w:t>
      </w:r>
      <w:proofErr w:type="spellStart"/>
      <w:r w:rsidRPr="00E8675D">
        <w:rPr>
          <w:rFonts w:ascii="Arial" w:hAnsi="Arial" w:cs="Arial"/>
          <w:sz w:val="20"/>
          <w:szCs w:val="20"/>
        </w:rPr>
        <w:t>Colomb-Cotinat</w:t>
      </w:r>
      <w:proofErr w:type="spellEnd"/>
      <w:r w:rsidRPr="00E8675D">
        <w:rPr>
          <w:rFonts w:ascii="Arial" w:hAnsi="Arial" w:cs="Arial"/>
          <w:sz w:val="20"/>
          <w:szCs w:val="20"/>
        </w:rPr>
        <w:t xml:space="preserve">, M., Kretzschmar, M. E., </w:t>
      </w:r>
      <w:proofErr w:type="spellStart"/>
      <w:r w:rsidRPr="00E8675D">
        <w:rPr>
          <w:rFonts w:ascii="Arial" w:hAnsi="Arial" w:cs="Arial"/>
          <w:sz w:val="20"/>
          <w:szCs w:val="20"/>
        </w:rPr>
        <w:t>Devleesschauwer</w:t>
      </w:r>
      <w:proofErr w:type="spellEnd"/>
      <w:r w:rsidRPr="00E8675D">
        <w:rPr>
          <w:rFonts w:ascii="Arial" w:hAnsi="Arial" w:cs="Arial"/>
          <w:sz w:val="20"/>
          <w:szCs w:val="20"/>
        </w:rPr>
        <w:t xml:space="preserve">, B., Cecchini, M., </w:t>
      </w:r>
      <w:proofErr w:type="spellStart"/>
      <w:r w:rsidRPr="00E8675D">
        <w:rPr>
          <w:rFonts w:ascii="Arial" w:hAnsi="Arial" w:cs="Arial"/>
          <w:sz w:val="20"/>
          <w:szCs w:val="20"/>
        </w:rPr>
        <w:t>Ait</w:t>
      </w:r>
      <w:proofErr w:type="spellEnd"/>
      <w:r w:rsidRPr="00E8675D">
        <w:rPr>
          <w:rFonts w:ascii="Arial" w:hAnsi="Arial" w:cs="Arial"/>
          <w:sz w:val="20"/>
          <w:szCs w:val="20"/>
        </w:rPr>
        <w:t xml:space="preserve"> </w:t>
      </w:r>
      <w:proofErr w:type="spellStart"/>
      <w:r w:rsidRPr="00E8675D">
        <w:rPr>
          <w:rFonts w:ascii="Arial" w:hAnsi="Arial" w:cs="Arial"/>
          <w:sz w:val="20"/>
          <w:szCs w:val="20"/>
        </w:rPr>
        <w:t>Ouakrim</w:t>
      </w:r>
      <w:proofErr w:type="spellEnd"/>
      <w:r w:rsidRPr="00E8675D">
        <w:rPr>
          <w:rFonts w:ascii="Arial" w:hAnsi="Arial" w:cs="Arial"/>
          <w:sz w:val="20"/>
          <w:szCs w:val="20"/>
        </w:rPr>
        <w:t xml:space="preserve">, D., Cravo Oliveira, T., </w:t>
      </w:r>
      <w:proofErr w:type="spellStart"/>
      <w:r w:rsidRPr="00E8675D">
        <w:rPr>
          <w:rFonts w:ascii="Arial" w:hAnsi="Arial" w:cs="Arial"/>
          <w:sz w:val="20"/>
          <w:szCs w:val="20"/>
        </w:rPr>
        <w:t>Struelens</w:t>
      </w:r>
      <w:proofErr w:type="spellEnd"/>
      <w:r w:rsidRPr="00E8675D">
        <w:rPr>
          <w:rFonts w:ascii="Arial" w:hAnsi="Arial" w:cs="Arial"/>
          <w:sz w:val="20"/>
          <w:szCs w:val="20"/>
        </w:rPr>
        <w:t xml:space="preserve">, M. J., </w:t>
      </w:r>
      <w:proofErr w:type="spellStart"/>
      <w:r w:rsidRPr="00E8675D">
        <w:rPr>
          <w:rFonts w:ascii="Arial" w:hAnsi="Arial" w:cs="Arial"/>
          <w:sz w:val="20"/>
          <w:szCs w:val="20"/>
        </w:rPr>
        <w:t>Suetens</w:t>
      </w:r>
      <w:proofErr w:type="spellEnd"/>
      <w:r w:rsidRPr="00E8675D">
        <w:rPr>
          <w:rFonts w:ascii="Arial" w:hAnsi="Arial" w:cs="Arial"/>
          <w:sz w:val="20"/>
          <w:szCs w:val="20"/>
        </w:rPr>
        <w:t>, C., Monnet, D. L., &amp; Burden of AMR Collaborative Group. (2019). Attributable deaths and disability-adjusted life-years caused by infections with antibiotic-resistant bacteria in the EU and the European Economic Area in 2015: a population-level modelling analysis. Lancet Infectious Diseases, 19(1), 56–66. https://doi.org/10.1016/S1473-3099(18)30605-4.</w:t>
      </w:r>
    </w:p>
    <w:p w14:paraId="053FBC3D"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9- World Health Organization. (2015). Global action plan on antimicrobial resistance. https://apps.who.int/iris/bitstream/handle/10665/193736/9789241509763_fr.pdf.</w:t>
      </w:r>
    </w:p>
    <w:p w14:paraId="79253132"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 xml:space="preserve">10- Republic of Guinea, Ministry of Health, Expertise France, World Bank, World Health Organization, World </w:t>
      </w:r>
      <w:proofErr w:type="spellStart"/>
      <w:r w:rsidRPr="00E8675D">
        <w:rPr>
          <w:rFonts w:ascii="Arial" w:hAnsi="Arial" w:cs="Arial"/>
          <w:sz w:val="20"/>
          <w:szCs w:val="20"/>
        </w:rPr>
        <w:t>Organisation</w:t>
      </w:r>
      <w:proofErr w:type="spellEnd"/>
      <w:r w:rsidRPr="00E8675D">
        <w:rPr>
          <w:rFonts w:ascii="Arial" w:hAnsi="Arial" w:cs="Arial"/>
          <w:sz w:val="20"/>
          <w:szCs w:val="20"/>
        </w:rPr>
        <w:t xml:space="preserve"> for Animal Health, &amp; Food and Agriculture Organization of the United Nations. (2021). Multisectoral National Action Plan to Combat Antimicrobial Resistance in Guinea. Ministry of Health. https://pasa2.sante.gov.gn/documents/plan-daction-national-multisectoriel-de-lutte-contre-la-resistance-aux-antimicrobiens-en-guinee-ms-ef-bm-oms-oie-fao-6-2021/.</w:t>
      </w:r>
    </w:p>
    <w:p w14:paraId="22DD3E7B" w14:textId="77777777" w:rsidR="00E8675D" w:rsidRPr="003C4E3E" w:rsidRDefault="00E8675D" w:rsidP="00E8675D">
      <w:pPr>
        <w:jc w:val="both"/>
        <w:rPr>
          <w:rFonts w:ascii="Arial" w:hAnsi="Arial" w:cs="Arial"/>
          <w:sz w:val="20"/>
          <w:szCs w:val="20"/>
          <w:lang w:val="fr-FR"/>
        </w:rPr>
      </w:pPr>
      <w:r w:rsidRPr="003C4E3E">
        <w:rPr>
          <w:rFonts w:ascii="Arial" w:hAnsi="Arial" w:cs="Arial"/>
          <w:sz w:val="20"/>
          <w:szCs w:val="20"/>
          <w:lang w:val="fr-FR"/>
        </w:rPr>
        <w:t xml:space="preserve">11- Comité de l’Antibiogramme de la Société Française de Microbiologie (CA-SFM/EUCAST). (2023). </w:t>
      </w:r>
      <w:proofErr w:type="spellStart"/>
      <w:r w:rsidRPr="003C4E3E">
        <w:rPr>
          <w:rFonts w:ascii="Arial" w:hAnsi="Arial" w:cs="Arial"/>
          <w:sz w:val="20"/>
          <w:szCs w:val="20"/>
          <w:lang w:val="fr-FR"/>
        </w:rPr>
        <w:t>Recommendations</w:t>
      </w:r>
      <w:proofErr w:type="spellEnd"/>
      <w:r w:rsidRPr="003C4E3E">
        <w:rPr>
          <w:rFonts w:ascii="Arial" w:hAnsi="Arial" w:cs="Arial"/>
          <w:sz w:val="20"/>
          <w:szCs w:val="20"/>
          <w:lang w:val="fr-FR"/>
        </w:rPr>
        <w:t xml:space="preserve"> 2023 – V1.0 (June 2023). Société Française de Microbiologie. https://www.sfm-microbiologie.org/wp-content/uploads/2023/06/CASFM2023_V1.0.pdf.</w:t>
      </w:r>
    </w:p>
    <w:p w14:paraId="1CB2BD24"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12- Williams, R. J., &amp; Heymann, D. L. (1998). Containment of antibiotic resistance. Science, 279(5354), 1153–1154. https://doi.org/10.1126/science.279.5354.1153.</w:t>
      </w:r>
    </w:p>
    <w:p w14:paraId="100EDA5C"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13- Williams, R. J., &amp; Ryan, M. J. (1998). Surveillance of antimicrobial resistance—an international perspective. BMJ, 317(7159), 651–654. https://doi.org/10.1136/bmj.317.7159.651.</w:t>
      </w:r>
    </w:p>
    <w:p w14:paraId="24DBAB74"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 xml:space="preserve">14- </w:t>
      </w:r>
      <w:proofErr w:type="spellStart"/>
      <w:r w:rsidRPr="00E8675D">
        <w:rPr>
          <w:rFonts w:ascii="Arial" w:hAnsi="Arial" w:cs="Arial"/>
          <w:sz w:val="20"/>
          <w:szCs w:val="20"/>
        </w:rPr>
        <w:t>Spellberg</w:t>
      </w:r>
      <w:proofErr w:type="spellEnd"/>
      <w:r w:rsidRPr="00E8675D">
        <w:rPr>
          <w:rFonts w:ascii="Arial" w:hAnsi="Arial" w:cs="Arial"/>
          <w:sz w:val="20"/>
          <w:szCs w:val="20"/>
        </w:rPr>
        <w:t>, B., Bartlett, J. G., &amp; Gilbert, D. N. (2013). The future of antibiotics and resistance. New England Journal of Medicine, 368(4), 299–302. https://doi.org/10.1056/NEJMp1215093.</w:t>
      </w:r>
    </w:p>
    <w:p w14:paraId="1A4D452E"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15- World Health Organization. (2015). Global antimicrobial resistance surveillance system: manual for early implementation. https://www.who.int/publications/i/item/9789241549400.</w:t>
      </w:r>
    </w:p>
    <w:p w14:paraId="2163A67E"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 xml:space="preserve">16- Reed, T. A. N., Krang, S., </w:t>
      </w:r>
      <w:proofErr w:type="spellStart"/>
      <w:r w:rsidRPr="00E8675D">
        <w:rPr>
          <w:rFonts w:ascii="Arial" w:hAnsi="Arial" w:cs="Arial"/>
          <w:sz w:val="20"/>
          <w:szCs w:val="20"/>
        </w:rPr>
        <w:t>Miliya</w:t>
      </w:r>
      <w:proofErr w:type="spellEnd"/>
      <w:r w:rsidRPr="00E8675D">
        <w:rPr>
          <w:rFonts w:ascii="Arial" w:hAnsi="Arial" w:cs="Arial"/>
          <w:sz w:val="20"/>
          <w:szCs w:val="20"/>
        </w:rPr>
        <w:t xml:space="preserve">, T., </w:t>
      </w:r>
      <w:proofErr w:type="spellStart"/>
      <w:r w:rsidRPr="00E8675D">
        <w:rPr>
          <w:rFonts w:ascii="Arial" w:hAnsi="Arial" w:cs="Arial"/>
          <w:sz w:val="20"/>
          <w:szCs w:val="20"/>
        </w:rPr>
        <w:t>Townell</w:t>
      </w:r>
      <w:proofErr w:type="spellEnd"/>
      <w:r w:rsidRPr="00E8675D">
        <w:rPr>
          <w:rFonts w:ascii="Arial" w:hAnsi="Arial" w:cs="Arial"/>
          <w:sz w:val="20"/>
          <w:szCs w:val="20"/>
        </w:rPr>
        <w:t>, N., Letchford, J., Bun, S., et al. (2019). Antimicrobial resistance in Cambodia: A review. *International Journal of Infectious Diseases*, *85*, 98–107. https://doi.org/10.1016/j.ijid.2019.05.036.</w:t>
      </w:r>
    </w:p>
    <w:p w14:paraId="06F6ECC5"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lastRenderedPageBreak/>
        <w:t xml:space="preserve">17- Warren, J. W., </w:t>
      </w:r>
      <w:proofErr w:type="spellStart"/>
      <w:r w:rsidRPr="00E8675D">
        <w:rPr>
          <w:rFonts w:ascii="Arial" w:hAnsi="Arial" w:cs="Arial"/>
          <w:sz w:val="20"/>
          <w:szCs w:val="20"/>
        </w:rPr>
        <w:t>Abrutyn</w:t>
      </w:r>
      <w:proofErr w:type="spellEnd"/>
      <w:r w:rsidRPr="00E8675D">
        <w:rPr>
          <w:rFonts w:ascii="Arial" w:hAnsi="Arial" w:cs="Arial"/>
          <w:sz w:val="20"/>
          <w:szCs w:val="20"/>
        </w:rPr>
        <w:t>, E., Hebel, J. R., Johnson, J. R., Schaeffer, A. J., &amp; Stamm, W. E. (1999). Guidelines for antimicrobial treatment of uncomplicated acute bacterial cystitis and acute pyelonephritis in women. Clinical Infectious Diseases, 29(4), 745–758. https://doi.org/10.1086/520427.</w:t>
      </w:r>
    </w:p>
    <w:p w14:paraId="49E5EF7F"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 xml:space="preserve">18- </w:t>
      </w:r>
      <w:proofErr w:type="spellStart"/>
      <w:r w:rsidRPr="00E8675D">
        <w:rPr>
          <w:rFonts w:ascii="Arial" w:hAnsi="Arial" w:cs="Arial"/>
          <w:sz w:val="20"/>
          <w:szCs w:val="20"/>
        </w:rPr>
        <w:t>Falagas</w:t>
      </w:r>
      <w:proofErr w:type="spellEnd"/>
      <w:r w:rsidRPr="00E8675D">
        <w:rPr>
          <w:rFonts w:ascii="Arial" w:hAnsi="Arial" w:cs="Arial"/>
          <w:sz w:val="20"/>
          <w:szCs w:val="20"/>
        </w:rPr>
        <w:t>, M. E., &amp; Gorbach, S. L. (1995). Urinary tract infections: Practice guidelines. Infectious Diseases in Clinical Practice, 4(4), 241–257. https://doi.org/10.1097/00019048-199507000-00001.</w:t>
      </w:r>
    </w:p>
    <w:p w14:paraId="03AFD187" w14:textId="5028E560" w:rsidR="00D25C0D" w:rsidRPr="00D25C0D" w:rsidRDefault="00D25C0D" w:rsidP="00D25C0D">
      <w:pPr>
        <w:jc w:val="both"/>
        <w:rPr>
          <w:rFonts w:ascii="Arial" w:hAnsi="Arial" w:cs="Arial"/>
          <w:sz w:val="20"/>
          <w:szCs w:val="20"/>
        </w:rPr>
      </w:pPr>
      <w:r w:rsidRPr="00D25C0D">
        <w:rPr>
          <w:rFonts w:ascii="Arial" w:hAnsi="Arial" w:cs="Arial"/>
          <w:sz w:val="20"/>
          <w:szCs w:val="20"/>
        </w:rPr>
        <w:t xml:space="preserve">19- Bernabé KJ, Langendorf C, Ford N, Ronat JB, Murphy RA. Antimicrobial resistance in West Africa: a systematic review and meta-analysis. Int J </w:t>
      </w:r>
      <w:proofErr w:type="spellStart"/>
      <w:r w:rsidRPr="00D25C0D">
        <w:rPr>
          <w:rFonts w:ascii="Arial" w:hAnsi="Arial" w:cs="Arial"/>
          <w:sz w:val="20"/>
          <w:szCs w:val="20"/>
        </w:rPr>
        <w:t>Antimicrob</w:t>
      </w:r>
      <w:proofErr w:type="spellEnd"/>
      <w:r w:rsidRPr="00D25C0D">
        <w:rPr>
          <w:rFonts w:ascii="Arial" w:hAnsi="Arial" w:cs="Arial"/>
          <w:sz w:val="20"/>
          <w:szCs w:val="20"/>
        </w:rPr>
        <w:t xml:space="preserve"> Agents. 2017;50(5):629–639. </w:t>
      </w:r>
      <w:proofErr w:type="gramStart"/>
      <w:r w:rsidRPr="00D25C0D">
        <w:rPr>
          <w:rFonts w:ascii="Arial" w:hAnsi="Arial" w:cs="Arial"/>
          <w:sz w:val="20"/>
          <w:szCs w:val="20"/>
        </w:rPr>
        <w:t>doi:10.1016/j.ijantimicag</w:t>
      </w:r>
      <w:proofErr w:type="gramEnd"/>
      <w:r w:rsidRPr="00D25C0D">
        <w:rPr>
          <w:rFonts w:ascii="Arial" w:hAnsi="Arial" w:cs="Arial"/>
          <w:sz w:val="20"/>
          <w:szCs w:val="20"/>
        </w:rPr>
        <w:t>.2017.07.002</w:t>
      </w:r>
    </w:p>
    <w:p w14:paraId="0B05EC3B" w14:textId="10025C40" w:rsidR="00D25C0D" w:rsidRPr="00D25C0D" w:rsidRDefault="00D25C0D" w:rsidP="00D25C0D">
      <w:pPr>
        <w:jc w:val="both"/>
        <w:rPr>
          <w:rFonts w:ascii="Arial" w:hAnsi="Arial" w:cs="Arial"/>
          <w:sz w:val="20"/>
          <w:szCs w:val="20"/>
        </w:rPr>
      </w:pPr>
      <w:r w:rsidRPr="00D25C0D">
        <w:rPr>
          <w:rFonts w:ascii="Arial" w:hAnsi="Arial" w:cs="Arial"/>
          <w:sz w:val="20"/>
          <w:szCs w:val="20"/>
        </w:rPr>
        <w:t xml:space="preserve">20- </w:t>
      </w:r>
      <w:proofErr w:type="spellStart"/>
      <w:r w:rsidRPr="00D25C0D">
        <w:rPr>
          <w:rFonts w:ascii="Arial" w:hAnsi="Arial" w:cs="Arial"/>
          <w:sz w:val="20"/>
          <w:szCs w:val="20"/>
        </w:rPr>
        <w:t>Ejo</w:t>
      </w:r>
      <w:proofErr w:type="spellEnd"/>
      <w:r w:rsidRPr="00D25C0D">
        <w:rPr>
          <w:rFonts w:ascii="Arial" w:hAnsi="Arial" w:cs="Arial"/>
          <w:sz w:val="20"/>
          <w:szCs w:val="20"/>
        </w:rPr>
        <w:t xml:space="preserve"> M, </w:t>
      </w:r>
      <w:proofErr w:type="spellStart"/>
      <w:r w:rsidRPr="00D25C0D">
        <w:rPr>
          <w:rFonts w:ascii="Arial" w:hAnsi="Arial" w:cs="Arial"/>
          <w:sz w:val="20"/>
          <w:szCs w:val="20"/>
        </w:rPr>
        <w:t>Gehre</w:t>
      </w:r>
      <w:proofErr w:type="spellEnd"/>
      <w:r w:rsidRPr="00D25C0D">
        <w:rPr>
          <w:rFonts w:ascii="Arial" w:hAnsi="Arial" w:cs="Arial"/>
          <w:sz w:val="20"/>
          <w:szCs w:val="20"/>
        </w:rPr>
        <w:t xml:space="preserve"> F, Barry MD, Sow O, Bah NM, Camara M et al. First insights into circulating Mycobacterium tuberculosis complex lineages and drug resistance in Guinea. Infection, Genetics and Evolution. </w:t>
      </w:r>
      <w:proofErr w:type="gramStart"/>
      <w:r w:rsidRPr="00D25C0D">
        <w:rPr>
          <w:rFonts w:ascii="Arial" w:hAnsi="Arial" w:cs="Arial"/>
          <w:sz w:val="20"/>
          <w:szCs w:val="20"/>
        </w:rPr>
        <w:t>2015;33:314</w:t>
      </w:r>
      <w:proofErr w:type="gramEnd"/>
      <w:r w:rsidRPr="00D25C0D">
        <w:rPr>
          <w:rFonts w:ascii="Arial" w:hAnsi="Arial" w:cs="Arial"/>
          <w:sz w:val="20"/>
          <w:szCs w:val="20"/>
        </w:rPr>
        <w:t xml:space="preserve">–319. </w:t>
      </w:r>
      <w:proofErr w:type="gramStart"/>
      <w:r w:rsidRPr="00D25C0D">
        <w:rPr>
          <w:rFonts w:ascii="Arial" w:hAnsi="Arial" w:cs="Arial"/>
          <w:sz w:val="20"/>
          <w:szCs w:val="20"/>
        </w:rPr>
        <w:t>doi:10.1016/j.meegid</w:t>
      </w:r>
      <w:proofErr w:type="gramEnd"/>
      <w:r w:rsidRPr="00D25C0D">
        <w:rPr>
          <w:rFonts w:ascii="Arial" w:hAnsi="Arial" w:cs="Arial"/>
          <w:sz w:val="20"/>
          <w:szCs w:val="20"/>
        </w:rPr>
        <w:t>.2015.05.022.</w:t>
      </w:r>
    </w:p>
    <w:p w14:paraId="7D445225" w14:textId="3DD0ED57" w:rsidR="00D25C0D" w:rsidRPr="00D25C0D" w:rsidRDefault="00D25C0D" w:rsidP="00D25C0D">
      <w:pPr>
        <w:jc w:val="both"/>
        <w:rPr>
          <w:rFonts w:ascii="Arial" w:hAnsi="Arial" w:cs="Arial"/>
          <w:sz w:val="20"/>
          <w:szCs w:val="20"/>
        </w:rPr>
      </w:pPr>
      <w:r w:rsidRPr="00D25C0D">
        <w:rPr>
          <w:rFonts w:ascii="Arial" w:hAnsi="Arial" w:cs="Arial"/>
          <w:sz w:val="20"/>
          <w:szCs w:val="20"/>
        </w:rPr>
        <w:t xml:space="preserve">21- </w:t>
      </w:r>
      <w:proofErr w:type="spellStart"/>
      <w:r w:rsidRPr="00D25C0D">
        <w:rPr>
          <w:rFonts w:ascii="Arial" w:hAnsi="Arial" w:cs="Arial"/>
          <w:sz w:val="20"/>
          <w:szCs w:val="20"/>
        </w:rPr>
        <w:t>Gnimadi</w:t>
      </w:r>
      <w:proofErr w:type="spellEnd"/>
      <w:r w:rsidRPr="00D25C0D">
        <w:rPr>
          <w:rFonts w:ascii="Arial" w:hAnsi="Arial" w:cs="Arial"/>
          <w:sz w:val="20"/>
          <w:szCs w:val="20"/>
        </w:rPr>
        <w:t xml:space="preserve"> TA, </w:t>
      </w:r>
      <w:proofErr w:type="spellStart"/>
      <w:r w:rsidRPr="00D25C0D">
        <w:rPr>
          <w:rFonts w:ascii="Arial" w:hAnsi="Arial" w:cs="Arial"/>
          <w:sz w:val="20"/>
          <w:szCs w:val="20"/>
        </w:rPr>
        <w:t>Kadio</w:t>
      </w:r>
      <w:proofErr w:type="spellEnd"/>
      <w:r w:rsidRPr="00D25C0D">
        <w:rPr>
          <w:rFonts w:ascii="Arial" w:hAnsi="Arial" w:cs="Arial"/>
          <w:sz w:val="20"/>
          <w:szCs w:val="20"/>
        </w:rPr>
        <w:t xml:space="preserve"> OJK, </w:t>
      </w:r>
      <w:proofErr w:type="spellStart"/>
      <w:r w:rsidRPr="00D25C0D">
        <w:rPr>
          <w:rFonts w:ascii="Arial" w:hAnsi="Arial" w:cs="Arial"/>
          <w:sz w:val="20"/>
          <w:szCs w:val="20"/>
        </w:rPr>
        <w:t>Camara</w:t>
      </w:r>
      <w:proofErr w:type="spellEnd"/>
      <w:r w:rsidRPr="00D25C0D">
        <w:rPr>
          <w:rFonts w:ascii="Arial" w:hAnsi="Arial" w:cs="Arial"/>
          <w:sz w:val="20"/>
          <w:szCs w:val="20"/>
        </w:rPr>
        <w:t xml:space="preserve"> A, </w:t>
      </w:r>
      <w:proofErr w:type="spellStart"/>
      <w:r w:rsidRPr="00D25C0D">
        <w:rPr>
          <w:rFonts w:ascii="Arial" w:hAnsi="Arial" w:cs="Arial"/>
          <w:sz w:val="20"/>
          <w:szCs w:val="20"/>
        </w:rPr>
        <w:t>Hounmenou</w:t>
      </w:r>
      <w:proofErr w:type="spellEnd"/>
      <w:r w:rsidRPr="00D25C0D">
        <w:rPr>
          <w:rFonts w:ascii="Arial" w:hAnsi="Arial" w:cs="Arial"/>
          <w:sz w:val="20"/>
          <w:szCs w:val="20"/>
        </w:rPr>
        <w:t xml:space="preserve"> CG, </w:t>
      </w:r>
      <w:proofErr w:type="spellStart"/>
      <w:r w:rsidRPr="00D25C0D">
        <w:rPr>
          <w:rFonts w:ascii="Arial" w:hAnsi="Arial" w:cs="Arial"/>
          <w:sz w:val="20"/>
          <w:szCs w:val="20"/>
        </w:rPr>
        <w:t>Camara</w:t>
      </w:r>
      <w:proofErr w:type="spellEnd"/>
      <w:r w:rsidRPr="00D25C0D">
        <w:rPr>
          <w:rFonts w:ascii="Arial" w:hAnsi="Arial" w:cs="Arial"/>
          <w:sz w:val="20"/>
          <w:szCs w:val="20"/>
        </w:rPr>
        <w:t xml:space="preserve"> SC, Bangoura ST et al. Prevalence and patterns of antibiotic prescriptions in Conakry hospitals, Guinea: a </w:t>
      </w:r>
      <w:proofErr w:type="spellStart"/>
      <w:r w:rsidRPr="00D25C0D">
        <w:rPr>
          <w:rFonts w:ascii="Arial" w:hAnsi="Arial" w:cs="Arial"/>
          <w:sz w:val="20"/>
          <w:szCs w:val="20"/>
        </w:rPr>
        <w:t>multicentre</w:t>
      </w:r>
      <w:proofErr w:type="spellEnd"/>
      <w:r w:rsidRPr="00D25C0D">
        <w:rPr>
          <w:rFonts w:ascii="Arial" w:hAnsi="Arial" w:cs="Arial"/>
          <w:sz w:val="20"/>
          <w:szCs w:val="20"/>
        </w:rPr>
        <w:t xml:space="preserve"> cross-sectional survey. JAC-</w:t>
      </w:r>
      <w:proofErr w:type="spellStart"/>
      <w:r w:rsidRPr="00D25C0D">
        <w:rPr>
          <w:rFonts w:ascii="Arial" w:hAnsi="Arial" w:cs="Arial"/>
          <w:sz w:val="20"/>
          <w:szCs w:val="20"/>
        </w:rPr>
        <w:t>Antimicrob</w:t>
      </w:r>
      <w:proofErr w:type="spellEnd"/>
      <w:r w:rsidRPr="00D25C0D">
        <w:rPr>
          <w:rFonts w:ascii="Arial" w:hAnsi="Arial" w:cs="Arial"/>
          <w:sz w:val="20"/>
          <w:szCs w:val="20"/>
        </w:rPr>
        <w:t xml:space="preserve"> Resist. 2025</w:t>
      </w:r>
      <w:r>
        <w:rPr>
          <w:rFonts w:ascii="Arial" w:hAnsi="Arial" w:cs="Arial"/>
          <w:sz w:val="20"/>
          <w:szCs w:val="20"/>
        </w:rPr>
        <w:t>:</w:t>
      </w:r>
      <w:r w:rsidRPr="00D25C0D">
        <w:rPr>
          <w:rFonts w:ascii="Arial" w:hAnsi="Arial" w:cs="Arial"/>
          <w:sz w:val="20"/>
          <w:szCs w:val="20"/>
        </w:rPr>
        <w:t>20;7(6</w:t>
      </w:r>
      <w:proofErr w:type="gramStart"/>
      <w:r w:rsidRPr="00D25C0D">
        <w:rPr>
          <w:rFonts w:ascii="Arial" w:hAnsi="Arial" w:cs="Arial"/>
          <w:sz w:val="20"/>
          <w:szCs w:val="20"/>
        </w:rPr>
        <w:t>):dlaf</w:t>
      </w:r>
      <w:proofErr w:type="gramEnd"/>
      <w:r w:rsidRPr="00D25C0D">
        <w:rPr>
          <w:rFonts w:ascii="Arial" w:hAnsi="Arial" w:cs="Arial"/>
          <w:sz w:val="20"/>
          <w:szCs w:val="20"/>
        </w:rPr>
        <w:t>223. doi:10.1093/</w:t>
      </w:r>
      <w:proofErr w:type="spellStart"/>
      <w:r w:rsidRPr="00D25C0D">
        <w:rPr>
          <w:rFonts w:ascii="Arial" w:hAnsi="Arial" w:cs="Arial"/>
          <w:sz w:val="20"/>
          <w:szCs w:val="20"/>
        </w:rPr>
        <w:t>jacamr</w:t>
      </w:r>
      <w:proofErr w:type="spellEnd"/>
      <w:r w:rsidRPr="00D25C0D">
        <w:rPr>
          <w:rFonts w:ascii="Arial" w:hAnsi="Arial" w:cs="Arial"/>
          <w:sz w:val="20"/>
          <w:szCs w:val="20"/>
        </w:rPr>
        <w:t>/dlaf223</w:t>
      </w:r>
    </w:p>
    <w:p w14:paraId="411056EB" w14:textId="77777777" w:rsidR="00D25C0D" w:rsidRPr="00D25C0D" w:rsidRDefault="00D25C0D" w:rsidP="00D25C0D">
      <w:pPr>
        <w:jc w:val="both"/>
        <w:rPr>
          <w:rFonts w:ascii="Arial" w:hAnsi="Arial" w:cs="Arial"/>
          <w:sz w:val="20"/>
          <w:szCs w:val="20"/>
        </w:rPr>
      </w:pPr>
      <w:r w:rsidRPr="00D25C0D">
        <w:rPr>
          <w:rFonts w:ascii="Arial" w:hAnsi="Arial" w:cs="Arial"/>
          <w:sz w:val="20"/>
          <w:szCs w:val="20"/>
        </w:rPr>
        <w:t xml:space="preserve">22- World Health Organization (WHO). Global Antimicrobial Resistance and Use Surveillance System (GLASS) Report: Early Implementation 2017–2018. Geneva: World Health Organization; 2018. Available from: </w:t>
      </w:r>
      <w:hyperlink r:id="rId7" w:tgtFrame="_new" w:history="1">
        <w:r w:rsidRPr="00D25C0D">
          <w:rPr>
            <w:rStyle w:val="Hyperlink"/>
            <w:rFonts w:ascii="Arial" w:hAnsi="Arial" w:cs="Arial"/>
            <w:color w:val="auto"/>
            <w:sz w:val="20"/>
            <w:szCs w:val="20"/>
            <w:u w:val="none"/>
          </w:rPr>
          <w:t>https://www.nih.org.pk/wp-content/uploads/2019/10/GLASS-2017-2018-report.pdf</w:t>
        </w:r>
      </w:hyperlink>
      <w:r w:rsidRPr="00D25C0D">
        <w:rPr>
          <w:rFonts w:ascii="Arial" w:hAnsi="Arial" w:cs="Arial"/>
          <w:sz w:val="20"/>
          <w:szCs w:val="20"/>
        </w:rPr>
        <w:t xml:space="preserve">. </w:t>
      </w:r>
      <w:proofErr w:type="spellStart"/>
      <w:r w:rsidRPr="00D25C0D">
        <w:rPr>
          <w:rFonts w:ascii="Arial" w:hAnsi="Arial" w:cs="Arial"/>
          <w:sz w:val="20"/>
          <w:szCs w:val="20"/>
        </w:rPr>
        <w:t>Consulté</w:t>
      </w:r>
      <w:proofErr w:type="spellEnd"/>
      <w:r w:rsidRPr="00D25C0D">
        <w:rPr>
          <w:rFonts w:ascii="Arial" w:hAnsi="Arial" w:cs="Arial"/>
          <w:sz w:val="20"/>
          <w:szCs w:val="20"/>
        </w:rPr>
        <w:t xml:space="preserve"> le 15 </w:t>
      </w:r>
      <w:proofErr w:type="spellStart"/>
      <w:r w:rsidRPr="00D25C0D">
        <w:rPr>
          <w:rFonts w:ascii="Arial" w:hAnsi="Arial" w:cs="Arial"/>
          <w:sz w:val="20"/>
          <w:szCs w:val="20"/>
        </w:rPr>
        <w:t>Juin</w:t>
      </w:r>
      <w:proofErr w:type="spellEnd"/>
      <w:r w:rsidRPr="00D25C0D">
        <w:rPr>
          <w:rFonts w:ascii="Arial" w:hAnsi="Arial" w:cs="Arial"/>
          <w:sz w:val="20"/>
          <w:szCs w:val="20"/>
        </w:rPr>
        <w:t xml:space="preserve"> 2025</w:t>
      </w:r>
    </w:p>
    <w:p w14:paraId="22114CCF" w14:textId="5BFC9368" w:rsidR="00D9471B" w:rsidRPr="007E6EC9" w:rsidRDefault="00D9471B" w:rsidP="00D25C0D">
      <w:pPr>
        <w:jc w:val="both"/>
        <w:rPr>
          <w:rFonts w:ascii="Arial" w:hAnsi="Arial" w:cs="Arial"/>
          <w:sz w:val="20"/>
          <w:szCs w:val="20"/>
        </w:rPr>
      </w:pPr>
    </w:p>
    <w:sectPr w:rsidR="00D9471B" w:rsidRPr="007E6E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A1FA8" w14:textId="77777777" w:rsidR="001C2341" w:rsidRDefault="001C2341" w:rsidP="00D3220A">
      <w:pPr>
        <w:spacing w:after="0" w:line="240" w:lineRule="auto"/>
      </w:pPr>
      <w:r>
        <w:separator/>
      </w:r>
    </w:p>
  </w:endnote>
  <w:endnote w:type="continuationSeparator" w:id="0">
    <w:p w14:paraId="370517BA" w14:textId="77777777" w:rsidR="001C2341" w:rsidRDefault="001C2341" w:rsidP="00D3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8A8C" w14:textId="77777777" w:rsidR="00D3220A" w:rsidRDefault="00D32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574BB" w14:textId="77777777" w:rsidR="00D3220A" w:rsidRDefault="00D32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7C02" w14:textId="77777777" w:rsidR="00D3220A" w:rsidRDefault="00D32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0158F" w14:textId="77777777" w:rsidR="001C2341" w:rsidRDefault="001C2341" w:rsidP="00D3220A">
      <w:pPr>
        <w:spacing w:after="0" w:line="240" w:lineRule="auto"/>
      </w:pPr>
      <w:r>
        <w:separator/>
      </w:r>
    </w:p>
  </w:footnote>
  <w:footnote w:type="continuationSeparator" w:id="0">
    <w:p w14:paraId="7A7102BF" w14:textId="77777777" w:rsidR="001C2341" w:rsidRDefault="001C2341" w:rsidP="00D32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8C012" w14:textId="68FC56D4" w:rsidR="00D3220A" w:rsidRDefault="001C2341">
    <w:pPr>
      <w:pStyle w:val="Header"/>
    </w:pPr>
    <w:r>
      <w:rPr>
        <w:noProof/>
      </w:rPr>
      <w:pict w14:anchorId="092B9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10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35B6F" w14:textId="0E6D6C8B" w:rsidR="00D3220A" w:rsidRDefault="001C2341">
    <w:pPr>
      <w:pStyle w:val="Header"/>
    </w:pPr>
    <w:r>
      <w:rPr>
        <w:noProof/>
      </w:rPr>
      <w:pict w14:anchorId="5A587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10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2BB13" w14:textId="2E5C0F39" w:rsidR="00D3220A" w:rsidRDefault="001C2341">
    <w:pPr>
      <w:pStyle w:val="Header"/>
    </w:pPr>
    <w:r>
      <w:rPr>
        <w:noProof/>
      </w:rPr>
      <w:pict w14:anchorId="5BD8F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10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119B"/>
    <w:multiLevelType w:val="multilevel"/>
    <w:tmpl w:val="3A28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A536D"/>
    <w:multiLevelType w:val="multilevel"/>
    <w:tmpl w:val="6744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23E2F"/>
    <w:multiLevelType w:val="hybridMultilevel"/>
    <w:tmpl w:val="3C2A91E4"/>
    <w:lvl w:ilvl="0" w:tplc="9EC44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EA3932"/>
    <w:multiLevelType w:val="hybridMultilevel"/>
    <w:tmpl w:val="13E6D034"/>
    <w:lvl w:ilvl="0" w:tplc="E438B48C">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B202BC"/>
    <w:multiLevelType w:val="multilevel"/>
    <w:tmpl w:val="0B4E2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857"/>
    <w:rsid w:val="00066BCD"/>
    <w:rsid w:val="000C53C7"/>
    <w:rsid w:val="000D04DA"/>
    <w:rsid w:val="001446AD"/>
    <w:rsid w:val="00176D61"/>
    <w:rsid w:val="001A64A9"/>
    <w:rsid w:val="001B5EA0"/>
    <w:rsid w:val="001C2341"/>
    <w:rsid w:val="00227457"/>
    <w:rsid w:val="00262F37"/>
    <w:rsid w:val="002D57F5"/>
    <w:rsid w:val="00384340"/>
    <w:rsid w:val="00386D72"/>
    <w:rsid w:val="00387A45"/>
    <w:rsid w:val="003A2BD9"/>
    <w:rsid w:val="003C4E3E"/>
    <w:rsid w:val="004F51A8"/>
    <w:rsid w:val="00512857"/>
    <w:rsid w:val="0055519E"/>
    <w:rsid w:val="00557820"/>
    <w:rsid w:val="005A1891"/>
    <w:rsid w:val="006B0080"/>
    <w:rsid w:val="006B69D7"/>
    <w:rsid w:val="006D3864"/>
    <w:rsid w:val="006F28CA"/>
    <w:rsid w:val="007449B9"/>
    <w:rsid w:val="00791478"/>
    <w:rsid w:val="00796924"/>
    <w:rsid w:val="007E0B6C"/>
    <w:rsid w:val="007E6EC9"/>
    <w:rsid w:val="00835377"/>
    <w:rsid w:val="008364CD"/>
    <w:rsid w:val="00874C05"/>
    <w:rsid w:val="00877F01"/>
    <w:rsid w:val="008A0039"/>
    <w:rsid w:val="008A44C1"/>
    <w:rsid w:val="008C434D"/>
    <w:rsid w:val="008F3BCE"/>
    <w:rsid w:val="00960355"/>
    <w:rsid w:val="00966963"/>
    <w:rsid w:val="00975AC6"/>
    <w:rsid w:val="00980C37"/>
    <w:rsid w:val="00993808"/>
    <w:rsid w:val="00A010BD"/>
    <w:rsid w:val="00A619E4"/>
    <w:rsid w:val="00A86A1A"/>
    <w:rsid w:val="00B442E8"/>
    <w:rsid w:val="00B6563C"/>
    <w:rsid w:val="00C2146C"/>
    <w:rsid w:val="00C3026D"/>
    <w:rsid w:val="00CA044A"/>
    <w:rsid w:val="00CA4ECA"/>
    <w:rsid w:val="00D14A95"/>
    <w:rsid w:val="00D25C0D"/>
    <w:rsid w:val="00D3220A"/>
    <w:rsid w:val="00D4057B"/>
    <w:rsid w:val="00D840E7"/>
    <w:rsid w:val="00D9471B"/>
    <w:rsid w:val="00DF141D"/>
    <w:rsid w:val="00DF3BC1"/>
    <w:rsid w:val="00E30A7B"/>
    <w:rsid w:val="00E602EE"/>
    <w:rsid w:val="00E8675D"/>
    <w:rsid w:val="00EA1B89"/>
    <w:rsid w:val="00FF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8EC566"/>
  <w15:chartTrackingRefBased/>
  <w15:docId w15:val="{9D2C69DF-3D87-4EC5-AD15-F4C92490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8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28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28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28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28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2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8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28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28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28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28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2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857"/>
    <w:rPr>
      <w:rFonts w:eastAsiaTheme="majorEastAsia" w:cstheme="majorBidi"/>
      <w:color w:val="272727" w:themeColor="text1" w:themeTint="D8"/>
    </w:rPr>
  </w:style>
  <w:style w:type="paragraph" w:styleId="Title">
    <w:name w:val="Title"/>
    <w:basedOn w:val="Normal"/>
    <w:next w:val="Normal"/>
    <w:link w:val="TitleChar"/>
    <w:uiPriority w:val="10"/>
    <w:qFormat/>
    <w:rsid w:val="00512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857"/>
    <w:pPr>
      <w:spacing w:before="160"/>
      <w:jc w:val="center"/>
    </w:pPr>
    <w:rPr>
      <w:i/>
      <w:iCs/>
      <w:color w:val="404040" w:themeColor="text1" w:themeTint="BF"/>
    </w:rPr>
  </w:style>
  <w:style w:type="character" w:customStyle="1" w:styleId="QuoteChar">
    <w:name w:val="Quote Char"/>
    <w:basedOn w:val="DefaultParagraphFont"/>
    <w:link w:val="Quote"/>
    <w:uiPriority w:val="29"/>
    <w:rsid w:val="00512857"/>
    <w:rPr>
      <w:i/>
      <w:iCs/>
      <w:color w:val="404040" w:themeColor="text1" w:themeTint="BF"/>
    </w:rPr>
  </w:style>
  <w:style w:type="paragraph" w:styleId="ListParagraph">
    <w:name w:val="List Paragraph"/>
    <w:basedOn w:val="Normal"/>
    <w:uiPriority w:val="34"/>
    <w:qFormat/>
    <w:rsid w:val="00512857"/>
    <w:pPr>
      <w:ind w:left="720"/>
      <w:contextualSpacing/>
    </w:pPr>
  </w:style>
  <w:style w:type="character" w:styleId="IntenseEmphasis">
    <w:name w:val="Intense Emphasis"/>
    <w:basedOn w:val="DefaultParagraphFont"/>
    <w:uiPriority w:val="21"/>
    <w:qFormat/>
    <w:rsid w:val="00512857"/>
    <w:rPr>
      <w:i/>
      <w:iCs/>
      <w:color w:val="2F5496" w:themeColor="accent1" w:themeShade="BF"/>
    </w:rPr>
  </w:style>
  <w:style w:type="paragraph" w:styleId="IntenseQuote">
    <w:name w:val="Intense Quote"/>
    <w:basedOn w:val="Normal"/>
    <w:next w:val="Normal"/>
    <w:link w:val="IntenseQuoteChar"/>
    <w:uiPriority w:val="30"/>
    <w:qFormat/>
    <w:rsid w:val="005128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2857"/>
    <w:rPr>
      <w:i/>
      <w:iCs/>
      <w:color w:val="2F5496" w:themeColor="accent1" w:themeShade="BF"/>
    </w:rPr>
  </w:style>
  <w:style w:type="character" w:styleId="IntenseReference">
    <w:name w:val="Intense Reference"/>
    <w:basedOn w:val="DefaultParagraphFont"/>
    <w:uiPriority w:val="32"/>
    <w:qFormat/>
    <w:rsid w:val="00512857"/>
    <w:rPr>
      <w:b/>
      <w:bCs/>
      <w:smallCaps/>
      <w:color w:val="2F5496" w:themeColor="accent1" w:themeShade="BF"/>
      <w:spacing w:val="5"/>
    </w:rPr>
  </w:style>
  <w:style w:type="table" w:styleId="TableGrid">
    <w:name w:val="Table Grid"/>
    <w:basedOn w:val="TableNormal"/>
    <w:uiPriority w:val="39"/>
    <w:rsid w:val="00384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471B"/>
    <w:rPr>
      <w:color w:val="0563C1" w:themeColor="hyperlink"/>
      <w:u w:val="single"/>
    </w:rPr>
  </w:style>
  <w:style w:type="character" w:customStyle="1" w:styleId="Mentionnonrsolue1">
    <w:name w:val="Mention non résolue1"/>
    <w:basedOn w:val="DefaultParagraphFont"/>
    <w:uiPriority w:val="99"/>
    <w:semiHidden/>
    <w:unhideWhenUsed/>
    <w:rsid w:val="00D9471B"/>
    <w:rPr>
      <w:color w:val="605E5C"/>
      <w:shd w:val="clear" w:color="auto" w:fill="E1DFDD"/>
    </w:rPr>
  </w:style>
  <w:style w:type="paragraph" w:styleId="Header">
    <w:name w:val="header"/>
    <w:basedOn w:val="Normal"/>
    <w:link w:val="HeaderChar"/>
    <w:uiPriority w:val="99"/>
    <w:unhideWhenUsed/>
    <w:rsid w:val="00D32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20A"/>
  </w:style>
  <w:style w:type="paragraph" w:styleId="Footer">
    <w:name w:val="footer"/>
    <w:basedOn w:val="Normal"/>
    <w:link w:val="FooterChar"/>
    <w:uiPriority w:val="99"/>
    <w:unhideWhenUsed/>
    <w:rsid w:val="00D32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20A"/>
  </w:style>
  <w:style w:type="character" w:styleId="UnresolvedMention">
    <w:name w:val="Unresolved Mention"/>
    <w:basedOn w:val="DefaultParagraphFont"/>
    <w:uiPriority w:val="99"/>
    <w:semiHidden/>
    <w:unhideWhenUsed/>
    <w:rsid w:val="00D25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ih.org.pk/wp-content/uploads/2019/10/GLASS-2017-2018-report.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9</Pages>
  <Words>3767</Words>
  <Characters>21477</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Fodé Amara TRAORE</dc:creator>
  <cp:keywords/>
  <dc:description/>
  <cp:lastModifiedBy>Editor-11</cp:lastModifiedBy>
  <cp:revision>21</cp:revision>
  <dcterms:created xsi:type="dcterms:W3CDTF">2025-12-26T14:20:00Z</dcterms:created>
  <dcterms:modified xsi:type="dcterms:W3CDTF">2025-12-29T07:40:00Z</dcterms:modified>
</cp:coreProperties>
</file>