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D0D7D" w14:textId="77777777" w:rsidR="00656586" w:rsidRDefault="00000000">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Conversational AI-Powered Fraud Prevention in Augmented Reality E-Commerce: A Natural Language Processing Framework for Real-Time Transaction Security</w:t>
      </w:r>
    </w:p>
    <w:p w14:paraId="346B2E41" w14:textId="77777777" w:rsidR="00656586" w:rsidRDefault="00656586">
      <w:pPr>
        <w:spacing w:line="360" w:lineRule="auto"/>
        <w:jc w:val="both"/>
        <w:rPr>
          <w:rFonts w:ascii="Times New Roman" w:eastAsia="Times New Roman" w:hAnsi="Times New Roman" w:cs="Times New Roman"/>
          <w:b/>
          <w:bCs/>
        </w:rPr>
      </w:pPr>
    </w:p>
    <w:p w14:paraId="0EDA5626"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69279DCF"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This study develops and validates a conversational AI–powered fraud prevention framework for real-time transaction security in augmented reality (AR) e-commerce environments. Adopting an explanatory sequential mixed-methods methodology, the research integrates architectural framework design, quantitative machine learning evaluation, and qualitative trust analysis to address limitations of transaction-only fraud systems in immersive commerce. Publicly available credit card transaction datasets were augmented with synthetically generated AR conversational logs, enabling the modeling of sentiment, behavioral, and temporal context during checkout interactions. A stacking ensemble architecture combining fine-tuned BERT, </w:t>
      </w:r>
      <w:proofErr w:type="spellStart"/>
      <w:r>
        <w:rPr>
          <w:rFonts w:ascii="Times New Roman" w:eastAsia="Times New Roman" w:hAnsi="Times New Roman" w:cs="Times New Roman"/>
          <w:i/>
          <w:iCs/>
        </w:rPr>
        <w:t>XGBoost</w:t>
      </w:r>
      <w:proofErr w:type="spellEnd"/>
      <w:r>
        <w:rPr>
          <w:rFonts w:ascii="Times New Roman" w:eastAsia="Times New Roman" w:hAnsi="Times New Roman" w:cs="Times New Roman"/>
          <w:i/>
          <w:iCs/>
        </w:rPr>
        <w:t xml:space="preserve">, and Random Forest classifiers was implemented and evaluated under strict real-time constraints. The proposed framework achieved 98.94% accuracy, a 0.935 F1-score, 0.968 ROC-AUC, and a mean inference latency of 44.8 </w:t>
      </w:r>
      <w:proofErr w:type="spellStart"/>
      <w:r>
        <w:rPr>
          <w:rFonts w:ascii="Times New Roman" w:eastAsia="Times New Roman" w:hAnsi="Times New Roman" w:cs="Times New Roman"/>
          <w:i/>
          <w:iCs/>
        </w:rPr>
        <w:t>ms</w:t>
      </w:r>
      <w:proofErr w:type="spellEnd"/>
      <w:r>
        <w:rPr>
          <w:rFonts w:ascii="Times New Roman" w:eastAsia="Times New Roman" w:hAnsi="Times New Roman" w:cs="Times New Roman"/>
          <w:i/>
          <w:iCs/>
        </w:rPr>
        <w:t xml:space="preserve">, while correctly approving 99.85% of legitimate transactions. Conversational sentiment features proved highly discriminative, contributing 19.5% of total predictive importance and significantly enhancing contextual risk assessment and user trust. The results demonstrate that conversational AI can simultaneously deliver robust fraud detection, sub-100 </w:t>
      </w:r>
      <w:proofErr w:type="spellStart"/>
      <w:r>
        <w:rPr>
          <w:rFonts w:ascii="Times New Roman" w:eastAsia="Times New Roman" w:hAnsi="Times New Roman" w:cs="Times New Roman"/>
          <w:i/>
          <w:iCs/>
        </w:rPr>
        <w:t>ms</w:t>
      </w:r>
      <w:proofErr w:type="spellEnd"/>
      <w:r>
        <w:rPr>
          <w:rFonts w:ascii="Times New Roman" w:eastAsia="Times New Roman" w:hAnsi="Times New Roman" w:cs="Times New Roman"/>
          <w:i/>
          <w:iCs/>
        </w:rPr>
        <w:t xml:space="preserve"> responsiveness, and frictionless user experience. The framework is immediately deployable in regulated domains such as finance and healthcare, where explainable, low-latency security decisions are critical for compliance and user confidence.</w:t>
      </w:r>
    </w:p>
    <w:p w14:paraId="2FDDFC4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Augmented reality e-commerce, Conversational AI, Real-time fraud detection, Natural Language Processing, Ensemble Stacking</w:t>
      </w:r>
    </w:p>
    <w:p w14:paraId="7223B662" w14:textId="77777777" w:rsidR="00656586" w:rsidRDefault="00656586">
      <w:pPr>
        <w:spacing w:line="360" w:lineRule="auto"/>
        <w:jc w:val="both"/>
        <w:rPr>
          <w:rFonts w:ascii="Times New Roman" w:eastAsia="Times New Roman" w:hAnsi="Times New Roman" w:cs="Times New Roman"/>
        </w:rPr>
      </w:pPr>
    </w:p>
    <w:p w14:paraId="5F18CD34"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b/>
          <w:bCs/>
        </w:rPr>
        <w:tab/>
        <w:t>Introduction</w:t>
      </w:r>
    </w:p>
    <w:p w14:paraId="55852A9E"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rapid digitalization of commerce has significantly changed how consumers interact with retail environments. One major outcome of this shift is the rise of augmented reality (AR) e-commerce, which delivers immersive and personalized shopping experiences. AR applications allow users to try products virtually, explore items interactively, and visualize products in real-world spaces. These features help bridge the gap between online shopping and physical store experiences. Studies show that AR can increase purchase intent by up to 94% through realistic product simulations and reduce return rates by as much as 40% by improving fit accuracy (Hilken et al., 2017).</w:t>
      </w:r>
    </w:p>
    <w:p w14:paraId="70C0CA5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However, the growth of AR e-commerce has also increased cybersecurity risks. Fraud losses in e-commerce are rising, driven by advanced attacks that exploit the interactive nature of AR platforms (Statista, 2025). Over 30% of cyber incidents now target retail systems, including AR interfaces that expose sensitive data such as camera feeds and location metadata. Fraudsters use this data for phishing attacks and deepfake manipulation. Traditional security approaches rely on static rules and fixed authentication methods, which struggle in AR environments where transactions occur through voice commands, gestures, and conversational interactions.</w:t>
      </w:r>
    </w:p>
    <w:p w14:paraId="2F2018E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Conversational artificial intelligence (AI), supported by advances in natural language processing (NLP), offers a promising solution to these challenges (</w:t>
      </w:r>
      <w:proofErr w:type="spellStart"/>
      <w:r>
        <w:rPr>
          <w:rFonts w:ascii="Times New Roman" w:eastAsia="Times New Roman" w:hAnsi="Times New Roman" w:cs="Times New Roman"/>
        </w:rPr>
        <w:t>Olutimehin</w:t>
      </w:r>
      <w:proofErr w:type="spellEnd"/>
      <w:r>
        <w:rPr>
          <w:rFonts w:ascii="Times New Roman" w:eastAsia="Times New Roman" w:hAnsi="Times New Roman" w:cs="Times New Roman"/>
        </w:rPr>
        <w:t xml:space="preserve"> et al., 2025). Transformer-based models such as BERT and GPT can analyze language patterns, sentiment changes, and contextual intent in real time (Devlin et al., 2019; Su, 2024). In e-commerce, conversational AI not only reduces customer service response times by up to 91% but also detects fraud indicators, such as unnatural phrasing linked to scripted or automated attacks (Aggarwal &amp; </w:t>
      </w:r>
      <w:proofErr w:type="spellStart"/>
      <w:r>
        <w:rPr>
          <w:rFonts w:ascii="Times New Roman" w:eastAsia="Times New Roman" w:hAnsi="Times New Roman" w:cs="Times New Roman"/>
        </w:rPr>
        <w:t>Subhashis</w:t>
      </w:r>
      <w:proofErr w:type="spellEnd"/>
      <w:r>
        <w:rPr>
          <w:rFonts w:ascii="Times New Roman" w:eastAsia="Times New Roman" w:hAnsi="Times New Roman" w:cs="Times New Roman"/>
        </w:rPr>
        <w:t>, 2024). Previous studies show that NLP-based deep learning models achieve fraud detection accuracy above 90%, outperforming traditional systems by identifying subtle behavioral inconsistencies in transaction narratives (Fu et al., 2016).</w:t>
      </w:r>
    </w:p>
    <w:p w14:paraId="7D67CB33"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these advances, there is no unified framework that integrates conversational AI with AR-specific security mechanisms. Existing approaches rarely combine NLP with biometric cues from AR device sensors or apply zero-trust principles to immersive transactions. This limitation is more severe in distributed commerce environments, where consumers shop remotely and organizations rely on cloud–edge systems without physical oversight. Such conditions increase exposure to bot-driven fraud and social engineering attacks (Sahoo, 2025).</w:t>
      </w:r>
    </w:p>
    <w:p w14:paraId="11EB64B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core problem lies in the inability of legacy fraud detection systems to manage the complexity of AR-based interactions. Rule-based models depend on historical patterns and cannot keep pace with evolving threats such as AI-generated deepfakes that mimic user voices or AR overlays that hide malicious links. As a result, attacks like credential stuffing and account takeover often go undetected. These systems also fail to capture the rich context of AR sessions, where verbal descriptions, spatial data, and biometric signals interact. Consequently, they struggle to distinguish genuine user enthusiasm from deceptive behavior.</w:t>
      </w:r>
    </w:p>
    <w:p w14:paraId="0E832CED"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User trust further complicates this challenge. Research shows that 75% of consumers hesitate to use AR features due to privacy concerns, while data breaches reduce customer loyalty and increase cart abandonment by 22% (Keenan, 2024; Gu et al., 2024). In conversational settings, opaque AI decisions during verification processes increase skepticism and reduce adoption. Remote operational models worsen the problem, as organizations lack continuous monitoring infrastructure. This often leads to high false-positive rates, which frustrate legitimate users and raise operational costs.</w:t>
      </w:r>
    </w:p>
    <w:p w14:paraId="595F4A47"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is significant across academic, practical, and societal dimensions. Academically, it advances the application of transformer-based NLP models to multi-modal fraud detection by extending language analysis into AR sensor-rich environments. It also validates zero-trust security principles for conversational interfaces and contributes to human–computer interaction research on AI trust and transparency (Al-</w:t>
      </w:r>
      <w:proofErr w:type="spellStart"/>
      <w:r>
        <w:rPr>
          <w:rFonts w:ascii="Times New Roman" w:eastAsia="Times New Roman" w:hAnsi="Times New Roman" w:cs="Times New Roman"/>
        </w:rPr>
        <w:t>Oraini</w:t>
      </w:r>
      <w:proofErr w:type="spellEnd"/>
      <w:r>
        <w:rPr>
          <w:rFonts w:ascii="Times New Roman" w:eastAsia="Times New Roman" w:hAnsi="Times New Roman" w:cs="Times New Roman"/>
        </w:rPr>
        <w:t>, 2025; Shad et al., 2024). By benchmarking contextual embeddings, the study provides replicable methods for future immersive technology research.</w:t>
      </w:r>
    </w:p>
    <w:p w14:paraId="37B158E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Practically, the proposed framework offers retailers deployable tools that can reduce fraud losses by up to 35% through real-time NLP-driven alerts, while improving user experience through transparent and empathetic conversational agents (</w:t>
      </w:r>
      <w:proofErr w:type="spellStart"/>
      <w:r>
        <w:rPr>
          <w:rFonts w:ascii="Times New Roman" w:eastAsia="Times New Roman" w:hAnsi="Times New Roman" w:cs="Times New Roman"/>
        </w:rPr>
        <w:t>Yoti</w:t>
      </w:r>
      <w:proofErr w:type="spellEnd"/>
      <w:r>
        <w:rPr>
          <w:rFonts w:ascii="Times New Roman" w:eastAsia="Times New Roman" w:hAnsi="Times New Roman" w:cs="Times New Roman"/>
        </w:rPr>
        <w:t>, 2024). From a cybersecurity perspective, the framework strengthens defenses against AR-specific threats, such as spatial data exploitation, and supports privacy-preserving biometric authentication aligned with GDPR requirements (Rahman et al., 2025; Kumar &amp; Sinha, 2022). Societally, secure AR commerce promotes inclusive digital economies by enabling safe remote participation and reducing the large annual economic losses caused by fraud.</w:t>
      </w:r>
    </w:p>
    <w:p w14:paraId="29ABE72A"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scope of the study is carefully defined to maintain focus. It develops NLP-optimized conversational architectures for AR fraud prevention by adapting BERT and GPT variants for anomaly detection, biometric integration, and trust evaluation. The framework is tested using simulated datasets and cloud-based environments to ensure remote feasibility (Sahoo et al., 2023). The study prioritizes deployment on consumer devices and excludes the development of new AR hardware or blockchain systems. It focuses on English-language transactions while noting scalability to multilingual contexts. The research does not attempt to cover all fraud types or perform live platform deployment. Instead, it relies on established datasets, such as Kaggle fraud benchmarks, enhanced with synthetic AR scenarios. This bounded approach enables the development of a robust and adaptable prototype within realistic research constraints.</w:t>
      </w:r>
    </w:p>
    <w:p w14:paraId="42D002E9"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overarching aim of this research is to develop and validate a conversational AI-powered framework utilizing advanced NLP for real-time fraud prevention in AR e-commerce, emphasizing user trust enhancement, security responsiveness, and contextual optimization in immersive transactions. Specific research objectives include to;</w:t>
      </w:r>
    </w:p>
    <w:p w14:paraId="410C7784" w14:textId="77777777" w:rsidR="00656586"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design conversational AI mechanisms to build user trust in AR e-commerce by transparently communicating security and verifying authenticity via multi-factor biometrics.</w:t>
      </w:r>
    </w:p>
    <w:p w14:paraId="1651D8C0" w14:textId="77777777" w:rsidR="00656586"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develop NLP techniques, including transformer models, to detect fraudulent patterns in real-time conversational AR interactions, integrating sentiment and anomaly analysis.</w:t>
      </w:r>
    </w:p>
    <w:p w14:paraId="5CF4F066" w14:textId="77777777" w:rsidR="00656586"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Optimize multi-dimensional contextual understanding; conversational, biometric, environmental, and temporal for accurate fraud identification in complex AR transactions.</w:t>
      </w:r>
    </w:p>
    <w:p w14:paraId="3BB7712A" w14:textId="77777777" w:rsidR="00656586" w:rsidRDefault="00656586">
      <w:pPr>
        <w:spacing w:line="360" w:lineRule="auto"/>
        <w:jc w:val="both"/>
        <w:rPr>
          <w:rFonts w:ascii="Times New Roman" w:eastAsia="Times New Roman" w:hAnsi="Times New Roman" w:cs="Times New Roman"/>
        </w:rPr>
      </w:pPr>
    </w:p>
    <w:p w14:paraId="077D389F"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69F1CF80"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Building upon the foundational challenges outlined in the introduction particularly the integration of conversational AI with augmented reality (AR) e-commerce for real-time fraud prevention. This literature review synthesizes theoretical, conceptual, and empirical advancements in natural language processing (NLP) frameworks tailored to transaction security. By examining the evolution of these domains, the review identifies persistent gaps in contextual, multi-modal security models, underscoring the need for the proposed framework that fuses transformer-based NLP with biometric and zero-trust principles to enhance user trust and detection efficacy in immersive environments.</w:t>
      </w:r>
    </w:p>
    <w:p w14:paraId="7CB253FD"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Theoretical Foundations of Conversational AI and Fraud Detection</w:t>
      </w:r>
    </w:p>
    <w:p w14:paraId="604CFFBA" w14:textId="77777777" w:rsidR="00656586"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Theoretical underpinnings of conversational AI in fraud prevention draw from information systems theory and behavioral economics, emphasizing how language encodes intent and deception. At its core, conversational AI leverages large language models (LLMs) like BERT, which utilize bidirectional transformer architectures to capture contextual embeddings, enabling nuanced sentiment analysis during transaction dialogues (Devlin et al., 2019). This aligns with the theory of planned behavior, where perceived ease of use and trust in AI interfaces influence user adoption in e-commerce (Ajzen, 1991; Soleimani, 2021</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Kolo, 2025). Fraud detection theories, such as the fraud triangle; motivation, opportunity, and rationalization extend to digital realms, where NLP dissects rationalization through linguistic anomalies, like inconsistent phrasing in phishing attempts (Cressey, 1953; Bello &amp; Olufemi, 2024).</w:t>
      </w:r>
    </w:p>
    <w:p w14:paraId="04FB754A"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Advancements in AI-driven fraud prevention have shifted from rule-based heuristics to probabilistic models grounded in Bayesian inference, allowing conversational agents to assess transaction legitimacy probabilistically. For instance, zero-trust architecture theories continuous verification, positing that no entity is inherently trustworthy, a principle amplified in AR settings where spatial data from device sensors must be fused with verbal cues (Rose et al., 2020;  Liu et al., 2022). Empirical foundations reveal that LLMs achieve up to 95% accuracy in detecting sentiment-based fraud signals, outperforming traditional machine learning by modeling evolving threat landscapes (Su, 2024). However, these theories often overlook AR-specific vulnerabilities, such as deepfake overlays disrupting biometric verification, highlighting a theoretical disconnect between static NLP models and dynamic immersive interactions.</w:t>
      </w:r>
    </w:p>
    <w:p w14:paraId="3DCF4EE1"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Conceptual Frameworks for NLP in E-Commerce Security</w:t>
      </w:r>
    </w:p>
    <w:p w14:paraId="5511F40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Conceptual models for NLP in e-commerce security integrate multi-layered architectures, combining semantic parsing with anomaly detection to operationalize real-time safeguards. A prominent framework is the hybrid NLP-ML pipeline, where transformer models preprocess conversational data before feeding into isolation forests for outlier identification, conceptualizing fraud as deviations in user intent graphs (Mah et al., 2025). This builds on the technology acceptance model (TAM), extending it to include perceived security as a determinant of behavioral intention, where transparent AI explanations mitigate mistrust in AR try-ons (Davis, 1989; Gu et al., 2024).</w:t>
      </w:r>
    </w:p>
    <w:p w14:paraId="2CCB14F9"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Recent conceptualizations emphasize modular designs powered e-commerce framework, which layers anomaly detection atop graph neural networks to map transaction networks, incorporating NLP for edge labeling via entity recognition (Farooq et al., 2024). Table 1 illustrates a comparative overview of key NLP frameworks, highlighting metrics like precision and latency.</w:t>
      </w:r>
    </w:p>
    <w:p w14:paraId="05F04DEE"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w:t>
      </w:r>
    </w:p>
    <w:p w14:paraId="6EEA6326"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Comparison of NLP Frameworks for E-Commerce Fraud Detection</w:t>
      </w:r>
    </w:p>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66"/>
        <w:gridCol w:w="2449"/>
        <w:gridCol w:w="1314"/>
        <w:gridCol w:w="1217"/>
        <w:gridCol w:w="1514"/>
      </w:tblGrid>
      <w:tr w:rsidR="00656586" w14:paraId="36DFB661" w14:textId="77777777">
        <w:tc>
          <w:tcPr>
            <w:tcW w:w="2866" w:type="dxa"/>
            <w:tcBorders>
              <w:top w:val="single" w:sz="4" w:space="0" w:color="000000"/>
              <w:bottom w:val="single" w:sz="4" w:space="0" w:color="000000"/>
            </w:tcBorders>
          </w:tcPr>
          <w:p w14:paraId="30EA91C8"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Framework</w:t>
            </w:r>
          </w:p>
        </w:tc>
        <w:tc>
          <w:tcPr>
            <w:tcW w:w="2449" w:type="dxa"/>
            <w:tcBorders>
              <w:top w:val="single" w:sz="4" w:space="0" w:color="000000"/>
              <w:bottom w:val="single" w:sz="4" w:space="0" w:color="000000"/>
            </w:tcBorders>
          </w:tcPr>
          <w:p w14:paraId="31E76B91"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Core Components</w:t>
            </w:r>
          </w:p>
        </w:tc>
        <w:tc>
          <w:tcPr>
            <w:tcW w:w="1314" w:type="dxa"/>
            <w:tcBorders>
              <w:top w:val="single" w:sz="4" w:space="0" w:color="000000"/>
              <w:bottom w:val="single" w:sz="4" w:space="0" w:color="000000"/>
            </w:tcBorders>
          </w:tcPr>
          <w:p w14:paraId="16165F36"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Precision (%)</w:t>
            </w:r>
          </w:p>
        </w:tc>
        <w:tc>
          <w:tcPr>
            <w:tcW w:w="1217" w:type="dxa"/>
            <w:tcBorders>
              <w:top w:val="single" w:sz="4" w:space="0" w:color="000000"/>
              <w:bottom w:val="single" w:sz="4" w:space="0" w:color="000000"/>
            </w:tcBorders>
          </w:tcPr>
          <w:p w14:paraId="734F63AB"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Latency (</w:t>
            </w:r>
            <w:proofErr w:type="spellStart"/>
            <w:r>
              <w:rPr>
                <w:rFonts w:ascii="Times New Roman" w:eastAsia="Times New Roman" w:hAnsi="Times New Roman" w:cs="Times New Roman"/>
                <w:b/>
                <w:bCs/>
              </w:rPr>
              <w:t>ms</w:t>
            </w:r>
            <w:proofErr w:type="spellEnd"/>
            <w:r>
              <w:rPr>
                <w:rFonts w:ascii="Times New Roman" w:eastAsia="Times New Roman" w:hAnsi="Times New Roman" w:cs="Times New Roman"/>
                <w:b/>
                <w:bCs/>
              </w:rPr>
              <w:t>)</w:t>
            </w:r>
          </w:p>
        </w:tc>
        <w:tc>
          <w:tcPr>
            <w:tcW w:w="1514" w:type="dxa"/>
            <w:tcBorders>
              <w:top w:val="single" w:sz="4" w:space="0" w:color="000000"/>
              <w:bottom w:val="single" w:sz="4" w:space="0" w:color="000000"/>
            </w:tcBorders>
          </w:tcPr>
          <w:p w14:paraId="47AF9B25"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AR Integration</w:t>
            </w:r>
          </w:p>
        </w:tc>
      </w:tr>
      <w:tr w:rsidR="00656586" w14:paraId="49D3331A" w14:textId="77777777">
        <w:tc>
          <w:tcPr>
            <w:tcW w:w="2866" w:type="dxa"/>
            <w:tcBorders>
              <w:top w:val="single" w:sz="4" w:space="0" w:color="000000"/>
            </w:tcBorders>
          </w:tcPr>
          <w:p w14:paraId="3F647C3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BERT-Based Sentiment (Su, 2024)</w:t>
            </w:r>
          </w:p>
        </w:tc>
        <w:tc>
          <w:tcPr>
            <w:tcW w:w="2449" w:type="dxa"/>
            <w:tcBorders>
              <w:top w:val="single" w:sz="4" w:space="0" w:color="000000"/>
            </w:tcBorders>
          </w:tcPr>
          <w:p w14:paraId="0CFDD659"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Transformer Embeddings, SVM Classifier</w:t>
            </w:r>
          </w:p>
        </w:tc>
        <w:tc>
          <w:tcPr>
            <w:tcW w:w="1314" w:type="dxa"/>
            <w:tcBorders>
              <w:top w:val="single" w:sz="4" w:space="0" w:color="000000"/>
            </w:tcBorders>
          </w:tcPr>
          <w:p w14:paraId="0114C6B0"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92</w:t>
            </w:r>
          </w:p>
        </w:tc>
        <w:tc>
          <w:tcPr>
            <w:tcW w:w="1217" w:type="dxa"/>
            <w:tcBorders>
              <w:top w:val="single" w:sz="4" w:space="0" w:color="000000"/>
            </w:tcBorders>
          </w:tcPr>
          <w:p w14:paraId="151703D0"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150</w:t>
            </w:r>
          </w:p>
        </w:tc>
        <w:tc>
          <w:tcPr>
            <w:tcW w:w="1514" w:type="dxa"/>
            <w:tcBorders>
              <w:top w:val="single" w:sz="4" w:space="0" w:color="000000"/>
            </w:tcBorders>
          </w:tcPr>
          <w:p w14:paraId="2EFA0D0B"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Partial</w:t>
            </w:r>
          </w:p>
        </w:tc>
      </w:tr>
      <w:tr w:rsidR="00656586" w14:paraId="43D15D63" w14:textId="77777777">
        <w:tc>
          <w:tcPr>
            <w:tcW w:w="2866" w:type="dxa"/>
          </w:tcPr>
          <w:p w14:paraId="465C554F"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Isolation Forest + NLP (Mah et al., 2025)</w:t>
            </w:r>
          </w:p>
        </w:tc>
        <w:tc>
          <w:tcPr>
            <w:tcW w:w="2449" w:type="dxa"/>
          </w:tcPr>
          <w:p w14:paraId="5F418639"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Deep Learning Trees, Semantic Parsing</w:t>
            </w:r>
          </w:p>
        </w:tc>
        <w:tc>
          <w:tcPr>
            <w:tcW w:w="1314" w:type="dxa"/>
          </w:tcPr>
          <w:p w14:paraId="6FC72055"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96</w:t>
            </w:r>
          </w:p>
        </w:tc>
        <w:tc>
          <w:tcPr>
            <w:tcW w:w="1217" w:type="dxa"/>
          </w:tcPr>
          <w:p w14:paraId="45303EBC"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14" w:type="dxa"/>
          </w:tcPr>
          <w:p w14:paraId="66E394D3"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None</w:t>
            </w:r>
          </w:p>
        </w:tc>
      </w:tr>
      <w:tr w:rsidR="00656586" w14:paraId="3273D45C" w14:textId="77777777">
        <w:tc>
          <w:tcPr>
            <w:tcW w:w="2866" w:type="dxa"/>
          </w:tcPr>
          <w:p w14:paraId="51F866A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Hybrid ML-NLP (Farooq et al., 2024)</w:t>
            </w:r>
          </w:p>
        </w:tc>
        <w:tc>
          <w:tcPr>
            <w:tcW w:w="2449" w:type="dxa"/>
          </w:tcPr>
          <w:p w14:paraId="4187A7CE"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Graph Networks, Intent Recognition</w:t>
            </w:r>
          </w:p>
        </w:tc>
        <w:tc>
          <w:tcPr>
            <w:tcW w:w="1314" w:type="dxa"/>
          </w:tcPr>
          <w:p w14:paraId="0C3D6314"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94</w:t>
            </w:r>
          </w:p>
        </w:tc>
        <w:tc>
          <w:tcPr>
            <w:tcW w:w="1217" w:type="dxa"/>
          </w:tcPr>
          <w:p w14:paraId="2A0EB68E"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120</w:t>
            </w:r>
          </w:p>
        </w:tc>
        <w:tc>
          <w:tcPr>
            <w:tcW w:w="1514" w:type="dxa"/>
          </w:tcPr>
          <w:p w14:paraId="117E3995"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Limited</w:t>
            </w:r>
          </w:p>
        </w:tc>
      </w:tr>
      <w:tr w:rsidR="00656586" w14:paraId="0B97546C" w14:textId="77777777">
        <w:tc>
          <w:tcPr>
            <w:tcW w:w="2866" w:type="dxa"/>
            <w:tcBorders>
              <w:bottom w:val="single" w:sz="4" w:space="0" w:color="000000"/>
            </w:tcBorders>
          </w:tcPr>
          <w:p w14:paraId="20A68EFD"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Zero-Trust Conversational (Bello &amp; Olufemi, 2024)</w:t>
            </w:r>
          </w:p>
        </w:tc>
        <w:tc>
          <w:tcPr>
            <w:tcW w:w="2449" w:type="dxa"/>
            <w:tcBorders>
              <w:bottom w:val="single" w:sz="4" w:space="0" w:color="000000"/>
            </w:tcBorders>
          </w:tcPr>
          <w:p w14:paraId="30C830EA"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Bayesian Verification, Dialogue Analysis</w:t>
            </w:r>
          </w:p>
        </w:tc>
        <w:tc>
          <w:tcPr>
            <w:tcW w:w="1314" w:type="dxa"/>
            <w:tcBorders>
              <w:bottom w:val="single" w:sz="4" w:space="0" w:color="000000"/>
            </w:tcBorders>
          </w:tcPr>
          <w:p w14:paraId="0B0952E8"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93</w:t>
            </w:r>
          </w:p>
        </w:tc>
        <w:tc>
          <w:tcPr>
            <w:tcW w:w="1217" w:type="dxa"/>
            <w:tcBorders>
              <w:bottom w:val="single" w:sz="4" w:space="0" w:color="000000"/>
            </w:tcBorders>
          </w:tcPr>
          <w:p w14:paraId="7FBE5635"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200</w:t>
            </w:r>
          </w:p>
        </w:tc>
        <w:tc>
          <w:tcPr>
            <w:tcW w:w="1514" w:type="dxa"/>
            <w:tcBorders>
              <w:bottom w:val="single" w:sz="4" w:space="0" w:color="000000"/>
            </w:tcBorders>
          </w:tcPr>
          <w:p w14:paraId="43FE3DD8"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Emerging</w:t>
            </w:r>
          </w:p>
        </w:tc>
      </w:tr>
    </w:tbl>
    <w:p w14:paraId="478E7B9D"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This table underscores how current models prioritize textual analysis but falter in multi-modal AR contexts, where environmental variables like gesture data require fused embeddings. Oghenekevwe et al. (2025) propose a real-time NLP decision framework, conceptualizing cybersecurity as a feedback loop with adaptive learning, yet it neglects conversational flow disruptions from false positives, a critical gap for user-centric AR designs.</w:t>
      </w:r>
    </w:p>
    <w:p w14:paraId="402921B5"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Empirical Studies on AR E-Commerce and Transaction Security</w:t>
      </w:r>
    </w:p>
    <w:p w14:paraId="04FEF74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Empirical investigations into AR e-commerce security reveal robust gains in engagement but expose vulnerabilities in fraud resilience. Studies demonstrate that AR virtual try-ons boost conversion rates by 40%, yet 28% of users report privacy concerns over camera access, empirically linked to heightened fraud exposure via spatial data exploits (Hilken et al., 2017; </w:t>
      </w:r>
      <w:proofErr w:type="spellStart"/>
      <w:r>
        <w:rPr>
          <w:rFonts w:ascii="Times New Roman" w:eastAsia="Times New Roman" w:hAnsi="Times New Roman" w:cs="Times New Roman"/>
        </w:rPr>
        <w:t>Rufsun</w:t>
      </w:r>
      <w:proofErr w:type="spellEnd"/>
      <w:r>
        <w:rPr>
          <w:rFonts w:ascii="Times New Roman" w:eastAsia="Times New Roman" w:hAnsi="Times New Roman" w:cs="Times New Roman"/>
        </w:rPr>
        <w:t xml:space="preserve"> et al., 2025). In transaction security, convolutional neural networks (CNNs) integrated with NLP have empirically detected credit card anomalies with 99% accuracy on benchmark datasets, validating deep learning's efficacy for pattern recognition in e-commerce streams (Fu et al., 2016).</w:t>
      </w:r>
    </w:p>
    <w:p w14:paraId="4460D5BA"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Field experiments further illuminate conversational AI's role; for example, a real-time fraud framework tested on simulated e-commerce platforms, reporting a reduction in false positives through ML-NLP hybrids, though AR simulations were absent, limiting generalizability (Elly et al., 2025). A systematic review of e-commerce threats, empirically identified phishing as 42% of incidents, with NLP-based classifiers reducing detection time by 60% in controlled trials (</w:t>
      </w:r>
      <w:proofErr w:type="spellStart"/>
      <w:r>
        <w:rPr>
          <w:rFonts w:ascii="Times New Roman" w:eastAsia="Times New Roman" w:hAnsi="Times New Roman" w:cs="Times New Roman"/>
        </w:rPr>
        <w:t>Kuruwitaarachchi</w:t>
      </w:r>
      <w:proofErr w:type="spellEnd"/>
      <w:r>
        <w:rPr>
          <w:rFonts w:ascii="Times New Roman" w:eastAsia="Times New Roman" w:hAnsi="Times New Roman" w:cs="Times New Roman"/>
        </w:rPr>
        <w:t xml:space="preserve"> et al., 2019). However, these studies predominantly focus on textual transactions, empirically underperforming in AR environments where biometric fusion facial recognition during voice queries yields only 85% reliability due to lighting variances (</w:t>
      </w:r>
      <w:proofErr w:type="spellStart"/>
      <w:r>
        <w:rPr>
          <w:rFonts w:ascii="Times New Roman" w:eastAsia="Times New Roman" w:hAnsi="Times New Roman" w:cs="Times New Roman"/>
        </w:rPr>
        <w:t>Leschanowsky</w:t>
      </w:r>
      <w:proofErr w:type="spellEnd"/>
      <w:r>
        <w:rPr>
          <w:rFonts w:ascii="Times New Roman" w:eastAsia="Times New Roman" w:hAnsi="Times New Roman" w:cs="Times New Roman"/>
        </w:rPr>
        <w:t xml:space="preserve"> et al., 2024).</w:t>
      </w:r>
    </w:p>
    <w:p w14:paraId="51F41B3C"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Identified Gaps and Research Opportunities</w:t>
      </w:r>
    </w:p>
    <w:p w14:paraId="1CC59E6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these advancements, literature exposes critical gaps that the current study addresses: the paucity of integrated NLP frameworks for AR-specific fraud, where empirical models ignore immersive dialogues' nuances, leading to 20-30% undetected deepfakes (Liu et al., 2022). Theoretically, zero-trust principles remain conceptually siloed from conversational flows, empirically resulting in trust erosion. 75% of AR users abandon sessions post-security prompts (Soleimani, 2021). Current approaches advance real-time detection via LLMs but gap in multi-dimensional context fusion, such as temporal-spatial anomalies in remote AR shopping, empirically untested beyond lab settings (Oghenekevwe et al., 2025).</w:t>
      </w:r>
    </w:p>
    <w:p w14:paraId="645A5B1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Opportunities lie in bridging these voids through a holistic NLP framework, empirically validating trust enhancements via transparent AI dialogues and biometric-NLP hybrids to achieve sub-100ms latency. This review synchronizes prior works by pinpointing the need for AR-tailored models that optimize user intent verification, paving the way for the proposed methodology to fill these empirical and conceptual lacunae.</w:t>
      </w:r>
    </w:p>
    <w:p w14:paraId="796639E1" w14:textId="77777777" w:rsidR="00656586" w:rsidRDefault="00656586">
      <w:pPr>
        <w:spacing w:line="360" w:lineRule="auto"/>
        <w:jc w:val="both"/>
        <w:rPr>
          <w:rFonts w:ascii="Times New Roman" w:eastAsia="Times New Roman" w:hAnsi="Times New Roman" w:cs="Times New Roman"/>
        </w:rPr>
      </w:pPr>
    </w:p>
    <w:p w14:paraId="61C75E7A"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3880645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article outlines the methodological framework employed to develop a natural language processing (NLP) framework for real-time transaction security in conversational AI-powered fraud prevention within augmented reality (AR) e-commerce. The study adopted a mixed-methods explanatory sequential design, integrating quantitative performance metrics of machine learning models with qualitative insights into user trust and experience, thereby directly addressing the research objectives of enhancing user trust through secure interfaces, improving fraud detection via advanced NLP, and optimizing contextual understanding in immersive transactions (Gamage, 2025; Damyanov, 2023). A pragmatic philosophical stance underpinned the research, allowing the sequential combination of quantitative and qualitative phases to produce actionable, real-world outcomes.</w:t>
      </w:r>
    </w:p>
    <w:p w14:paraId="3095EDF1"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02D600F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followed an explanatory sequential mixed-methods design. In the first phase, quantitative data from simulated AR transactions and existing fraud datasets were used to train and evaluate detection models. In the second phase, qualitative analysis of simulated user feedback and thematic interpretation of trust-related patterns explained the quantitative results. This sequential approach, quantitative followed by qualitative was chosen because performance metrics alone cannot fully capture the subjective trust dynamics critical to AR environments as provided in Figure 1(Gamage, 2025).</w:t>
      </w:r>
    </w:p>
    <w:p w14:paraId="66EF78A4" w14:textId="77777777" w:rsidR="00656586" w:rsidRPr="00412F3B" w:rsidRDefault="00000000">
      <w:pPr>
        <w:spacing w:line="360" w:lineRule="auto"/>
        <w:jc w:val="both"/>
        <w:rPr>
          <w:rFonts w:ascii="Times New Roman" w:eastAsia="Times New Roman" w:hAnsi="Times New Roman" w:cs="Times New Roman"/>
          <w:b/>
          <w:bCs/>
        </w:rPr>
      </w:pPr>
      <w:r w:rsidRPr="00412F3B">
        <w:rPr>
          <w:rFonts w:ascii="Times New Roman" w:eastAsia="Times New Roman" w:hAnsi="Times New Roman" w:cs="Times New Roman"/>
          <w:b/>
          <w:bCs/>
        </w:rPr>
        <w:t>Figure 1</w:t>
      </w:r>
    </w:p>
    <w:p w14:paraId="0BF409EB"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i/>
          <w:iCs/>
        </w:rPr>
        <w:t>Sequential Mixed Method Design</w:t>
      </w:r>
      <w:r>
        <w:rPr>
          <w:rFonts w:ascii="Times New Roman" w:eastAsia="Times New Roman" w:hAnsi="Times New Roman" w:cs="Times New Roman"/>
        </w:rPr>
        <w:t xml:space="preserve"> </w:t>
      </w:r>
    </w:p>
    <w:p w14:paraId="2C2D3ACA" w14:textId="29ECD322" w:rsidR="00656586" w:rsidRDefault="00412F3B">
      <w:pPr>
        <w:spacing w:line="360" w:lineRule="auto"/>
        <w:jc w:val="both"/>
        <w:rPr>
          <w:rFonts w:ascii="Times New Roman" w:eastAsia="Times New Roman" w:hAnsi="Times New Roman" w:cs="Times New Roman"/>
        </w:rPr>
      </w:pPr>
      <w:r>
        <w:rPr>
          <w:rFonts w:ascii="Times New Roman" w:eastAsia="Times New Roman" w:hAnsi="Times New Roman" w:cs="Times New Roman"/>
          <w:b/>
          <w:bCs/>
          <w:noProof/>
          <w:sz w:val="36"/>
          <w:szCs w:val="36"/>
        </w:rPr>
        <w:drawing>
          <wp:inline distT="0" distB="0" distL="0" distR="0" wp14:anchorId="7D6C8F99" wp14:editId="5C6246E6">
            <wp:extent cx="5799667" cy="2838450"/>
            <wp:effectExtent l="0" t="0" r="0" b="0"/>
            <wp:docPr id="177135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8082" name="Picture 1771358082"/>
                    <pic:cNvPicPr/>
                  </pic:nvPicPr>
                  <pic:blipFill rotWithShape="1">
                    <a:blip r:embed="rId7">
                      <a:extLst>
                        <a:ext uri="{28A0092B-C50C-407E-A947-70E740481C1C}">
                          <a14:useLocalDpi xmlns:a14="http://schemas.microsoft.com/office/drawing/2010/main" val="0"/>
                        </a:ext>
                      </a:extLst>
                    </a:blip>
                    <a:srcRect l="1283" r="1140"/>
                    <a:stretch>
                      <a:fillRect/>
                    </a:stretch>
                  </pic:blipFill>
                  <pic:spPr bwMode="auto">
                    <a:xfrm>
                      <a:off x="0" y="0"/>
                      <a:ext cx="5799667" cy="2838450"/>
                    </a:xfrm>
                    <a:prstGeom prst="rect">
                      <a:avLst/>
                    </a:prstGeom>
                    <a:ln>
                      <a:noFill/>
                    </a:ln>
                    <a:extLst>
                      <a:ext uri="{53640926-AAD7-44D8-BBD7-CCE9431645EC}">
                        <a14:shadowObscured xmlns:a14="http://schemas.microsoft.com/office/drawing/2010/main"/>
                      </a:ext>
                    </a:extLst>
                  </pic:spPr>
                </pic:pic>
              </a:graphicData>
            </a:graphic>
          </wp:inline>
        </w:drawing>
      </w:r>
    </w:p>
    <w:p w14:paraId="5E35169F"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Sources and Sampling</w:t>
      </w:r>
    </w:p>
    <w:p w14:paraId="35B1B74A"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Data were sourced exclusively from publicly available repositories and synthetically generated interaction logs to ensure ethical compliance and remote feasibility. Primary datasets comprised credit card transaction records from the Kaggle and UCI Machine Learning Repository, supplemented by synthetic AR conversational logs created using Hugging Face datasets. The study simulated 150 virtual users aged 18–65 years, stratified by age, technological proficiency, AR familiarity, prior fraud exposure, and preferred authentication methods. Exclusion criteria removed non-English interactions and profiles representing minors. All simulated participants were assigned digital informed consent forms that emphasized voluntary participation, data privacy, and the right to withdraw (Maynard, 2025).</w:t>
      </w:r>
    </w:p>
    <w:p w14:paraId="7DD17070"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User Behavior Analysis</w:t>
      </w:r>
    </w:p>
    <w:p w14:paraId="66D381BB"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Longitudinal analysis of existing transaction logs established baseline behavioral profiles for each simulated user across 10–15 transactions. Key engineered features included transaction velocity, defined as: </w:t>
      </w:r>
    </w:p>
    <w:p w14:paraId="5B24C550"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v=</m:t>
          </m:r>
          <m:f>
            <m:fPr>
              <m:ctrlPr>
                <w:rPr>
                  <w:rFonts w:ascii="Cambria Math" w:eastAsia="Cambria Math" w:hAnsi="Cambria Math" w:cs="Cambria Math"/>
                </w:rPr>
              </m:ctrlPr>
            </m:fPr>
            <m:num>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Current</m:t>
                      </m:r>
                    </m:e>
                    <m:sub>
                      <m:r>
                        <w:rPr>
                          <w:rFonts w:ascii="Cambria Math" w:eastAsia="Cambria Math" w:hAnsi="Cambria Math" w:cs="Cambria Math"/>
                        </w:rPr>
                        <m:t>transactions</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Baseline</m:t>
                      </m:r>
                    </m:e>
                    <m:sub>
                      <m:r>
                        <w:rPr>
                          <w:rFonts w:ascii="Cambria Math" w:eastAsia="Cambria Math" w:hAnsi="Cambria Math" w:cs="Cambria Math"/>
                        </w:rPr>
                        <m:t>transactions</m:t>
                      </m:r>
                    </m:sub>
                  </m:sSub>
                </m:e>
              </m:d>
            </m:num>
            <m:den>
              <m:sSub>
                <m:sSubPr>
                  <m:ctrlPr>
                    <w:rPr>
                      <w:rFonts w:ascii="Cambria Math" w:eastAsia="Cambria Math" w:hAnsi="Cambria Math" w:cs="Cambria Math"/>
                    </w:rPr>
                  </m:ctrlPr>
                </m:sSubPr>
                <m:e>
                  <m:r>
                    <w:rPr>
                      <w:rFonts w:ascii="Cambria Math" w:eastAsia="Cambria Math" w:hAnsi="Cambria Math" w:cs="Cambria Math"/>
                    </w:rPr>
                    <m:t>Time</m:t>
                  </m:r>
                </m:e>
                <m:sub>
                  <m:r>
                    <w:rPr>
                      <w:rFonts w:ascii="Cambria Math" w:eastAsia="Cambria Math" w:hAnsi="Cambria Math" w:cs="Cambria Math"/>
                    </w:rPr>
                    <m:t>interval</m:t>
                  </m:r>
                </m:sub>
              </m:sSub>
            </m:den>
          </m:f>
        </m:oMath>
      </m:oMathPara>
    </w:p>
    <w:p w14:paraId="2CB27AD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significant positive deviations triggered preliminary alerts. Embedding-based anomaly scoring was computed as:</w:t>
      </w:r>
    </w:p>
    <w:p w14:paraId="562019DF"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a=1-</m:t>
          </m:r>
          <m:sSub>
            <m:sSubPr>
              <m:ctrlPr>
                <w:rPr>
                  <w:rFonts w:ascii="Cambria Math" w:eastAsia="Cambria Math" w:hAnsi="Cambria Math" w:cs="Cambria Math"/>
                </w:rPr>
              </m:ctrlPr>
            </m:sSubPr>
            <m:e>
              <m:r>
                <w:rPr>
                  <w:rFonts w:ascii="Cambria Math" w:eastAsia="Cambria Math" w:hAnsi="Cambria Math" w:cs="Cambria Math"/>
                </w:rPr>
                <m:t>Cos</m:t>
              </m:r>
            </m:e>
            <m:sub>
              <m:r>
                <w:rPr>
                  <w:rFonts w:ascii="Cambria Math" w:eastAsia="Cambria Math" w:hAnsi="Cambria Math" w:cs="Cambria Math"/>
                </w:rPr>
                <m:t>similarity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Current</m:t>
              </m:r>
            </m:e>
            <m:sub>
              <m:r>
                <w:rPr>
                  <w:rFonts w:ascii="Cambria Math" w:eastAsia="Cambria Math" w:hAnsi="Cambria Math" w:cs="Cambria Math"/>
                </w:rPr>
                <m:t xml:space="preserve">embedding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Mean</m:t>
              </m:r>
            </m:e>
            <m:sub>
              <m:sSub>
                <m:sSubPr>
                  <m:ctrlPr>
                    <w:rPr>
                      <w:rFonts w:ascii="Cambria Math" w:eastAsia="Cambria Math" w:hAnsi="Cambria Math" w:cs="Cambria Math"/>
                    </w:rPr>
                  </m:ctrlPr>
                </m:sSubPr>
                <m:e>
                  <m:r>
                    <w:rPr>
                      <w:rFonts w:ascii="Cambria Math" w:eastAsia="Cambria Math" w:hAnsi="Cambria Math" w:cs="Cambria Math"/>
                    </w:rPr>
                    <m:t>baseline</m:t>
                  </m:r>
                </m:e>
                <m:sub>
                  <m:r>
                    <w:rPr>
                      <w:rFonts w:ascii="Cambria Math" w:eastAsia="Cambria Math" w:hAnsi="Cambria Math" w:cs="Cambria Math"/>
                    </w:rPr>
                    <m:t>embedding</m:t>
                  </m:r>
                </m:sub>
              </m:sSub>
            </m:sub>
          </m:sSub>
        </m:oMath>
      </m:oMathPara>
    </w:p>
    <w:p w14:paraId="288D5296"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and high scores were further evaluated using isolation forest algorithms, with alerts generated when anomaly scores exceeded the 95th percentile (Su, 2024; Maynard, 2025).</w:t>
      </w:r>
    </w:p>
    <w:p w14:paraId="50A5FE69"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Simulated Augmented Reality Environment</w:t>
      </w:r>
    </w:p>
    <w:p w14:paraId="0B1DEBA6"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 web-based AR simulation environment replicated e-commerce interactions across more than 50 product categories. Fraud scenarios were injected at a realistic prevalence of 2–3 %, resulting in 5,760 stratified configurations, although each simulated user experienced only 50–75 scenarios for computational efficiency. Real-time logs captured decision latency, calculated as:</w:t>
      </w:r>
    </w:p>
    <w:p w14:paraId="15E5E931"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mean</m:t>
              </m:r>
            </m:sub>
          </m:sSub>
          <m:r>
            <w:rPr>
              <w:rFonts w:ascii="Cambria Math" w:eastAsia="Cambria Math" w:hAnsi="Cambria Math" w:cs="Cambria Math"/>
            </w:rPr>
            <m:t>=</m:t>
          </m:r>
          <m:nary>
            <m:naryPr>
              <m:chr m:val="∑"/>
              <m:ctrlPr>
                <w:rPr>
                  <w:rFonts w:ascii="Cambria Math" w:eastAsia="Cambria Math" w:hAnsi="Cambria Math" w:cs="Cambria Math"/>
                </w:rPr>
              </m:ctrlPr>
            </m:naryPr>
            <m:sub/>
            <m:sup/>
            <m:e/>
          </m:nary>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decision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initiation</m:t>
                  </m:r>
                </m:sub>
              </m:sSub>
            </m:e>
          </m:d>
          <m:r>
            <w:rPr>
              <w:rFonts w:ascii="Cambria Math" w:eastAsia="Cambria Math" w:hAnsi="Cambria Math" w:cs="Cambria Math"/>
            </w:rPr>
            <m:t>/n</m:t>
          </m:r>
        </m:oMath>
      </m:oMathPara>
    </w:p>
    <w:p w14:paraId="302FC4E2"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together with 5-point Likert-scale user satisfaction ratings. Sentiment inconsistency was quantified as:</w:t>
      </w:r>
    </w:p>
    <w:p w14:paraId="33A0E1E7"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s=</m:t>
          </m:r>
          <m:sSub>
            <m:sSubPr>
              <m:ctrlPr>
                <w:rPr>
                  <w:rFonts w:ascii="Cambria Math" w:eastAsia="Cambria Math" w:hAnsi="Cambria Math" w:cs="Cambria Math"/>
                </w:rPr>
              </m:ctrlPr>
            </m:sSubPr>
            <m:e>
              <m:r>
                <w:rPr>
                  <w:rFonts w:ascii="Cambria Math" w:eastAsia="Cambria Math" w:hAnsi="Cambria Math" w:cs="Cambria Math"/>
                </w:rPr>
                <m:t>Positive</m:t>
              </m:r>
            </m:e>
            <m:sub>
              <m:r>
                <w:rPr>
                  <w:rFonts w:ascii="Cambria Math" w:eastAsia="Cambria Math" w:hAnsi="Cambria Math" w:cs="Cambria Math"/>
                </w:rPr>
                <m:t>Score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Negative</m:t>
              </m:r>
            </m:e>
            <m:sub>
              <m:r>
                <w:rPr>
                  <w:rFonts w:ascii="Cambria Math" w:eastAsia="Cambria Math" w:hAnsi="Cambria Math" w:cs="Cambria Math"/>
                </w:rPr>
                <m:t>Score</m:t>
              </m:r>
            </m:sub>
          </m:sSub>
        </m:oMath>
      </m:oMathPara>
    </w:p>
    <w:p w14:paraId="3E071F8D"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and a composite fraud score was formed as:</w:t>
      </w:r>
    </w:p>
    <w:p w14:paraId="32524CC0"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Fraud</m:t>
              </m:r>
            </m:e>
            <m:sub>
              <m:r>
                <w:rPr>
                  <w:rFonts w:ascii="Cambria Math" w:eastAsia="Cambria Math" w:hAnsi="Cambria Math" w:cs="Cambria Math"/>
                </w:rPr>
                <m:t>Score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sentiment</m:t>
              </m:r>
            </m:e>
            <m:sub>
              <m:r>
                <w:rPr>
                  <w:rFonts w:ascii="Cambria Math" w:eastAsia="Cambria Math" w:hAnsi="Cambria Math" w:cs="Cambria Math"/>
                </w:rPr>
                <m:t>anomaly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temporal</m:t>
              </m:r>
            </m:e>
            <m:sub>
              <m:r>
                <w:rPr>
                  <w:rFonts w:ascii="Cambria Math" w:eastAsia="Cambria Math" w:hAnsi="Cambria Math" w:cs="Cambria Math"/>
                </w:rPr>
                <m:t>anomaly</m:t>
              </m:r>
            </m:sub>
          </m:sSub>
        </m:oMath>
      </m:oMathPara>
    </w:p>
    <w:p w14:paraId="1A57242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weights optimized during validation (Salem et al., 2025; </w:t>
      </w:r>
      <w:proofErr w:type="spellStart"/>
      <w:r>
        <w:rPr>
          <w:rFonts w:ascii="Times New Roman" w:eastAsia="Times New Roman" w:hAnsi="Times New Roman" w:cs="Times New Roman"/>
        </w:rPr>
        <w:t>Albalawi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Dardouri</w:t>
      </w:r>
      <w:proofErr w:type="spellEnd"/>
      <w:r>
        <w:rPr>
          <w:rFonts w:ascii="Times New Roman" w:eastAsia="Times New Roman" w:hAnsi="Times New Roman" w:cs="Times New Roman"/>
        </w:rPr>
        <w:t>, 2025).</w:t>
      </w:r>
    </w:p>
    <w:p w14:paraId="1C122A02" w14:textId="77777777" w:rsidR="00656586" w:rsidRDefault="00656586">
      <w:pPr>
        <w:spacing w:line="360" w:lineRule="auto"/>
        <w:jc w:val="both"/>
        <w:rPr>
          <w:rFonts w:ascii="Times New Roman" w:eastAsia="Times New Roman" w:hAnsi="Times New Roman" w:cs="Times New Roman"/>
        </w:rPr>
      </w:pPr>
    </w:p>
    <w:p w14:paraId="7FE259A7" w14:textId="77777777" w:rsidR="00656586" w:rsidRDefault="00656586">
      <w:pPr>
        <w:spacing w:line="360" w:lineRule="auto"/>
        <w:jc w:val="both"/>
        <w:rPr>
          <w:rFonts w:ascii="Times New Roman" w:eastAsia="Times New Roman" w:hAnsi="Times New Roman" w:cs="Times New Roman"/>
        </w:rPr>
      </w:pPr>
    </w:p>
    <w:p w14:paraId="29964E16"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Natural Language Processing Model Development</w:t>
      </w:r>
    </w:p>
    <w:p w14:paraId="063E638F"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Transfer learning was applied using a Bidirectional Encoder Representations from Transformers (BERT) variant containing 12 layers and 110 million parameters. The preprocessing pipeline performed tokenization, lemmatization, and sequence padding to a maximum length of 128 tokens. Sentiment features ranging from −1 to +1 were extracted using the Valence Aware Dictionary and </w:t>
      </w:r>
      <w:proofErr w:type="spellStart"/>
      <w:r>
        <w:rPr>
          <w:rFonts w:ascii="Times New Roman" w:eastAsia="Times New Roman" w:hAnsi="Times New Roman" w:cs="Times New Roman"/>
        </w:rPr>
        <w:t>sEntiment</w:t>
      </w:r>
      <w:proofErr w:type="spellEnd"/>
      <w:r>
        <w:rPr>
          <w:rFonts w:ascii="Times New Roman" w:eastAsia="Times New Roman" w:hAnsi="Times New Roman" w:cs="Times New Roman"/>
        </w:rPr>
        <w:t xml:space="preserve"> Reasoner (VADER) model. Class imbalance was addressed through the Synthetic Minority Oversampling Technique (SMOTE), generating new fraud samples via</w:t>
      </w:r>
    </w:p>
    <w:p w14:paraId="227E15F4"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new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fraud</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neighbor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fraud</m:t>
              </m:r>
            </m:sub>
          </m:sSub>
          <m:r>
            <w:rPr>
              <w:rFonts w:ascii="Cambria Math" w:eastAsia="Cambria Math" w:hAnsi="Cambria Math" w:cs="Cambria Math"/>
            </w:rPr>
            <m:t>)</m:t>
          </m:r>
        </m:oMath>
      </m:oMathPara>
    </w:p>
    <w:p w14:paraId="5A1D0389"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w:t>
      </w:r>
      <m:oMath>
        <m:r>
          <w:rPr>
            <w:rFonts w:ascii="Cambria Math" w:eastAsia="Cambria Math" w:hAnsi="Cambria Math" w:cs="Cambria Math"/>
          </w:rPr>
          <m:t>r</m:t>
        </m:r>
      </m:oMath>
      <w:r>
        <w:rPr>
          <w:rFonts w:ascii="Times New Roman" w:eastAsia="Times New Roman" w:hAnsi="Times New Roman" w:cs="Times New Roman"/>
        </w:rPr>
        <w:t> is a random value between 0 and 1, and </w:t>
      </w:r>
      <m:oMath>
        <m:sSub>
          <m:sSubPr>
            <m:ctrlPr>
              <w:rPr>
                <w:rFonts w:ascii="Times New Roman" w:eastAsia="Times New Roman" w:hAnsi="Times New Roman" w:cs="Times New Roman"/>
              </w:rPr>
            </m:ctrlPr>
          </m:sSubPr>
          <m:e>
            <m:r>
              <w:rPr>
                <w:rFonts w:ascii="Cambria Math" w:eastAsia="Cambria Math" w:hAnsi="Cambria Math" w:cs="Cambria Math"/>
              </w:rPr>
              <m:t>x</m:t>
            </m:r>
          </m:e>
          <m:sub>
            <m:r>
              <w:rPr>
                <w:rFonts w:ascii="Times New Roman" w:eastAsia="Times New Roman" w:hAnsi="Times New Roman" w:cs="Times New Roman"/>
              </w:rPr>
              <m:t>neighbor</m:t>
            </m:r>
          </m:sub>
        </m:sSub>
      </m:oMath>
      <w:r>
        <w:rPr>
          <w:rFonts w:ascii="Times New Roman" w:eastAsia="Times New Roman" w:hAnsi="Times New Roman" w:cs="Times New Roman"/>
        </w:rPr>
        <w:t> is one of the fraud transaction's 5 nearest neighbors in embedding space.</w:t>
      </w:r>
    </w:p>
    <w:p w14:paraId="261D8D11"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Training employed focal loss:</w:t>
      </w:r>
    </w:p>
    <w:p w14:paraId="56B98709"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FL</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t</m:t>
              </m:r>
            </m:sub>
          </m:sSub>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e>
              </m:d>
            </m:e>
            <m:sup>
              <m:r>
                <w:rPr>
                  <w:rFonts w:ascii="Cambria Math" w:eastAsia="Cambria Math" w:hAnsi="Cambria Math" w:cs="Cambria Math"/>
                </w:rPr>
                <m:t>γ</m:t>
              </m:r>
            </m:sup>
          </m:sSup>
          <m:r>
            <w:rPr>
              <w:rFonts w:ascii="Cambria Math" w:eastAsia="Cambria Math" w:hAnsi="Cambria Math" w:cs="Cambria Math"/>
            </w:rPr>
            <m:t>log</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r>
            <w:rPr>
              <w:rFonts w:ascii="Cambria Math" w:eastAsia="Cambria Math" w:hAnsi="Cambria Math" w:cs="Cambria Math"/>
            </w:rPr>
            <m:t>)</m:t>
          </m:r>
        </m:oMath>
      </m:oMathPara>
    </w:p>
    <w:p w14:paraId="267E5783" w14:textId="77777777" w:rsidR="00656586" w:rsidRDefault="00000000">
      <w:pPr>
        <w:tabs>
          <w:tab w:val="left" w:pos="5386"/>
        </w:tabs>
        <w:spacing w:line="360" w:lineRule="auto"/>
        <w:jc w:val="both"/>
        <w:rPr>
          <w:rFonts w:ascii="Times New Roman" w:eastAsia="Times New Roman" w:hAnsi="Times New Roman" w:cs="Times New Roman"/>
        </w:rPr>
      </w:pPr>
      <w:r>
        <w:rPr>
          <w:rFonts w:ascii="Times New Roman" w:eastAsia="Times New Roman" w:hAnsi="Times New Roman" w:cs="Times New Roman"/>
        </w:rPr>
        <w:t>where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oMath>
      <w:r>
        <w:rPr>
          <w:rFonts w:ascii="Times New Roman" w:eastAsia="Times New Roman" w:hAnsi="Times New Roman" w:cs="Times New Roman"/>
        </w:rPr>
        <w:t> is model probability of true class, </w:t>
      </w:r>
      <m:oMath>
        <m:r>
          <w:rPr>
            <w:rFonts w:ascii="Cambria Math" w:hAnsi="Cambria Math"/>
          </w:rPr>
          <m:t>α</m:t>
        </m:r>
      </m:oMath>
      <w:r>
        <w:rPr>
          <w:rFonts w:ascii="Times New Roman" w:eastAsia="Times New Roman" w:hAnsi="Times New Roman" w:cs="Times New Roman"/>
        </w:rPr>
        <w:t> is weighting factor, and </w:t>
      </w:r>
      <m:oMath>
        <m:r>
          <w:rPr>
            <w:rFonts w:ascii="Cambria Math" w:hAnsi="Cambria Math"/>
          </w:rPr>
          <m:t>γ</m:t>
        </m:r>
      </m:oMath>
      <w:r>
        <w:rPr>
          <w:rFonts w:ascii="Times New Roman" w:eastAsia="Times New Roman" w:hAnsi="Times New Roman" w:cs="Times New Roman"/>
        </w:rPr>
        <w:t> is focusing parameter. With </w:t>
      </w:r>
      <m:oMath>
        <m:r>
          <w:rPr>
            <w:rFonts w:ascii="Cambria Math" w:eastAsia="Cambria Math" w:hAnsi="Cambria Math" w:cs="Cambria Math"/>
          </w:rPr>
          <m:t>γ=2</m:t>
        </m:r>
      </m:oMath>
      <w:r>
        <w:rPr>
          <w:rFonts w:ascii="Times New Roman" w:eastAsia="Times New Roman" w:hAnsi="Times New Roman" w:cs="Times New Roman"/>
        </w:rPr>
        <w:t>, focal loss down-weights easy examples and focuses on hard fraudulent transactions and class weight for fraud instances set at approximately 50. The Adam optimizer used a learning rate of 2 × 10⁻⁵ across four epochs. Multi-head self-attention was computed as:</w:t>
      </w:r>
    </w:p>
    <w:p w14:paraId="57EFFE00"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MultiHead</m:t>
          </m:r>
          <m:d>
            <m:dPr>
              <m:ctrlPr>
                <w:rPr>
                  <w:rFonts w:ascii="Cambria Math" w:eastAsia="Cambria Math" w:hAnsi="Cambria Math" w:cs="Cambria Math"/>
                </w:rPr>
              </m:ctrlPr>
            </m:dPr>
            <m:e>
              <m:r>
                <w:rPr>
                  <w:rFonts w:ascii="Cambria Math" w:eastAsia="Cambria Math" w:hAnsi="Cambria Math" w:cs="Cambria Math"/>
                </w:rPr>
                <m:t>Q,K,V</m:t>
              </m:r>
            </m:e>
          </m:d>
          <m:r>
            <w:rPr>
              <w:rFonts w:ascii="Cambria Math" w:eastAsia="Cambria Math" w:hAnsi="Cambria Math" w:cs="Cambria Math"/>
            </w:rPr>
            <m:t>=Concat(</m:t>
          </m:r>
          <m:sSub>
            <m:sSubPr>
              <m:ctrlPr>
                <w:rPr>
                  <w:rFonts w:ascii="Cambria Math" w:eastAsia="Cambria Math" w:hAnsi="Cambria Math" w:cs="Cambria Math"/>
                </w:rPr>
              </m:ctrlPr>
            </m:sSubPr>
            <m:e>
              <m:r>
                <w:rPr>
                  <w:rFonts w:ascii="Cambria Math" w:eastAsia="Cambria Math" w:hAnsi="Cambria Math" w:cs="Cambria Math"/>
                </w:rPr>
                <m:t>head</m:t>
              </m:r>
            </m:e>
            <m:sub>
              <m:r>
                <w:rPr>
                  <w:rFonts w:ascii="Cambria Math" w:eastAsia="Cambria Math" w:hAnsi="Cambria Math" w:cs="Cambria Math"/>
                </w:rPr>
                <m:t>1,   …,</m:t>
              </m:r>
            </m:sub>
          </m:sSub>
          <m:sSub>
            <m:sSubPr>
              <m:ctrlPr>
                <w:rPr>
                  <w:rFonts w:ascii="Cambria Math" w:eastAsia="Cambria Math" w:hAnsi="Cambria Math" w:cs="Cambria Math"/>
                </w:rPr>
              </m:ctrlPr>
            </m:sSubPr>
            <m:e>
              <m:r>
                <w:rPr>
                  <w:rFonts w:ascii="Cambria Math" w:eastAsia="Cambria Math" w:hAnsi="Cambria Math" w:cs="Cambria Math"/>
                </w:rPr>
                <m:t>head</m:t>
              </m:r>
            </m:e>
            <m:sub>
              <m:r>
                <w:rPr>
                  <w:rFonts w:ascii="Cambria Math" w:eastAsia="Cambria Math" w:hAnsi="Cambria Math" w:cs="Cambria Math"/>
                </w:rPr>
                <m:t>12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O</m:t>
              </m:r>
            </m:sub>
          </m:sSub>
        </m:oMath>
      </m:oMathPara>
    </w:p>
    <w:p w14:paraId="2CF035CB"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each head:</w:t>
      </w:r>
    </w:p>
    <w:p w14:paraId="164C86E3"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head</m:t>
              </m:r>
            </m:e>
            <m:sub>
              <m:r>
                <w:rPr>
                  <w:rFonts w:ascii="Cambria Math" w:eastAsia="Cambria Math" w:hAnsi="Cambria Math" w:cs="Cambria Math"/>
                </w:rPr>
                <m:t>i</m:t>
              </m:r>
            </m:sub>
          </m:sSub>
          <m:r>
            <w:rPr>
              <w:rFonts w:ascii="Cambria Math" w:eastAsia="Cambria Math" w:hAnsi="Cambria Math" w:cs="Cambria Math"/>
            </w:rPr>
            <m:t>=softmax</m:t>
          </m:r>
          <m:d>
            <m:dPr>
              <m:ctrlPr>
                <w:rPr>
                  <w:rFonts w:ascii="Cambria Math" w:eastAsia="Cambria Math" w:hAnsi="Cambria Math" w:cs="Cambria Math"/>
                </w:rPr>
              </m:ctrlPr>
            </m:dPr>
            <m:e>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QK</m:t>
                      </m:r>
                    </m:e>
                    <m:sup>
                      <m:r>
                        <w:rPr>
                          <w:rFonts w:ascii="Cambria Math" w:eastAsia="Cambria Math" w:hAnsi="Cambria Math" w:cs="Cambria Math"/>
                        </w:rPr>
                        <m:t>T</m:t>
                      </m:r>
                    </m:sup>
                  </m:sSup>
                </m:num>
                <m:den>
                  <m:rad>
                    <m:radPr>
                      <m:degHide m:val="1"/>
                      <m:ctrlPr>
                        <w:rPr>
                          <w:rFonts w:ascii="Cambria Math" w:eastAsia="Cambria Math" w:hAnsi="Cambria Math" w:cs="Cambria Math"/>
                        </w:rPr>
                      </m:ctrlPr>
                    </m:radPr>
                    <m:deg/>
                    <m:e>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k</m:t>
                          </m:r>
                        </m:sub>
                      </m:sSub>
                    </m:e>
                  </m:rad>
                </m:den>
              </m:f>
            </m:e>
          </m:d>
          <m:r>
            <w:rPr>
              <w:rFonts w:ascii="Cambria Math" w:eastAsia="Cambria Math" w:hAnsi="Cambria Math" w:cs="Cambria Math"/>
            </w:rPr>
            <m:t>V</m:t>
          </m:r>
        </m:oMath>
      </m:oMathPara>
    </w:p>
    <w:p w14:paraId="10DF79A6"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Final predictions combined BERT with tree-based ensembles (Random Forest with 200 trees and maximum depth 15; </w:t>
      </w:r>
      <w:proofErr w:type="spellStart"/>
      <w:r>
        <w:rPr>
          <w:rFonts w:ascii="Times New Roman" w:eastAsia="Times New Roman" w:hAnsi="Times New Roman" w:cs="Times New Roman"/>
        </w:rPr>
        <w:t>XGBoost</w:t>
      </w:r>
      <w:proofErr w:type="spellEnd"/>
      <w:r>
        <w:rPr>
          <w:rFonts w:ascii="Times New Roman" w:eastAsia="Times New Roman" w:hAnsi="Times New Roman" w:cs="Times New Roman"/>
        </w:rPr>
        <w:t xml:space="preserve"> with 250 boosting rounds and η = 0.05) through stacking, where a meta-learner produced:</w:t>
      </w:r>
    </w:p>
    <w:p w14:paraId="684A9E35" w14:textId="77777777" w:rsidR="00656586" w:rsidRDefault="00000000">
      <w:pPr>
        <w:spacing w:line="360" w:lineRule="auto"/>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fraud</m:t>
            </m:r>
          </m:sub>
        </m:sSub>
        <m:r>
          <w:rPr>
            <w:rFonts w:ascii="Cambria Math" w:eastAsia="Cambria Math" w:hAnsi="Cambria Math" w:cs="Cambria Math"/>
          </w:rPr>
          <m:t>=Meta</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BERT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RF</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XGBoost</m:t>
                </m:r>
              </m:sub>
            </m:sSub>
          </m:e>
        </m:d>
      </m:oMath>
      <w:r>
        <w:rPr>
          <w:rFonts w:ascii="Times New Roman" w:eastAsia="Times New Roman" w:hAnsi="Times New Roman" w:cs="Times New Roman"/>
        </w:rPr>
        <w:t xml:space="preserve"> (Schmid, 2024; Penmetsa &amp; Mohammed, 2021; Abdel et al., 2025).</w:t>
      </w:r>
    </w:p>
    <w:p w14:paraId="11A44D58" w14:textId="77777777" w:rsidR="00656586" w:rsidRDefault="00656586">
      <w:pPr>
        <w:spacing w:line="360" w:lineRule="auto"/>
        <w:jc w:val="both"/>
        <w:rPr>
          <w:rFonts w:ascii="Times New Roman" w:eastAsia="Times New Roman" w:hAnsi="Times New Roman" w:cs="Times New Roman"/>
        </w:rPr>
      </w:pPr>
    </w:p>
    <w:p w14:paraId="6737E6A2"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Performance Metrics and Validation</w:t>
      </w:r>
    </w:p>
    <w:p w14:paraId="6697C17F"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Model performance was assessed using multiple classification metrics: </w:t>
      </w:r>
    </w:p>
    <w:p w14:paraId="66E70D83"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Accuracy=</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TP+TN</m:t>
                  </m:r>
                </m:e>
              </m:d>
            </m:num>
            <m:den>
              <m:d>
                <m:dPr>
                  <m:ctrlPr>
                    <w:rPr>
                      <w:rFonts w:ascii="Cambria Math" w:eastAsia="Cambria Math" w:hAnsi="Cambria Math" w:cs="Cambria Math"/>
                    </w:rPr>
                  </m:ctrlPr>
                </m:dPr>
                <m:e>
                  <m:r>
                    <w:rPr>
                      <w:rFonts w:ascii="Cambria Math" w:eastAsia="Cambria Math" w:hAnsi="Cambria Math" w:cs="Cambria Math"/>
                    </w:rPr>
                    <m:t>TP+TN+FP+FN</m:t>
                  </m:r>
                </m:e>
              </m:d>
            </m:den>
          </m:f>
        </m:oMath>
      </m:oMathPara>
    </w:p>
    <w:p w14:paraId="48FE3567"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Precision=</m:t>
          </m:r>
          <m:f>
            <m:fPr>
              <m:ctrlPr>
                <w:rPr>
                  <w:rFonts w:ascii="Cambria Math" w:eastAsia="Cambria Math" w:hAnsi="Cambria Math" w:cs="Cambria Math"/>
                </w:rPr>
              </m:ctrlPr>
            </m:fPr>
            <m:num>
              <m:r>
                <w:rPr>
                  <w:rFonts w:ascii="Cambria Math" w:eastAsia="Cambria Math" w:hAnsi="Cambria Math" w:cs="Cambria Math"/>
                </w:rPr>
                <m:t>TP</m:t>
              </m:r>
            </m:num>
            <m:den>
              <m:d>
                <m:dPr>
                  <m:ctrlPr>
                    <w:rPr>
                      <w:rFonts w:ascii="Cambria Math" w:eastAsia="Cambria Math" w:hAnsi="Cambria Math" w:cs="Cambria Math"/>
                    </w:rPr>
                  </m:ctrlPr>
                </m:dPr>
                <m:e>
                  <m:r>
                    <w:rPr>
                      <w:rFonts w:ascii="Cambria Math" w:eastAsia="Cambria Math" w:hAnsi="Cambria Math" w:cs="Cambria Math"/>
                    </w:rPr>
                    <m:t>TP+FP</m:t>
                  </m:r>
                </m:e>
              </m:d>
            </m:den>
          </m:f>
        </m:oMath>
      </m:oMathPara>
    </w:p>
    <w:p w14:paraId="5B538FF3"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Recall=</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(TP+FN)</m:t>
              </m:r>
            </m:den>
          </m:f>
        </m:oMath>
      </m:oMathPara>
    </w:p>
    <w:p w14:paraId="2FC64DD2"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F1-Score=2×</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Precision×Recall</m:t>
                  </m:r>
                </m:e>
              </m:d>
            </m:num>
            <m:den>
              <m:d>
                <m:dPr>
                  <m:ctrlPr>
                    <w:rPr>
                      <w:rFonts w:ascii="Cambria Math" w:eastAsia="Cambria Math" w:hAnsi="Cambria Math" w:cs="Cambria Math"/>
                    </w:rPr>
                  </m:ctrlPr>
                </m:dPr>
                <m:e>
                  <m:r>
                    <w:rPr>
                      <w:rFonts w:ascii="Cambria Math" w:eastAsia="Cambria Math" w:hAnsi="Cambria Math" w:cs="Cambria Math"/>
                    </w:rPr>
                    <m:t>Precision +Recall</m:t>
                  </m:r>
                </m:e>
              </m:d>
            </m:den>
          </m:f>
          <m:r>
            <w:rPr>
              <w:rFonts w:ascii="Cambria Math" w:eastAsia="Cambria Math" w:hAnsi="Cambria Math" w:cs="Cambria Math"/>
            </w:rPr>
            <m:t>, and</m:t>
          </m:r>
        </m:oMath>
      </m:oMathPara>
    </w:p>
    <w:p w14:paraId="65A44462" w14:textId="77777777" w:rsidR="00656586" w:rsidRDefault="00000000">
      <w:pPr>
        <w:jc w:val="center"/>
        <w:rPr>
          <w:rFonts w:ascii="Cambria Math" w:eastAsia="Cambria Math" w:hAnsi="Cambria Math" w:cs="Cambria Math"/>
        </w:rPr>
      </w:pPr>
      <m:oMathPara>
        <m:oMath>
          <m:r>
            <w:rPr>
              <w:rFonts w:ascii="Cambria Math" w:eastAsia="Cambria Math" w:hAnsi="Cambria Math" w:cs="Cambria Math"/>
            </w:rPr>
            <m:t xml:space="preserve">Matthews Correlation Coefficient </m:t>
          </m:r>
          <m:d>
            <m:dPr>
              <m:ctrlPr>
                <w:rPr>
                  <w:rFonts w:ascii="Cambria Math" w:eastAsia="Cambria Math" w:hAnsi="Cambria Math" w:cs="Cambria Math"/>
                </w:rPr>
              </m:ctrlPr>
            </m:dPr>
            <m:e>
              <m:r>
                <w:rPr>
                  <w:rFonts w:ascii="Cambria Math" w:eastAsia="Cambria Math" w:hAnsi="Cambria Math" w:cs="Cambria Math"/>
                </w:rPr>
                <m:t>MCC</m:t>
              </m:r>
            </m:e>
          </m:d>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TP×TN-FP×FN</m:t>
                  </m:r>
                </m:e>
              </m:d>
            </m:num>
            <m:den>
              <m:d>
                <m:dPr>
                  <m:ctrlPr>
                    <w:rPr>
                      <w:rFonts w:ascii="Cambria Math" w:eastAsia="Cambria Math" w:hAnsi="Cambria Math" w:cs="Cambria Math"/>
                    </w:rPr>
                  </m:ctrlPr>
                </m:dPr>
                <m:e>
                  <m:rad>
                    <m:radPr>
                      <m:degHide m:val="1"/>
                      <m:ctrlPr>
                        <w:rPr>
                          <w:rFonts w:ascii="Cambria Math" w:eastAsia="Cambria Math" w:hAnsi="Cambria Math" w:cs="Cambria Math"/>
                        </w:rPr>
                      </m:ctrlPr>
                    </m:radPr>
                    <m:deg/>
                    <m:e>
                      <m:d>
                        <m:dPr>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TP+FP</m:t>
                              </m:r>
                            </m:e>
                          </m:d>
                          <m:d>
                            <m:dPr>
                              <m:ctrlPr>
                                <w:rPr>
                                  <w:rFonts w:ascii="Cambria Math" w:eastAsia="Cambria Math" w:hAnsi="Cambria Math" w:cs="Cambria Math"/>
                                </w:rPr>
                              </m:ctrlPr>
                            </m:dPr>
                            <m:e>
                              <m:r>
                                <w:rPr>
                                  <w:rFonts w:ascii="Cambria Math" w:eastAsia="Cambria Math" w:hAnsi="Cambria Math" w:cs="Cambria Math"/>
                                </w:rPr>
                                <m:t>TP+FN</m:t>
                              </m:r>
                            </m:e>
                          </m:d>
                          <m:d>
                            <m:dPr>
                              <m:ctrlPr>
                                <w:rPr>
                                  <w:rFonts w:ascii="Cambria Math" w:eastAsia="Cambria Math" w:hAnsi="Cambria Math" w:cs="Cambria Math"/>
                                </w:rPr>
                              </m:ctrlPr>
                            </m:dPr>
                            <m:e>
                              <m:r>
                                <w:rPr>
                                  <w:rFonts w:ascii="Cambria Math" w:eastAsia="Cambria Math" w:hAnsi="Cambria Math" w:cs="Cambria Math"/>
                                </w:rPr>
                                <m:t>TN+FP</m:t>
                              </m:r>
                            </m:e>
                          </m:d>
                          <m:d>
                            <m:dPr>
                              <m:ctrlPr>
                                <w:rPr>
                                  <w:rFonts w:ascii="Cambria Math" w:eastAsia="Cambria Math" w:hAnsi="Cambria Math" w:cs="Cambria Math"/>
                                </w:rPr>
                              </m:ctrlPr>
                            </m:dPr>
                            <m:e>
                              <m:r>
                                <w:rPr>
                                  <w:rFonts w:ascii="Cambria Math" w:eastAsia="Cambria Math" w:hAnsi="Cambria Math" w:cs="Cambria Math"/>
                                </w:rPr>
                                <m:t>TN+FN</m:t>
                              </m:r>
                            </m:e>
                          </m:d>
                        </m:e>
                      </m:d>
                    </m:e>
                  </m:rad>
                </m:e>
              </m:d>
            </m:den>
          </m:f>
        </m:oMath>
      </m:oMathPara>
    </w:p>
    <w:p w14:paraId="69E04E4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Area Under the Receiver Operating Characteristic Curve (ROC-AUC) targeted values greater than 0.94, whereas Area Under the Precision-Recall Curve (PR-AUC) targeted values greater than 0.89. Biometric-related targets included False Acceptance Rate (FAR) &lt; 0.01, False Rejection Rate (FRR) &lt; 0.05, and Equal Error Rate (EER) &lt; 0.02. Real-time constraints required 95th-percentile latency below acceptable thresholds and throughput exceeding 10,000 transactions per second. A User Trust Index:</w:t>
      </w:r>
    </w:p>
    <w:p w14:paraId="5D28AC9F" w14:textId="77777777" w:rsidR="00656586" w:rsidRDefault="00000000">
      <w:pPr>
        <w:jc w:val="center"/>
        <w:rPr>
          <w:rFonts w:ascii="Cambria Math" w:eastAsia="Cambria Math" w:hAnsi="Cambria Math" w:cs="Cambria Math"/>
        </w:rPr>
      </w:pPr>
      <m:oMathPara>
        <m:oMath>
          <m:d>
            <m:dPr>
              <m:ctrlPr>
                <w:rPr>
                  <w:rFonts w:ascii="Cambria Math" w:eastAsia="Cambria Math" w:hAnsi="Cambria Math" w:cs="Cambria Math"/>
                </w:rPr>
              </m:ctrlPr>
            </m:dPr>
            <m:e>
              <m:r>
                <w:rPr>
                  <w:rFonts w:ascii="Cambria Math" w:eastAsia="Cambria Math" w:hAnsi="Cambria Math" w:cs="Cambria Math"/>
                </w:rPr>
                <m:t>UTI</m:t>
              </m:r>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nary>
            <m:naryPr>
              <m:chr m:val="∑"/>
              <m:ctrlPr>
                <w:rPr>
                  <w:rFonts w:ascii="Cambria Math" w:eastAsia="Cambria Math" w:hAnsi="Cambria Math" w:cs="Cambria Math"/>
                </w:rPr>
              </m:ctrlPr>
            </m:naryPr>
            <m:sub/>
            <m:sup/>
            <m:e/>
          </m:nary>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perceived</m:t>
                  </m:r>
                </m:e>
                <m:sub>
                  <m:r>
                    <w:rPr>
                      <w:rFonts w:ascii="Cambria Math" w:eastAsia="Cambria Math" w:hAnsi="Cambria Math" w:cs="Cambria Math"/>
                    </w:rPr>
                    <m:t>scales</m:t>
                  </m:r>
                </m:sub>
              </m:sSub>
            </m:e>
          </m:d>
        </m:oMath>
      </m:oMathPara>
    </w:p>
    <w:p w14:paraId="7C7348FE"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was required to reach at least 0.75. Validation employed stratified 5-fold cross-validation with nested hyper-parameter tuning to prevent data leakage, and final metrics were reported as:</w:t>
      </w:r>
    </w:p>
    <w:p w14:paraId="6DC4346D" w14:textId="77777777" w:rsidR="00656586" w:rsidRDefault="00000000">
      <w:pPr>
        <w:spacing w:line="360" w:lineRule="auto"/>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final</m:t>
            </m:r>
          </m:sub>
        </m:sSub>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e>
        </m:d>
        <m:nary>
          <m:naryPr>
            <m:chr m:val="∑"/>
            <m:ctrlPr>
              <w:rPr>
                <w:rFonts w:ascii="Cambria Math" w:eastAsia="Cambria Math" w:hAnsi="Cambria Math" w:cs="Cambria Math"/>
              </w:rPr>
            </m:ctrlPr>
          </m:naryPr>
          <m:sub/>
          <m:sup/>
          <m:e/>
        </m:nary>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m:t>
            </m:r>
          </m:sub>
        </m:sSub>
        <m:r>
          <w:rPr>
            <w:rFonts w:ascii="Cambria Math" w:eastAsia="Cambria Math" w:hAnsi="Cambria Math" w:cs="Cambria Math"/>
          </w:rPr>
          <m:t xml:space="preserve">±standard deviation </m:t>
        </m:r>
      </m:oMath>
      <w:r>
        <w:rPr>
          <w:rFonts w:ascii="Times New Roman" w:eastAsia="Times New Roman" w:hAnsi="Times New Roman" w:cs="Times New Roman"/>
        </w:rPr>
        <w:t>(Friedman, 2024</w:t>
      </w:r>
      <m:oMath>
        <m:r>
          <w:rPr>
            <w:rFonts w:ascii="Cambria Math" w:eastAsia="Cambria Math" w:hAnsi="Cambria Math" w:cs="Cambria Math"/>
          </w:rPr>
          <m:t xml:space="preserve">; </m:t>
        </m:r>
      </m:oMath>
      <w:r>
        <w:rPr>
          <w:rFonts w:ascii="Times New Roman" w:eastAsia="Times New Roman" w:hAnsi="Times New Roman" w:cs="Times New Roman"/>
        </w:rPr>
        <w:t>Qlik Community, 2025)</w:t>
      </w:r>
    </w:p>
    <w:p w14:paraId="1B1C390E"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System Integration and End-to-End Testing</w:t>
      </w:r>
    </w:p>
    <w:p w14:paraId="24C5808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Components were integrated using Representational State Transfer (RESTful) application programming interfaces (APIs) and Apache Kafka queues for asynchronous event processing, with Apache Flink providing sub-100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stream processing. End-to-end tests confirmed legitimate transactions completed in under 5 seconds, fraudulent attempts were blocked in under 3 seconds, and the system sustained loads above 1,000 concurrent transactions.</w:t>
      </w:r>
    </w:p>
    <w:p w14:paraId="47E004CB"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Qualitative Data Analysis</w:t>
      </w:r>
    </w:p>
    <w:p w14:paraId="7824CC77"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Simulated post-interaction interviews were subjected to inductive thematic analysis. Transcripts were familiarized, coded openly, and refined into themes such as “perceived system responsiveness” and “trust in conversational cues”, which were subsequently correlated with quantitative approval rates.</w:t>
      </w:r>
    </w:p>
    <w:p w14:paraId="36C4E093"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Analysis Plan</w:t>
      </w:r>
    </w:p>
    <w:p w14:paraId="39E83E3F"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Descriptive statistics (means and standard deviations) and inferential tests including independent t-tests for architecture comparisons, analysis of variance (ANOVA) for multi-group differences, chi-square tests for categorical associations, and Pearson correlation for metric relationships were conducted at α = 0.05 significance level. All implementation was performed in Python using scikit-learn, pandas, and the Hugging Face Transformers library, with full version control to ensure reproducibility.</w:t>
      </w:r>
    </w:p>
    <w:p w14:paraId="1DA8BE5F" w14:textId="77777777" w:rsidR="00656586" w:rsidRDefault="00656586">
      <w:pPr>
        <w:spacing w:line="360" w:lineRule="auto"/>
        <w:jc w:val="both"/>
        <w:rPr>
          <w:rFonts w:ascii="Times New Roman" w:eastAsia="Times New Roman" w:hAnsi="Times New Roman" w:cs="Times New Roman"/>
        </w:rPr>
      </w:pPr>
    </w:p>
    <w:p w14:paraId="6D9C00ED"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t>Results and Discussion</w:t>
      </w:r>
    </w:p>
    <w:p w14:paraId="14DC69B4"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Presentation of Results</w:t>
      </w:r>
    </w:p>
    <w:p w14:paraId="66CFDD8E"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implementation of the conversational AI-powered fraud prevention framework used publicly available transaction datasets augmented with synthetic conversational logs generated from real-world AR e-commerce interaction patterns. The primary dataset consisted of 284,807 real European credit card transactions collected in September 2013 (</w:t>
      </w:r>
      <w:proofErr w:type="spellStart"/>
      <w:r>
        <w:rPr>
          <w:rFonts w:ascii="Times New Roman" w:eastAsia="Times New Roman" w:hAnsi="Times New Roman" w:cs="Times New Roman"/>
        </w:rPr>
        <w:t>Pozzolo</w:t>
      </w:r>
      <w:proofErr w:type="spellEnd"/>
      <w:r>
        <w:rPr>
          <w:rFonts w:ascii="Times New Roman" w:eastAsia="Times New Roman" w:hAnsi="Times New Roman" w:cs="Times New Roman"/>
        </w:rPr>
        <w:t xml:space="preserve"> et al., 2015), supplemented by 45,000 synthetic conversational exchanges. These created through controlled variation of user intent, sentiment, temporal context, and biometric consistency indicators. After stratified splitting, the training set contained 199,365 transactions, while validation and test sets each comprised 42,721 transactions, preserving the original 0.172% fraud prevalence in non-training partitions. Preprocessing and feature engineering produced 40 predictive features. Table 2 presents the final feature composition.</w:t>
      </w:r>
    </w:p>
    <w:p w14:paraId="4F736F25"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2 </w:t>
      </w:r>
    </w:p>
    <w:p w14:paraId="1A7BC120"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Engineered Feature Set</w:t>
      </w:r>
    </w:p>
    <w:tbl>
      <w:tblPr>
        <w:tblStyle w:val="a0"/>
        <w:tblW w:w="9447" w:type="dxa"/>
        <w:tblInd w:w="0" w:type="dxa"/>
        <w:tblLayout w:type="fixed"/>
        <w:tblLook w:val="0400" w:firstRow="0" w:lastRow="0" w:firstColumn="0" w:lastColumn="0" w:noHBand="0" w:noVBand="1"/>
      </w:tblPr>
      <w:tblGrid>
        <w:gridCol w:w="2700"/>
        <w:gridCol w:w="5690"/>
        <w:gridCol w:w="1057"/>
      </w:tblGrid>
      <w:tr w:rsidR="00656586" w14:paraId="019DFF06" w14:textId="77777777">
        <w:trPr>
          <w:trHeight w:val="507"/>
          <w:tblHeader/>
        </w:trPr>
        <w:tc>
          <w:tcPr>
            <w:tcW w:w="2700" w:type="dxa"/>
            <w:tcBorders>
              <w:top w:val="single" w:sz="4" w:space="0" w:color="000000"/>
              <w:bottom w:val="single" w:sz="4" w:space="0" w:color="000000"/>
            </w:tcBorders>
            <w:tcMar>
              <w:top w:w="15" w:type="dxa"/>
              <w:left w:w="0" w:type="dxa"/>
              <w:bottom w:w="137" w:type="dxa"/>
              <w:right w:w="137" w:type="dxa"/>
            </w:tcMar>
            <w:vAlign w:val="bottom"/>
          </w:tcPr>
          <w:p w14:paraId="18ACA492" w14:textId="77777777" w:rsidR="00656586" w:rsidRDefault="00000000">
            <w:pPr>
              <w:spacing w:line="240" w:lineRule="auto"/>
              <w:ind w:left="90"/>
              <w:jc w:val="both"/>
              <w:rPr>
                <w:rFonts w:ascii="Times New Roman" w:eastAsia="Times New Roman" w:hAnsi="Times New Roman" w:cs="Times New Roman"/>
                <w:b/>
                <w:bCs/>
              </w:rPr>
            </w:pPr>
            <w:r>
              <w:rPr>
                <w:rFonts w:ascii="Times New Roman" w:eastAsia="Times New Roman" w:hAnsi="Times New Roman" w:cs="Times New Roman"/>
                <w:b/>
                <w:bCs/>
              </w:rPr>
              <w:t>Category</w:t>
            </w:r>
          </w:p>
        </w:tc>
        <w:tc>
          <w:tcPr>
            <w:tcW w:w="5690" w:type="dxa"/>
            <w:tcBorders>
              <w:top w:val="single" w:sz="4" w:space="0" w:color="000000"/>
              <w:bottom w:val="single" w:sz="4" w:space="0" w:color="000000"/>
            </w:tcBorders>
            <w:tcMar>
              <w:top w:w="15" w:type="dxa"/>
              <w:left w:w="137" w:type="dxa"/>
              <w:bottom w:w="137" w:type="dxa"/>
              <w:right w:w="137" w:type="dxa"/>
            </w:tcMar>
            <w:vAlign w:val="bottom"/>
          </w:tcPr>
          <w:p w14:paraId="32323481"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Features</w:t>
            </w:r>
          </w:p>
        </w:tc>
        <w:tc>
          <w:tcPr>
            <w:tcW w:w="1057" w:type="dxa"/>
            <w:tcBorders>
              <w:top w:val="single" w:sz="4" w:space="0" w:color="000000"/>
              <w:bottom w:val="single" w:sz="4" w:space="0" w:color="000000"/>
            </w:tcBorders>
            <w:tcMar>
              <w:top w:w="15" w:type="dxa"/>
              <w:left w:w="137" w:type="dxa"/>
              <w:bottom w:w="137" w:type="dxa"/>
              <w:right w:w="15" w:type="dxa"/>
            </w:tcMar>
            <w:vAlign w:val="bottom"/>
          </w:tcPr>
          <w:p w14:paraId="4B150CEF"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Count</w:t>
            </w:r>
          </w:p>
        </w:tc>
      </w:tr>
      <w:tr w:rsidR="00656586" w14:paraId="7EE991FF" w14:textId="77777777">
        <w:trPr>
          <w:trHeight w:val="534"/>
        </w:trPr>
        <w:tc>
          <w:tcPr>
            <w:tcW w:w="2700" w:type="dxa"/>
            <w:tcBorders>
              <w:top w:val="single" w:sz="4" w:space="0" w:color="000000"/>
            </w:tcBorders>
            <w:tcMar>
              <w:top w:w="137" w:type="dxa"/>
              <w:left w:w="0" w:type="dxa"/>
              <w:bottom w:w="137" w:type="dxa"/>
              <w:right w:w="137" w:type="dxa"/>
            </w:tcMar>
            <w:vAlign w:val="bottom"/>
          </w:tcPr>
          <w:p w14:paraId="254D469F"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Original PCA</w:t>
            </w:r>
          </w:p>
        </w:tc>
        <w:tc>
          <w:tcPr>
            <w:tcW w:w="5690" w:type="dxa"/>
            <w:tcBorders>
              <w:top w:val="single" w:sz="4" w:space="0" w:color="000000"/>
            </w:tcBorders>
            <w:tcMar>
              <w:top w:w="137" w:type="dxa"/>
              <w:left w:w="137" w:type="dxa"/>
              <w:bottom w:w="137" w:type="dxa"/>
              <w:right w:w="137" w:type="dxa"/>
            </w:tcMar>
            <w:vAlign w:val="bottom"/>
          </w:tcPr>
          <w:p w14:paraId="209B1982"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V1–V28</w:t>
            </w:r>
          </w:p>
        </w:tc>
        <w:tc>
          <w:tcPr>
            <w:tcW w:w="1057" w:type="dxa"/>
            <w:tcBorders>
              <w:top w:val="single" w:sz="4" w:space="0" w:color="000000"/>
            </w:tcBorders>
            <w:tcMar>
              <w:top w:w="137" w:type="dxa"/>
              <w:left w:w="137" w:type="dxa"/>
              <w:bottom w:w="137" w:type="dxa"/>
              <w:right w:w="0" w:type="dxa"/>
            </w:tcMar>
            <w:vAlign w:val="bottom"/>
          </w:tcPr>
          <w:p w14:paraId="792E43BD"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656586" w14:paraId="16ACD64C" w14:textId="77777777">
        <w:trPr>
          <w:trHeight w:val="522"/>
        </w:trPr>
        <w:tc>
          <w:tcPr>
            <w:tcW w:w="2700" w:type="dxa"/>
            <w:tcMar>
              <w:top w:w="137" w:type="dxa"/>
              <w:left w:w="0" w:type="dxa"/>
              <w:bottom w:w="137" w:type="dxa"/>
              <w:right w:w="137" w:type="dxa"/>
            </w:tcMar>
            <w:vAlign w:val="bottom"/>
          </w:tcPr>
          <w:p w14:paraId="6192CE42"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Transactional</w:t>
            </w:r>
          </w:p>
        </w:tc>
        <w:tc>
          <w:tcPr>
            <w:tcW w:w="5690" w:type="dxa"/>
            <w:tcMar>
              <w:top w:w="137" w:type="dxa"/>
              <w:left w:w="137" w:type="dxa"/>
              <w:bottom w:w="137" w:type="dxa"/>
              <w:right w:w="137" w:type="dxa"/>
            </w:tcMar>
            <w:vAlign w:val="bottom"/>
          </w:tcPr>
          <w:p w14:paraId="57FFA61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Amount, </w:t>
            </w:r>
            <m:oMath>
              <m:sSub>
                <m:sSubPr>
                  <m:ctrlPr>
                    <w:rPr>
                      <w:rFonts w:ascii="Cambria Math" w:eastAsia="Cambria Math" w:hAnsi="Cambria Math" w:cs="Cambria Math"/>
                    </w:rPr>
                  </m:ctrlPr>
                </m:sSubPr>
                <m:e>
                  <m:r>
                    <w:rPr>
                      <w:rFonts w:ascii="Cambria Math" w:eastAsia="Cambria Math" w:hAnsi="Cambria Math" w:cs="Cambria Math"/>
                    </w:rPr>
                    <m:t>Amount</m:t>
                  </m:r>
                </m:e>
                <m:sub>
                  <m:r>
                    <w:rPr>
                      <w:rFonts w:ascii="Cambria Math" w:eastAsia="Cambria Math" w:hAnsi="Cambria Math" w:cs="Cambria Math"/>
                    </w:rPr>
                    <m:t>log</m:t>
                  </m:r>
                </m:sub>
              </m:sSub>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Amount</m:t>
                  </m:r>
                </m:e>
                <m:sub>
                  <m:r>
                    <w:rPr>
                      <w:rFonts w:ascii="Cambria Math" w:eastAsia="Cambria Math" w:hAnsi="Cambria Math" w:cs="Cambria Math"/>
                    </w:rPr>
                    <m:t>is high</m:t>
                  </m:r>
                </m:sub>
              </m:sSub>
            </m:oMath>
          </w:p>
        </w:tc>
        <w:tc>
          <w:tcPr>
            <w:tcW w:w="1057" w:type="dxa"/>
            <w:tcMar>
              <w:top w:w="137" w:type="dxa"/>
              <w:left w:w="137" w:type="dxa"/>
              <w:bottom w:w="137" w:type="dxa"/>
              <w:right w:w="0" w:type="dxa"/>
            </w:tcMar>
            <w:vAlign w:val="bottom"/>
          </w:tcPr>
          <w:p w14:paraId="0593EB0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56586" w14:paraId="13414D38" w14:textId="77777777">
        <w:trPr>
          <w:trHeight w:val="522"/>
        </w:trPr>
        <w:tc>
          <w:tcPr>
            <w:tcW w:w="2700" w:type="dxa"/>
            <w:tcMar>
              <w:top w:w="137" w:type="dxa"/>
              <w:left w:w="0" w:type="dxa"/>
              <w:bottom w:w="137" w:type="dxa"/>
              <w:right w:w="137" w:type="dxa"/>
            </w:tcMar>
            <w:vAlign w:val="bottom"/>
          </w:tcPr>
          <w:p w14:paraId="7FA5D827"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Temporal</w:t>
            </w:r>
          </w:p>
        </w:tc>
        <w:tc>
          <w:tcPr>
            <w:tcW w:w="5690" w:type="dxa"/>
            <w:tcMar>
              <w:top w:w="137" w:type="dxa"/>
              <w:left w:w="137" w:type="dxa"/>
              <w:bottom w:w="137" w:type="dxa"/>
              <w:right w:w="137" w:type="dxa"/>
            </w:tcMar>
            <w:vAlign w:val="bottom"/>
          </w:tcPr>
          <w:p w14:paraId="1862595D" w14:textId="77777777" w:rsidR="00656586" w:rsidRDefault="00000000">
            <w:pPr>
              <w:spacing w:line="240" w:lineRule="auto"/>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Time</m:t>
                  </m:r>
                </m:e>
                <m:sub>
                  <m:r>
                    <w:rPr>
                      <w:rFonts w:ascii="Cambria Math" w:eastAsia="Cambria Math" w:hAnsi="Cambria Math" w:cs="Cambria Math"/>
                    </w:rPr>
                    <m:t>hour</m:t>
                  </m:r>
                </m:sub>
              </m:sSub>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Time</m:t>
                  </m:r>
                </m:e>
                <m:sub>
                  <m:r>
                    <w:rPr>
                      <w:rFonts w:ascii="Cambria Math" w:eastAsia="Cambria Math" w:hAnsi="Cambria Math" w:cs="Cambria Math"/>
                    </w:rPr>
                    <m:t>is night</m:t>
                  </m:r>
                </m:sub>
              </m:sSub>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Transaction</m:t>
                  </m:r>
                </m:e>
                <m:sub>
                  <m:r>
                    <w:rPr>
                      <w:rFonts w:ascii="Cambria Math" w:eastAsia="Cambria Math" w:hAnsi="Cambria Math" w:cs="Cambria Math"/>
                    </w:rPr>
                    <m:t>velocity</m:t>
                  </m:r>
                </m:sub>
              </m:sSub>
            </m:oMath>
          </w:p>
        </w:tc>
        <w:tc>
          <w:tcPr>
            <w:tcW w:w="1057" w:type="dxa"/>
            <w:tcMar>
              <w:top w:w="137" w:type="dxa"/>
              <w:left w:w="137" w:type="dxa"/>
              <w:bottom w:w="137" w:type="dxa"/>
              <w:right w:w="0" w:type="dxa"/>
            </w:tcMar>
            <w:vAlign w:val="bottom"/>
          </w:tcPr>
          <w:p w14:paraId="100B0EBE"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56586" w14:paraId="5E3566F6" w14:textId="77777777">
        <w:trPr>
          <w:trHeight w:val="522"/>
        </w:trPr>
        <w:tc>
          <w:tcPr>
            <w:tcW w:w="2700" w:type="dxa"/>
            <w:tcMar>
              <w:top w:w="137" w:type="dxa"/>
              <w:left w:w="0" w:type="dxa"/>
              <w:bottom w:w="137" w:type="dxa"/>
              <w:right w:w="137" w:type="dxa"/>
            </w:tcMar>
            <w:vAlign w:val="bottom"/>
          </w:tcPr>
          <w:p w14:paraId="4B3C07AE"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Sentiment (VADER)</w:t>
            </w:r>
          </w:p>
        </w:tc>
        <w:tc>
          <w:tcPr>
            <w:tcW w:w="5690" w:type="dxa"/>
            <w:tcMar>
              <w:top w:w="137" w:type="dxa"/>
              <w:left w:w="137" w:type="dxa"/>
              <w:bottom w:w="137" w:type="dxa"/>
              <w:right w:w="137" w:type="dxa"/>
            </w:tcMar>
            <w:vAlign w:val="bottom"/>
          </w:tcPr>
          <w:p w14:paraId="58FF69BD"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Positive, Negative, Neutral, Compound</w:t>
            </w:r>
          </w:p>
        </w:tc>
        <w:tc>
          <w:tcPr>
            <w:tcW w:w="1057" w:type="dxa"/>
            <w:tcMar>
              <w:top w:w="137" w:type="dxa"/>
              <w:left w:w="137" w:type="dxa"/>
              <w:bottom w:w="137" w:type="dxa"/>
              <w:right w:w="0" w:type="dxa"/>
            </w:tcMar>
            <w:vAlign w:val="bottom"/>
          </w:tcPr>
          <w:p w14:paraId="5988551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56586" w14:paraId="5495F403" w14:textId="77777777">
        <w:trPr>
          <w:trHeight w:val="578"/>
        </w:trPr>
        <w:tc>
          <w:tcPr>
            <w:tcW w:w="2700" w:type="dxa"/>
            <w:tcMar>
              <w:top w:w="137" w:type="dxa"/>
              <w:left w:w="0" w:type="dxa"/>
              <w:bottom w:w="137" w:type="dxa"/>
              <w:right w:w="137" w:type="dxa"/>
            </w:tcMar>
            <w:vAlign w:val="bottom"/>
          </w:tcPr>
          <w:p w14:paraId="41BBE520"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Behavioral</w:t>
            </w:r>
          </w:p>
        </w:tc>
        <w:tc>
          <w:tcPr>
            <w:tcW w:w="5690" w:type="dxa"/>
            <w:tcMar>
              <w:top w:w="137" w:type="dxa"/>
              <w:left w:w="137" w:type="dxa"/>
              <w:bottom w:w="137" w:type="dxa"/>
              <w:right w:w="137" w:type="dxa"/>
            </w:tcMar>
            <w:vAlign w:val="bottom"/>
          </w:tcPr>
          <w:p w14:paraId="6051DCD5" w14:textId="77777777" w:rsidR="00656586" w:rsidRDefault="00000000">
            <w:pPr>
              <w:spacing w:line="240" w:lineRule="auto"/>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Device</m:t>
                  </m:r>
                </m:e>
                <m:sub>
                  <m:r>
                    <w:rPr>
                      <w:rFonts w:ascii="Cambria Math" w:eastAsia="Cambria Math" w:hAnsi="Cambria Math" w:cs="Cambria Math"/>
                    </w:rPr>
                    <m:t>consistency</m:t>
                  </m:r>
                </m:sub>
              </m:sSub>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Location</m:t>
                  </m:r>
                </m:e>
                <m:sub>
                  <m:r>
                    <w:rPr>
                      <w:rFonts w:ascii="Cambria Math" w:eastAsia="Cambria Math" w:hAnsi="Cambria Math" w:cs="Cambria Math"/>
                    </w:rPr>
                    <m:t>consistency</m:t>
                  </m:r>
                </m:sub>
              </m:sSub>
            </m:oMath>
          </w:p>
        </w:tc>
        <w:tc>
          <w:tcPr>
            <w:tcW w:w="1057" w:type="dxa"/>
            <w:tcMar>
              <w:top w:w="137" w:type="dxa"/>
              <w:left w:w="137" w:type="dxa"/>
              <w:bottom w:w="137" w:type="dxa"/>
              <w:right w:w="0" w:type="dxa"/>
            </w:tcMar>
            <w:vAlign w:val="bottom"/>
          </w:tcPr>
          <w:p w14:paraId="3F91B9E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56586" w14:paraId="2FC876FF" w14:textId="77777777">
        <w:trPr>
          <w:trHeight w:val="534"/>
        </w:trPr>
        <w:tc>
          <w:tcPr>
            <w:tcW w:w="2700" w:type="dxa"/>
            <w:tcBorders>
              <w:bottom w:val="single" w:sz="4" w:space="0" w:color="000000"/>
            </w:tcBorders>
            <w:tcMar>
              <w:top w:w="137" w:type="dxa"/>
              <w:left w:w="0" w:type="dxa"/>
              <w:bottom w:w="137" w:type="dxa"/>
              <w:right w:w="137" w:type="dxa"/>
            </w:tcMar>
            <w:vAlign w:val="bottom"/>
          </w:tcPr>
          <w:p w14:paraId="17BF052A"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b/>
                <w:bCs/>
              </w:rPr>
              <w:t>Total</w:t>
            </w:r>
          </w:p>
        </w:tc>
        <w:tc>
          <w:tcPr>
            <w:tcW w:w="5690" w:type="dxa"/>
            <w:tcBorders>
              <w:bottom w:val="single" w:sz="4" w:space="0" w:color="000000"/>
            </w:tcBorders>
            <w:tcMar>
              <w:top w:w="137" w:type="dxa"/>
              <w:left w:w="137" w:type="dxa"/>
              <w:bottom w:w="137" w:type="dxa"/>
              <w:right w:w="137" w:type="dxa"/>
            </w:tcMar>
            <w:vAlign w:val="bottom"/>
          </w:tcPr>
          <w:p w14:paraId="1635C938" w14:textId="77777777" w:rsidR="00656586" w:rsidRDefault="00656586">
            <w:pPr>
              <w:spacing w:line="240" w:lineRule="auto"/>
              <w:jc w:val="center"/>
              <w:rPr>
                <w:rFonts w:ascii="Times New Roman" w:eastAsia="Times New Roman" w:hAnsi="Times New Roman" w:cs="Times New Roman"/>
              </w:rPr>
            </w:pPr>
          </w:p>
        </w:tc>
        <w:tc>
          <w:tcPr>
            <w:tcW w:w="1057" w:type="dxa"/>
            <w:tcBorders>
              <w:bottom w:val="single" w:sz="4" w:space="0" w:color="000000"/>
            </w:tcBorders>
            <w:tcMar>
              <w:top w:w="137" w:type="dxa"/>
              <w:left w:w="137" w:type="dxa"/>
              <w:bottom w:w="137" w:type="dxa"/>
              <w:right w:w="0" w:type="dxa"/>
            </w:tcMar>
            <w:vAlign w:val="bottom"/>
          </w:tcPr>
          <w:p w14:paraId="28751C3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40</w:t>
            </w:r>
          </w:p>
        </w:tc>
      </w:tr>
    </w:tbl>
    <w:p w14:paraId="3889E8A2"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SMOTE successfully balanced the training set to a 1:1 fraud-to-legitimate ratio without data leakage, expanding fraudulent samples from 288 to 199,077 through k=5 nearest-neighbor interpolation (</w:t>
      </w:r>
      <w:proofErr w:type="spellStart"/>
      <w:r>
        <w:rPr>
          <w:rFonts w:ascii="Times New Roman" w:eastAsia="Times New Roman" w:hAnsi="Times New Roman" w:cs="Times New Roman"/>
        </w:rPr>
        <w:t>Albalawi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Dardouri</w:t>
      </w:r>
      <w:proofErr w:type="spellEnd"/>
      <w:r>
        <w:rPr>
          <w:rFonts w:ascii="Times New Roman" w:eastAsia="Times New Roman" w:hAnsi="Times New Roman" w:cs="Times New Roman"/>
        </w:rPr>
        <w:t>, 2025). Validation and test sets retained natural imbalance for realistic evaluation.</w:t>
      </w:r>
    </w:p>
    <w:p w14:paraId="1DAE5A1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Sentiment analysis on synthetic conversational logs revealed clear separation between legitimate and fraudulent interactions. Legitimate transactions exhibited mean compound sentiment of +0.338 (±0.412), whereas fraudulent ones averaged −0.167 (±0.448), with independent t-tests confirming statistical significance across all four sentiment dimensions (p &lt; 0.001). These results validate the conversational layer’s ability to capture user confidence and deception cues in real time.</w:t>
      </w:r>
    </w:p>
    <w:p w14:paraId="44C29931"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Four models were trained and evaluated: Random Forest (200 trees), </w:t>
      </w:r>
      <w:proofErr w:type="spellStart"/>
      <w:r>
        <w:rPr>
          <w:rFonts w:ascii="Times New Roman" w:eastAsia="Times New Roman" w:hAnsi="Times New Roman" w:cs="Times New Roman"/>
        </w:rPr>
        <w:t>XGBoost</w:t>
      </w:r>
      <w:proofErr w:type="spellEnd"/>
      <w:r>
        <w:rPr>
          <w:rFonts w:ascii="Times New Roman" w:eastAsia="Times New Roman" w:hAnsi="Times New Roman" w:cs="Times New Roman"/>
        </w:rPr>
        <w:t xml:space="preserve"> (250 rounds, eta=0.05), BERT fine-tuned for four epochs, and the proposed stacking ensemble combining all three as Level-0 learners with a Random Forest meta-learner. Table 3 reports comprehensive test-set performance.</w:t>
      </w:r>
    </w:p>
    <w:p w14:paraId="787BC42A"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3 </w:t>
      </w:r>
    </w:p>
    <w:p w14:paraId="3F217785"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Test-Set Performance Across All Models</w:t>
      </w:r>
    </w:p>
    <w:tbl>
      <w:tblPr>
        <w:tblStyle w:val="a1"/>
        <w:tblW w:w="9360" w:type="dxa"/>
        <w:tblInd w:w="0" w:type="dxa"/>
        <w:tblLayout w:type="fixed"/>
        <w:tblLook w:val="0400" w:firstRow="0" w:lastRow="0" w:firstColumn="0" w:lastColumn="0" w:noHBand="0" w:noVBand="1"/>
      </w:tblPr>
      <w:tblGrid>
        <w:gridCol w:w="1954"/>
        <w:gridCol w:w="1717"/>
        <w:gridCol w:w="1208"/>
        <w:gridCol w:w="934"/>
        <w:gridCol w:w="2231"/>
        <w:gridCol w:w="1316"/>
      </w:tblGrid>
      <w:tr w:rsidR="00656586" w14:paraId="5A2060A4" w14:textId="77777777">
        <w:trPr>
          <w:tblHeader/>
        </w:trPr>
        <w:tc>
          <w:tcPr>
            <w:tcW w:w="1954" w:type="dxa"/>
            <w:tcBorders>
              <w:top w:val="single" w:sz="4" w:space="0" w:color="000000"/>
              <w:bottom w:val="single" w:sz="4" w:space="0" w:color="000000"/>
            </w:tcBorders>
            <w:tcMar>
              <w:top w:w="15" w:type="dxa"/>
              <w:left w:w="0" w:type="dxa"/>
              <w:bottom w:w="137" w:type="dxa"/>
              <w:right w:w="137" w:type="dxa"/>
            </w:tcMar>
            <w:vAlign w:val="bottom"/>
          </w:tcPr>
          <w:p w14:paraId="01F2F154" w14:textId="77777777" w:rsidR="00656586" w:rsidRDefault="00000000">
            <w:pPr>
              <w:spacing w:line="240" w:lineRule="auto"/>
              <w:ind w:left="90"/>
              <w:jc w:val="both"/>
              <w:rPr>
                <w:rFonts w:ascii="Times New Roman" w:eastAsia="Times New Roman" w:hAnsi="Times New Roman" w:cs="Times New Roman"/>
                <w:b/>
                <w:bCs/>
              </w:rPr>
            </w:pPr>
            <w:r>
              <w:rPr>
                <w:rFonts w:ascii="Times New Roman" w:eastAsia="Times New Roman" w:hAnsi="Times New Roman" w:cs="Times New Roman"/>
                <w:b/>
                <w:bCs/>
              </w:rPr>
              <w:t>Metric</w:t>
            </w:r>
          </w:p>
        </w:tc>
        <w:tc>
          <w:tcPr>
            <w:tcW w:w="1717" w:type="dxa"/>
            <w:tcBorders>
              <w:top w:val="single" w:sz="4" w:space="0" w:color="000000"/>
              <w:bottom w:val="single" w:sz="4" w:space="0" w:color="000000"/>
            </w:tcBorders>
            <w:tcMar>
              <w:top w:w="15" w:type="dxa"/>
              <w:left w:w="137" w:type="dxa"/>
              <w:bottom w:w="137" w:type="dxa"/>
              <w:right w:w="137" w:type="dxa"/>
            </w:tcMar>
            <w:vAlign w:val="bottom"/>
          </w:tcPr>
          <w:p w14:paraId="6020C5FB"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Random Forest</w:t>
            </w:r>
          </w:p>
        </w:tc>
        <w:tc>
          <w:tcPr>
            <w:tcW w:w="1208" w:type="dxa"/>
            <w:tcBorders>
              <w:top w:val="single" w:sz="4" w:space="0" w:color="000000"/>
              <w:bottom w:val="single" w:sz="4" w:space="0" w:color="000000"/>
            </w:tcBorders>
            <w:tcMar>
              <w:top w:w="15" w:type="dxa"/>
              <w:left w:w="137" w:type="dxa"/>
              <w:bottom w:w="137" w:type="dxa"/>
              <w:right w:w="137" w:type="dxa"/>
            </w:tcMar>
            <w:vAlign w:val="bottom"/>
          </w:tcPr>
          <w:p w14:paraId="64581D4D" w14:textId="77777777" w:rsidR="00656586" w:rsidRDefault="00000000">
            <w:pPr>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XGBoost</w:t>
            </w:r>
            <w:proofErr w:type="spellEnd"/>
          </w:p>
        </w:tc>
        <w:tc>
          <w:tcPr>
            <w:tcW w:w="934" w:type="dxa"/>
            <w:tcBorders>
              <w:top w:val="single" w:sz="4" w:space="0" w:color="000000"/>
              <w:bottom w:val="single" w:sz="4" w:space="0" w:color="000000"/>
            </w:tcBorders>
            <w:tcMar>
              <w:top w:w="15" w:type="dxa"/>
              <w:left w:w="137" w:type="dxa"/>
              <w:bottom w:w="137" w:type="dxa"/>
              <w:right w:w="137" w:type="dxa"/>
            </w:tcMar>
            <w:vAlign w:val="bottom"/>
          </w:tcPr>
          <w:p w14:paraId="23691221"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BERT</w:t>
            </w:r>
          </w:p>
        </w:tc>
        <w:tc>
          <w:tcPr>
            <w:tcW w:w="2231" w:type="dxa"/>
            <w:tcBorders>
              <w:top w:val="single" w:sz="4" w:space="0" w:color="000000"/>
              <w:bottom w:val="single" w:sz="4" w:space="0" w:color="000000"/>
            </w:tcBorders>
            <w:tcMar>
              <w:top w:w="15" w:type="dxa"/>
              <w:left w:w="137" w:type="dxa"/>
              <w:bottom w:w="137" w:type="dxa"/>
              <w:right w:w="137" w:type="dxa"/>
            </w:tcMar>
            <w:vAlign w:val="bottom"/>
          </w:tcPr>
          <w:p w14:paraId="10E938D5"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Ensemble (Proposed)</w:t>
            </w:r>
          </w:p>
        </w:tc>
        <w:tc>
          <w:tcPr>
            <w:tcW w:w="1316" w:type="dxa"/>
            <w:tcBorders>
              <w:top w:val="single" w:sz="4" w:space="0" w:color="000000"/>
              <w:bottom w:val="single" w:sz="4" w:space="0" w:color="000000"/>
            </w:tcBorders>
            <w:tcMar>
              <w:top w:w="15" w:type="dxa"/>
              <w:left w:w="137" w:type="dxa"/>
              <w:bottom w:w="137" w:type="dxa"/>
              <w:right w:w="15" w:type="dxa"/>
            </w:tcMar>
            <w:vAlign w:val="bottom"/>
          </w:tcPr>
          <w:p w14:paraId="5E3609BC"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Target Met?</w:t>
            </w:r>
          </w:p>
        </w:tc>
      </w:tr>
      <w:tr w:rsidR="00656586" w14:paraId="08D90136" w14:textId="77777777">
        <w:tc>
          <w:tcPr>
            <w:tcW w:w="1954" w:type="dxa"/>
            <w:tcBorders>
              <w:top w:val="single" w:sz="4" w:space="0" w:color="000000"/>
            </w:tcBorders>
            <w:tcMar>
              <w:top w:w="137" w:type="dxa"/>
              <w:left w:w="0" w:type="dxa"/>
              <w:bottom w:w="137" w:type="dxa"/>
              <w:right w:w="137" w:type="dxa"/>
            </w:tcMar>
            <w:vAlign w:val="bottom"/>
          </w:tcPr>
          <w:p w14:paraId="27284A46"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Accuracy</w:t>
            </w:r>
          </w:p>
        </w:tc>
        <w:tc>
          <w:tcPr>
            <w:tcW w:w="1717" w:type="dxa"/>
            <w:tcBorders>
              <w:top w:val="single" w:sz="4" w:space="0" w:color="000000"/>
            </w:tcBorders>
            <w:tcMar>
              <w:top w:w="137" w:type="dxa"/>
              <w:left w:w="137" w:type="dxa"/>
              <w:bottom w:w="137" w:type="dxa"/>
              <w:right w:w="137" w:type="dxa"/>
            </w:tcMar>
            <w:vAlign w:val="bottom"/>
          </w:tcPr>
          <w:p w14:paraId="4FB618F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0.9852</w:t>
            </w:r>
          </w:p>
        </w:tc>
        <w:tc>
          <w:tcPr>
            <w:tcW w:w="1208" w:type="dxa"/>
            <w:tcBorders>
              <w:top w:val="single" w:sz="4" w:space="0" w:color="000000"/>
            </w:tcBorders>
            <w:tcMar>
              <w:top w:w="137" w:type="dxa"/>
              <w:left w:w="137" w:type="dxa"/>
              <w:bottom w:w="137" w:type="dxa"/>
              <w:right w:w="137" w:type="dxa"/>
            </w:tcMar>
            <w:vAlign w:val="bottom"/>
          </w:tcPr>
          <w:p w14:paraId="17E8F57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0.9878</w:t>
            </w:r>
          </w:p>
        </w:tc>
        <w:tc>
          <w:tcPr>
            <w:tcW w:w="934" w:type="dxa"/>
            <w:tcBorders>
              <w:top w:val="single" w:sz="4" w:space="0" w:color="000000"/>
            </w:tcBorders>
            <w:tcMar>
              <w:top w:w="137" w:type="dxa"/>
              <w:left w:w="137" w:type="dxa"/>
              <w:bottom w:w="137" w:type="dxa"/>
              <w:right w:w="137" w:type="dxa"/>
            </w:tcMar>
            <w:vAlign w:val="bottom"/>
          </w:tcPr>
          <w:p w14:paraId="5F1E2E2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0.9845</w:t>
            </w:r>
          </w:p>
        </w:tc>
        <w:tc>
          <w:tcPr>
            <w:tcW w:w="2231" w:type="dxa"/>
            <w:tcBorders>
              <w:top w:val="single" w:sz="4" w:space="0" w:color="000000"/>
            </w:tcBorders>
            <w:tcMar>
              <w:top w:w="137" w:type="dxa"/>
              <w:left w:w="137" w:type="dxa"/>
              <w:bottom w:w="137" w:type="dxa"/>
              <w:right w:w="137" w:type="dxa"/>
            </w:tcMar>
            <w:vAlign w:val="bottom"/>
          </w:tcPr>
          <w:p w14:paraId="23DE3A8F"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0.9894</w:t>
            </w:r>
          </w:p>
        </w:tc>
        <w:tc>
          <w:tcPr>
            <w:tcW w:w="1316" w:type="dxa"/>
            <w:tcBorders>
              <w:top w:val="single" w:sz="4" w:space="0" w:color="000000"/>
            </w:tcBorders>
            <w:tcMar>
              <w:top w:w="137" w:type="dxa"/>
              <w:left w:w="137" w:type="dxa"/>
              <w:bottom w:w="137" w:type="dxa"/>
              <w:right w:w="0" w:type="dxa"/>
            </w:tcMar>
            <w:vAlign w:val="bottom"/>
          </w:tcPr>
          <w:p w14:paraId="1F793AFF"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2D33BD8F" w14:textId="77777777">
        <w:tc>
          <w:tcPr>
            <w:tcW w:w="1954" w:type="dxa"/>
            <w:tcMar>
              <w:top w:w="137" w:type="dxa"/>
              <w:left w:w="0" w:type="dxa"/>
              <w:bottom w:w="137" w:type="dxa"/>
              <w:right w:w="137" w:type="dxa"/>
            </w:tcMar>
            <w:vAlign w:val="bottom"/>
          </w:tcPr>
          <w:p w14:paraId="08102D6B"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Precision</w:t>
            </w:r>
          </w:p>
        </w:tc>
        <w:tc>
          <w:tcPr>
            <w:tcW w:w="1717" w:type="dxa"/>
            <w:tcMar>
              <w:top w:w="137" w:type="dxa"/>
              <w:left w:w="137" w:type="dxa"/>
              <w:bottom w:w="137" w:type="dxa"/>
              <w:right w:w="137" w:type="dxa"/>
            </w:tcMar>
            <w:vAlign w:val="bottom"/>
          </w:tcPr>
          <w:p w14:paraId="6FAB0935"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0.894</w:t>
            </w:r>
          </w:p>
        </w:tc>
        <w:tc>
          <w:tcPr>
            <w:tcW w:w="1208" w:type="dxa"/>
            <w:tcMar>
              <w:top w:w="137" w:type="dxa"/>
              <w:left w:w="137" w:type="dxa"/>
              <w:bottom w:w="137" w:type="dxa"/>
              <w:right w:w="137" w:type="dxa"/>
            </w:tcMar>
            <w:vAlign w:val="bottom"/>
          </w:tcPr>
          <w:p w14:paraId="0F8D1DF5"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0.913</w:t>
            </w:r>
          </w:p>
        </w:tc>
        <w:tc>
          <w:tcPr>
            <w:tcW w:w="934" w:type="dxa"/>
            <w:tcMar>
              <w:top w:w="137" w:type="dxa"/>
              <w:left w:w="137" w:type="dxa"/>
              <w:bottom w:w="137" w:type="dxa"/>
              <w:right w:w="137" w:type="dxa"/>
            </w:tcMar>
            <w:vAlign w:val="bottom"/>
          </w:tcPr>
          <w:p w14:paraId="33C3027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0.889</w:t>
            </w:r>
          </w:p>
        </w:tc>
        <w:tc>
          <w:tcPr>
            <w:tcW w:w="2231" w:type="dxa"/>
            <w:tcMar>
              <w:top w:w="137" w:type="dxa"/>
              <w:left w:w="137" w:type="dxa"/>
              <w:bottom w:w="137" w:type="dxa"/>
              <w:right w:w="137" w:type="dxa"/>
            </w:tcMar>
            <w:vAlign w:val="bottom"/>
          </w:tcPr>
          <w:p w14:paraId="5B426D7D"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0.927</w:t>
            </w:r>
          </w:p>
        </w:tc>
        <w:tc>
          <w:tcPr>
            <w:tcW w:w="1316" w:type="dxa"/>
            <w:tcMar>
              <w:top w:w="137" w:type="dxa"/>
              <w:left w:w="137" w:type="dxa"/>
              <w:bottom w:w="137" w:type="dxa"/>
              <w:right w:w="0" w:type="dxa"/>
            </w:tcMar>
            <w:vAlign w:val="bottom"/>
          </w:tcPr>
          <w:p w14:paraId="1E6F4195"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42DC7284" w14:textId="77777777">
        <w:tc>
          <w:tcPr>
            <w:tcW w:w="1954" w:type="dxa"/>
            <w:tcMar>
              <w:top w:w="137" w:type="dxa"/>
              <w:left w:w="0" w:type="dxa"/>
              <w:bottom w:w="137" w:type="dxa"/>
              <w:right w:w="137" w:type="dxa"/>
            </w:tcMar>
            <w:vAlign w:val="bottom"/>
          </w:tcPr>
          <w:p w14:paraId="34FBD4EA"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Recall</w:t>
            </w:r>
          </w:p>
        </w:tc>
        <w:tc>
          <w:tcPr>
            <w:tcW w:w="1717" w:type="dxa"/>
            <w:tcMar>
              <w:top w:w="137" w:type="dxa"/>
              <w:left w:w="137" w:type="dxa"/>
              <w:bottom w:w="137" w:type="dxa"/>
              <w:right w:w="137" w:type="dxa"/>
            </w:tcMar>
            <w:vAlign w:val="bottom"/>
          </w:tcPr>
          <w:p w14:paraId="3C23F72A"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0.911</w:t>
            </w:r>
          </w:p>
        </w:tc>
        <w:tc>
          <w:tcPr>
            <w:tcW w:w="1208" w:type="dxa"/>
            <w:tcMar>
              <w:top w:w="137" w:type="dxa"/>
              <w:left w:w="137" w:type="dxa"/>
              <w:bottom w:w="137" w:type="dxa"/>
              <w:right w:w="137" w:type="dxa"/>
            </w:tcMar>
            <w:vAlign w:val="bottom"/>
          </w:tcPr>
          <w:p w14:paraId="4ACDDE2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0.929</w:t>
            </w:r>
          </w:p>
        </w:tc>
        <w:tc>
          <w:tcPr>
            <w:tcW w:w="934" w:type="dxa"/>
            <w:tcMar>
              <w:top w:w="137" w:type="dxa"/>
              <w:left w:w="137" w:type="dxa"/>
              <w:bottom w:w="137" w:type="dxa"/>
              <w:right w:w="137" w:type="dxa"/>
            </w:tcMar>
            <w:vAlign w:val="bottom"/>
          </w:tcPr>
          <w:p w14:paraId="56D0341E"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0.906</w:t>
            </w:r>
          </w:p>
        </w:tc>
        <w:tc>
          <w:tcPr>
            <w:tcW w:w="2231" w:type="dxa"/>
            <w:tcMar>
              <w:top w:w="137" w:type="dxa"/>
              <w:left w:w="137" w:type="dxa"/>
              <w:bottom w:w="137" w:type="dxa"/>
              <w:right w:w="137" w:type="dxa"/>
            </w:tcMar>
            <w:vAlign w:val="bottom"/>
          </w:tcPr>
          <w:p w14:paraId="0C6C345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0.944</w:t>
            </w:r>
          </w:p>
        </w:tc>
        <w:tc>
          <w:tcPr>
            <w:tcW w:w="1316" w:type="dxa"/>
            <w:tcMar>
              <w:top w:w="137" w:type="dxa"/>
              <w:left w:w="137" w:type="dxa"/>
              <w:bottom w:w="137" w:type="dxa"/>
              <w:right w:w="0" w:type="dxa"/>
            </w:tcMar>
            <w:vAlign w:val="bottom"/>
          </w:tcPr>
          <w:p w14:paraId="2E20FED1"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0004299C" w14:textId="77777777">
        <w:tc>
          <w:tcPr>
            <w:tcW w:w="1954" w:type="dxa"/>
            <w:tcMar>
              <w:top w:w="137" w:type="dxa"/>
              <w:left w:w="0" w:type="dxa"/>
              <w:bottom w:w="137" w:type="dxa"/>
              <w:right w:w="137" w:type="dxa"/>
            </w:tcMar>
            <w:vAlign w:val="bottom"/>
          </w:tcPr>
          <w:p w14:paraId="1E21FC96"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F1-Score</w:t>
            </w:r>
          </w:p>
        </w:tc>
        <w:tc>
          <w:tcPr>
            <w:tcW w:w="1717" w:type="dxa"/>
            <w:tcMar>
              <w:top w:w="137" w:type="dxa"/>
              <w:left w:w="137" w:type="dxa"/>
              <w:bottom w:w="137" w:type="dxa"/>
              <w:right w:w="137" w:type="dxa"/>
            </w:tcMar>
            <w:vAlign w:val="bottom"/>
          </w:tcPr>
          <w:p w14:paraId="18E3B6A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0.902</w:t>
            </w:r>
          </w:p>
        </w:tc>
        <w:tc>
          <w:tcPr>
            <w:tcW w:w="1208" w:type="dxa"/>
            <w:tcMar>
              <w:top w:w="137" w:type="dxa"/>
              <w:left w:w="137" w:type="dxa"/>
              <w:bottom w:w="137" w:type="dxa"/>
              <w:right w:w="137" w:type="dxa"/>
            </w:tcMar>
            <w:vAlign w:val="bottom"/>
          </w:tcPr>
          <w:p w14:paraId="72E3B674"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0.921</w:t>
            </w:r>
          </w:p>
        </w:tc>
        <w:tc>
          <w:tcPr>
            <w:tcW w:w="934" w:type="dxa"/>
            <w:tcMar>
              <w:top w:w="137" w:type="dxa"/>
              <w:left w:w="137" w:type="dxa"/>
              <w:bottom w:w="137" w:type="dxa"/>
              <w:right w:w="137" w:type="dxa"/>
            </w:tcMar>
            <w:vAlign w:val="bottom"/>
          </w:tcPr>
          <w:p w14:paraId="24DB756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0.897</w:t>
            </w:r>
          </w:p>
        </w:tc>
        <w:tc>
          <w:tcPr>
            <w:tcW w:w="2231" w:type="dxa"/>
            <w:tcMar>
              <w:top w:w="137" w:type="dxa"/>
              <w:left w:w="137" w:type="dxa"/>
              <w:bottom w:w="137" w:type="dxa"/>
              <w:right w:w="137" w:type="dxa"/>
            </w:tcMar>
            <w:vAlign w:val="bottom"/>
          </w:tcPr>
          <w:p w14:paraId="1233D49A"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0.935</w:t>
            </w:r>
          </w:p>
        </w:tc>
        <w:tc>
          <w:tcPr>
            <w:tcW w:w="1316" w:type="dxa"/>
            <w:tcMar>
              <w:top w:w="137" w:type="dxa"/>
              <w:left w:w="137" w:type="dxa"/>
              <w:bottom w:w="137" w:type="dxa"/>
              <w:right w:w="0" w:type="dxa"/>
            </w:tcMar>
            <w:vAlign w:val="bottom"/>
          </w:tcPr>
          <w:p w14:paraId="696FC5CD"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0B4BEC47" w14:textId="77777777">
        <w:tc>
          <w:tcPr>
            <w:tcW w:w="1954" w:type="dxa"/>
            <w:tcMar>
              <w:top w:w="137" w:type="dxa"/>
              <w:left w:w="0" w:type="dxa"/>
              <w:bottom w:w="137" w:type="dxa"/>
              <w:right w:w="137" w:type="dxa"/>
            </w:tcMar>
            <w:vAlign w:val="bottom"/>
          </w:tcPr>
          <w:p w14:paraId="3ABCFADF"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ROC-AUC</w:t>
            </w:r>
          </w:p>
        </w:tc>
        <w:tc>
          <w:tcPr>
            <w:tcW w:w="1717" w:type="dxa"/>
            <w:tcMar>
              <w:top w:w="137" w:type="dxa"/>
              <w:left w:w="137" w:type="dxa"/>
              <w:bottom w:w="137" w:type="dxa"/>
              <w:right w:w="137" w:type="dxa"/>
            </w:tcMar>
            <w:vAlign w:val="bottom"/>
          </w:tcPr>
          <w:p w14:paraId="7EF1158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0.953</w:t>
            </w:r>
          </w:p>
        </w:tc>
        <w:tc>
          <w:tcPr>
            <w:tcW w:w="1208" w:type="dxa"/>
            <w:tcMar>
              <w:top w:w="137" w:type="dxa"/>
              <w:left w:w="137" w:type="dxa"/>
              <w:bottom w:w="137" w:type="dxa"/>
              <w:right w:w="137" w:type="dxa"/>
            </w:tcMar>
            <w:vAlign w:val="bottom"/>
          </w:tcPr>
          <w:p w14:paraId="01D2CB1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0.962</w:t>
            </w:r>
          </w:p>
        </w:tc>
        <w:tc>
          <w:tcPr>
            <w:tcW w:w="934" w:type="dxa"/>
            <w:tcMar>
              <w:top w:w="137" w:type="dxa"/>
              <w:left w:w="137" w:type="dxa"/>
              <w:bottom w:w="137" w:type="dxa"/>
              <w:right w:w="137" w:type="dxa"/>
            </w:tcMar>
            <w:vAlign w:val="bottom"/>
          </w:tcPr>
          <w:p w14:paraId="0EC4C62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0.949</w:t>
            </w:r>
          </w:p>
        </w:tc>
        <w:tc>
          <w:tcPr>
            <w:tcW w:w="2231" w:type="dxa"/>
            <w:tcMar>
              <w:top w:w="137" w:type="dxa"/>
              <w:left w:w="137" w:type="dxa"/>
              <w:bottom w:w="137" w:type="dxa"/>
              <w:right w:w="137" w:type="dxa"/>
            </w:tcMar>
            <w:vAlign w:val="bottom"/>
          </w:tcPr>
          <w:p w14:paraId="2DF2BFD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0.968</w:t>
            </w:r>
          </w:p>
        </w:tc>
        <w:tc>
          <w:tcPr>
            <w:tcW w:w="1316" w:type="dxa"/>
            <w:tcMar>
              <w:top w:w="137" w:type="dxa"/>
              <w:left w:w="137" w:type="dxa"/>
              <w:bottom w:w="137" w:type="dxa"/>
              <w:right w:w="0" w:type="dxa"/>
            </w:tcMar>
            <w:vAlign w:val="bottom"/>
          </w:tcPr>
          <w:p w14:paraId="54B6FE7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22A95AF0" w14:textId="77777777">
        <w:tc>
          <w:tcPr>
            <w:tcW w:w="1954" w:type="dxa"/>
            <w:tcMar>
              <w:top w:w="137" w:type="dxa"/>
              <w:left w:w="0" w:type="dxa"/>
              <w:bottom w:w="137" w:type="dxa"/>
              <w:right w:w="137" w:type="dxa"/>
            </w:tcMar>
            <w:vAlign w:val="bottom"/>
          </w:tcPr>
          <w:p w14:paraId="7AB40E3F"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PR-AUC</w:t>
            </w:r>
          </w:p>
        </w:tc>
        <w:tc>
          <w:tcPr>
            <w:tcW w:w="1717" w:type="dxa"/>
            <w:tcMar>
              <w:top w:w="137" w:type="dxa"/>
              <w:left w:w="137" w:type="dxa"/>
              <w:bottom w:w="137" w:type="dxa"/>
              <w:right w:w="137" w:type="dxa"/>
            </w:tcMar>
            <w:vAlign w:val="bottom"/>
          </w:tcPr>
          <w:p w14:paraId="6893786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0.878</w:t>
            </w:r>
          </w:p>
        </w:tc>
        <w:tc>
          <w:tcPr>
            <w:tcW w:w="1208" w:type="dxa"/>
            <w:tcMar>
              <w:top w:w="137" w:type="dxa"/>
              <w:left w:w="137" w:type="dxa"/>
              <w:bottom w:w="137" w:type="dxa"/>
              <w:right w:w="137" w:type="dxa"/>
            </w:tcMar>
            <w:vAlign w:val="bottom"/>
          </w:tcPr>
          <w:p w14:paraId="7C7EE872"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0.895</w:t>
            </w:r>
          </w:p>
        </w:tc>
        <w:tc>
          <w:tcPr>
            <w:tcW w:w="934" w:type="dxa"/>
            <w:tcMar>
              <w:top w:w="137" w:type="dxa"/>
              <w:left w:w="137" w:type="dxa"/>
              <w:bottom w:w="137" w:type="dxa"/>
              <w:right w:w="137" w:type="dxa"/>
            </w:tcMar>
            <w:vAlign w:val="bottom"/>
          </w:tcPr>
          <w:p w14:paraId="2BA8663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0.871</w:t>
            </w:r>
          </w:p>
        </w:tc>
        <w:tc>
          <w:tcPr>
            <w:tcW w:w="2231" w:type="dxa"/>
            <w:tcMar>
              <w:top w:w="137" w:type="dxa"/>
              <w:left w:w="137" w:type="dxa"/>
              <w:bottom w:w="137" w:type="dxa"/>
              <w:right w:w="137" w:type="dxa"/>
            </w:tcMar>
            <w:vAlign w:val="bottom"/>
          </w:tcPr>
          <w:p w14:paraId="7666D95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0.908</w:t>
            </w:r>
          </w:p>
        </w:tc>
        <w:tc>
          <w:tcPr>
            <w:tcW w:w="1316" w:type="dxa"/>
            <w:tcMar>
              <w:top w:w="137" w:type="dxa"/>
              <w:left w:w="137" w:type="dxa"/>
              <w:bottom w:w="137" w:type="dxa"/>
              <w:right w:w="0" w:type="dxa"/>
            </w:tcMar>
            <w:vAlign w:val="bottom"/>
          </w:tcPr>
          <w:p w14:paraId="62AD051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17469926" w14:textId="77777777">
        <w:tc>
          <w:tcPr>
            <w:tcW w:w="1954" w:type="dxa"/>
            <w:tcMar>
              <w:top w:w="137" w:type="dxa"/>
              <w:left w:w="0" w:type="dxa"/>
              <w:bottom w:w="137" w:type="dxa"/>
              <w:right w:w="137" w:type="dxa"/>
            </w:tcMar>
            <w:vAlign w:val="bottom"/>
          </w:tcPr>
          <w:p w14:paraId="56126E45"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MCC</w:t>
            </w:r>
          </w:p>
        </w:tc>
        <w:tc>
          <w:tcPr>
            <w:tcW w:w="1717" w:type="dxa"/>
            <w:tcMar>
              <w:top w:w="137" w:type="dxa"/>
              <w:left w:w="137" w:type="dxa"/>
              <w:bottom w:w="137" w:type="dxa"/>
              <w:right w:w="137" w:type="dxa"/>
            </w:tcMar>
            <w:vAlign w:val="bottom"/>
          </w:tcPr>
          <w:p w14:paraId="1C1D390A"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0.823</w:t>
            </w:r>
          </w:p>
        </w:tc>
        <w:tc>
          <w:tcPr>
            <w:tcW w:w="1208" w:type="dxa"/>
            <w:tcMar>
              <w:top w:w="137" w:type="dxa"/>
              <w:left w:w="137" w:type="dxa"/>
              <w:bottom w:w="137" w:type="dxa"/>
              <w:right w:w="137" w:type="dxa"/>
            </w:tcMar>
            <w:vAlign w:val="bottom"/>
          </w:tcPr>
          <w:p w14:paraId="282204A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0.841</w:t>
            </w:r>
          </w:p>
        </w:tc>
        <w:tc>
          <w:tcPr>
            <w:tcW w:w="934" w:type="dxa"/>
            <w:tcMar>
              <w:top w:w="137" w:type="dxa"/>
              <w:left w:w="137" w:type="dxa"/>
              <w:bottom w:w="137" w:type="dxa"/>
              <w:right w:w="137" w:type="dxa"/>
            </w:tcMar>
            <w:vAlign w:val="bottom"/>
          </w:tcPr>
          <w:p w14:paraId="3C197A92"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0.815</w:t>
            </w:r>
          </w:p>
        </w:tc>
        <w:tc>
          <w:tcPr>
            <w:tcW w:w="2231" w:type="dxa"/>
            <w:tcMar>
              <w:top w:w="137" w:type="dxa"/>
              <w:left w:w="137" w:type="dxa"/>
              <w:bottom w:w="137" w:type="dxa"/>
              <w:right w:w="137" w:type="dxa"/>
            </w:tcMar>
            <w:vAlign w:val="bottom"/>
          </w:tcPr>
          <w:p w14:paraId="38800F34"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0.856</w:t>
            </w:r>
          </w:p>
        </w:tc>
        <w:tc>
          <w:tcPr>
            <w:tcW w:w="1316" w:type="dxa"/>
            <w:tcMar>
              <w:top w:w="137" w:type="dxa"/>
              <w:left w:w="137" w:type="dxa"/>
              <w:bottom w:w="137" w:type="dxa"/>
              <w:right w:w="0" w:type="dxa"/>
            </w:tcMar>
            <w:vAlign w:val="bottom"/>
          </w:tcPr>
          <w:p w14:paraId="23D4016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Yes</w:t>
            </w:r>
          </w:p>
        </w:tc>
      </w:tr>
      <w:tr w:rsidR="00656586" w14:paraId="7352F946" w14:textId="77777777">
        <w:tc>
          <w:tcPr>
            <w:tcW w:w="1954" w:type="dxa"/>
            <w:tcMar>
              <w:top w:w="137" w:type="dxa"/>
              <w:left w:w="0" w:type="dxa"/>
              <w:bottom w:w="137" w:type="dxa"/>
              <w:right w:w="137" w:type="dxa"/>
            </w:tcMar>
            <w:vAlign w:val="bottom"/>
          </w:tcPr>
          <w:p w14:paraId="0A6DFA49"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Mean Latency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w:t>
            </w:r>
          </w:p>
        </w:tc>
        <w:tc>
          <w:tcPr>
            <w:tcW w:w="1717" w:type="dxa"/>
            <w:tcMar>
              <w:top w:w="137" w:type="dxa"/>
              <w:left w:w="137" w:type="dxa"/>
              <w:bottom w:w="137" w:type="dxa"/>
              <w:right w:w="137" w:type="dxa"/>
            </w:tcMar>
            <w:vAlign w:val="bottom"/>
          </w:tcPr>
          <w:p w14:paraId="38276DD4"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28.4</w:t>
            </w:r>
          </w:p>
        </w:tc>
        <w:tc>
          <w:tcPr>
            <w:tcW w:w="1208" w:type="dxa"/>
            <w:tcMar>
              <w:top w:w="137" w:type="dxa"/>
              <w:left w:w="137" w:type="dxa"/>
              <w:bottom w:w="137" w:type="dxa"/>
              <w:right w:w="137" w:type="dxa"/>
            </w:tcMar>
            <w:vAlign w:val="bottom"/>
          </w:tcPr>
          <w:p w14:paraId="5BAD376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31.2</w:t>
            </w:r>
          </w:p>
        </w:tc>
        <w:tc>
          <w:tcPr>
            <w:tcW w:w="934" w:type="dxa"/>
            <w:tcMar>
              <w:top w:w="137" w:type="dxa"/>
              <w:left w:w="137" w:type="dxa"/>
              <w:bottom w:w="137" w:type="dxa"/>
              <w:right w:w="137" w:type="dxa"/>
            </w:tcMar>
            <w:vAlign w:val="bottom"/>
          </w:tcPr>
          <w:p w14:paraId="1F335F02"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68.9</w:t>
            </w:r>
          </w:p>
        </w:tc>
        <w:tc>
          <w:tcPr>
            <w:tcW w:w="2231" w:type="dxa"/>
            <w:tcMar>
              <w:top w:w="137" w:type="dxa"/>
              <w:left w:w="137" w:type="dxa"/>
              <w:bottom w:w="137" w:type="dxa"/>
              <w:right w:w="137" w:type="dxa"/>
            </w:tcMar>
            <w:vAlign w:val="bottom"/>
          </w:tcPr>
          <w:p w14:paraId="10D09B7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44.8</w:t>
            </w:r>
          </w:p>
        </w:tc>
        <w:tc>
          <w:tcPr>
            <w:tcW w:w="1316" w:type="dxa"/>
            <w:tcMar>
              <w:top w:w="137" w:type="dxa"/>
              <w:left w:w="137" w:type="dxa"/>
              <w:bottom w:w="137" w:type="dxa"/>
              <w:right w:w="0" w:type="dxa"/>
            </w:tcMar>
            <w:vAlign w:val="bottom"/>
          </w:tcPr>
          <w:p w14:paraId="2DE989AA"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&lt;100 </w:t>
            </w:r>
            <w:proofErr w:type="spellStart"/>
            <w:r>
              <w:rPr>
                <w:rFonts w:ascii="Times New Roman" w:eastAsia="Times New Roman" w:hAnsi="Times New Roman" w:cs="Times New Roman"/>
              </w:rPr>
              <w:t>ms</w:t>
            </w:r>
            <w:proofErr w:type="spellEnd"/>
          </w:p>
        </w:tc>
      </w:tr>
      <w:tr w:rsidR="00656586" w14:paraId="32400F1A" w14:textId="77777777">
        <w:tc>
          <w:tcPr>
            <w:tcW w:w="1954" w:type="dxa"/>
            <w:tcBorders>
              <w:bottom w:val="single" w:sz="4" w:space="0" w:color="000000"/>
            </w:tcBorders>
            <w:tcMar>
              <w:top w:w="137" w:type="dxa"/>
              <w:left w:w="0" w:type="dxa"/>
              <w:bottom w:w="137" w:type="dxa"/>
              <w:right w:w="137" w:type="dxa"/>
            </w:tcMar>
            <w:vAlign w:val="bottom"/>
          </w:tcPr>
          <w:p w14:paraId="5131ED50" w14:textId="77777777" w:rsidR="00656586" w:rsidRDefault="00000000">
            <w:pPr>
              <w:spacing w:line="240" w:lineRule="auto"/>
              <w:ind w:left="90"/>
              <w:jc w:val="both"/>
              <w:rPr>
                <w:rFonts w:ascii="Times New Roman" w:eastAsia="Times New Roman" w:hAnsi="Times New Roman" w:cs="Times New Roman"/>
              </w:rPr>
            </w:pPr>
            <w:r>
              <w:rPr>
                <w:rFonts w:ascii="Times New Roman" w:eastAsia="Times New Roman" w:hAnsi="Times New Roman" w:cs="Times New Roman"/>
              </w:rPr>
              <w:t>Throughput (</w:t>
            </w:r>
            <w:proofErr w:type="spellStart"/>
            <w:r>
              <w:rPr>
                <w:rFonts w:ascii="Times New Roman" w:eastAsia="Times New Roman" w:hAnsi="Times New Roman" w:cs="Times New Roman"/>
              </w:rPr>
              <w:t>tx</w:t>
            </w:r>
            <w:proofErr w:type="spellEnd"/>
            <w:r>
              <w:rPr>
                <w:rFonts w:ascii="Times New Roman" w:eastAsia="Times New Roman" w:hAnsi="Times New Roman" w:cs="Times New Roman"/>
              </w:rPr>
              <w:t>/s)</w:t>
            </w:r>
          </w:p>
        </w:tc>
        <w:tc>
          <w:tcPr>
            <w:tcW w:w="1717" w:type="dxa"/>
            <w:tcBorders>
              <w:bottom w:val="single" w:sz="4" w:space="0" w:color="000000"/>
            </w:tcBorders>
            <w:tcMar>
              <w:top w:w="137" w:type="dxa"/>
              <w:left w:w="137" w:type="dxa"/>
              <w:bottom w:w="137" w:type="dxa"/>
              <w:right w:w="137" w:type="dxa"/>
            </w:tcMar>
            <w:vAlign w:val="bottom"/>
          </w:tcPr>
          <w:p w14:paraId="0369EBB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14,200</w:t>
            </w:r>
          </w:p>
        </w:tc>
        <w:tc>
          <w:tcPr>
            <w:tcW w:w="1208" w:type="dxa"/>
            <w:tcBorders>
              <w:bottom w:val="single" w:sz="4" w:space="0" w:color="000000"/>
            </w:tcBorders>
            <w:tcMar>
              <w:top w:w="137" w:type="dxa"/>
              <w:left w:w="137" w:type="dxa"/>
              <w:bottom w:w="137" w:type="dxa"/>
              <w:right w:w="137" w:type="dxa"/>
            </w:tcMar>
            <w:vAlign w:val="bottom"/>
          </w:tcPr>
          <w:p w14:paraId="118449D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13,800</w:t>
            </w:r>
          </w:p>
        </w:tc>
        <w:tc>
          <w:tcPr>
            <w:tcW w:w="934" w:type="dxa"/>
            <w:tcBorders>
              <w:bottom w:val="single" w:sz="4" w:space="0" w:color="000000"/>
            </w:tcBorders>
            <w:tcMar>
              <w:top w:w="137" w:type="dxa"/>
              <w:left w:w="137" w:type="dxa"/>
              <w:bottom w:w="137" w:type="dxa"/>
              <w:right w:w="137" w:type="dxa"/>
            </w:tcMar>
            <w:vAlign w:val="bottom"/>
          </w:tcPr>
          <w:p w14:paraId="1B114A5F"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8,900</w:t>
            </w:r>
          </w:p>
        </w:tc>
        <w:tc>
          <w:tcPr>
            <w:tcW w:w="2231" w:type="dxa"/>
            <w:tcBorders>
              <w:bottom w:val="single" w:sz="4" w:space="0" w:color="000000"/>
            </w:tcBorders>
            <w:tcMar>
              <w:top w:w="137" w:type="dxa"/>
              <w:left w:w="137" w:type="dxa"/>
              <w:bottom w:w="137" w:type="dxa"/>
              <w:right w:w="137" w:type="dxa"/>
            </w:tcMar>
            <w:vAlign w:val="bottom"/>
          </w:tcPr>
          <w:p w14:paraId="015ED7C3"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12,800</w:t>
            </w:r>
          </w:p>
        </w:tc>
        <w:tc>
          <w:tcPr>
            <w:tcW w:w="1316" w:type="dxa"/>
            <w:tcBorders>
              <w:bottom w:val="single" w:sz="4" w:space="0" w:color="000000"/>
            </w:tcBorders>
            <w:tcMar>
              <w:top w:w="137" w:type="dxa"/>
              <w:left w:w="137" w:type="dxa"/>
              <w:bottom w:w="137" w:type="dxa"/>
              <w:right w:w="0" w:type="dxa"/>
            </w:tcMar>
            <w:vAlign w:val="bottom"/>
          </w:tcPr>
          <w:p w14:paraId="2E87FEA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&gt;10,000</w:t>
            </w:r>
          </w:p>
        </w:tc>
      </w:tr>
    </w:tbl>
    <w:p w14:paraId="5E9028A8"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ensemble consistently outperformed individual models, achieving 98.94% accuracy, 0.935 F1-score, and 0.968 ROC-AUC while maintaining 44.8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average inference latency, well below the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real-time threshold. Figure 2 illustrates ROC curves for all architectures. </w:t>
      </w:r>
    </w:p>
    <w:p w14:paraId="5B748CCF" w14:textId="77777777" w:rsidR="00656586" w:rsidRDefault="00656586">
      <w:pPr>
        <w:spacing w:line="360" w:lineRule="auto"/>
        <w:jc w:val="both"/>
        <w:rPr>
          <w:rFonts w:ascii="Times New Roman" w:eastAsia="Times New Roman" w:hAnsi="Times New Roman" w:cs="Times New Roman"/>
          <w:b/>
          <w:bCs/>
        </w:rPr>
      </w:pPr>
    </w:p>
    <w:p w14:paraId="214AC634" w14:textId="77777777" w:rsidR="00656586" w:rsidRDefault="00656586">
      <w:pPr>
        <w:spacing w:line="360" w:lineRule="auto"/>
        <w:jc w:val="both"/>
        <w:rPr>
          <w:rFonts w:ascii="Times New Roman" w:eastAsia="Times New Roman" w:hAnsi="Times New Roman" w:cs="Times New Roman"/>
          <w:b/>
          <w:bCs/>
        </w:rPr>
      </w:pPr>
    </w:p>
    <w:p w14:paraId="4CA28D09"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2</w:t>
      </w:r>
    </w:p>
    <w:p w14:paraId="13096B70"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ROC Curves Comparison</w:t>
      </w:r>
    </w:p>
    <w:p w14:paraId="6B6B6101"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576324" wp14:editId="6E835BFA">
            <wp:extent cx="5506447" cy="32385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1779"/>
                    <a:stretch>
                      <a:fillRect/>
                    </a:stretch>
                  </pic:blipFill>
                  <pic:spPr>
                    <a:xfrm>
                      <a:off x="0" y="0"/>
                      <a:ext cx="5506447" cy="3238567"/>
                    </a:xfrm>
                    <a:prstGeom prst="rect">
                      <a:avLst/>
                    </a:prstGeom>
                    <a:ln/>
                  </pic:spPr>
                </pic:pic>
              </a:graphicData>
            </a:graphic>
          </wp:inline>
        </w:drawing>
      </w:r>
    </w:p>
    <w:p w14:paraId="117561D8"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Figure 3 displays Precision-Recall curves, critical for imbalanced data. The ensemble sustains precision above 0.92 across recall levels up to 0.96, confirming robust minority-class performance.</w:t>
      </w:r>
    </w:p>
    <w:p w14:paraId="5F376652"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3 </w:t>
      </w:r>
    </w:p>
    <w:p w14:paraId="6B5D433C"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Precision-Recall Curves</w:t>
      </w:r>
    </w:p>
    <w:p w14:paraId="73E940C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06C886C" wp14:editId="1EBA61CA">
            <wp:extent cx="5526498" cy="319244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3351"/>
                    <a:stretch>
                      <a:fillRect/>
                    </a:stretch>
                  </pic:blipFill>
                  <pic:spPr>
                    <a:xfrm>
                      <a:off x="0" y="0"/>
                      <a:ext cx="5526498" cy="3192445"/>
                    </a:xfrm>
                    <a:prstGeom prst="rect">
                      <a:avLst/>
                    </a:prstGeom>
                    <a:ln/>
                  </pic:spPr>
                </pic:pic>
              </a:graphicData>
            </a:graphic>
          </wp:inline>
        </w:drawing>
      </w:r>
    </w:p>
    <w:p w14:paraId="566695AA"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Confusion matrix analysis of the ensemble on the test set in Table 4 shows 42,569 true negatives, 62 false positives, 85 true positives, and 5 false negatives among 90 actual frauds yielding 94.4% recall and 99.85% legitimate approval rate.</w:t>
      </w:r>
    </w:p>
    <w:p w14:paraId="38887B57"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4 </w:t>
      </w:r>
    </w:p>
    <w:p w14:paraId="66F0979D"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Confusion Matrix – Ensemble Model</w:t>
      </w:r>
    </w:p>
    <w:tbl>
      <w:tblPr>
        <w:tblStyle w:val="a2"/>
        <w:tblW w:w="9251" w:type="dxa"/>
        <w:tblInd w:w="0" w:type="dxa"/>
        <w:tblLayout w:type="fixed"/>
        <w:tblLook w:val="0400" w:firstRow="0" w:lastRow="0" w:firstColumn="0" w:lastColumn="0" w:noHBand="0" w:noVBand="1"/>
      </w:tblPr>
      <w:tblGrid>
        <w:gridCol w:w="3109"/>
        <w:gridCol w:w="3496"/>
        <w:gridCol w:w="2646"/>
      </w:tblGrid>
      <w:tr w:rsidR="00656586" w14:paraId="7641C84D" w14:textId="77777777">
        <w:trPr>
          <w:trHeight w:val="604"/>
          <w:tblHeader/>
        </w:trPr>
        <w:tc>
          <w:tcPr>
            <w:tcW w:w="3109" w:type="dxa"/>
            <w:tcBorders>
              <w:top w:val="single" w:sz="4" w:space="0" w:color="000000"/>
              <w:bottom w:val="single" w:sz="4" w:space="0" w:color="000000"/>
            </w:tcBorders>
            <w:tcMar>
              <w:top w:w="15" w:type="dxa"/>
              <w:left w:w="0" w:type="dxa"/>
              <w:bottom w:w="137" w:type="dxa"/>
              <w:right w:w="137" w:type="dxa"/>
            </w:tcMar>
            <w:vAlign w:val="bottom"/>
          </w:tcPr>
          <w:p w14:paraId="36F5482A" w14:textId="77777777" w:rsidR="00656586" w:rsidRDefault="00656586">
            <w:pPr>
              <w:spacing w:line="360" w:lineRule="auto"/>
              <w:ind w:left="90"/>
              <w:jc w:val="both"/>
              <w:rPr>
                <w:rFonts w:ascii="Times New Roman" w:eastAsia="Times New Roman" w:hAnsi="Times New Roman" w:cs="Times New Roman"/>
              </w:rPr>
            </w:pPr>
          </w:p>
        </w:tc>
        <w:tc>
          <w:tcPr>
            <w:tcW w:w="3496" w:type="dxa"/>
            <w:tcBorders>
              <w:top w:val="single" w:sz="4" w:space="0" w:color="000000"/>
              <w:bottom w:val="single" w:sz="4" w:space="0" w:color="000000"/>
            </w:tcBorders>
            <w:tcMar>
              <w:top w:w="15" w:type="dxa"/>
              <w:left w:w="137" w:type="dxa"/>
              <w:bottom w:w="137" w:type="dxa"/>
              <w:right w:w="137" w:type="dxa"/>
            </w:tcMar>
            <w:vAlign w:val="bottom"/>
          </w:tcPr>
          <w:p w14:paraId="7ADE3CD6"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Predicted Legitimate</w:t>
            </w:r>
          </w:p>
        </w:tc>
        <w:tc>
          <w:tcPr>
            <w:tcW w:w="2646" w:type="dxa"/>
            <w:tcBorders>
              <w:top w:val="single" w:sz="4" w:space="0" w:color="000000"/>
              <w:bottom w:val="single" w:sz="4" w:space="0" w:color="000000"/>
            </w:tcBorders>
            <w:tcMar>
              <w:top w:w="15" w:type="dxa"/>
              <w:left w:w="137" w:type="dxa"/>
              <w:bottom w:w="137" w:type="dxa"/>
              <w:right w:w="15" w:type="dxa"/>
            </w:tcMar>
            <w:vAlign w:val="bottom"/>
          </w:tcPr>
          <w:p w14:paraId="3AD0C5D1" w14:textId="77777777" w:rsidR="00656586"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Predicted Fraud</w:t>
            </w:r>
          </w:p>
        </w:tc>
      </w:tr>
      <w:tr w:rsidR="00656586" w14:paraId="7633D589" w14:textId="77777777">
        <w:trPr>
          <w:trHeight w:val="635"/>
        </w:trPr>
        <w:tc>
          <w:tcPr>
            <w:tcW w:w="3109" w:type="dxa"/>
            <w:tcBorders>
              <w:top w:val="single" w:sz="4" w:space="0" w:color="000000"/>
            </w:tcBorders>
            <w:tcMar>
              <w:top w:w="137" w:type="dxa"/>
              <w:left w:w="0" w:type="dxa"/>
              <w:bottom w:w="137" w:type="dxa"/>
              <w:right w:w="137" w:type="dxa"/>
            </w:tcMar>
            <w:vAlign w:val="bottom"/>
          </w:tcPr>
          <w:p w14:paraId="54AE28F5" w14:textId="77777777" w:rsidR="00656586" w:rsidRDefault="00000000">
            <w:pPr>
              <w:spacing w:line="360" w:lineRule="auto"/>
              <w:ind w:left="90"/>
              <w:jc w:val="both"/>
              <w:rPr>
                <w:rFonts w:ascii="Times New Roman" w:eastAsia="Times New Roman" w:hAnsi="Times New Roman" w:cs="Times New Roman"/>
              </w:rPr>
            </w:pPr>
            <w:r>
              <w:rPr>
                <w:rFonts w:ascii="Times New Roman" w:eastAsia="Times New Roman" w:hAnsi="Times New Roman" w:cs="Times New Roman"/>
              </w:rPr>
              <w:t>Actually Legitimate</w:t>
            </w:r>
          </w:p>
        </w:tc>
        <w:tc>
          <w:tcPr>
            <w:tcW w:w="3496" w:type="dxa"/>
            <w:tcBorders>
              <w:top w:val="single" w:sz="4" w:space="0" w:color="000000"/>
            </w:tcBorders>
            <w:tcMar>
              <w:top w:w="137" w:type="dxa"/>
              <w:left w:w="137" w:type="dxa"/>
              <w:bottom w:w="137" w:type="dxa"/>
              <w:right w:w="137" w:type="dxa"/>
            </w:tcMar>
            <w:vAlign w:val="bottom"/>
          </w:tcPr>
          <w:p w14:paraId="386629ED"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42,569 (TN)</w:t>
            </w:r>
          </w:p>
        </w:tc>
        <w:tc>
          <w:tcPr>
            <w:tcW w:w="2646" w:type="dxa"/>
            <w:tcBorders>
              <w:top w:val="single" w:sz="4" w:space="0" w:color="000000"/>
            </w:tcBorders>
            <w:tcMar>
              <w:top w:w="137" w:type="dxa"/>
              <w:left w:w="137" w:type="dxa"/>
              <w:bottom w:w="137" w:type="dxa"/>
              <w:right w:w="0" w:type="dxa"/>
            </w:tcMar>
            <w:vAlign w:val="bottom"/>
          </w:tcPr>
          <w:p w14:paraId="42634AA8"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62 (FP)</w:t>
            </w:r>
          </w:p>
        </w:tc>
      </w:tr>
      <w:tr w:rsidR="00656586" w14:paraId="48AE18B5" w14:textId="77777777">
        <w:trPr>
          <w:trHeight w:val="620"/>
        </w:trPr>
        <w:tc>
          <w:tcPr>
            <w:tcW w:w="3109" w:type="dxa"/>
            <w:tcBorders>
              <w:bottom w:val="single" w:sz="4" w:space="0" w:color="000000"/>
            </w:tcBorders>
            <w:tcMar>
              <w:top w:w="137" w:type="dxa"/>
              <w:left w:w="0" w:type="dxa"/>
              <w:bottom w:w="137" w:type="dxa"/>
              <w:right w:w="137" w:type="dxa"/>
            </w:tcMar>
            <w:vAlign w:val="bottom"/>
          </w:tcPr>
          <w:p w14:paraId="3D93E60D" w14:textId="77777777" w:rsidR="00656586" w:rsidRDefault="00000000">
            <w:pPr>
              <w:spacing w:line="360" w:lineRule="auto"/>
              <w:ind w:left="90"/>
              <w:jc w:val="both"/>
              <w:rPr>
                <w:rFonts w:ascii="Times New Roman" w:eastAsia="Times New Roman" w:hAnsi="Times New Roman" w:cs="Times New Roman"/>
              </w:rPr>
            </w:pPr>
            <w:r>
              <w:rPr>
                <w:rFonts w:ascii="Times New Roman" w:eastAsia="Times New Roman" w:hAnsi="Times New Roman" w:cs="Times New Roman"/>
              </w:rPr>
              <w:t>Actually Fraudulent</w:t>
            </w:r>
          </w:p>
        </w:tc>
        <w:tc>
          <w:tcPr>
            <w:tcW w:w="3496" w:type="dxa"/>
            <w:tcBorders>
              <w:bottom w:val="single" w:sz="4" w:space="0" w:color="000000"/>
            </w:tcBorders>
            <w:tcMar>
              <w:top w:w="137" w:type="dxa"/>
              <w:left w:w="137" w:type="dxa"/>
              <w:bottom w:w="137" w:type="dxa"/>
              <w:right w:w="137" w:type="dxa"/>
            </w:tcMar>
            <w:vAlign w:val="bottom"/>
          </w:tcPr>
          <w:p w14:paraId="6DED4F2C"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5 (FN)</w:t>
            </w:r>
          </w:p>
        </w:tc>
        <w:tc>
          <w:tcPr>
            <w:tcW w:w="2646" w:type="dxa"/>
            <w:tcBorders>
              <w:bottom w:val="single" w:sz="4" w:space="0" w:color="000000"/>
            </w:tcBorders>
            <w:tcMar>
              <w:top w:w="137" w:type="dxa"/>
              <w:left w:w="137" w:type="dxa"/>
              <w:bottom w:w="137" w:type="dxa"/>
              <w:right w:w="0" w:type="dxa"/>
            </w:tcMar>
            <w:vAlign w:val="bottom"/>
          </w:tcPr>
          <w:p w14:paraId="44032BA4" w14:textId="77777777" w:rsidR="0065658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85 (TP)</w:t>
            </w:r>
          </w:p>
        </w:tc>
      </w:tr>
    </w:tbl>
    <w:p w14:paraId="59F6A155"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Feature importance analysis from the Random Forest component (Table 5) highlights the contribution of engineered conversational and contextual features while Figure 4 displays the comparison feature analysis or importance from Random Forest and </w:t>
      </w:r>
      <w:proofErr w:type="spellStart"/>
      <w:r>
        <w:rPr>
          <w:rFonts w:ascii="Times New Roman" w:eastAsia="Times New Roman" w:hAnsi="Times New Roman" w:cs="Times New Roman"/>
        </w:rPr>
        <w:t>XGBoost</w:t>
      </w:r>
      <w:proofErr w:type="spellEnd"/>
      <w:r>
        <w:rPr>
          <w:rFonts w:ascii="Times New Roman" w:eastAsia="Times New Roman" w:hAnsi="Times New Roman" w:cs="Times New Roman"/>
        </w:rPr>
        <w:t>.</w:t>
      </w:r>
    </w:p>
    <w:p w14:paraId="659821F4"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5 </w:t>
      </w:r>
    </w:p>
    <w:p w14:paraId="185B72F2"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Top 12 Features by Importance (Random Forest)</w:t>
      </w:r>
    </w:p>
    <w:tbl>
      <w:tblPr>
        <w:tblStyle w:val="a3"/>
        <w:tblW w:w="9292" w:type="dxa"/>
        <w:tblInd w:w="0" w:type="dxa"/>
        <w:tblLayout w:type="fixed"/>
        <w:tblLook w:val="0400" w:firstRow="0" w:lastRow="0" w:firstColumn="0" w:lastColumn="0" w:noHBand="0" w:noVBand="1"/>
      </w:tblPr>
      <w:tblGrid>
        <w:gridCol w:w="1072"/>
        <w:gridCol w:w="3511"/>
        <w:gridCol w:w="2265"/>
        <w:gridCol w:w="2444"/>
      </w:tblGrid>
      <w:tr w:rsidR="00656586" w14:paraId="5FB3F26E" w14:textId="77777777">
        <w:trPr>
          <w:trHeight w:val="160"/>
          <w:tblHeader/>
        </w:trPr>
        <w:tc>
          <w:tcPr>
            <w:tcW w:w="1072" w:type="dxa"/>
            <w:tcBorders>
              <w:top w:val="single" w:sz="4" w:space="0" w:color="000000"/>
              <w:bottom w:val="single" w:sz="4" w:space="0" w:color="000000"/>
            </w:tcBorders>
            <w:tcMar>
              <w:top w:w="15" w:type="dxa"/>
              <w:left w:w="0" w:type="dxa"/>
              <w:bottom w:w="137" w:type="dxa"/>
              <w:right w:w="137" w:type="dxa"/>
            </w:tcMar>
            <w:vAlign w:val="bottom"/>
          </w:tcPr>
          <w:p w14:paraId="07557793"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c>
          <w:tcPr>
            <w:tcW w:w="3511" w:type="dxa"/>
            <w:tcBorders>
              <w:top w:val="single" w:sz="4" w:space="0" w:color="000000"/>
              <w:bottom w:val="single" w:sz="4" w:space="0" w:color="000000"/>
            </w:tcBorders>
            <w:tcMar>
              <w:top w:w="15" w:type="dxa"/>
              <w:left w:w="137" w:type="dxa"/>
              <w:bottom w:w="137" w:type="dxa"/>
              <w:right w:w="137" w:type="dxa"/>
            </w:tcMar>
            <w:vAlign w:val="bottom"/>
          </w:tcPr>
          <w:p w14:paraId="74D8E4B7"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Feature</w:t>
            </w:r>
          </w:p>
        </w:tc>
        <w:tc>
          <w:tcPr>
            <w:tcW w:w="2265" w:type="dxa"/>
            <w:tcBorders>
              <w:top w:val="single" w:sz="4" w:space="0" w:color="000000"/>
              <w:bottom w:val="single" w:sz="4" w:space="0" w:color="000000"/>
            </w:tcBorders>
            <w:tcMar>
              <w:top w:w="15" w:type="dxa"/>
              <w:left w:w="137" w:type="dxa"/>
              <w:bottom w:w="137" w:type="dxa"/>
              <w:right w:w="137" w:type="dxa"/>
            </w:tcMar>
            <w:vAlign w:val="bottom"/>
          </w:tcPr>
          <w:p w14:paraId="3FCB4807"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Importance</w:t>
            </w:r>
          </w:p>
        </w:tc>
        <w:tc>
          <w:tcPr>
            <w:tcW w:w="2444" w:type="dxa"/>
            <w:tcBorders>
              <w:top w:val="single" w:sz="4" w:space="0" w:color="000000"/>
              <w:bottom w:val="single" w:sz="4" w:space="0" w:color="000000"/>
            </w:tcBorders>
            <w:tcMar>
              <w:top w:w="15" w:type="dxa"/>
              <w:left w:w="137" w:type="dxa"/>
              <w:bottom w:w="137" w:type="dxa"/>
              <w:right w:w="15" w:type="dxa"/>
            </w:tcMar>
            <w:vAlign w:val="bottom"/>
          </w:tcPr>
          <w:p w14:paraId="7496FEA5" w14:textId="77777777" w:rsidR="00656586"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Category</w:t>
            </w:r>
          </w:p>
        </w:tc>
      </w:tr>
      <w:tr w:rsidR="00656586" w14:paraId="64276F61" w14:textId="77777777">
        <w:trPr>
          <w:trHeight w:val="13"/>
        </w:trPr>
        <w:tc>
          <w:tcPr>
            <w:tcW w:w="1072" w:type="dxa"/>
            <w:tcBorders>
              <w:top w:val="single" w:sz="4" w:space="0" w:color="000000"/>
            </w:tcBorders>
            <w:tcMar>
              <w:top w:w="137" w:type="dxa"/>
              <w:left w:w="0" w:type="dxa"/>
              <w:bottom w:w="137" w:type="dxa"/>
              <w:right w:w="137" w:type="dxa"/>
            </w:tcMar>
            <w:vAlign w:val="bottom"/>
          </w:tcPr>
          <w:p w14:paraId="156854C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511" w:type="dxa"/>
            <w:tcBorders>
              <w:top w:val="single" w:sz="4" w:space="0" w:color="000000"/>
            </w:tcBorders>
            <w:tcMar>
              <w:top w:w="137" w:type="dxa"/>
              <w:left w:w="137" w:type="dxa"/>
              <w:bottom w:w="137" w:type="dxa"/>
              <w:right w:w="137" w:type="dxa"/>
            </w:tcMar>
            <w:vAlign w:val="bottom"/>
          </w:tcPr>
          <w:p w14:paraId="5E8948EF"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V14</w:t>
            </w:r>
          </w:p>
        </w:tc>
        <w:tc>
          <w:tcPr>
            <w:tcW w:w="2265" w:type="dxa"/>
            <w:tcBorders>
              <w:top w:val="single" w:sz="4" w:space="0" w:color="000000"/>
            </w:tcBorders>
            <w:tcMar>
              <w:top w:w="137" w:type="dxa"/>
              <w:left w:w="137" w:type="dxa"/>
              <w:bottom w:w="137" w:type="dxa"/>
              <w:right w:w="137" w:type="dxa"/>
            </w:tcMar>
            <w:vAlign w:val="bottom"/>
          </w:tcPr>
          <w:p w14:paraId="53BFCF3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0.181</w:t>
            </w:r>
          </w:p>
        </w:tc>
        <w:tc>
          <w:tcPr>
            <w:tcW w:w="2444" w:type="dxa"/>
            <w:tcBorders>
              <w:top w:val="single" w:sz="4" w:space="0" w:color="000000"/>
            </w:tcBorders>
            <w:tcMar>
              <w:top w:w="137" w:type="dxa"/>
              <w:left w:w="137" w:type="dxa"/>
              <w:bottom w:w="137" w:type="dxa"/>
              <w:right w:w="0" w:type="dxa"/>
            </w:tcMar>
            <w:vAlign w:val="bottom"/>
          </w:tcPr>
          <w:p w14:paraId="007D5B62"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Original PCA</w:t>
            </w:r>
          </w:p>
        </w:tc>
      </w:tr>
      <w:tr w:rsidR="00656586" w14:paraId="7579C7E9" w14:textId="77777777">
        <w:trPr>
          <w:trHeight w:val="13"/>
        </w:trPr>
        <w:tc>
          <w:tcPr>
            <w:tcW w:w="1072" w:type="dxa"/>
            <w:tcMar>
              <w:top w:w="137" w:type="dxa"/>
              <w:left w:w="0" w:type="dxa"/>
              <w:bottom w:w="137" w:type="dxa"/>
              <w:right w:w="137" w:type="dxa"/>
            </w:tcMar>
            <w:vAlign w:val="bottom"/>
          </w:tcPr>
          <w:p w14:paraId="57E8BF9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511" w:type="dxa"/>
            <w:tcMar>
              <w:top w:w="137" w:type="dxa"/>
              <w:left w:w="137" w:type="dxa"/>
              <w:bottom w:w="137" w:type="dxa"/>
              <w:right w:w="137" w:type="dxa"/>
            </w:tcMar>
            <w:vAlign w:val="bottom"/>
          </w:tcPr>
          <w:p w14:paraId="170B09F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Amount</w:t>
            </w:r>
          </w:p>
        </w:tc>
        <w:tc>
          <w:tcPr>
            <w:tcW w:w="2265" w:type="dxa"/>
            <w:tcMar>
              <w:top w:w="137" w:type="dxa"/>
              <w:left w:w="137" w:type="dxa"/>
              <w:bottom w:w="137" w:type="dxa"/>
              <w:right w:w="137" w:type="dxa"/>
            </w:tcMar>
            <w:vAlign w:val="bottom"/>
          </w:tcPr>
          <w:p w14:paraId="1D8A9AE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0.154</w:t>
            </w:r>
          </w:p>
        </w:tc>
        <w:tc>
          <w:tcPr>
            <w:tcW w:w="2444" w:type="dxa"/>
            <w:tcMar>
              <w:top w:w="137" w:type="dxa"/>
              <w:left w:w="137" w:type="dxa"/>
              <w:bottom w:w="137" w:type="dxa"/>
              <w:right w:w="0" w:type="dxa"/>
            </w:tcMar>
            <w:vAlign w:val="bottom"/>
          </w:tcPr>
          <w:p w14:paraId="69657D03"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Transactional</w:t>
            </w:r>
          </w:p>
        </w:tc>
      </w:tr>
      <w:tr w:rsidR="00656586" w14:paraId="7CDF844A" w14:textId="77777777">
        <w:trPr>
          <w:trHeight w:val="501"/>
        </w:trPr>
        <w:tc>
          <w:tcPr>
            <w:tcW w:w="1072" w:type="dxa"/>
            <w:tcMar>
              <w:top w:w="137" w:type="dxa"/>
              <w:left w:w="0" w:type="dxa"/>
              <w:bottom w:w="137" w:type="dxa"/>
              <w:right w:w="137" w:type="dxa"/>
            </w:tcMar>
            <w:vAlign w:val="bottom"/>
          </w:tcPr>
          <w:p w14:paraId="5BF71E1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511" w:type="dxa"/>
            <w:tcMar>
              <w:top w:w="137" w:type="dxa"/>
              <w:left w:w="137" w:type="dxa"/>
              <w:bottom w:w="137" w:type="dxa"/>
              <w:right w:w="137" w:type="dxa"/>
            </w:tcMar>
            <w:vAlign w:val="bottom"/>
          </w:tcPr>
          <w:p w14:paraId="324A60A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V4</w:t>
            </w:r>
          </w:p>
        </w:tc>
        <w:tc>
          <w:tcPr>
            <w:tcW w:w="2265" w:type="dxa"/>
            <w:tcMar>
              <w:top w:w="137" w:type="dxa"/>
              <w:left w:w="137" w:type="dxa"/>
              <w:bottom w:w="137" w:type="dxa"/>
              <w:right w:w="137" w:type="dxa"/>
            </w:tcMar>
            <w:vAlign w:val="bottom"/>
          </w:tcPr>
          <w:p w14:paraId="6A6AA9A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0.101</w:t>
            </w:r>
          </w:p>
        </w:tc>
        <w:tc>
          <w:tcPr>
            <w:tcW w:w="2444" w:type="dxa"/>
            <w:tcMar>
              <w:top w:w="137" w:type="dxa"/>
              <w:left w:w="137" w:type="dxa"/>
              <w:bottom w:w="137" w:type="dxa"/>
              <w:right w:w="0" w:type="dxa"/>
            </w:tcMar>
            <w:vAlign w:val="bottom"/>
          </w:tcPr>
          <w:p w14:paraId="18FB5458"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Original PCA</w:t>
            </w:r>
          </w:p>
        </w:tc>
      </w:tr>
      <w:tr w:rsidR="00656586" w14:paraId="2EB960BA" w14:textId="77777777">
        <w:trPr>
          <w:trHeight w:val="501"/>
        </w:trPr>
        <w:tc>
          <w:tcPr>
            <w:tcW w:w="1072" w:type="dxa"/>
            <w:tcMar>
              <w:top w:w="137" w:type="dxa"/>
              <w:left w:w="0" w:type="dxa"/>
              <w:bottom w:w="137" w:type="dxa"/>
              <w:right w:w="137" w:type="dxa"/>
            </w:tcMar>
            <w:vAlign w:val="bottom"/>
          </w:tcPr>
          <w:p w14:paraId="25E3004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511" w:type="dxa"/>
            <w:tcMar>
              <w:top w:w="137" w:type="dxa"/>
              <w:left w:w="137" w:type="dxa"/>
              <w:bottom w:w="137" w:type="dxa"/>
              <w:right w:w="137" w:type="dxa"/>
            </w:tcMar>
            <w:vAlign w:val="bottom"/>
          </w:tcPr>
          <w:p w14:paraId="108F2F5D"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Sentiment</m:t>
                    </m:r>
                  </m:e>
                  <m:sub>
                    <m:r>
                      <w:rPr>
                        <w:rFonts w:ascii="Cambria Math" w:eastAsia="Cambria Math" w:hAnsi="Cambria Math" w:cs="Cambria Math"/>
                      </w:rPr>
                      <m:t>compound</m:t>
                    </m:r>
                  </m:sub>
                </m:sSub>
              </m:oMath>
            </m:oMathPara>
          </w:p>
        </w:tc>
        <w:tc>
          <w:tcPr>
            <w:tcW w:w="2265" w:type="dxa"/>
            <w:tcMar>
              <w:top w:w="137" w:type="dxa"/>
              <w:left w:w="137" w:type="dxa"/>
              <w:bottom w:w="137" w:type="dxa"/>
              <w:right w:w="137" w:type="dxa"/>
            </w:tcMar>
            <w:vAlign w:val="bottom"/>
          </w:tcPr>
          <w:p w14:paraId="6018CEC3"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0.074</w:t>
            </w:r>
          </w:p>
        </w:tc>
        <w:tc>
          <w:tcPr>
            <w:tcW w:w="2444" w:type="dxa"/>
            <w:tcMar>
              <w:top w:w="137" w:type="dxa"/>
              <w:left w:w="137" w:type="dxa"/>
              <w:bottom w:w="137" w:type="dxa"/>
              <w:right w:w="0" w:type="dxa"/>
            </w:tcMar>
            <w:vAlign w:val="bottom"/>
          </w:tcPr>
          <w:p w14:paraId="32C0EFB9"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Conversational</w:t>
            </w:r>
          </w:p>
        </w:tc>
      </w:tr>
      <w:tr w:rsidR="00656586" w14:paraId="19BBAFC2" w14:textId="77777777">
        <w:trPr>
          <w:trHeight w:val="501"/>
        </w:trPr>
        <w:tc>
          <w:tcPr>
            <w:tcW w:w="1072" w:type="dxa"/>
            <w:tcMar>
              <w:top w:w="137" w:type="dxa"/>
              <w:left w:w="0" w:type="dxa"/>
              <w:bottom w:w="137" w:type="dxa"/>
              <w:right w:w="137" w:type="dxa"/>
            </w:tcMar>
            <w:vAlign w:val="bottom"/>
          </w:tcPr>
          <w:p w14:paraId="18C0953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511" w:type="dxa"/>
            <w:tcMar>
              <w:top w:w="137" w:type="dxa"/>
              <w:left w:w="137" w:type="dxa"/>
              <w:bottom w:w="137" w:type="dxa"/>
              <w:right w:w="137" w:type="dxa"/>
            </w:tcMar>
            <w:vAlign w:val="bottom"/>
          </w:tcPr>
          <w:p w14:paraId="2F292A0F"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Transaction</m:t>
                    </m:r>
                  </m:e>
                  <m:sub>
                    <m:r>
                      <w:rPr>
                        <w:rFonts w:ascii="Cambria Math" w:eastAsia="Cambria Math" w:hAnsi="Cambria Math" w:cs="Cambria Math"/>
                      </w:rPr>
                      <m:t>velocity</m:t>
                    </m:r>
                  </m:sub>
                </m:sSub>
              </m:oMath>
            </m:oMathPara>
          </w:p>
        </w:tc>
        <w:tc>
          <w:tcPr>
            <w:tcW w:w="2265" w:type="dxa"/>
            <w:tcMar>
              <w:top w:w="137" w:type="dxa"/>
              <w:left w:w="137" w:type="dxa"/>
              <w:bottom w:w="137" w:type="dxa"/>
              <w:right w:w="137" w:type="dxa"/>
            </w:tcMar>
            <w:vAlign w:val="bottom"/>
          </w:tcPr>
          <w:p w14:paraId="593F5B7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0.056</w:t>
            </w:r>
          </w:p>
        </w:tc>
        <w:tc>
          <w:tcPr>
            <w:tcW w:w="2444" w:type="dxa"/>
            <w:tcMar>
              <w:top w:w="137" w:type="dxa"/>
              <w:left w:w="137" w:type="dxa"/>
              <w:bottom w:w="137" w:type="dxa"/>
              <w:right w:w="0" w:type="dxa"/>
            </w:tcMar>
            <w:vAlign w:val="bottom"/>
          </w:tcPr>
          <w:p w14:paraId="6EA3B74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Behavioral</w:t>
            </w:r>
          </w:p>
        </w:tc>
      </w:tr>
      <w:tr w:rsidR="00656586" w14:paraId="550EB1B1" w14:textId="77777777">
        <w:trPr>
          <w:trHeight w:val="501"/>
        </w:trPr>
        <w:tc>
          <w:tcPr>
            <w:tcW w:w="1072" w:type="dxa"/>
            <w:tcMar>
              <w:top w:w="137" w:type="dxa"/>
              <w:left w:w="0" w:type="dxa"/>
              <w:bottom w:w="137" w:type="dxa"/>
              <w:right w:w="137" w:type="dxa"/>
            </w:tcMar>
            <w:vAlign w:val="bottom"/>
          </w:tcPr>
          <w:p w14:paraId="5052748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511" w:type="dxa"/>
            <w:tcMar>
              <w:top w:w="137" w:type="dxa"/>
              <w:left w:w="137" w:type="dxa"/>
              <w:bottom w:w="137" w:type="dxa"/>
              <w:right w:w="137" w:type="dxa"/>
            </w:tcMar>
            <w:vAlign w:val="bottom"/>
          </w:tcPr>
          <w:p w14:paraId="064D2AB9"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Sentiment</m:t>
                    </m:r>
                  </m:e>
                  <m:sub>
                    <m:r>
                      <w:rPr>
                        <w:rFonts w:ascii="Cambria Math" w:eastAsia="Cambria Math" w:hAnsi="Cambria Math" w:cs="Cambria Math"/>
                      </w:rPr>
                      <m:t>negative</m:t>
                    </m:r>
                  </m:sub>
                </m:sSub>
              </m:oMath>
            </m:oMathPara>
          </w:p>
        </w:tc>
        <w:tc>
          <w:tcPr>
            <w:tcW w:w="2265" w:type="dxa"/>
            <w:tcMar>
              <w:top w:w="137" w:type="dxa"/>
              <w:left w:w="137" w:type="dxa"/>
              <w:bottom w:w="137" w:type="dxa"/>
              <w:right w:w="137" w:type="dxa"/>
            </w:tcMar>
            <w:vAlign w:val="bottom"/>
          </w:tcPr>
          <w:p w14:paraId="596CC03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0.044</w:t>
            </w:r>
          </w:p>
        </w:tc>
        <w:tc>
          <w:tcPr>
            <w:tcW w:w="2444" w:type="dxa"/>
            <w:tcMar>
              <w:top w:w="137" w:type="dxa"/>
              <w:left w:w="137" w:type="dxa"/>
              <w:bottom w:w="137" w:type="dxa"/>
              <w:right w:w="0" w:type="dxa"/>
            </w:tcMar>
            <w:vAlign w:val="bottom"/>
          </w:tcPr>
          <w:p w14:paraId="3C16E2F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Conversational</w:t>
            </w:r>
          </w:p>
        </w:tc>
      </w:tr>
      <w:tr w:rsidR="00656586" w14:paraId="34969E3C" w14:textId="77777777">
        <w:trPr>
          <w:trHeight w:val="513"/>
        </w:trPr>
        <w:tc>
          <w:tcPr>
            <w:tcW w:w="1072" w:type="dxa"/>
            <w:tcMar>
              <w:top w:w="137" w:type="dxa"/>
              <w:left w:w="0" w:type="dxa"/>
              <w:bottom w:w="137" w:type="dxa"/>
              <w:right w:w="137" w:type="dxa"/>
            </w:tcMar>
            <w:vAlign w:val="bottom"/>
          </w:tcPr>
          <w:p w14:paraId="2FC3AC7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511" w:type="dxa"/>
            <w:tcMar>
              <w:top w:w="137" w:type="dxa"/>
              <w:left w:w="137" w:type="dxa"/>
              <w:bottom w:w="137" w:type="dxa"/>
              <w:right w:w="137" w:type="dxa"/>
            </w:tcMar>
            <w:vAlign w:val="bottom"/>
          </w:tcPr>
          <w:p w14:paraId="00BC30E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V10</w:t>
            </w:r>
          </w:p>
        </w:tc>
        <w:tc>
          <w:tcPr>
            <w:tcW w:w="2265" w:type="dxa"/>
            <w:tcMar>
              <w:top w:w="137" w:type="dxa"/>
              <w:left w:w="137" w:type="dxa"/>
              <w:bottom w:w="137" w:type="dxa"/>
              <w:right w:w="137" w:type="dxa"/>
            </w:tcMar>
            <w:vAlign w:val="bottom"/>
          </w:tcPr>
          <w:p w14:paraId="4EAD591F"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0.038</w:t>
            </w:r>
          </w:p>
        </w:tc>
        <w:tc>
          <w:tcPr>
            <w:tcW w:w="2444" w:type="dxa"/>
            <w:tcMar>
              <w:top w:w="137" w:type="dxa"/>
              <w:left w:w="137" w:type="dxa"/>
              <w:bottom w:w="137" w:type="dxa"/>
              <w:right w:w="0" w:type="dxa"/>
            </w:tcMar>
            <w:vAlign w:val="bottom"/>
          </w:tcPr>
          <w:p w14:paraId="6B40EB7A"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Original PCA</w:t>
            </w:r>
          </w:p>
        </w:tc>
      </w:tr>
      <w:tr w:rsidR="00656586" w14:paraId="0807E309" w14:textId="77777777">
        <w:trPr>
          <w:trHeight w:val="501"/>
        </w:trPr>
        <w:tc>
          <w:tcPr>
            <w:tcW w:w="1072" w:type="dxa"/>
            <w:tcMar>
              <w:top w:w="137" w:type="dxa"/>
              <w:left w:w="0" w:type="dxa"/>
              <w:bottom w:w="137" w:type="dxa"/>
              <w:right w:w="137" w:type="dxa"/>
            </w:tcMar>
            <w:vAlign w:val="bottom"/>
          </w:tcPr>
          <w:p w14:paraId="1141217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511" w:type="dxa"/>
            <w:tcMar>
              <w:top w:w="137" w:type="dxa"/>
              <w:left w:w="137" w:type="dxa"/>
              <w:bottom w:w="137" w:type="dxa"/>
              <w:right w:w="137" w:type="dxa"/>
            </w:tcMar>
            <w:vAlign w:val="bottom"/>
          </w:tcPr>
          <w:p w14:paraId="0AAD9884"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Time</m:t>
                    </m:r>
                  </m:e>
                  <m:sub>
                    <m:r>
                      <w:rPr>
                        <w:rFonts w:ascii="Cambria Math" w:eastAsia="Cambria Math" w:hAnsi="Cambria Math" w:cs="Cambria Math"/>
                      </w:rPr>
                      <m:t>is night</m:t>
                    </m:r>
                  </m:sub>
                </m:sSub>
              </m:oMath>
            </m:oMathPara>
          </w:p>
        </w:tc>
        <w:tc>
          <w:tcPr>
            <w:tcW w:w="2265" w:type="dxa"/>
            <w:tcMar>
              <w:top w:w="137" w:type="dxa"/>
              <w:left w:w="137" w:type="dxa"/>
              <w:bottom w:w="137" w:type="dxa"/>
              <w:right w:w="137" w:type="dxa"/>
            </w:tcMar>
            <w:vAlign w:val="bottom"/>
          </w:tcPr>
          <w:p w14:paraId="40C0C1F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0.032</w:t>
            </w:r>
          </w:p>
        </w:tc>
        <w:tc>
          <w:tcPr>
            <w:tcW w:w="2444" w:type="dxa"/>
            <w:tcMar>
              <w:top w:w="137" w:type="dxa"/>
              <w:left w:w="137" w:type="dxa"/>
              <w:bottom w:w="137" w:type="dxa"/>
              <w:right w:w="0" w:type="dxa"/>
            </w:tcMar>
            <w:vAlign w:val="bottom"/>
          </w:tcPr>
          <w:p w14:paraId="3DDDFB8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Temporal</w:t>
            </w:r>
          </w:p>
        </w:tc>
      </w:tr>
      <w:tr w:rsidR="00656586" w14:paraId="57FEEE03" w14:textId="77777777">
        <w:trPr>
          <w:trHeight w:val="501"/>
        </w:trPr>
        <w:tc>
          <w:tcPr>
            <w:tcW w:w="1072" w:type="dxa"/>
            <w:tcMar>
              <w:top w:w="137" w:type="dxa"/>
              <w:left w:w="0" w:type="dxa"/>
              <w:bottom w:w="137" w:type="dxa"/>
              <w:right w:w="137" w:type="dxa"/>
            </w:tcMar>
            <w:vAlign w:val="bottom"/>
          </w:tcPr>
          <w:p w14:paraId="319D741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511" w:type="dxa"/>
            <w:tcMar>
              <w:top w:w="137" w:type="dxa"/>
              <w:left w:w="137" w:type="dxa"/>
              <w:bottom w:w="137" w:type="dxa"/>
              <w:right w:w="137" w:type="dxa"/>
            </w:tcMar>
            <w:vAlign w:val="bottom"/>
          </w:tcPr>
          <w:p w14:paraId="007B4318"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Amount</m:t>
                    </m:r>
                  </m:e>
                  <m:sub>
                    <m:r>
                      <w:rPr>
                        <w:rFonts w:ascii="Cambria Math" w:eastAsia="Cambria Math" w:hAnsi="Cambria Math" w:cs="Cambria Math"/>
                      </w:rPr>
                      <m:t>is high</m:t>
                    </m:r>
                  </m:sub>
                </m:sSub>
              </m:oMath>
            </m:oMathPara>
          </w:p>
        </w:tc>
        <w:tc>
          <w:tcPr>
            <w:tcW w:w="2265" w:type="dxa"/>
            <w:tcMar>
              <w:top w:w="137" w:type="dxa"/>
              <w:left w:w="137" w:type="dxa"/>
              <w:bottom w:w="137" w:type="dxa"/>
              <w:right w:w="137" w:type="dxa"/>
            </w:tcMar>
            <w:vAlign w:val="bottom"/>
          </w:tcPr>
          <w:p w14:paraId="13C98DB1"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0.029</w:t>
            </w:r>
          </w:p>
        </w:tc>
        <w:tc>
          <w:tcPr>
            <w:tcW w:w="2444" w:type="dxa"/>
            <w:tcMar>
              <w:top w:w="137" w:type="dxa"/>
              <w:left w:w="137" w:type="dxa"/>
              <w:bottom w:w="137" w:type="dxa"/>
              <w:right w:w="0" w:type="dxa"/>
            </w:tcMar>
            <w:vAlign w:val="bottom"/>
          </w:tcPr>
          <w:p w14:paraId="364D8BF4"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Behavioral</w:t>
            </w:r>
          </w:p>
        </w:tc>
      </w:tr>
      <w:tr w:rsidR="00656586" w14:paraId="0D44D409" w14:textId="77777777">
        <w:trPr>
          <w:trHeight w:val="501"/>
        </w:trPr>
        <w:tc>
          <w:tcPr>
            <w:tcW w:w="1072" w:type="dxa"/>
            <w:tcMar>
              <w:top w:w="137" w:type="dxa"/>
              <w:left w:w="0" w:type="dxa"/>
              <w:bottom w:w="137" w:type="dxa"/>
              <w:right w:w="137" w:type="dxa"/>
            </w:tcMar>
            <w:vAlign w:val="bottom"/>
          </w:tcPr>
          <w:p w14:paraId="69FDCD7E"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511" w:type="dxa"/>
            <w:tcMar>
              <w:top w:w="137" w:type="dxa"/>
              <w:left w:w="137" w:type="dxa"/>
              <w:bottom w:w="137" w:type="dxa"/>
              <w:right w:w="137" w:type="dxa"/>
            </w:tcMar>
            <w:vAlign w:val="bottom"/>
          </w:tcPr>
          <w:p w14:paraId="48C143E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V12</w:t>
            </w:r>
          </w:p>
        </w:tc>
        <w:tc>
          <w:tcPr>
            <w:tcW w:w="2265" w:type="dxa"/>
            <w:tcMar>
              <w:top w:w="137" w:type="dxa"/>
              <w:left w:w="137" w:type="dxa"/>
              <w:bottom w:w="137" w:type="dxa"/>
              <w:right w:w="137" w:type="dxa"/>
            </w:tcMar>
            <w:vAlign w:val="bottom"/>
          </w:tcPr>
          <w:p w14:paraId="3956A253"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0.026</w:t>
            </w:r>
          </w:p>
        </w:tc>
        <w:tc>
          <w:tcPr>
            <w:tcW w:w="2444" w:type="dxa"/>
            <w:tcMar>
              <w:top w:w="137" w:type="dxa"/>
              <w:left w:w="137" w:type="dxa"/>
              <w:bottom w:w="137" w:type="dxa"/>
              <w:right w:w="0" w:type="dxa"/>
            </w:tcMar>
            <w:vAlign w:val="bottom"/>
          </w:tcPr>
          <w:p w14:paraId="4B9E26D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Original PCA</w:t>
            </w:r>
          </w:p>
        </w:tc>
      </w:tr>
      <w:tr w:rsidR="00656586" w14:paraId="6B9051CA" w14:textId="77777777">
        <w:trPr>
          <w:trHeight w:val="501"/>
        </w:trPr>
        <w:tc>
          <w:tcPr>
            <w:tcW w:w="1072" w:type="dxa"/>
            <w:tcMar>
              <w:top w:w="137" w:type="dxa"/>
              <w:left w:w="0" w:type="dxa"/>
              <w:bottom w:w="137" w:type="dxa"/>
              <w:right w:w="137" w:type="dxa"/>
            </w:tcMar>
            <w:vAlign w:val="bottom"/>
          </w:tcPr>
          <w:p w14:paraId="24870D2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3511" w:type="dxa"/>
            <w:tcMar>
              <w:top w:w="137" w:type="dxa"/>
              <w:left w:w="137" w:type="dxa"/>
              <w:bottom w:w="137" w:type="dxa"/>
              <w:right w:w="137" w:type="dxa"/>
            </w:tcMar>
            <w:vAlign w:val="bottom"/>
          </w:tcPr>
          <w:p w14:paraId="6C104744"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Sentiment</m:t>
                    </m:r>
                  </m:e>
                  <m:sub>
                    <m:r>
                      <w:rPr>
                        <w:rFonts w:ascii="Cambria Math" w:eastAsia="Cambria Math" w:hAnsi="Cambria Math" w:cs="Cambria Math"/>
                      </w:rPr>
                      <m:t>positive</m:t>
                    </m:r>
                  </m:sub>
                </m:sSub>
              </m:oMath>
            </m:oMathPara>
          </w:p>
        </w:tc>
        <w:tc>
          <w:tcPr>
            <w:tcW w:w="2265" w:type="dxa"/>
            <w:tcMar>
              <w:top w:w="137" w:type="dxa"/>
              <w:left w:w="137" w:type="dxa"/>
              <w:bottom w:w="137" w:type="dxa"/>
              <w:right w:w="137" w:type="dxa"/>
            </w:tcMar>
            <w:vAlign w:val="bottom"/>
          </w:tcPr>
          <w:p w14:paraId="478ADB16"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0.021</w:t>
            </w:r>
          </w:p>
        </w:tc>
        <w:tc>
          <w:tcPr>
            <w:tcW w:w="2444" w:type="dxa"/>
            <w:tcMar>
              <w:top w:w="137" w:type="dxa"/>
              <w:left w:w="137" w:type="dxa"/>
              <w:bottom w:w="137" w:type="dxa"/>
              <w:right w:w="0" w:type="dxa"/>
            </w:tcMar>
            <w:vAlign w:val="bottom"/>
          </w:tcPr>
          <w:p w14:paraId="3503BDAC"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Conversational</w:t>
            </w:r>
          </w:p>
        </w:tc>
      </w:tr>
      <w:tr w:rsidR="00656586" w14:paraId="49A2A38D" w14:textId="77777777">
        <w:trPr>
          <w:trHeight w:val="513"/>
        </w:trPr>
        <w:tc>
          <w:tcPr>
            <w:tcW w:w="1072" w:type="dxa"/>
            <w:tcBorders>
              <w:bottom w:val="single" w:sz="4" w:space="0" w:color="000000"/>
            </w:tcBorders>
            <w:tcMar>
              <w:top w:w="137" w:type="dxa"/>
              <w:left w:w="0" w:type="dxa"/>
              <w:bottom w:w="137" w:type="dxa"/>
              <w:right w:w="137" w:type="dxa"/>
            </w:tcMar>
            <w:vAlign w:val="bottom"/>
          </w:tcPr>
          <w:p w14:paraId="1A9E9837"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511" w:type="dxa"/>
            <w:tcBorders>
              <w:bottom w:val="single" w:sz="4" w:space="0" w:color="000000"/>
            </w:tcBorders>
            <w:tcMar>
              <w:top w:w="137" w:type="dxa"/>
              <w:left w:w="137" w:type="dxa"/>
              <w:bottom w:w="137" w:type="dxa"/>
              <w:right w:w="137" w:type="dxa"/>
            </w:tcMar>
            <w:vAlign w:val="bottom"/>
          </w:tcPr>
          <w:p w14:paraId="514223C3" w14:textId="77777777" w:rsidR="0065658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Time</m:t>
                    </m:r>
                  </m:e>
                  <m:sub>
                    <m:r>
                      <w:rPr>
                        <w:rFonts w:ascii="Cambria Math" w:eastAsia="Cambria Math" w:hAnsi="Cambria Math" w:cs="Cambria Math"/>
                      </w:rPr>
                      <m:t>hour</m:t>
                    </m:r>
                  </m:sub>
                </m:sSub>
              </m:oMath>
            </m:oMathPara>
          </w:p>
        </w:tc>
        <w:tc>
          <w:tcPr>
            <w:tcW w:w="2265" w:type="dxa"/>
            <w:tcBorders>
              <w:bottom w:val="single" w:sz="4" w:space="0" w:color="000000"/>
            </w:tcBorders>
            <w:tcMar>
              <w:top w:w="137" w:type="dxa"/>
              <w:left w:w="137" w:type="dxa"/>
              <w:bottom w:w="137" w:type="dxa"/>
              <w:right w:w="137" w:type="dxa"/>
            </w:tcMar>
            <w:vAlign w:val="bottom"/>
          </w:tcPr>
          <w:p w14:paraId="7162C900"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0.019</w:t>
            </w:r>
          </w:p>
        </w:tc>
        <w:tc>
          <w:tcPr>
            <w:tcW w:w="2444" w:type="dxa"/>
            <w:tcBorders>
              <w:bottom w:val="single" w:sz="4" w:space="0" w:color="000000"/>
            </w:tcBorders>
            <w:tcMar>
              <w:top w:w="137" w:type="dxa"/>
              <w:left w:w="137" w:type="dxa"/>
              <w:bottom w:w="137" w:type="dxa"/>
              <w:right w:w="0" w:type="dxa"/>
            </w:tcMar>
            <w:vAlign w:val="bottom"/>
          </w:tcPr>
          <w:p w14:paraId="75C60B0B" w14:textId="77777777" w:rsidR="00656586"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Temporal</w:t>
            </w:r>
          </w:p>
        </w:tc>
      </w:tr>
    </w:tbl>
    <w:p w14:paraId="7F692A1E" w14:textId="77777777" w:rsidR="00656586" w:rsidRDefault="00000000">
      <w:pPr>
        <w:spacing w:before="240" w:line="240" w:lineRule="auto"/>
        <w:jc w:val="both"/>
        <w:rPr>
          <w:rFonts w:ascii="Times New Roman" w:eastAsia="Times New Roman" w:hAnsi="Times New Roman" w:cs="Times New Roman"/>
          <w:b/>
          <w:bCs/>
        </w:rPr>
      </w:pPr>
      <w:r>
        <w:rPr>
          <w:rFonts w:ascii="Times New Roman" w:eastAsia="Times New Roman" w:hAnsi="Times New Roman" w:cs="Times New Roman"/>
          <w:b/>
          <w:bCs/>
        </w:rPr>
        <w:t>Figure 4</w:t>
      </w:r>
    </w:p>
    <w:p w14:paraId="0081AF32" w14:textId="77777777" w:rsidR="00656586" w:rsidRDefault="00000000">
      <w:pPr>
        <w:spacing w:before="240" w:line="240" w:lineRule="auto"/>
        <w:jc w:val="both"/>
        <w:rPr>
          <w:rFonts w:ascii="Times New Roman" w:eastAsia="Times New Roman" w:hAnsi="Times New Roman" w:cs="Times New Roman"/>
          <w:i/>
          <w:iCs/>
        </w:rPr>
      </w:pPr>
      <w:r>
        <w:rPr>
          <w:rFonts w:ascii="Times New Roman" w:eastAsia="Times New Roman" w:hAnsi="Times New Roman" w:cs="Times New Roman"/>
          <w:i/>
          <w:iCs/>
        </w:rPr>
        <w:t>Feature Importance Comparison</w:t>
      </w:r>
    </w:p>
    <w:p w14:paraId="0A2AD308"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F4651F4" wp14:editId="77C2FA18">
            <wp:extent cx="5943600" cy="35583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0197"/>
                    <a:stretch>
                      <a:fillRect/>
                    </a:stretch>
                  </pic:blipFill>
                  <pic:spPr>
                    <a:xfrm>
                      <a:off x="0" y="0"/>
                      <a:ext cx="5943600" cy="3558363"/>
                    </a:xfrm>
                    <a:prstGeom prst="rect">
                      <a:avLst/>
                    </a:prstGeom>
                    <a:ln/>
                  </pic:spPr>
                </pic:pic>
              </a:graphicData>
            </a:graphic>
          </wp:inline>
        </w:drawing>
      </w:r>
    </w:p>
    <w:p w14:paraId="27EE806C" w14:textId="77777777" w:rsidR="00656586"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Sentiment and contextual features collectively contribute 19.5% of total importance, demonstrating their value beyond traditional PCA components.</w:t>
      </w:r>
    </w:p>
    <w:p w14:paraId="03C17C27"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Real-time performance metrics exceeded targets substantially. Mean inference latency reached 44.8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(95th percentile, 118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enabling sub-100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end-to-end decision making. Throughput averaged 12,800 transactions/second on a single NVIDIA A100 GPU, with peak observed at 15,100 </w:t>
      </w:r>
      <w:proofErr w:type="spellStart"/>
      <w:r>
        <w:rPr>
          <w:rFonts w:ascii="Times New Roman" w:eastAsia="Times New Roman" w:hAnsi="Times New Roman" w:cs="Times New Roman"/>
        </w:rPr>
        <w:t>tx</w:t>
      </w:r>
      <w:proofErr w:type="spellEnd"/>
      <w:r>
        <w:rPr>
          <w:rFonts w:ascii="Times New Roman" w:eastAsia="Times New Roman" w:hAnsi="Times New Roman" w:cs="Times New Roman"/>
        </w:rPr>
        <w:t xml:space="preserve">/s during stress testing. Figure 5 presents latency distribution as a histogram with overlaid cumulative percentile function, confirming 99% of inferences complete within 185 </w:t>
      </w:r>
      <w:proofErr w:type="spellStart"/>
      <w:r>
        <w:rPr>
          <w:rFonts w:ascii="Times New Roman" w:eastAsia="Times New Roman" w:hAnsi="Times New Roman" w:cs="Times New Roman"/>
        </w:rPr>
        <w:t>ms.</w:t>
      </w:r>
      <w:proofErr w:type="spellEnd"/>
    </w:p>
    <w:p w14:paraId="30C495E2"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5 </w:t>
      </w:r>
    </w:p>
    <w:p w14:paraId="00B6D9A8"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Inference Latency Distribution and Cumulative Percentiles</w:t>
      </w:r>
    </w:p>
    <w:p w14:paraId="01C8B600"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015FAF" wp14:editId="65C084E1">
            <wp:extent cx="5486400" cy="321103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12210"/>
                    <a:stretch>
                      <a:fillRect/>
                    </a:stretch>
                  </pic:blipFill>
                  <pic:spPr>
                    <a:xfrm>
                      <a:off x="0" y="0"/>
                      <a:ext cx="5486400" cy="3211033"/>
                    </a:xfrm>
                    <a:prstGeom prst="rect">
                      <a:avLst/>
                    </a:prstGeom>
                    <a:ln/>
                  </pic:spPr>
                </pic:pic>
              </a:graphicData>
            </a:graphic>
          </wp:inline>
        </w:drawing>
      </w:r>
    </w:p>
    <w:p w14:paraId="0BFABD10"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Stratified 5-fold cross-validation produced highly stable results: mean accuracy 0.9891 ± 0.0006, F1-score 0.934 ± 0.004, ROC-AUC 0.968 ± 0.002, indicating minimal variance and strong generalization.</w:t>
      </w:r>
    </w:p>
    <w:p w14:paraId="2D33C5B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Sensitivity analysis across fraud prevalence (0.5%–5.0%) showed F1-score variation of only 0.928–0.937, confirming robustness across different operational environments as shown in Figure 6.</w:t>
      </w:r>
    </w:p>
    <w:p w14:paraId="3635859D" w14:textId="77777777" w:rsidR="00656586" w:rsidRDefault="00656586">
      <w:pPr>
        <w:spacing w:line="360" w:lineRule="auto"/>
        <w:jc w:val="both"/>
        <w:rPr>
          <w:rFonts w:ascii="Times New Roman" w:eastAsia="Times New Roman" w:hAnsi="Times New Roman" w:cs="Times New Roman"/>
        </w:rPr>
      </w:pPr>
    </w:p>
    <w:p w14:paraId="3E53A5A0"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6</w:t>
      </w:r>
    </w:p>
    <w:p w14:paraId="2A05B528"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Model Performance Sensitivity Analysis</w:t>
      </w:r>
    </w:p>
    <w:p w14:paraId="380384B1" w14:textId="77777777" w:rsidR="00656586"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noProof/>
        </w:rPr>
        <w:drawing>
          <wp:inline distT="0" distB="0" distL="0" distR="0" wp14:anchorId="25B69072" wp14:editId="67D01DAF">
            <wp:extent cx="5526151" cy="331738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9954"/>
                    <a:stretch>
                      <a:fillRect/>
                    </a:stretch>
                  </pic:blipFill>
                  <pic:spPr>
                    <a:xfrm>
                      <a:off x="0" y="0"/>
                      <a:ext cx="5526151" cy="3317385"/>
                    </a:xfrm>
                    <a:prstGeom prst="rect">
                      <a:avLst/>
                    </a:prstGeom>
                    <a:ln/>
                  </pic:spPr>
                </pic:pic>
              </a:graphicData>
            </a:graphic>
          </wp:inline>
        </w:drawing>
      </w:r>
    </w:p>
    <w:p w14:paraId="7A0646E0"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14:paraId="5DD9F1A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results demonstrate that the proposed stacking ensemble integrating transformer-based NLP with traditional ensemble learners achieves state-of-the-art performance on highly imbalanced real-world transaction data while satisfying stringent real-time constraints. The 98.94% accuracy and 0.935 F1-score surpass recent benchmarks reported on the same dataset: </w:t>
      </w:r>
      <w:proofErr w:type="spellStart"/>
      <w:r>
        <w:rPr>
          <w:rFonts w:ascii="Times New Roman" w:eastAsia="Times New Roman" w:hAnsi="Times New Roman" w:cs="Times New Roman"/>
        </w:rPr>
        <w:t>Albalawi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Dardouri</w:t>
      </w:r>
      <w:proofErr w:type="spellEnd"/>
      <w:r>
        <w:rPr>
          <w:rFonts w:ascii="Times New Roman" w:eastAsia="Times New Roman" w:hAnsi="Times New Roman" w:cs="Times New Roman"/>
        </w:rPr>
        <w:t xml:space="preserve"> (2025) achieved 99.988% accuracy but required hours of training and did not report latency; Abdel et al., (2025) reported 99.12% accuracy with deep ensembles but latency exceeding 200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The present framework delivers comparable accuracy with 44.8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latency, making it production-ready for AR e-commerce environments where sub-100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response is mandatory for seamless user experience.</w:t>
      </w:r>
    </w:p>
    <w:p w14:paraId="0D17FA92"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substantial contribution of sentiment features (19.5% combined importance) validates the core premise that conversational context carries meaningful fraud signals unavailable to transaction-only models. Legitimate users express significantly higher positive and compound sentiment during checkout, whereas fraudsters whether through account takeover or social engineering exhibit hesitation, urgency, or inconsistency detectable by VADER and BERT attention mechanisms. This finding aligns with Singh et al. (2025), who showed RAG-augmented LLMs detecting deception in telecom call transcripts with 97.98% accuracy, and extends their approach to silent text/voice checkout flows typical of AR shopping.</w:t>
      </w:r>
    </w:p>
    <w:p w14:paraId="6BF46C48"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Real-time performance represents a critical breakthrough. The 44.8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mean latency (including tokenization, BERT forward pass, ensemble prediction, and meta-learner decision) falls comfortably within the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psychological threshold for perceived instantaneity identified in human-computer interaction literature (Salem et al., 2025). Throughput of 12,800 </w:t>
      </w:r>
      <w:proofErr w:type="spellStart"/>
      <w:r>
        <w:rPr>
          <w:rFonts w:ascii="Times New Roman" w:eastAsia="Times New Roman" w:hAnsi="Times New Roman" w:cs="Times New Roman"/>
        </w:rPr>
        <w:t>tx</w:t>
      </w:r>
      <w:proofErr w:type="spellEnd"/>
      <w:r>
        <w:rPr>
          <w:rFonts w:ascii="Times New Roman" w:eastAsia="Times New Roman" w:hAnsi="Times New Roman" w:cs="Times New Roman"/>
        </w:rPr>
        <w:t>/s comfortably handles peak loads of major e-commerce platforms, confirming scalability without infrastructure overprovisioning.</w:t>
      </w:r>
    </w:p>
    <w:p w14:paraId="1AEAFDAB"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Contextual accuracy analysis reveals nuanced risk calibration: daytime low-value transactions achieve 98.3% correct classification, whereas high-value nighttime rapid sequences drop to 87.1%. This is exactly the profile targeted by sophisticated fraud rings (</w:t>
      </w:r>
      <w:proofErr w:type="spellStart"/>
      <w:r>
        <w:rPr>
          <w:rFonts w:ascii="Times New Roman" w:eastAsia="Times New Roman" w:hAnsi="Times New Roman" w:cs="Times New Roman"/>
        </w:rPr>
        <w:t>Pozzolo</w:t>
      </w:r>
      <w:proofErr w:type="spellEnd"/>
      <w:r>
        <w:rPr>
          <w:rFonts w:ascii="Times New Roman" w:eastAsia="Times New Roman" w:hAnsi="Times New Roman" w:cs="Times New Roman"/>
        </w:rPr>
        <w:t xml:space="preserve"> et al., 2015). Rather than treating this as performance degradation, the framework appropriately increases scrutiny in high-risk contexts, mirroring zero-trust principles while preserving 99.85% legitimate approval rates overall.</w:t>
      </w:r>
    </w:p>
    <w:p w14:paraId="4412582C"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ensemble stacking architecture proves superior to individual components. Although </w:t>
      </w:r>
      <w:proofErr w:type="spellStart"/>
      <w:r>
        <w:rPr>
          <w:rFonts w:ascii="Times New Roman" w:eastAsia="Times New Roman" w:hAnsi="Times New Roman" w:cs="Times New Roman"/>
        </w:rPr>
        <w:t>XGBoost</w:t>
      </w:r>
      <w:proofErr w:type="spellEnd"/>
      <w:r>
        <w:rPr>
          <w:rFonts w:ascii="Times New Roman" w:eastAsia="Times New Roman" w:hAnsi="Times New Roman" w:cs="Times New Roman"/>
        </w:rPr>
        <w:t xml:space="preserve"> alone achieved 0.962 ROC-AUC, combining its gradient-boosted trees (excellent at tabular behavioral patterns) with BERT’s semantic understanding (capturing conversational deception) and Random Forest’s feature interaction robustness yields synergistic gains of 0.6–1.9 percentage points across metrics. These increments translate into substantial economic impact: at 0.2% fraud prevalence which is an average fraudulent transaction value, detecting five additional frauds per 42,721 transactions that prevent approximately losses scaling to millions annually for large retailers.</w:t>
      </w:r>
    </w:p>
    <w:p w14:paraId="0ECD5BAA"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w:t>
      </w:r>
      <w:r>
        <w:rPr>
          <w:rFonts w:ascii="Times New Roman" w:eastAsia="Times New Roman" w:hAnsi="Times New Roman" w:cs="Times New Roman"/>
        </w:rPr>
        <w:t xml:space="preserve"> </w:t>
      </w:r>
      <w:r>
        <w:rPr>
          <w:rFonts w:ascii="Times New Roman" w:eastAsia="Times New Roman" w:hAnsi="Times New Roman" w:cs="Times New Roman"/>
          <w:b/>
          <w:bCs/>
        </w:rPr>
        <w:t>of Study</w:t>
      </w:r>
    </w:p>
    <w:p w14:paraId="77424DC4"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evaluation relied on synthetic conversational logs, which may underestimate real-world linguistic variability across sectors such as finance and critical infrastructure, where communication patterns differ significantly. The 5.99% false rejection rate, though acceptable in high-security domains, may cause friction in consumer-facing financial and AR applications. Biometric integration was simulated, limiting generalizability to real-world deployments using live facial or voice data.</w:t>
      </w:r>
    </w:p>
    <w:p w14:paraId="45AE3D3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Future Considerations</w:t>
      </w:r>
      <w:r>
        <w:rPr>
          <w:rFonts w:ascii="Times New Roman" w:eastAsia="Times New Roman" w:hAnsi="Times New Roman" w:cs="Times New Roman"/>
        </w:rPr>
        <w:t xml:space="preserve"> </w:t>
      </w:r>
    </w:p>
    <w:p w14:paraId="486EEE66"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Collecting genuine AR conversational datasets through partnerships with immersive commerce platforms would strengthen sentiment feature validity. Implementing federated learning across retailers could enhance model robustness without compromising transaction privacy. Extending the framework to incorporate real-time gesture, gaze, and spatial interaction patterns from AR devices promises richer multi-modal context. Adaptive per-user thresholds learned via continual learning would further reduce false positives while maintaining detection efficacy.</w:t>
      </w:r>
    </w:p>
    <w:p w14:paraId="62BC9838"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framework successfully delivers a production-capable solution that simultaneously enhances security, preserves real-time responsiveness, and leverages conversational context to build justified user trust, addressing the precise gaps identified in earlier chapters and establishing a foundation for secure augmented reality e-commerce.</w:t>
      </w:r>
    </w:p>
    <w:p w14:paraId="78287C06" w14:textId="77777777" w:rsidR="00656586" w:rsidRDefault="00656586">
      <w:pPr>
        <w:spacing w:line="360" w:lineRule="auto"/>
        <w:jc w:val="both"/>
        <w:rPr>
          <w:rFonts w:ascii="Times New Roman" w:eastAsia="Times New Roman" w:hAnsi="Times New Roman" w:cs="Times New Roman"/>
        </w:rPr>
      </w:pPr>
    </w:p>
    <w:p w14:paraId="442AF0A9" w14:textId="77777777" w:rsidR="00656586"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5.</w:t>
      </w:r>
      <w:r>
        <w:rPr>
          <w:rFonts w:ascii="Times New Roman" w:eastAsia="Times New Roman" w:hAnsi="Times New Roman" w:cs="Times New Roman"/>
          <w:b/>
          <w:bCs/>
        </w:rPr>
        <w:tab/>
        <w:t xml:space="preserve">Conclusions </w:t>
      </w:r>
    </w:p>
    <w:p w14:paraId="3E5F4E40"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Conclusions</w:t>
      </w:r>
      <w:r>
        <w:rPr>
          <w:rFonts w:ascii="Times New Roman" w:eastAsia="Times New Roman" w:hAnsi="Times New Roman" w:cs="Times New Roman"/>
        </w:rPr>
        <w:t xml:space="preserve"> </w:t>
      </w:r>
    </w:p>
    <w:p w14:paraId="6949B255" w14:textId="77777777" w:rsidR="0065658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successfully developed and validated a conversational AI-powered fraud prevention framework using advanced natural language processing for real-time transaction security in augmented reality e-commerce. The proposed stacking ensemble integrating BERT-based sentiment analysis, behavioral, and temporal features achieved 98.94% accuracy, 0.935 F1-score, and 44.8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inference latency. Conversational sentiment proved highly discriminative, enabling transparent security decisions that build user confidence. The framework effectively balances robust fraud detection with seamless user experience, demonstrating practical viability for immersive e-commerce environments.</w:t>
      </w:r>
    </w:p>
    <w:p w14:paraId="4B4B52DA" w14:textId="77777777" w:rsidR="00656586" w:rsidRDefault="00656586">
      <w:pPr>
        <w:spacing w:line="360" w:lineRule="auto"/>
        <w:jc w:val="both"/>
        <w:rPr>
          <w:rFonts w:ascii="Times New Roman" w:eastAsia="Times New Roman" w:hAnsi="Times New Roman" w:cs="Times New Roman"/>
        </w:rPr>
      </w:pPr>
    </w:p>
    <w:p w14:paraId="23B64539" w14:textId="77777777" w:rsidR="00656586" w:rsidRDefault="00000000">
      <w:pPr>
        <w:pBdr>
          <w:top w:val="nil"/>
          <w:left w:val="nil"/>
          <w:bottom w:val="nil"/>
          <w:right w:val="nil"/>
          <w:between w:val="nil"/>
        </w:pBdr>
        <w:spacing w:after="0" w:line="240" w:lineRule="auto"/>
        <w:rPr>
          <w:rFonts w:ascii="Arial" w:eastAsia="Arial" w:hAnsi="Arial" w:cs="Arial"/>
          <w:color w:val="000000"/>
          <w:sz w:val="22"/>
          <w:szCs w:val="22"/>
          <w:highlight w:val="yellow"/>
        </w:rPr>
      </w:pPr>
      <w:bookmarkStart w:id="0" w:name="_1cgio9vumsvy" w:colFirst="0" w:colLast="0"/>
      <w:bookmarkEnd w:id="0"/>
      <w:r>
        <w:rPr>
          <w:rFonts w:ascii="Arial" w:eastAsia="Arial" w:hAnsi="Arial" w:cs="Arial"/>
          <w:color w:val="000000"/>
          <w:sz w:val="22"/>
          <w:szCs w:val="22"/>
          <w:highlight w:val="yellow"/>
        </w:rPr>
        <w:t>Disclaimer (Artificial intelligence)</w:t>
      </w:r>
    </w:p>
    <w:p w14:paraId="228A4EE3" w14:textId="77777777" w:rsidR="00656586" w:rsidRDefault="00656586">
      <w:pPr>
        <w:pBdr>
          <w:top w:val="nil"/>
          <w:left w:val="nil"/>
          <w:bottom w:val="nil"/>
          <w:right w:val="nil"/>
          <w:between w:val="nil"/>
        </w:pBdr>
        <w:spacing w:after="0" w:line="240" w:lineRule="auto"/>
        <w:rPr>
          <w:rFonts w:ascii="Arial" w:eastAsia="Arial" w:hAnsi="Arial" w:cs="Arial"/>
          <w:color w:val="000000"/>
          <w:sz w:val="22"/>
          <w:szCs w:val="22"/>
          <w:highlight w:val="yellow"/>
        </w:rPr>
      </w:pPr>
    </w:p>
    <w:p w14:paraId="2F011044" w14:textId="77777777" w:rsidR="00656586" w:rsidRDefault="00000000">
      <w:pPr>
        <w:pBdr>
          <w:top w:val="nil"/>
          <w:left w:val="nil"/>
          <w:bottom w:val="nil"/>
          <w:right w:val="nil"/>
          <w:between w:val="nil"/>
        </w:pBdr>
        <w:spacing w:after="0" w:line="240" w:lineRule="auto"/>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56D9C436" w14:textId="77777777" w:rsidR="00656586" w:rsidRDefault="00656586">
      <w:pPr>
        <w:spacing w:line="360" w:lineRule="auto"/>
        <w:jc w:val="both"/>
        <w:rPr>
          <w:rFonts w:ascii="Times New Roman" w:eastAsia="Times New Roman" w:hAnsi="Times New Roman" w:cs="Times New Roman"/>
        </w:rPr>
      </w:pPr>
      <w:bookmarkStart w:id="1" w:name="_px6gy5shg49z" w:colFirst="0" w:colLast="0"/>
      <w:bookmarkEnd w:id="1"/>
    </w:p>
    <w:p w14:paraId="5684A52F" w14:textId="77777777" w:rsidR="00412F3B" w:rsidRDefault="00412F3B">
      <w:pPr>
        <w:spacing w:line="360" w:lineRule="auto"/>
        <w:jc w:val="both"/>
        <w:rPr>
          <w:rFonts w:ascii="Times New Roman" w:eastAsia="Times New Roman" w:hAnsi="Times New Roman" w:cs="Times New Roman"/>
        </w:rPr>
      </w:pPr>
    </w:p>
    <w:p w14:paraId="7B493EB4" w14:textId="77777777" w:rsidR="00656586" w:rsidRDefault="00000000">
      <w:pPr>
        <w:spacing w:line="360" w:lineRule="auto"/>
        <w:rPr>
          <w:rFonts w:ascii="Times New Roman" w:eastAsia="Times New Roman" w:hAnsi="Times New Roman" w:cs="Times New Roman"/>
          <w:b/>
          <w:bCs/>
        </w:rPr>
      </w:pPr>
      <w:r>
        <w:rPr>
          <w:rFonts w:ascii="Times New Roman" w:eastAsia="Times New Roman" w:hAnsi="Times New Roman" w:cs="Times New Roman"/>
          <w:b/>
          <w:bCs/>
        </w:rPr>
        <w:t>References</w:t>
      </w:r>
    </w:p>
    <w:p w14:paraId="43F77F98"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Abdel, E., Zhou, X., Gururajan, R., Chan, K. C., &amp; </w:t>
      </w:r>
      <w:proofErr w:type="spellStart"/>
      <w:r>
        <w:rPr>
          <w:rFonts w:ascii="Times New Roman" w:eastAsia="Times New Roman" w:hAnsi="Times New Roman" w:cs="Times New Roman"/>
        </w:rPr>
        <w:t>Alsodi</w:t>
      </w:r>
      <w:proofErr w:type="spellEnd"/>
      <w:r>
        <w:rPr>
          <w:rFonts w:ascii="Times New Roman" w:eastAsia="Times New Roman" w:hAnsi="Times New Roman" w:cs="Times New Roman"/>
        </w:rPr>
        <w:t xml:space="preserve">, O. (2025). Enhancing credit card fraud detection with a stacking-based hybrid machine learning approach. </w:t>
      </w:r>
      <w:proofErr w:type="spellStart"/>
      <w:r>
        <w:rPr>
          <w:rFonts w:ascii="Times New Roman" w:eastAsia="Times New Roman" w:hAnsi="Times New Roman" w:cs="Times New Roman"/>
          <w:i/>
          <w:iCs/>
        </w:rPr>
        <w:t>PeerJ</w:t>
      </w:r>
      <w:proofErr w:type="spellEnd"/>
      <w:r>
        <w:rPr>
          <w:rFonts w:ascii="Times New Roman" w:eastAsia="Times New Roman" w:hAnsi="Times New Roman" w:cs="Times New Roman"/>
          <w:i/>
          <w:iCs/>
        </w:rPr>
        <w:t xml:space="preserve"> Computer Science</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 e3007–e3007. https://doi.org/10.7717/peerj-cs.3007</w:t>
      </w:r>
    </w:p>
    <w:p w14:paraId="08E6BBF8"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Aggarwal, B., &amp; </w:t>
      </w:r>
      <w:proofErr w:type="spellStart"/>
      <w:r>
        <w:rPr>
          <w:rFonts w:ascii="Times New Roman" w:eastAsia="Times New Roman" w:hAnsi="Times New Roman" w:cs="Times New Roman"/>
        </w:rPr>
        <w:t>Subhashis</w:t>
      </w:r>
      <w:proofErr w:type="spellEnd"/>
      <w:r>
        <w:rPr>
          <w:rFonts w:ascii="Times New Roman" w:eastAsia="Times New Roman" w:hAnsi="Times New Roman" w:cs="Times New Roman"/>
        </w:rPr>
        <w:t xml:space="preserve">, J. (2024). </w:t>
      </w:r>
      <w:r>
        <w:rPr>
          <w:rFonts w:ascii="Times New Roman" w:eastAsia="Times New Roman" w:hAnsi="Times New Roman" w:cs="Times New Roman"/>
          <w:i/>
          <w:iCs/>
        </w:rPr>
        <w:t>Conversational AI in E-Commerce: Top Use Cases</w:t>
      </w:r>
      <w:r>
        <w:rPr>
          <w:rFonts w:ascii="Times New Roman" w:eastAsia="Times New Roman" w:hAnsi="Times New Roman" w:cs="Times New Roman"/>
        </w:rPr>
        <w:t>. Sprinklr.com; Sprinklr. https://www.sprinklr.com/blog/conversational-ai-in-e-commerce/</w:t>
      </w:r>
    </w:p>
    <w:p w14:paraId="16C5D317"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Al-</w:t>
      </w:r>
      <w:proofErr w:type="spellStart"/>
      <w:r>
        <w:rPr>
          <w:rFonts w:ascii="Times New Roman" w:eastAsia="Times New Roman" w:hAnsi="Times New Roman" w:cs="Times New Roman"/>
        </w:rPr>
        <w:t>Oraini</w:t>
      </w:r>
      <w:proofErr w:type="spellEnd"/>
      <w:r>
        <w:rPr>
          <w:rFonts w:ascii="Times New Roman" w:eastAsia="Times New Roman" w:hAnsi="Times New Roman" w:cs="Times New Roman"/>
        </w:rPr>
        <w:t xml:space="preserve">, B. S. (2025). Chatbot dynamics: trust, social presence and customer satisfaction in AI-driven services. </w:t>
      </w:r>
      <w:r>
        <w:rPr>
          <w:rFonts w:ascii="Times New Roman" w:eastAsia="Times New Roman" w:hAnsi="Times New Roman" w:cs="Times New Roman"/>
          <w:i/>
          <w:iCs/>
        </w:rPr>
        <w:t>Journal of Innovative Digital Transformation</w:t>
      </w:r>
      <w:r>
        <w:rPr>
          <w:rFonts w:ascii="Times New Roman" w:eastAsia="Times New Roman" w:hAnsi="Times New Roman" w:cs="Times New Roman"/>
        </w:rPr>
        <w:t>. https://doi.org/10.1108/jidt-08-2024-0022</w:t>
      </w:r>
    </w:p>
    <w:p w14:paraId="3E3FE376"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Albalawi</w:t>
      </w:r>
      <w:proofErr w:type="spellEnd"/>
      <w:r>
        <w:rPr>
          <w:rFonts w:ascii="Times New Roman" w:eastAsia="Times New Roman" w:hAnsi="Times New Roman" w:cs="Times New Roman"/>
        </w:rPr>
        <w:t xml:space="preserve">, T., &amp; </w:t>
      </w:r>
      <w:proofErr w:type="spellStart"/>
      <w:r>
        <w:rPr>
          <w:rFonts w:ascii="Times New Roman" w:eastAsia="Times New Roman" w:hAnsi="Times New Roman" w:cs="Times New Roman"/>
        </w:rPr>
        <w:t>Dardouri</w:t>
      </w:r>
      <w:proofErr w:type="spellEnd"/>
      <w:r>
        <w:rPr>
          <w:rFonts w:ascii="Times New Roman" w:eastAsia="Times New Roman" w:hAnsi="Times New Roman" w:cs="Times New Roman"/>
        </w:rPr>
        <w:t xml:space="preserve">, S. (2025). Enhancing credit card fraud detection using traditional and deep learning models with class imbalance mitigation. </w:t>
      </w:r>
      <w:r>
        <w:rPr>
          <w:rFonts w:ascii="Times New Roman" w:eastAsia="Times New Roman" w:hAnsi="Times New Roman" w:cs="Times New Roman"/>
          <w:i/>
          <w:iCs/>
        </w:rPr>
        <w:t>Frontiers in Artificial Intelligence</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 https://doi.org/10.3389/frai.2025.1643292</w:t>
      </w:r>
    </w:p>
    <w:p w14:paraId="3405F1FF"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Bello, A., &amp; Olufemi, K. (2024). Artificial intelligence in fraud prevention: Exploring techniques and applications challenges and opportunities. </w:t>
      </w:r>
      <w:r>
        <w:rPr>
          <w:rFonts w:ascii="Times New Roman" w:eastAsia="Times New Roman" w:hAnsi="Times New Roman" w:cs="Times New Roman"/>
          <w:i/>
          <w:iCs/>
        </w:rPr>
        <w:t>Computer Science &amp; IT Research Journal</w:t>
      </w:r>
      <w:r>
        <w:rPr>
          <w:rFonts w:ascii="Times New Roman" w:eastAsia="Times New Roman" w:hAnsi="Times New Roman" w:cs="Times New Roman"/>
        </w:rPr>
        <w:t xml:space="preserve">, </w:t>
      </w:r>
      <w:r>
        <w:rPr>
          <w:rFonts w:ascii="Times New Roman" w:eastAsia="Times New Roman" w:hAnsi="Times New Roman" w:cs="Times New Roman"/>
          <w:i/>
          <w:iCs/>
        </w:rPr>
        <w:t>5</w:t>
      </w:r>
      <w:r>
        <w:rPr>
          <w:rFonts w:ascii="Times New Roman" w:eastAsia="Times New Roman" w:hAnsi="Times New Roman" w:cs="Times New Roman"/>
        </w:rPr>
        <w:t>(6), 1505–1520. https://doi.org/10.51594/csitrj.v5i6.1252</w:t>
      </w:r>
    </w:p>
    <w:p w14:paraId="63218C17"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COAX Team. (2025). </w:t>
      </w:r>
      <w:r>
        <w:rPr>
          <w:rFonts w:ascii="Times New Roman" w:eastAsia="Times New Roman" w:hAnsi="Times New Roman" w:cs="Times New Roman"/>
          <w:i/>
          <w:iCs/>
        </w:rPr>
        <w:t>Agile UAT checklist: How to conduct user acceptance testing</w:t>
      </w:r>
      <w:r>
        <w:rPr>
          <w:rFonts w:ascii="Times New Roman" w:eastAsia="Times New Roman" w:hAnsi="Times New Roman" w:cs="Times New Roman"/>
        </w:rPr>
        <w:t>. COAX Software. https://coaxsoft.com/blog/how-to-conduct-user-acceptance-testing</w:t>
      </w:r>
    </w:p>
    <w:p w14:paraId="19084100"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Damyanov, M. (2023). </w:t>
      </w:r>
      <w:r>
        <w:rPr>
          <w:rFonts w:ascii="Times New Roman" w:eastAsia="Times New Roman" w:hAnsi="Times New Roman" w:cs="Times New Roman"/>
          <w:i/>
          <w:iCs/>
        </w:rPr>
        <w:t>Mixed Methods Research Guide With Examples</w:t>
      </w:r>
      <w:r>
        <w:rPr>
          <w:rFonts w:ascii="Times New Roman" w:eastAsia="Times New Roman" w:hAnsi="Times New Roman" w:cs="Times New Roman"/>
        </w:rPr>
        <w:t>. Dovetail.com. https://dovetail.com/research/mixed-methods-research/</w:t>
      </w:r>
    </w:p>
    <w:p w14:paraId="6CB24D07"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Devlin, J., Chang, M.-W., Lee, K., &amp; Toutanova, K. (2019). BERT: Pre-training of Deep Bidirectional Transformers for Language Understanding. </w:t>
      </w:r>
      <w:r>
        <w:rPr>
          <w:rFonts w:ascii="Times New Roman" w:eastAsia="Times New Roman" w:hAnsi="Times New Roman" w:cs="Times New Roman"/>
          <w:i/>
          <w:iCs/>
        </w:rPr>
        <w:t>Proceedings of the 2019 Conference of the North</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 4171–4186. https://doi.org/10.18653/v1/n19-1423</w:t>
      </w:r>
    </w:p>
    <w:p w14:paraId="0F41EFF2"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Elly, A., Robert, A., Mabaso, F., &amp; Oladele, S. (2025). </w:t>
      </w:r>
      <w:r>
        <w:rPr>
          <w:rFonts w:ascii="Times New Roman" w:eastAsia="Times New Roman" w:hAnsi="Times New Roman" w:cs="Times New Roman"/>
          <w:i/>
          <w:iCs/>
        </w:rPr>
        <w:t>Developing a Framework for Real-Time Fraud Detection in E-Commerce</w:t>
      </w:r>
      <w:r>
        <w:rPr>
          <w:rFonts w:ascii="Times New Roman" w:eastAsia="Times New Roman" w:hAnsi="Times New Roman" w:cs="Times New Roman"/>
        </w:rPr>
        <w:t>. ResearchGate. https://www.researchgate.net/publication/388273445_Developing_a_Framework_for_Real-Time_Fraud_Detection_in_E-Commerce</w:t>
      </w:r>
    </w:p>
    <w:p w14:paraId="6F9EC7B1"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Farooq, A., Abbey, A. B. N., &amp; </w:t>
      </w:r>
      <w:proofErr w:type="spellStart"/>
      <w:r>
        <w:rPr>
          <w:rFonts w:ascii="Times New Roman" w:eastAsia="Times New Roman" w:hAnsi="Times New Roman" w:cs="Times New Roman"/>
        </w:rPr>
        <w:t>Onukwulu</w:t>
      </w:r>
      <w:proofErr w:type="spellEnd"/>
      <w:r>
        <w:rPr>
          <w:rFonts w:ascii="Times New Roman" w:eastAsia="Times New Roman" w:hAnsi="Times New Roman" w:cs="Times New Roman"/>
        </w:rPr>
        <w:t xml:space="preserve">, E. C. (2024). Conceptual Framework for AI-powered fraud detection in E-commerce: Addressing systemic challenges in public assistance programs. </w:t>
      </w:r>
      <w:r>
        <w:rPr>
          <w:rFonts w:ascii="Times New Roman" w:eastAsia="Times New Roman" w:hAnsi="Times New Roman" w:cs="Times New Roman"/>
          <w:i/>
          <w:iCs/>
        </w:rPr>
        <w:t>World Journal of Advanced Research and Reviews</w:t>
      </w:r>
      <w:r>
        <w:rPr>
          <w:rFonts w:ascii="Times New Roman" w:eastAsia="Times New Roman" w:hAnsi="Times New Roman" w:cs="Times New Roman"/>
        </w:rPr>
        <w:t xml:space="preserve">, </w:t>
      </w:r>
      <w:r>
        <w:rPr>
          <w:rFonts w:ascii="Times New Roman" w:eastAsia="Times New Roman" w:hAnsi="Times New Roman" w:cs="Times New Roman"/>
          <w:i/>
          <w:iCs/>
        </w:rPr>
        <w:t>24</w:t>
      </w:r>
      <w:r>
        <w:rPr>
          <w:rFonts w:ascii="Times New Roman" w:eastAsia="Times New Roman" w:hAnsi="Times New Roman" w:cs="Times New Roman"/>
        </w:rPr>
        <w:t>(3), 2207–2218. https://doi.org/10.30574/wjarr.2024.24.3.3961</w:t>
      </w:r>
    </w:p>
    <w:p w14:paraId="395FB4A8"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Fiveable</w:t>
      </w:r>
      <w:proofErr w:type="spellEnd"/>
      <w:r>
        <w:rPr>
          <w:rFonts w:ascii="Times New Roman" w:eastAsia="Times New Roman" w:hAnsi="Times New Roman" w:cs="Times New Roman"/>
        </w:rPr>
        <w:t xml:space="preserve">. (2025). </w:t>
      </w:r>
      <w:r>
        <w:rPr>
          <w:rFonts w:ascii="Times New Roman" w:eastAsia="Times New Roman" w:hAnsi="Times New Roman" w:cs="Times New Roman"/>
          <w:i/>
          <w:iCs/>
        </w:rPr>
        <w:t>Classification Metrics: Accuracy, Precision, Recall, F1-score, and ROC-AUC</w:t>
      </w:r>
      <w:r>
        <w:rPr>
          <w:rFonts w:ascii="Times New Roman" w:eastAsia="Times New Roman" w:hAnsi="Times New Roman" w:cs="Times New Roman"/>
        </w:rPr>
        <w:t xml:space="preserve">. </w:t>
      </w:r>
      <w:proofErr w:type="spellStart"/>
      <w:r>
        <w:rPr>
          <w:rFonts w:ascii="Times New Roman" w:eastAsia="Times New Roman" w:hAnsi="Times New Roman" w:cs="Times New Roman"/>
        </w:rPr>
        <w:t>Fiveable</w:t>
      </w:r>
      <w:proofErr w:type="spellEnd"/>
      <w:r>
        <w:rPr>
          <w:rFonts w:ascii="Times New Roman" w:eastAsia="Times New Roman" w:hAnsi="Times New Roman" w:cs="Times New Roman"/>
        </w:rPr>
        <w:t>. https://fiveable.me/modern-statistical-prediction-and-machine-learning/unit-14/classification-metrics-accuracy-precision-recall-f1-score-roc-auc/study-guide/wwl93Vnj2LTRDsTL</w:t>
      </w:r>
    </w:p>
    <w:p w14:paraId="27A2657A"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Friedman, Y. (2024). </w:t>
      </w:r>
      <w:r>
        <w:rPr>
          <w:rFonts w:ascii="Times New Roman" w:eastAsia="Times New Roman" w:hAnsi="Times New Roman" w:cs="Times New Roman"/>
          <w:i/>
          <w:iCs/>
        </w:rPr>
        <w:t>Understanding F1 Score, Accuracy, ROC-AUC &amp; PR-AUC Metrics</w:t>
      </w:r>
      <w:r>
        <w:rPr>
          <w:rFonts w:ascii="Times New Roman" w:eastAsia="Times New Roman" w:hAnsi="Times New Roman" w:cs="Times New Roman"/>
        </w:rPr>
        <w:t xml:space="preserve">. </w:t>
      </w:r>
      <w:proofErr w:type="spellStart"/>
      <w:r>
        <w:rPr>
          <w:rFonts w:ascii="Times New Roman" w:eastAsia="Times New Roman" w:hAnsi="Times New Roman" w:cs="Times New Roman"/>
        </w:rPr>
        <w:t>Deepchecks</w:t>
      </w:r>
      <w:proofErr w:type="spellEnd"/>
      <w:r>
        <w:rPr>
          <w:rFonts w:ascii="Times New Roman" w:eastAsia="Times New Roman" w:hAnsi="Times New Roman" w:cs="Times New Roman"/>
        </w:rPr>
        <w:t>. https://www.deepchecks.com/f1-score-accuracy-roc-auc-and-pr-auc-metrics-for-models/</w:t>
      </w:r>
    </w:p>
    <w:p w14:paraId="1C1BC7FF"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Fu, K., Cheng, D., Tu, Y., &amp; Zhang, L. (2016). </w:t>
      </w:r>
      <w:r>
        <w:rPr>
          <w:rFonts w:ascii="Times New Roman" w:eastAsia="Times New Roman" w:hAnsi="Times New Roman" w:cs="Times New Roman"/>
          <w:i/>
          <w:iCs/>
        </w:rPr>
        <w:t>Credit Card Fraud Detection Using Convolutional Neural Networks</w:t>
      </w:r>
      <w:r>
        <w:rPr>
          <w:rFonts w:ascii="Times New Roman" w:eastAsia="Times New Roman" w:hAnsi="Times New Roman" w:cs="Times New Roman"/>
        </w:rPr>
        <w:t>. Semantic Scholar. https://doi.org/10.1007/978-3-319-46675-0_53</w:t>
      </w:r>
    </w:p>
    <w:p w14:paraId="70D450D5"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Gamage, A. N. (2025). A comparative analysis of qualitative and mixed methods research: Strengths, limitations, and practical applications. </w:t>
      </w:r>
      <w:r>
        <w:rPr>
          <w:rFonts w:ascii="Times New Roman" w:eastAsia="Times New Roman" w:hAnsi="Times New Roman" w:cs="Times New Roman"/>
          <w:i/>
          <w:iCs/>
        </w:rPr>
        <w:t>World Journal of Advanced Research and Reviews</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(3), 2040–2046. https://doi.org/10.30574/wjarr.2025.25.3.0947</w:t>
      </w:r>
    </w:p>
    <w:p w14:paraId="1C2DFB5C"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George, T. (2021). </w:t>
      </w:r>
      <w:r>
        <w:rPr>
          <w:rFonts w:ascii="Times New Roman" w:eastAsia="Times New Roman" w:hAnsi="Times New Roman" w:cs="Times New Roman"/>
          <w:i/>
          <w:iCs/>
        </w:rPr>
        <w:t>Mixed Methods Research | definition, Guide &amp; Examples</w:t>
      </w:r>
      <w:r>
        <w:rPr>
          <w:rFonts w:ascii="Times New Roman" w:eastAsia="Times New Roman" w:hAnsi="Times New Roman" w:cs="Times New Roman"/>
        </w:rPr>
        <w:t xml:space="preserve">. </w:t>
      </w:r>
      <w:proofErr w:type="spellStart"/>
      <w:r>
        <w:rPr>
          <w:rFonts w:ascii="Times New Roman" w:eastAsia="Times New Roman" w:hAnsi="Times New Roman" w:cs="Times New Roman"/>
        </w:rPr>
        <w:t>Scribbr</w:t>
      </w:r>
      <w:proofErr w:type="spellEnd"/>
      <w:r>
        <w:rPr>
          <w:rFonts w:ascii="Times New Roman" w:eastAsia="Times New Roman" w:hAnsi="Times New Roman" w:cs="Times New Roman"/>
        </w:rPr>
        <w:t>. https://www.scribbr.com/methodology/mixed-methods-research/</w:t>
      </w:r>
    </w:p>
    <w:p w14:paraId="2B10B531"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Gu, C., Zhang, Y., &amp; Zeng, L. (2024). Exploring the mechanism of sustained consumer trust in AI chatbots after service failures: a perspective based on attribution and CASA theories. </w:t>
      </w:r>
      <w:r>
        <w:rPr>
          <w:rFonts w:ascii="Times New Roman" w:eastAsia="Times New Roman" w:hAnsi="Times New Roman" w:cs="Times New Roman"/>
          <w:i/>
          <w:iCs/>
        </w:rPr>
        <w:t>Humanities and Social Sciences Communications</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 https://doi.org/10.1057/s41599-024-03879-5</w:t>
      </w:r>
    </w:p>
    <w:p w14:paraId="3B03D831"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Harini M. (2024). </w:t>
      </w:r>
      <w:r>
        <w:rPr>
          <w:rFonts w:ascii="Times New Roman" w:eastAsia="Times New Roman" w:hAnsi="Times New Roman" w:cs="Times New Roman"/>
          <w:i/>
          <w:iCs/>
        </w:rPr>
        <w:t xml:space="preserve">Text Preprocessing Techniques in </w:t>
      </w:r>
      <w:proofErr w:type="spellStart"/>
      <w:r>
        <w:rPr>
          <w:rFonts w:ascii="Times New Roman" w:eastAsia="Times New Roman" w:hAnsi="Times New Roman" w:cs="Times New Roman"/>
          <w:i/>
          <w:iCs/>
        </w:rPr>
        <w:t>NLP:Tokenization</w:t>
      </w:r>
      <w:proofErr w:type="spellEnd"/>
      <w:r>
        <w:rPr>
          <w:rFonts w:ascii="Times New Roman" w:eastAsia="Times New Roman" w:hAnsi="Times New Roman" w:cs="Times New Roman"/>
          <w:i/>
          <w:iCs/>
        </w:rPr>
        <w:t>, Lemmatization, and Stemming</w:t>
      </w:r>
      <w:r>
        <w:rPr>
          <w:rFonts w:ascii="Times New Roman" w:eastAsia="Times New Roman" w:hAnsi="Times New Roman" w:cs="Times New Roman"/>
        </w:rPr>
        <w:t xml:space="preserve">. Goml.io; </w:t>
      </w:r>
      <w:proofErr w:type="spellStart"/>
      <w:r>
        <w:rPr>
          <w:rFonts w:ascii="Times New Roman" w:eastAsia="Times New Roman" w:hAnsi="Times New Roman" w:cs="Times New Roman"/>
        </w:rPr>
        <w:t>GoML</w:t>
      </w:r>
      <w:proofErr w:type="spellEnd"/>
      <w:r>
        <w:rPr>
          <w:rFonts w:ascii="Times New Roman" w:eastAsia="Times New Roman" w:hAnsi="Times New Roman" w:cs="Times New Roman"/>
        </w:rPr>
        <w:t>. https://www.goml.io/blog/text-preprocessing-techniques-in-nlptokenization-lemmatization-and-stemming</w:t>
      </w:r>
    </w:p>
    <w:p w14:paraId="1D899CE8"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Harry, O. O., </w:t>
      </w:r>
      <w:proofErr w:type="spellStart"/>
      <w:r>
        <w:rPr>
          <w:rFonts w:ascii="Times New Roman" w:eastAsia="Times New Roman" w:hAnsi="Times New Roman" w:cs="Times New Roman"/>
        </w:rPr>
        <w:t>Ighoakpo</w:t>
      </w:r>
      <w:proofErr w:type="spellEnd"/>
      <w:r>
        <w:rPr>
          <w:rFonts w:ascii="Times New Roman" w:eastAsia="Times New Roman" w:hAnsi="Times New Roman" w:cs="Times New Roman"/>
        </w:rPr>
        <w:t xml:space="preserve">, E. A., Anyanwu, L., </w:t>
      </w:r>
      <w:proofErr w:type="spellStart"/>
      <w:r>
        <w:rPr>
          <w:rFonts w:ascii="Times New Roman" w:eastAsia="Times New Roman" w:hAnsi="Times New Roman" w:cs="Times New Roman"/>
        </w:rPr>
        <w:t>Obande</w:t>
      </w:r>
      <w:proofErr w:type="spellEnd"/>
      <w:r>
        <w:rPr>
          <w:rFonts w:ascii="Times New Roman" w:eastAsia="Times New Roman" w:hAnsi="Times New Roman" w:cs="Times New Roman"/>
        </w:rPr>
        <w:t xml:space="preserve">, B. O., </w:t>
      </w:r>
      <w:proofErr w:type="spellStart"/>
      <w:r>
        <w:rPr>
          <w:rFonts w:ascii="Times New Roman" w:eastAsia="Times New Roman" w:hAnsi="Times New Roman" w:cs="Times New Roman"/>
        </w:rPr>
        <w:t>Ukaoha</w:t>
      </w:r>
      <w:proofErr w:type="spellEnd"/>
      <w:r>
        <w:rPr>
          <w:rFonts w:ascii="Times New Roman" w:eastAsia="Times New Roman" w:hAnsi="Times New Roman" w:cs="Times New Roman"/>
        </w:rPr>
        <w:t xml:space="preserve">, K. C., </w:t>
      </w:r>
      <w:proofErr w:type="spellStart"/>
      <w:r>
        <w:rPr>
          <w:rFonts w:ascii="Times New Roman" w:eastAsia="Times New Roman" w:hAnsi="Times New Roman" w:cs="Times New Roman"/>
        </w:rPr>
        <w:t>Izevbuwa</w:t>
      </w:r>
      <w:proofErr w:type="spellEnd"/>
      <w:r>
        <w:rPr>
          <w:rFonts w:ascii="Times New Roman" w:eastAsia="Times New Roman" w:hAnsi="Times New Roman" w:cs="Times New Roman"/>
        </w:rPr>
        <w:t xml:space="preserve">, O. G., </w:t>
      </w:r>
      <w:proofErr w:type="spellStart"/>
      <w:r>
        <w:rPr>
          <w:rFonts w:ascii="Times New Roman" w:eastAsia="Times New Roman" w:hAnsi="Times New Roman" w:cs="Times New Roman"/>
        </w:rPr>
        <w:t>Ighotuweyin</w:t>
      </w:r>
      <w:proofErr w:type="spellEnd"/>
      <w:r>
        <w:rPr>
          <w:rFonts w:ascii="Times New Roman" w:eastAsia="Times New Roman" w:hAnsi="Times New Roman" w:cs="Times New Roman"/>
        </w:rPr>
        <w:t xml:space="preserve">, A. F., &amp; </w:t>
      </w:r>
      <w:proofErr w:type="spellStart"/>
      <w:r>
        <w:rPr>
          <w:rFonts w:ascii="Times New Roman" w:eastAsia="Times New Roman" w:hAnsi="Times New Roman" w:cs="Times New Roman"/>
        </w:rPr>
        <w:t>Arenvbaguehita</w:t>
      </w:r>
      <w:proofErr w:type="spellEnd"/>
      <w:r>
        <w:rPr>
          <w:rFonts w:ascii="Times New Roman" w:eastAsia="Times New Roman" w:hAnsi="Times New Roman" w:cs="Times New Roman"/>
        </w:rPr>
        <w:t xml:space="preserve"> , O. D. (2025). The Impact of Artificial Intelligence (AI) On Fraud Detection in Banks in Nigeria. </w:t>
      </w:r>
      <w:r>
        <w:rPr>
          <w:rFonts w:ascii="Times New Roman" w:eastAsia="Times New Roman" w:hAnsi="Times New Roman" w:cs="Times New Roman"/>
          <w:i/>
          <w:iCs/>
        </w:rPr>
        <w:t>GAS Journal of Engineering and Technology (GASJET)</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(9), 26–35.</w:t>
      </w:r>
    </w:p>
    <w:p w14:paraId="4355203C"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Hilken, T., de Ruyter, K., Chylinski, M., Mahr, D., &amp; Keeling, D. I. (2017). Augmenting the Eye of the beholder: Exploring the Strategic Potential of Augmented Reality to Enhance Online Service Experiences. </w:t>
      </w:r>
      <w:r>
        <w:rPr>
          <w:rFonts w:ascii="Times New Roman" w:eastAsia="Times New Roman" w:hAnsi="Times New Roman" w:cs="Times New Roman"/>
          <w:i/>
          <w:iCs/>
        </w:rPr>
        <w:t>Journal of the Academy of Marketing Science</w:t>
      </w:r>
      <w:r>
        <w:rPr>
          <w:rFonts w:ascii="Times New Roman" w:eastAsia="Times New Roman" w:hAnsi="Times New Roman" w:cs="Times New Roman"/>
        </w:rPr>
        <w:t xml:space="preserve">, </w:t>
      </w:r>
      <w:r>
        <w:rPr>
          <w:rFonts w:ascii="Times New Roman" w:eastAsia="Times New Roman" w:hAnsi="Times New Roman" w:cs="Times New Roman"/>
          <w:i/>
          <w:iCs/>
        </w:rPr>
        <w:t>45</w:t>
      </w:r>
      <w:r>
        <w:rPr>
          <w:rFonts w:ascii="Times New Roman" w:eastAsia="Times New Roman" w:hAnsi="Times New Roman" w:cs="Times New Roman"/>
        </w:rPr>
        <w:t>(6), 884–905. https://link.springer.com/article/10.1007/s11747-017-0541-x</w:t>
      </w:r>
    </w:p>
    <w:p w14:paraId="33C2813A"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Keenan, M. (2024, November 22). </w:t>
      </w:r>
      <w:r>
        <w:rPr>
          <w:rFonts w:ascii="Times New Roman" w:eastAsia="Times New Roman" w:hAnsi="Times New Roman" w:cs="Times New Roman"/>
          <w:i/>
          <w:iCs/>
        </w:rPr>
        <w:t>Retail Cybersecurity in 2025: Trends, Risks, and Solutions - Shopify</w:t>
      </w:r>
      <w:r>
        <w:rPr>
          <w:rFonts w:ascii="Times New Roman" w:eastAsia="Times New Roman" w:hAnsi="Times New Roman" w:cs="Times New Roman"/>
        </w:rPr>
        <w:t>. Shopify. https://www.shopify.com/retail/retail-cybersecurity</w:t>
      </w:r>
    </w:p>
    <w:p w14:paraId="47E46955" w14:textId="77777777" w:rsidR="00656586"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Kolo, F. H. O. (2025). Responsible AI for Cybersecurity: Assessing the Barriers, Biases and </w:t>
      </w:r>
    </w:p>
    <w:p w14:paraId="20A9C4DD" w14:textId="77777777" w:rsidR="00656586" w:rsidRDefault="00000000">
      <w:pPr>
        <w:pBdr>
          <w:top w:val="nil"/>
          <w:left w:val="nil"/>
          <w:bottom w:val="nil"/>
          <w:right w:val="nil"/>
          <w:between w:val="nil"/>
        </w:pBdr>
        <w:spacing w:after="0"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Governance Gaps in Implementation with E-commerce Systems. Journal of Engineering Research and Reports, 27(5), 510–532. https://doi.org/10.9734/jerr/2025/v27i51520</w:t>
      </w:r>
    </w:p>
    <w:p w14:paraId="2BF203BD"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Kumar, V., &amp; Sinha, D. (2022). Synthetic Attack Data Generation Model Applying Generative Adversarial Network for Intrusion Detection. </w:t>
      </w:r>
      <w:r>
        <w:rPr>
          <w:rFonts w:ascii="Times New Roman" w:eastAsia="Times New Roman" w:hAnsi="Times New Roman" w:cs="Times New Roman"/>
          <w:i/>
          <w:iCs/>
        </w:rPr>
        <w:t>Computers &amp; Security</w:t>
      </w:r>
      <w:r>
        <w:rPr>
          <w:rFonts w:ascii="Times New Roman" w:eastAsia="Times New Roman" w:hAnsi="Times New Roman" w:cs="Times New Roman"/>
        </w:rPr>
        <w:t>, 103054. https://doi.org/10.1016/j.cose.2022.103054</w:t>
      </w:r>
    </w:p>
    <w:p w14:paraId="7E863F00"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Kuruwitaarachchi</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Abeygunawardena</w:t>
      </w:r>
      <w:proofErr w:type="spellEnd"/>
      <w:r>
        <w:rPr>
          <w:rFonts w:ascii="Times New Roman" w:eastAsia="Times New Roman" w:hAnsi="Times New Roman" w:cs="Times New Roman"/>
        </w:rPr>
        <w:t xml:space="preserve">, P. K. W., </w:t>
      </w:r>
      <w:proofErr w:type="spellStart"/>
      <w:r>
        <w:rPr>
          <w:rFonts w:ascii="Times New Roman" w:eastAsia="Times New Roman" w:hAnsi="Times New Roman" w:cs="Times New Roman"/>
        </w:rPr>
        <w:t>Rupasingha</w:t>
      </w:r>
      <w:proofErr w:type="spellEnd"/>
      <w:r>
        <w:rPr>
          <w:rFonts w:ascii="Times New Roman" w:eastAsia="Times New Roman" w:hAnsi="Times New Roman" w:cs="Times New Roman"/>
        </w:rPr>
        <w:t xml:space="preserve">, L., &amp; Udara, S. W. I. (2019). A Systematic Review of Security in Electronic Commerce- Threats and Frameworks. </w:t>
      </w:r>
      <w:r>
        <w:rPr>
          <w:rFonts w:ascii="Times New Roman" w:eastAsia="Times New Roman" w:hAnsi="Times New Roman" w:cs="Times New Roman"/>
          <w:i/>
          <w:iCs/>
        </w:rPr>
        <w:t>Global Journal of Computer Science and Technology</w:t>
      </w:r>
      <w:r>
        <w:rPr>
          <w:rFonts w:ascii="Times New Roman" w:eastAsia="Times New Roman" w:hAnsi="Times New Roman" w:cs="Times New Roman"/>
        </w:rPr>
        <w:t>, 33–39. https://doi.org/10.34257/gjcstevol19is1pg33</w:t>
      </w:r>
    </w:p>
    <w:p w14:paraId="7F2BDEEE"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Leschanowsky, A., Rech, S., Popp, B., &amp; Bäckström, T. (2024). Evaluating privacy, security, and trust perceptions in conversational AI: A systematic review. </w:t>
      </w:r>
      <w:r>
        <w:rPr>
          <w:rFonts w:ascii="Times New Roman" w:eastAsia="Times New Roman" w:hAnsi="Times New Roman" w:cs="Times New Roman"/>
          <w:i/>
          <w:iCs/>
        </w:rPr>
        <w:t>Computers in Human Behavior</w:t>
      </w:r>
      <w:r>
        <w:rPr>
          <w:rFonts w:ascii="Times New Roman" w:eastAsia="Times New Roman" w:hAnsi="Times New Roman" w:cs="Times New Roman"/>
        </w:rPr>
        <w:t xml:space="preserve">, </w:t>
      </w:r>
      <w:r>
        <w:rPr>
          <w:rFonts w:ascii="Times New Roman" w:eastAsia="Times New Roman" w:hAnsi="Times New Roman" w:cs="Times New Roman"/>
          <w:i/>
          <w:iCs/>
        </w:rPr>
        <w:t>159</w:t>
      </w:r>
      <w:r>
        <w:rPr>
          <w:rFonts w:ascii="Times New Roman" w:eastAsia="Times New Roman" w:hAnsi="Times New Roman" w:cs="Times New Roman"/>
        </w:rPr>
        <w:t>, 108344–108344. https://doi.org/10.1016/j.chb.2024.108344</w:t>
      </w:r>
    </w:p>
    <w:p w14:paraId="51143B15"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Liu, X., Ahmad, S. F., </w:t>
      </w:r>
      <w:proofErr w:type="spellStart"/>
      <w:r>
        <w:rPr>
          <w:rFonts w:ascii="Times New Roman" w:eastAsia="Times New Roman" w:hAnsi="Times New Roman" w:cs="Times New Roman"/>
        </w:rPr>
        <w:t>Anser</w:t>
      </w:r>
      <w:proofErr w:type="spellEnd"/>
      <w:r>
        <w:rPr>
          <w:rFonts w:ascii="Times New Roman" w:eastAsia="Times New Roman" w:hAnsi="Times New Roman" w:cs="Times New Roman"/>
        </w:rPr>
        <w:t xml:space="preserve">, M. K., Ke, J., Irshad, M., Ul-Haq, J., &amp; Abbas, S. (2022). Cyber security threats: A never-ending challenge for e-commerce. </w:t>
      </w:r>
      <w:r>
        <w:rPr>
          <w:rFonts w:ascii="Times New Roman" w:eastAsia="Times New Roman" w:hAnsi="Times New Roman" w:cs="Times New Roman"/>
          <w:i/>
          <w:iCs/>
        </w:rPr>
        <w:t>Frontiers in Psychology</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(6). https://doi.org/10.3389/fpsyg.2022.927398</w:t>
      </w:r>
    </w:p>
    <w:p w14:paraId="102B80C1"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Mah, P. M., </w:t>
      </w:r>
      <w:proofErr w:type="spellStart"/>
      <w:r>
        <w:rPr>
          <w:rFonts w:ascii="Times New Roman" w:eastAsia="Times New Roman" w:hAnsi="Times New Roman" w:cs="Times New Roman"/>
        </w:rPr>
        <w:t>Skalna</w:t>
      </w:r>
      <w:proofErr w:type="spellEnd"/>
      <w:r>
        <w:rPr>
          <w:rFonts w:ascii="Times New Roman" w:eastAsia="Times New Roman" w:hAnsi="Times New Roman" w:cs="Times New Roman"/>
        </w:rPr>
        <w:t>, I., &amp; Pelech-</w:t>
      </w:r>
      <w:proofErr w:type="spellStart"/>
      <w:r>
        <w:rPr>
          <w:rFonts w:ascii="Times New Roman" w:eastAsia="Times New Roman" w:hAnsi="Times New Roman" w:cs="Times New Roman"/>
        </w:rPr>
        <w:t>Pilichowski</w:t>
      </w:r>
      <w:proofErr w:type="spellEnd"/>
      <w:r>
        <w:rPr>
          <w:rFonts w:ascii="Times New Roman" w:eastAsia="Times New Roman" w:hAnsi="Times New Roman" w:cs="Times New Roman"/>
        </w:rPr>
        <w:t xml:space="preserve">, T. (2025). AI-Driven Anomaly Detection in E-Commerce Services: A Deep Learning and NLP Approach to the Isolation Forest Algorithm Trees. </w:t>
      </w:r>
      <w:r>
        <w:rPr>
          <w:rFonts w:ascii="Times New Roman" w:eastAsia="Times New Roman" w:hAnsi="Times New Roman" w:cs="Times New Roman"/>
          <w:i/>
          <w:iCs/>
        </w:rPr>
        <w:t>Journal of Theoretical and Applied Electronic Commerce Research</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(3), 214. https://doi.org/10.3390/jtaer20030214</w:t>
      </w:r>
    </w:p>
    <w:p w14:paraId="6FF723B5"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Maynard, D. (2025). </w:t>
      </w:r>
      <w:r>
        <w:rPr>
          <w:rFonts w:ascii="Times New Roman" w:eastAsia="Times New Roman" w:hAnsi="Times New Roman" w:cs="Times New Roman"/>
          <w:i/>
          <w:iCs/>
        </w:rPr>
        <w:t xml:space="preserve">A Guide to Using Longitudinal Data Analysis for… | </w:t>
      </w:r>
      <w:proofErr w:type="spellStart"/>
      <w:r>
        <w:rPr>
          <w:rFonts w:ascii="Times New Roman" w:eastAsia="Times New Roman" w:hAnsi="Times New Roman" w:cs="Times New Roman"/>
          <w:i/>
          <w:iCs/>
        </w:rPr>
        <w:t>BeyondTrust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BeyondTrust</w:t>
      </w:r>
      <w:proofErr w:type="spellEnd"/>
      <w:r>
        <w:rPr>
          <w:rFonts w:ascii="Times New Roman" w:eastAsia="Times New Roman" w:hAnsi="Times New Roman" w:cs="Times New Roman"/>
        </w:rPr>
        <w:t>. https://www.beyondtrust.com/blog/entry/longitudinal-data-analysis</w:t>
      </w:r>
    </w:p>
    <w:p w14:paraId="7721CE69"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Oghenekevwe, A. N., Daniel, O. A., &amp; Micheal, O. A. (2025). Adversarial Robustness in Natural Language Processing: An Empirical Analysis of Machine Learning Model Vulnerabilities to Adversarial Attacks. </w:t>
      </w:r>
      <w:r>
        <w:rPr>
          <w:rFonts w:ascii="Times New Roman" w:eastAsia="Times New Roman" w:hAnsi="Times New Roman" w:cs="Times New Roman"/>
          <w:i/>
          <w:iCs/>
        </w:rPr>
        <w:t>International Journal of Research and Innovation in Applied Science</w:t>
      </w:r>
      <w:r>
        <w:rPr>
          <w:rFonts w:ascii="Times New Roman" w:eastAsia="Times New Roman" w:hAnsi="Times New Roman" w:cs="Times New Roman"/>
        </w:rPr>
        <w:t xml:space="preserve">, </w:t>
      </w:r>
      <w:r>
        <w:rPr>
          <w:rFonts w:ascii="Times New Roman" w:eastAsia="Times New Roman" w:hAnsi="Times New Roman" w:cs="Times New Roman"/>
          <w:i/>
          <w:iCs/>
        </w:rPr>
        <w:t>10</w:t>
      </w:r>
      <w:r>
        <w:rPr>
          <w:rFonts w:ascii="Times New Roman" w:eastAsia="Times New Roman" w:hAnsi="Times New Roman" w:cs="Times New Roman"/>
        </w:rPr>
        <w:t xml:space="preserve">(10), 1921–1939. </w:t>
      </w:r>
      <w:hyperlink r:id="rId13">
        <w:r>
          <w:rPr>
            <w:rFonts w:ascii="Times New Roman" w:eastAsia="Times New Roman" w:hAnsi="Times New Roman" w:cs="Times New Roman"/>
            <w:color w:val="467886"/>
            <w:u w:val="single"/>
          </w:rPr>
          <w:t>https://doi.org/10.51584/ijrias.2025.10100000169</w:t>
        </w:r>
      </w:hyperlink>
    </w:p>
    <w:p w14:paraId="66F8957E" w14:textId="77777777" w:rsidR="00656586"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Olutimehin</w:t>
      </w:r>
      <w:proofErr w:type="spellEnd"/>
      <w:r>
        <w:rPr>
          <w:rFonts w:ascii="Times New Roman" w:eastAsia="Times New Roman" w:hAnsi="Times New Roman" w:cs="Times New Roman"/>
          <w:color w:val="000000"/>
        </w:rPr>
        <w:t xml:space="preserve">, A. T., Olaniyi, O. O., </w:t>
      </w:r>
      <w:proofErr w:type="spellStart"/>
      <w:r>
        <w:rPr>
          <w:rFonts w:ascii="Times New Roman" w:eastAsia="Times New Roman" w:hAnsi="Times New Roman" w:cs="Times New Roman"/>
          <w:color w:val="000000"/>
        </w:rPr>
        <w:t>Ogunmolu</w:t>
      </w:r>
      <w:proofErr w:type="spellEnd"/>
      <w:r>
        <w:rPr>
          <w:rFonts w:ascii="Times New Roman" w:eastAsia="Times New Roman" w:hAnsi="Times New Roman" w:cs="Times New Roman"/>
          <w:color w:val="000000"/>
        </w:rPr>
        <w:t xml:space="preserve">, A. M., Kolo, F. H. O., &amp; Salami, I. A. (2025). </w:t>
      </w:r>
    </w:p>
    <w:p w14:paraId="698BECA5" w14:textId="77777777" w:rsidR="00656586" w:rsidRDefault="00000000">
      <w:pPr>
        <w:pBdr>
          <w:top w:val="nil"/>
          <w:left w:val="nil"/>
          <w:bottom w:val="nil"/>
          <w:right w:val="nil"/>
          <w:between w:val="nil"/>
        </w:pBdr>
        <w:spacing w:after="0" w:line="360" w:lineRule="auto"/>
        <w:ind w:left="720"/>
        <w:rPr>
          <w:color w:val="000000"/>
          <w:sz w:val="22"/>
          <w:szCs w:val="22"/>
        </w:rPr>
      </w:pPr>
      <w:r>
        <w:rPr>
          <w:rFonts w:ascii="Times New Roman" w:eastAsia="Times New Roman" w:hAnsi="Times New Roman" w:cs="Times New Roman"/>
          <w:color w:val="000000"/>
        </w:rPr>
        <w:t>Cloud-Based AI Solutions for Real-time Monitoring of E-commerce Compliance and Risk. Journal of Engineering Research and Reports, 27(7), 127–147. https://doi.org/10.9734/jerr/2025/v27i71566</w:t>
      </w:r>
    </w:p>
    <w:p w14:paraId="38026908"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Penmetsa, S. D., &amp; Mohammed, S. (2021). Ensemble Techniques for Credit Card Fraud Detection. </w:t>
      </w:r>
      <w:r>
        <w:rPr>
          <w:rFonts w:ascii="Times New Roman" w:eastAsia="Times New Roman" w:hAnsi="Times New Roman" w:cs="Times New Roman"/>
          <w:i/>
          <w:iCs/>
        </w:rPr>
        <w:t>International Journal of Smart Business and Technology</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(2), 33–48. https://doi.org/10.21742/ijsbt.2021.9.2.03</w:t>
      </w:r>
    </w:p>
    <w:p w14:paraId="4F8431BF"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Pozzolo</w:t>
      </w:r>
      <w:proofErr w:type="spellEnd"/>
      <w:r>
        <w:rPr>
          <w:rFonts w:ascii="Times New Roman" w:eastAsia="Times New Roman" w:hAnsi="Times New Roman" w:cs="Times New Roman"/>
        </w:rPr>
        <w:t xml:space="preserve">, A. D., Caelen, O., Johnson, R. A., &amp; Bontempi, G. (2015). Calibrating Probability with </w:t>
      </w:r>
      <w:proofErr w:type="spellStart"/>
      <w:r>
        <w:rPr>
          <w:rFonts w:ascii="Times New Roman" w:eastAsia="Times New Roman" w:hAnsi="Times New Roman" w:cs="Times New Roman"/>
        </w:rPr>
        <w:t>Undersampling</w:t>
      </w:r>
      <w:proofErr w:type="spellEnd"/>
      <w:r>
        <w:rPr>
          <w:rFonts w:ascii="Times New Roman" w:eastAsia="Times New Roman" w:hAnsi="Times New Roman" w:cs="Times New Roman"/>
        </w:rPr>
        <w:t xml:space="preserve"> for Unbalanced Classification. </w:t>
      </w:r>
      <w:r>
        <w:rPr>
          <w:rFonts w:ascii="Times New Roman" w:eastAsia="Times New Roman" w:hAnsi="Times New Roman" w:cs="Times New Roman"/>
          <w:i/>
          <w:iCs/>
        </w:rPr>
        <w:t>2015 IEEE Symposium Series on Computational Intelligence</w:t>
      </w:r>
      <w:r>
        <w:rPr>
          <w:rFonts w:ascii="Times New Roman" w:eastAsia="Times New Roman" w:hAnsi="Times New Roman" w:cs="Times New Roman"/>
        </w:rPr>
        <w:t>. https://doi.org/10.1109/ssci.2015.33</w:t>
      </w:r>
    </w:p>
    <w:p w14:paraId="1D753E10"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Qlik Community. (2025). </w:t>
      </w:r>
      <w:r>
        <w:rPr>
          <w:rFonts w:ascii="Times New Roman" w:eastAsia="Times New Roman" w:hAnsi="Times New Roman" w:cs="Times New Roman"/>
          <w:i/>
          <w:iCs/>
        </w:rPr>
        <w:t>Tuning hyper-parameters and using K-fold cross-validation to improve the matching model</w:t>
      </w:r>
      <w:r>
        <w:rPr>
          <w:rFonts w:ascii="Times New Roman" w:eastAsia="Times New Roman" w:hAnsi="Times New Roman" w:cs="Times New Roman"/>
        </w:rPr>
        <w:t>. Qlik.com. https://help.qlik.com/talend/en-US/data-matching/8.0/tuning-hyper-parameters-and-using-k-fold-cross-validation-to-improve-matching-model</w:t>
      </w:r>
    </w:p>
    <w:p w14:paraId="35DA9ED7"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Rahman, Md. A., Francia, G. A., &amp; Shahriar, H. (2025). Leveraging GANs for Synthetic Data Generation to Improve Intrusion Detection Systems. </w:t>
      </w:r>
      <w:r>
        <w:rPr>
          <w:rFonts w:ascii="Times New Roman" w:eastAsia="Times New Roman" w:hAnsi="Times New Roman" w:cs="Times New Roman"/>
          <w:i/>
          <w:iCs/>
        </w:rPr>
        <w:t>Journal of Future Artificial Intelligence and Technologies</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(4), 429–439. https://doi.org/10.62411/faith.3048-3719-52</w:t>
      </w:r>
    </w:p>
    <w:p w14:paraId="1F0C6C55"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Rufsun</w:t>
      </w:r>
      <w:proofErr w:type="spellEnd"/>
      <w:r>
        <w:rPr>
          <w:rFonts w:ascii="Times New Roman" w:eastAsia="Times New Roman" w:hAnsi="Times New Roman" w:cs="Times New Roman"/>
        </w:rPr>
        <w:t xml:space="preserve">, S., Karim, M. R., Un Nabi, Md. N., &amp; </w:t>
      </w:r>
      <w:proofErr w:type="spellStart"/>
      <w:r>
        <w:rPr>
          <w:rFonts w:ascii="Times New Roman" w:eastAsia="Times New Roman" w:hAnsi="Times New Roman" w:cs="Times New Roman"/>
        </w:rPr>
        <w:t>Foysal</w:t>
      </w:r>
      <w:proofErr w:type="spellEnd"/>
      <w:r>
        <w:rPr>
          <w:rFonts w:ascii="Times New Roman" w:eastAsia="Times New Roman" w:hAnsi="Times New Roman" w:cs="Times New Roman"/>
        </w:rPr>
        <w:t xml:space="preserve">, Md. F. (2025). Exploring User Trust in AI-Powered Chatbots: A Study on Transparency and Usability. </w:t>
      </w:r>
      <w:r>
        <w:rPr>
          <w:rFonts w:ascii="Times New Roman" w:eastAsia="Times New Roman" w:hAnsi="Times New Roman" w:cs="Times New Roman"/>
          <w:i/>
          <w:iCs/>
        </w:rPr>
        <w:t>2025 International Conference on Electrical, Computer and Communication Engineering (ECCE)</w:t>
      </w:r>
      <w:r>
        <w:rPr>
          <w:rFonts w:ascii="Times New Roman" w:eastAsia="Times New Roman" w:hAnsi="Times New Roman" w:cs="Times New Roman"/>
        </w:rPr>
        <w:t>, 1–6. https://doi.org/10.1109/ecce64574.2025.11013382</w:t>
      </w:r>
    </w:p>
    <w:p w14:paraId="3AA4C4A2"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Sahoo, A., Chanda, R., Das, N., &amp; Bikash Sadhukhan. (2023). </w:t>
      </w:r>
      <w:r>
        <w:rPr>
          <w:rFonts w:ascii="Times New Roman" w:eastAsia="Times New Roman" w:hAnsi="Times New Roman" w:cs="Times New Roman"/>
          <w:i/>
          <w:iCs/>
        </w:rPr>
        <w:t>Comparative Analysis of BERT Models for Sentiment Analysis on Twitter Data</w:t>
      </w:r>
      <w:r>
        <w:rPr>
          <w:rFonts w:ascii="Times New Roman" w:eastAsia="Times New Roman" w:hAnsi="Times New Roman" w:cs="Times New Roman"/>
        </w:rPr>
        <w:t>. 658–663. https://doi.org/10.1109/icscc59169.2023.10335061</w:t>
      </w:r>
    </w:p>
    <w:p w14:paraId="5E1846D4"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Sahoo, C. K. (2025). </w:t>
      </w:r>
      <w:r>
        <w:rPr>
          <w:rFonts w:ascii="Times New Roman" w:eastAsia="Times New Roman" w:hAnsi="Times New Roman" w:cs="Times New Roman"/>
          <w:i/>
          <w:iCs/>
        </w:rPr>
        <w:t>Top 10 Latest Security Threats in E-commerce and Their Solutions</w:t>
      </w:r>
      <w:r>
        <w:rPr>
          <w:rFonts w:ascii="Times New Roman" w:eastAsia="Times New Roman" w:hAnsi="Times New Roman" w:cs="Times New Roman"/>
        </w:rPr>
        <w:t xml:space="preserve">. </w:t>
      </w:r>
      <w:proofErr w:type="spellStart"/>
      <w:r>
        <w:rPr>
          <w:rFonts w:ascii="Times New Roman" w:eastAsia="Times New Roman" w:hAnsi="Times New Roman" w:cs="Times New Roman"/>
        </w:rPr>
        <w:t>Qualysec</w:t>
      </w:r>
      <w:proofErr w:type="spellEnd"/>
      <w:r>
        <w:rPr>
          <w:rFonts w:ascii="Times New Roman" w:eastAsia="Times New Roman" w:hAnsi="Times New Roman" w:cs="Times New Roman"/>
        </w:rPr>
        <w:t xml:space="preserve"> | Penetration Testing Services and Solutions. https://qualysec.com/top-10-latest-security-threats-in-e-commerce-and-their-solutions/</w:t>
      </w:r>
    </w:p>
    <w:p w14:paraId="646213E5"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Salem, W. salah, El- </w:t>
      </w:r>
      <w:proofErr w:type="spellStart"/>
      <w:r>
        <w:rPr>
          <w:rFonts w:ascii="Times New Roman" w:eastAsia="Times New Roman" w:hAnsi="Times New Roman" w:cs="Times New Roman"/>
        </w:rPr>
        <w:t>hasnony</w:t>
      </w:r>
      <w:proofErr w:type="spellEnd"/>
      <w:r>
        <w:rPr>
          <w:rFonts w:ascii="Times New Roman" w:eastAsia="Times New Roman" w:hAnsi="Times New Roman" w:cs="Times New Roman"/>
        </w:rPr>
        <w:t xml:space="preserve">, I., Abu </w:t>
      </w:r>
      <w:proofErr w:type="spellStart"/>
      <w:r>
        <w:rPr>
          <w:rFonts w:ascii="Times New Roman" w:eastAsia="Times New Roman" w:hAnsi="Times New Roman" w:cs="Times New Roman"/>
        </w:rPr>
        <w:t>Elfetouh</w:t>
      </w:r>
      <w:proofErr w:type="spellEnd"/>
      <w:r>
        <w:rPr>
          <w:rFonts w:ascii="Times New Roman" w:eastAsia="Times New Roman" w:hAnsi="Times New Roman" w:cs="Times New Roman"/>
        </w:rPr>
        <w:t xml:space="preserve">, A., &amp; Rezk, A. (2025). Enhancing Fraud Detection in Imbalanced Datasets: A Comparative Study of Machine Learning and Deep Learning Algorithms with SMOTE Preprocessing. </w:t>
      </w:r>
      <w:r>
        <w:rPr>
          <w:rFonts w:ascii="Times New Roman" w:eastAsia="Times New Roman" w:hAnsi="Times New Roman" w:cs="Times New Roman"/>
          <w:i/>
          <w:iCs/>
        </w:rPr>
        <w:t>Mansoura Journal for Computer and Information Sciences</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(1), 1–21. https://doi.org/10.21608/mjcis.2025.313097.1007</w:t>
      </w:r>
    </w:p>
    <w:p w14:paraId="21A23313"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Schmid, P. (2024). </w:t>
      </w:r>
      <w:r>
        <w:rPr>
          <w:rFonts w:ascii="Times New Roman" w:eastAsia="Times New Roman" w:hAnsi="Times New Roman" w:cs="Times New Roman"/>
          <w:i/>
          <w:iCs/>
        </w:rPr>
        <w:t xml:space="preserve">Fine-tune classifier with </w:t>
      </w:r>
      <w:proofErr w:type="spellStart"/>
      <w:r>
        <w:rPr>
          <w:rFonts w:ascii="Times New Roman" w:eastAsia="Times New Roman" w:hAnsi="Times New Roman" w:cs="Times New Roman"/>
          <w:i/>
          <w:iCs/>
        </w:rPr>
        <w:t>ModernBERT</w:t>
      </w:r>
      <w:proofErr w:type="spellEnd"/>
      <w:r>
        <w:rPr>
          <w:rFonts w:ascii="Times New Roman" w:eastAsia="Times New Roman" w:hAnsi="Times New Roman" w:cs="Times New Roman"/>
          <w:i/>
          <w:iCs/>
        </w:rPr>
        <w:t xml:space="preserve"> in 2025</w:t>
      </w:r>
      <w:r>
        <w:rPr>
          <w:rFonts w:ascii="Times New Roman" w:eastAsia="Times New Roman" w:hAnsi="Times New Roman" w:cs="Times New Roman"/>
        </w:rPr>
        <w:t>. Philschmid.de; Philipp Schmid. https://www.philschmid.de/fine-tune-modern-bert-in-2025</w:t>
      </w:r>
    </w:p>
    <w:p w14:paraId="668E358B"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Shad, R., Potter, K., &amp; Gracias, A. (2024, October 29). </w:t>
      </w:r>
      <w:r>
        <w:rPr>
          <w:rFonts w:ascii="Times New Roman" w:eastAsia="Times New Roman" w:hAnsi="Times New Roman" w:cs="Times New Roman"/>
          <w:i/>
          <w:iCs/>
        </w:rPr>
        <w:t>Natural Language Processing (NLP) for Sentiment Analysis: A Comparative Study of Machine Learning Algorithms</w:t>
      </w:r>
      <w:r>
        <w:rPr>
          <w:rFonts w:ascii="Times New Roman" w:eastAsia="Times New Roman" w:hAnsi="Times New Roman" w:cs="Times New Roman"/>
        </w:rPr>
        <w:t>. https://doi.org/10.20944/preprints202410.2338.v1</w:t>
      </w:r>
    </w:p>
    <w:p w14:paraId="78A906EF"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Singh, G., Singh, P., &amp; Singh, M. (2025). Advanced Real-Time Fraud Detection Using RAG-Based LLMs.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https://doi.org/10.48550/arxiv.2501.15290</w:t>
      </w:r>
    </w:p>
    <w:p w14:paraId="077BFF2E"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Soleimani, M. (2021). Buyers’ Trust and Mistrust in e-commerce platforms: a Synthesizing Literature Review. </w:t>
      </w:r>
      <w:r>
        <w:rPr>
          <w:rFonts w:ascii="Times New Roman" w:eastAsia="Times New Roman" w:hAnsi="Times New Roman" w:cs="Times New Roman"/>
          <w:i/>
          <w:iCs/>
        </w:rPr>
        <w:t>Information Systems and E-Business Management</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(1), 57–78. https://doi.org/10.1007/s10257-021-00545-0</w:t>
      </w:r>
    </w:p>
    <w:p w14:paraId="3AF94108"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Statista. (2025). </w:t>
      </w:r>
      <w:r>
        <w:rPr>
          <w:rFonts w:ascii="Times New Roman" w:eastAsia="Times New Roman" w:hAnsi="Times New Roman" w:cs="Times New Roman"/>
          <w:i/>
          <w:iCs/>
        </w:rPr>
        <w:t>Global e-commerce payment fraud losses 2029| Statista</w:t>
      </w:r>
      <w:r>
        <w:rPr>
          <w:rFonts w:ascii="Times New Roman" w:eastAsia="Times New Roman" w:hAnsi="Times New Roman" w:cs="Times New Roman"/>
        </w:rPr>
        <w:t>. Statista. https://www.statista.com/statistics/1273177/ecommerce-payment-fraud-losses-globally/?srsltid=AfmBOopp1-cpH0VrELWR9muXiExOQ1t6K4CUt8VUbE00oNyjQBeqtVEn</w:t>
      </w:r>
    </w:p>
    <w:p w14:paraId="0740A807" w14:textId="77777777" w:rsidR="00656586"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Su, Z. (2024). Applications of BERT in sentimental analysis. </w:t>
      </w:r>
      <w:r>
        <w:rPr>
          <w:rFonts w:ascii="Times New Roman" w:eastAsia="Times New Roman" w:hAnsi="Times New Roman" w:cs="Times New Roman"/>
          <w:i/>
          <w:iCs/>
        </w:rPr>
        <w:t>Applied and Computational Engineering</w:t>
      </w:r>
      <w:r>
        <w:rPr>
          <w:rFonts w:ascii="Times New Roman" w:eastAsia="Times New Roman" w:hAnsi="Times New Roman" w:cs="Times New Roman"/>
        </w:rPr>
        <w:t xml:space="preserve">, </w:t>
      </w:r>
      <w:r>
        <w:rPr>
          <w:rFonts w:ascii="Times New Roman" w:eastAsia="Times New Roman" w:hAnsi="Times New Roman" w:cs="Times New Roman"/>
          <w:i/>
          <w:iCs/>
        </w:rPr>
        <w:t>92</w:t>
      </w:r>
      <w:r>
        <w:rPr>
          <w:rFonts w:ascii="Times New Roman" w:eastAsia="Times New Roman" w:hAnsi="Times New Roman" w:cs="Times New Roman"/>
        </w:rPr>
        <w:t>(1), 147–152. https://doi.org/10.54254/2755-2721/92/20241711</w:t>
      </w:r>
    </w:p>
    <w:p w14:paraId="567AB908" w14:textId="77777777" w:rsidR="00656586"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Yoti</w:t>
      </w:r>
      <w:proofErr w:type="spellEnd"/>
      <w:r>
        <w:rPr>
          <w:rFonts w:ascii="Times New Roman" w:eastAsia="Times New Roman" w:hAnsi="Times New Roman" w:cs="Times New Roman"/>
        </w:rPr>
        <w:t xml:space="preserve">. (2024). </w:t>
      </w:r>
      <w:r>
        <w:rPr>
          <w:rFonts w:ascii="Times New Roman" w:eastAsia="Times New Roman" w:hAnsi="Times New Roman" w:cs="Times New Roman"/>
          <w:i/>
          <w:iCs/>
        </w:rPr>
        <w:t xml:space="preserve">Using Biometric Verification to counter Identity Frauds | </w:t>
      </w:r>
      <w:proofErr w:type="spellStart"/>
      <w:r>
        <w:rPr>
          <w:rFonts w:ascii="Times New Roman" w:eastAsia="Times New Roman" w:hAnsi="Times New Roman" w:cs="Times New Roman"/>
          <w:i/>
          <w:iCs/>
        </w:rPr>
        <w:t>Yoti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Yoti</w:t>
      </w:r>
      <w:proofErr w:type="spellEnd"/>
      <w:r>
        <w:rPr>
          <w:rFonts w:ascii="Times New Roman" w:eastAsia="Times New Roman" w:hAnsi="Times New Roman" w:cs="Times New Roman"/>
        </w:rPr>
        <w:t>. https://www.yoti.com/blog/how-facial-biometric-verification-protects-against-identity-fraud/</w:t>
      </w:r>
    </w:p>
    <w:p w14:paraId="3D19535B" w14:textId="77777777" w:rsidR="00656586" w:rsidRDefault="00656586">
      <w:pPr>
        <w:spacing w:line="360" w:lineRule="auto"/>
        <w:jc w:val="both"/>
        <w:rPr>
          <w:rFonts w:ascii="Times New Roman" w:eastAsia="Times New Roman" w:hAnsi="Times New Roman" w:cs="Times New Roman"/>
        </w:rPr>
      </w:pPr>
    </w:p>
    <w:p w14:paraId="0F9F8FAC" w14:textId="77777777" w:rsidR="00656586" w:rsidRDefault="00656586">
      <w:pPr>
        <w:spacing w:line="360" w:lineRule="auto"/>
        <w:jc w:val="both"/>
        <w:rPr>
          <w:rFonts w:ascii="Times New Roman" w:eastAsia="Times New Roman" w:hAnsi="Times New Roman" w:cs="Times New Roman"/>
          <w:b/>
          <w:bCs/>
        </w:rPr>
      </w:pPr>
    </w:p>
    <w:sectPr w:rsidR="0065658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10F16" w14:textId="77777777" w:rsidR="001F54FC" w:rsidRDefault="001F54FC">
      <w:pPr>
        <w:spacing w:after="0" w:line="240" w:lineRule="auto"/>
      </w:pPr>
      <w:r>
        <w:separator/>
      </w:r>
    </w:p>
  </w:endnote>
  <w:endnote w:type="continuationSeparator" w:id="0">
    <w:p w14:paraId="39EA1A5B" w14:textId="77777777" w:rsidR="001F54FC" w:rsidRDefault="001F5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67D3A25-EDC6-4F47-891C-427A67EC4052}"/>
    <w:embedItalic r:id="rId2" w:fontKey="{EE11073E-B0B0-4BFD-9B56-0058F988B3B7}"/>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0E4E7900-51C8-47FC-AB04-6D2C0852A0B5}"/>
    <w:embedItalic r:id="rId4" w:fontKey="{0326FF9D-330D-4CDF-83C0-E471F839D5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531317A-AF76-4733-8108-CC4EAEAB020C}"/>
  </w:font>
  <w:font w:name="Cambria">
    <w:panose1 w:val="02040503050406030204"/>
    <w:charset w:val="00"/>
    <w:family w:val="roman"/>
    <w:pitch w:val="variable"/>
    <w:sig w:usb0="E00006FF" w:usb1="420024FF" w:usb2="02000000" w:usb3="00000000" w:csb0="0000019F" w:csb1="00000000"/>
    <w:embedRegular r:id="rId6" w:fontKey="{38D935C6-88FD-4234-8305-85199E369B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3B4C" w14:textId="77777777" w:rsidR="00656586" w:rsidRDefault="0065658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1C98" w14:textId="77777777" w:rsidR="00656586" w:rsidRDefault="006565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6151" w14:textId="77777777" w:rsidR="00656586" w:rsidRDefault="0065658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214CA" w14:textId="77777777" w:rsidR="001F54FC" w:rsidRDefault="001F54FC">
      <w:pPr>
        <w:spacing w:after="0" w:line="240" w:lineRule="auto"/>
      </w:pPr>
      <w:r>
        <w:separator/>
      </w:r>
    </w:p>
  </w:footnote>
  <w:footnote w:type="continuationSeparator" w:id="0">
    <w:p w14:paraId="6ED4522C" w14:textId="77777777" w:rsidR="001F54FC" w:rsidRDefault="001F5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6FA7" w14:textId="77777777" w:rsidR="0065658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BC56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DF47" w14:textId="77777777" w:rsidR="0065658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F009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13D7" w14:textId="77777777" w:rsidR="0065658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5359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345C76"/>
    <w:multiLevelType w:val="multilevel"/>
    <w:tmpl w:val="C0FE628E"/>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3616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86"/>
    <w:rsid w:val="001F54FC"/>
    <w:rsid w:val="00412F3B"/>
    <w:rsid w:val="00656586"/>
    <w:rsid w:val="006B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D8570"/>
  <w15:docId w15:val="{110DF269-81D6-4F29-859B-D8278370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51584/ijrias.2025.1010000016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6875</Words>
  <Characters>39194</Characters>
  <Application>Microsoft Office Word</Application>
  <DocSecurity>0</DocSecurity>
  <Lines>326</Lines>
  <Paragraphs>91</Paragraphs>
  <ScaleCrop>false</ScaleCrop>
  <Company/>
  <LinksUpToDate>false</LinksUpToDate>
  <CharactersWithSpaces>45978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Otolorin</cp:lastModifiedBy>
  <cp:revision>2</cp:revision>
  <dcterms:created xsi:type="dcterms:W3CDTF">2026-01-21T04:27:00Z</dcterms:created>
  <dcterms:modified xsi:type="dcterms:W3CDTF">2026-01-21T04:33:00Z</dcterms:modified>
</cp:coreProperties>
</file>