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41E6E" w14:textId="207EDEC9" w:rsidR="002727D9" w:rsidRPr="0045404D" w:rsidRDefault="005E5DB4" w:rsidP="0045404D">
      <w:pPr>
        <w:jc w:val="center"/>
        <w:rPr>
          <w:b/>
          <w:bCs/>
        </w:rPr>
      </w:pPr>
      <w:r>
        <w:rPr>
          <w:b/>
          <w:bCs/>
        </w:rPr>
        <w:t xml:space="preserve">A systematic Review of Prompt Engineering for responsible use of GenAI in K-12 schools. </w:t>
      </w:r>
    </w:p>
    <w:p w14:paraId="44973B91" w14:textId="77777777" w:rsidR="00181059" w:rsidRDefault="00181059"/>
    <w:p w14:paraId="5B765487" w14:textId="6D2BCE53" w:rsidR="00410FB4" w:rsidRDefault="00614039">
      <w:r>
        <w:t xml:space="preserve">Abstract </w:t>
      </w:r>
    </w:p>
    <w:p w14:paraId="5051636E" w14:textId="5F27E7A9" w:rsidR="00FC7A05" w:rsidRDefault="00FC7A05">
      <w:r w:rsidRPr="00FC7A05">
        <w:t>The unethical use of generative artificial intelligence (GenAI) models by students has raised growing concerns about academic dishonesty in K–12 education. In response, various policy measures and pedagogical strategies have been proposed, including the use of prompt engineering to support responsible engagement with GenAI tools. This study was conducted to assess the effectiveness of prompt engineering techniques in K-12 schools in ensuring the responsible use of GenAI models and tools.  A systematic review approach, adapted through the PRI</w:t>
      </w:r>
      <w:r w:rsidR="00D95402">
        <w:t>S</w:t>
      </w:r>
      <w:r w:rsidRPr="00FC7A05">
        <w:t xml:space="preserve">MA model, was employed to review several studies </w:t>
      </w:r>
      <w:r w:rsidR="00D95402">
        <w:t xml:space="preserve">from 2018 to 2025 </w:t>
      </w:r>
      <w:r w:rsidRPr="00FC7A05">
        <w:t xml:space="preserve">from four databases: ERIC, Taylor and Francis, JSTOR, and Google Scholar. Using the full article screening technique to identify 21 studies, it was found that prompt engineering should be embedded into the K-12 curriculum because it enhances students’ inquiry skills, critical thinking skills, cognitive development, and technology adaptation. Prompt engineering improves teachers’ productivity and confidence in facilitating prompt teaching in the classroom. </w:t>
      </w:r>
      <w:r w:rsidR="00BE153E">
        <w:t xml:space="preserve"> It improves teachers’ pedagogical practice, including enhance instructional design and more effective integration of GenAI into teaching and assessment. Additionally, the study found that the TCREI, CLEAR and CCI frameworks for prompt engineering provides a robust and practical tool for K-12 teachers to adapt to facilitate the teaching of effective prompt engineering in K-12 education. </w:t>
      </w:r>
      <w:r w:rsidRPr="00FC7A05">
        <w:t xml:space="preserve">However, the study observed that inadequate training and resources for prompt engineering are the main constraints to the effective implementation of prompt engineering in K-12 schools. </w:t>
      </w:r>
      <w:r w:rsidR="00BE153E" w:rsidRPr="00BE153E">
        <w:t>The study therefore recommended that prompt engineering should be embed within the existing curricular rather than introduced as a standalone subject. K-12 school should prioritise with all urgency prompt engineering professional development for teachers to improve teachers prompt proficiency.</w:t>
      </w:r>
    </w:p>
    <w:p w14:paraId="54D2C1B9" w14:textId="71020110" w:rsidR="00C011AF" w:rsidRDefault="00C011AF">
      <w:r>
        <w:t>Keywords: Generative AI, Prompt Engineering, K-12 Schools, Artificial Intelligence</w:t>
      </w:r>
    </w:p>
    <w:p w14:paraId="27748251" w14:textId="2C6C42F4" w:rsidR="00614039" w:rsidRPr="004E000C" w:rsidRDefault="00614039">
      <w:pPr>
        <w:rPr>
          <w:b/>
          <w:bCs/>
        </w:rPr>
      </w:pPr>
      <w:r w:rsidRPr="004E000C">
        <w:rPr>
          <w:b/>
          <w:bCs/>
        </w:rPr>
        <w:t>Introduction</w:t>
      </w:r>
    </w:p>
    <w:p w14:paraId="5048658C" w14:textId="778281EE" w:rsidR="006F25A9" w:rsidRPr="006F25A9" w:rsidRDefault="006F25A9" w:rsidP="006F25A9">
      <w:pPr>
        <w:jc w:val="both"/>
      </w:pPr>
      <w:r w:rsidRPr="006F25A9">
        <w:t>The rapid advancement and widespread adoption of Generative Artificial Intelligence (GenAI), particularly large language models (LLMs) such as ChatGPT, have attracted significant attention from educators, researchers, and policymakers worldwide. Unlike traditional educational technologies, GenAI systems are capable of generating real-time multimodal outputs</w:t>
      </w:r>
      <w:r>
        <w:t xml:space="preserve"> </w:t>
      </w:r>
      <w:r w:rsidRPr="006F25A9">
        <w:t>including text, images, audio, and video</w:t>
      </w:r>
      <w:r>
        <w:t xml:space="preserve">s </w:t>
      </w:r>
      <w:r w:rsidRPr="006F25A9">
        <w:t>based on natural language input from users. This transformative capability has positioned GenAI as a potentially disruptive tool in teaching</w:t>
      </w:r>
      <w:r>
        <w:t xml:space="preserve"> and</w:t>
      </w:r>
      <w:r w:rsidRPr="006F25A9">
        <w:t xml:space="preserve"> learning</w:t>
      </w:r>
      <w:r w:rsidR="00182BFA">
        <w:t xml:space="preserve"> (</w:t>
      </w:r>
      <w:r w:rsidR="006243EB" w:rsidRPr="006243EB">
        <w:t xml:space="preserve">Miao &amp; </w:t>
      </w:r>
      <w:proofErr w:type="spellStart"/>
      <w:r w:rsidR="006243EB" w:rsidRPr="006243EB">
        <w:t>Shiohira</w:t>
      </w:r>
      <w:proofErr w:type="spellEnd"/>
      <w:r w:rsidR="006243EB" w:rsidRPr="006243EB">
        <w:t>, 2024</w:t>
      </w:r>
      <w:r w:rsidR="00182BFA">
        <w:t>)</w:t>
      </w:r>
      <w:r>
        <w:t>.</w:t>
      </w:r>
    </w:p>
    <w:p w14:paraId="046C7F2F" w14:textId="166749BC" w:rsidR="006F25A9" w:rsidRPr="006F25A9" w:rsidRDefault="006F25A9" w:rsidP="006F25A9">
      <w:pPr>
        <w:jc w:val="both"/>
      </w:pPr>
      <w:r w:rsidRPr="006F25A9">
        <w:t xml:space="preserve">A growing body of empirical research has examined the educational </w:t>
      </w:r>
      <w:r>
        <w:t>significance</w:t>
      </w:r>
      <w:r w:rsidRPr="006F25A9">
        <w:t xml:space="preserve"> of GenAI, with findings consistently highlighting its capacity to enhance productivity and efficiency across multiple educational roles. Studies indicate that GenAI supports teachers and educational leaders in lesson planning, curriculum development and alignment, assessment design, differentiated instruction, and grading, thereby reducing workload and administrative burden (Belloila &amp; Sabrina, 2025; Iddrisu et al., 2025; Tan et al., 2025; </w:t>
      </w:r>
      <w:r w:rsidR="004F3B09" w:rsidRPr="004F3B09">
        <w:t>Rapti &amp; Panagiotidis</w:t>
      </w:r>
      <w:r w:rsidRPr="006F25A9">
        <w:t>, 2024). For students, GenAI use has been associated with increased assignment submission rates, improved academic performance, enhanced confidence in task completion, and greater engagement in learning activities (Choi</w:t>
      </w:r>
      <w:r w:rsidR="00A033E6">
        <w:t xml:space="preserve"> &amp; Kim</w:t>
      </w:r>
      <w:r w:rsidRPr="006F25A9">
        <w:t xml:space="preserve">, 2025; Zhu et al., 2025). Moreover, several studies report that GenAI facilitates personalized learning by addressing individual learner needs, supporting student engagement, and improving learning outcomes (Albalawai, 2025; Khazanchi et al., 2025; Maqbool et al., 2025; Unal &amp; </w:t>
      </w:r>
      <w:r w:rsidR="00D9242E">
        <w:t>Unal</w:t>
      </w:r>
      <w:r w:rsidRPr="006F25A9">
        <w:t>, 2024).</w:t>
      </w:r>
      <w:r w:rsidR="00251D3C">
        <w:t xml:space="preserve"> </w:t>
      </w:r>
      <w:r w:rsidR="00251D3C" w:rsidRPr="00251D3C">
        <w:t xml:space="preserve">Furthermore, the United Nations Educational, Scientific and Cultural Organization (UNESCO) recognises the potential of artificial </w:t>
      </w:r>
      <w:r w:rsidR="00251D3C" w:rsidRPr="00251D3C">
        <w:lastRenderedPageBreak/>
        <w:t>intelligence to accelerate progress towards Sustainable Development Goal 4 by enabling innovative and inclusive teaching and learning practices (UNESCO, 2023).</w:t>
      </w:r>
    </w:p>
    <w:p w14:paraId="5157E0F3" w14:textId="3BC1F519" w:rsidR="006F25A9" w:rsidRPr="006F25A9" w:rsidRDefault="006F25A9" w:rsidP="006F25A9">
      <w:pPr>
        <w:jc w:val="both"/>
      </w:pPr>
      <w:r w:rsidRPr="006F25A9">
        <w:t>As a result of these perceived benefits, schools across diverse educational contexts are increasingly exploring the integration of GenAI into teaching and learning. However, alongside these opportunities, the use of GenAI in education has raised substantial ethical concerns, particularly in relation to academic integrity, authorship, and responsible use (Colen, 2025; Maqbool et al., 2025; Surahman et al., 2022). These concerns are especially pronounced in K–12 contexts, where students are still developing foundational academic, cognitive, and ethical competencies.</w:t>
      </w:r>
    </w:p>
    <w:p w14:paraId="335DB0EE" w14:textId="77777777" w:rsidR="006F25A9" w:rsidRPr="006F25A9" w:rsidRDefault="006F25A9" w:rsidP="006F25A9">
      <w:pPr>
        <w:jc w:val="both"/>
      </w:pPr>
      <w:r w:rsidRPr="006F25A9">
        <w:t>Central to the effective and ethical use of GenAI is the concept of prompt engineering, defined as the deliberate construction of inputs or instructions that guide an LLM toward producing accurate, relevant, and context-appropriate outputs (Google Education, 2024; Mesko, 2023). Because GenAI systems rely heavily on user-generated prompts, the quality of these prompts directly influences the usefulness, reliability, and ethical implications of AI-generated responses. Ineffective prompting may result in hallucinations, superficial outputs, or misuse of AI tools, while well-designed prompts can enhance critical thinking, creativity, and learning outcomes.</w:t>
      </w:r>
    </w:p>
    <w:p w14:paraId="2C596E75" w14:textId="255F878F" w:rsidR="006F25A9" w:rsidRPr="006F25A9" w:rsidRDefault="006F25A9" w:rsidP="006F25A9">
      <w:pPr>
        <w:jc w:val="both"/>
      </w:pPr>
      <w:r w:rsidRPr="006F25A9">
        <w:t>In educational settings</w:t>
      </w:r>
      <w:r w:rsidR="00D07CD8">
        <w:t xml:space="preserve">, </w:t>
      </w:r>
      <w:r w:rsidRPr="006F25A9">
        <w:t>particularly within K–12 schools</w:t>
      </w:r>
      <w:r w:rsidR="00D07CD8">
        <w:t xml:space="preserve">, </w:t>
      </w:r>
      <w:r w:rsidRPr="006F25A9">
        <w:t>prompting has emerged as a foundational literacy skill for engaging responsibly with GenAI. Despite this, existing research on prompt engineering in education remains limited in several important ways. First, the majority of studies focus on higher education or professional contexts, often presenting technically sophisticated prompting frameworks that are poorly aligned with the developmental, pedagogical, and curricular needs of K–12 learners and teachers (Mesko, 2023; Schulhoff et al., 2024; Wang et al., 2023; Y</w:t>
      </w:r>
      <w:r w:rsidR="00392FD0">
        <w:t>i</w:t>
      </w:r>
      <w:r w:rsidRPr="006F25A9">
        <w:t xml:space="preserve"> et al., 202</w:t>
      </w:r>
      <w:r w:rsidR="00392FD0">
        <w:t>5</w:t>
      </w:r>
      <w:r w:rsidRPr="006F25A9">
        <w:t>). Second, many studies offer generic or abstract guidelines, with limited attention to classroom implementation, teacher mediation, or student-</w:t>
      </w:r>
      <w:r w:rsidR="00D07CD8" w:rsidRPr="006F25A9">
        <w:t>cantered</w:t>
      </w:r>
      <w:r w:rsidRPr="006F25A9">
        <w:t xml:space="preserve"> instructional strategies. Third, there is a lack of synthesized evidence examining how prompt engineering is conceptualized, taught, and applied specifically within K–12 educational contexts.</w:t>
      </w:r>
    </w:p>
    <w:p w14:paraId="7DEF49BA" w14:textId="41670459" w:rsidR="006F25A9" w:rsidRDefault="006F25A9" w:rsidP="006F25A9">
      <w:pPr>
        <w:jc w:val="both"/>
      </w:pPr>
      <w:r w:rsidRPr="006F25A9">
        <w:t>To address these gaps, the present study adopts a systematic review approach to synthesize existing empirical and conceptual literature on effective prompt engineering strategies for K–12 teachers and students. By systematically examining how prompting practices are defined, implemented, and evaluated across educational studies, this review aims to provide evidence-informed insights that support the ethical, pedagogically sound, and effective use of GenAI in K–12 education.</w:t>
      </w:r>
      <w:r w:rsidR="007C321D">
        <w:t xml:space="preserve"> </w:t>
      </w:r>
    </w:p>
    <w:p w14:paraId="06D9A96F" w14:textId="74068130" w:rsidR="00614039" w:rsidRPr="00F441AC" w:rsidRDefault="00614039">
      <w:pPr>
        <w:rPr>
          <w:b/>
          <w:bCs/>
        </w:rPr>
      </w:pPr>
      <w:r w:rsidRPr="00F441AC">
        <w:rPr>
          <w:b/>
          <w:bCs/>
        </w:rPr>
        <w:t xml:space="preserve">Methods </w:t>
      </w:r>
    </w:p>
    <w:p w14:paraId="08D5C65B" w14:textId="53D0120A" w:rsidR="002F2937" w:rsidRDefault="00F441AC">
      <w:r>
        <w:t xml:space="preserve">The main aim of this study was to provide a </w:t>
      </w:r>
      <w:r w:rsidR="00E15C17">
        <w:t>systematic review of</w:t>
      </w:r>
      <w:r>
        <w:t xml:space="preserve"> prompt-engineering strategies for </w:t>
      </w:r>
      <w:r w:rsidR="00E15C17">
        <w:t xml:space="preserve">the responsible use of GenAI models and tools in </w:t>
      </w:r>
      <w:r>
        <w:t xml:space="preserve">K-12 </w:t>
      </w:r>
      <w:r w:rsidR="00E15C17">
        <w:t>education</w:t>
      </w:r>
      <w:r>
        <w:t xml:space="preserve"> for an effective and desired output. This section provides a comprehensive overview of the method used in this study. </w:t>
      </w:r>
    </w:p>
    <w:p w14:paraId="600F7F4F" w14:textId="60C80FE4" w:rsidR="00F441AC" w:rsidRPr="00F441AC" w:rsidRDefault="00F441AC">
      <w:pPr>
        <w:rPr>
          <w:b/>
          <w:bCs/>
        </w:rPr>
      </w:pPr>
      <w:r w:rsidRPr="00F441AC">
        <w:rPr>
          <w:b/>
          <w:bCs/>
        </w:rPr>
        <w:t xml:space="preserve">Research Design </w:t>
      </w:r>
    </w:p>
    <w:p w14:paraId="5A43E6E6" w14:textId="215CA891" w:rsidR="00F441AC" w:rsidRDefault="00F441AC">
      <w:r>
        <w:t xml:space="preserve">The research design adopted in this study was </w:t>
      </w:r>
      <w:r w:rsidR="008B0F02">
        <w:t xml:space="preserve">a systematic review. </w:t>
      </w:r>
      <w:r>
        <w:t xml:space="preserve"> </w:t>
      </w:r>
      <w:r w:rsidR="008B0F02">
        <w:t xml:space="preserve">This design was adopted for this study because, it has been found as a robust research design that helps to identifying research gaps, ability to synthesize studies, ability to address question which can't be answered by a single study thereby helping to achieve a more robust and effective results (Bangdiwala, 2024, Page et al., 2021; Ahn et al., 2018). The systematic review was conducted by using the </w:t>
      </w:r>
      <w:r w:rsidRPr="00F441AC">
        <w:t>Preferred Reporting Items for Systematic reviews and Meta Analyses (PRISMA)</w:t>
      </w:r>
      <w:r>
        <w:t xml:space="preserve">. PRISMA </w:t>
      </w:r>
      <w:r w:rsidR="008B0F02" w:rsidRPr="008B0F02">
        <w:t xml:space="preserve">provides a </w:t>
      </w:r>
      <w:r w:rsidR="00182BFA" w:rsidRPr="008B0F02">
        <w:t>comprehensive guideline</w:t>
      </w:r>
      <w:r w:rsidR="008B0F02" w:rsidRPr="008B0F02">
        <w:t xml:space="preserve"> on how to conduct a systematic review study. Thes guidelines consist of seven sections with 27 items (Page et al., 2021).</w:t>
      </w:r>
      <w:r w:rsidR="008B0F02">
        <w:t xml:space="preserve"> </w:t>
      </w:r>
    </w:p>
    <w:p w14:paraId="0D434E71" w14:textId="4A68714A" w:rsidR="00795E76" w:rsidRDefault="00795E76">
      <w:r w:rsidRPr="00795E76">
        <w:lastRenderedPageBreak/>
        <w:t>Page et al.</w:t>
      </w:r>
      <w:r>
        <w:t xml:space="preserve">, (2021) </w:t>
      </w:r>
      <w:r w:rsidRPr="00795E76">
        <w:t>suggest that for an effective systematic review, the authors should provide a detail</w:t>
      </w:r>
      <w:r>
        <w:t>ed</w:t>
      </w:r>
      <w:r w:rsidRPr="00795E76">
        <w:t xml:space="preserve"> step by step approach of why the review was conducted, </w:t>
      </w:r>
      <w:r>
        <w:t xml:space="preserve">the </w:t>
      </w:r>
      <w:r w:rsidRPr="00795E76">
        <w:t>details app</w:t>
      </w:r>
      <w:r>
        <w:t>roach of what they did and</w:t>
      </w:r>
      <w:r w:rsidRPr="00795E76">
        <w:t xml:space="preserve"> </w:t>
      </w:r>
      <w:r>
        <w:t xml:space="preserve">a transparent report of the research findings. The next section is dedicated to Page’s et al., (2021) recommendation. </w:t>
      </w:r>
    </w:p>
    <w:p w14:paraId="579D8BBB" w14:textId="7AA70E74" w:rsidR="00795E76" w:rsidRPr="00795E76" w:rsidRDefault="00795E76">
      <w:pPr>
        <w:rPr>
          <w:b/>
          <w:bCs/>
        </w:rPr>
      </w:pPr>
      <w:r w:rsidRPr="00795E76">
        <w:rPr>
          <w:b/>
          <w:bCs/>
        </w:rPr>
        <w:t>Protocol Review</w:t>
      </w:r>
    </w:p>
    <w:p w14:paraId="0B6C2283" w14:textId="4BC6C294" w:rsidR="00795E76" w:rsidRDefault="00795E76">
      <w:r>
        <w:t>According to Pallock and Berge (2018), any effective systematic review study should be with a question. To minimize any bias and ensure consistency and effectiveness of this study, the study began with a research question, followed by the proposed data basses to be used in the study, the inclusion and exclusion criteria</w:t>
      </w:r>
      <w:r w:rsidR="00DC70A3">
        <w:t xml:space="preserve">, the screening procedure and data extraction strategy. The protocol although wasn’t </w:t>
      </w:r>
      <w:r w:rsidR="00D20A52">
        <w:t>registered</w:t>
      </w:r>
      <w:r w:rsidR="00DC70A3">
        <w:t xml:space="preserve"> in </w:t>
      </w:r>
      <w:r w:rsidR="00D20A52">
        <w:t>an open repository</w:t>
      </w:r>
      <w:r w:rsidR="00DC70A3">
        <w:t xml:space="preserve">, Zotero and excel was used to document </w:t>
      </w:r>
      <w:r w:rsidR="00D20A52">
        <w:t xml:space="preserve">all the procedures used in this study. </w:t>
      </w:r>
    </w:p>
    <w:p w14:paraId="33BB9034" w14:textId="42C1AD91" w:rsidR="00DC70A3" w:rsidRPr="00345425" w:rsidRDefault="00345425">
      <w:pPr>
        <w:rPr>
          <w:b/>
          <w:bCs/>
        </w:rPr>
      </w:pPr>
      <w:r w:rsidRPr="00345425">
        <w:rPr>
          <w:b/>
          <w:bCs/>
        </w:rPr>
        <w:t>Research question</w:t>
      </w:r>
    </w:p>
    <w:p w14:paraId="78599BC2" w14:textId="4CADD0A4" w:rsidR="00345425" w:rsidRDefault="00345425">
      <w:r>
        <w:t xml:space="preserve">To achieve the aim of the study, the systematic review was guided by the research questions below: </w:t>
      </w:r>
    </w:p>
    <w:p w14:paraId="7919C900" w14:textId="77777777" w:rsidR="00345425" w:rsidRPr="007C321D" w:rsidRDefault="00345425" w:rsidP="00345425">
      <w:pPr>
        <w:pStyle w:val="ListParagraph"/>
        <w:numPr>
          <w:ilvl w:val="0"/>
          <w:numId w:val="1"/>
        </w:numPr>
        <w:jc w:val="both"/>
      </w:pPr>
      <w:r w:rsidRPr="007C321D">
        <w:t>How is prompt engineering conceptualized and defined in the context of K–12 education within existing literature?</w:t>
      </w:r>
    </w:p>
    <w:p w14:paraId="6D40F012" w14:textId="77777777" w:rsidR="00345425" w:rsidRDefault="00345425" w:rsidP="00345425">
      <w:pPr>
        <w:pStyle w:val="ListParagraph"/>
        <w:numPr>
          <w:ilvl w:val="0"/>
          <w:numId w:val="1"/>
        </w:numPr>
        <w:jc w:val="both"/>
      </w:pPr>
      <w:r w:rsidRPr="007C321D">
        <w:t>What prompt engineering strategies and techniques have been identified as effective for supporting K–12 teachers and students in their use of Generative AI tools?</w:t>
      </w:r>
    </w:p>
    <w:p w14:paraId="42534403" w14:textId="0D6A3F20" w:rsidR="00345425" w:rsidRDefault="00345425" w:rsidP="00345425">
      <w:pPr>
        <w:pStyle w:val="ListParagraph"/>
        <w:numPr>
          <w:ilvl w:val="0"/>
          <w:numId w:val="1"/>
        </w:numPr>
        <w:jc w:val="both"/>
      </w:pPr>
      <w:r>
        <w:t>What outcomes are associated with effective prompt engineering, particularly in relation to learning, engagement, productivity, and academic integrity?</w:t>
      </w:r>
    </w:p>
    <w:p w14:paraId="0F64FCA9" w14:textId="5B68761B" w:rsidR="00345425" w:rsidRDefault="00345425" w:rsidP="00345425">
      <w:pPr>
        <w:pStyle w:val="ListParagraph"/>
        <w:numPr>
          <w:ilvl w:val="0"/>
          <w:numId w:val="1"/>
        </w:numPr>
        <w:jc w:val="both"/>
      </w:pPr>
      <w:r>
        <w:t>What challenges, limitations, and ethical concerns are reported regarding the implementation of prompt engineering practices in K–12 education?</w:t>
      </w:r>
    </w:p>
    <w:p w14:paraId="3B6A53B3" w14:textId="65FBB179" w:rsidR="00345425" w:rsidRPr="00D40326" w:rsidRDefault="002716CB">
      <w:pPr>
        <w:rPr>
          <w:b/>
          <w:bCs/>
        </w:rPr>
      </w:pPr>
      <w:r w:rsidRPr="00D40326">
        <w:rPr>
          <w:b/>
          <w:bCs/>
        </w:rPr>
        <w:t xml:space="preserve">Resource selection </w:t>
      </w:r>
      <w:r w:rsidR="00D40326" w:rsidRPr="00D40326">
        <w:rPr>
          <w:b/>
          <w:bCs/>
        </w:rPr>
        <w:t xml:space="preserve">Strategy </w:t>
      </w:r>
      <w:r w:rsidRPr="00D40326">
        <w:rPr>
          <w:b/>
          <w:bCs/>
        </w:rPr>
        <w:t xml:space="preserve">for the Systematic Review </w:t>
      </w:r>
    </w:p>
    <w:p w14:paraId="57FE94BB" w14:textId="5EDB3B12" w:rsidR="002716CB" w:rsidRDefault="00D40326">
      <w:r>
        <w:t xml:space="preserve">A comprehensive search was conducted by using databases that are known for educational research studies. The main database used was ERIC and the supporting databases were JSTOR, Taylor &amp; Francis and Google Scholar. For the search strategy a combination of key words taken from the research questions and the Boolean operators </w:t>
      </w:r>
      <w:r w:rsidR="00E41D62">
        <w:t>were used. The search string used is presented below:</w:t>
      </w:r>
    </w:p>
    <w:tbl>
      <w:tblPr>
        <w:tblStyle w:val="TableGrid"/>
        <w:tblW w:w="0" w:type="auto"/>
        <w:tblLook w:val="04A0" w:firstRow="1" w:lastRow="0" w:firstColumn="1" w:lastColumn="0" w:noHBand="0" w:noVBand="1"/>
      </w:tblPr>
      <w:tblGrid>
        <w:gridCol w:w="9016"/>
      </w:tblGrid>
      <w:tr w:rsidR="00E41D62" w14:paraId="68BA1C8C" w14:textId="77777777" w:rsidTr="00E41D62">
        <w:tc>
          <w:tcPr>
            <w:tcW w:w="9016" w:type="dxa"/>
          </w:tcPr>
          <w:p w14:paraId="6DBB7FEA" w14:textId="226E752B" w:rsidR="00183661" w:rsidRPr="00183661" w:rsidRDefault="00183661" w:rsidP="00E41D62">
            <w:pPr>
              <w:rPr>
                <w:b/>
                <w:bCs/>
              </w:rPr>
            </w:pPr>
            <w:r w:rsidRPr="00183661">
              <w:rPr>
                <w:b/>
                <w:bCs/>
              </w:rPr>
              <w:t>Initial String used for all database:</w:t>
            </w:r>
          </w:p>
          <w:p w14:paraId="2C247626" w14:textId="77777777" w:rsidR="00183661" w:rsidRDefault="00183661" w:rsidP="00E41D62"/>
          <w:p w14:paraId="7942BB72" w14:textId="3DFB5368" w:rsidR="00E41D62" w:rsidRDefault="00E41D62" w:rsidP="00E41D62">
            <w:r>
              <w:t xml:space="preserve">("generative AI" OR ChatGPT OR "large language model*") </w:t>
            </w:r>
          </w:p>
          <w:p w14:paraId="101E07EB" w14:textId="77777777" w:rsidR="00E41D62" w:rsidRDefault="00E41D62" w:rsidP="00E41D62">
            <w:r>
              <w:t xml:space="preserve">AND </w:t>
            </w:r>
          </w:p>
          <w:p w14:paraId="6B226D74" w14:textId="77777777" w:rsidR="00E41D62" w:rsidRDefault="00E41D62" w:rsidP="00E41D62">
            <w:r>
              <w:t xml:space="preserve">("prompt engineering" OR "prompt design" OR "AI prompting") </w:t>
            </w:r>
          </w:p>
          <w:p w14:paraId="22CDE5FE" w14:textId="77777777" w:rsidR="00E41D62" w:rsidRDefault="00E41D62" w:rsidP="00E41D62">
            <w:r>
              <w:t xml:space="preserve">AND </w:t>
            </w:r>
          </w:p>
          <w:p w14:paraId="4FFCF5A6" w14:textId="77777777" w:rsidR="00E41D62" w:rsidRDefault="00E41D62" w:rsidP="00E41D62">
            <w:r>
              <w:t xml:space="preserve">("K-12" OR "secondary education" OR "primary education" OR "school education") </w:t>
            </w:r>
          </w:p>
          <w:p w14:paraId="3668B9DF" w14:textId="77777777" w:rsidR="00E41D62" w:rsidRDefault="00E41D62" w:rsidP="00E41D62">
            <w:r>
              <w:t xml:space="preserve">AND </w:t>
            </w:r>
          </w:p>
          <w:p w14:paraId="2DD1E7E6" w14:textId="6AAF6E4F" w:rsidR="00E41D62" w:rsidRDefault="00E41D62" w:rsidP="00E41D62">
            <w:r>
              <w:t>(teacher* OR student* OR learner*)</w:t>
            </w:r>
          </w:p>
        </w:tc>
      </w:tr>
    </w:tbl>
    <w:p w14:paraId="0A42E45C" w14:textId="77777777" w:rsidR="00E41D62" w:rsidRDefault="00E41D62"/>
    <w:p w14:paraId="5E4F7905" w14:textId="6F4170ED" w:rsidR="00E41D62" w:rsidRDefault="00183661">
      <w:r>
        <w:t xml:space="preserve">Using the initial string above for the main database ERIC, generated only five sources. This was </w:t>
      </w:r>
      <w:r w:rsidR="00E41D62">
        <w:t xml:space="preserve">due to difference in indexing </w:t>
      </w:r>
      <w:r>
        <w:t xml:space="preserve">for different </w:t>
      </w:r>
      <w:r w:rsidR="00E41D62">
        <w:t>database</w:t>
      </w:r>
      <w:r>
        <w:t xml:space="preserve">s. As a </w:t>
      </w:r>
      <w:r w:rsidR="006F6B33">
        <w:t>result,</w:t>
      </w:r>
      <w:r>
        <w:t xml:space="preserve"> the string for</w:t>
      </w:r>
      <w:r w:rsidR="00E41D62">
        <w:t xml:space="preserve"> ERIC was slightly adapted </w:t>
      </w:r>
      <w:r>
        <w:t xml:space="preserve">as indicated in Table 1 below </w:t>
      </w:r>
      <w:r w:rsidR="00E41D62">
        <w:t>but the core string of word search was maintained.</w:t>
      </w:r>
    </w:p>
    <w:p w14:paraId="4A85F717" w14:textId="77777777" w:rsidR="009F5E1E" w:rsidRDefault="009F5E1E"/>
    <w:p w14:paraId="0F5614E4" w14:textId="77777777" w:rsidR="009F5E1E" w:rsidRDefault="009F5E1E"/>
    <w:p w14:paraId="73B1D8E7" w14:textId="77777777" w:rsidR="009F5E1E" w:rsidRDefault="009F5E1E"/>
    <w:p w14:paraId="548E1BCE" w14:textId="77777777" w:rsidR="009F5E1E" w:rsidRDefault="009F5E1E"/>
    <w:p w14:paraId="6C224F44" w14:textId="77777777" w:rsidR="009F5E1E" w:rsidRDefault="009F5E1E"/>
    <w:p w14:paraId="0A29A78B" w14:textId="6ACD96E2" w:rsidR="009F5E1E" w:rsidRDefault="009F5E1E">
      <w:r>
        <w:t xml:space="preserve">Table 1: Search string for database </w:t>
      </w:r>
    </w:p>
    <w:tbl>
      <w:tblPr>
        <w:tblStyle w:val="TableGrid"/>
        <w:tblW w:w="0" w:type="auto"/>
        <w:tblLook w:val="04A0" w:firstRow="1" w:lastRow="0" w:firstColumn="1" w:lastColumn="0" w:noHBand="0" w:noVBand="1"/>
      </w:tblPr>
      <w:tblGrid>
        <w:gridCol w:w="4390"/>
        <w:gridCol w:w="4252"/>
      </w:tblGrid>
      <w:tr w:rsidR="00E41D62" w14:paraId="21F4383C" w14:textId="77777777" w:rsidTr="00E41D62">
        <w:tc>
          <w:tcPr>
            <w:tcW w:w="4390" w:type="dxa"/>
          </w:tcPr>
          <w:p w14:paraId="62D4769C" w14:textId="4EE5C5FC" w:rsidR="00E41D62" w:rsidRDefault="00183661">
            <w:r>
              <w:t>Second string</w:t>
            </w:r>
            <w:r w:rsidR="00E41D62">
              <w:t xml:space="preserve"> </w:t>
            </w:r>
          </w:p>
        </w:tc>
        <w:tc>
          <w:tcPr>
            <w:tcW w:w="4252" w:type="dxa"/>
          </w:tcPr>
          <w:p w14:paraId="0BD71FB5" w14:textId="2CE57C2F" w:rsidR="00E41D62" w:rsidRDefault="006F6B33">
            <w:r>
              <w:t>Third String</w:t>
            </w:r>
            <w:r w:rsidR="00E41D62">
              <w:t xml:space="preserve"> </w:t>
            </w:r>
          </w:p>
        </w:tc>
      </w:tr>
      <w:tr w:rsidR="00E41D62" w14:paraId="5F95EC04" w14:textId="77777777" w:rsidTr="00E41D62">
        <w:tc>
          <w:tcPr>
            <w:tcW w:w="4390" w:type="dxa"/>
          </w:tcPr>
          <w:p w14:paraId="03E66100" w14:textId="77777777" w:rsidR="00E41D62" w:rsidRDefault="00E41D62" w:rsidP="00E41D62">
            <w:r>
              <w:t xml:space="preserve">("generative AI" OR ChatGPT OR "artificial intelligence") </w:t>
            </w:r>
            <w:r>
              <w:tab/>
            </w:r>
            <w:r>
              <w:tab/>
            </w:r>
            <w:r>
              <w:tab/>
            </w:r>
            <w:r>
              <w:tab/>
            </w:r>
          </w:p>
          <w:p w14:paraId="3823EDB4" w14:textId="77777777" w:rsidR="00E41D62" w:rsidRDefault="00E41D62" w:rsidP="00E41D62">
            <w:r>
              <w:t xml:space="preserve">AND </w:t>
            </w:r>
            <w:r>
              <w:tab/>
            </w:r>
            <w:r>
              <w:tab/>
            </w:r>
            <w:r>
              <w:tab/>
            </w:r>
            <w:r>
              <w:tab/>
            </w:r>
          </w:p>
          <w:p w14:paraId="311E21A0" w14:textId="5562EEC7" w:rsidR="00E41D62" w:rsidRDefault="00E41D62" w:rsidP="00E41D62">
            <w:r>
              <w:t>("K-12" OR "secondary education" OR "school education")</w:t>
            </w:r>
            <w:r>
              <w:tab/>
            </w:r>
          </w:p>
        </w:tc>
        <w:tc>
          <w:tcPr>
            <w:tcW w:w="4252" w:type="dxa"/>
          </w:tcPr>
          <w:p w14:paraId="24A934B0" w14:textId="77777777" w:rsidR="00E41D62" w:rsidRDefault="00E41D62" w:rsidP="00E41D62">
            <w:r>
              <w:t>("prompt" OR "prompting" OR "AI prompting")</w:t>
            </w:r>
            <w:r>
              <w:tab/>
            </w:r>
            <w:r>
              <w:tab/>
            </w:r>
            <w:r>
              <w:tab/>
            </w:r>
          </w:p>
          <w:p w14:paraId="0A570FB2" w14:textId="77777777" w:rsidR="00E41D62" w:rsidRDefault="00E41D62" w:rsidP="00E41D62">
            <w:r>
              <w:t xml:space="preserve">AND </w:t>
            </w:r>
            <w:r>
              <w:tab/>
            </w:r>
            <w:r>
              <w:tab/>
            </w:r>
            <w:r>
              <w:tab/>
            </w:r>
          </w:p>
          <w:p w14:paraId="4901C547" w14:textId="77777777" w:rsidR="00E41D62" w:rsidRDefault="00E41D62" w:rsidP="00E41D62">
            <w:r>
              <w:t>("generative AI" OR ChatGPT)</w:t>
            </w:r>
            <w:r>
              <w:tab/>
            </w:r>
            <w:r>
              <w:tab/>
            </w:r>
            <w:r>
              <w:tab/>
            </w:r>
          </w:p>
          <w:p w14:paraId="63FA15AC" w14:textId="77777777" w:rsidR="00E41D62" w:rsidRDefault="00E41D62" w:rsidP="00E41D62">
            <w:r>
              <w:t xml:space="preserve">AND </w:t>
            </w:r>
            <w:r>
              <w:tab/>
            </w:r>
            <w:r>
              <w:tab/>
            </w:r>
            <w:r>
              <w:tab/>
            </w:r>
          </w:p>
          <w:p w14:paraId="6BFCCA11" w14:textId="0C1E625F" w:rsidR="00E41D62" w:rsidRDefault="00E41D62" w:rsidP="00E41D62">
            <w:r>
              <w:t>("K-12" OR "secondary education")</w:t>
            </w:r>
            <w:r>
              <w:tab/>
            </w:r>
            <w:r>
              <w:tab/>
            </w:r>
            <w:r>
              <w:tab/>
            </w:r>
          </w:p>
        </w:tc>
      </w:tr>
    </w:tbl>
    <w:p w14:paraId="7BDB77DF" w14:textId="3CE95430" w:rsidR="00E41D62" w:rsidRDefault="00E41D62">
      <w:r>
        <w:t xml:space="preserve"> </w:t>
      </w:r>
    </w:p>
    <w:p w14:paraId="0B6F855F" w14:textId="31135E96" w:rsidR="00E41D62" w:rsidRPr="00110B67" w:rsidRDefault="00110B67">
      <w:pPr>
        <w:rPr>
          <w:b/>
          <w:bCs/>
        </w:rPr>
      </w:pPr>
      <w:r w:rsidRPr="00110B67">
        <w:rPr>
          <w:b/>
          <w:bCs/>
        </w:rPr>
        <w:t>E</w:t>
      </w:r>
      <w:r>
        <w:rPr>
          <w:b/>
          <w:bCs/>
        </w:rPr>
        <w:t>ligibility</w:t>
      </w:r>
      <w:r w:rsidRPr="00110B67">
        <w:rPr>
          <w:b/>
          <w:bCs/>
        </w:rPr>
        <w:t xml:space="preserve"> Criteria </w:t>
      </w:r>
    </w:p>
    <w:p w14:paraId="3C8ECFC1" w14:textId="6D556A41" w:rsidR="00110B67" w:rsidRDefault="00110B67">
      <w:r>
        <w:t xml:space="preserve">The eligibility criteria </w:t>
      </w:r>
      <w:r w:rsidR="006B16CA">
        <w:t>were</w:t>
      </w:r>
      <w:r>
        <w:t xml:space="preserve"> based on inclusion and exclusion criteria</w:t>
      </w:r>
      <w:r w:rsidR="006B16CA">
        <w:t xml:space="preserve"> to ensure coherency and constancy of the results. </w:t>
      </w:r>
    </w:p>
    <w:p w14:paraId="5E73901D" w14:textId="77777777" w:rsidR="00684546" w:rsidRPr="00684546" w:rsidRDefault="00684546" w:rsidP="00684546">
      <w:r w:rsidRPr="00684546">
        <w:rPr>
          <w:b/>
          <w:bCs/>
        </w:rPr>
        <w:t>Inclusion criteria:</w:t>
      </w:r>
    </w:p>
    <w:p w14:paraId="126C8380" w14:textId="77777777" w:rsidR="00684546" w:rsidRPr="00684546" w:rsidRDefault="00684546" w:rsidP="00684546">
      <w:pPr>
        <w:numPr>
          <w:ilvl w:val="0"/>
          <w:numId w:val="3"/>
        </w:numPr>
      </w:pPr>
      <w:r w:rsidRPr="00684546">
        <w:t>Studies focused on Generative AI or large language models in educational contexts</w:t>
      </w:r>
    </w:p>
    <w:p w14:paraId="67FD8C9B" w14:textId="4324087F" w:rsidR="00684546" w:rsidRPr="00684546" w:rsidRDefault="00684546" w:rsidP="00684546">
      <w:pPr>
        <w:numPr>
          <w:ilvl w:val="0"/>
          <w:numId w:val="3"/>
        </w:numPr>
      </w:pPr>
      <w:r w:rsidRPr="00684546">
        <w:t>Studies addressing prompt engineering</w:t>
      </w:r>
      <w:r w:rsidR="00A90286">
        <w:t xml:space="preserve"> </w:t>
      </w:r>
      <w:r w:rsidRPr="00684546">
        <w:t xml:space="preserve">or prompt </w:t>
      </w:r>
    </w:p>
    <w:p w14:paraId="0507FE9D" w14:textId="19DA2EE8" w:rsidR="00684546" w:rsidRPr="00684546" w:rsidRDefault="00684546" w:rsidP="00684546">
      <w:pPr>
        <w:numPr>
          <w:ilvl w:val="0"/>
          <w:numId w:val="3"/>
        </w:numPr>
      </w:pPr>
      <w:r w:rsidRPr="00684546">
        <w:t xml:space="preserve">Research involving K–12 students, teachers, or </w:t>
      </w:r>
      <w:r>
        <w:t xml:space="preserve">secondary education </w:t>
      </w:r>
    </w:p>
    <w:p w14:paraId="1EBF7A85" w14:textId="1F573C89" w:rsidR="00684546" w:rsidRDefault="00684546" w:rsidP="00684546">
      <w:pPr>
        <w:numPr>
          <w:ilvl w:val="0"/>
          <w:numId w:val="3"/>
        </w:numPr>
      </w:pPr>
      <w:r>
        <w:t xml:space="preserve">Systematic review papers, empirical studies, designed-based papers and conceptual papers. </w:t>
      </w:r>
    </w:p>
    <w:p w14:paraId="7A878BAE" w14:textId="0F7CF7C4" w:rsidR="00A90286" w:rsidRPr="00684546" w:rsidRDefault="00A90286" w:rsidP="00684546">
      <w:pPr>
        <w:numPr>
          <w:ilvl w:val="0"/>
          <w:numId w:val="3"/>
        </w:numPr>
      </w:pPr>
      <w:r>
        <w:t xml:space="preserve">Studies involving qualitative, qualitative or mixed research design. </w:t>
      </w:r>
    </w:p>
    <w:p w14:paraId="32CBFD9C" w14:textId="39F5D60A" w:rsidR="00684546" w:rsidRPr="00684546" w:rsidRDefault="00684546" w:rsidP="00684546">
      <w:pPr>
        <w:numPr>
          <w:ilvl w:val="0"/>
          <w:numId w:val="3"/>
        </w:numPr>
      </w:pPr>
      <w:r w:rsidRPr="00684546">
        <w:t>Publications written in English</w:t>
      </w:r>
      <w:r w:rsidR="002E281A">
        <w:t xml:space="preserve"> from 2018 to 2025</w:t>
      </w:r>
    </w:p>
    <w:p w14:paraId="56CD137A" w14:textId="77777777" w:rsidR="00684546" w:rsidRPr="00684546" w:rsidRDefault="00684546" w:rsidP="00684546">
      <w:r w:rsidRPr="00684546">
        <w:rPr>
          <w:b/>
          <w:bCs/>
        </w:rPr>
        <w:t>Exclusion criteria:</w:t>
      </w:r>
    </w:p>
    <w:p w14:paraId="147105F1" w14:textId="77777777" w:rsidR="00684546" w:rsidRPr="00684546" w:rsidRDefault="00684546" w:rsidP="00684546">
      <w:pPr>
        <w:numPr>
          <w:ilvl w:val="0"/>
          <w:numId w:val="4"/>
        </w:numPr>
      </w:pPr>
      <w:r w:rsidRPr="00684546">
        <w:t>Studies focusing exclusively on higher education or professional training</w:t>
      </w:r>
    </w:p>
    <w:p w14:paraId="4EFDA120" w14:textId="02AAC8F6" w:rsidR="00684546" w:rsidRPr="00684546" w:rsidRDefault="00684546" w:rsidP="00684546">
      <w:pPr>
        <w:numPr>
          <w:ilvl w:val="0"/>
          <w:numId w:val="4"/>
        </w:numPr>
      </w:pPr>
      <w:r w:rsidRPr="00684546">
        <w:t xml:space="preserve">Research addressing </w:t>
      </w:r>
      <w:r w:rsidR="009F5E1E">
        <w:t xml:space="preserve">only </w:t>
      </w:r>
      <w:r w:rsidRPr="00684546">
        <w:t xml:space="preserve">AI use without explicit reference to prompting </w:t>
      </w:r>
      <w:r>
        <w:t>engineering</w:t>
      </w:r>
    </w:p>
    <w:p w14:paraId="731B39C4" w14:textId="77777777" w:rsidR="00684546" w:rsidRPr="00684546" w:rsidRDefault="00684546" w:rsidP="00684546">
      <w:pPr>
        <w:numPr>
          <w:ilvl w:val="0"/>
          <w:numId w:val="4"/>
        </w:numPr>
      </w:pPr>
      <w:r w:rsidRPr="00684546">
        <w:t>Opinion pieces, editorials, blog posts, or non-scholarly sources</w:t>
      </w:r>
    </w:p>
    <w:p w14:paraId="7683F8AE" w14:textId="77777777" w:rsidR="00684546" w:rsidRPr="00684546" w:rsidRDefault="00684546" w:rsidP="00684546">
      <w:pPr>
        <w:numPr>
          <w:ilvl w:val="0"/>
          <w:numId w:val="4"/>
        </w:numPr>
      </w:pPr>
      <w:r w:rsidRPr="00684546">
        <w:t>Studies focused solely on technical AI model development without educational application</w:t>
      </w:r>
    </w:p>
    <w:p w14:paraId="3FE81B61" w14:textId="77777777" w:rsidR="00684546" w:rsidRPr="00684546" w:rsidRDefault="00684546" w:rsidP="00684546">
      <w:pPr>
        <w:numPr>
          <w:ilvl w:val="0"/>
          <w:numId w:val="4"/>
        </w:numPr>
      </w:pPr>
      <w:r w:rsidRPr="00684546">
        <w:t>Duplicates across databases</w:t>
      </w:r>
    </w:p>
    <w:p w14:paraId="598F7422" w14:textId="28CB7F34" w:rsidR="00183661" w:rsidRPr="00183661" w:rsidRDefault="00183661">
      <w:pPr>
        <w:rPr>
          <w:b/>
          <w:bCs/>
        </w:rPr>
      </w:pPr>
      <w:r w:rsidRPr="00183661">
        <w:rPr>
          <w:b/>
          <w:bCs/>
        </w:rPr>
        <w:t xml:space="preserve">Selection Procedure for the articles </w:t>
      </w:r>
    </w:p>
    <w:p w14:paraId="0653B094" w14:textId="12F3C8EF" w:rsidR="00183661" w:rsidRDefault="00183661">
      <w:r w:rsidRPr="00183661">
        <w:t>The articles downloaded were all exported to Zotero reference management system. This was done to help centralised the information gathered and also remove all duplicate</w:t>
      </w:r>
      <w:r>
        <w:t xml:space="preserve">d </w:t>
      </w:r>
      <w:r w:rsidRPr="00183661">
        <w:t>studies. A total of 1000 articles were exported to Zotero from the various databases.</w:t>
      </w:r>
      <w:r>
        <w:t xml:space="preserve"> The breakdown is provided in Table 2 below.</w:t>
      </w:r>
    </w:p>
    <w:p w14:paraId="3DB2239E" w14:textId="77777777" w:rsidR="009F5E1E" w:rsidRDefault="009F5E1E"/>
    <w:p w14:paraId="741C8736" w14:textId="77777777" w:rsidR="009F5E1E" w:rsidRDefault="009F5E1E"/>
    <w:p w14:paraId="032048C5" w14:textId="77777777" w:rsidR="009F5E1E" w:rsidRDefault="009F5E1E"/>
    <w:p w14:paraId="668ED68C" w14:textId="057C0D8B" w:rsidR="00DF173E" w:rsidRDefault="00DF173E">
      <w:r>
        <w:t xml:space="preserve">Table 2: Number of Database used for the study </w:t>
      </w:r>
    </w:p>
    <w:tbl>
      <w:tblPr>
        <w:tblStyle w:val="TableGrid"/>
        <w:tblW w:w="0" w:type="auto"/>
        <w:tblLook w:val="04A0" w:firstRow="1" w:lastRow="0" w:firstColumn="1" w:lastColumn="0" w:noHBand="0" w:noVBand="1"/>
      </w:tblPr>
      <w:tblGrid>
        <w:gridCol w:w="2405"/>
        <w:gridCol w:w="3605"/>
      </w:tblGrid>
      <w:tr w:rsidR="00DF173E" w14:paraId="7F80E920" w14:textId="77777777" w:rsidTr="00DF173E">
        <w:tc>
          <w:tcPr>
            <w:tcW w:w="2405" w:type="dxa"/>
          </w:tcPr>
          <w:p w14:paraId="21E40EF1" w14:textId="4484F6DE" w:rsidR="00DF173E" w:rsidRDefault="00DF173E">
            <w:r>
              <w:t xml:space="preserve">Database </w:t>
            </w:r>
          </w:p>
        </w:tc>
        <w:tc>
          <w:tcPr>
            <w:tcW w:w="3605" w:type="dxa"/>
          </w:tcPr>
          <w:p w14:paraId="451DF437" w14:textId="00D00526" w:rsidR="00DF173E" w:rsidRDefault="00DF173E">
            <w:r>
              <w:t xml:space="preserve">Total number of articles </w:t>
            </w:r>
          </w:p>
        </w:tc>
      </w:tr>
      <w:tr w:rsidR="00DF173E" w14:paraId="705B631C" w14:textId="77777777" w:rsidTr="00DF173E">
        <w:tc>
          <w:tcPr>
            <w:tcW w:w="2405" w:type="dxa"/>
          </w:tcPr>
          <w:p w14:paraId="0F7C5A6D" w14:textId="55ACB863" w:rsidR="00DF173E" w:rsidRDefault="00DF173E">
            <w:r>
              <w:t xml:space="preserve">ERIC </w:t>
            </w:r>
          </w:p>
        </w:tc>
        <w:tc>
          <w:tcPr>
            <w:tcW w:w="3605" w:type="dxa"/>
          </w:tcPr>
          <w:p w14:paraId="3D22B74F" w14:textId="5D55EB11" w:rsidR="00DF173E" w:rsidRDefault="00DF173E">
            <w:r>
              <w:t xml:space="preserve">Initial string: 5 records </w:t>
            </w:r>
          </w:p>
          <w:p w14:paraId="46F72285" w14:textId="77777777" w:rsidR="00DF173E" w:rsidRDefault="00DF173E">
            <w:r>
              <w:t xml:space="preserve">Second String: 811 records </w:t>
            </w:r>
          </w:p>
          <w:p w14:paraId="798CDE14" w14:textId="77777777" w:rsidR="00DF173E" w:rsidRDefault="00DF173E">
            <w:r>
              <w:t>Third String: 12 records</w:t>
            </w:r>
          </w:p>
          <w:p w14:paraId="30A5CD5B" w14:textId="4CBBDD47" w:rsidR="00DF173E" w:rsidRDefault="00DF173E">
            <w:r>
              <w:t xml:space="preserve">Total: 828 records </w:t>
            </w:r>
          </w:p>
        </w:tc>
      </w:tr>
      <w:tr w:rsidR="00DF173E" w14:paraId="38AAC2A9" w14:textId="77777777" w:rsidTr="00DF173E">
        <w:tc>
          <w:tcPr>
            <w:tcW w:w="2405" w:type="dxa"/>
          </w:tcPr>
          <w:p w14:paraId="7CF62C71" w14:textId="2FAA5C46" w:rsidR="00DF173E" w:rsidRDefault="00DF173E">
            <w:r>
              <w:t xml:space="preserve">Taylor &amp; Francis </w:t>
            </w:r>
          </w:p>
        </w:tc>
        <w:tc>
          <w:tcPr>
            <w:tcW w:w="3605" w:type="dxa"/>
          </w:tcPr>
          <w:p w14:paraId="0B13F43F" w14:textId="106681E7" w:rsidR="00DF173E" w:rsidRDefault="00DF173E">
            <w:r>
              <w:t xml:space="preserve">Only Initial string: 86 records </w:t>
            </w:r>
          </w:p>
        </w:tc>
      </w:tr>
      <w:tr w:rsidR="00DF173E" w14:paraId="6ECF271B" w14:textId="77777777" w:rsidTr="00DF173E">
        <w:tc>
          <w:tcPr>
            <w:tcW w:w="2405" w:type="dxa"/>
          </w:tcPr>
          <w:p w14:paraId="09FA9E19" w14:textId="3E0168D7" w:rsidR="00DF173E" w:rsidRDefault="00DF173E">
            <w:r>
              <w:t>JSTOR</w:t>
            </w:r>
          </w:p>
        </w:tc>
        <w:tc>
          <w:tcPr>
            <w:tcW w:w="3605" w:type="dxa"/>
          </w:tcPr>
          <w:p w14:paraId="6E8FCA3E" w14:textId="4FDA85E7" w:rsidR="00DF173E" w:rsidRDefault="00DF173E">
            <w:r>
              <w:t>Only Initial string: 36 records</w:t>
            </w:r>
          </w:p>
        </w:tc>
      </w:tr>
      <w:tr w:rsidR="00DF173E" w14:paraId="5CD0ABDC" w14:textId="77777777" w:rsidTr="00DF173E">
        <w:tc>
          <w:tcPr>
            <w:tcW w:w="2405" w:type="dxa"/>
          </w:tcPr>
          <w:p w14:paraId="1C1C378A" w14:textId="68E330CC" w:rsidR="00DF173E" w:rsidRDefault="00DF173E">
            <w:r>
              <w:t xml:space="preserve">Google Scholar </w:t>
            </w:r>
          </w:p>
        </w:tc>
        <w:tc>
          <w:tcPr>
            <w:tcW w:w="3605" w:type="dxa"/>
          </w:tcPr>
          <w:p w14:paraId="018B5F03" w14:textId="7263F60D" w:rsidR="00DF173E" w:rsidRDefault="00DF173E">
            <w:r>
              <w:t>Only Initial string: 100 records</w:t>
            </w:r>
          </w:p>
        </w:tc>
      </w:tr>
    </w:tbl>
    <w:p w14:paraId="437476BD" w14:textId="77777777" w:rsidR="00183661" w:rsidRDefault="00183661"/>
    <w:p w14:paraId="3D06FA4E" w14:textId="24D111DB" w:rsidR="00DF173E" w:rsidRDefault="00DF173E">
      <w:r>
        <w:t xml:space="preserve">The search in Google scholar reported 3,440 records but the researcher focused on only the first 100 relevant records which is consistent with the assumption of supplementary records for a systematic review study (Page et al., 2021). This brought the total records exported to Zotero to 1050 records. After removing 123 duplicates, the total number of records was reduced to 927. </w:t>
      </w:r>
    </w:p>
    <w:p w14:paraId="31F3DC4C" w14:textId="36E95406" w:rsidR="00DF173E" w:rsidRDefault="00DF173E">
      <w:r>
        <w:t xml:space="preserve">The 927 records were exported to Ms. Excel for </w:t>
      </w:r>
      <w:r w:rsidR="002E281A">
        <w:t xml:space="preserve">title and abstract screening. At this stage all studies conducted before 2018 and unrelated to GenAI, prompt engineering, K-12 or secondary education were removed, bringing the total number of records for full article screening to 113 records. </w:t>
      </w:r>
      <w:r w:rsidR="00783115">
        <w:t>For the full screening, articles not providing detailed information about K-12 GenAI and prompt engineering were removed</w:t>
      </w:r>
      <w:r w:rsidR="003259B8">
        <w:t xml:space="preserve">. This brought the total number of articles meeting all the inclusion and exclusion criteria to </w:t>
      </w:r>
      <w:r w:rsidR="00312BE1">
        <w:t>21</w:t>
      </w:r>
      <w:r w:rsidR="003259B8">
        <w:t xml:space="preserve"> records. However, only 12 records provided substantial discussion and focused only on prompt engineering among K-12 schools. </w:t>
      </w:r>
    </w:p>
    <w:p w14:paraId="3D5E63E6" w14:textId="07C55AC0" w:rsidR="002A688F" w:rsidRPr="002A688F" w:rsidRDefault="00714ECE" w:rsidP="002A688F">
      <w:r w:rsidRPr="00714ECE">
        <w:rPr>
          <w:noProof/>
        </w:rPr>
        <w:lastRenderedPageBreak/>
        <w:drawing>
          <wp:inline distT="0" distB="0" distL="0" distR="0" wp14:anchorId="3937296E" wp14:editId="67E9DBE3">
            <wp:extent cx="5201376" cy="5401429"/>
            <wp:effectExtent l="19050" t="19050" r="18415" b="27940"/>
            <wp:docPr id="299443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43542" name=""/>
                    <pic:cNvPicPr/>
                  </pic:nvPicPr>
                  <pic:blipFill>
                    <a:blip r:embed="rId7"/>
                    <a:stretch>
                      <a:fillRect/>
                    </a:stretch>
                  </pic:blipFill>
                  <pic:spPr>
                    <a:xfrm>
                      <a:off x="0" y="0"/>
                      <a:ext cx="5201376" cy="5401429"/>
                    </a:xfrm>
                    <a:prstGeom prst="rect">
                      <a:avLst/>
                    </a:prstGeom>
                    <a:ln>
                      <a:solidFill>
                        <a:schemeClr val="tx1"/>
                      </a:solidFill>
                    </a:ln>
                  </pic:spPr>
                </pic:pic>
              </a:graphicData>
            </a:graphic>
          </wp:inline>
        </w:drawing>
      </w:r>
    </w:p>
    <w:p w14:paraId="29E82FDB" w14:textId="50282163" w:rsidR="002A688F" w:rsidRDefault="002A688F">
      <w:r>
        <w:t>Figure 1: PRIMA Flow chart created by Author</w:t>
      </w:r>
      <w:r w:rsidR="004A3E84">
        <w:t xml:space="preserve"> (</w:t>
      </w:r>
      <w:proofErr w:type="spellStart"/>
      <w:r w:rsidR="004A3E84">
        <w:t>Abaidoo</w:t>
      </w:r>
      <w:proofErr w:type="spellEnd"/>
      <w:r w:rsidR="004A3E84">
        <w:t>, 2026)</w:t>
      </w:r>
      <w:r>
        <w:t xml:space="preserve"> with the PRISMA Shiny APP (</w:t>
      </w:r>
      <w:r w:rsidRPr="002A688F">
        <w:t>Haddaway et al.,</w:t>
      </w:r>
      <w:r>
        <w:t xml:space="preserve"> </w:t>
      </w:r>
      <w:r w:rsidRPr="002A688F">
        <w:t>2022</w:t>
      </w:r>
      <w:r>
        <w:t>)</w:t>
      </w:r>
    </w:p>
    <w:p w14:paraId="779FE10C" w14:textId="13F9F6F7" w:rsidR="002716CB" w:rsidRDefault="00D746CB">
      <w:r>
        <w:t>The PRISMA flow chart (</w:t>
      </w:r>
      <w:r w:rsidRPr="00D746CB">
        <w:t>Haddaway et al., 2022)</w:t>
      </w:r>
      <w:r>
        <w:t xml:space="preserve"> provides a pictorial view of data selection procedure. The data extraction for the final study was done by using Ms. Excel with columns, Including Author, Year, country, education level, participants, study type, GenAI tool mentioned, purpose of the GenAI tool, prompt technique used, outcomes and challenges and limitations. </w:t>
      </w:r>
    </w:p>
    <w:p w14:paraId="3C6A695D" w14:textId="50198989" w:rsidR="00345425" w:rsidRDefault="0018777A">
      <w:r>
        <w:t xml:space="preserve">Moreover, a thematic systemic review was conducted to synthesize the records. This was done due to the heterogeneity nature of the various study design, context and outcomes. The qualitative approach was used to identifying reoccurring patterns which was later categorized into themes. The review started with searching for patterns related to prompt engineering strategies, followed by analytical themes related to the research questions. </w:t>
      </w:r>
    </w:p>
    <w:p w14:paraId="626C94BB" w14:textId="77777777" w:rsidR="00345425" w:rsidRPr="00345425" w:rsidRDefault="00345425"/>
    <w:p w14:paraId="78A97382" w14:textId="77777777" w:rsidR="00795E76" w:rsidRDefault="00795E76"/>
    <w:p w14:paraId="42A54362" w14:textId="77777777" w:rsidR="004A3E84" w:rsidRDefault="004A3E84"/>
    <w:p w14:paraId="239A5950" w14:textId="1D1B6D67" w:rsidR="00614039" w:rsidRPr="0018777A" w:rsidRDefault="00614039">
      <w:pPr>
        <w:rPr>
          <w:b/>
          <w:bCs/>
        </w:rPr>
      </w:pPr>
      <w:r w:rsidRPr="0018777A">
        <w:rPr>
          <w:b/>
          <w:bCs/>
        </w:rPr>
        <w:lastRenderedPageBreak/>
        <w:t xml:space="preserve">Results </w:t>
      </w:r>
    </w:p>
    <w:p w14:paraId="6068DA01" w14:textId="549A8733" w:rsidR="0018777A" w:rsidRDefault="006F6B33">
      <w:r w:rsidRPr="006F6B33">
        <w:t xml:space="preserve">This section presents the findings of the systematic review based on an analysis of </w:t>
      </w:r>
      <w:r w:rsidR="00312BE1">
        <w:t>21</w:t>
      </w:r>
      <w:r w:rsidRPr="006F6B33">
        <w:t xml:space="preserve"> relevant studies. The results are organised according to the thematic areas that emerged from the full data extraction and synthesis process. Following data extraction, all </w:t>
      </w:r>
      <w:r w:rsidR="00312BE1">
        <w:t>21</w:t>
      </w:r>
      <w:r w:rsidRPr="006F6B33">
        <w:t xml:space="preserve"> studies met the inclusion criteria for the review. However, only 12 of the </w:t>
      </w:r>
      <w:r w:rsidR="00312BE1">
        <w:t>21</w:t>
      </w:r>
      <w:r w:rsidRPr="006F6B33">
        <w:t xml:space="preserve"> studies explicitly focused on prompt engineering in K–12 educational contexts. The remaining </w:t>
      </w:r>
      <w:r w:rsidR="00312BE1">
        <w:t>9</w:t>
      </w:r>
      <w:r w:rsidRPr="006F6B33">
        <w:t xml:space="preserve"> studies examined Generative AI more broadly, primarily addressing its benefits and challenges in education, with prompt-related practices discussed only partially or indirectly. This distribution of studies highlights the limited and emerging nature of research specifically focused on GenAI prompt engineering within K–12 schools, underscoring the need for further targeted investigation in this area.</w:t>
      </w:r>
    </w:p>
    <w:p w14:paraId="59307398" w14:textId="6F839258" w:rsidR="006F6B33" w:rsidRPr="006F6B33" w:rsidRDefault="006F6B33">
      <w:pPr>
        <w:rPr>
          <w:b/>
          <w:bCs/>
        </w:rPr>
      </w:pPr>
      <w:r w:rsidRPr="006F6B33">
        <w:rPr>
          <w:b/>
          <w:bCs/>
        </w:rPr>
        <w:t xml:space="preserve">Overview of included studies </w:t>
      </w:r>
    </w:p>
    <w:p w14:paraId="7616586C" w14:textId="3703518C" w:rsidR="006F6B33" w:rsidRDefault="006F6B33">
      <w:r w:rsidRPr="006F6B33">
        <w:t xml:space="preserve">The </w:t>
      </w:r>
      <w:r w:rsidR="00D95402">
        <w:t>21</w:t>
      </w:r>
      <w:r w:rsidRPr="006F6B33">
        <w:t xml:space="preserve"> studies included in this systematic review represent a diverse range of educational contexts, geographical locations, and research methodologies. All included studies were published between 2018 and 2025, reflecting the relatively recent emergence of Generative AI use in educational settings. The research designs encompassed systematic reviews, qualitative studies, quantitative investigations, and mixed-methods research. In terms of educational level, the majority of studies focused on secondary education, with comparatively fewer studies examining primary and middle school contexts. Participants across the reviewed studies primarily included teachers, students, or a combination of both.</w:t>
      </w:r>
    </w:p>
    <w:p w14:paraId="3683FF24" w14:textId="137C8D3E" w:rsidR="006F6B33" w:rsidRPr="007C0381" w:rsidRDefault="007C0381">
      <w:pPr>
        <w:rPr>
          <w:b/>
          <w:bCs/>
        </w:rPr>
      </w:pPr>
      <w:r w:rsidRPr="007C0381">
        <w:rPr>
          <w:b/>
          <w:bCs/>
        </w:rPr>
        <w:t>Thematic Findings</w:t>
      </w:r>
    </w:p>
    <w:p w14:paraId="2BBB547D" w14:textId="3D79E6D4" w:rsidR="007C0381" w:rsidRDefault="007C0381">
      <w:r>
        <w:t>This section presents the findings from the studies based on the themes.</w:t>
      </w:r>
    </w:p>
    <w:p w14:paraId="312053EC" w14:textId="4E805DA0" w:rsidR="007C0381" w:rsidRDefault="007C0381">
      <w:pPr>
        <w:rPr>
          <w:b/>
          <w:bCs/>
        </w:rPr>
      </w:pPr>
      <w:r w:rsidRPr="007C0381">
        <w:rPr>
          <w:b/>
          <w:bCs/>
        </w:rPr>
        <w:t>Conceptualization of Prompt Engineering</w:t>
      </w:r>
      <w:r w:rsidR="0074156D">
        <w:rPr>
          <w:b/>
          <w:bCs/>
        </w:rPr>
        <w:t xml:space="preserve"> in K-12 education </w:t>
      </w:r>
    </w:p>
    <w:p w14:paraId="7EB1AD9C" w14:textId="036F6E55" w:rsidR="00EA73A8" w:rsidRPr="00EA73A8" w:rsidRDefault="00EA73A8" w:rsidP="00EA73A8">
      <w:r w:rsidRPr="00EA73A8">
        <w:t xml:space="preserve">The reviewed studies consistently conceptualised prompt engineering as a foundational skill that should be intentionally developed among both teachers and students to enhance pedagogical practice and support students’ cognitive development. Within the literature, a </w:t>
      </w:r>
      <w:r w:rsidRPr="00EA73A8">
        <w:rPr>
          <w:i/>
          <w:iCs/>
        </w:rPr>
        <w:t>prompt</w:t>
      </w:r>
      <w:r w:rsidRPr="00EA73A8">
        <w:t xml:space="preserve"> is commonly defined as the input</w:t>
      </w:r>
      <w:r>
        <w:t xml:space="preserve"> (</w:t>
      </w:r>
      <w:r w:rsidRPr="00EA73A8">
        <w:t>most frequently text</w:t>
      </w:r>
      <w:r>
        <w:t xml:space="preserve">) </w:t>
      </w:r>
      <w:r w:rsidRPr="00EA73A8">
        <w:t>used to instruct or guide a GenAI</w:t>
      </w:r>
      <w:r>
        <w:t xml:space="preserve"> </w:t>
      </w:r>
      <w:r w:rsidRPr="00EA73A8">
        <w:t xml:space="preserve">model in producing an output (Google Education, 2024; Mesko, 2023; Hadi et al., 2023). Depending on the tool and context, prompts may also take multimodal forms, including images, audio, or video inputs (Schulhoff et al., 2024). </w:t>
      </w:r>
      <w:r w:rsidRPr="00EA73A8">
        <w:rPr>
          <w:i/>
          <w:iCs/>
        </w:rPr>
        <w:t>Prompt engineering</w:t>
      </w:r>
      <w:r w:rsidRPr="00EA73A8">
        <w:t>, therefore, refers to the deliberate design and refinement of prompts to elicit accurate, relevant, and purposeful outputs from GenAI systems aligned with specific learning objectives (Google Education, 2024; Mesko, 2023).</w:t>
      </w:r>
    </w:p>
    <w:p w14:paraId="158627A5" w14:textId="58ACF088" w:rsidR="00EA73A8" w:rsidRPr="00EA73A8" w:rsidRDefault="00EA73A8" w:rsidP="00EA73A8">
      <w:r w:rsidRPr="00EA73A8">
        <w:t>Within K–12 educational contexts, the literature emphasised the need to integrate prompt engineering into existing curricular and pedagogical structures to enable teachers and students to acquire age-appropriate prompting competencies (Schulhoff et al., 2024</w:t>
      </w:r>
      <w:r w:rsidR="001E669A">
        <w:t xml:space="preserve">; </w:t>
      </w:r>
      <w:r w:rsidR="001E669A" w:rsidRPr="001E669A">
        <w:t>Heston et al., 2023</w:t>
      </w:r>
      <w:r w:rsidRPr="00EA73A8">
        <w:t>). Rather than treating prompt engineering as a technical or standalone skill</w:t>
      </w:r>
      <w:r>
        <w:t xml:space="preserve">.  </w:t>
      </w:r>
      <w:r w:rsidRPr="00EA73A8">
        <w:t xml:space="preserve">Specifically, prompt engineering in K–12 settings </w:t>
      </w:r>
      <w:r w:rsidR="00B452F1" w:rsidRPr="00EA73A8">
        <w:t>were</w:t>
      </w:r>
      <w:r w:rsidRPr="00EA73A8">
        <w:t xml:space="preserve"> conceptualised as an element of digital literacy, an inquiry-based instructional strategy, and a scaffolded approach to fostering critical thinking and metacognitive skills (Rey, 2025; Hsu</w:t>
      </w:r>
      <w:r w:rsidR="000A2EE3">
        <w:t xml:space="preserve">, </w:t>
      </w:r>
      <w:r w:rsidRPr="00EA73A8">
        <w:t>2025; Qian, 2025). Framing prompt engineering in this way allows for its seamless integration into existing curricula, as these approaches are already embedded within K–12 teaching and learning practices. Conversely, the adoption of overly complex or technically demanding prompting frameworks may hinder implementation at the K–12 level, aligning with the principles of the Technology Acceptance Model, which suggests that perceived complexity negatively influences technology adoption in educational settings (Davis &amp; Venkatesh, 1996).</w:t>
      </w:r>
    </w:p>
    <w:p w14:paraId="65EBB514" w14:textId="77777777" w:rsidR="00EA73A8" w:rsidRPr="00EA73A8" w:rsidRDefault="00EA73A8"/>
    <w:p w14:paraId="0FF1CCB7" w14:textId="5BD6D3B8" w:rsidR="009A0DB2" w:rsidRPr="009A0DB2" w:rsidRDefault="009A0DB2">
      <w:pPr>
        <w:rPr>
          <w:b/>
          <w:bCs/>
        </w:rPr>
      </w:pPr>
      <w:r w:rsidRPr="009A0DB2">
        <w:rPr>
          <w:b/>
          <w:bCs/>
        </w:rPr>
        <w:t>Effective Prompt Engineering</w:t>
      </w:r>
      <w:r w:rsidR="001E669A">
        <w:rPr>
          <w:b/>
          <w:bCs/>
        </w:rPr>
        <w:t xml:space="preserve"> Strategies</w:t>
      </w:r>
      <w:r w:rsidRPr="009A0DB2">
        <w:rPr>
          <w:b/>
          <w:bCs/>
        </w:rPr>
        <w:t xml:space="preserve"> for K-12 Teachers and Students </w:t>
      </w:r>
    </w:p>
    <w:p w14:paraId="79E64615" w14:textId="0D012DE8" w:rsidR="00907109" w:rsidRPr="00907109" w:rsidRDefault="00907109" w:rsidP="00907109">
      <w:r w:rsidRPr="00907109">
        <w:t>The reviewed studies indicate that the effectiveness of prompt engineering in K–12 contexts is shaped by multiple interrelated factors, including teachers’ professional development, students’ prior knowledge of prompting techniques, and the type and structure of prompts used to interact with</w:t>
      </w:r>
      <w:r>
        <w:t xml:space="preserve"> </w:t>
      </w:r>
      <w:r w:rsidRPr="00907109">
        <w:t>GenAI models (Hays et al., 2024; Whalen et al., 2025; Zhang</w:t>
      </w:r>
      <w:r w:rsidR="00312BE1">
        <w:t xml:space="preserve"> &amp; Tur</w:t>
      </w:r>
      <w:r w:rsidRPr="00907109">
        <w:t>., 2024; Heston et al., 2023). These factors influence not only the quality of AI-generated outputs but also the extent to which prompt engineering supports student cognition and pedagogical goals.</w:t>
      </w:r>
    </w:p>
    <w:p w14:paraId="121B8500" w14:textId="77777777" w:rsidR="00907109" w:rsidRPr="00907109" w:rsidRDefault="00907109" w:rsidP="00907109">
      <w:r w:rsidRPr="00907109">
        <w:t xml:space="preserve">One of the most frequently identified strategies in K–12 settings is the use of “shot-based” prompting techniques (Heston et al., 2023; Schulhoff et al., 2024). In prompt engineering, </w:t>
      </w:r>
      <w:r w:rsidRPr="00907109">
        <w:rPr>
          <w:i/>
          <w:iCs/>
        </w:rPr>
        <w:t>shots</w:t>
      </w:r>
      <w:r w:rsidRPr="00907109">
        <w:t xml:space="preserve"> refer to the use of examples to guide large language models (LLMs) in contextualising and generating responses. The literature distinguishes among zero-shot, one-shot, and few-shot prompting. Zero-shot prompting involves providing no examples, one-shot prompting uses a single example, and few-shot prompting incorporates two or more examples to illustrate the desired output (Google Education, 2024; Heston et al., 2023). Studies suggest that, in the absence of explicit instruction, K–12 teachers and students predominantly rely on zero-shot prompting, which increases the likelihood of hallucinations and superficial outputs. In contrast, one-shot and few-shot prompting encourage learners to draw on prior knowledge to guide the model, thereby supporting deeper cognitive engagement and metacognitive awareness.</w:t>
      </w:r>
    </w:p>
    <w:p w14:paraId="44C9FDBB" w14:textId="2B6EA1E4" w:rsidR="00907109" w:rsidRPr="00907109" w:rsidRDefault="00907109" w:rsidP="00907109">
      <w:r w:rsidRPr="00907109">
        <w:t xml:space="preserve">Another prominent strategy identified in the literature is iterative prompting, which emphasises a </w:t>
      </w:r>
      <w:r w:rsidRPr="00907109">
        <w:rPr>
          <w:i/>
          <w:iCs/>
        </w:rPr>
        <w:t>human-in-the-loop</w:t>
      </w:r>
      <w:r w:rsidRPr="00907109">
        <w:t xml:space="preserve"> approach to refining GenAI outputs (Park </w:t>
      </w:r>
      <w:r w:rsidR="0005765D">
        <w:t>&amp; Kwon</w:t>
      </w:r>
      <w:r w:rsidRPr="00907109">
        <w:t>, 202</w:t>
      </w:r>
      <w:r w:rsidR="0005765D">
        <w:t>4</w:t>
      </w:r>
      <w:r w:rsidRPr="00907109">
        <w:t xml:space="preserve">; </w:t>
      </w:r>
      <w:proofErr w:type="spellStart"/>
      <w:r w:rsidRPr="00907109">
        <w:t>Pilault</w:t>
      </w:r>
      <w:proofErr w:type="spellEnd"/>
      <w:r w:rsidRPr="00907109">
        <w:t xml:space="preserve"> et al., 2023). Iterative prompting involves a cyclical process that begins with an initial prompt, followed by critical evaluation of the generated output and subsequent refinement of the prompt to improve alignment with the user’s objectives (Yang</w:t>
      </w:r>
      <w:r w:rsidR="00D23E60">
        <w:t xml:space="preserve"> &amp; Yang</w:t>
      </w:r>
      <w:r w:rsidRPr="00907109">
        <w:t>., 202</w:t>
      </w:r>
      <w:r w:rsidR="00D23E60">
        <w:t>5</w:t>
      </w:r>
      <w:r w:rsidRPr="00907109">
        <w:t>). This process continues until the desired outcome is achieved. Several studies highlight that iterative prompting mirrors conversational interaction, making it particularly suitable for K–12 learners as it fosters communication skills, inquiry-based learning, and reflective thinking</w:t>
      </w:r>
      <w:r>
        <w:t xml:space="preserve"> </w:t>
      </w:r>
      <w:r w:rsidRPr="00907109">
        <w:t>(Park</w:t>
      </w:r>
      <w:r w:rsidR="0005765D">
        <w:t xml:space="preserve"> &amp; Kwon</w:t>
      </w:r>
      <w:r w:rsidRPr="00907109">
        <w:t>, 202</w:t>
      </w:r>
      <w:r w:rsidR="0005765D">
        <w:t>4</w:t>
      </w:r>
      <w:r w:rsidRPr="00907109">
        <w:t>; Heston et al., 2023; Schulhoff et al., 2024</w:t>
      </w:r>
      <w:r>
        <w:t xml:space="preserve">; </w:t>
      </w:r>
      <w:proofErr w:type="spellStart"/>
      <w:r w:rsidRPr="00907109">
        <w:t>Pilault</w:t>
      </w:r>
      <w:proofErr w:type="spellEnd"/>
      <w:r w:rsidRPr="00907109">
        <w:t xml:space="preserve"> et al., 2023).</w:t>
      </w:r>
    </w:p>
    <w:p w14:paraId="1417D9A2" w14:textId="086DC63D" w:rsidR="00907109" w:rsidRPr="00907109" w:rsidRDefault="00907109" w:rsidP="00907109">
      <w:r w:rsidRPr="00907109">
        <w:t>In addition, structured prompting emerged as a highly effective strategy for K–12 contexts. This approach involves teachers explicitly guiding students through a step-by-step process of constructing prompts to achieve specific learning goals (Rey, 2025; Heston et al., 2023). Structured prompting typically includes clearly defining the task, providing relevant context, specifying constraints, and determining the desired output format. Key components often involve assigning a persona or role to the GenAI model, clarifying the instructional purpose, and setting parameters for length, format, or complexity. For example, a student might prompt a GenAI tool by specifying a professional role (e.g., a secondary school economics teacher), defining the task (e.g., creating a lesson on demand), identifying the learner group, and outlining constraints related to format and length. Evidence from the reviewed studies suggests that explicit instruction in structured prompting reduces the risk of hallucinations and enhances students’ ability to engage critically and purposefully with GenAI tools, thereby supporting higher-order cognitive and critical thinking skills (Dimeli et al., 2025; Zhang</w:t>
      </w:r>
      <w:r w:rsidR="00312BE1">
        <w:t xml:space="preserve"> &amp; Tur</w:t>
      </w:r>
      <w:r w:rsidRPr="00907109">
        <w:t>, 2024).</w:t>
      </w:r>
    </w:p>
    <w:p w14:paraId="4486D32E" w14:textId="77777777" w:rsidR="0044066F" w:rsidRDefault="0044066F"/>
    <w:p w14:paraId="082D4EB9" w14:textId="30C0817A" w:rsidR="0074156D" w:rsidRPr="009A0DB2" w:rsidRDefault="009A0DB2" w:rsidP="0074156D">
      <w:pPr>
        <w:rPr>
          <w:b/>
          <w:bCs/>
        </w:rPr>
      </w:pPr>
      <w:r w:rsidRPr="009A0DB2">
        <w:rPr>
          <w:b/>
          <w:bCs/>
        </w:rPr>
        <w:t>Pedagogical Approaches to Teaching Prompt Engineering</w:t>
      </w:r>
    </w:p>
    <w:p w14:paraId="2A5BE367" w14:textId="6796A7B7" w:rsidR="00CB63B6" w:rsidRPr="00CB63B6" w:rsidRDefault="00CB63B6" w:rsidP="00CB63B6">
      <w:r w:rsidRPr="00CB63B6">
        <w:lastRenderedPageBreak/>
        <w:t>Several studies emphasised that, rather than attempting to restrict or prevent students’ use of GenAI tools, educators should prioritise teaching students how to use these tools ethically and effectively, with prompt engineering serving as a key pedagogical mechanism (Heston et al., 2023). The literature consistently indicates that prompt engineering is most effective when embedded within existing curricular and instructional practices, rather than taught as a standalone or highly technical skill (Rey, 2025; Hsu</w:t>
      </w:r>
      <w:r w:rsidR="000A2EE3">
        <w:t xml:space="preserve">, </w:t>
      </w:r>
      <w:r w:rsidRPr="00CB63B6">
        <w:t>2025; Qian, 2025).</w:t>
      </w:r>
    </w:p>
    <w:p w14:paraId="222FAAAE" w14:textId="7370C0F9" w:rsidR="00CB63B6" w:rsidRPr="00CB63B6" w:rsidRDefault="00CB63B6" w:rsidP="00CB63B6">
      <w:r w:rsidRPr="00CB63B6">
        <w:t>A range of pedagogical approaches for teaching prompt engineering in K–12 contexts emerged from the reviewed studies. These included scaffolded instruction, project- and process-based learning, inquiry-based approaches, and teacher modelling (Park</w:t>
      </w:r>
      <w:r w:rsidR="0005765D">
        <w:t xml:space="preserve"> &amp; Kwon</w:t>
      </w:r>
      <w:r w:rsidRPr="00CB63B6">
        <w:t>, 202</w:t>
      </w:r>
      <w:r w:rsidR="0005765D">
        <w:t>4</w:t>
      </w:r>
      <w:r w:rsidRPr="00CB63B6">
        <w:t>; Qian, 2025; Rey, 2025). Scaffolded instruction involves guiding students from simple to increasingly complex prompting tasks, allowing teachers to address diverse learning needs and developmental levels. Project- and process-based approaches engage students in using prompts to investigate authentic, real-world problems or to support extended research tasks. Inquiry-based pedagogy emphasises questioning and exploration, using prompts to strengthen students’ reasoning and inquiry skills. Teacher modelling, in contrast, involves the explicit demonstration of both effective and ineffective prompting practices, enabling students to critically compare and refine their own prompts.</w:t>
      </w:r>
    </w:p>
    <w:p w14:paraId="19B39AE6" w14:textId="00FE2EA6" w:rsidR="00CB63B6" w:rsidRPr="00CB63B6" w:rsidRDefault="00CB63B6" w:rsidP="00CB63B6">
      <w:r w:rsidRPr="00CB63B6">
        <w:t xml:space="preserve">In addition to these pedagogical strategies, several studies proposed structured prompt engineering frameworks to support classroom implementation. Google Education (2024), for example, introduced the Task, Context, References, Evaluate, and Iterate (TCREI) framework. Within this model, </w:t>
      </w:r>
      <w:r w:rsidRPr="00CB63B6">
        <w:rPr>
          <w:i/>
          <w:iCs/>
        </w:rPr>
        <w:t>Task</w:t>
      </w:r>
      <w:r w:rsidRPr="00CB63B6">
        <w:t xml:space="preserve"> specifies what the GenAI system is expected to do, </w:t>
      </w:r>
      <w:r w:rsidRPr="00CB63B6">
        <w:rPr>
          <w:i/>
          <w:iCs/>
        </w:rPr>
        <w:t>Context</w:t>
      </w:r>
      <w:r w:rsidRPr="00CB63B6">
        <w:t xml:space="preserve"> situates the task within a meaningful learning scenario, and </w:t>
      </w:r>
      <w:r w:rsidRPr="00CB63B6">
        <w:rPr>
          <w:i/>
          <w:iCs/>
        </w:rPr>
        <w:t>References</w:t>
      </w:r>
      <w:r w:rsidRPr="00CB63B6">
        <w:t xml:space="preserve"> provide examples or source material to reduce bias and ambiguity. Given known limitations of GenAI models</w:t>
      </w:r>
      <w:r>
        <w:t xml:space="preserve"> </w:t>
      </w:r>
      <w:r w:rsidRPr="00CB63B6">
        <w:t>such as hallucinations and knowledge gaps</w:t>
      </w:r>
      <w:r>
        <w:t xml:space="preserve"> </w:t>
      </w:r>
      <w:r w:rsidRPr="00CB63B6">
        <w:t xml:space="preserve">the </w:t>
      </w:r>
      <w:r w:rsidRPr="00CB63B6">
        <w:rPr>
          <w:i/>
          <w:iCs/>
        </w:rPr>
        <w:t>Evaluate</w:t>
      </w:r>
      <w:r w:rsidRPr="00CB63B6">
        <w:t xml:space="preserve"> stage encourages critical assessment of outputs for accuracy and relevance, while </w:t>
      </w:r>
      <w:r w:rsidRPr="00CB63B6">
        <w:rPr>
          <w:i/>
          <w:iCs/>
        </w:rPr>
        <w:t>Iterate</w:t>
      </w:r>
      <w:r w:rsidRPr="00CB63B6">
        <w:t xml:space="preserve"> emphasises prompt refinement through repeated cycles of interaction.</w:t>
      </w:r>
    </w:p>
    <w:p w14:paraId="1A4A1A30" w14:textId="4A668CEB" w:rsidR="00CB63B6" w:rsidRPr="00CB63B6" w:rsidRDefault="00CB63B6" w:rsidP="00CB63B6">
      <w:r w:rsidRPr="00CB63B6">
        <w:t xml:space="preserve">Hsu (2025) further highlighted the CLEAR framework, originally proposed by Lo (2023), as particularly suitable for K–12 education. The CLEAR model comprises five components: </w:t>
      </w:r>
      <w:r w:rsidRPr="00CB63B6">
        <w:rPr>
          <w:i/>
          <w:iCs/>
        </w:rPr>
        <w:t>Concise</w:t>
      </w:r>
      <w:r w:rsidRPr="00CB63B6">
        <w:t xml:space="preserve">, </w:t>
      </w:r>
      <w:r w:rsidRPr="00CB63B6">
        <w:rPr>
          <w:i/>
          <w:iCs/>
        </w:rPr>
        <w:t>Logical</w:t>
      </w:r>
      <w:r w:rsidRPr="00CB63B6">
        <w:t xml:space="preserve">, </w:t>
      </w:r>
      <w:r w:rsidRPr="00CB63B6">
        <w:rPr>
          <w:i/>
          <w:iCs/>
        </w:rPr>
        <w:t>Explicit</w:t>
      </w:r>
      <w:r w:rsidRPr="00CB63B6">
        <w:t xml:space="preserve">, </w:t>
      </w:r>
      <w:r w:rsidRPr="00CB63B6">
        <w:rPr>
          <w:i/>
          <w:iCs/>
        </w:rPr>
        <w:t>Adaptive</w:t>
      </w:r>
      <w:r w:rsidRPr="00CB63B6">
        <w:t xml:space="preserve">, and </w:t>
      </w:r>
      <w:r w:rsidRPr="00CB63B6">
        <w:rPr>
          <w:i/>
          <w:iCs/>
        </w:rPr>
        <w:t>Reflective</w:t>
      </w:r>
      <w:r w:rsidRPr="00CB63B6">
        <w:t xml:space="preserve">. This framework emphasises clarity and brevity in prompt construction to help GenAI systems focus on specific tasks, while encouraging coherent and well-structured input. The </w:t>
      </w:r>
      <w:r w:rsidRPr="00CB63B6">
        <w:rPr>
          <w:i/>
          <w:iCs/>
        </w:rPr>
        <w:t>Explicit</w:t>
      </w:r>
      <w:r w:rsidRPr="00CB63B6">
        <w:t xml:space="preserve"> component involves specifying output expectations, such as format, scope, or level of detail. </w:t>
      </w:r>
      <w:r w:rsidRPr="00CB63B6">
        <w:rPr>
          <w:i/>
          <w:iCs/>
        </w:rPr>
        <w:t>Adaptive</w:t>
      </w:r>
      <w:r w:rsidRPr="00CB63B6">
        <w:t xml:space="preserve"> prompting allows users to experiment with variations to explore different outputs, and the </w:t>
      </w:r>
      <w:r w:rsidRPr="00CB63B6">
        <w:rPr>
          <w:i/>
          <w:iCs/>
        </w:rPr>
        <w:t>Reflective</w:t>
      </w:r>
      <w:r w:rsidRPr="00CB63B6">
        <w:t xml:space="preserve"> component highlights the importance of evaluating and refining prompts through iterative interaction. Notably, the CLEAR framework is designed to support digital literacy and critical thinking, making it well aligned with K–12 educational goals (Hsu</w:t>
      </w:r>
      <w:r w:rsidR="000A2EE3">
        <w:t xml:space="preserve">, </w:t>
      </w:r>
      <w:r w:rsidRPr="00CB63B6">
        <w:t>2025).</w:t>
      </w:r>
    </w:p>
    <w:p w14:paraId="27DB527F" w14:textId="26429171" w:rsidR="00CB63B6" w:rsidRPr="00CB63B6" w:rsidRDefault="00CB63B6" w:rsidP="00CB63B6">
      <w:r w:rsidRPr="00CB63B6">
        <w:t xml:space="preserve">Similarly, Cain (2023) proposed the Content knowledge, Critical thinking, and Iterative design (CCI) framework. This model emphasises the importance of students possessing foundational content knowledge before engaging with GenAI tools, enabling the formulation of precise and meaningful prompts. The </w:t>
      </w:r>
      <w:r w:rsidRPr="00CB63B6">
        <w:rPr>
          <w:i/>
          <w:iCs/>
        </w:rPr>
        <w:t>Critical thinking</w:t>
      </w:r>
      <w:r w:rsidRPr="00CB63B6">
        <w:t xml:space="preserve"> component focuses on students’ ability to evaluate AI-generated outputs, identify inaccuracies, hallucinations, and bias, and make informed judgments. The </w:t>
      </w:r>
      <w:r w:rsidRPr="00CB63B6">
        <w:rPr>
          <w:i/>
          <w:iCs/>
        </w:rPr>
        <w:t>Iterative design</w:t>
      </w:r>
      <w:r w:rsidRPr="00CB63B6">
        <w:t xml:space="preserve"> component reinforces the cyclical process of evaluating outputs and refining prompts to achieve improved results (Cain, 2023; Hsu, 2025).</w:t>
      </w:r>
    </w:p>
    <w:p w14:paraId="23F88850" w14:textId="77777777" w:rsidR="00CB63B6" w:rsidRPr="00CB63B6" w:rsidRDefault="00CB63B6" w:rsidP="00CB63B6">
      <w:r w:rsidRPr="00CB63B6">
        <w:t>Collectively, the reviewed studies suggest that teachers can leverage these pedagogical approaches and frameworks by embedding them within classroom practice to develop students’ prompt engineering competencies. Doing so not only enhances students’ prompting techniques, critical thinking, and metacognitive skills, but also supports the ethical and responsible use of GenAI, thereby contributing to the reduction of academic dishonesty in K–12 educational settings.</w:t>
      </w:r>
    </w:p>
    <w:p w14:paraId="362B3328" w14:textId="77777777" w:rsidR="00CB63B6" w:rsidRDefault="00CB63B6" w:rsidP="00DE2B54"/>
    <w:p w14:paraId="7CB32D6D" w14:textId="27BD6AB4" w:rsidR="00CB63B6" w:rsidRPr="00AE7DAB" w:rsidRDefault="008D227B" w:rsidP="00DE2B54">
      <w:pPr>
        <w:rPr>
          <w:b/>
          <w:bCs/>
        </w:rPr>
      </w:pPr>
      <w:r>
        <w:rPr>
          <w:b/>
          <w:bCs/>
        </w:rPr>
        <w:t>Outcome of</w:t>
      </w:r>
      <w:r w:rsidR="00CB63B6" w:rsidRPr="00AE7DAB">
        <w:rPr>
          <w:b/>
          <w:bCs/>
        </w:rPr>
        <w:t xml:space="preserve"> effective Prompt Engineering </w:t>
      </w:r>
      <w:r w:rsidR="00876FAF">
        <w:rPr>
          <w:b/>
          <w:bCs/>
        </w:rPr>
        <w:t xml:space="preserve">in K-12 Schools </w:t>
      </w:r>
    </w:p>
    <w:p w14:paraId="263AB15A" w14:textId="75707A5E" w:rsidR="00876FAF" w:rsidRPr="00876FAF" w:rsidRDefault="00876FAF" w:rsidP="00876FAF">
      <w:r w:rsidRPr="00876FAF">
        <w:t xml:space="preserve">The reviewed studies indicate that effective prompt engineering offers substantial benefits for both students and teachers in K–12 </w:t>
      </w:r>
      <w:r>
        <w:t>schools</w:t>
      </w:r>
      <w:r w:rsidRPr="00876FAF">
        <w:t>. For students, prompt engineering has been shown to promote the responsible and ethical use of Generative AI (GenAI) tools. For example, Heston et al. (2023) reported that explicit instruction in prompt construction improved students’ awareness of appropriate GenAI use. Several studies further demonstrated that effective prompting enhances student retention and comprehension, with positive implications for learning outcomes (Prathigadapa et al., 2025). Similarly, Guilbault et al. (2025) and Dimeli et al. (2025) found that structured prompt engineering practices support the development of critical thinking skills and cognitive performance, particularly when teachers provide guided instruction and feedback.</w:t>
      </w:r>
    </w:p>
    <w:p w14:paraId="00AECE92" w14:textId="4625A9AE" w:rsidR="00876FAF" w:rsidRDefault="00876FAF" w:rsidP="00DE2B54">
      <w:r w:rsidRPr="00876FAF">
        <w:t>In addition to cognitive benefits, effective prompt engineering was associated with increased student engagement, personalised learning experiences, and improved overall learning quality (Al</w:t>
      </w:r>
      <w:r w:rsidR="00EC6F7E">
        <w:t>i</w:t>
      </w:r>
      <w:r w:rsidRPr="00876FAF">
        <w:t xml:space="preserve"> et al., 2023; Arrington et al., 2025; Rey, 2025). By enabling students to interact more purposefully with GenAI tools, prompting strategies helped tailor learning activities to individual needs and learning preferences. For teachers, the literature highlighted improvements in pedagogical practice, including enhanced instructional design and more effective integration of GenAI into teaching and assessment (Arrington et al., 2025; Yang</w:t>
      </w:r>
      <w:r w:rsidR="00D23E60">
        <w:t xml:space="preserve"> &amp; Yang</w:t>
      </w:r>
      <w:r w:rsidRPr="00876FAF">
        <w:t>, 2025). Park and Cho (2024), using the IDEAL framework, observed that teachers’ proficiency in prompt engineering enriched lesson planning, instructional delivery, and overall productivity. Increased teacher competence in prompting also boosted confidence in transferring these skills to students through explicit instruction. Consistent findings were reported by Rey</w:t>
      </w:r>
      <w:r w:rsidR="006B2A51">
        <w:t xml:space="preserve"> </w:t>
      </w:r>
      <w:r w:rsidRPr="00876FAF">
        <w:t>(2025), who noted that educators’ proficiency in prompt engineering facilitated the effective use of GenAI tools to support personalised learning and promote higher-order thinking.</w:t>
      </w:r>
    </w:p>
    <w:p w14:paraId="6F3E8504" w14:textId="28B346C5" w:rsidR="00AE7DAB" w:rsidRPr="00876FAF" w:rsidRDefault="00AE7DAB" w:rsidP="00DE2B54">
      <w:pPr>
        <w:rPr>
          <w:b/>
          <w:bCs/>
        </w:rPr>
      </w:pPr>
      <w:r w:rsidRPr="00876FAF">
        <w:rPr>
          <w:b/>
          <w:bCs/>
        </w:rPr>
        <w:t>Challenges for the effective implementation of Prompt Engineering</w:t>
      </w:r>
    </w:p>
    <w:p w14:paraId="47E66030" w14:textId="7DC1708B" w:rsidR="00876FAF" w:rsidRPr="00876FAF" w:rsidRDefault="00876FAF" w:rsidP="00876FAF">
      <w:r w:rsidRPr="00876FAF">
        <w:t>Despite the</w:t>
      </w:r>
      <w:r>
        <w:t xml:space="preserve"> </w:t>
      </w:r>
      <w:r w:rsidRPr="00876FAF">
        <w:t>benefits</w:t>
      </w:r>
      <w:r>
        <w:t xml:space="preserve"> of effective prompt engineering</w:t>
      </w:r>
      <w:r w:rsidRPr="00876FAF">
        <w:t>, the literature also identified several challenges associated with the implementation of prompt engineering in K–12 schools. A key concern is the limited availability of professional development opportunities for teachers. Multiple studies reported that the majority of K–12 teachers lack formal training in prompt engineering, which constrains their ability to guide students in the effective and ethical use of GenAI tools (Ali et al., 2023; Arrington et al., 2025; Prathigadapa et al., 2025). Closely related to this issue is the lack of institutional resources and support, which limits schools’ capacity to implement structured prompt instruction (Park &amp; Cho, 2024).</w:t>
      </w:r>
    </w:p>
    <w:p w14:paraId="7D28CA37" w14:textId="4B93412C" w:rsidR="009A0DB2" w:rsidRDefault="00876FAF" w:rsidP="0074156D">
      <w:r w:rsidRPr="00876FAF">
        <w:t>Additional concerns highlighted in the literature include the potential for over-reliance on GenAI tools, which may negatively affect students’ cognitive development if not carefully mediated by teachers (</w:t>
      </w:r>
      <w:r w:rsidR="00063880" w:rsidRPr="00063880">
        <w:t xml:space="preserve">Miao &amp; </w:t>
      </w:r>
      <w:proofErr w:type="spellStart"/>
      <w:r w:rsidR="00063880" w:rsidRPr="00063880">
        <w:t>Shiohira</w:t>
      </w:r>
      <w:proofErr w:type="spellEnd"/>
      <w:r w:rsidR="00063880" w:rsidRPr="00063880">
        <w:t>, 2024</w:t>
      </w:r>
      <w:r w:rsidR="00063880">
        <w:t xml:space="preserve">; </w:t>
      </w:r>
      <w:r w:rsidRPr="00876FAF">
        <w:t>Heston et al., 2023). Furthermore, issues related to biased outputs, data accuracy, and copyright infringement were identified as ongoing risks associated with GenAI use, underscoring the need for critical evaluation and ethical guidance when teaching prompt engineering (Dimeli et al., 2025).</w:t>
      </w:r>
    </w:p>
    <w:p w14:paraId="7112FE06" w14:textId="36F288E2" w:rsidR="00317A7D" w:rsidRDefault="00317A7D" w:rsidP="0074156D">
      <w:r>
        <w:t xml:space="preserve">Table 3: Summary of Included Studies </w:t>
      </w:r>
    </w:p>
    <w:tbl>
      <w:tblPr>
        <w:tblW w:w="10206" w:type="dxa"/>
        <w:jc w:val="center"/>
        <w:tblLook w:val="04A0" w:firstRow="1" w:lastRow="0" w:firstColumn="1" w:lastColumn="0" w:noHBand="0" w:noVBand="1"/>
      </w:tblPr>
      <w:tblGrid>
        <w:gridCol w:w="399"/>
        <w:gridCol w:w="1131"/>
        <w:gridCol w:w="581"/>
        <w:gridCol w:w="1367"/>
        <w:gridCol w:w="1440"/>
        <w:gridCol w:w="1935"/>
        <w:gridCol w:w="3353"/>
      </w:tblGrid>
      <w:tr w:rsidR="00312BE1" w:rsidRPr="00312BE1" w14:paraId="4A0B09C3" w14:textId="77777777" w:rsidTr="00312BE1">
        <w:trPr>
          <w:trHeight w:val="277"/>
          <w:jc w:val="center"/>
        </w:trPr>
        <w:tc>
          <w:tcPr>
            <w:tcW w:w="337" w:type="dxa"/>
            <w:tcBorders>
              <w:top w:val="single" w:sz="4" w:space="0" w:color="auto"/>
              <w:left w:val="single" w:sz="4" w:space="0" w:color="auto"/>
              <w:bottom w:val="single" w:sz="4" w:space="0" w:color="auto"/>
              <w:right w:val="single" w:sz="4" w:space="0" w:color="auto"/>
            </w:tcBorders>
            <w:vAlign w:val="center"/>
            <w:hideMark/>
          </w:tcPr>
          <w:p w14:paraId="1ABC31B2"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w:t>
            </w:r>
          </w:p>
        </w:tc>
        <w:tc>
          <w:tcPr>
            <w:tcW w:w="1139" w:type="dxa"/>
            <w:tcBorders>
              <w:top w:val="single" w:sz="4" w:space="0" w:color="auto"/>
              <w:left w:val="nil"/>
              <w:bottom w:val="single" w:sz="4" w:space="0" w:color="auto"/>
              <w:right w:val="single" w:sz="4" w:space="0" w:color="auto"/>
            </w:tcBorders>
            <w:vAlign w:val="center"/>
            <w:hideMark/>
          </w:tcPr>
          <w:p w14:paraId="40CB43FE"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Author(s)</w:t>
            </w:r>
          </w:p>
        </w:tc>
        <w:tc>
          <w:tcPr>
            <w:tcW w:w="490" w:type="dxa"/>
            <w:tcBorders>
              <w:top w:val="single" w:sz="4" w:space="0" w:color="auto"/>
              <w:left w:val="nil"/>
              <w:bottom w:val="single" w:sz="4" w:space="0" w:color="auto"/>
              <w:right w:val="single" w:sz="4" w:space="0" w:color="auto"/>
            </w:tcBorders>
            <w:vAlign w:val="center"/>
            <w:hideMark/>
          </w:tcPr>
          <w:p w14:paraId="50FC484E"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Year</w:t>
            </w:r>
          </w:p>
        </w:tc>
        <w:tc>
          <w:tcPr>
            <w:tcW w:w="1385" w:type="dxa"/>
            <w:tcBorders>
              <w:top w:val="single" w:sz="4" w:space="0" w:color="auto"/>
              <w:left w:val="nil"/>
              <w:bottom w:val="single" w:sz="4" w:space="0" w:color="auto"/>
              <w:right w:val="single" w:sz="4" w:space="0" w:color="auto"/>
            </w:tcBorders>
            <w:vAlign w:val="center"/>
            <w:hideMark/>
          </w:tcPr>
          <w:p w14:paraId="796EBACA"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Country / Region</w:t>
            </w:r>
          </w:p>
        </w:tc>
        <w:tc>
          <w:tcPr>
            <w:tcW w:w="1454" w:type="dxa"/>
            <w:tcBorders>
              <w:top w:val="single" w:sz="4" w:space="0" w:color="auto"/>
              <w:left w:val="nil"/>
              <w:bottom w:val="single" w:sz="4" w:space="0" w:color="auto"/>
              <w:right w:val="single" w:sz="4" w:space="0" w:color="auto"/>
            </w:tcBorders>
            <w:vAlign w:val="center"/>
            <w:hideMark/>
          </w:tcPr>
          <w:p w14:paraId="2800CB26"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Educational Level</w:t>
            </w:r>
          </w:p>
        </w:tc>
        <w:tc>
          <w:tcPr>
            <w:tcW w:w="1966" w:type="dxa"/>
            <w:tcBorders>
              <w:top w:val="single" w:sz="4" w:space="0" w:color="auto"/>
              <w:left w:val="nil"/>
              <w:bottom w:val="single" w:sz="4" w:space="0" w:color="auto"/>
              <w:right w:val="single" w:sz="4" w:space="0" w:color="auto"/>
            </w:tcBorders>
            <w:vAlign w:val="center"/>
            <w:hideMark/>
          </w:tcPr>
          <w:p w14:paraId="417E3CB5"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Study Design</w:t>
            </w:r>
          </w:p>
        </w:tc>
        <w:tc>
          <w:tcPr>
            <w:tcW w:w="3435" w:type="dxa"/>
            <w:tcBorders>
              <w:top w:val="single" w:sz="4" w:space="0" w:color="auto"/>
              <w:left w:val="nil"/>
              <w:bottom w:val="single" w:sz="4" w:space="0" w:color="auto"/>
              <w:right w:val="single" w:sz="4" w:space="0" w:color="auto"/>
            </w:tcBorders>
            <w:vAlign w:val="center"/>
            <w:hideMark/>
          </w:tcPr>
          <w:p w14:paraId="22EBC5AC" w14:textId="77777777" w:rsidR="00312BE1" w:rsidRPr="00312BE1" w:rsidRDefault="00312BE1" w:rsidP="00312BE1">
            <w:pPr>
              <w:spacing w:after="0" w:line="240" w:lineRule="auto"/>
              <w:jc w:val="center"/>
              <w:rPr>
                <w:rFonts w:ascii="Calibri" w:eastAsia="Times New Roman" w:hAnsi="Calibri" w:cs="Calibri"/>
                <w:b/>
                <w:bCs/>
                <w:color w:val="000000"/>
                <w:kern w:val="0"/>
                <w:sz w:val="18"/>
                <w:szCs w:val="18"/>
                <w:lang w:eastAsia="en-GB"/>
                <w14:ligatures w14:val="none"/>
              </w:rPr>
            </w:pPr>
            <w:r w:rsidRPr="00312BE1">
              <w:rPr>
                <w:rFonts w:ascii="Calibri" w:eastAsia="Times New Roman" w:hAnsi="Calibri" w:cs="Calibri"/>
                <w:b/>
                <w:bCs/>
                <w:color w:val="000000"/>
                <w:kern w:val="0"/>
                <w:sz w:val="18"/>
                <w:szCs w:val="18"/>
                <w:lang w:eastAsia="en-GB"/>
                <w14:ligatures w14:val="none"/>
              </w:rPr>
              <w:t>Summarised Key Findings</w:t>
            </w:r>
          </w:p>
        </w:tc>
      </w:tr>
      <w:tr w:rsidR="00312BE1" w:rsidRPr="00312BE1" w14:paraId="63F3DC5E"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2482531C"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lastRenderedPageBreak/>
              <w:t>1</w:t>
            </w:r>
          </w:p>
        </w:tc>
        <w:tc>
          <w:tcPr>
            <w:tcW w:w="1139" w:type="dxa"/>
            <w:tcBorders>
              <w:top w:val="nil"/>
              <w:left w:val="nil"/>
              <w:bottom w:val="single" w:sz="4" w:space="0" w:color="auto"/>
              <w:right w:val="single" w:sz="4" w:space="0" w:color="auto"/>
            </w:tcBorders>
            <w:vAlign w:val="center"/>
            <w:hideMark/>
          </w:tcPr>
          <w:p w14:paraId="36BB27C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Ali et al.</w:t>
            </w:r>
          </w:p>
        </w:tc>
        <w:tc>
          <w:tcPr>
            <w:tcW w:w="490" w:type="dxa"/>
            <w:tcBorders>
              <w:top w:val="nil"/>
              <w:left w:val="nil"/>
              <w:bottom w:val="single" w:sz="4" w:space="0" w:color="auto"/>
              <w:right w:val="single" w:sz="4" w:space="0" w:color="auto"/>
            </w:tcBorders>
            <w:vAlign w:val="center"/>
            <w:hideMark/>
          </w:tcPr>
          <w:p w14:paraId="44F19F29"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0473C5A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Singapore</w:t>
            </w:r>
          </w:p>
        </w:tc>
        <w:tc>
          <w:tcPr>
            <w:tcW w:w="1454" w:type="dxa"/>
            <w:tcBorders>
              <w:top w:val="nil"/>
              <w:left w:val="nil"/>
              <w:bottom w:val="single" w:sz="4" w:space="0" w:color="auto"/>
              <w:right w:val="single" w:sz="4" w:space="0" w:color="auto"/>
            </w:tcBorders>
            <w:vAlign w:val="center"/>
            <w:hideMark/>
          </w:tcPr>
          <w:p w14:paraId="6871943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6850F7C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Experimental</w:t>
            </w:r>
          </w:p>
        </w:tc>
        <w:tc>
          <w:tcPr>
            <w:tcW w:w="3435" w:type="dxa"/>
            <w:tcBorders>
              <w:top w:val="nil"/>
              <w:left w:val="nil"/>
              <w:bottom w:val="single" w:sz="4" w:space="0" w:color="auto"/>
              <w:right w:val="single" w:sz="4" w:space="0" w:color="auto"/>
            </w:tcBorders>
            <w:vAlign w:val="center"/>
            <w:hideMark/>
          </w:tcPr>
          <w:p w14:paraId="053F2ED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Teacher-guided GenAI use supports personalised learning and student self-assessment.</w:t>
            </w:r>
          </w:p>
        </w:tc>
      </w:tr>
      <w:tr w:rsidR="00312BE1" w:rsidRPr="00312BE1" w14:paraId="4C79532D"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1D59F730"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w:t>
            </w:r>
          </w:p>
        </w:tc>
        <w:tc>
          <w:tcPr>
            <w:tcW w:w="1139" w:type="dxa"/>
            <w:tcBorders>
              <w:top w:val="nil"/>
              <w:left w:val="nil"/>
              <w:bottom w:val="single" w:sz="4" w:space="0" w:color="auto"/>
              <w:right w:val="single" w:sz="4" w:space="0" w:color="auto"/>
            </w:tcBorders>
            <w:vAlign w:val="center"/>
            <w:hideMark/>
          </w:tcPr>
          <w:p w14:paraId="1F6CBBA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Arrington et al.</w:t>
            </w:r>
          </w:p>
        </w:tc>
        <w:tc>
          <w:tcPr>
            <w:tcW w:w="490" w:type="dxa"/>
            <w:tcBorders>
              <w:top w:val="nil"/>
              <w:left w:val="nil"/>
              <w:bottom w:val="single" w:sz="4" w:space="0" w:color="auto"/>
              <w:right w:val="single" w:sz="4" w:space="0" w:color="auto"/>
            </w:tcBorders>
            <w:vAlign w:val="center"/>
            <w:hideMark/>
          </w:tcPr>
          <w:p w14:paraId="296735D5"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7788E925"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5A65163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Middle School</w:t>
            </w:r>
          </w:p>
        </w:tc>
        <w:tc>
          <w:tcPr>
            <w:tcW w:w="1966" w:type="dxa"/>
            <w:tcBorders>
              <w:top w:val="nil"/>
              <w:left w:val="nil"/>
              <w:bottom w:val="single" w:sz="4" w:space="0" w:color="auto"/>
              <w:right w:val="single" w:sz="4" w:space="0" w:color="auto"/>
            </w:tcBorders>
            <w:vAlign w:val="center"/>
            <w:hideMark/>
          </w:tcPr>
          <w:p w14:paraId="7311496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Experimental</w:t>
            </w:r>
          </w:p>
        </w:tc>
        <w:tc>
          <w:tcPr>
            <w:tcW w:w="3435" w:type="dxa"/>
            <w:tcBorders>
              <w:top w:val="nil"/>
              <w:left w:val="nil"/>
              <w:bottom w:val="single" w:sz="4" w:space="0" w:color="auto"/>
              <w:right w:val="single" w:sz="4" w:space="0" w:color="auto"/>
            </w:tcBorders>
            <w:vAlign w:val="center"/>
            <w:hideMark/>
          </w:tcPr>
          <w:p w14:paraId="793A4BC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enhances technology integration, teacher practices, and learning experiences.</w:t>
            </w:r>
          </w:p>
        </w:tc>
      </w:tr>
      <w:tr w:rsidR="00312BE1" w:rsidRPr="00312BE1" w14:paraId="0D1193BD"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6578CF5F"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3</w:t>
            </w:r>
          </w:p>
        </w:tc>
        <w:tc>
          <w:tcPr>
            <w:tcW w:w="1139" w:type="dxa"/>
            <w:tcBorders>
              <w:top w:val="nil"/>
              <w:left w:val="nil"/>
              <w:bottom w:val="single" w:sz="4" w:space="0" w:color="auto"/>
              <w:right w:val="single" w:sz="4" w:space="0" w:color="auto"/>
            </w:tcBorders>
            <w:vAlign w:val="center"/>
            <w:hideMark/>
          </w:tcPr>
          <w:p w14:paraId="66B84A2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Cain</w:t>
            </w:r>
          </w:p>
        </w:tc>
        <w:tc>
          <w:tcPr>
            <w:tcW w:w="490" w:type="dxa"/>
            <w:tcBorders>
              <w:top w:val="nil"/>
              <w:left w:val="nil"/>
              <w:bottom w:val="single" w:sz="4" w:space="0" w:color="auto"/>
              <w:right w:val="single" w:sz="4" w:space="0" w:color="auto"/>
            </w:tcBorders>
            <w:vAlign w:val="center"/>
            <w:hideMark/>
          </w:tcPr>
          <w:p w14:paraId="470271F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43DA235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228A6C9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3374A83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1D66D54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The CCI prompt model improves student engagement and learning skills.</w:t>
            </w:r>
          </w:p>
        </w:tc>
      </w:tr>
      <w:tr w:rsidR="00312BE1" w:rsidRPr="00312BE1" w14:paraId="58B02627"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65D65F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4</w:t>
            </w:r>
          </w:p>
        </w:tc>
        <w:tc>
          <w:tcPr>
            <w:tcW w:w="1139" w:type="dxa"/>
            <w:tcBorders>
              <w:top w:val="nil"/>
              <w:left w:val="nil"/>
              <w:bottom w:val="single" w:sz="4" w:space="0" w:color="auto"/>
              <w:right w:val="single" w:sz="4" w:space="0" w:color="auto"/>
            </w:tcBorders>
            <w:vAlign w:val="center"/>
            <w:hideMark/>
          </w:tcPr>
          <w:p w14:paraId="781CB5C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Dimeli &amp; Kostas</w:t>
            </w:r>
          </w:p>
        </w:tc>
        <w:tc>
          <w:tcPr>
            <w:tcW w:w="490" w:type="dxa"/>
            <w:tcBorders>
              <w:top w:val="nil"/>
              <w:left w:val="nil"/>
              <w:bottom w:val="single" w:sz="4" w:space="0" w:color="auto"/>
              <w:right w:val="single" w:sz="4" w:space="0" w:color="auto"/>
            </w:tcBorders>
            <w:vAlign w:val="center"/>
            <w:hideMark/>
          </w:tcPr>
          <w:p w14:paraId="00775F0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7E8461A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37A26D8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 &amp; Higher Education</w:t>
            </w:r>
          </w:p>
        </w:tc>
        <w:tc>
          <w:tcPr>
            <w:tcW w:w="1966" w:type="dxa"/>
            <w:tcBorders>
              <w:top w:val="nil"/>
              <w:left w:val="nil"/>
              <w:bottom w:val="single" w:sz="4" w:space="0" w:color="auto"/>
              <w:right w:val="single" w:sz="4" w:space="0" w:color="auto"/>
            </w:tcBorders>
            <w:vAlign w:val="center"/>
            <w:hideMark/>
          </w:tcPr>
          <w:p w14:paraId="6D4FB13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w:t>
            </w:r>
          </w:p>
        </w:tc>
        <w:tc>
          <w:tcPr>
            <w:tcW w:w="3435" w:type="dxa"/>
            <w:tcBorders>
              <w:top w:val="nil"/>
              <w:left w:val="nil"/>
              <w:bottom w:val="single" w:sz="4" w:space="0" w:color="auto"/>
              <w:right w:val="single" w:sz="4" w:space="0" w:color="auto"/>
            </w:tcBorders>
            <w:vAlign w:val="center"/>
            <w:hideMark/>
          </w:tcPr>
          <w:p w14:paraId="254EBCD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enables effective and responsible implementation of GenAI models.</w:t>
            </w:r>
          </w:p>
        </w:tc>
      </w:tr>
      <w:tr w:rsidR="00312BE1" w:rsidRPr="00312BE1" w14:paraId="34BFD053"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8B4850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5</w:t>
            </w:r>
          </w:p>
        </w:tc>
        <w:tc>
          <w:tcPr>
            <w:tcW w:w="1139" w:type="dxa"/>
            <w:tcBorders>
              <w:top w:val="nil"/>
              <w:left w:val="nil"/>
              <w:bottom w:val="single" w:sz="4" w:space="0" w:color="auto"/>
              <w:right w:val="single" w:sz="4" w:space="0" w:color="auto"/>
            </w:tcBorders>
            <w:vAlign w:val="center"/>
            <w:hideMark/>
          </w:tcPr>
          <w:p w14:paraId="406035B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Google Education</w:t>
            </w:r>
          </w:p>
        </w:tc>
        <w:tc>
          <w:tcPr>
            <w:tcW w:w="490" w:type="dxa"/>
            <w:tcBorders>
              <w:top w:val="nil"/>
              <w:left w:val="nil"/>
              <w:bottom w:val="single" w:sz="4" w:space="0" w:color="auto"/>
              <w:right w:val="single" w:sz="4" w:space="0" w:color="auto"/>
            </w:tcBorders>
            <w:vAlign w:val="center"/>
            <w:hideMark/>
          </w:tcPr>
          <w:p w14:paraId="45FA3F3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2C57291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26D065F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23E3C1C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w:t>
            </w:r>
          </w:p>
        </w:tc>
        <w:tc>
          <w:tcPr>
            <w:tcW w:w="3435" w:type="dxa"/>
            <w:tcBorders>
              <w:top w:val="nil"/>
              <w:left w:val="nil"/>
              <w:bottom w:val="single" w:sz="4" w:space="0" w:color="auto"/>
              <w:right w:val="single" w:sz="4" w:space="0" w:color="auto"/>
            </w:tcBorders>
            <w:vAlign w:val="center"/>
            <w:hideMark/>
          </w:tcPr>
          <w:p w14:paraId="738E4A2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Introduced the TCREI model to guide effective prompt engineering practices.</w:t>
            </w:r>
          </w:p>
        </w:tc>
      </w:tr>
      <w:tr w:rsidR="00312BE1" w:rsidRPr="00312BE1" w14:paraId="18264C95"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3DA7DA4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6</w:t>
            </w:r>
          </w:p>
        </w:tc>
        <w:tc>
          <w:tcPr>
            <w:tcW w:w="1139" w:type="dxa"/>
            <w:tcBorders>
              <w:top w:val="nil"/>
              <w:left w:val="nil"/>
              <w:bottom w:val="single" w:sz="4" w:space="0" w:color="auto"/>
              <w:right w:val="single" w:sz="4" w:space="0" w:color="auto"/>
            </w:tcBorders>
            <w:vAlign w:val="center"/>
            <w:hideMark/>
          </w:tcPr>
          <w:p w14:paraId="6B6E366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Guilbault et al.</w:t>
            </w:r>
          </w:p>
        </w:tc>
        <w:tc>
          <w:tcPr>
            <w:tcW w:w="490" w:type="dxa"/>
            <w:tcBorders>
              <w:top w:val="nil"/>
              <w:left w:val="nil"/>
              <w:bottom w:val="single" w:sz="4" w:space="0" w:color="auto"/>
              <w:right w:val="single" w:sz="4" w:space="0" w:color="auto"/>
            </w:tcBorders>
            <w:vAlign w:val="center"/>
            <w:hideMark/>
          </w:tcPr>
          <w:p w14:paraId="7E2AE2DD"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4E4E2E7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2858B67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Secondary</w:t>
            </w:r>
          </w:p>
        </w:tc>
        <w:tc>
          <w:tcPr>
            <w:tcW w:w="1966" w:type="dxa"/>
            <w:tcBorders>
              <w:top w:val="nil"/>
              <w:left w:val="nil"/>
              <w:bottom w:val="single" w:sz="4" w:space="0" w:color="auto"/>
              <w:right w:val="single" w:sz="4" w:space="0" w:color="auto"/>
            </w:tcBorders>
            <w:vAlign w:val="center"/>
            <w:hideMark/>
          </w:tcPr>
          <w:p w14:paraId="6E5DA28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Experimental</w:t>
            </w:r>
          </w:p>
        </w:tc>
        <w:tc>
          <w:tcPr>
            <w:tcW w:w="3435" w:type="dxa"/>
            <w:tcBorders>
              <w:top w:val="nil"/>
              <w:left w:val="nil"/>
              <w:bottom w:val="single" w:sz="4" w:space="0" w:color="auto"/>
              <w:right w:val="single" w:sz="4" w:space="0" w:color="auto"/>
            </w:tcBorders>
            <w:vAlign w:val="center"/>
            <w:hideMark/>
          </w:tcPr>
          <w:p w14:paraId="19316CC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promotes critical thinking, reflective learning, and mentorship.</w:t>
            </w:r>
          </w:p>
        </w:tc>
      </w:tr>
      <w:tr w:rsidR="00312BE1" w:rsidRPr="00312BE1" w14:paraId="32D9ED84"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1054BE8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7</w:t>
            </w:r>
          </w:p>
        </w:tc>
        <w:tc>
          <w:tcPr>
            <w:tcW w:w="1139" w:type="dxa"/>
            <w:tcBorders>
              <w:top w:val="nil"/>
              <w:left w:val="nil"/>
              <w:bottom w:val="single" w:sz="4" w:space="0" w:color="auto"/>
              <w:right w:val="single" w:sz="4" w:space="0" w:color="auto"/>
            </w:tcBorders>
            <w:vAlign w:val="center"/>
            <w:hideMark/>
          </w:tcPr>
          <w:p w14:paraId="1E1D348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Hadi et al.</w:t>
            </w:r>
          </w:p>
        </w:tc>
        <w:tc>
          <w:tcPr>
            <w:tcW w:w="490" w:type="dxa"/>
            <w:tcBorders>
              <w:top w:val="nil"/>
              <w:left w:val="nil"/>
              <w:bottom w:val="single" w:sz="4" w:space="0" w:color="auto"/>
              <w:right w:val="single" w:sz="4" w:space="0" w:color="auto"/>
            </w:tcBorders>
            <w:vAlign w:val="center"/>
            <w:hideMark/>
          </w:tcPr>
          <w:p w14:paraId="6175EF5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046AFE6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17AF42B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N/A</w:t>
            </w:r>
          </w:p>
        </w:tc>
        <w:tc>
          <w:tcPr>
            <w:tcW w:w="1966" w:type="dxa"/>
            <w:tcBorders>
              <w:top w:val="nil"/>
              <w:left w:val="nil"/>
              <w:bottom w:val="single" w:sz="4" w:space="0" w:color="auto"/>
              <w:right w:val="single" w:sz="4" w:space="0" w:color="auto"/>
            </w:tcBorders>
            <w:vAlign w:val="center"/>
            <w:hideMark/>
          </w:tcPr>
          <w:p w14:paraId="399F12E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Survey</w:t>
            </w:r>
          </w:p>
        </w:tc>
        <w:tc>
          <w:tcPr>
            <w:tcW w:w="3435" w:type="dxa"/>
            <w:tcBorders>
              <w:top w:val="nil"/>
              <w:left w:val="nil"/>
              <w:bottom w:val="single" w:sz="4" w:space="0" w:color="auto"/>
              <w:right w:val="single" w:sz="4" w:space="0" w:color="auto"/>
            </w:tcBorders>
            <w:vAlign w:val="center"/>
            <w:hideMark/>
          </w:tcPr>
          <w:p w14:paraId="26A569D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Clear, specific, and contextual prompts lead to more reliable GenAI outputs.</w:t>
            </w:r>
          </w:p>
        </w:tc>
      </w:tr>
      <w:tr w:rsidR="00312BE1" w:rsidRPr="00312BE1" w14:paraId="7B2CEB05"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6D79B253"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8</w:t>
            </w:r>
          </w:p>
        </w:tc>
        <w:tc>
          <w:tcPr>
            <w:tcW w:w="1139" w:type="dxa"/>
            <w:tcBorders>
              <w:top w:val="nil"/>
              <w:left w:val="nil"/>
              <w:bottom w:val="single" w:sz="4" w:space="0" w:color="auto"/>
              <w:right w:val="single" w:sz="4" w:space="0" w:color="auto"/>
            </w:tcBorders>
            <w:vAlign w:val="center"/>
            <w:hideMark/>
          </w:tcPr>
          <w:p w14:paraId="70BAFE0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Hays et al.</w:t>
            </w:r>
          </w:p>
        </w:tc>
        <w:tc>
          <w:tcPr>
            <w:tcW w:w="490" w:type="dxa"/>
            <w:tcBorders>
              <w:top w:val="nil"/>
              <w:left w:val="nil"/>
              <w:bottom w:val="single" w:sz="4" w:space="0" w:color="auto"/>
              <w:right w:val="single" w:sz="4" w:space="0" w:color="auto"/>
            </w:tcBorders>
            <w:vAlign w:val="center"/>
            <w:hideMark/>
          </w:tcPr>
          <w:p w14:paraId="50B057B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1820F29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4307B47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19A4289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Survey</w:t>
            </w:r>
          </w:p>
        </w:tc>
        <w:tc>
          <w:tcPr>
            <w:tcW w:w="3435" w:type="dxa"/>
            <w:tcBorders>
              <w:top w:val="nil"/>
              <w:left w:val="nil"/>
              <w:bottom w:val="single" w:sz="4" w:space="0" w:color="auto"/>
              <w:right w:val="single" w:sz="4" w:space="0" w:color="auto"/>
            </w:tcBorders>
            <w:vAlign w:val="center"/>
            <w:hideMark/>
          </w:tcPr>
          <w:p w14:paraId="49B68C3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Professional development in prompt engineering increases teacher confidence and instructional capacity.</w:t>
            </w:r>
          </w:p>
        </w:tc>
      </w:tr>
      <w:tr w:rsidR="00312BE1" w:rsidRPr="00312BE1" w14:paraId="0E8C5240"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05411A01"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9</w:t>
            </w:r>
          </w:p>
        </w:tc>
        <w:tc>
          <w:tcPr>
            <w:tcW w:w="1139" w:type="dxa"/>
            <w:tcBorders>
              <w:top w:val="nil"/>
              <w:left w:val="nil"/>
              <w:bottom w:val="single" w:sz="4" w:space="0" w:color="auto"/>
              <w:right w:val="single" w:sz="4" w:space="0" w:color="auto"/>
            </w:tcBorders>
            <w:vAlign w:val="center"/>
            <w:hideMark/>
          </w:tcPr>
          <w:p w14:paraId="2D8F3D2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Heston et al.</w:t>
            </w:r>
          </w:p>
        </w:tc>
        <w:tc>
          <w:tcPr>
            <w:tcW w:w="490" w:type="dxa"/>
            <w:tcBorders>
              <w:top w:val="nil"/>
              <w:left w:val="nil"/>
              <w:bottom w:val="single" w:sz="4" w:space="0" w:color="auto"/>
              <w:right w:val="single" w:sz="4" w:space="0" w:color="auto"/>
            </w:tcBorders>
            <w:vAlign w:val="center"/>
            <w:hideMark/>
          </w:tcPr>
          <w:p w14:paraId="6B29E21F"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40D4C11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3D014722"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Secondary &amp; Higher Education</w:t>
            </w:r>
          </w:p>
        </w:tc>
        <w:tc>
          <w:tcPr>
            <w:tcW w:w="1966" w:type="dxa"/>
            <w:tcBorders>
              <w:top w:val="nil"/>
              <w:left w:val="nil"/>
              <w:bottom w:val="single" w:sz="4" w:space="0" w:color="auto"/>
              <w:right w:val="single" w:sz="4" w:space="0" w:color="auto"/>
            </w:tcBorders>
            <w:vAlign w:val="center"/>
            <w:hideMark/>
          </w:tcPr>
          <w:p w14:paraId="7512B5C5"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Review</w:t>
            </w:r>
          </w:p>
        </w:tc>
        <w:tc>
          <w:tcPr>
            <w:tcW w:w="3435" w:type="dxa"/>
            <w:tcBorders>
              <w:top w:val="nil"/>
              <w:left w:val="nil"/>
              <w:bottom w:val="single" w:sz="4" w:space="0" w:color="auto"/>
              <w:right w:val="single" w:sz="4" w:space="0" w:color="auto"/>
            </w:tcBorders>
            <w:vAlign w:val="center"/>
            <w:hideMark/>
          </w:tcPr>
          <w:p w14:paraId="69D43F4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Prompt engineering reduces bias and mitigates academic dishonesty.</w:t>
            </w:r>
          </w:p>
        </w:tc>
      </w:tr>
      <w:tr w:rsidR="00312BE1" w:rsidRPr="00312BE1" w14:paraId="7684C0FE"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383C115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10</w:t>
            </w:r>
          </w:p>
        </w:tc>
        <w:tc>
          <w:tcPr>
            <w:tcW w:w="1139" w:type="dxa"/>
            <w:tcBorders>
              <w:top w:val="nil"/>
              <w:left w:val="nil"/>
              <w:bottom w:val="single" w:sz="4" w:space="0" w:color="auto"/>
              <w:right w:val="single" w:sz="4" w:space="0" w:color="auto"/>
            </w:tcBorders>
            <w:vAlign w:val="center"/>
            <w:hideMark/>
          </w:tcPr>
          <w:p w14:paraId="73729B0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Hsu</w:t>
            </w:r>
          </w:p>
        </w:tc>
        <w:tc>
          <w:tcPr>
            <w:tcW w:w="490" w:type="dxa"/>
            <w:tcBorders>
              <w:top w:val="nil"/>
              <w:left w:val="nil"/>
              <w:bottom w:val="single" w:sz="4" w:space="0" w:color="auto"/>
              <w:right w:val="single" w:sz="4" w:space="0" w:color="auto"/>
            </w:tcBorders>
            <w:vAlign w:val="center"/>
            <w:hideMark/>
          </w:tcPr>
          <w:p w14:paraId="0EB387D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186EDA1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Ireland</w:t>
            </w:r>
          </w:p>
        </w:tc>
        <w:tc>
          <w:tcPr>
            <w:tcW w:w="1454" w:type="dxa"/>
            <w:tcBorders>
              <w:top w:val="nil"/>
              <w:left w:val="nil"/>
              <w:bottom w:val="single" w:sz="4" w:space="0" w:color="auto"/>
              <w:right w:val="single" w:sz="4" w:space="0" w:color="auto"/>
            </w:tcBorders>
            <w:vAlign w:val="center"/>
            <w:hideMark/>
          </w:tcPr>
          <w:p w14:paraId="6FB234F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 &amp; Higher Education</w:t>
            </w:r>
          </w:p>
        </w:tc>
        <w:tc>
          <w:tcPr>
            <w:tcW w:w="1966" w:type="dxa"/>
            <w:tcBorders>
              <w:top w:val="nil"/>
              <w:left w:val="nil"/>
              <w:bottom w:val="single" w:sz="4" w:space="0" w:color="auto"/>
              <w:right w:val="single" w:sz="4" w:space="0" w:color="auto"/>
            </w:tcBorders>
            <w:vAlign w:val="center"/>
            <w:hideMark/>
          </w:tcPr>
          <w:p w14:paraId="22A5FA6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5484678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Structured prompting frameworks improve digital literacy and critical thinking.</w:t>
            </w:r>
          </w:p>
        </w:tc>
      </w:tr>
      <w:tr w:rsidR="00312BE1" w:rsidRPr="00312BE1" w14:paraId="45478FE5"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5DECC263"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11</w:t>
            </w:r>
          </w:p>
        </w:tc>
        <w:tc>
          <w:tcPr>
            <w:tcW w:w="1139" w:type="dxa"/>
            <w:tcBorders>
              <w:top w:val="nil"/>
              <w:left w:val="nil"/>
              <w:bottom w:val="single" w:sz="4" w:space="0" w:color="auto"/>
              <w:right w:val="single" w:sz="4" w:space="0" w:color="auto"/>
            </w:tcBorders>
            <w:vAlign w:val="center"/>
            <w:hideMark/>
          </w:tcPr>
          <w:p w14:paraId="5EEA426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Lo</w:t>
            </w:r>
          </w:p>
        </w:tc>
        <w:tc>
          <w:tcPr>
            <w:tcW w:w="490" w:type="dxa"/>
            <w:tcBorders>
              <w:top w:val="nil"/>
              <w:left w:val="nil"/>
              <w:bottom w:val="single" w:sz="4" w:space="0" w:color="auto"/>
              <w:right w:val="single" w:sz="4" w:space="0" w:color="auto"/>
            </w:tcBorders>
            <w:vAlign w:val="center"/>
            <w:hideMark/>
          </w:tcPr>
          <w:p w14:paraId="5C016B1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3D7621C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77F9BF2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432642E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2DE1AA1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Developed the CLEAR framework for effective and ethical prompting.</w:t>
            </w:r>
          </w:p>
        </w:tc>
      </w:tr>
      <w:tr w:rsidR="00312BE1" w:rsidRPr="00312BE1" w14:paraId="2D3CB5EA"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656825F9"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12</w:t>
            </w:r>
          </w:p>
        </w:tc>
        <w:tc>
          <w:tcPr>
            <w:tcW w:w="1139" w:type="dxa"/>
            <w:tcBorders>
              <w:top w:val="nil"/>
              <w:left w:val="nil"/>
              <w:bottom w:val="single" w:sz="4" w:space="0" w:color="auto"/>
              <w:right w:val="single" w:sz="4" w:space="0" w:color="auto"/>
            </w:tcBorders>
            <w:vAlign w:val="center"/>
            <w:hideMark/>
          </w:tcPr>
          <w:p w14:paraId="67859CD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Mesko</w:t>
            </w:r>
          </w:p>
        </w:tc>
        <w:tc>
          <w:tcPr>
            <w:tcW w:w="490" w:type="dxa"/>
            <w:tcBorders>
              <w:top w:val="nil"/>
              <w:left w:val="nil"/>
              <w:bottom w:val="single" w:sz="4" w:space="0" w:color="auto"/>
              <w:right w:val="single" w:sz="4" w:space="0" w:color="auto"/>
            </w:tcBorders>
            <w:vAlign w:val="center"/>
            <w:hideMark/>
          </w:tcPr>
          <w:p w14:paraId="0BDFE192"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26DD474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Hungary</w:t>
            </w:r>
          </w:p>
        </w:tc>
        <w:tc>
          <w:tcPr>
            <w:tcW w:w="1454" w:type="dxa"/>
            <w:tcBorders>
              <w:top w:val="nil"/>
              <w:left w:val="nil"/>
              <w:bottom w:val="single" w:sz="4" w:space="0" w:color="auto"/>
              <w:right w:val="single" w:sz="4" w:space="0" w:color="auto"/>
            </w:tcBorders>
            <w:vAlign w:val="center"/>
            <w:hideMark/>
          </w:tcPr>
          <w:p w14:paraId="1203385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2095567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Qualitative</w:t>
            </w:r>
          </w:p>
        </w:tc>
        <w:tc>
          <w:tcPr>
            <w:tcW w:w="3435" w:type="dxa"/>
            <w:tcBorders>
              <w:top w:val="nil"/>
              <w:left w:val="nil"/>
              <w:bottom w:val="single" w:sz="4" w:space="0" w:color="auto"/>
              <w:right w:val="single" w:sz="4" w:space="0" w:color="auto"/>
            </w:tcBorders>
            <w:vAlign w:val="center"/>
            <w:hideMark/>
          </w:tcPr>
          <w:p w14:paraId="1C24076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Iterative, few-shot, and prompt-level techniques improve GenAI output quality.</w:t>
            </w:r>
          </w:p>
        </w:tc>
      </w:tr>
      <w:tr w:rsidR="00312BE1" w:rsidRPr="00312BE1" w14:paraId="78FF3D2D"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0D1B8E07"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13</w:t>
            </w:r>
          </w:p>
        </w:tc>
        <w:tc>
          <w:tcPr>
            <w:tcW w:w="1139" w:type="dxa"/>
            <w:tcBorders>
              <w:top w:val="nil"/>
              <w:left w:val="nil"/>
              <w:bottom w:val="single" w:sz="4" w:space="0" w:color="auto"/>
              <w:right w:val="single" w:sz="4" w:space="0" w:color="auto"/>
            </w:tcBorders>
            <w:vAlign w:val="center"/>
            <w:hideMark/>
          </w:tcPr>
          <w:p w14:paraId="752468F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Park &amp; Choo</w:t>
            </w:r>
          </w:p>
        </w:tc>
        <w:tc>
          <w:tcPr>
            <w:tcW w:w="490" w:type="dxa"/>
            <w:tcBorders>
              <w:top w:val="nil"/>
              <w:left w:val="nil"/>
              <w:bottom w:val="single" w:sz="4" w:space="0" w:color="auto"/>
              <w:right w:val="single" w:sz="4" w:space="0" w:color="auto"/>
            </w:tcBorders>
            <w:vAlign w:val="center"/>
            <w:hideMark/>
          </w:tcPr>
          <w:p w14:paraId="10DC0EC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652F6E3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67A3F4D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17F5CE0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Mixed Methods</w:t>
            </w:r>
          </w:p>
        </w:tc>
        <w:tc>
          <w:tcPr>
            <w:tcW w:w="3435" w:type="dxa"/>
            <w:tcBorders>
              <w:top w:val="nil"/>
              <w:left w:val="nil"/>
              <w:bottom w:val="single" w:sz="4" w:space="0" w:color="auto"/>
              <w:right w:val="single" w:sz="4" w:space="0" w:color="auto"/>
            </w:tcBorders>
            <w:vAlign w:val="center"/>
            <w:hideMark/>
          </w:tcPr>
          <w:p w14:paraId="4BEDB32A"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 prompt efficiency enhances instructional delivery and classroom productivity.</w:t>
            </w:r>
          </w:p>
        </w:tc>
      </w:tr>
      <w:tr w:rsidR="00312BE1" w:rsidRPr="00312BE1" w14:paraId="5F2901B3"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2DAEF44"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14</w:t>
            </w:r>
          </w:p>
        </w:tc>
        <w:tc>
          <w:tcPr>
            <w:tcW w:w="1139" w:type="dxa"/>
            <w:tcBorders>
              <w:top w:val="nil"/>
              <w:left w:val="nil"/>
              <w:bottom w:val="single" w:sz="4" w:space="0" w:color="auto"/>
              <w:right w:val="single" w:sz="4" w:space="0" w:color="auto"/>
            </w:tcBorders>
            <w:vAlign w:val="center"/>
            <w:hideMark/>
          </w:tcPr>
          <w:p w14:paraId="5419F0B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Park &amp; Kwon</w:t>
            </w:r>
          </w:p>
        </w:tc>
        <w:tc>
          <w:tcPr>
            <w:tcW w:w="490" w:type="dxa"/>
            <w:tcBorders>
              <w:top w:val="nil"/>
              <w:left w:val="nil"/>
              <w:bottom w:val="single" w:sz="4" w:space="0" w:color="auto"/>
              <w:right w:val="single" w:sz="4" w:space="0" w:color="auto"/>
            </w:tcBorders>
            <w:vAlign w:val="center"/>
            <w:hideMark/>
          </w:tcPr>
          <w:p w14:paraId="0234CE24"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3ED4E1E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South Korea</w:t>
            </w:r>
          </w:p>
        </w:tc>
        <w:tc>
          <w:tcPr>
            <w:tcW w:w="1454" w:type="dxa"/>
            <w:tcBorders>
              <w:top w:val="nil"/>
              <w:left w:val="nil"/>
              <w:bottom w:val="single" w:sz="4" w:space="0" w:color="auto"/>
              <w:right w:val="single" w:sz="4" w:space="0" w:color="auto"/>
            </w:tcBorders>
            <w:vAlign w:val="center"/>
            <w:hideMark/>
          </w:tcPr>
          <w:p w14:paraId="07EAC51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Middle School</w:t>
            </w:r>
          </w:p>
        </w:tc>
        <w:tc>
          <w:tcPr>
            <w:tcW w:w="1966" w:type="dxa"/>
            <w:tcBorders>
              <w:top w:val="nil"/>
              <w:left w:val="nil"/>
              <w:bottom w:val="single" w:sz="4" w:space="0" w:color="auto"/>
              <w:right w:val="single" w:sz="4" w:space="0" w:color="auto"/>
            </w:tcBorders>
            <w:vAlign w:val="center"/>
            <w:hideMark/>
          </w:tcPr>
          <w:p w14:paraId="5498DFD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Quasi-Experimental</w:t>
            </w:r>
          </w:p>
        </w:tc>
        <w:tc>
          <w:tcPr>
            <w:tcW w:w="3435" w:type="dxa"/>
            <w:tcBorders>
              <w:top w:val="nil"/>
              <w:left w:val="nil"/>
              <w:bottom w:val="single" w:sz="4" w:space="0" w:color="auto"/>
              <w:right w:val="single" w:sz="4" w:space="0" w:color="auto"/>
            </w:tcBorders>
            <w:vAlign w:val="center"/>
            <w:hideMark/>
          </w:tcPr>
          <w:p w14:paraId="07D05A6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Effective AI use supports improved technological education outcomes.</w:t>
            </w:r>
          </w:p>
        </w:tc>
      </w:tr>
      <w:tr w:rsidR="00312BE1" w:rsidRPr="00312BE1" w14:paraId="4A0CF4D1"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43331987"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15</w:t>
            </w:r>
          </w:p>
        </w:tc>
        <w:tc>
          <w:tcPr>
            <w:tcW w:w="1139" w:type="dxa"/>
            <w:tcBorders>
              <w:top w:val="nil"/>
              <w:left w:val="nil"/>
              <w:bottom w:val="single" w:sz="4" w:space="0" w:color="auto"/>
              <w:right w:val="single" w:sz="4" w:space="0" w:color="auto"/>
            </w:tcBorders>
            <w:vAlign w:val="center"/>
            <w:hideMark/>
          </w:tcPr>
          <w:p w14:paraId="1A67204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proofErr w:type="spellStart"/>
            <w:r w:rsidRPr="00312BE1">
              <w:rPr>
                <w:rFonts w:ascii="Calibri" w:eastAsia="Times New Roman" w:hAnsi="Calibri" w:cs="Calibri"/>
                <w:color w:val="000000"/>
                <w:kern w:val="0"/>
                <w:sz w:val="18"/>
                <w:szCs w:val="18"/>
                <w:lang w:eastAsia="en-GB"/>
                <w14:ligatures w14:val="none"/>
              </w:rPr>
              <w:t>Pilaut</w:t>
            </w:r>
            <w:proofErr w:type="spellEnd"/>
            <w:r w:rsidRPr="00312BE1">
              <w:rPr>
                <w:rFonts w:ascii="Calibri" w:eastAsia="Times New Roman" w:hAnsi="Calibri" w:cs="Calibri"/>
                <w:color w:val="000000"/>
                <w:kern w:val="0"/>
                <w:sz w:val="18"/>
                <w:szCs w:val="18"/>
                <w:lang w:eastAsia="en-GB"/>
                <w14:ligatures w14:val="none"/>
              </w:rPr>
              <w:t xml:space="preserve"> et al.</w:t>
            </w:r>
          </w:p>
        </w:tc>
        <w:tc>
          <w:tcPr>
            <w:tcW w:w="490" w:type="dxa"/>
            <w:tcBorders>
              <w:top w:val="nil"/>
              <w:left w:val="nil"/>
              <w:bottom w:val="single" w:sz="4" w:space="0" w:color="auto"/>
              <w:right w:val="single" w:sz="4" w:space="0" w:color="auto"/>
            </w:tcBorders>
            <w:vAlign w:val="center"/>
            <w:hideMark/>
          </w:tcPr>
          <w:p w14:paraId="014EA555"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2023</w:t>
            </w:r>
          </w:p>
        </w:tc>
        <w:tc>
          <w:tcPr>
            <w:tcW w:w="1385" w:type="dxa"/>
            <w:tcBorders>
              <w:top w:val="nil"/>
              <w:left w:val="nil"/>
              <w:bottom w:val="single" w:sz="4" w:space="0" w:color="auto"/>
              <w:right w:val="single" w:sz="4" w:space="0" w:color="auto"/>
            </w:tcBorders>
            <w:vAlign w:val="center"/>
            <w:hideMark/>
          </w:tcPr>
          <w:p w14:paraId="41295751"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6A07830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3D3BCA7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Empirical</w:t>
            </w:r>
          </w:p>
        </w:tc>
        <w:tc>
          <w:tcPr>
            <w:tcW w:w="3435" w:type="dxa"/>
            <w:tcBorders>
              <w:top w:val="nil"/>
              <w:left w:val="nil"/>
              <w:bottom w:val="single" w:sz="4" w:space="0" w:color="auto"/>
              <w:right w:val="single" w:sz="4" w:space="0" w:color="auto"/>
            </w:tcBorders>
            <w:vAlign w:val="center"/>
            <w:hideMark/>
          </w:tcPr>
          <w:p w14:paraId="39D20B6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Interactive chain prompting reduces ambiguity and biased outputs.</w:t>
            </w:r>
          </w:p>
        </w:tc>
      </w:tr>
      <w:tr w:rsidR="00312BE1" w:rsidRPr="00312BE1" w14:paraId="13AB983A"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6E18D3CF"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16</w:t>
            </w:r>
          </w:p>
        </w:tc>
        <w:tc>
          <w:tcPr>
            <w:tcW w:w="1139" w:type="dxa"/>
            <w:tcBorders>
              <w:top w:val="nil"/>
              <w:left w:val="nil"/>
              <w:bottom w:val="single" w:sz="4" w:space="0" w:color="auto"/>
              <w:right w:val="single" w:sz="4" w:space="0" w:color="auto"/>
            </w:tcBorders>
            <w:vAlign w:val="center"/>
            <w:hideMark/>
          </w:tcPr>
          <w:p w14:paraId="49829CE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Qian</w:t>
            </w:r>
          </w:p>
        </w:tc>
        <w:tc>
          <w:tcPr>
            <w:tcW w:w="490" w:type="dxa"/>
            <w:tcBorders>
              <w:top w:val="nil"/>
              <w:left w:val="nil"/>
              <w:bottom w:val="single" w:sz="4" w:space="0" w:color="auto"/>
              <w:right w:val="single" w:sz="4" w:space="0" w:color="auto"/>
            </w:tcBorders>
            <w:vAlign w:val="center"/>
            <w:hideMark/>
          </w:tcPr>
          <w:p w14:paraId="32C9B7DD"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7F9F556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1E9B37A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43B25A7B"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w:t>
            </w:r>
          </w:p>
        </w:tc>
        <w:tc>
          <w:tcPr>
            <w:tcW w:w="3435" w:type="dxa"/>
            <w:tcBorders>
              <w:top w:val="nil"/>
              <w:left w:val="nil"/>
              <w:bottom w:val="single" w:sz="4" w:space="0" w:color="auto"/>
              <w:right w:val="single" w:sz="4" w:space="0" w:color="auto"/>
            </w:tcBorders>
            <w:vAlign w:val="center"/>
            <w:hideMark/>
          </w:tcPr>
          <w:p w14:paraId="2C45FA9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Technique- and process-based prompting produces higher-quality GenAI outputs.</w:t>
            </w:r>
          </w:p>
        </w:tc>
      </w:tr>
      <w:tr w:rsidR="00312BE1" w:rsidRPr="00312BE1" w14:paraId="7B270494"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38FB97FA"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17</w:t>
            </w:r>
          </w:p>
        </w:tc>
        <w:tc>
          <w:tcPr>
            <w:tcW w:w="1139" w:type="dxa"/>
            <w:tcBorders>
              <w:top w:val="nil"/>
              <w:left w:val="nil"/>
              <w:bottom w:val="single" w:sz="4" w:space="0" w:color="auto"/>
              <w:right w:val="single" w:sz="4" w:space="0" w:color="auto"/>
            </w:tcBorders>
            <w:vAlign w:val="center"/>
            <w:hideMark/>
          </w:tcPr>
          <w:p w14:paraId="2702206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Rey</w:t>
            </w:r>
          </w:p>
        </w:tc>
        <w:tc>
          <w:tcPr>
            <w:tcW w:w="490" w:type="dxa"/>
            <w:tcBorders>
              <w:top w:val="nil"/>
              <w:left w:val="nil"/>
              <w:bottom w:val="single" w:sz="4" w:space="0" w:color="auto"/>
              <w:right w:val="single" w:sz="4" w:space="0" w:color="auto"/>
            </w:tcBorders>
            <w:vAlign w:val="center"/>
            <w:hideMark/>
          </w:tcPr>
          <w:p w14:paraId="17A29778"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53998DF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Hong Kong, China</w:t>
            </w:r>
          </w:p>
        </w:tc>
        <w:tc>
          <w:tcPr>
            <w:tcW w:w="1454" w:type="dxa"/>
            <w:tcBorders>
              <w:top w:val="nil"/>
              <w:left w:val="nil"/>
              <w:bottom w:val="single" w:sz="4" w:space="0" w:color="auto"/>
              <w:right w:val="single" w:sz="4" w:space="0" w:color="auto"/>
            </w:tcBorders>
            <w:vAlign w:val="center"/>
            <w:hideMark/>
          </w:tcPr>
          <w:p w14:paraId="44E81F7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Secondary</w:t>
            </w:r>
          </w:p>
        </w:tc>
        <w:tc>
          <w:tcPr>
            <w:tcW w:w="1966" w:type="dxa"/>
            <w:tcBorders>
              <w:top w:val="nil"/>
              <w:left w:val="nil"/>
              <w:bottom w:val="single" w:sz="4" w:space="0" w:color="auto"/>
              <w:right w:val="single" w:sz="4" w:space="0" w:color="auto"/>
            </w:tcBorders>
            <w:vAlign w:val="center"/>
            <w:hideMark/>
          </w:tcPr>
          <w:p w14:paraId="180CC153"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 &amp; Mixed</w:t>
            </w:r>
          </w:p>
        </w:tc>
        <w:tc>
          <w:tcPr>
            <w:tcW w:w="3435" w:type="dxa"/>
            <w:tcBorders>
              <w:top w:val="nil"/>
              <w:left w:val="nil"/>
              <w:bottom w:val="single" w:sz="4" w:space="0" w:color="auto"/>
              <w:right w:val="single" w:sz="4" w:space="0" w:color="auto"/>
            </w:tcBorders>
            <w:vAlign w:val="center"/>
            <w:hideMark/>
          </w:tcPr>
          <w:p w14:paraId="3C61487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 proficiency in prompt engineering supports personalised learning and higher-order thinking.</w:t>
            </w:r>
          </w:p>
        </w:tc>
      </w:tr>
      <w:tr w:rsidR="00312BE1" w:rsidRPr="00312BE1" w14:paraId="2BF8B963"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22E796CE"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18</w:t>
            </w:r>
          </w:p>
        </w:tc>
        <w:tc>
          <w:tcPr>
            <w:tcW w:w="1139" w:type="dxa"/>
            <w:tcBorders>
              <w:top w:val="nil"/>
              <w:left w:val="nil"/>
              <w:bottom w:val="single" w:sz="4" w:space="0" w:color="auto"/>
              <w:right w:val="single" w:sz="4" w:space="0" w:color="auto"/>
            </w:tcBorders>
            <w:vAlign w:val="center"/>
            <w:hideMark/>
          </w:tcPr>
          <w:p w14:paraId="29912C30"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Schulhoff et al.</w:t>
            </w:r>
          </w:p>
        </w:tc>
        <w:tc>
          <w:tcPr>
            <w:tcW w:w="490" w:type="dxa"/>
            <w:tcBorders>
              <w:top w:val="nil"/>
              <w:left w:val="nil"/>
              <w:bottom w:val="single" w:sz="4" w:space="0" w:color="auto"/>
              <w:right w:val="single" w:sz="4" w:space="0" w:color="auto"/>
            </w:tcBorders>
            <w:vAlign w:val="center"/>
            <w:hideMark/>
          </w:tcPr>
          <w:p w14:paraId="4158EEA0"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0BC74B0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7795989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Schools</w:t>
            </w:r>
          </w:p>
        </w:tc>
        <w:tc>
          <w:tcPr>
            <w:tcW w:w="1966" w:type="dxa"/>
            <w:tcBorders>
              <w:top w:val="nil"/>
              <w:left w:val="nil"/>
              <w:bottom w:val="single" w:sz="4" w:space="0" w:color="auto"/>
              <w:right w:val="single" w:sz="4" w:space="0" w:color="auto"/>
            </w:tcBorders>
            <w:vAlign w:val="center"/>
            <w:hideMark/>
          </w:tcPr>
          <w:p w14:paraId="410BC54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Meta-Analysis</w:t>
            </w:r>
          </w:p>
        </w:tc>
        <w:tc>
          <w:tcPr>
            <w:tcW w:w="3435" w:type="dxa"/>
            <w:tcBorders>
              <w:top w:val="nil"/>
              <w:left w:val="nil"/>
              <w:bottom w:val="single" w:sz="4" w:space="0" w:color="auto"/>
              <w:right w:val="single" w:sz="4" w:space="0" w:color="auto"/>
            </w:tcBorders>
            <w:vAlign w:val="center"/>
            <w:hideMark/>
          </w:tcPr>
          <w:p w14:paraId="7B9C0856"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Identified and addressed conceptual ambiguities in GenAI and prompt engineering research.</w:t>
            </w:r>
          </w:p>
        </w:tc>
      </w:tr>
      <w:tr w:rsidR="00312BE1" w:rsidRPr="00312BE1" w14:paraId="41447181" w14:textId="77777777" w:rsidTr="00312BE1">
        <w:trPr>
          <w:trHeight w:val="468"/>
          <w:jc w:val="center"/>
        </w:trPr>
        <w:tc>
          <w:tcPr>
            <w:tcW w:w="337" w:type="dxa"/>
            <w:tcBorders>
              <w:top w:val="nil"/>
              <w:left w:val="single" w:sz="4" w:space="0" w:color="auto"/>
              <w:bottom w:val="single" w:sz="4" w:space="0" w:color="auto"/>
              <w:right w:val="single" w:sz="4" w:space="0" w:color="auto"/>
            </w:tcBorders>
            <w:vAlign w:val="center"/>
            <w:hideMark/>
          </w:tcPr>
          <w:p w14:paraId="7FECE566"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19</w:t>
            </w:r>
          </w:p>
        </w:tc>
        <w:tc>
          <w:tcPr>
            <w:tcW w:w="1139" w:type="dxa"/>
            <w:tcBorders>
              <w:top w:val="nil"/>
              <w:left w:val="nil"/>
              <w:bottom w:val="single" w:sz="4" w:space="0" w:color="auto"/>
              <w:right w:val="single" w:sz="4" w:space="0" w:color="auto"/>
            </w:tcBorders>
            <w:vAlign w:val="center"/>
            <w:hideMark/>
          </w:tcPr>
          <w:p w14:paraId="3E29837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Whalen et al.</w:t>
            </w:r>
          </w:p>
        </w:tc>
        <w:tc>
          <w:tcPr>
            <w:tcW w:w="490" w:type="dxa"/>
            <w:tcBorders>
              <w:top w:val="nil"/>
              <w:left w:val="nil"/>
              <w:bottom w:val="single" w:sz="4" w:space="0" w:color="auto"/>
              <w:right w:val="single" w:sz="4" w:space="0" w:color="auto"/>
            </w:tcBorders>
            <w:vAlign w:val="center"/>
            <w:hideMark/>
          </w:tcPr>
          <w:p w14:paraId="59A597E4"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40C0E4F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USA</w:t>
            </w:r>
          </w:p>
        </w:tc>
        <w:tc>
          <w:tcPr>
            <w:tcW w:w="1454" w:type="dxa"/>
            <w:tcBorders>
              <w:top w:val="nil"/>
              <w:left w:val="nil"/>
              <w:bottom w:val="single" w:sz="4" w:space="0" w:color="auto"/>
              <w:right w:val="single" w:sz="4" w:space="0" w:color="auto"/>
            </w:tcBorders>
            <w:vAlign w:val="center"/>
            <w:hideMark/>
          </w:tcPr>
          <w:p w14:paraId="431D8B9C"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5F81C75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Survey</w:t>
            </w:r>
          </w:p>
        </w:tc>
        <w:tc>
          <w:tcPr>
            <w:tcW w:w="3435" w:type="dxa"/>
            <w:tcBorders>
              <w:top w:val="nil"/>
              <w:left w:val="nil"/>
              <w:bottom w:val="single" w:sz="4" w:space="0" w:color="auto"/>
              <w:right w:val="single" w:sz="4" w:space="0" w:color="auto"/>
            </w:tcBorders>
            <w:vAlign w:val="center"/>
            <w:hideMark/>
          </w:tcPr>
          <w:p w14:paraId="10CA705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Teachers require targeted training to promote ethical GenAI use by students.</w:t>
            </w:r>
          </w:p>
        </w:tc>
      </w:tr>
      <w:tr w:rsidR="00312BE1" w:rsidRPr="00312BE1" w14:paraId="4AD30CB4"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79C328A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w:t>
            </w:r>
          </w:p>
        </w:tc>
        <w:tc>
          <w:tcPr>
            <w:tcW w:w="1139" w:type="dxa"/>
            <w:tcBorders>
              <w:top w:val="nil"/>
              <w:left w:val="nil"/>
              <w:bottom w:val="single" w:sz="4" w:space="0" w:color="auto"/>
              <w:right w:val="single" w:sz="4" w:space="0" w:color="auto"/>
            </w:tcBorders>
            <w:vAlign w:val="center"/>
            <w:hideMark/>
          </w:tcPr>
          <w:p w14:paraId="4EFC1AE9"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Yang &amp; Yang</w:t>
            </w:r>
          </w:p>
        </w:tc>
        <w:tc>
          <w:tcPr>
            <w:tcW w:w="490" w:type="dxa"/>
            <w:tcBorders>
              <w:top w:val="nil"/>
              <w:left w:val="nil"/>
              <w:bottom w:val="single" w:sz="4" w:space="0" w:color="auto"/>
              <w:right w:val="single" w:sz="4" w:space="0" w:color="auto"/>
            </w:tcBorders>
            <w:vAlign w:val="center"/>
            <w:hideMark/>
          </w:tcPr>
          <w:p w14:paraId="38A140F9"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2025</w:t>
            </w:r>
          </w:p>
        </w:tc>
        <w:tc>
          <w:tcPr>
            <w:tcW w:w="1385" w:type="dxa"/>
            <w:tcBorders>
              <w:top w:val="nil"/>
              <w:left w:val="nil"/>
              <w:bottom w:val="single" w:sz="4" w:space="0" w:color="auto"/>
              <w:right w:val="single" w:sz="4" w:space="0" w:color="auto"/>
            </w:tcBorders>
            <w:vAlign w:val="center"/>
            <w:hideMark/>
          </w:tcPr>
          <w:p w14:paraId="1D46729E"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32A7C8E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69D4086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Empirical</w:t>
            </w:r>
          </w:p>
        </w:tc>
        <w:tc>
          <w:tcPr>
            <w:tcW w:w="3435" w:type="dxa"/>
            <w:tcBorders>
              <w:top w:val="nil"/>
              <w:left w:val="nil"/>
              <w:bottom w:val="single" w:sz="4" w:space="0" w:color="auto"/>
              <w:right w:val="single" w:sz="4" w:space="0" w:color="auto"/>
            </w:tcBorders>
            <w:vAlign w:val="center"/>
            <w:hideMark/>
          </w:tcPr>
          <w:p w14:paraId="06537598"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Refining outputs and defining objectives improve ESL students’ speaking and writing skills.</w:t>
            </w:r>
          </w:p>
        </w:tc>
      </w:tr>
      <w:tr w:rsidR="00312BE1" w:rsidRPr="00312BE1" w14:paraId="18A16D5F" w14:textId="77777777" w:rsidTr="00312BE1">
        <w:trPr>
          <w:trHeight w:val="702"/>
          <w:jc w:val="center"/>
        </w:trPr>
        <w:tc>
          <w:tcPr>
            <w:tcW w:w="337" w:type="dxa"/>
            <w:tcBorders>
              <w:top w:val="nil"/>
              <w:left w:val="single" w:sz="4" w:space="0" w:color="auto"/>
              <w:bottom w:val="single" w:sz="4" w:space="0" w:color="auto"/>
              <w:right w:val="single" w:sz="4" w:space="0" w:color="auto"/>
            </w:tcBorders>
            <w:vAlign w:val="center"/>
            <w:hideMark/>
          </w:tcPr>
          <w:p w14:paraId="1D9B2FFB"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21</w:t>
            </w:r>
          </w:p>
        </w:tc>
        <w:tc>
          <w:tcPr>
            <w:tcW w:w="1139" w:type="dxa"/>
            <w:tcBorders>
              <w:top w:val="nil"/>
              <w:left w:val="nil"/>
              <w:bottom w:val="single" w:sz="4" w:space="0" w:color="auto"/>
              <w:right w:val="single" w:sz="4" w:space="0" w:color="auto"/>
            </w:tcBorders>
            <w:vAlign w:val="center"/>
            <w:hideMark/>
          </w:tcPr>
          <w:p w14:paraId="658C7AC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Zhang &amp; Tur</w:t>
            </w:r>
          </w:p>
        </w:tc>
        <w:tc>
          <w:tcPr>
            <w:tcW w:w="490" w:type="dxa"/>
            <w:tcBorders>
              <w:top w:val="nil"/>
              <w:left w:val="nil"/>
              <w:bottom w:val="single" w:sz="4" w:space="0" w:color="auto"/>
              <w:right w:val="single" w:sz="4" w:space="0" w:color="auto"/>
            </w:tcBorders>
            <w:vAlign w:val="center"/>
            <w:hideMark/>
          </w:tcPr>
          <w:p w14:paraId="5950541A" w14:textId="77777777" w:rsidR="00312BE1" w:rsidRPr="00312BE1" w:rsidRDefault="00312BE1" w:rsidP="00312BE1">
            <w:pPr>
              <w:spacing w:after="0" w:line="240" w:lineRule="auto"/>
              <w:jc w:val="right"/>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2024</w:t>
            </w:r>
          </w:p>
        </w:tc>
        <w:tc>
          <w:tcPr>
            <w:tcW w:w="1385" w:type="dxa"/>
            <w:tcBorders>
              <w:top w:val="nil"/>
              <w:left w:val="nil"/>
              <w:bottom w:val="single" w:sz="4" w:space="0" w:color="auto"/>
              <w:right w:val="single" w:sz="4" w:space="0" w:color="auto"/>
            </w:tcBorders>
            <w:vAlign w:val="center"/>
            <w:hideMark/>
          </w:tcPr>
          <w:p w14:paraId="79B761C7"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Global</w:t>
            </w:r>
          </w:p>
        </w:tc>
        <w:tc>
          <w:tcPr>
            <w:tcW w:w="1454" w:type="dxa"/>
            <w:tcBorders>
              <w:top w:val="nil"/>
              <w:left w:val="nil"/>
              <w:bottom w:val="single" w:sz="4" w:space="0" w:color="auto"/>
              <w:right w:val="single" w:sz="4" w:space="0" w:color="auto"/>
            </w:tcBorders>
            <w:vAlign w:val="center"/>
            <w:hideMark/>
          </w:tcPr>
          <w:p w14:paraId="0B2F048F"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K–12</w:t>
            </w:r>
          </w:p>
        </w:tc>
        <w:tc>
          <w:tcPr>
            <w:tcW w:w="1966" w:type="dxa"/>
            <w:tcBorders>
              <w:top w:val="nil"/>
              <w:left w:val="nil"/>
              <w:bottom w:val="single" w:sz="4" w:space="0" w:color="auto"/>
              <w:right w:val="single" w:sz="4" w:space="0" w:color="auto"/>
            </w:tcBorders>
            <w:vAlign w:val="center"/>
            <w:hideMark/>
          </w:tcPr>
          <w:p w14:paraId="25CE9FC4"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Systematic Review</w:t>
            </w:r>
          </w:p>
        </w:tc>
        <w:tc>
          <w:tcPr>
            <w:tcW w:w="3435" w:type="dxa"/>
            <w:tcBorders>
              <w:top w:val="nil"/>
              <w:left w:val="nil"/>
              <w:bottom w:val="single" w:sz="4" w:space="0" w:color="auto"/>
              <w:right w:val="single" w:sz="4" w:space="0" w:color="auto"/>
            </w:tcBorders>
            <w:vAlign w:val="center"/>
            <w:hideMark/>
          </w:tcPr>
          <w:p w14:paraId="02D3F66D" w14:textId="77777777" w:rsidR="00312BE1" w:rsidRPr="00312BE1" w:rsidRDefault="00312BE1" w:rsidP="00312BE1">
            <w:pPr>
              <w:spacing w:after="0" w:line="240" w:lineRule="auto"/>
              <w:rPr>
                <w:rFonts w:ascii="Calibri" w:eastAsia="Times New Roman" w:hAnsi="Calibri" w:cs="Calibri"/>
                <w:color w:val="000000"/>
                <w:kern w:val="0"/>
                <w:sz w:val="18"/>
                <w:szCs w:val="18"/>
                <w:lang w:eastAsia="en-GB"/>
                <w14:ligatures w14:val="none"/>
              </w:rPr>
            </w:pPr>
            <w:r w:rsidRPr="00312BE1">
              <w:rPr>
                <w:rFonts w:ascii="Calibri" w:eastAsia="Times New Roman" w:hAnsi="Calibri" w:cs="Calibri"/>
                <w:color w:val="000000"/>
                <w:kern w:val="0"/>
                <w:sz w:val="18"/>
                <w:szCs w:val="18"/>
                <w:lang w:eastAsia="en-GB"/>
                <w14:ligatures w14:val="none"/>
              </w:rPr>
              <w:t>Effective prompt integration enhances lesson planning, differentiation, and student learning outcomes.</w:t>
            </w:r>
          </w:p>
        </w:tc>
      </w:tr>
    </w:tbl>
    <w:p w14:paraId="12CF6D41" w14:textId="77777777" w:rsidR="00317A7D" w:rsidRDefault="00317A7D" w:rsidP="0074156D"/>
    <w:p w14:paraId="1979CA89" w14:textId="705BADF4" w:rsidR="0074156D" w:rsidRPr="00A03B9E" w:rsidRDefault="0074156D" w:rsidP="0074156D">
      <w:pPr>
        <w:rPr>
          <w:b/>
        </w:rPr>
      </w:pPr>
      <w:r w:rsidRPr="00A03B9E">
        <w:rPr>
          <w:b/>
        </w:rPr>
        <w:t>Discussion</w:t>
      </w:r>
    </w:p>
    <w:p w14:paraId="3463AF4A" w14:textId="0ACC735F" w:rsidR="00FD1394" w:rsidRPr="00FD1394" w:rsidRDefault="00FD1394" w:rsidP="00FD1394">
      <w:r w:rsidRPr="00FD1394">
        <w:lastRenderedPageBreak/>
        <w:t xml:space="preserve">This systematic review synthesised evidence from 21 empirical and review studies conducted across diverse geographical contexts and published between 2018 and 2025 to examine the role of prompt engineering in supporting the responsible use of GenAI models in K–12 </w:t>
      </w:r>
      <w:r>
        <w:t>schools</w:t>
      </w:r>
      <w:r w:rsidRPr="00FD1394">
        <w:t>. The findings consistently indicate that prompt engineering should not be conceptualised merely as a technical or operational skill. Rather, it should be intentionally embedded within the K–12 curriculum to maximise the pedagogical benefits of GenAI tools and to promote their ethical and responsible use (Arrington et al., 2025; Dimeli &amp; Kostas, 2025).</w:t>
      </w:r>
    </w:p>
    <w:p w14:paraId="6F48769B" w14:textId="572EADD0" w:rsidR="00FD1394" w:rsidRPr="00FD1394" w:rsidRDefault="00FD1394" w:rsidP="00FD1394">
      <w:r w:rsidRPr="00FD1394">
        <w:t>Across the reviewed studies, effective prompt engineering was strongly associated with improved student engagement, critical thinking, higher-order cognitive skills, and overall cognitive development (Guilbault et al., 2025; Hsu, 2025; Rey, 2025). These findings align closely with constructivist learning theory, which emphasises learners’ active role in constructing knowledge through guided interaction, reflection, and iterative</w:t>
      </w:r>
      <w:r>
        <w:t xml:space="preserve"> steps</w:t>
      </w:r>
      <w:r w:rsidRPr="00FD1394">
        <w:t>. Prompt engineering frameworks inherently operationalise this constructivist process by requiring learners to articulate intentions, evaluate outputs, and refine inputs, thereby fostering metacognition and learner autonomy (Cain, 2023; Lo, 2023). As such, prompt engineering serves as a pedagogical scaffold that supports deeper learning rather than surface-level content generation.</w:t>
      </w:r>
    </w:p>
    <w:p w14:paraId="49FB1883" w14:textId="77777777" w:rsidR="00FD1394" w:rsidRPr="00FD1394" w:rsidRDefault="00FD1394" w:rsidP="00FD1394">
      <w:r w:rsidRPr="00FD1394">
        <w:t>The review further highlights teacher proficiency in prompt engineering as a critical determinant of successful implementation in K–12 settings. Teachers who demonstrate confidence and competence in prompt design are better positioned to guide students in the ethical and responsible use of GenAI models (Park &amp; Choo, 2025; Hays et al., 2024). Importantly, the findings suggest that prompt engineering proficiency enhances teacher efficacy and productivity. Educators leverage GenAI tools to support lesson planning, assessment design, and personalised learning, thereby optimising instructional time and pedagogical decision-making. This evidence challenges prevailing concerns that GenAI will replace teachers and instead reinforces the importance of a human-in-the-loop approach, in which teachers remain central as instructional designers and ethical gatekeepers (Park &amp; Kwon, 2024).</w:t>
      </w:r>
    </w:p>
    <w:p w14:paraId="40E82B56" w14:textId="01AB9B92" w:rsidR="00FD1394" w:rsidRPr="00FD1394" w:rsidRDefault="00FD1394" w:rsidP="00FD1394">
      <w:r w:rsidRPr="00FD1394">
        <w:t>In addition, the review identified several robust and widely cited prompt engineering frameworks</w:t>
      </w:r>
      <w:r>
        <w:t xml:space="preserve">: </w:t>
      </w:r>
      <w:r w:rsidRPr="00FD1394">
        <w:t>including TCREI, CLEAR, and CCI</w:t>
      </w:r>
      <w:r>
        <w:t xml:space="preserve">, </w:t>
      </w:r>
      <w:r w:rsidRPr="00FD1394">
        <w:t>that provide structured pedagogical guidance for K–12 educators (Google Education, 2024; Cain, 2023; Lo, 2023). These frameworks offer systematic approaches to prompt design, evaluation, and iteration, enabling teachers to integrate prompt engineering seamlessly into existing curricula. Their emphasis on clarity, context, critical evaluation, and iterative refinement aligns with broader digital literacy and critical thinking goals within K–12 education.</w:t>
      </w:r>
    </w:p>
    <w:p w14:paraId="25D3629A" w14:textId="77777777" w:rsidR="00FD1394" w:rsidRPr="00FD1394" w:rsidRDefault="00FD1394" w:rsidP="00FD1394">
      <w:r w:rsidRPr="00FD1394">
        <w:t>Finally, the findings indicate that effective prompt engineering plays a significant role in mitigating key risks associated with GenAI use, including hallucinations, knowledge gaps, biased outputs, and academic dishonesty (Dimeli &amp; Kostas, 2025; Heston et al., 2023). By equipping students with structured prompting and evaluative skills, educators can shift from restrictive or punitive approaches toward preventative and educative models of academic integrity.</w:t>
      </w:r>
    </w:p>
    <w:p w14:paraId="04654B6C" w14:textId="7EC45C10" w:rsidR="00317A7D" w:rsidRDefault="00FD1394" w:rsidP="0074156D">
      <w:r w:rsidRPr="00FD1394">
        <w:t>Despite these benefits, the review identifies inadequate teacher professional development in prompt engineering as a major constraint to effective implementation in K–12 schools. The limited availability of targeted training restricts teachers’ capacity to integrate GenAI meaningfully and ethically into classroom practice. Consequently, this review calls for urgent policy and institutional attention to the provision of sustained, contextually relevant professional development in prompt engineering for K–12 educators.</w:t>
      </w:r>
    </w:p>
    <w:p w14:paraId="0BEFC7E4" w14:textId="562D897A" w:rsidR="0074156D" w:rsidRDefault="0074156D">
      <w:pPr>
        <w:rPr>
          <w:b/>
          <w:bCs/>
        </w:rPr>
      </w:pPr>
      <w:r w:rsidRPr="00B668AD">
        <w:rPr>
          <w:b/>
          <w:bCs/>
        </w:rPr>
        <w:t xml:space="preserve">Conceptual framework </w:t>
      </w:r>
    </w:p>
    <w:p w14:paraId="6362E97B" w14:textId="0273F561" w:rsidR="00B668AD" w:rsidRDefault="009052D0">
      <w:r>
        <w:lastRenderedPageBreak/>
        <w:t>Based</w:t>
      </w:r>
      <w:r w:rsidRPr="009052D0">
        <w:t xml:space="preserve"> on the prompt engineering frameworks proposed by Cain (2023) and Lo (2023), as well as evidence synthesised from the reviewed studies, this study adopts a conceptual framework that positions prompt engineering as a pedagogical enabler for the responsible and effective use of generative artificial intelligence (GenAI) in K–12 education. The framework posits that teachers’ prompt engineering proficiency is largely shaped by the availability and quality of professional development (PD) support provided by schools.</w:t>
      </w:r>
      <w:r w:rsidRPr="009052D0">
        <w:rPr>
          <w:noProof/>
        </w:rPr>
        <w:drawing>
          <wp:inline distT="0" distB="0" distL="0" distR="0" wp14:anchorId="642683C6" wp14:editId="5EC665C5">
            <wp:extent cx="5731510" cy="2298700"/>
            <wp:effectExtent l="0" t="0" r="2540" b="6350"/>
            <wp:docPr id="878408005" name="Picture 1" descr="A diagram of a stud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08005" name="Picture 1" descr="A diagram of a student&#10;&#10;AI-generated content may be incorrect."/>
                    <pic:cNvPicPr/>
                  </pic:nvPicPr>
                  <pic:blipFill>
                    <a:blip r:embed="rId8"/>
                    <a:stretch>
                      <a:fillRect/>
                    </a:stretch>
                  </pic:blipFill>
                  <pic:spPr>
                    <a:xfrm>
                      <a:off x="0" y="0"/>
                      <a:ext cx="5731510" cy="2298700"/>
                    </a:xfrm>
                    <a:prstGeom prst="rect">
                      <a:avLst/>
                    </a:prstGeom>
                  </pic:spPr>
                </pic:pic>
              </a:graphicData>
            </a:graphic>
          </wp:inline>
        </w:drawing>
      </w:r>
    </w:p>
    <w:p w14:paraId="005E9E0E" w14:textId="645DB5B6" w:rsidR="009052D0" w:rsidRDefault="009052D0">
      <w:r>
        <w:t>Figure</w:t>
      </w:r>
      <w:r w:rsidR="00650B91">
        <w:t xml:space="preserve"> 2</w:t>
      </w:r>
      <w:r>
        <w:t>: Conceptual Framework (</w:t>
      </w:r>
      <w:proofErr w:type="spellStart"/>
      <w:r>
        <w:t>Abaidoo</w:t>
      </w:r>
      <w:proofErr w:type="spellEnd"/>
      <w:r>
        <w:t>, 2025)</w:t>
      </w:r>
    </w:p>
    <w:p w14:paraId="436C24D6" w14:textId="77777777" w:rsidR="009052D0" w:rsidRPr="009052D0" w:rsidRDefault="009052D0" w:rsidP="009052D0">
      <w:r w:rsidRPr="009052D0">
        <w:t>As teachers develop proficiency in prompt engineering, their confidence and pedagogical capacity to model and teach effective prompting strategies increase. This, in turn, enables students to acquire prompt engineering skills that support responsible engagement with GenAI models and tools. The framework further suggests that students’ responsible use of GenAI contributes to improved learning outcomes, enhanced higher-order thinking, and strengthened cognitive development.</w:t>
      </w:r>
    </w:p>
    <w:p w14:paraId="26CE0221" w14:textId="77777777" w:rsidR="009052D0" w:rsidRPr="009052D0" w:rsidRDefault="009052D0" w:rsidP="009052D0">
      <w:r w:rsidRPr="009052D0">
        <w:t>Overall, the framework highlights the central role of teacher capacity-building and curriculum-embedded prompt engineering in maximising the educational benefits of GenAI while mitigating associated ethical and pedagogical risks.</w:t>
      </w:r>
    </w:p>
    <w:p w14:paraId="52649B7B" w14:textId="77777777" w:rsidR="00F318D1" w:rsidRPr="006F6B33" w:rsidRDefault="00F318D1"/>
    <w:p w14:paraId="3D4B3AEB" w14:textId="44E4D5A4" w:rsidR="00614039" w:rsidRPr="00F318D1" w:rsidRDefault="00614039">
      <w:pPr>
        <w:rPr>
          <w:b/>
          <w:bCs/>
        </w:rPr>
      </w:pPr>
      <w:r w:rsidRPr="00F318D1">
        <w:rPr>
          <w:b/>
          <w:bCs/>
        </w:rPr>
        <w:t>Conclusion</w:t>
      </w:r>
      <w:r w:rsidR="00F318D1" w:rsidRPr="00F318D1">
        <w:rPr>
          <w:b/>
          <w:bCs/>
        </w:rPr>
        <w:t xml:space="preserve"> and Policy Implication for practice </w:t>
      </w:r>
    </w:p>
    <w:p w14:paraId="418F4B28" w14:textId="77777777" w:rsidR="005274F7" w:rsidRPr="005274F7" w:rsidRDefault="005274F7" w:rsidP="005274F7">
      <w:pPr>
        <w:rPr>
          <w:b/>
          <w:bCs/>
        </w:rPr>
      </w:pPr>
      <w:r w:rsidRPr="005274F7">
        <w:rPr>
          <w:b/>
          <w:bCs/>
        </w:rPr>
        <w:t>Conclusion</w:t>
      </w:r>
    </w:p>
    <w:p w14:paraId="314302FE" w14:textId="0947FD9D" w:rsidR="005274F7" w:rsidRPr="005274F7" w:rsidRDefault="005274F7" w:rsidP="005274F7">
      <w:r w:rsidRPr="005274F7">
        <w:t>This systematic review provides a comprehensive synthesis of the role of prompt engineering in supporting the responsible use of</w:t>
      </w:r>
      <w:r>
        <w:t xml:space="preserve"> </w:t>
      </w:r>
      <w:r w:rsidRPr="005274F7">
        <w:t>GenAI</w:t>
      </w:r>
      <w:r>
        <w:t xml:space="preserve"> </w:t>
      </w:r>
      <w:r w:rsidRPr="005274F7">
        <w:t>models and tools in K–12 education. Guided by the PRISMA protocol, 21 studies published between 2018 and 2025 were analysed to examine both pedagogical benefits and implementation challenges. The findings demonstrate that effective prompt engineering extends beyond ethical compliance and responsible use; it also strengthens students’ inquiry skills, critical thinking, higher-order thinking, and overall cognitive development.</w:t>
      </w:r>
    </w:p>
    <w:p w14:paraId="72D68C5B" w14:textId="77777777" w:rsidR="005274F7" w:rsidRDefault="005274F7" w:rsidP="005274F7">
      <w:r w:rsidRPr="005274F7">
        <w:t>In addition to student outcomes, teachers benefit from prompt engineering through enhanced instructional efficiency, improved lesson design, and increased capacity to support personalised learning. However, despite these benefits, the review reveals that unethical or inappropriate use of GenAI persists, largely due to insufficient prompt engineering competence among K–12 teachers. This skills gap limits teachers’ ability to guide students effectively and underscores the need for systemic support and capacity building.</w:t>
      </w:r>
    </w:p>
    <w:p w14:paraId="405E495C" w14:textId="77777777" w:rsidR="005274F7" w:rsidRPr="005274F7" w:rsidRDefault="005274F7" w:rsidP="005274F7">
      <w:pPr>
        <w:rPr>
          <w:b/>
          <w:bCs/>
        </w:rPr>
      </w:pPr>
      <w:r w:rsidRPr="005274F7">
        <w:rPr>
          <w:b/>
          <w:bCs/>
        </w:rPr>
        <w:lastRenderedPageBreak/>
        <w:t>Implications for Practice and Policy</w:t>
      </w:r>
    </w:p>
    <w:p w14:paraId="5C79D1C4" w14:textId="75187C20" w:rsidR="005C5D87" w:rsidRPr="005C5D87" w:rsidRDefault="005C5D87" w:rsidP="005C5D87">
      <w:r w:rsidRPr="005C5D87">
        <w:t>First, prompt engineering should be systematically embedded within existing curricula rather than introduced as a standalone subject. Integrating prompt engineering across disciplines such as language arts, science, social studies, and technology supports coherent and scalable classroom implementation and aligns with UNESCO’s broader AI competency frameworks for education (UNESCO, 2024). The UNESCO AI Competency Framework for Students (AI CFS) outlines 12 competencies across four core dimensions</w:t>
      </w:r>
      <w:r>
        <w:t xml:space="preserve">: </w:t>
      </w:r>
      <w:r w:rsidRPr="005C5D87">
        <w:t>Ethics of AI, Human-centred mindset, AI systems design, and AI techniques and applications</w:t>
      </w:r>
      <w:r>
        <w:t xml:space="preserve">; </w:t>
      </w:r>
      <w:r w:rsidRPr="005C5D87">
        <w:t xml:space="preserve">while the AI Competency Framework for Teachers (AI CFT) comprises 15 competencies organised into five domains: AI foundations and applications, Human-centred mindset, AI pedagogy, Ethics of AI, and AI for professional learning (Miao &amp; </w:t>
      </w:r>
      <w:proofErr w:type="spellStart"/>
      <w:r w:rsidRPr="005C5D87">
        <w:t>Shiohira</w:t>
      </w:r>
      <w:proofErr w:type="spellEnd"/>
      <w:r w:rsidRPr="005C5D87">
        <w:t xml:space="preserve">, 2024; Miao &amp; </w:t>
      </w:r>
      <w:proofErr w:type="spellStart"/>
      <w:r w:rsidRPr="005C5D87">
        <w:t>Cukurova</w:t>
      </w:r>
      <w:proofErr w:type="spellEnd"/>
      <w:r w:rsidRPr="005C5D87">
        <w:t>, 2024). Notably, the AI techniques and applications dimension of the AI CFS emphasises the intentional development of students’ conceptual understanding of AI and their capacity to use AI tools ethically and responsibly. Embedding prompt engineering within the K–12 curriculum directly operationalises this policy priority.</w:t>
      </w:r>
    </w:p>
    <w:p w14:paraId="056F3DAE" w14:textId="7BFB92A5" w:rsidR="005274F7" w:rsidRPr="005274F7" w:rsidRDefault="005C5D87" w:rsidP="005274F7">
      <w:r w:rsidRPr="005C5D87">
        <w:t xml:space="preserve">Furthermore, the UNESCO AI Competency Frameworks place strong emphasis on strengthening human capabilities in the age of AI through sustained, lifelong professional learning for teachers (Miao &amp; </w:t>
      </w:r>
      <w:proofErr w:type="spellStart"/>
      <w:r w:rsidRPr="005C5D87">
        <w:t>Shiohira</w:t>
      </w:r>
      <w:proofErr w:type="spellEnd"/>
      <w:r w:rsidRPr="005C5D87">
        <w:t>, 2024). This policy stance underscores that responsibility for ethical and accountable AI use in schools must be supported by systemic investment in teacher capacity-building. Accordingly, K–12 schools should prioritise sustained and practice-oriented professional development in prompt engineering that extends beyond introductory training and focuses on classroom-based application. Schools may also adopt action research approaches to evaluate the impact of such training on students’ responsible GenAI use, inquiry skills, and learning outcomes. Collectively, these measures would enable K–12 systems to operationalise key domains of the UNESCO AI Competency Framework for Teachers while promoting coherent and ethical AI integration at scale.</w:t>
      </w:r>
    </w:p>
    <w:p w14:paraId="179DE533" w14:textId="1F4CBB5E" w:rsidR="005274F7" w:rsidRPr="005274F7" w:rsidRDefault="005274F7" w:rsidP="005274F7">
      <w:r w:rsidRPr="005274F7">
        <w:t>Third, the prompt engineering frameworks identified in this review</w:t>
      </w:r>
      <w:r>
        <w:t xml:space="preserve">: </w:t>
      </w:r>
      <w:r w:rsidRPr="005274F7">
        <w:t>TCREI, CLEAR, and CCI</w:t>
      </w:r>
      <w:r>
        <w:t xml:space="preserve"> </w:t>
      </w:r>
      <w:r w:rsidRPr="005274F7">
        <w:t>should be systematically adopted and incorporated into continuous professional development programmes. Consistent use of these frameworks will support pedagogical coherence, build teacher confidence, and promote effective and ethical implementation of GenAI across diverse learning contexts.</w:t>
      </w:r>
    </w:p>
    <w:p w14:paraId="1F6E96B8" w14:textId="7AD739E4" w:rsidR="005274F7" w:rsidRPr="005274F7" w:rsidRDefault="005274F7" w:rsidP="005274F7">
      <w:r w:rsidRPr="005274F7">
        <w:t>Finally, policymakers</w:t>
      </w:r>
      <w:r>
        <w:t xml:space="preserve">, </w:t>
      </w:r>
      <w:r w:rsidRPr="005274F7">
        <w:t>particularly in African education systems</w:t>
      </w:r>
      <w:r>
        <w:t xml:space="preserve"> </w:t>
      </w:r>
      <w:r w:rsidRPr="005274F7">
        <w:t>should consider embedding prompt engineering within national curricula and digital education strategies. Doing so will ensure equitable access to GenAI literacy, reduce disparities in implementation, and prepare learners with the critical and ethical competencies required in an AI-mediated future.</w:t>
      </w:r>
      <w:r w:rsidR="00251D3C">
        <w:t xml:space="preserve"> </w:t>
      </w:r>
    </w:p>
    <w:p w14:paraId="430A30C4" w14:textId="77777777" w:rsidR="00DE2353" w:rsidRPr="00DE2353" w:rsidRDefault="00DE2353" w:rsidP="00DE2353">
      <w:pPr>
        <w:rPr>
          <w:b/>
          <w:bCs/>
        </w:rPr>
      </w:pPr>
      <w:r w:rsidRPr="00DE2353">
        <w:rPr>
          <w:b/>
          <w:bCs/>
        </w:rPr>
        <w:t>Limitations of the Study</w:t>
      </w:r>
    </w:p>
    <w:p w14:paraId="78FDB687" w14:textId="77777777" w:rsidR="00DE2353" w:rsidRPr="00DE2353" w:rsidRDefault="00DE2353" w:rsidP="00DE2353">
      <w:r w:rsidRPr="00DE2353">
        <w:t>Although this study followed the PRISMA framework to ensure methodological rigour, several limitations should be acknowledged. First, only 12 of the included studies explicitly focused on prompt engineering within K–12 educational settings, indicating that research in this area remains emergent. As a result, the available evidence base is still limited and calls for further scholarly attention.</w:t>
      </w:r>
    </w:p>
    <w:p w14:paraId="38504564" w14:textId="77777777" w:rsidR="00DE2353" w:rsidRPr="00DE2353" w:rsidRDefault="00DE2353" w:rsidP="00DE2353">
      <w:r w:rsidRPr="00DE2353">
        <w:t>Second, the geographical distribution of the included studies was uneven, which constrains the generalisability of the findings. Notably, none of the reviewed studies explicitly examined prompt engineering in African educational contexts, revealing a significant gap in the literature and limiting the applicability of the findings to regions with differing educational infrastructures and policy environments.</w:t>
      </w:r>
    </w:p>
    <w:p w14:paraId="7A82D9FA" w14:textId="77777777" w:rsidR="00DE2353" w:rsidRDefault="00DE2353" w:rsidP="00DE2353">
      <w:r w:rsidRPr="00DE2353">
        <w:lastRenderedPageBreak/>
        <w:t>Third, the rapid evolution of generative AI technologies presents an inherent limitation. Many of the reviewed studies were based on earlier versions of GenAI models, such as ChatGPT-4.0 and Gemini 2.5. Consequently, the findings may not fully reflect the capabilities, risks, and pedagogical affordances of more recent models.</w:t>
      </w:r>
    </w:p>
    <w:p w14:paraId="1DE61F0A" w14:textId="77777777" w:rsidR="00DE2353" w:rsidRPr="00DE2353" w:rsidRDefault="00DE2353" w:rsidP="00DE2353">
      <w:pPr>
        <w:rPr>
          <w:b/>
          <w:bCs/>
        </w:rPr>
      </w:pPr>
      <w:r w:rsidRPr="00DE2353">
        <w:rPr>
          <w:b/>
          <w:bCs/>
        </w:rPr>
        <w:t>Areas for Further Research</w:t>
      </w:r>
    </w:p>
    <w:p w14:paraId="20417596" w14:textId="77777777" w:rsidR="00DE2353" w:rsidRPr="00DE2353" w:rsidRDefault="00DE2353" w:rsidP="00DE2353">
      <w:r w:rsidRPr="00DE2353">
        <w:t>In light of these limitations, several avenues for future research are recommended. First, there is a need for empirical studies that focus specifically on K–12 education, with particular attention to primary and secondary school levels. Such studies would strengthen the evidence base for age-appropriate prompt engineering practices.</w:t>
      </w:r>
    </w:p>
    <w:p w14:paraId="0A48C2C1" w14:textId="77777777" w:rsidR="00DE2353" w:rsidRPr="00DE2353" w:rsidRDefault="00DE2353" w:rsidP="00DE2353">
      <w:r w:rsidRPr="00DE2353">
        <w:t>Second, future research should employ robust methodological designs, including quasi-experimental and experimental approaches, to evaluate the effectiveness of different prompt engineering strategies and frameworks, particularly TCREI, CLEAR, and CCI. Comparative studies across subjects and grade levels would provide deeper insights into their pedagogical value.</w:t>
      </w:r>
    </w:p>
    <w:p w14:paraId="24640FA0" w14:textId="77777777" w:rsidR="00DE2353" w:rsidRPr="00DE2353" w:rsidRDefault="00DE2353" w:rsidP="00DE2353">
      <w:r w:rsidRPr="00DE2353">
        <w:t>Finally, given the absence of African-focused studies, there is a pressing need for research conducted within African educational contexts. These studies should explore the needs, challenges, and capacities of both teachers and students in adopting prompt engineering techniques, thereby informing contextually relevant policy, curriculum design, and professional development initiatives.</w:t>
      </w:r>
    </w:p>
    <w:p w14:paraId="1342BB1C" w14:textId="77777777" w:rsidR="00BE5BD6" w:rsidRPr="00740879" w:rsidRDefault="00BE5BD6" w:rsidP="00BE5BD6">
      <w:pPr>
        <w:rPr>
          <w:highlight w:val="yellow"/>
        </w:rPr>
      </w:pPr>
      <w:r w:rsidRPr="00740879">
        <w:rPr>
          <w:highlight w:val="yellow"/>
        </w:rPr>
        <w:t>Disclaimer (Artificial intelligence)</w:t>
      </w:r>
    </w:p>
    <w:p w14:paraId="61393793" w14:textId="77777777" w:rsidR="00BE5BD6" w:rsidRPr="00740879" w:rsidRDefault="00BE5BD6" w:rsidP="00BE5BD6">
      <w:pPr>
        <w:rPr>
          <w:highlight w:val="yellow"/>
        </w:rPr>
      </w:pPr>
      <w:bookmarkStart w:id="0" w:name="_GoBack"/>
      <w:bookmarkEnd w:id="0"/>
      <w:r w:rsidRPr="00740879">
        <w:rPr>
          <w:highlight w:val="yellow"/>
        </w:rPr>
        <w:t xml:space="preserve">Option 2: </w:t>
      </w:r>
    </w:p>
    <w:p w14:paraId="6B15F6D7" w14:textId="77777777" w:rsidR="00BE5BD6" w:rsidRPr="00740879" w:rsidRDefault="00BE5BD6" w:rsidP="00BE5BD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AB7A49" w14:textId="77777777" w:rsidR="00BE5BD6" w:rsidRPr="00740879" w:rsidRDefault="00BE5BD6" w:rsidP="00BE5BD6">
      <w:pPr>
        <w:rPr>
          <w:highlight w:val="yellow"/>
        </w:rPr>
      </w:pPr>
      <w:r w:rsidRPr="00740879">
        <w:rPr>
          <w:highlight w:val="yellow"/>
        </w:rPr>
        <w:t>Details of the AI usage are given below:</w:t>
      </w:r>
    </w:p>
    <w:p w14:paraId="017F16D1" w14:textId="2210B621" w:rsidR="00BE5BD6" w:rsidRPr="00740879" w:rsidRDefault="00BE5BD6" w:rsidP="00BE5BD6">
      <w:pPr>
        <w:rPr>
          <w:highlight w:val="yellow"/>
        </w:rPr>
      </w:pPr>
      <w:r w:rsidRPr="00740879">
        <w:rPr>
          <w:highlight w:val="yellow"/>
        </w:rPr>
        <w:t>1.</w:t>
      </w:r>
      <w:r w:rsidR="007B3FAE" w:rsidRPr="007B3FAE">
        <w:t xml:space="preserve"> The authors declare that ChatGPT (GPT-5.2, OpenAI) was used during the manuscript preparation solely for proofreading purposes, specifically to check grammar, clarity, and typographical errors. No generative AI tool was used to generate original content, interpret data, or influence the study’s findings or conclusions.</w:t>
      </w:r>
    </w:p>
    <w:p w14:paraId="039B10AB" w14:textId="77777777" w:rsidR="00BE5BD6" w:rsidRPr="00740879" w:rsidRDefault="00BE5BD6" w:rsidP="00BE5BD6">
      <w:pPr>
        <w:rPr>
          <w:highlight w:val="yellow"/>
        </w:rPr>
      </w:pPr>
      <w:r w:rsidRPr="00740879">
        <w:rPr>
          <w:highlight w:val="yellow"/>
        </w:rPr>
        <w:t>2.</w:t>
      </w:r>
    </w:p>
    <w:p w14:paraId="6EDB2133" w14:textId="77777777" w:rsidR="00BE5BD6" w:rsidRPr="00D047BB" w:rsidRDefault="00BE5BD6" w:rsidP="00BE5BD6">
      <w:r w:rsidRPr="00740879">
        <w:rPr>
          <w:highlight w:val="yellow"/>
        </w:rPr>
        <w:t>3.</w:t>
      </w:r>
    </w:p>
    <w:p w14:paraId="33B62348" w14:textId="77777777" w:rsidR="00DE2353" w:rsidRPr="00DE2353" w:rsidRDefault="00DE2353" w:rsidP="00DE2353"/>
    <w:p w14:paraId="2FBA9994" w14:textId="77777777" w:rsidR="00A94E0D" w:rsidRDefault="00A94E0D"/>
    <w:p w14:paraId="09BE41C2" w14:textId="77777777" w:rsidR="00A94E0D" w:rsidRDefault="00A94E0D"/>
    <w:p w14:paraId="7B202636" w14:textId="62ED56E3" w:rsidR="00A94E0D" w:rsidRPr="00A94E0D" w:rsidRDefault="00614039" w:rsidP="00A94E0D">
      <w:pPr>
        <w:rPr>
          <w:b/>
          <w:bCs/>
        </w:rPr>
      </w:pPr>
      <w:r w:rsidRPr="00A94E0D">
        <w:rPr>
          <w:b/>
          <w:bCs/>
        </w:rPr>
        <w:t xml:space="preserve">References </w:t>
      </w:r>
    </w:p>
    <w:p w14:paraId="1B66E1DA" w14:textId="77777777" w:rsidR="00A94E0D" w:rsidRDefault="00A94E0D" w:rsidP="00A94E0D">
      <w:pPr>
        <w:spacing w:after="0" w:line="240" w:lineRule="auto"/>
      </w:pPr>
    </w:p>
    <w:p w14:paraId="3697259B"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Ahn, E., &amp; Kang, H. (2018). Introduction to systematic review and meta-analysis. Korean Journal of </w:t>
      </w:r>
      <w:proofErr w:type="spellStart"/>
      <w:r>
        <w:rPr>
          <w:rFonts w:ascii="Arial" w:eastAsia="Times New Roman" w:hAnsi="Arial" w:cs="Arial"/>
          <w:sz w:val="18"/>
          <w:szCs w:val="18"/>
        </w:rPr>
        <w:t>Anesthesiology</w:t>
      </w:r>
      <w:proofErr w:type="spellEnd"/>
      <w:r>
        <w:rPr>
          <w:rFonts w:ascii="Arial" w:eastAsia="Times New Roman" w:hAnsi="Arial" w:cs="Arial"/>
          <w:sz w:val="18"/>
          <w:szCs w:val="18"/>
        </w:rPr>
        <w:t>, 71(2), 103-112. https://doi.org/10.4097/kjae.2018.71.2.103</w:t>
      </w:r>
    </w:p>
    <w:p w14:paraId="5F8A8898"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Albalawi</w:t>
      </w:r>
      <w:proofErr w:type="spellEnd"/>
      <w:r>
        <w:rPr>
          <w:rFonts w:ascii="Arial" w:eastAsia="Times New Roman" w:hAnsi="Arial" w:cs="Arial"/>
          <w:sz w:val="18"/>
          <w:szCs w:val="18"/>
        </w:rPr>
        <w:t>, A. S. (2025). Integrating AI into Education: Perspectives from Mathematics Teachers. International Journal of Research in Education and Science, 11(4), 896–921. https://doi.org/10.46328/ijres.3779</w:t>
      </w:r>
    </w:p>
    <w:p w14:paraId="60A70E87"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lastRenderedPageBreak/>
        <w:t xml:space="preserve">Ali, F., Choy, D., </w:t>
      </w:r>
      <w:proofErr w:type="spellStart"/>
      <w:r>
        <w:rPr>
          <w:rFonts w:ascii="Arial" w:eastAsia="Times New Roman" w:hAnsi="Arial" w:cs="Arial"/>
          <w:sz w:val="18"/>
          <w:szCs w:val="18"/>
        </w:rPr>
        <w:t>Divaharan</w:t>
      </w:r>
      <w:proofErr w:type="spellEnd"/>
      <w:r>
        <w:rPr>
          <w:rFonts w:ascii="Arial" w:eastAsia="Times New Roman" w:hAnsi="Arial" w:cs="Arial"/>
          <w:sz w:val="18"/>
          <w:szCs w:val="18"/>
        </w:rPr>
        <w:t xml:space="preserve">, S., Tay, H. Y., &amp; Chen, W. (2023). Supporting Self-Directed Learning and Self-Assessment Using </w:t>
      </w:r>
      <w:proofErr w:type="spellStart"/>
      <w:r>
        <w:rPr>
          <w:rFonts w:ascii="Arial" w:eastAsia="Times New Roman" w:hAnsi="Arial" w:cs="Arial"/>
          <w:sz w:val="18"/>
          <w:szCs w:val="18"/>
        </w:rPr>
        <w:t>TeacherGAIA</w:t>
      </w:r>
      <w:proofErr w:type="spellEnd"/>
      <w:r>
        <w:rPr>
          <w:rFonts w:ascii="Arial" w:eastAsia="Times New Roman" w:hAnsi="Arial" w:cs="Arial"/>
          <w:sz w:val="18"/>
          <w:szCs w:val="18"/>
        </w:rPr>
        <w:t>, a Generative AI Chatbot Application: Learning Approaches and Prompt Engineering. Learning: Research and Practice, 9(2), 135–147. https://doi.org/10.1080/23735082.2023.2258886</w:t>
      </w:r>
    </w:p>
    <w:p w14:paraId="03E52CAF"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Arrington, C., McVey, D., </w:t>
      </w:r>
      <w:proofErr w:type="spellStart"/>
      <w:r>
        <w:rPr>
          <w:rFonts w:ascii="Arial" w:eastAsia="Times New Roman" w:hAnsi="Arial" w:cs="Arial"/>
          <w:sz w:val="18"/>
          <w:szCs w:val="18"/>
        </w:rPr>
        <w:t>Mativo</w:t>
      </w:r>
      <w:proofErr w:type="spellEnd"/>
      <w:r>
        <w:rPr>
          <w:rFonts w:ascii="Arial" w:eastAsia="Times New Roman" w:hAnsi="Arial" w:cs="Arial"/>
          <w:sz w:val="18"/>
          <w:szCs w:val="18"/>
        </w:rPr>
        <w:t>, J., &amp; Pidaparti, R. M. (2025). Enhancing Teacher Effectiveness with AI Based Prompt Engineering: A Proof of Concept. Journal of STEM Education: Innovations and Research, 26(2), 5–10. https://doi.org/10.63504/jstem.v26i2.2711</w:t>
      </w:r>
    </w:p>
    <w:p w14:paraId="09EFEEAC"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Bangdiwala</w:t>
      </w:r>
      <w:proofErr w:type="spellEnd"/>
      <w:r>
        <w:rPr>
          <w:rFonts w:ascii="Arial" w:eastAsia="Times New Roman" w:hAnsi="Arial" w:cs="Arial"/>
          <w:sz w:val="18"/>
          <w:szCs w:val="18"/>
        </w:rPr>
        <w:t>, S. I. (2024). The importance of systematic reviews. International Journal of Injury Control and Safety Promotion, 31(3), 347-349. https://doi.org/10.1080/17457300.2024.2388484</w:t>
      </w:r>
    </w:p>
    <w:p w14:paraId="54A3FFB2"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Belloula</w:t>
      </w:r>
      <w:proofErr w:type="spellEnd"/>
      <w:r>
        <w:rPr>
          <w:rFonts w:ascii="Arial" w:eastAsia="Times New Roman" w:hAnsi="Arial" w:cs="Arial"/>
          <w:sz w:val="18"/>
          <w:szCs w:val="18"/>
        </w:rPr>
        <w:t>, S. (2025). Empowering Educators: Leveraging AI to Revolutionize Lesson Planning. International Journal of Research in Education and Science, 11(2), 264–280. https://doi.org/10.46328/ijres.1295</w:t>
      </w:r>
    </w:p>
    <w:p w14:paraId="329526E2"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Cain, W. (2023). Prompting Change: Exploring Prompt Engineering in Large Language Model AI and Its Potential to Transform Education. </w:t>
      </w:r>
      <w:proofErr w:type="spellStart"/>
      <w:r>
        <w:rPr>
          <w:rFonts w:ascii="Arial" w:eastAsia="Times New Roman" w:hAnsi="Arial" w:cs="Arial"/>
          <w:sz w:val="18"/>
          <w:szCs w:val="18"/>
        </w:rPr>
        <w:t>TechTrends</w:t>
      </w:r>
      <w:proofErr w:type="spellEnd"/>
      <w:r>
        <w:rPr>
          <w:rFonts w:ascii="Arial" w:eastAsia="Times New Roman" w:hAnsi="Arial" w:cs="Arial"/>
          <w:sz w:val="18"/>
          <w:szCs w:val="18"/>
        </w:rPr>
        <w:t>, 68, 47–57. https://doi.org/10.1007/s11528-023-00896-0</w:t>
      </w:r>
    </w:p>
    <w:p w14:paraId="1F017010"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Choi, S., &amp; Kim, H. (2024). The impact of a large language model-based programming learning environment on students’ motivation and programming ability. Education and Information Technologies, 30(6), 8109–8138. https://doi.org/10.1007/s10639-024-13107-x</w:t>
      </w:r>
    </w:p>
    <w:p w14:paraId="1534E5FD"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Colen, J. (2025). Teacher Candidates’ Perceptions of AI Integration in Secondary Education: A Comparative Study of STEM and Non-STEM Majors. International Journal of Education in Mathematics, Science and Technology, 13(5), 1097–1112. https://doi.org/10.46328/ijemst.5701</w:t>
      </w:r>
    </w:p>
    <w:p w14:paraId="2967DC06"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Dimeli, M., &amp; Kostas, A. (2025). The role of ChatGPT in education: Applications, challenges: Insights from a systematic review. Journal of Information Technology Education: Research, 24. https://doi.org/10.28945/5422</w:t>
      </w:r>
    </w:p>
    <w:p w14:paraId="1070A61A" w14:textId="77777777" w:rsidR="005C5D87" w:rsidRDefault="005C5D87" w:rsidP="00514089">
      <w:r w:rsidRPr="00B80EF1">
        <w:t xml:space="preserve">Google Education (October 2024). A quick-Start handbook for effective prompts. Retrieved from </w:t>
      </w:r>
      <w:hyperlink r:id="rId9" w:history="1">
        <w:r w:rsidRPr="00215075">
          <w:rPr>
            <w:rStyle w:val="Hyperlink"/>
          </w:rPr>
          <w:t>https://services.google.com/fh/files/misc/gemini-for-google-workspace-prompting-guide-101.pdf</w:t>
        </w:r>
      </w:hyperlink>
    </w:p>
    <w:p w14:paraId="4CA0F7B4"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Guilbault, K. M., Wang, Y., &amp; McCormick, K. M. (2025). Using ChatGPT in the Secondary Gifted Classroom for Personalized Learning and Mentoring. Gifted Child Today, 48(2), 93–103. https://doi.org/10.1177/10762175241308950</w:t>
      </w:r>
    </w:p>
    <w:p w14:paraId="564BA070"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Haddaway, N. R., Page, M. J., Pritchard, C. C., &amp; McGuinness, L. A. (2022). PRISMA2020: An R package and Shiny app for producing PRISMA 2020-compliant flow diagrams, with interactivity for optimised digital transparency and Open Synthesis. Campbell Systematic Reviews, 18(2), e1230 https://doi.org/10.1002/cl2.1230</w:t>
      </w:r>
    </w:p>
    <w:p w14:paraId="2E56BFAE" w14:textId="77777777" w:rsidR="005C5D87" w:rsidRDefault="005C5D87" w:rsidP="00514089">
      <w:r w:rsidRPr="009E49E5">
        <w:t xml:space="preserve">Hadi, M. U., al </w:t>
      </w:r>
      <w:proofErr w:type="spellStart"/>
      <w:r w:rsidRPr="009E49E5">
        <w:t>tashi</w:t>
      </w:r>
      <w:proofErr w:type="spellEnd"/>
      <w:r w:rsidRPr="009E49E5">
        <w:t xml:space="preserve">, </w:t>
      </w:r>
      <w:proofErr w:type="spellStart"/>
      <w:r w:rsidRPr="009E49E5">
        <w:t>qasem</w:t>
      </w:r>
      <w:proofErr w:type="spellEnd"/>
      <w:r w:rsidRPr="009E49E5">
        <w:t xml:space="preserve">, Qureshi, R., Shah, A., Muneer, A., Irfan, M., Zafar, A., Shaikh, M. B., Akhtar, N., Wu, J., &amp; </w:t>
      </w:r>
      <w:proofErr w:type="spellStart"/>
      <w:r w:rsidRPr="009E49E5">
        <w:t>Mirjalili</w:t>
      </w:r>
      <w:proofErr w:type="spellEnd"/>
      <w:r w:rsidRPr="009E49E5">
        <w:t xml:space="preserve">, S. (2023). A Survey on Large Language Models: Applications, Challenges, Limitations, and Practical Usage. </w:t>
      </w:r>
      <w:hyperlink r:id="rId10" w:history="1">
        <w:r w:rsidRPr="00215075">
          <w:rPr>
            <w:rStyle w:val="Hyperlink"/>
          </w:rPr>
          <w:t>https://doi.org/10.36227/techrxiv.23589741.v1</w:t>
        </w:r>
      </w:hyperlink>
    </w:p>
    <w:p w14:paraId="51044BA1"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Hays, L., Jurkowski, O., &amp; Sims, S. K. (2024). ChatGPT in K-12 Education. </w:t>
      </w:r>
      <w:proofErr w:type="spellStart"/>
      <w:r>
        <w:rPr>
          <w:rFonts w:ascii="Arial" w:eastAsia="Times New Roman" w:hAnsi="Arial" w:cs="Arial"/>
          <w:sz w:val="18"/>
          <w:szCs w:val="18"/>
        </w:rPr>
        <w:t>TechTrends</w:t>
      </w:r>
      <w:proofErr w:type="spellEnd"/>
      <w:r>
        <w:rPr>
          <w:rFonts w:ascii="Arial" w:eastAsia="Times New Roman" w:hAnsi="Arial" w:cs="Arial"/>
          <w:sz w:val="18"/>
          <w:szCs w:val="18"/>
        </w:rPr>
        <w:t>: Linking Research and Practice to Improve Learning, 68(2), 281–294. https://doi.org/10.1007/s11528-023-00924-z</w:t>
      </w:r>
    </w:p>
    <w:p w14:paraId="2CD63C07" w14:textId="77777777" w:rsidR="005C5D87" w:rsidRPr="00246272" w:rsidRDefault="005C5D87" w:rsidP="00246272">
      <w:r w:rsidRPr="00246272">
        <w:t xml:space="preserve">Heston, T. F., Khun, C., Heston, T. F., &amp; Khun, C. (2023). Prompt Engineering in Medical Education. </w:t>
      </w:r>
      <w:r w:rsidRPr="00246272">
        <w:rPr>
          <w:i/>
          <w:iCs/>
        </w:rPr>
        <w:t>International Medical Education</w:t>
      </w:r>
      <w:r w:rsidRPr="00246272">
        <w:t xml:space="preserve">, </w:t>
      </w:r>
      <w:r w:rsidRPr="00246272">
        <w:rPr>
          <w:i/>
          <w:iCs/>
        </w:rPr>
        <w:t>2</w:t>
      </w:r>
      <w:r w:rsidRPr="00246272">
        <w:t>(3), 198-205. https://doi.org/10.3390/ime2030019</w:t>
      </w:r>
    </w:p>
    <w:p w14:paraId="31C99888" w14:textId="77777777" w:rsidR="005C5D87" w:rsidRDefault="005C5D87" w:rsidP="00432A2D">
      <w:r w:rsidRPr="00432A2D">
        <w:t xml:space="preserve">Hsu, H.-P. (2025). From Programming to Prompting: Developing Computational Thinking through Large Language Model-Based Generative Artificial Intelligence. </w:t>
      </w:r>
      <w:proofErr w:type="spellStart"/>
      <w:r w:rsidRPr="00432A2D">
        <w:rPr>
          <w:i/>
          <w:iCs/>
        </w:rPr>
        <w:t>TechTrends</w:t>
      </w:r>
      <w:proofErr w:type="spellEnd"/>
      <w:r w:rsidRPr="00432A2D">
        <w:t xml:space="preserve">, </w:t>
      </w:r>
      <w:r w:rsidRPr="00432A2D">
        <w:rPr>
          <w:i/>
          <w:iCs/>
        </w:rPr>
        <w:t>69</w:t>
      </w:r>
      <w:r w:rsidRPr="00432A2D">
        <w:t xml:space="preserve">(3), 485–506. </w:t>
      </w:r>
      <w:hyperlink r:id="rId11" w:history="1">
        <w:r w:rsidRPr="00432A2D">
          <w:rPr>
            <w:rStyle w:val="Hyperlink"/>
          </w:rPr>
          <w:t>https://doi.org/10.1007/s11528-025-01052-6</w:t>
        </w:r>
      </w:hyperlink>
    </w:p>
    <w:p w14:paraId="1DED77E5"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Iddrisu, H. M., &amp; Iddrisu, S. A. (2025). Teacher Readiness to Use AI Tools in the Classroom. International Journal of Research in Education and Science, 11(3), 494–510. https://doi.org/10.46328/ijres.1314</w:t>
      </w:r>
    </w:p>
    <w:p w14:paraId="3A1D418B"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Khazanchi</w:t>
      </w:r>
      <w:proofErr w:type="spellEnd"/>
      <w:r>
        <w:rPr>
          <w:rFonts w:ascii="Arial" w:eastAsia="Times New Roman" w:hAnsi="Arial" w:cs="Arial"/>
          <w:sz w:val="18"/>
          <w:szCs w:val="18"/>
        </w:rPr>
        <w:t xml:space="preserve">, R., Di Mitri, D., &amp; </w:t>
      </w:r>
      <w:proofErr w:type="spellStart"/>
      <w:r>
        <w:rPr>
          <w:rFonts w:ascii="Arial" w:eastAsia="Times New Roman" w:hAnsi="Arial" w:cs="Arial"/>
          <w:sz w:val="18"/>
          <w:szCs w:val="18"/>
        </w:rPr>
        <w:t>Drachsler</w:t>
      </w:r>
      <w:proofErr w:type="spellEnd"/>
      <w:r>
        <w:rPr>
          <w:rFonts w:ascii="Arial" w:eastAsia="Times New Roman" w:hAnsi="Arial" w:cs="Arial"/>
          <w:sz w:val="18"/>
          <w:szCs w:val="18"/>
        </w:rPr>
        <w:t>, H. (2025). The Effect of AI-Based Systems on Mathematics Achievement in Rural Context: A Quantitative Study. Journal of Computer Assisted Learning, 41(1). https://doi.org/10.1111/jcal.13098</w:t>
      </w:r>
    </w:p>
    <w:p w14:paraId="0F683190" w14:textId="77777777" w:rsidR="005C5D87" w:rsidRPr="000A2EE3" w:rsidRDefault="005C5D87" w:rsidP="000A2EE3">
      <w:r w:rsidRPr="000A2EE3">
        <w:t xml:space="preserve">Lo, L. S. (2023). The CLEAR path: A framework for enhancing information literacy through prompt engineering. </w:t>
      </w:r>
      <w:r w:rsidRPr="000A2EE3">
        <w:rPr>
          <w:i/>
          <w:iCs/>
        </w:rPr>
        <w:t>The Journal of Academic Librarianship</w:t>
      </w:r>
      <w:r w:rsidRPr="000A2EE3">
        <w:t xml:space="preserve">, </w:t>
      </w:r>
      <w:r w:rsidRPr="000A2EE3">
        <w:rPr>
          <w:i/>
          <w:iCs/>
        </w:rPr>
        <w:t>49</w:t>
      </w:r>
      <w:r w:rsidRPr="000A2EE3">
        <w:t>(4), 102720. https://doi.org/10.1016/j.acalib.2023.102720</w:t>
      </w:r>
    </w:p>
    <w:p w14:paraId="2B422067"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lastRenderedPageBreak/>
        <w:t>Maqbool, S., Zafeer, H. M. I., Maqbool, S., Tariq, A., &amp; Amjad, I. A. (2025). Empowering educators for the AI revolution: Bridging gaps in preparedness and equity in classrooms. International Journal of Technology in Education, 8(4), 1129–1145. https://doi.org/10.46328/ijte.1237</w:t>
      </w:r>
    </w:p>
    <w:p w14:paraId="22E1E703"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Meskó</w:t>
      </w:r>
      <w:proofErr w:type="spellEnd"/>
      <w:r>
        <w:rPr>
          <w:rFonts w:ascii="Arial" w:eastAsia="Times New Roman" w:hAnsi="Arial" w:cs="Arial"/>
          <w:sz w:val="18"/>
          <w:szCs w:val="18"/>
        </w:rPr>
        <w:t>, B. (2023). Prompt engineering as an important emerging skill for medical professionals: tutorial. Journal of medical Internet research, 25, e50638. https://doi.org/10.2196/50638</w:t>
      </w:r>
    </w:p>
    <w:p w14:paraId="4F681E87" w14:textId="77777777" w:rsidR="005C5D87" w:rsidRDefault="005C5D87" w:rsidP="005C5D87">
      <w:pPr>
        <w:rPr>
          <w:rFonts w:ascii="Arial" w:eastAsia="Times New Roman" w:hAnsi="Arial" w:cs="Arial"/>
          <w:sz w:val="18"/>
          <w:szCs w:val="18"/>
        </w:rPr>
      </w:pPr>
      <w:r w:rsidRPr="005C5D87">
        <w:rPr>
          <w:rFonts w:ascii="Arial" w:eastAsia="Times New Roman" w:hAnsi="Arial" w:cs="Arial"/>
          <w:sz w:val="18"/>
          <w:szCs w:val="18"/>
        </w:rPr>
        <w:t xml:space="preserve">Miao, F., &amp; </w:t>
      </w:r>
      <w:proofErr w:type="spellStart"/>
      <w:r w:rsidRPr="005C5D87">
        <w:rPr>
          <w:rFonts w:ascii="Arial" w:eastAsia="Times New Roman" w:hAnsi="Arial" w:cs="Arial"/>
          <w:sz w:val="18"/>
          <w:szCs w:val="18"/>
        </w:rPr>
        <w:t>Cukurova</w:t>
      </w:r>
      <w:proofErr w:type="spellEnd"/>
      <w:r w:rsidRPr="005C5D87">
        <w:rPr>
          <w:rFonts w:ascii="Arial" w:eastAsia="Times New Roman" w:hAnsi="Arial" w:cs="Arial"/>
          <w:sz w:val="18"/>
          <w:szCs w:val="18"/>
        </w:rPr>
        <w:t>, M. (2024). AI competency framework for teachers. In UNESCO eBooks. UNESCO. https://doi.org/10.54675/zjte2084</w:t>
      </w:r>
    </w:p>
    <w:p w14:paraId="686802F9" w14:textId="77777777" w:rsidR="005C5D87" w:rsidRPr="005C5D87" w:rsidRDefault="005C5D87" w:rsidP="005C5D87">
      <w:pPr>
        <w:rPr>
          <w:rFonts w:ascii="Arial" w:eastAsia="Times New Roman" w:hAnsi="Arial" w:cs="Arial"/>
          <w:sz w:val="18"/>
          <w:szCs w:val="18"/>
        </w:rPr>
      </w:pPr>
      <w:r w:rsidRPr="005C5D87">
        <w:rPr>
          <w:rFonts w:ascii="Arial" w:eastAsia="Times New Roman" w:hAnsi="Arial" w:cs="Arial"/>
          <w:sz w:val="18"/>
          <w:szCs w:val="18"/>
        </w:rPr>
        <w:t xml:space="preserve">Miao, F., &amp; </w:t>
      </w:r>
      <w:proofErr w:type="spellStart"/>
      <w:r w:rsidRPr="005C5D87">
        <w:rPr>
          <w:rFonts w:ascii="Arial" w:eastAsia="Times New Roman" w:hAnsi="Arial" w:cs="Arial"/>
          <w:sz w:val="18"/>
          <w:szCs w:val="18"/>
        </w:rPr>
        <w:t>Shiohira</w:t>
      </w:r>
      <w:proofErr w:type="spellEnd"/>
      <w:r w:rsidRPr="005C5D87">
        <w:rPr>
          <w:rFonts w:ascii="Arial" w:eastAsia="Times New Roman" w:hAnsi="Arial" w:cs="Arial"/>
          <w:sz w:val="18"/>
          <w:szCs w:val="18"/>
        </w:rPr>
        <w:t>, K. (2024). AI Competency Framework for Students. In UNESCO eBooks. UNESCO. https://doi.org/10.54675/jkjb9835</w:t>
      </w:r>
    </w:p>
    <w:p w14:paraId="7946F3CE" w14:textId="77777777" w:rsidR="005C5D87" w:rsidRPr="00E8155C" w:rsidRDefault="005C5D87" w:rsidP="00A94E0D">
      <w:pPr>
        <w:spacing w:after="0" w:line="240" w:lineRule="auto"/>
      </w:pPr>
      <w:r w:rsidRPr="00E8155C">
        <w:t xml:space="preserve">Page, M. J., McKenzie, J. E., Bossuyt, P. M., Boutron, I., Hoffmann, T. C., Mulrow, C. D., </w:t>
      </w:r>
      <w:proofErr w:type="spellStart"/>
      <w:r w:rsidRPr="00E8155C">
        <w:t>Shamseer</w:t>
      </w:r>
      <w:proofErr w:type="spellEnd"/>
      <w:r w:rsidRPr="00E8155C">
        <w:t>, L., Tetzlaff, J. M., Akl, E. A., Brennan, S. E., Chou, R., Glanville, J., Grimshaw, J. M., Hróbjartsson, A., Lalu, M. M., Li, T., Loder, E. W., Mayo-Wilson, E., McDonald, S., &amp; McGuinness, L. A. (2021). The PRISMA 2020 statement: An updated guideline for reporting systematic reviews. British Medical Journal, 372(71). https://doi.org/10.1136/bmj.n71</w:t>
      </w:r>
    </w:p>
    <w:p w14:paraId="32040E83"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Park, J., &amp; Choo, S. (2024). Generative AI Prompt Engineering for Educators: Practical Strategies. Journal of Special Education Technology, 40(3), 411–417. https://doi.org/10.1177/01626434241298954</w:t>
      </w:r>
    </w:p>
    <w:p w14:paraId="60AD87FC"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Park, W., &amp; Kwon, H. (2024). Implementing Artificial Intelligence Education for Middle School Technology Education in Republic of Korea. International Journal of Technology and Design Education, 34(1), 109–135. https://doi.org/10.1007/s10798-023-09812-2</w:t>
      </w:r>
    </w:p>
    <w:p w14:paraId="7C46CAED"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Pilault</w:t>
      </w:r>
      <w:proofErr w:type="spellEnd"/>
      <w:r>
        <w:rPr>
          <w:rFonts w:ascii="Arial" w:eastAsia="Times New Roman" w:hAnsi="Arial" w:cs="Arial"/>
          <w:sz w:val="18"/>
          <w:szCs w:val="18"/>
        </w:rPr>
        <w:t xml:space="preserve">, J., Garcia, X., </w:t>
      </w:r>
      <w:proofErr w:type="spellStart"/>
      <w:r>
        <w:rPr>
          <w:rFonts w:ascii="Arial" w:eastAsia="Times New Roman" w:hAnsi="Arial" w:cs="Arial"/>
          <w:sz w:val="18"/>
          <w:szCs w:val="18"/>
        </w:rPr>
        <w:t>Bražinskas</w:t>
      </w:r>
      <w:proofErr w:type="spellEnd"/>
      <w:r>
        <w:rPr>
          <w:rFonts w:ascii="Arial" w:eastAsia="Times New Roman" w:hAnsi="Arial" w:cs="Arial"/>
          <w:sz w:val="18"/>
          <w:szCs w:val="18"/>
        </w:rPr>
        <w:t xml:space="preserve">, A., &amp; Firat, O. (2023). Interactive-Chain-Prompting: Ambiguity Resolution for </w:t>
      </w:r>
      <w:proofErr w:type="spellStart"/>
      <w:r>
        <w:rPr>
          <w:rFonts w:ascii="Arial" w:eastAsia="Times New Roman" w:hAnsi="Arial" w:cs="Arial"/>
          <w:sz w:val="18"/>
          <w:szCs w:val="18"/>
        </w:rPr>
        <w:t>Crosslingual</w:t>
      </w:r>
      <w:proofErr w:type="spellEnd"/>
      <w:r>
        <w:rPr>
          <w:rFonts w:ascii="Arial" w:eastAsia="Times New Roman" w:hAnsi="Arial" w:cs="Arial"/>
          <w:sz w:val="18"/>
          <w:szCs w:val="18"/>
        </w:rPr>
        <w:t xml:space="preserve"> Conditional Generation with Interaction. In *Proceedings of the 13th International Joint Conference on Natural Language Processing and the 3rd Conference of the Asia-Pacific Chapter of the Association for Computational Linguistics (Volume 1: Long </w:t>
      </w:r>
      <w:proofErr w:type="gramStart"/>
      <w:r>
        <w:rPr>
          <w:rFonts w:ascii="Arial" w:eastAsia="Times New Roman" w:hAnsi="Arial" w:cs="Arial"/>
          <w:sz w:val="18"/>
          <w:szCs w:val="18"/>
        </w:rPr>
        <w:t>Papers)*</w:t>
      </w:r>
      <w:proofErr w:type="gramEnd"/>
      <w:r>
        <w:rPr>
          <w:rFonts w:ascii="Arial" w:eastAsia="Times New Roman" w:hAnsi="Arial" w:cs="Arial"/>
          <w:sz w:val="18"/>
          <w:szCs w:val="18"/>
        </w:rPr>
        <w:t xml:space="preserve"> (pp. 455–483), Nusa Dua, Bali. Association for Computational Linguistics. https://aclanthology.org/2023.ijcnlp-main.31/</w:t>
      </w:r>
    </w:p>
    <w:p w14:paraId="42E3D405"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Pollock, A., &amp; Berge, E. (2018). How to do a systematic review. International Journal of Stroke, 13(2), 138-156. https://doi.org/10.1177/1747493017743796</w:t>
      </w:r>
    </w:p>
    <w:p w14:paraId="39498947"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Qian, Y. (2025). Prompt Engineering in Education: A Systematic Review of Approaches and Educational Applications. Journal of Educational Computing Research, 63(7–8), 1782–1818. https://doi.org/10.1177/07356331251365189</w:t>
      </w:r>
    </w:p>
    <w:p w14:paraId="55242AE1"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Rapti</w:t>
      </w:r>
      <w:proofErr w:type="spellEnd"/>
      <w:r>
        <w:rPr>
          <w:rFonts w:ascii="Arial" w:eastAsia="Times New Roman" w:hAnsi="Arial" w:cs="Arial"/>
          <w:sz w:val="18"/>
          <w:szCs w:val="18"/>
        </w:rPr>
        <w:t>, C., &amp; Panagiotidis, P. (2024). Teachers’ Attitudes towards AI Integration in Foreign Language Learning: Supporting Differentiated Instruction and Flipped Classroom. European Journal of Education (EJED), 7(2), 88–104. https://www.revistia.org/journals/eje/current-issue</w:t>
      </w:r>
    </w:p>
    <w:p w14:paraId="678DDB85"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Rey, K. T. (2025). Harnessing AI in secondary education in Chinese Hong Kong: The role of prompt engineering. Journal of China Computer-Assisted Language Learning. https://doi.org/10.1515/jccall-2025-0016</w:t>
      </w:r>
    </w:p>
    <w:p w14:paraId="482B58BB"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Schulhoff, S., Ilie, M., </w:t>
      </w:r>
      <w:proofErr w:type="spellStart"/>
      <w:r>
        <w:rPr>
          <w:rFonts w:ascii="Arial" w:eastAsia="Times New Roman" w:hAnsi="Arial" w:cs="Arial"/>
          <w:sz w:val="18"/>
          <w:szCs w:val="18"/>
        </w:rPr>
        <w:t>Balepur</w:t>
      </w:r>
      <w:proofErr w:type="spellEnd"/>
      <w:r>
        <w:rPr>
          <w:rFonts w:ascii="Arial" w:eastAsia="Times New Roman" w:hAnsi="Arial" w:cs="Arial"/>
          <w:sz w:val="18"/>
          <w:szCs w:val="18"/>
        </w:rPr>
        <w:t xml:space="preserve">, N., Kahadze, K., Liu, A., Si, C., Li, Y., Gupta, A., Han, H., Schulhoff, S., </w:t>
      </w:r>
      <w:proofErr w:type="spellStart"/>
      <w:r>
        <w:rPr>
          <w:rFonts w:ascii="Arial" w:eastAsia="Times New Roman" w:hAnsi="Arial" w:cs="Arial"/>
          <w:sz w:val="18"/>
          <w:szCs w:val="18"/>
        </w:rPr>
        <w:t>Dulepet</w:t>
      </w:r>
      <w:proofErr w:type="spellEnd"/>
      <w:r>
        <w:rPr>
          <w:rFonts w:ascii="Arial" w:eastAsia="Times New Roman" w:hAnsi="Arial" w:cs="Arial"/>
          <w:sz w:val="18"/>
          <w:szCs w:val="18"/>
        </w:rPr>
        <w:t xml:space="preserve">, P. S., Vidyadhara, S., Ki, D., Agrawal, S., Pham, C., </w:t>
      </w:r>
      <w:proofErr w:type="spellStart"/>
      <w:r>
        <w:rPr>
          <w:rFonts w:ascii="Arial" w:eastAsia="Times New Roman" w:hAnsi="Arial" w:cs="Arial"/>
          <w:sz w:val="18"/>
          <w:szCs w:val="18"/>
        </w:rPr>
        <w:t>Kroiz</w:t>
      </w:r>
      <w:proofErr w:type="spellEnd"/>
      <w:r>
        <w:rPr>
          <w:rFonts w:ascii="Arial" w:eastAsia="Times New Roman" w:hAnsi="Arial" w:cs="Arial"/>
          <w:sz w:val="18"/>
          <w:szCs w:val="18"/>
        </w:rPr>
        <w:t xml:space="preserve">, G., Li, F., Tao, H., Srivastava, A., Da Costa, H., Gupta, S., Rogers, M. L., </w:t>
      </w:r>
      <w:proofErr w:type="spellStart"/>
      <w:r>
        <w:rPr>
          <w:rFonts w:ascii="Arial" w:eastAsia="Times New Roman" w:hAnsi="Arial" w:cs="Arial"/>
          <w:sz w:val="18"/>
          <w:szCs w:val="18"/>
        </w:rPr>
        <w:t>Goncearenco</w:t>
      </w:r>
      <w:proofErr w:type="spellEnd"/>
      <w:r>
        <w:rPr>
          <w:rFonts w:ascii="Arial" w:eastAsia="Times New Roman" w:hAnsi="Arial" w:cs="Arial"/>
          <w:sz w:val="18"/>
          <w:szCs w:val="18"/>
        </w:rPr>
        <w:t xml:space="preserve">, I., Sarli, G., </w:t>
      </w:r>
      <w:proofErr w:type="spellStart"/>
      <w:r>
        <w:rPr>
          <w:rFonts w:ascii="Arial" w:eastAsia="Times New Roman" w:hAnsi="Arial" w:cs="Arial"/>
          <w:sz w:val="18"/>
          <w:szCs w:val="18"/>
        </w:rPr>
        <w:t>Galynker</w:t>
      </w:r>
      <w:proofErr w:type="spellEnd"/>
      <w:r>
        <w:rPr>
          <w:rFonts w:ascii="Arial" w:eastAsia="Times New Roman" w:hAnsi="Arial" w:cs="Arial"/>
          <w:sz w:val="18"/>
          <w:szCs w:val="18"/>
        </w:rPr>
        <w:t xml:space="preserve">, I., </w:t>
      </w:r>
      <w:proofErr w:type="spellStart"/>
      <w:r>
        <w:rPr>
          <w:rFonts w:ascii="Arial" w:eastAsia="Times New Roman" w:hAnsi="Arial" w:cs="Arial"/>
          <w:sz w:val="18"/>
          <w:szCs w:val="18"/>
        </w:rPr>
        <w:t>Peskoff</w:t>
      </w:r>
      <w:proofErr w:type="spellEnd"/>
      <w:r>
        <w:rPr>
          <w:rFonts w:ascii="Arial" w:eastAsia="Times New Roman" w:hAnsi="Arial" w:cs="Arial"/>
          <w:sz w:val="18"/>
          <w:szCs w:val="18"/>
        </w:rPr>
        <w:t xml:space="preserve">, D., </w:t>
      </w:r>
      <w:proofErr w:type="spellStart"/>
      <w:r>
        <w:rPr>
          <w:rFonts w:ascii="Arial" w:eastAsia="Times New Roman" w:hAnsi="Arial" w:cs="Arial"/>
          <w:sz w:val="18"/>
          <w:szCs w:val="18"/>
        </w:rPr>
        <w:t>Carpuat</w:t>
      </w:r>
      <w:proofErr w:type="spellEnd"/>
      <w:r>
        <w:rPr>
          <w:rFonts w:ascii="Arial" w:eastAsia="Times New Roman" w:hAnsi="Arial" w:cs="Arial"/>
          <w:sz w:val="18"/>
          <w:szCs w:val="18"/>
        </w:rPr>
        <w:t>, M., White, J., Anadkat, S., Hoyle, A., &amp; Resnik, P. (2024). The Prompt Report: A Systematic Survey of Prompt Engineering Techniques. https://doi.org/10.48550/arXiv.2406.06608</w:t>
      </w:r>
    </w:p>
    <w:p w14:paraId="41F7C87D"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Schulhoff, S., Ilie, M., </w:t>
      </w:r>
      <w:proofErr w:type="spellStart"/>
      <w:r>
        <w:rPr>
          <w:rFonts w:ascii="Arial" w:eastAsia="Times New Roman" w:hAnsi="Arial" w:cs="Arial"/>
          <w:sz w:val="18"/>
          <w:szCs w:val="18"/>
        </w:rPr>
        <w:t>Balepur</w:t>
      </w:r>
      <w:proofErr w:type="spellEnd"/>
      <w:r>
        <w:rPr>
          <w:rFonts w:ascii="Arial" w:eastAsia="Times New Roman" w:hAnsi="Arial" w:cs="Arial"/>
          <w:sz w:val="18"/>
          <w:szCs w:val="18"/>
        </w:rPr>
        <w:t xml:space="preserve">, N., Kahadze, K., Liu, A., Si, C., Li, Y., Gupta, A., Han, H., Schulhoff, S., </w:t>
      </w:r>
      <w:proofErr w:type="spellStart"/>
      <w:r>
        <w:rPr>
          <w:rFonts w:ascii="Arial" w:eastAsia="Times New Roman" w:hAnsi="Arial" w:cs="Arial"/>
          <w:sz w:val="18"/>
          <w:szCs w:val="18"/>
        </w:rPr>
        <w:t>Dulepet</w:t>
      </w:r>
      <w:proofErr w:type="spellEnd"/>
      <w:r>
        <w:rPr>
          <w:rFonts w:ascii="Arial" w:eastAsia="Times New Roman" w:hAnsi="Arial" w:cs="Arial"/>
          <w:sz w:val="18"/>
          <w:szCs w:val="18"/>
        </w:rPr>
        <w:t xml:space="preserve">, P. S., Vidyadhara, S., Ki, D., Agrawal, S., Pham, C., </w:t>
      </w:r>
      <w:proofErr w:type="spellStart"/>
      <w:r>
        <w:rPr>
          <w:rFonts w:ascii="Arial" w:eastAsia="Times New Roman" w:hAnsi="Arial" w:cs="Arial"/>
          <w:sz w:val="18"/>
          <w:szCs w:val="18"/>
        </w:rPr>
        <w:t>Kroiz</w:t>
      </w:r>
      <w:proofErr w:type="spellEnd"/>
      <w:r>
        <w:rPr>
          <w:rFonts w:ascii="Arial" w:eastAsia="Times New Roman" w:hAnsi="Arial" w:cs="Arial"/>
          <w:sz w:val="18"/>
          <w:szCs w:val="18"/>
        </w:rPr>
        <w:t>, G., Li, F., Tao, H., Srivastava, A., ... Resnik, P. (2024). The prompt report: A systematic survey of prompt engineering techniques. https://doi.org/10.48550/arXiv.2406.06608</w:t>
      </w:r>
    </w:p>
    <w:p w14:paraId="59D332FC" w14:textId="77777777" w:rsidR="005C5D87" w:rsidRDefault="005C5D87" w:rsidP="00B7682E">
      <w:pPr>
        <w:rPr>
          <w:rFonts w:ascii="Arial" w:eastAsia="Times New Roman" w:hAnsi="Arial" w:cs="Arial"/>
          <w:sz w:val="18"/>
          <w:szCs w:val="18"/>
        </w:rPr>
      </w:pPr>
      <w:proofErr w:type="spellStart"/>
      <w:r>
        <w:rPr>
          <w:rFonts w:ascii="Arial" w:eastAsia="Times New Roman" w:hAnsi="Arial" w:cs="Arial"/>
          <w:sz w:val="18"/>
          <w:szCs w:val="18"/>
        </w:rPr>
        <w:t>Surahman</w:t>
      </w:r>
      <w:proofErr w:type="spellEnd"/>
      <w:r>
        <w:rPr>
          <w:rFonts w:ascii="Arial" w:eastAsia="Times New Roman" w:hAnsi="Arial" w:cs="Arial"/>
          <w:sz w:val="18"/>
          <w:szCs w:val="18"/>
        </w:rPr>
        <w:t>, E., &amp; Wang, T.-H. (2022). Academic Dishonesty and Trustworthy Assessment in Online Learning: A Systematic Literature Review. Journal of Computer Assisted Learning, 38(6), 1535–1553. https://doi.org/10.1111/jcal.12708</w:t>
      </w:r>
    </w:p>
    <w:p w14:paraId="1657C3A4"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Tan, B., Jin, H.-Y., &amp; </w:t>
      </w:r>
      <w:proofErr w:type="spellStart"/>
      <w:r>
        <w:rPr>
          <w:rFonts w:ascii="Arial" w:eastAsia="Times New Roman" w:hAnsi="Arial" w:cs="Arial"/>
          <w:sz w:val="18"/>
          <w:szCs w:val="18"/>
        </w:rPr>
        <w:t>Cutumisu</w:t>
      </w:r>
      <w:proofErr w:type="spellEnd"/>
      <w:r>
        <w:rPr>
          <w:rFonts w:ascii="Arial" w:eastAsia="Times New Roman" w:hAnsi="Arial" w:cs="Arial"/>
          <w:sz w:val="18"/>
          <w:szCs w:val="18"/>
        </w:rPr>
        <w:t>, M. (2023). The applications of machine learning in computational thinking assessments: a scoping review. Computer Science Education, 34(2), 193–221. https://doi.org/10.1080/08993408.2023.2245687</w:t>
      </w:r>
    </w:p>
    <w:p w14:paraId="3FF9391A"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lastRenderedPageBreak/>
        <w:t>Unal, A., &amp; Unal, Z. (2024). Evaluating the Integration of Artificial Intelligence (AI) in K-12 Education. Journal of Interactive Learning Research, 35(3), 353–387. https://doi.org/10.70725/546995xiatpy</w:t>
      </w:r>
    </w:p>
    <w:p w14:paraId="57108212" w14:textId="77777777" w:rsidR="005C5D87" w:rsidRPr="005C5D87" w:rsidRDefault="005C5D87" w:rsidP="005C5D87">
      <w:pPr>
        <w:rPr>
          <w:rFonts w:ascii="Arial" w:eastAsia="Times New Roman" w:hAnsi="Arial" w:cs="Arial"/>
          <w:sz w:val="18"/>
          <w:szCs w:val="18"/>
        </w:rPr>
      </w:pPr>
      <w:r w:rsidRPr="005C5D87">
        <w:rPr>
          <w:rFonts w:ascii="Arial" w:eastAsia="Times New Roman" w:hAnsi="Arial" w:cs="Arial"/>
          <w:sz w:val="18"/>
          <w:szCs w:val="18"/>
        </w:rPr>
        <w:t>UNESCO. (2023). Artificial intelligence in education. UNESCO. https://www.unesco.org/en/digital-education/artificial-intelligence</w:t>
      </w:r>
    </w:p>
    <w:p w14:paraId="2F5ACE66" w14:textId="77777777" w:rsidR="005C5D87" w:rsidRPr="005C5D87" w:rsidRDefault="005C5D87" w:rsidP="005C5D87">
      <w:pPr>
        <w:rPr>
          <w:rFonts w:ascii="Arial" w:eastAsia="Times New Roman" w:hAnsi="Arial" w:cs="Arial"/>
          <w:sz w:val="18"/>
          <w:szCs w:val="18"/>
        </w:rPr>
      </w:pPr>
      <w:r w:rsidRPr="005C5D87">
        <w:rPr>
          <w:rFonts w:ascii="Arial" w:eastAsia="Times New Roman" w:hAnsi="Arial" w:cs="Arial"/>
          <w:sz w:val="18"/>
          <w:szCs w:val="18"/>
        </w:rPr>
        <w:t>UNESCO. (2024). What you need to know about UNESCO’s new AI competency frameworks for students and teachers. Unesco.org. https://www.unesco.org/en/articles/what-you-need-know-about-unescos-new-ai-competency-frameworks-students-and-teachers?hub=32618</w:t>
      </w:r>
    </w:p>
    <w:p w14:paraId="49ACDB12" w14:textId="77777777" w:rsidR="005C5D87" w:rsidRDefault="005C5D87" w:rsidP="00B7682E">
      <w:pPr>
        <w:rPr>
          <w:rFonts w:ascii="Arial" w:eastAsia="Times New Roman" w:hAnsi="Arial" w:cs="Arial"/>
          <w:sz w:val="18"/>
          <w:szCs w:val="18"/>
        </w:rPr>
      </w:pPr>
      <w:r w:rsidRPr="007D25B1">
        <w:rPr>
          <w:rFonts w:ascii="Arial" w:eastAsia="Times New Roman" w:hAnsi="Arial" w:cs="Arial"/>
          <w:sz w:val="18"/>
          <w:szCs w:val="18"/>
          <w:lang w:val="fr-FR"/>
        </w:rPr>
        <w:t xml:space="preserve">Wang, K., Chai, C.-S., Liang, J.-C., &amp; Sang, G. (2024). </w:t>
      </w:r>
      <w:r>
        <w:rPr>
          <w:rFonts w:ascii="Arial" w:eastAsia="Times New Roman" w:hAnsi="Arial" w:cs="Arial"/>
          <w:sz w:val="18"/>
          <w:szCs w:val="18"/>
        </w:rPr>
        <w:t>Exploring teachers’ behavioural intentions to design artificial intelligence-assisted learning in Chinese K–12 education. Technology, Pedagogy and Education. https://doi.org/10.1080/1475939x.2024.2369241</w:t>
      </w:r>
    </w:p>
    <w:p w14:paraId="075D2E57"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Whalen, J., Grube, W., Xu, C., &amp; Trust, T. (2024). K-12 Educators’ Reactions and Responses to ChatGPT and GenAI During the 2022–2023 School Year. </w:t>
      </w:r>
      <w:proofErr w:type="spellStart"/>
      <w:r>
        <w:rPr>
          <w:rFonts w:ascii="Arial" w:eastAsia="Times New Roman" w:hAnsi="Arial" w:cs="Arial"/>
          <w:sz w:val="18"/>
          <w:szCs w:val="18"/>
        </w:rPr>
        <w:t>TechTrends</w:t>
      </w:r>
      <w:proofErr w:type="spellEnd"/>
      <w:r>
        <w:rPr>
          <w:rFonts w:ascii="Arial" w:eastAsia="Times New Roman" w:hAnsi="Arial" w:cs="Arial"/>
          <w:sz w:val="18"/>
          <w:szCs w:val="18"/>
        </w:rPr>
        <w:t>: Linking Research and Practice to Improve Learning, 69(1), 125–137. https://doi.org/10.1007/s11528-024-01028-y</w:t>
      </w:r>
    </w:p>
    <w:p w14:paraId="1CC76931" w14:textId="77777777" w:rsidR="005C5D87" w:rsidRDefault="005C5D87" w:rsidP="00B7682E">
      <w:pPr>
        <w:rPr>
          <w:rFonts w:ascii="Arial" w:eastAsia="Times New Roman" w:hAnsi="Arial" w:cs="Arial"/>
          <w:sz w:val="18"/>
          <w:szCs w:val="18"/>
        </w:rPr>
      </w:pPr>
      <w:r w:rsidRPr="007D25B1">
        <w:rPr>
          <w:rFonts w:ascii="Arial" w:eastAsia="Times New Roman" w:hAnsi="Arial" w:cs="Arial"/>
          <w:sz w:val="18"/>
          <w:szCs w:val="18"/>
          <w:lang w:val="fr-FR"/>
        </w:rPr>
        <w:t xml:space="preserve">Yang, C., Li, R., &amp; Yang, L. (2025). </w:t>
      </w:r>
      <w:r>
        <w:rPr>
          <w:rFonts w:ascii="Arial" w:eastAsia="Times New Roman" w:hAnsi="Arial" w:cs="Arial"/>
          <w:sz w:val="18"/>
          <w:szCs w:val="18"/>
        </w:rPr>
        <w:t>Revisiting Trends in GenAI-Assisted Second Language Writing: Retrospect and Prospect. Journal of Educational Computing Research, 63, 1819–1863. https://doi.org/10.1177/07356331251367309</w:t>
      </w:r>
    </w:p>
    <w:p w14:paraId="291B4F60" w14:textId="77777777" w:rsidR="005C5D87" w:rsidRDefault="005C5D87" w:rsidP="00B7682E">
      <w:pPr>
        <w:rPr>
          <w:rFonts w:ascii="Arial" w:eastAsia="Times New Roman" w:hAnsi="Arial" w:cs="Arial"/>
          <w:sz w:val="18"/>
          <w:szCs w:val="18"/>
        </w:rPr>
      </w:pPr>
      <w:r w:rsidRPr="007D25B1">
        <w:rPr>
          <w:rFonts w:ascii="Arial" w:eastAsia="Times New Roman" w:hAnsi="Arial" w:cs="Arial"/>
          <w:sz w:val="18"/>
          <w:szCs w:val="18"/>
          <w:lang w:val="fr-FR"/>
        </w:rPr>
        <w:t xml:space="preserve">Yi, L., Liu, D., Jiang, T., &amp; </w:t>
      </w:r>
      <w:proofErr w:type="spellStart"/>
      <w:r w:rsidRPr="007D25B1">
        <w:rPr>
          <w:rFonts w:ascii="Arial" w:eastAsia="Times New Roman" w:hAnsi="Arial" w:cs="Arial"/>
          <w:sz w:val="18"/>
          <w:szCs w:val="18"/>
          <w:lang w:val="fr-FR"/>
        </w:rPr>
        <w:t>Xian</w:t>
      </w:r>
      <w:proofErr w:type="spellEnd"/>
      <w:r w:rsidRPr="007D25B1">
        <w:rPr>
          <w:rFonts w:ascii="Arial" w:eastAsia="Times New Roman" w:hAnsi="Arial" w:cs="Arial"/>
          <w:sz w:val="18"/>
          <w:szCs w:val="18"/>
          <w:lang w:val="fr-FR"/>
        </w:rPr>
        <w:t xml:space="preserve">, Y. (2025). </w:t>
      </w:r>
      <w:r>
        <w:rPr>
          <w:rFonts w:ascii="Arial" w:eastAsia="Times New Roman" w:hAnsi="Arial" w:cs="Arial"/>
          <w:sz w:val="18"/>
          <w:szCs w:val="18"/>
        </w:rPr>
        <w:t>The Effectiveness of AI on K-12 Students’ Mathematics Learning: A Systematic Review and Meta-Analysis. International Journal of Science and Mathematics Education, 23(4), 1105–1126. https://doi.org/10.1007/s10763-024-10499-7</w:t>
      </w:r>
    </w:p>
    <w:p w14:paraId="17C0CFCC"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Zhang, P., &amp; Tur, G. (2024). A Systematic Review of ChatGPT Use in K-12 Education. European Journal of Education, 59(2). https://doi.org/10.1111/ejed.12599</w:t>
      </w:r>
    </w:p>
    <w:p w14:paraId="5AF0883E" w14:textId="77777777" w:rsidR="005C5D87" w:rsidRDefault="005C5D87" w:rsidP="00B7682E">
      <w:pPr>
        <w:rPr>
          <w:rFonts w:ascii="Arial" w:eastAsia="Times New Roman" w:hAnsi="Arial" w:cs="Arial"/>
          <w:sz w:val="18"/>
          <w:szCs w:val="18"/>
        </w:rPr>
      </w:pPr>
      <w:r>
        <w:rPr>
          <w:rFonts w:ascii="Arial" w:eastAsia="Times New Roman" w:hAnsi="Arial" w:cs="Arial"/>
          <w:sz w:val="18"/>
          <w:szCs w:val="18"/>
        </w:rPr>
        <w:t xml:space="preserve">Zhu, Y., Zhu, C., Wu, T., Wang, S., Zhou, Y., Chen, J., Wu, F., &amp; Li, Y. (2025). Impact of Assignment Completion Assisted by Large Language Model-Based Chatbot on Middle School Students’ Learning. Education and Information Technologies, 30(2), 2429–2461. </w:t>
      </w:r>
      <w:hyperlink r:id="rId12" w:history="1">
        <w:r w:rsidRPr="00991087">
          <w:rPr>
            <w:rStyle w:val="Hyperlink"/>
            <w:rFonts w:ascii="Arial" w:eastAsia="Times New Roman" w:hAnsi="Arial" w:cs="Arial"/>
            <w:sz w:val="18"/>
            <w:szCs w:val="18"/>
          </w:rPr>
          <w:t>https://doi.org/10.1007/s10639-024-12898-3</w:t>
        </w:r>
      </w:hyperlink>
    </w:p>
    <w:p w14:paraId="3C5E9CDD" w14:textId="77777777" w:rsidR="00A94E0D" w:rsidRDefault="00A94E0D" w:rsidP="00A94E0D">
      <w:pPr>
        <w:spacing w:after="0" w:line="240" w:lineRule="auto"/>
      </w:pPr>
    </w:p>
    <w:p w14:paraId="1CC72173" w14:textId="77777777" w:rsidR="00A94E0D" w:rsidRPr="00D23E60" w:rsidRDefault="00A94E0D" w:rsidP="00D23E60"/>
    <w:p w14:paraId="383048F7" w14:textId="77777777" w:rsidR="00D23E60" w:rsidRPr="00D23E60" w:rsidRDefault="00D23E60" w:rsidP="00D23E60"/>
    <w:p w14:paraId="3C189734" w14:textId="77777777" w:rsidR="00D23E60" w:rsidRPr="00D23E60" w:rsidRDefault="00D23E60" w:rsidP="00D23E60"/>
    <w:p w14:paraId="12F6DD28" w14:textId="77777777" w:rsidR="00D23E60" w:rsidRPr="00D16597" w:rsidRDefault="00D23E60" w:rsidP="00D16597"/>
    <w:p w14:paraId="7663414C" w14:textId="77777777" w:rsidR="00A468F4" w:rsidRPr="00E765B1" w:rsidRDefault="00A468F4" w:rsidP="00E765B1"/>
    <w:p w14:paraId="44C16657" w14:textId="77777777" w:rsidR="0005765D" w:rsidRPr="00C503AA" w:rsidRDefault="0005765D" w:rsidP="00C503AA"/>
    <w:p w14:paraId="5F5567FF" w14:textId="77777777" w:rsidR="00C503AA" w:rsidRPr="00432A2D" w:rsidRDefault="00C503AA" w:rsidP="00432A2D"/>
    <w:p w14:paraId="3F93C34B" w14:textId="77777777" w:rsidR="00246272" w:rsidRPr="00246272" w:rsidRDefault="00246272" w:rsidP="00246272"/>
    <w:p w14:paraId="290F3E79" w14:textId="77777777" w:rsidR="00246272" w:rsidRPr="00514089" w:rsidRDefault="00246272" w:rsidP="00514089"/>
    <w:p w14:paraId="649A455F" w14:textId="77777777" w:rsidR="00A81DCD" w:rsidRDefault="00A81DCD"/>
    <w:sectPr w:rsidR="00A81DC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C3F95" w14:textId="77777777" w:rsidR="005E0D50" w:rsidRDefault="005E0D50" w:rsidP="00181059">
      <w:pPr>
        <w:spacing w:after="0" w:line="240" w:lineRule="auto"/>
      </w:pPr>
      <w:r>
        <w:separator/>
      </w:r>
    </w:p>
  </w:endnote>
  <w:endnote w:type="continuationSeparator" w:id="0">
    <w:p w14:paraId="7EA7810B" w14:textId="77777777" w:rsidR="005E0D50" w:rsidRDefault="005E0D50" w:rsidP="00181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5955" w14:textId="77777777" w:rsidR="00181059" w:rsidRDefault="00181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1980" w14:textId="77777777" w:rsidR="00181059" w:rsidRDefault="00181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E041" w14:textId="77777777" w:rsidR="00181059" w:rsidRDefault="0018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322A" w14:textId="77777777" w:rsidR="005E0D50" w:rsidRDefault="005E0D50" w:rsidP="00181059">
      <w:pPr>
        <w:spacing w:after="0" w:line="240" w:lineRule="auto"/>
      </w:pPr>
      <w:r>
        <w:separator/>
      </w:r>
    </w:p>
  </w:footnote>
  <w:footnote w:type="continuationSeparator" w:id="0">
    <w:p w14:paraId="089FC265" w14:textId="77777777" w:rsidR="005E0D50" w:rsidRDefault="005E0D50" w:rsidP="00181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DA60" w14:textId="16162EB2" w:rsidR="00181059" w:rsidRDefault="005E0D50">
    <w:pPr>
      <w:pStyle w:val="Header"/>
    </w:pPr>
    <w:r>
      <w:rPr>
        <w:noProof/>
      </w:rPr>
      <w:pict w14:anchorId="5CCBE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015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355F" w14:textId="05A1CDE4" w:rsidR="00181059" w:rsidRDefault="005E0D50">
    <w:pPr>
      <w:pStyle w:val="Header"/>
    </w:pPr>
    <w:r>
      <w:rPr>
        <w:noProof/>
      </w:rPr>
      <w:pict w14:anchorId="0A80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015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53B9" w14:textId="307575C7" w:rsidR="00181059" w:rsidRDefault="005E0D50">
    <w:pPr>
      <w:pStyle w:val="Header"/>
    </w:pPr>
    <w:r>
      <w:rPr>
        <w:noProof/>
      </w:rPr>
      <w:pict w14:anchorId="746DB9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10015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362"/>
    <w:multiLevelType w:val="multilevel"/>
    <w:tmpl w:val="4B9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43A3"/>
    <w:multiLevelType w:val="hybridMultilevel"/>
    <w:tmpl w:val="F084A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B0BB4"/>
    <w:multiLevelType w:val="hybridMultilevel"/>
    <w:tmpl w:val="64D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63802"/>
    <w:multiLevelType w:val="multilevel"/>
    <w:tmpl w:val="AB68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B7DD0"/>
    <w:multiLevelType w:val="multilevel"/>
    <w:tmpl w:val="F5A8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70C90"/>
    <w:multiLevelType w:val="hybridMultilevel"/>
    <w:tmpl w:val="4F94639A"/>
    <w:lvl w:ilvl="0" w:tplc="0BAE94B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62"/>
    <w:rsid w:val="000151E1"/>
    <w:rsid w:val="0003089A"/>
    <w:rsid w:val="0005765D"/>
    <w:rsid w:val="00063880"/>
    <w:rsid w:val="000A2EE3"/>
    <w:rsid w:val="000B39CC"/>
    <w:rsid w:val="000D0CC2"/>
    <w:rsid w:val="000F0627"/>
    <w:rsid w:val="00110B67"/>
    <w:rsid w:val="00131A37"/>
    <w:rsid w:val="00161C1B"/>
    <w:rsid w:val="00181059"/>
    <w:rsid w:val="00182BFA"/>
    <w:rsid w:val="00183661"/>
    <w:rsid w:val="0018777A"/>
    <w:rsid w:val="001A1B7F"/>
    <w:rsid w:val="001E6317"/>
    <w:rsid w:val="001E669A"/>
    <w:rsid w:val="0023333E"/>
    <w:rsid w:val="00233724"/>
    <w:rsid w:val="00246272"/>
    <w:rsid w:val="00251D3C"/>
    <w:rsid w:val="0025516C"/>
    <w:rsid w:val="00257D2A"/>
    <w:rsid w:val="002716CB"/>
    <w:rsid w:val="002727D9"/>
    <w:rsid w:val="002A688F"/>
    <w:rsid w:val="002D2B84"/>
    <w:rsid w:val="002E281A"/>
    <w:rsid w:val="002F2937"/>
    <w:rsid w:val="00312BE1"/>
    <w:rsid w:val="00317A7D"/>
    <w:rsid w:val="003259B8"/>
    <w:rsid w:val="00345425"/>
    <w:rsid w:val="00345ACE"/>
    <w:rsid w:val="00347F4F"/>
    <w:rsid w:val="00364651"/>
    <w:rsid w:val="0038106C"/>
    <w:rsid w:val="00392FD0"/>
    <w:rsid w:val="00400964"/>
    <w:rsid w:val="0040638D"/>
    <w:rsid w:val="00410FB4"/>
    <w:rsid w:val="00423A1A"/>
    <w:rsid w:val="00432A2D"/>
    <w:rsid w:val="0044066F"/>
    <w:rsid w:val="0045404D"/>
    <w:rsid w:val="00461DD2"/>
    <w:rsid w:val="0048718D"/>
    <w:rsid w:val="004A3E84"/>
    <w:rsid w:val="004E000C"/>
    <w:rsid w:val="004F3B09"/>
    <w:rsid w:val="005015E4"/>
    <w:rsid w:val="00514089"/>
    <w:rsid w:val="005274F7"/>
    <w:rsid w:val="0057160C"/>
    <w:rsid w:val="005B162E"/>
    <w:rsid w:val="005C5D87"/>
    <w:rsid w:val="005D10FB"/>
    <w:rsid w:val="005D3F4D"/>
    <w:rsid w:val="005E0D50"/>
    <w:rsid w:val="005E5DB4"/>
    <w:rsid w:val="005F1139"/>
    <w:rsid w:val="005F21E6"/>
    <w:rsid w:val="00614039"/>
    <w:rsid w:val="006243EB"/>
    <w:rsid w:val="00650B91"/>
    <w:rsid w:val="006807C0"/>
    <w:rsid w:val="00684546"/>
    <w:rsid w:val="006B16CA"/>
    <w:rsid w:val="006B2A51"/>
    <w:rsid w:val="006C03C1"/>
    <w:rsid w:val="006C1CF4"/>
    <w:rsid w:val="006F25A9"/>
    <w:rsid w:val="006F6B33"/>
    <w:rsid w:val="006F7A37"/>
    <w:rsid w:val="00703399"/>
    <w:rsid w:val="00714ECE"/>
    <w:rsid w:val="007356C0"/>
    <w:rsid w:val="0074156D"/>
    <w:rsid w:val="00783115"/>
    <w:rsid w:val="00795E76"/>
    <w:rsid w:val="007B3FAE"/>
    <w:rsid w:val="007C0381"/>
    <w:rsid w:val="007C321D"/>
    <w:rsid w:val="007E5259"/>
    <w:rsid w:val="007E58FE"/>
    <w:rsid w:val="00876FAF"/>
    <w:rsid w:val="00884BDB"/>
    <w:rsid w:val="008B0F02"/>
    <w:rsid w:val="008C2C3C"/>
    <w:rsid w:val="008D227B"/>
    <w:rsid w:val="00901E87"/>
    <w:rsid w:val="009052D0"/>
    <w:rsid w:val="00907109"/>
    <w:rsid w:val="00910B9C"/>
    <w:rsid w:val="009A0DB2"/>
    <w:rsid w:val="009C1F0A"/>
    <w:rsid w:val="009E49E5"/>
    <w:rsid w:val="009F5E1E"/>
    <w:rsid w:val="00A033E6"/>
    <w:rsid w:val="00A03B9E"/>
    <w:rsid w:val="00A468F4"/>
    <w:rsid w:val="00A81DCD"/>
    <w:rsid w:val="00A90286"/>
    <w:rsid w:val="00A94E0D"/>
    <w:rsid w:val="00AA7773"/>
    <w:rsid w:val="00AD6AC3"/>
    <w:rsid w:val="00AE2D20"/>
    <w:rsid w:val="00AE7DAB"/>
    <w:rsid w:val="00B22447"/>
    <w:rsid w:val="00B452F1"/>
    <w:rsid w:val="00B668AD"/>
    <w:rsid w:val="00B7682E"/>
    <w:rsid w:val="00B80EF1"/>
    <w:rsid w:val="00BC7BD1"/>
    <w:rsid w:val="00BE153E"/>
    <w:rsid w:val="00BE5BD6"/>
    <w:rsid w:val="00C011AF"/>
    <w:rsid w:val="00C503AA"/>
    <w:rsid w:val="00C6503A"/>
    <w:rsid w:val="00CB63B6"/>
    <w:rsid w:val="00D07CD8"/>
    <w:rsid w:val="00D16597"/>
    <w:rsid w:val="00D16F02"/>
    <w:rsid w:val="00D20A52"/>
    <w:rsid w:val="00D23E60"/>
    <w:rsid w:val="00D40326"/>
    <w:rsid w:val="00D746CB"/>
    <w:rsid w:val="00D9242E"/>
    <w:rsid w:val="00D95402"/>
    <w:rsid w:val="00DA089B"/>
    <w:rsid w:val="00DC70A3"/>
    <w:rsid w:val="00DE2353"/>
    <w:rsid w:val="00DE2B54"/>
    <w:rsid w:val="00DF173E"/>
    <w:rsid w:val="00E05747"/>
    <w:rsid w:val="00E11F8A"/>
    <w:rsid w:val="00E15C17"/>
    <w:rsid w:val="00E24D6D"/>
    <w:rsid w:val="00E41D62"/>
    <w:rsid w:val="00E514FD"/>
    <w:rsid w:val="00E57DEB"/>
    <w:rsid w:val="00E61B6F"/>
    <w:rsid w:val="00E765B1"/>
    <w:rsid w:val="00EA73A8"/>
    <w:rsid w:val="00EC6F7E"/>
    <w:rsid w:val="00ED46BD"/>
    <w:rsid w:val="00EF4BF2"/>
    <w:rsid w:val="00EF5EE1"/>
    <w:rsid w:val="00F169A6"/>
    <w:rsid w:val="00F318D1"/>
    <w:rsid w:val="00F441AC"/>
    <w:rsid w:val="00FC4111"/>
    <w:rsid w:val="00FC7A05"/>
    <w:rsid w:val="00FD1394"/>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FF51B0"/>
  <w15:chartTrackingRefBased/>
  <w15:docId w15:val="{2B154142-1FCD-4946-9883-0AA3246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56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F356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F356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F356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F356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F3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56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F356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F356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F356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F356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F3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562"/>
    <w:rPr>
      <w:rFonts w:eastAsiaTheme="majorEastAsia" w:cstheme="majorBidi"/>
      <w:color w:val="272727" w:themeColor="text1" w:themeTint="D8"/>
    </w:rPr>
  </w:style>
  <w:style w:type="paragraph" w:styleId="Title">
    <w:name w:val="Title"/>
    <w:basedOn w:val="Normal"/>
    <w:next w:val="Normal"/>
    <w:link w:val="TitleChar"/>
    <w:uiPriority w:val="10"/>
    <w:qFormat/>
    <w:rsid w:val="00FF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5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562"/>
    <w:pPr>
      <w:spacing w:before="160"/>
      <w:jc w:val="center"/>
    </w:pPr>
    <w:rPr>
      <w:i/>
      <w:iCs/>
      <w:color w:val="404040" w:themeColor="text1" w:themeTint="BF"/>
    </w:rPr>
  </w:style>
  <w:style w:type="character" w:customStyle="1" w:styleId="QuoteChar">
    <w:name w:val="Quote Char"/>
    <w:basedOn w:val="DefaultParagraphFont"/>
    <w:link w:val="Quote"/>
    <w:uiPriority w:val="29"/>
    <w:rsid w:val="00FF3562"/>
    <w:rPr>
      <w:i/>
      <w:iCs/>
      <w:color w:val="404040" w:themeColor="text1" w:themeTint="BF"/>
    </w:rPr>
  </w:style>
  <w:style w:type="paragraph" w:styleId="ListParagraph">
    <w:name w:val="List Paragraph"/>
    <w:basedOn w:val="Normal"/>
    <w:uiPriority w:val="34"/>
    <w:qFormat/>
    <w:rsid w:val="00FF3562"/>
    <w:pPr>
      <w:ind w:left="720"/>
      <w:contextualSpacing/>
    </w:pPr>
  </w:style>
  <w:style w:type="character" w:styleId="IntenseEmphasis">
    <w:name w:val="Intense Emphasis"/>
    <w:basedOn w:val="DefaultParagraphFont"/>
    <w:uiPriority w:val="21"/>
    <w:qFormat/>
    <w:rsid w:val="00FF3562"/>
    <w:rPr>
      <w:i/>
      <w:iCs/>
      <w:color w:val="2E74B5" w:themeColor="accent1" w:themeShade="BF"/>
    </w:rPr>
  </w:style>
  <w:style w:type="paragraph" w:styleId="IntenseQuote">
    <w:name w:val="Intense Quote"/>
    <w:basedOn w:val="Normal"/>
    <w:next w:val="Normal"/>
    <w:link w:val="IntenseQuoteChar"/>
    <w:uiPriority w:val="30"/>
    <w:qFormat/>
    <w:rsid w:val="00FF356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F3562"/>
    <w:rPr>
      <w:i/>
      <w:iCs/>
      <w:color w:val="2E74B5" w:themeColor="accent1" w:themeShade="BF"/>
    </w:rPr>
  </w:style>
  <w:style w:type="character" w:styleId="IntenseReference">
    <w:name w:val="Intense Reference"/>
    <w:basedOn w:val="DefaultParagraphFont"/>
    <w:uiPriority w:val="32"/>
    <w:qFormat/>
    <w:rsid w:val="00FF3562"/>
    <w:rPr>
      <w:b/>
      <w:bCs/>
      <w:smallCaps/>
      <w:color w:val="2E74B5" w:themeColor="accent1" w:themeShade="BF"/>
      <w:spacing w:val="5"/>
    </w:rPr>
  </w:style>
  <w:style w:type="table" w:styleId="TableGrid">
    <w:name w:val="Table Grid"/>
    <w:basedOn w:val="TableNormal"/>
    <w:uiPriority w:val="39"/>
    <w:rsid w:val="0045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542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0638D"/>
    <w:rPr>
      <w:color w:val="0563C1" w:themeColor="hyperlink"/>
      <w:u w:val="single"/>
    </w:rPr>
  </w:style>
  <w:style w:type="character" w:styleId="UnresolvedMention">
    <w:name w:val="Unresolved Mention"/>
    <w:basedOn w:val="DefaultParagraphFont"/>
    <w:uiPriority w:val="99"/>
    <w:semiHidden/>
    <w:unhideWhenUsed/>
    <w:rsid w:val="0040638D"/>
    <w:rPr>
      <w:color w:val="605E5C"/>
      <w:shd w:val="clear" w:color="auto" w:fill="E1DFDD"/>
    </w:rPr>
  </w:style>
  <w:style w:type="paragraph" w:styleId="Header">
    <w:name w:val="header"/>
    <w:basedOn w:val="Normal"/>
    <w:link w:val="HeaderChar"/>
    <w:uiPriority w:val="99"/>
    <w:unhideWhenUsed/>
    <w:rsid w:val="00181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059"/>
  </w:style>
  <w:style w:type="paragraph" w:styleId="Footer">
    <w:name w:val="footer"/>
    <w:basedOn w:val="Normal"/>
    <w:link w:val="FooterChar"/>
    <w:uiPriority w:val="99"/>
    <w:unhideWhenUsed/>
    <w:rsid w:val="00181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10639-024-12898-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528-025-0105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6227/techrxiv.23589741.v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rvices.google.com/fh/files/misc/gemini-for-google-workspace-prompting-guide-10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2607</TotalTime>
  <Pages>18</Pages>
  <Words>8309</Words>
  <Characters>47367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ABAIDOO, Anthony</dc:creator>
  <cp:keywords/>
  <dc:description/>
  <cp:lastModifiedBy>SDI 1022</cp:lastModifiedBy>
  <cp:revision>98</cp:revision>
  <cp:lastPrinted>2026-01-02T17:22:00Z</cp:lastPrinted>
  <dcterms:created xsi:type="dcterms:W3CDTF">2025-12-23T16:54:00Z</dcterms:created>
  <dcterms:modified xsi:type="dcterms:W3CDTF">2026-01-06T05:27:00Z</dcterms:modified>
</cp:coreProperties>
</file>