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C889A" w14:textId="77777777" w:rsidR="00F229B1" w:rsidRPr="00C4228D"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C4228D">
        <w:rPr>
          <w:rFonts w:ascii="Times New Roman" w:eastAsia="Times New Roman" w:hAnsi="Times New Roman" w:cs="Times New Roman"/>
          <w:b/>
          <w:bCs/>
          <w:lang w:val="en"/>
        </w:rPr>
        <w:t xml:space="preserve">COMMUNITY EMPOWERMENT IN REHABILITATION ACTIVITIES </w:t>
      </w:r>
    </w:p>
    <w:p w14:paraId="40191C4C" w14:textId="28F3CDED" w:rsidR="00F229B1" w:rsidRPr="00C4228D" w:rsidRDefault="00F229B1" w:rsidP="00D6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C4228D">
        <w:rPr>
          <w:rFonts w:ascii="Times New Roman" w:eastAsia="Times New Roman" w:hAnsi="Times New Roman" w:cs="Times New Roman"/>
          <w:b/>
          <w:bCs/>
          <w:lang w:val="en"/>
        </w:rPr>
        <w:t>USING AGROFORESTRY PATTERNS</w:t>
      </w:r>
      <w:r w:rsidR="00D63696" w:rsidRPr="00C4228D">
        <w:rPr>
          <w:rFonts w:ascii="Times New Roman" w:eastAsia="Times New Roman" w:hAnsi="Times New Roman" w:cs="Times New Roman"/>
          <w:b/>
          <w:bCs/>
          <w:lang w:val="en"/>
        </w:rPr>
        <w:t xml:space="preserve"> – A STUDY </w:t>
      </w:r>
      <w:r w:rsidRPr="00C4228D">
        <w:rPr>
          <w:rFonts w:ascii="Times New Roman" w:eastAsia="Times New Roman" w:hAnsi="Times New Roman" w:cs="Times New Roman"/>
          <w:b/>
          <w:bCs/>
          <w:lang w:val="en"/>
        </w:rPr>
        <w:t xml:space="preserve">IN LOA HAUR TRAINING FOREST, </w:t>
      </w:r>
    </w:p>
    <w:p w14:paraId="3A0E3300" w14:textId="11C14FA5" w:rsidR="00BA632D" w:rsidRPr="004C0254"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C4228D">
        <w:rPr>
          <w:rFonts w:ascii="Times New Roman" w:eastAsia="Times New Roman" w:hAnsi="Times New Roman" w:cs="Times New Roman"/>
          <w:b/>
          <w:bCs/>
          <w:lang w:val="en"/>
        </w:rPr>
        <w:t>KUTAI KARTANEGARA REGENCY</w:t>
      </w:r>
    </w:p>
    <w:p w14:paraId="3ACA5E41" w14:textId="77777777" w:rsidR="00812AF2" w:rsidRPr="004C0254" w:rsidRDefault="00812AF2"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p>
    <w:p w14:paraId="19C38DB1" w14:textId="16F80BD1" w:rsidR="00BA632D" w:rsidRDefault="00BA632D" w:rsidP="00BA632D">
      <w:pPr>
        <w:pStyle w:val="HTMLPreformatted"/>
        <w:jc w:val="both"/>
        <w:rPr>
          <w:rStyle w:val="y2iqfc"/>
          <w:rFonts w:ascii="Times New Roman" w:eastAsiaTheme="majorEastAsia" w:hAnsi="Times New Roman" w:cs="Times New Roman"/>
          <w:b/>
          <w:bCs/>
          <w:sz w:val="22"/>
          <w:szCs w:val="22"/>
          <w:lang w:val="en"/>
        </w:rPr>
      </w:pPr>
    </w:p>
    <w:p w14:paraId="079AFD62" w14:textId="6695BEBF"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ABSTRACT</w:t>
      </w:r>
    </w:p>
    <w:p w14:paraId="77A3A25D" w14:textId="5B98BA7A" w:rsidR="00C4228D" w:rsidRDefault="00C4228D" w:rsidP="00BA632D">
      <w:pPr>
        <w:pStyle w:val="HTMLPreformatted"/>
        <w:jc w:val="both"/>
        <w:rPr>
          <w:rStyle w:val="y2iqfc"/>
          <w:rFonts w:ascii="Times New Roman" w:eastAsiaTheme="majorEastAsia" w:hAnsi="Times New Roman" w:cs="Times New Roman"/>
          <w:sz w:val="22"/>
          <w:szCs w:val="22"/>
          <w:lang w:val="en"/>
        </w:rPr>
      </w:pPr>
      <w:r w:rsidRPr="00777ECD">
        <w:rPr>
          <w:rStyle w:val="y2iqfc"/>
          <w:rFonts w:ascii="Times New Roman" w:eastAsiaTheme="majorEastAsia" w:hAnsi="Times New Roman" w:cs="Times New Roman"/>
          <w:sz w:val="22"/>
          <w:szCs w:val="22"/>
          <w:highlight w:val="cyan"/>
          <w:lang w:val="en"/>
        </w:rPr>
        <w:t>Community empowerment is a cornerstone of forest rehabilitation programs that apply agroforestry patterns, because sustained outcomes depend on local participation and the delivery of tangible socio-economic benefits. When participation is limited, rehabilitation initiatives often struggle to meet their objectives over the long term. This study aimed to (</w:t>
      </w:r>
      <w:proofErr w:type="spellStart"/>
      <w:r w:rsidRPr="00777ECD">
        <w:rPr>
          <w:rStyle w:val="y2iqfc"/>
          <w:rFonts w:ascii="Times New Roman" w:eastAsiaTheme="majorEastAsia" w:hAnsi="Times New Roman" w:cs="Times New Roman"/>
          <w:sz w:val="22"/>
          <w:szCs w:val="22"/>
          <w:highlight w:val="cyan"/>
          <w:lang w:val="en"/>
        </w:rPr>
        <w:t>i</w:t>
      </w:r>
      <w:proofErr w:type="spellEnd"/>
      <w:r w:rsidRPr="00777ECD">
        <w:rPr>
          <w:rStyle w:val="y2iqfc"/>
          <w:rFonts w:ascii="Times New Roman" w:eastAsiaTheme="majorEastAsia" w:hAnsi="Times New Roman" w:cs="Times New Roman"/>
          <w:sz w:val="22"/>
          <w:szCs w:val="22"/>
          <w:highlight w:val="cyan"/>
          <w:lang w:val="en"/>
        </w:rPr>
        <w:t xml:space="preserve">) assess the level of community participation in agroforestry-based rehabilitation activities and (ii) identify factors associated with participation in the Special Purpose Forest Area (KHDTK) of the Loa </w:t>
      </w:r>
      <w:proofErr w:type="spellStart"/>
      <w:r w:rsidRPr="00777ECD">
        <w:rPr>
          <w:rStyle w:val="y2iqfc"/>
          <w:rFonts w:ascii="Times New Roman" w:eastAsiaTheme="majorEastAsia" w:hAnsi="Times New Roman" w:cs="Times New Roman"/>
          <w:sz w:val="22"/>
          <w:szCs w:val="22"/>
          <w:highlight w:val="cyan"/>
          <w:lang w:val="en"/>
        </w:rPr>
        <w:t>Haur</w:t>
      </w:r>
      <w:proofErr w:type="spellEnd"/>
      <w:r w:rsidRPr="00777ECD">
        <w:rPr>
          <w:rStyle w:val="y2iqfc"/>
          <w:rFonts w:ascii="Times New Roman" w:eastAsiaTheme="majorEastAsia" w:hAnsi="Times New Roman" w:cs="Times New Roman"/>
          <w:sz w:val="22"/>
          <w:szCs w:val="22"/>
          <w:highlight w:val="cyan"/>
          <w:lang w:val="en"/>
        </w:rPr>
        <w:t xml:space="preserve"> Training Forest, </w:t>
      </w:r>
      <w:proofErr w:type="spellStart"/>
      <w:r w:rsidRPr="00777ECD">
        <w:rPr>
          <w:rStyle w:val="y2iqfc"/>
          <w:rFonts w:ascii="Times New Roman" w:eastAsiaTheme="majorEastAsia" w:hAnsi="Times New Roman" w:cs="Times New Roman"/>
          <w:sz w:val="22"/>
          <w:szCs w:val="22"/>
          <w:highlight w:val="cyan"/>
          <w:lang w:val="en"/>
        </w:rPr>
        <w:t>Kutai</w:t>
      </w:r>
      <w:proofErr w:type="spellEnd"/>
      <w:r w:rsidRPr="00777ECD">
        <w:rPr>
          <w:rStyle w:val="y2iqfc"/>
          <w:rFonts w:ascii="Times New Roman" w:eastAsiaTheme="majorEastAsia" w:hAnsi="Times New Roman" w:cs="Times New Roman"/>
          <w:sz w:val="22"/>
          <w:szCs w:val="22"/>
          <w:highlight w:val="cyan"/>
          <w:lang w:val="en"/>
        </w:rPr>
        <w:t xml:space="preserve"> </w:t>
      </w:r>
      <w:proofErr w:type="spellStart"/>
      <w:r w:rsidRPr="00777ECD">
        <w:rPr>
          <w:rStyle w:val="y2iqfc"/>
          <w:rFonts w:ascii="Times New Roman" w:eastAsiaTheme="majorEastAsia" w:hAnsi="Times New Roman" w:cs="Times New Roman"/>
          <w:sz w:val="22"/>
          <w:szCs w:val="22"/>
          <w:highlight w:val="cyan"/>
          <w:lang w:val="en"/>
        </w:rPr>
        <w:t>Kartanegara</w:t>
      </w:r>
      <w:proofErr w:type="spellEnd"/>
      <w:r w:rsidRPr="00777ECD">
        <w:rPr>
          <w:rStyle w:val="y2iqfc"/>
          <w:rFonts w:ascii="Times New Roman" w:eastAsiaTheme="majorEastAsia" w:hAnsi="Times New Roman" w:cs="Times New Roman"/>
          <w:sz w:val="22"/>
          <w:szCs w:val="22"/>
          <w:highlight w:val="cyan"/>
          <w:lang w:val="en"/>
        </w:rPr>
        <w:t xml:space="preserve"> Regency, East Kalimantan, Indonesia. The study was conducted from November 2022 to January 2023 in </w:t>
      </w:r>
      <w:proofErr w:type="spellStart"/>
      <w:r w:rsidRPr="00777ECD">
        <w:rPr>
          <w:rStyle w:val="y2iqfc"/>
          <w:rFonts w:ascii="Times New Roman" w:eastAsiaTheme="majorEastAsia" w:hAnsi="Times New Roman" w:cs="Times New Roman"/>
          <w:sz w:val="22"/>
          <w:szCs w:val="22"/>
          <w:highlight w:val="cyan"/>
          <w:lang w:val="en"/>
        </w:rPr>
        <w:t>Tanijaya</w:t>
      </w:r>
      <w:proofErr w:type="spellEnd"/>
      <w:r w:rsidRPr="00777ECD">
        <w:rPr>
          <w:rStyle w:val="y2iqfc"/>
          <w:rFonts w:ascii="Times New Roman" w:eastAsiaTheme="majorEastAsia" w:hAnsi="Times New Roman" w:cs="Times New Roman"/>
          <w:sz w:val="22"/>
          <w:szCs w:val="22"/>
          <w:highlight w:val="cyan"/>
          <w:lang w:val="en"/>
        </w:rPr>
        <w:t xml:space="preserve"> Hamlet, </w:t>
      </w:r>
      <w:proofErr w:type="spellStart"/>
      <w:r w:rsidRPr="00777ECD">
        <w:rPr>
          <w:rStyle w:val="y2iqfc"/>
          <w:rFonts w:ascii="Times New Roman" w:eastAsiaTheme="majorEastAsia" w:hAnsi="Times New Roman" w:cs="Times New Roman"/>
          <w:sz w:val="22"/>
          <w:szCs w:val="22"/>
          <w:highlight w:val="cyan"/>
          <w:lang w:val="en"/>
        </w:rPr>
        <w:t>Batuah</w:t>
      </w:r>
      <w:proofErr w:type="spellEnd"/>
      <w:r w:rsidRPr="00777ECD">
        <w:rPr>
          <w:rStyle w:val="y2iqfc"/>
          <w:rFonts w:ascii="Times New Roman" w:eastAsiaTheme="majorEastAsia" w:hAnsi="Times New Roman" w:cs="Times New Roman"/>
          <w:sz w:val="22"/>
          <w:szCs w:val="22"/>
          <w:highlight w:val="cyan"/>
          <w:lang w:val="en"/>
        </w:rPr>
        <w:t xml:space="preserve"> Village, using observations, questionnaires, and interviews with participating farmers and relevant local stakeholders. Participation was examined across two stages—planning and implementation—and its relationships with internal and external factors were analyzed. The results indicate that participation is associated with multiple internal factors. At the planning stage, land area managed, proximity to the BDK management center, income level, intrinsic motivation, and extrinsic motivation show significant relationships with participation; at the implementation stage, education level, proximity to BDK, income level, intrinsic motivation, and extrinsic motivation are significant. Participation is also associated with external factors. At the planning stage, BDK rules regarding participants’ rights and obligations, land distance, plant age and productivity, government support, and the attractiveness of cooperation are significant; at the implementation stage, these factors remain significant and are complemented by the availability of agricultural inputs. Based on these findings, empowerment strategies should prioritize strengthening human resources (BDK staff and farmers), improving technical skills in forest management, intensifying program socialization and action planning, enhancing cross-sector collaboration to address operational constraints, and strengthening central government engagement to support implementation and sustainability</w:t>
      </w:r>
    </w:p>
    <w:p w14:paraId="1CE1F879" w14:textId="77777777" w:rsidR="00BA632D" w:rsidRPr="00CC183D" w:rsidRDefault="00BA632D" w:rsidP="00BA632D">
      <w:pPr>
        <w:pStyle w:val="HTMLPreformatted"/>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Keywords: Community Empowerment, Forest Rehabilitation, Agroforestry Pattern</w:t>
      </w:r>
    </w:p>
    <w:p w14:paraId="1C041F51" w14:textId="240602B7" w:rsidR="00BA632D" w:rsidRPr="00CC183D" w:rsidRDefault="00BA632D" w:rsidP="00BA632D">
      <w:pPr>
        <w:pStyle w:val="HTMLPreformatted"/>
        <w:rPr>
          <w:rFonts w:ascii="Times New Roman" w:hAnsi="Times New Roman" w:cs="Times New Roman"/>
          <w:sz w:val="22"/>
          <w:szCs w:val="22"/>
        </w:rPr>
      </w:pPr>
    </w:p>
    <w:p w14:paraId="616162F4"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1. INTRODUCTION</w:t>
      </w:r>
    </w:p>
    <w:p w14:paraId="701E2645" w14:textId="5B244DD7" w:rsidR="00BA632D" w:rsidRPr="00CC183D" w:rsidRDefault="00BA632D" w:rsidP="00961BA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Special Purpose Forest Areas: Training Forests are a natural resource that plays a role in maintaining, preserving, and improving water availability and soil fertility, and serve</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as the lifeblood of human life. Their presence is currently declining. This decline is caused by fires, encroachment, and illegal logging within forest areas. To improve forest function, environmental management must consider the utilization, arrangement, maintenance, supervision, control, restoration, and development of the environment based on harmonious and balanced environmental preservation to support sustainable development for the improvement of human well-being.</w:t>
      </w:r>
    </w:p>
    <w:p w14:paraId="54249845" w14:textId="36BB699E" w:rsidR="00BA632D" w:rsidRPr="007732B0" w:rsidRDefault="00BA632D" w:rsidP="00EC6515">
      <w:pPr>
        <w:pStyle w:val="HTMLPreformatted"/>
        <w:ind w:firstLine="567"/>
        <w:jc w:val="both"/>
        <w:rPr>
          <w:rFonts w:ascii="Times New Roman" w:hAnsi="Times New Roman" w:cs="Times New Roman"/>
          <w:sz w:val="24"/>
          <w:szCs w:val="24"/>
        </w:rPr>
      </w:pPr>
      <w:r w:rsidRPr="00CC183D">
        <w:rPr>
          <w:rStyle w:val="y2iqfc"/>
          <w:rFonts w:ascii="Times New Roman" w:eastAsiaTheme="majorEastAsia" w:hAnsi="Times New Roman" w:cs="Times New Roman"/>
          <w:sz w:val="22"/>
          <w:szCs w:val="22"/>
          <w:lang w:val="en"/>
        </w:rPr>
        <w:t xml:space="preserve">The </w:t>
      </w:r>
      <w:r w:rsidR="00DD60D9" w:rsidRPr="00CC183D">
        <w:rPr>
          <w:rStyle w:val="y2iqfc"/>
          <w:rFonts w:ascii="Times New Roman" w:eastAsiaTheme="majorEastAsia" w:hAnsi="Times New Roman" w:cs="Times New Roman"/>
          <w:sz w:val="22"/>
          <w:szCs w:val="22"/>
          <w:lang w:val="en"/>
        </w:rPr>
        <w:t xml:space="preserve">Special Purpose Forest Areas: Training Forests </w:t>
      </w:r>
      <w:r w:rsidRPr="00CC183D">
        <w:rPr>
          <w:rStyle w:val="y2iqfc"/>
          <w:rFonts w:ascii="Times New Roman" w:eastAsiaTheme="majorEastAsia" w:hAnsi="Times New Roman" w:cs="Times New Roman"/>
          <w:sz w:val="22"/>
          <w:szCs w:val="22"/>
          <w:lang w:val="en"/>
        </w:rPr>
        <w:t xml:space="preserve">is a conservation area located in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with an area of ​​4,310 ha, established through the Decree of the Minister of Forestry No. 8815/</w:t>
      </w:r>
      <w:proofErr w:type="spellStart"/>
      <w:r w:rsidRPr="00CC183D">
        <w:rPr>
          <w:rStyle w:val="y2iqfc"/>
          <w:rFonts w:ascii="Times New Roman" w:eastAsiaTheme="majorEastAsia" w:hAnsi="Times New Roman" w:cs="Times New Roman"/>
          <w:sz w:val="22"/>
          <w:szCs w:val="22"/>
          <w:lang w:val="en"/>
        </w:rPr>
        <w:t>Kpts</w:t>
      </w:r>
      <w:proofErr w:type="spellEnd"/>
      <w:r w:rsidRPr="00CC183D">
        <w:rPr>
          <w:rStyle w:val="y2iqfc"/>
          <w:rFonts w:ascii="Times New Roman" w:eastAsiaTheme="majorEastAsia" w:hAnsi="Times New Roman" w:cs="Times New Roman"/>
          <w:sz w:val="22"/>
          <w:szCs w:val="22"/>
          <w:lang w:val="en"/>
        </w:rPr>
        <w:t>-II/2002 dated September 24, 2002. The Special Purpose Forest Area (Forest Training) has experienced physical decline as a result of various types of disturbances, including fires, encroachment by residents, and illegal logging. As a result of these disturbances, the results of interpretation and analysis of Landsat imagery by the Forest Area Stabilization Center (2009) show that most of the area has been dominated by secondary dryland forest/logged-over 67.14%, shrubs 28.87%, and wild plants 1.05</w:t>
      </w:r>
      <w:r w:rsidRPr="008979A0">
        <w:rPr>
          <w:rStyle w:val="y2iqfc"/>
          <w:rFonts w:ascii="Times New Roman" w:eastAsiaTheme="majorEastAsia" w:hAnsi="Times New Roman" w:cs="Times New Roman"/>
          <w:sz w:val="22"/>
          <w:szCs w:val="22"/>
          <w:lang w:val="en"/>
        </w:rPr>
        <w:t xml:space="preserve">%. </w:t>
      </w:r>
      <w:r w:rsidR="007732B0" w:rsidRPr="008979A0">
        <w:rPr>
          <w:rStyle w:val="y2iqfc"/>
          <w:rFonts w:ascii="Times New Roman" w:eastAsiaTheme="majorEastAsia" w:hAnsi="Times New Roman" w:cs="Times New Roman"/>
          <w:sz w:val="24"/>
          <w:szCs w:val="24"/>
          <w:lang w:val="en"/>
        </w:rPr>
        <w:t xml:space="preserve">In 2021, forest cover until 2021 was still ± 50% of the total area of ​​the KHDTK. </w:t>
      </w:r>
      <w:r w:rsidR="00C4228D" w:rsidRPr="00777ECD">
        <w:rPr>
          <w:rStyle w:val="y2iqfc"/>
          <w:rFonts w:ascii="Times New Roman" w:eastAsiaTheme="majorEastAsia" w:hAnsi="Times New Roman" w:cs="Times New Roman"/>
          <w:sz w:val="24"/>
          <w:szCs w:val="24"/>
          <w:highlight w:val="cyan"/>
          <w:lang w:val="en"/>
        </w:rPr>
        <w:t xml:space="preserve">Illegal land clearing and encroachment remain ongoing challenges in the study landscape. Some reports suggest that large-scale regional development and infrastructure growth in East Kalimantan, including activities related to the planned capital relocation, could increase land-use pressures; this study treats such links as contextual background rather than an empirically tested causal mechanism </w:t>
      </w:r>
      <w:r w:rsidR="007732B0" w:rsidRPr="008979A0">
        <w:rPr>
          <w:rStyle w:val="y2iqfc"/>
          <w:rFonts w:ascii="Times New Roman" w:eastAsiaTheme="majorEastAsia" w:hAnsi="Times New Roman" w:cs="Times New Roman"/>
          <w:sz w:val="24"/>
          <w:szCs w:val="24"/>
          <w:lang w:val="en"/>
        </w:rPr>
        <w:lastRenderedPageBreak/>
        <w:t xml:space="preserve">(Academic Support Unit for Moist Tropical Forest Biological Resources, Faculty of Forestry, </w:t>
      </w:r>
      <w:proofErr w:type="spellStart"/>
      <w:r w:rsidR="007732B0" w:rsidRPr="008979A0">
        <w:rPr>
          <w:rStyle w:val="y2iqfc"/>
          <w:rFonts w:ascii="Times New Roman" w:eastAsiaTheme="majorEastAsia" w:hAnsi="Times New Roman" w:cs="Times New Roman"/>
          <w:sz w:val="24"/>
          <w:szCs w:val="24"/>
          <w:lang w:val="en"/>
        </w:rPr>
        <w:t>Unmul</w:t>
      </w:r>
      <w:proofErr w:type="spellEnd"/>
      <w:r w:rsidR="007732B0" w:rsidRPr="008979A0">
        <w:rPr>
          <w:rStyle w:val="y2iqfc"/>
          <w:rFonts w:ascii="Times New Roman" w:eastAsiaTheme="majorEastAsia" w:hAnsi="Times New Roman" w:cs="Times New Roman"/>
          <w:sz w:val="24"/>
          <w:szCs w:val="24"/>
          <w:lang w:val="en"/>
        </w:rPr>
        <w:t>, 2022).</w:t>
      </w:r>
      <w:r w:rsidR="007732B0">
        <w:rPr>
          <w:rStyle w:val="y2iqfc"/>
          <w:rFonts w:ascii="Times New Roman" w:eastAsiaTheme="majorEastAsia" w:hAnsi="Times New Roman" w:cs="Times New Roman"/>
          <w:sz w:val="24"/>
          <w:szCs w:val="24"/>
          <w:lang w:val="en"/>
        </w:rPr>
        <w:t xml:space="preserve"> </w:t>
      </w:r>
      <w:r w:rsidRPr="00CC183D">
        <w:rPr>
          <w:rStyle w:val="y2iqfc"/>
          <w:rFonts w:ascii="Times New Roman" w:eastAsiaTheme="majorEastAsia" w:hAnsi="Times New Roman" w:cs="Times New Roman"/>
          <w:sz w:val="22"/>
          <w:szCs w:val="22"/>
          <w:lang w:val="en"/>
        </w:rPr>
        <w:t>Therefore, in general, the condition of the Special Purpose Forest Area (Forest Training) conservation area is quite worrying.</w:t>
      </w:r>
    </w:p>
    <w:p w14:paraId="09C38E36" w14:textId="0DBB4C5D" w:rsidR="00BA632D" w:rsidRPr="00CC183D" w:rsidRDefault="00BA632D" w:rsidP="00EC6515">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To reduce or stop encroachment and illegal logging, local communities are being fostered through agroforestry rehabilitation activities (a combination of forestry and crops) </w:t>
      </w:r>
      <w:r w:rsidR="00EE26EE">
        <w:rPr>
          <w:rStyle w:val="y2iqfc"/>
          <w:rFonts w:ascii="Times New Roman" w:eastAsiaTheme="majorEastAsia" w:hAnsi="Times New Roman" w:cs="Times New Roman"/>
          <w:sz w:val="22"/>
          <w:szCs w:val="22"/>
          <w:lang w:val="en"/>
        </w:rPr>
        <w:t>to restore, maintain</w:t>
      </w:r>
      <w:r w:rsidRPr="00CC183D">
        <w:rPr>
          <w:rStyle w:val="y2iqfc"/>
          <w:rFonts w:ascii="Times New Roman" w:eastAsiaTheme="majorEastAsia" w:hAnsi="Times New Roman" w:cs="Times New Roman"/>
          <w:sz w:val="22"/>
          <w:szCs w:val="22"/>
          <w:lang w:val="en"/>
        </w:rPr>
        <w:t>, and enhanc</w:t>
      </w:r>
      <w:r w:rsidR="00EE26EE">
        <w:rPr>
          <w:rStyle w:val="y2iqfc"/>
          <w:rFonts w:ascii="Times New Roman" w:eastAsiaTheme="majorEastAsia" w:hAnsi="Times New Roman" w:cs="Times New Roman"/>
          <w:sz w:val="22"/>
          <w:szCs w:val="22"/>
          <w:lang w:val="en"/>
        </w:rPr>
        <w:t>e</w:t>
      </w:r>
      <w:r w:rsidRPr="00CC183D">
        <w:rPr>
          <w:rStyle w:val="y2iqfc"/>
          <w:rFonts w:ascii="Times New Roman" w:eastAsiaTheme="majorEastAsia" w:hAnsi="Times New Roman" w:cs="Times New Roman"/>
          <w:sz w:val="22"/>
          <w:szCs w:val="22"/>
          <w:lang w:val="en"/>
        </w:rPr>
        <w:t xml:space="preserve"> forest function. This agroforestry cooperative pattern is developed and directed towards two main objectives: rehabilitating degraded forests and improving community welfare.</w:t>
      </w:r>
    </w:p>
    <w:p w14:paraId="2E3367B0" w14:textId="24E63D9B" w:rsidR="00BA632D" w:rsidRPr="007732B0" w:rsidRDefault="00BA632D" w:rsidP="00DD60D9">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In forest management, the implementation of Forest Farmer Groups combined with agroforestry patterns is expected to conserve forests by increasing forest productivity in community areas or critical land. Ecologically, agroforestry functions as a natural forest due to its canopy stratification, which combines shrubs and trees, including fruit and tree species native to natural forests (</w:t>
      </w:r>
      <w:proofErr w:type="spellStart"/>
      <w:r w:rsidRPr="00CC183D">
        <w:rPr>
          <w:rStyle w:val="y2iqfc"/>
          <w:rFonts w:ascii="Times New Roman" w:eastAsiaTheme="majorEastAsia" w:hAnsi="Times New Roman" w:cs="Times New Roman"/>
          <w:sz w:val="22"/>
          <w:szCs w:val="22"/>
          <w:lang w:val="en"/>
        </w:rPr>
        <w:t>Michon</w:t>
      </w:r>
      <w:proofErr w:type="spellEnd"/>
      <w:r w:rsidRPr="00CC183D">
        <w:rPr>
          <w:rStyle w:val="y2iqfc"/>
          <w:rFonts w:ascii="Times New Roman" w:eastAsiaTheme="majorEastAsia" w:hAnsi="Times New Roman" w:cs="Times New Roman"/>
          <w:sz w:val="22"/>
          <w:szCs w:val="22"/>
          <w:lang w:val="en"/>
        </w:rPr>
        <w:t xml:space="preserve"> and </w:t>
      </w:r>
      <w:proofErr w:type="spellStart"/>
      <w:r w:rsidRPr="00CC183D">
        <w:rPr>
          <w:rStyle w:val="y2iqfc"/>
          <w:rFonts w:ascii="Times New Roman" w:eastAsiaTheme="majorEastAsia" w:hAnsi="Times New Roman" w:cs="Times New Roman"/>
          <w:sz w:val="22"/>
          <w:szCs w:val="22"/>
          <w:lang w:val="en"/>
        </w:rPr>
        <w:t>Foresta</w:t>
      </w:r>
      <w:proofErr w:type="spellEnd"/>
      <w:r w:rsidRPr="00CC183D">
        <w:rPr>
          <w:rStyle w:val="y2iqfc"/>
          <w:rFonts w:ascii="Times New Roman" w:eastAsiaTheme="majorEastAsia" w:hAnsi="Times New Roman" w:cs="Times New Roman"/>
          <w:sz w:val="22"/>
          <w:szCs w:val="22"/>
          <w:lang w:val="en"/>
        </w:rPr>
        <w:t xml:space="preserve">, 1995). While this development pattern has shown success in some areas, it has not been as successful in others, such as in the Special Purpose Forest Area (Forestry Training Area). The implementation of agroforestry rehabilitation activities from 2017 to 2022 only involved 23 </w:t>
      </w:r>
      <w:r w:rsidRPr="008979A0">
        <w:rPr>
          <w:rStyle w:val="y2iqfc"/>
          <w:rFonts w:ascii="Times New Roman" w:eastAsiaTheme="majorEastAsia" w:hAnsi="Times New Roman" w:cs="Times New Roman"/>
          <w:sz w:val="22"/>
          <w:szCs w:val="22"/>
          <w:lang w:val="en"/>
        </w:rPr>
        <w:t>families</w:t>
      </w:r>
      <w:r w:rsidR="007732B0" w:rsidRPr="008979A0">
        <w:rPr>
          <w:rStyle w:val="y2iqfc"/>
          <w:rFonts w:ascii="Times New Roman" w:eastAsiaTheme="majorEastAsia" w:hAnsi="Times New Roman" w:cs="Times New Roman"/>
          <w:sz w:val="22"/>
          <w:szCs w:val="22"/>
          <w:lang w:val="en"/>
        </w:rPr>
        <w:t xml:space="preserve"> (Academic Support Unit for Moist Tropical Forest Bioresources, Faculty of Forestry, </w:t>
      </w:r>
      <w:proofErr w:type="spellStart"/>
      <w:r w:rsidR="007732B0" w:rsidRPr="008979A0">
        <w:rPr>
          <w:rStyle w:val="y2iqfc"/>
          <w:rFonts w:ascii="Times New Roman" w:eastAsiaTheme="majorEastAsia" w:hAnsi="Times New Roman" w:cs="Times New Roman"/>
          <w:sz w:val="22"/>
          <w:szCs w:val="22"/>
          <w:lang w:val="en"/>
        </w:rPr>
        <w:t>Unmul</w:t>
      </w:r>
      <w:proofErr w:type="spellEnd"/>
      <w:r w:rsidR="007732B0" w:rsidRPr="008979A0">
        <w:rPr>
          <w:rStyle w:val="y2iqfc"/>
          <w:rFonts w:ascii="Times New Roman" w:eastAsiaTheme="majorEastAsia" w:hAnsi="Times New Roman" w:cs="Times New Roman"/>
          <w:sz w:val="22"/>
          <w:szCs w:val="22"/>
          <w:lang w:val="en"/>
        </w:rPr>
        <w:t>, 2022).</w:t>
      </w:r>
    </w:p>
    <w:p w14:paraId="08425D2E"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concept of empowerment in community development, particularly for communities surrounding forests, is always linked to the concepts of independence, participation, networking, and social justice (Craig and Mayo, 1995). Community needs and factors influencing interest in agroforestry rehabilitation activities need to be identified to formulate appropriate strategies for area management, taking into account local socio-cultural conditions while maintaining a conservation orientation aimed at restoring forest function and improving community welfare.</w:t>
      </w:r>
    </w:p>
    <w:p w14:paraId="74FD7471"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objectives of this study were to determine community participation in agroforestry rehabilitation activities and to identify factors influencing community participation in agroforestry rehabilitation activities in the Special Purpose Forest Area of ​​the Loa </w:t>
      </w:r>
      <w:proofErr w:type="spellStart"/>
      <w:r w:rsidRPr="00CC183D">
        <w:rPr>
          <w:rStyle w:val="y2iqfc"/>
          <w:rFonts w:ascii="Times New Roman" w:eastAsiaTheme="majorEastAsia" w:hAnsi="Times New Roman" w:cs="Times New Roman"/>
          <w:sz w:val="22"/>
          <w:szCs w:val="22"/>
          <w:lang w:val="en"/>
        </w:rPr>
        <w:t>Haur</w:t>
      </w:r>
      <w:proofErr w:type="spellEnd"/>
      <w:r w:rsidRPr="00CC183D">
        <w:rPr>
          <w:rStyle w:val="y2iqfc"/>
          <w:rFonts w:ascii="Times New Roman" w:eastAsiaTheme="majorEastAsia" w:hAnsi="Times New Roman" w:cs="Times New Roman"/>
          <w:sz w:val="22"/>
          <w:szCs w:val="22"/>
          <w:lang w:val="en"/>
        </w:rPr>
        <w:t xml:space="preserve"> Training Forest,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w:t>
      </w:r>
    </w:p>
    <w:p w14:paraId="5FF7421C" w14:textId="6532285C" w:rsidR="00BA632D" w:rsidRPr="00CC183D" w:rsidRDefault="00BA632D" w:rsidP="00BA632D">
      <w:pPr>
        <w:pStyle w:val="HTMLPreformatted"/>
        <w:ind w:firstLine="567"/>
        <w:jc w:val="both"/>
        <w:rPr>
          <w:rFonts w:ascii="Times New Roman" w:hAnsi="Times New Roman" w:cs="Times New Roman"/>
          <w:sz w:val="22"/>
          <w:szCs w:val="22"/>
        </w:rPr>
      </w:pPr>
    </w:p>
    <w:p w14:paraId="1B91153A"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 RESEARCH METHODOLOGY</w:t>
      </w:r>
    </w:p>
    <w:p w14:paraId="27E81834"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2.1. Time and Location</w:t>
      </w:r>
    </w:p>
    <w:p w14:paraId="0184B0F2" w14:textId="752FD2EC" w:rsidR="00DD60D9" w:rsidRPr="00DD60D9" w:rsidRDefault="00DD60D9" w:rsidP="00DD60D9">
      <w:pPr>
        <w:pStyle w:val="HTMLPreformatted"/>
        <w:ind w:firstLine="567"/>
        <w:jc w:val="both"/>
        <w:rPr>
          <w:rStyle w:val="y2iqfc"/>
          <w:rFonts w:ascii="Times New Roman" w:hAnsi="Times New Roman" w:cs="Times New Roman"/>
          <w:sz w:val="22"/>
          <w:szCs w:val="22"/>
        </w:rPr>
      </w:pPr>
      <w:r w:rsidRPr="00C4228D">
        <w:rPr>
          <w:rStyle w:val="y2iqfc"/>
          <w:rFonts w:ascii="Times New Roman" w:eastAsiaTheme="majorEastAsia" w:hAnsi="Times New Roman" w:cs="Times New Roman"/>
          <w:sz w:val="22"/>
          <w:szCs w:val="22"/>
          <w:lang w:val="en"/>
        </w:rPr>
        <w:t xml:space="preserve">The research was conducted from November 2022 to January 2023 in the Special Purpose Forest Area of ​​the Loa </w:t>
      </w:r>
      <w:proofErr w:type="spellStart"/>
      <w:r w:rsidRPr="00C4228D">
        <w:rPr>
          <w:rStyle w:val="y2iqfc"/>
          <w:rFonts w:ascii="Times New Roman" w:eastAsiaTheme="majorEastAsia" w:hAnsi="Times New Roman" w:cs="Times New Roman"/>
          <w:sz w:val="22"/>
          <w:szCs w:val="22"/>
          <w:lang w:val="en"/>
        </w:rPr>
        <w:t>Haur</w:t>
      </w:r>
      <w:proofErr w:type="spellEnd"/>
      <w:r w:rsidRPr="00C4228D">
        <w:rPr>
          <w:rStyle w:val="y2iqfc"/>
          <w:rFonts w:ascii="Times New Roman" w:eastAsiaTheme="majorEastAsia" w:hAnsi="Times New Roman" w:cs="Times New Roman"/>
          <w:sz w:val="22"/>
          <w:szCs w:val="22"/>
          <w:lang w:val="en"/>
        </w:rPr>
        <w:t xml:space="preserve"> Training Forest, specifically in </w:t>
      </w:r>
      <w:proofErr w:type="spellStart"/>
      <w:r w:rsidRPr="00C4228D">
        <w:rPr>
          <w:rStyle w:val="y2iqfc"/>
          <w:rFonts w:ascii="Times New Roman" w:eastAsiaTheme="majorEastAsia" w:hAnsi="Times New Roman" w:cs="Times New Roman"/>
          <w:sz w:val="22"/>
          <w:szCs w:val="22"/>
          <w:lang w:val="en"/>
        </w:rPr>
        <w:t>Tanijaya</w:t>
      </w:r>
      <w:proofErr w:type="spellEnd"/>
      <w:r w:rsidRPr="00C4228D">
        <w:rPr>
          <w:rStyle w:val="y2iqfc"/>
          <w:rFonts w:ascii="Times New Roman" w:eastAsiaTheme="majorEastAsia" w:hAnsi="Times New Roman" w:cs="Times New Roman"/>
          <w:sz w:val="22"/>
          <w:szCs w:val="22"/>
          <w:lang w:val="en"/>
        </w:rPr>
        <w:t xml:space="preserve"> Hamlet, </w:t>
      </w:r>
      <w:proofErr w:type="spellStart"/>
      <w:r w:rsidRPr="00C4228D">
        <w:rPr>
          <w:rStyle w:val="y2iqfc"/>
          <w:rFonts w:ascii="Times New Roman" w:eastAsiaTheme="majorEastAsia" w:hAnsi="Times New Roman" w:cs="Times New Roman"/>
          <w:sz w:val="22"/>
          <w:szCs w:val="22"/>
          <w:lang w:val="en"/>
        </w:rPr>
        <w:t>Batuah</w:t>
      </w:r>
      <w:proofErr w:type="spellEnd"/>
      <w:r w:rsidRPr="00C4228D">
        <w:rPr>
          <w:rStyle w:val="y2iqfc"/>
          <w:rFonts w:ascii="Times New Roman" w:eastAsiaTheme="majorEastAsia" w:hAnsi="Times New Roman" w:cs="Times New Roman"/>
          <w:sz w:val="22"/>
          <w:szCs w:val="22"/>
          <w:lang w:val="en"/>
        </w:rPr>
        <w:t xml:space="preserve"> Village, </w:t>
      </w:r>
      <w:proofErr w:type="spellStart"/>
      <w:r w:rsidRPr="00C4228D">
        <w:rPr>
          <w:rStyle w:val="y2iqfc"/>
          <w:rFonts w:ascii="Times New Roman" w:eastAsiaTheme="majorEastAsia" w:hAnsi="Times New Roman" w:cs="Times New Roman"/>
          <w:sz w:val="22"/>
          <w:szCs w:val="22"/>
          <w:lang w:val="en"/>
        </w:rPr>
        <w:t>Kutai</w:t>
      </w:r>
      <w:proofErr w:type="spellEnd"/>
      <w:r w:rsidRPr="00C4228D">
        <w:rPr>
          <w:rStyle w:val="y2iqfc"/>
          <w:rFonts w:ascii="Times New Roman" w:eastAsiaTheme="majorEastAsia" w:hAnsi="Times New Roman" w:cs="Times New Roman"/>
          <w:sz w:val="22"/>
          <w:szCs w:val="22"/>
          <w:lang w:val="en"/>
        </w:rPr>
        <w:t xml:space="preserve"> </w:t>
      </w:r>
      <w:proofErr w:type="spellStart"/>
      <w:r w:rsidRPr="00C4228D">
        <w:rPr>
          <w:rStyle w:val="y2iqfc"/>
          <w:rFonts w:ascii="Times New Roman" w:eastAsiaTheme="majorEastAsia" w:hAnsi="Times New Roman" w:cs="Times New Roman"/>
          <w:sz w:val="22"/>
          <w:szCs w:val="22"/>
          <w:lang w:val="en"/>
        </w:rPr>
        <w:t>Kartanegara</w:t>
      </w:r>
      <w:proofErr w:type="spellEnd"/>
      <w:r w:rsidRPr="00C4228D">
        <w:rPr>
          <w:rStyle w:val="y2iqfc"/>
          <w:rFonts w:ascii="Times New Roman" w:eastAsiaTheme="majorEastAsia" w:hAnsi="Times New Roman" w:cs="Times New Roman"/>
          <w:sz w:val="22"/>
          <w:szCs w:val="22"/>
          <w:lang w:val="en"/>
        </w:rPr>
        <w:t xml:space="preserve"> Regency, East Kalimantan Province. The Special Purpose Forest Area (KHDTK) of the Loa </w:t>
      </w:r>
      <w:proofErr w:type="spellStart"/>
      <w:r w:rsidRPr="00C4228D">
        <w:rPr>
          <w:rStyle w:val="y2iqfc"/>
          <w:rFonts w:ascii="Times New Roman" w:eastAsiaTheme="majorEastAsia" w:hAnsi="Times New Roman" w:cs="Times New Roman"/>
          <w:sz w:val="22"/>
          <w:szCs w:val="22"/>
          <w:lang w:val="en"/>
        </w:rPr>
        <w:t>Haur</w:t>
      </w:r>
      <w:proofErr w:type="spellEnd"/>
      <w:r w:rsidRPr="00C4228D">
        <w:rPr>
          <w:rStyle w:val="y2iqfc"/>
          <w:rFonts w:ascii="Times New Roman" w:eastAsiaTheme="majorEastAsia" w:hAnsi="Times New Roman" w:cs="Times New Roman"/>
          <w:sz w:val="22"/>
          <w:szCs w:val="22"/>
          <w:lang w:val="en"/>
        </w:rPr>
        <w:t xml:space="preserve"> Training Forest, located in </w:t>
      </w:r>
      <w:proofErr w:type="spellStart"/>
      <w:r w:rsidRPr="00C4228D">
        <w:rPr>
          <w:rStyle w:val="y2iqfc"/>
          <w:rFonts w:ascii="Times New Roman" w:eastAsiaTheme="majorEastAsia" w:hAnsi="Times New Roman" w:cs="Times New Roman"/>
          <w:sz w:val="22"/>
          <w:szCs w:val="22"/>
          <w:lang w:val="en"/>
        </w:rPr>
        <w:t>Batuah</w:t>
      </w:r>
      <w:proofErr w:type="spellEnd"/>
      <w:r w:rsidRPr="00C4228D">
        <w:rPr>
          <w:rStyle w:val="y2iqfc"/>
          <w:rFonts w:ascii="Times New Roman" w:eastAsiaTheme="majorEastAsia" w:hAnsi="Times New Roman" w:cs="Times New Roman"/>
          <w:sz w:val="22"/>
          <w:szCs w:val="22"/>
          <w:lang w:val="en"/>
        </w:rPr>
        <w:t xml:space="preserve"> Village, </w:t>
      </w:r>
      <w:proofErr w:type="spellStart"/>
      <w:r w:rsidRPr="00C4228D">
        <w:rPr>
          <w:rStyle w:val="y2iqfc"/>
          <w:rFonts w:ascii="Times New Roman" w:eastAsiaTheme="majorEastAsia" w:hAnsi="Times New Roman" w:cs="Times New Roman"/>
          <w:sz w:val="22"/>
          <w:szCs w:val="22"/>
          <w:lang w:val="en"/>
        </w:rPr>
        <w:t>Kutai</w:t>
      </w:r>
      <w:proofErr w:type="spellEnd"/>
      <w:r w:rsidRPr="00C4228D">
        <w:rPr>
          <w:rStyle w:val="y2iqfc"/>
          <w:rFonts w:ascii="Times New Roman" w:eastAsiaTheme="majorEastAsia" w:hAnsi="Times New Roman" w:cs="Times New Roman"/>
          <w:sz w:val="22"/>
          <w:szCs w:val="22"/>
          <w:lang w:val="en"/>
        </w:rPr>
        <w:t xml:space="preserve"> </w:t>
      </w:r>
      <w:proofErr w:type="spellStart"/>
      <w:r w:rsidRPr="00C4228D">
        <w:rPr>
          <w:rStyle w:val="y2iqfc"/>
          <w:rFonts w:ascii="Times New Roman" w:eastAsiaTheme="majorEastAsia" w:hAnsi="Times New Roman" w:cs="Times New Roman"/>
          <w:sz w:val="22"/>
          <w:szCs w:val="22"/>
          <w:lang w:val="en"/>
        </w:rPr>
        <w:t>Kartanegara</w:t>
      </w:r>
      <w:proofErr w:type="spellEnd"/>
      <w:r w:rsidRPr="00C4228D">
        <w:rPr>
          <w:rStyle w:val="y2iqfc"/>
          <w:rFonts w:ascii="Times New Roman" w:eastAsiaTheme="majorEastAsia" w:hAnsi="Times New Roman" w:cs="Times New Roman"/>
          <w:sz w:val="22"/>
          <w:szCs w:val="22"/>
          <w:lang w:val="en"/>
        </w:rPr>
        <w:t xml:space="preserve"> Regency, is administratively and geographically part of the Bukit </w:t>
      </w:r>
      <w:proofErr w:type="spellStart"/>
      <w:r w:rsidRPr="00C4228D">
        <w:rPr>
          <w:rStyle w:val="y2iqfc"/>
          <w:rFonts w:ascii="Times New Roman" w:eastAsiaTheme="majorEastAsia" w:hAnsi="Times New Roman" w:cs="Times New Roman"/>
          <w:sz w:val="22"/>
          <w:szCs w:val="22"/>
          <w:lang w:val="en"/>
        </w:rPr>
        <w:t>Soeharto</w:t>
      </w:r>
      <w:proofErr w:type="spellEnd"/>
      <w:r w:rsidRPr="00C4228D">
        <w:rPr>
          <w:rStyle w:val="y2iqfc"/>
          <w:rFonts w:ascii="Times New Roman" w:eastAsiaTheme="majorEastAsia" w:hAnsi="Times New Roman" w:cs="Times New Roman"/>
          <w:sz w:val="22"/>
          <w:szCs w:val="22"/>
          <w:lang w:val="en"/>
        </w:rPr>
        <w:t xml:space="preserve"> Grand Forest Park (</w:t>
      </w:r>
      <w:proofErr w:type="spellStart"/>
      <w:r w:rsidRPr="00C4228D">
        <w:rPr>
          <w:rStyle w:val="y2iqfc"/>
          <w:rFonts w:ascii="Times New Roman" w:eastAsiaTheme="majorEastAsia" w:hAnsi="Times New Roman" w:cs="Times New Roman"/>
          <w:sz w:val="22"/>
          <w:szCs w:val="22"/>
          <w:lang w:val="en"/>
        </w:rPr>
        <w:t>Tahura</w:t>
      </w:r>
      <w:proofErr w:type="spellEnd"/>
      <w:r w:rsidRPr="00C4228D">
        <w:rPr>
          <w:rStyle w:val="y2iqfc"/>
          <w:rFonts w:ascii="Times New Roman" w:eastAsiaTheme="majorEastAsia" w:hAnsi="Times New Roman" w:cs="Times New Roman"/>
          <w:sz w:val="22"/>
          <w:szCs w:val="22"/>
          <w:lang w:val="en"/>
        </w:rPr>
        <w:t xml:space="preserve">). This KHDTK is managed as part of the education and research functions within the </w:t>
      </w:r>
      <w:proofErr w:type="spellStart"/>
      <w:r w:rsidRPr="00C4228D">
        <w:rPr>
          <w:rStyle w:val="y2iqfc"/>
          <w:rFonts w:ascii="Times New Roman" w:eastAsiaTheme="majorEastAsia" w:hAnsi="Times New Roman" w:cs="Times New Roman"/>
          <w:sz w:val="22"/>
          <w:szCs w:val="22"/>
          <w:lang w:val="en"/>
        </w:rPr>
        <w:t>Tahura</w:t>
      </w:r>
      <w:proofErr w:type="spellEnd"/>
      <w:r w:rsidRPr="00C4228D">
        <w:rPr>
          <w:rStyle w:val="y2iqfc"/>
          <w:rFonts w:ascii="Times New Roman" w:eastAsiaTheme="majorEastAsia" w:hAnsi="Times New Roman" w:cs="Times New Roman"/>
          <w:sz w:val="22"/>
          <w:szCs w:val="22"/>
          <w:lang w:val="en"/>
        </w:rPr>
        <w:t xml:space="preserve"> ecosystem. The location was selected based on the consideration that the </w:t>
      </w:r>
      <w:proofErr w:type="spellStart"/>
      <w:r w:rsidRPr="00C4228D">
        <w:rPr>
          <w:rStyle w:val="y2iqfc"/>
          <w:rFonts w:ascii="Times New Roman" w:eastAsiaTheme="majorEastAsia" w:hAnsi="Times New Roman" w:cs="Times New Roman"/>
          <w:sz w:val="22"/>
          <w:szCs w:val="22"/>
          <w:lang w:val="en"/>
        </w:rPr>
        <w:t>Tanijaya</w:t>
      </w:r>
      <w:proofErr w:type="spellEnd"/>
      <w:r w:rsidRPr="00C4228D">
        <w:rPr>
          <w:rStyle w:val="y2iqfc"/>
          <w:rFonts w:ascii="Times New Roman" w:eastAsiaTheme="majorEastAsia" w:hAnsi="Times New Roman" w:cs="Times New Roman"/>
          <w:sz w:val="22"/>
          <w:szCs w:val="22"/>
          <w:lang w:val="en"/>
        </w:rPr>
        <w:t xml:space="preserve"> community's land directly borders the area and the community carries out many activities within the KHDTK area of ​​the Forestry Training Center.</w:t>
      </w:r>
    </w:p>
    <w:p w14:paraId="38337E74" w14:textId="77777777" w:rsidR="007732B0" w:rsidRPr="008979A0" w:rsidRDefault="007732B0" w:rsidP="007732B0">
      <w:pPr>
        <w:pStyle w:val="HTMLPreformatted"/>
        <w:ind w:firstLine="567"/>
        <w:jc w:val="both"/>
        <w:rPr>
          <w:rStyle w:val="y2iqfc"/>
          <w:rFonts w:ascii="Times New Roman" w:eastAsiaTheme="majorEastAsia" w:hAnsi="Times New Roman" w:cs="Times New Roman"/>
          <w:sz w:val="22"/>
          <w:szCs w:val="22"/>
          <w:lang w:val="en"/>
        </w:rPr>
      </w:pPr>
      <w:r w:rsidRPr="008979A0">
        <w:rPr>
          <w:rStyle w:val="y2iqfc"/>
          <w:rFonts w:ascii="Times New Roman" w:eastAsiaTheme="majorEastAsia" w:hAnsi="Times New Roman" w:cs="Times New Roman"/>
          <w:sz w:val="22"/>
          <w:szCs w:val="22"/>
          <w:lang w:val="en"/>
        </w:rPr>
        <w:t xml:space="preserve">Geographically, the </w:t>
      </w:r>
      <w:proofErr w:type="spellStart"/>
      <w:r w:rsidRPr="008979A0">
        <w:rPr>
          <w:rStyle w:val="y2iqfc"/>
          <w:rFonts w:ascii="Times New Roman" w:eastAsiaTheme="majorEastAsia" w:hAnsi="Times New Roman" w:cs="Times New Roman"/>
          <w:sz w:val="22"/>
          <w:szCs w:val="22"/>
          <w:lang w:val="en"/>
        </w:rPr>
        <w:t>Samarinda</w:t>
      </w:r>
      <w:proofErr w:type="spellEnd"/>
      <w:r w:rsidRPr="008979A0">
        <w:rPr>
          <w:rStyle w:val="y2iqfc"/>
          <w:rFonts w:ascii="Times New Roman" w:eastAsiaTheme="majorEastAsia" w:hAnsi="Times New Roman" w:cs="Times New Roman"/>
          <w:sz w:val="22"/>
          <w:szCs w:val="22"/>
          <w:lang w:val="en"/>
        </w:rPr>
        <w:t xml:space="preserve"> Forestry Training Center (BDK) Forest area is located between 00°40'00" - 00°47'00" South Latitude and 116°7'00" - 117°01'00" East Longitude, west of the </w:t>
      </w:r>
      <w:proofErr w:type="spellStart"/>
      <w:r w:rsidRPr="008979A0">
        <w:rPr>
          <w:rStyle w:val="y2iqfc"/>
          <w:rFonts w:ascii="Times New Roman" w:eastAsiaTheme="majorEastAsia" w:hAnsi="Times New Roman" w:cs="Times New Roman"/>
          <w:sz w:val="22"/>
          <w:szCs w:val="22"/>
          <w:lang w:val="en"/>
        </w:rPr>
        <w:t>Samarinda</w:t>
      </w:r>
      <w:proofErr w:type="spellEnd"/>
      <w:r w:rsidRPr="008979A0">
        <w:rPr>
          <w:rStyle w:val="y2iqfc"/>
          <w:rFonts w:ascii="Times New Roman" w:eastAsiaTheme="majorEastAsia" w:hAnsi="Times New Roman" w:cs="Times New Roman"/>
          <w:sz w:val="22"/>
          <w:szCs w:val="22"/>
          <w:lang w:val="en"/>
        </w:rPr>
        <w:t xml:space="preserve">-Balikpapan main road. Administratively, it is located within the Loa </w:t>
      </w:r>
      <w:proofErr w:type="spellStart"/>
      <w:r w:rsidRPr="008979A0">
        <w:rPr>
          <w:rStyle w:val="y2iqfc"/>
          <w:rFonts w:ascii="Times New Roman" w:eastAsiaTheme="majorEastAsia" w:hAnsi="Times New Roman" w:cs="Times New Roman"/>
          <w:sz w:val="22"/>
          <w:szCs w:val="22"/>
          <w:lang w:val="en"/>
        </w:rPr>
        <w:t>Janan</w:t>
      </w:r>
      <w:proofErr w:type="spellEnd"/>
      <w:r w:rsidRPr="008979A0">
        <w:rPr>
          <w:rStyle w:val="y2iqfc"/>
          <w:rFonts w:ascii="Times New Roman" w:eastAsiaTheme="majorEastAsia" w:hAnsi="Times New Roman" w:cs="Times New Roman"/>
          <w:sz w:val="22"/>
          <w:szCs w:val="22"/>
          <w:lang w:val="en"/>
        </w:rPr>
        <w:t xml:space="preserve"> District, </w:t>
      </w:r>
      <w:proofErr w:type="spellStart"/>
      <w:r w:rsidRPr="008979A0">
        <w:rPr>
          <w:rStyle w:val="y2iqfc"/>
          <w:rFonts w:ascii="Times New Roman" w:eastAsiaTheme="majorEastAsia" w:hAnsi="Times New Roman" w:cs="Times New Roman"/>
          <w:sz w:val="22"/>
          <w:szCs w:val="22"/>
          <w:lang w:val="en"/>
        </w:rPr>
        <w:t>Kutai</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Kartanegara</w:t>
      </w:r>
      <w:proofErr w:type="spellEnd"/>
      <w:r w:rsidRPr="008979A0">
        <w:rPr>
          <w:rStyle w:val="y2iqfc"/>
          <w:rFonts w:ascii="Times New Roman" w:eastAsiaTheme="majorEastAsia" w:hAnsi="Times New Roman" w:cs="Times New Roman"/>
          <w:sz w:val="22"/>
          <w:szCs w:val="22"/>
          <w:lang w:val="en"/>
        </w:rPr>
        <w:t xml:space="preserve"> Regency. The KHDTK BDK management system is comprehensive and integrated to enhance the role of the area and its natural resources in improving environmental quality. The management of this forest area supports the development of forestry human resources for sustainable forest development. In accordance with Minister of Forestry Decree Number 8815/</w:t>
      </w:r>
      <w:proofErr w:type="spellStart"/>
      <w:r w:rsidRPr="008979A0">
        <w:rPr>
          <w:rStyle w:val="y2iqfc"/>
          <w:rFonts w:ascii="Times New Roman" w:eastAsiaTheme="majorEastAsia" w:hAnsi="Times New Roman" w:cs="Times New Roman"/>
          <w:sz w:val="22"/>
          <w:szCs w:val="22"/>
          <w:lang w:val="en"/>
        </w:rPr>
        <w:t>Kpts</w:t>
      </w:r>
      <w:proofErr w:type="spellEnd"/>
      <w:r w:rsidRPr="008979A0">
        <w:rPr>
          <w:rStyle w:val="y2iqfc"/>
          <w:rFonts w:ascii="Times New Roman" w:eastAsiaTheme="majorEastAsia" w:hAnsi="Times New Roman" w:cs="Times New Roman"/>
          <w:sz w:val="22"/>
          <w:szCs w:val="22"/>
          <w:lang w:val="en"/>
        </w:rPr>
        <w:t xml:space="preserve">-n/2002, the </w:t>
      </w:r>
      <w:proofErr w:type="spellStart"/>
      <w:r w:rsidRPr="008979A0">
        <w:rPr>
          <w:rStyle w:val="y2iqfc"/>
          <w:rFonts w:ascii="Times New Roman" w:eastAsiaTheme="majorEastAsia" w:hAnsi="Times New Roman" w:cs="Times New Roman"/>
          <w:sz w:val="22"/>
          <w:szCs w:val="22"/>
          <w:lang w:val="en"/>
        </w:rPr>
        <w:t>Samarinda</w:t>
      </w:r>
      <w:proofErr w:type="spellEnd"/>
      <w:r w:rsidRPr="008979A0">
        <w:rPr>
          <w:rStyle w:val="y2iqfc"/>
          <w:rFonts w:ascii="Times New Roman" w:eastAsiaTheme="majorEastAsia" w:hAnsi="Times New Roman" w:cs="Times New Roman"/>
          <w:sz w:val="22"/>
          <w:szCs w:val="22"/>
          <w:lang w:val="en"/>
        </w:rPr>
        <w:t xml:space="preserve"> Forestry Training Center has a Training Forest covering 4,310 hectares.</w:t>
      </w:r>
    </w:p>
    <w:p w14:paraId="2A8701FB" w14:textId="7F1B62AE" w:rsidR="007732B0" w:rsidRPr="008979A0" w:rsidRDefault="007732B0" w:rsidP="007732B0">
      <w:pPr>
        <w:pStyle w:val="HTMLPreformatted"/>
        <w:ind w:firstLine="567"/>
        <w:jc w:val="both"/>
        <w:rPr>
          <w:rFonts w:ascii="Times New Roman" w:hAnsi="Times New Roman" w:cs="Times New Roman"/>
          <w:sz w:val="22"/>
          <w:szCs w:val="22"/>
        </w:rPr>
      </w:pPr>
      <w:r w:rsidRPr="008979A0">
        <w:rPr>
          <w:rStyle w:val="y2iqfc"/>
          <w:rFonts w:ascii="Times New Roman" w:eastAsiaTheme="majorEastAsia" w:hAnsi="Times New Roman" w:cs="Times New Roman"/>
          <w:sz w:val="22"/>
          <w:szCs w:val="22"/>
          <w:lang w:val="en"/>
        </w:rPr>
        <w:t xml:space="preserve">The KHDTK BDK has been equipped with building facilities as training facilities in the form of dormitories, classrooms, and other supporting buildings. This facility was built on a 1-hectare plot of land. The types of trees in the KHDTK BDK are dominated by </w:t>
      </w:r>
      <w:proofErr w:type="spellStart"/>
      <w:r w:rsidRPr="008979A0">
        <w:rPr>
          <w:rStyle w:val="y2iqfc"/>
          <w:rFonts w:ascii="Times New Roman" w:eastAsiaTheme="majorEastAsia" w:hAnsi="Times New Roman" w:cs="Times New Roman"/>
          <w:sz w:val="22"/>
          <w:szCs w:val="22"/>
          <w:lang w:val="en"/>
        </w:rPr>
        <w:t>Terap</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Arthocarpus</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Jabon</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Arthoc</w:t>
      </w:r>
      <w:r w:rsidR="0085227F">
        <w:rPr>
          <w:rStyle w:val="y2iqfc"/>
          <w:rFonts w:ascii="Times New Roman" w:eastAsiaTheme="majorEastAsia" w:hAnsi="Times New Roman" w:cs="Times New Roman"/>
          <w:i/>
          <w:iCs/>
          <w:sz w:val="22"/>
          <w:szCs w:val="22"/>
          <w:lang w:val="en"/>
        </w:rPr>
        <w:t>arp</w:t>
      </w:r>
      <w:r w:rsidRPr="008979A0">
        <w:rPr>
          <w:rStyle w:val="y2iqfc"/>
          <w:rFonts w:ascii="Times New Roman" w:eastAsiaTheme="majorEastAsia" w:hAnsi="Times New Roman" w:cs="Times New Roman"/>
          <w:i/>
          <w:iCs/>
          <w:sz w:val="22"/>
          <w:szCs w:val="22"/>
          <w:lang w:val="en"/>
        </w:rPr>
        <w:t>us</w:t>
      </w:r>
      <w:proofErr w:type="spellEnd"/>
      <w:r w:rsidRPr="008979A0">
        <w:rPr>
          <w:rStyle w:val="y2iqfc"/>
          <w:rFonts w:ascii="Times New Roman" w:eastAsiaTheme="majorEastAsia" w:hAnsi="Times New Roman" w:cs="Times New Roman"/>
          <w:i/>
          <w:iCs/>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cadamba</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Jambu-jambuan</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Syzygium</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Simpur</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Dillenia</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 xml:space="preserve">), and </w:t>
      </w:r>
      <w:proofErr w:type="spellStart"/>
      <w:r w:rsidRPr="008979A0">
        <w:rPr>
          <w:rStyle w:val="y2iqfc"/>
          <w:rFonts w:ascii="Times New Roman" w:eastAsiaTheme="majorEastAsia" w:hAnsi="Times New Roman" w:cs="Times New Roman"/>
          <w:sz w:val="22"/>
          <w:szCs w:val="22"/>
          <w:lang w:val="en"/>
        </w:rPr>
        <w:t>Ulin</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Eusideroxylon</w:t>
      </w:r>
      <w:proofErr w:type="spellEnd"/>
      <w:r w:rsidRPr="008979A0">
        <w:rPr>
          <w:rStyle w:val="y2iqfc"/>
          <w:rFonts w:ascii="Times New Roman" w:eastAsiaTheme="majorEastAsia" w:hAnsi="Times New Roman" w:cs="Times New Roman"/>
          <w:i/>
          <w:iCs/>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zwageri</w:t>
      </w:r>
      <w:proofErr w:type="spellEnd"/>
      <w:r w:rsidRPr="008979A0">
        <w:rPr>
          <w:rStyle w:val="y2iqfc"/>
          <w:rFonts w:ascii="Times New Roman" w:eastAsiaTheme="majorEastAsia" w:hAnsi="Times New Roman" w:cs="Times New Roman"/>
          <w:sz w:val="22"/>
          <w:szCs w:val="22"/>
          <w:lang w:val="en"/>
        </w:rPr>
        <w:t xml:space="preserve">). Meanwhile, tree species that are still found but in small numbers are </w:t>
      </w:r>
      <w:proofErr w:type="spellStart"/>
      <w:r w:rsidRPr="008979A0">
        <w:rPr>
          <w:rStyle w:val="y2iqfc"/>
          <w:rFonts w:ascii="Times New Roman" w:eastAsiaTheme="majorEastAsia" w:hAnsi="Times New Roman" w:cs="Times New Roman"/>
          <w:sz w:val="22"/>
          <w:szCs w:val="22"/>
          <w:lang w:val="en"/>
        </w:rPr>
        <w:t>Benuang</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Duabanga</w:t>
      </w:r>
      <w:proofErr w:type="spellEnd"/>
      <w:r w:rsidRPr="008979A0">
        <w:rPr>
          <w:rStyle w:val="y2iqfc"/>
          <w:rFonts w:ascii="Times New Roman" w:eastAsiaTheme="majorEastAsia" w:hAnsi="Times New Roman" w:cs="Times New Roman"/>
          <w:i/>
          <w:iCs/>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molucana</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Keruing</w:t>
      </w:r>
      <w:proofErr w:type="spellEnd"/>
      <w:r w:rsidRPr="008979A0">
        <w:rPr>
          <w:rStyle w:val="y2iqfc"/>
          <w:rFonts w:ascii="Times New Roman" w:eastAsiaTheme="majorEastAsia" w:hAnsi="Times New Roman" w:cs="Times New Roman"/>
          <w:sz w:val="22"/>
          <w:szCs w:val="22"/>
          <w:lang w:val="en"/>
        </w:rPr>
        <w:t xml:space="preserve"> (</w:t>
      </w:r>
      <w:r w:rsidRPr="008979A0">
        <w:rPr>
          <w:rStyle w:val="y2iqfc"/>
          <w:rFonts w:ascii="Times New Roman" w:eastAsiaTheme="majorEastAsia" w:hAnsi="Times New Roman" w:cs="Times New Roman"/>
          <w:i/>
          <w:iCs/>
          <w:sz w:val="22"/>
          <w:szCs w:val="22"/>
          <w:lang w:val="en"/>
        </w:rPr>
        <w:t>Dipterocarpus</w:t>
      </w:r>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 Meranti (</w:t>
      </w:r>
      <w:proofErr w:type="spellStart"/>
      <w:r w:rsidRPr="008979A0">
        <w:rPr>
          <w:rStyle w:val="y2iqfc"/>
          <w:rFonts w:ascii="Times New Roman" w:eastAsiaTheme="majorEastAsia" w:hAnsi="Times New Roman" w:cs="Times New Roman"/>
          <w:i/>
          <w:iCs/>
          <w:sz w:val="22"/>
          <w:szCs w:val="22"/>
          <w:lang w:val="en"/>
        </w:rPr>
        <w:t>Shorea</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 xml:space="preserve">), and </w:t>
      </w:r>
      <w:proofErr w:type="spellStart"/>
      <w:r w:rsidRPr="008979A0">
        <w:rPr>
          <w:rStyle w:val="y2iqfc"/>
          <w:rFonts w:ascii="Times New Roman" w:eastAsiaTheme="majorEastAsia" w:hAnsi="Times New Roman" w:cs="Times New Roman"/>
          <w:sz w:val="22"/>
          <w:szCs w:val="22"/>
          <w:lang w:val="en"/>
        </w:rPr>
        <w:t>Kapur</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i/>
          <w:iCs/>
          <w:sz w:val="22"/>
          <w:szCs w:val="22"/>
          <w:lang w:val="en"/>
        </w:rPr>
        <w:t>Dryobalanops</w:t>
      </w:r>
      <w:proofErr w:type="spellEnd"/>
      <w:r w:rsidRPr="008979A0">
        <w:rPr>
          <w:rStyle w:val="y2iqfc"/>
          <w:rFonts w:ascii="Times New Roman" w:eastAsiaTheme="majorEastAsia" w:hAnsi="Times New Roman" w:cs="Times New Roman"/>
          <w:sz w:val="22"/>
          <w:szCs w:val="22"/>
          <w:lang w:val="en"/>
        </w:rPr>
        <w:t xml:space="preserve"> </w:t>
      </w:r>
      <w:proofErr w:type="spellStart"/>
      <w:r w:rsidRPr="008979A0">
        <w:rPr>
          <w:rStyle w:val="y2iqfc"/>
          <w:rFonts w:ascii="Times New Roman" w:eastAsiaTheme="majorEastAsia" w:hAnsi="Times New Roman" w:cs="Times New Roman"/>
          <w:sz w:val="22"/>
          <w:szCs w:val="22"/>
          <w:lang w:val="en"/>
        </w:rPr>
        <w:t>sp</w:t>
      </w:r>
      <w:proofErr w:type="spellEnd"/>
      <w:r w:rsidRPr="008979A0">
        <w:rPr>
          <w:rStyle w:val="y2iqfc"/>
          <w:rFonts w:ascii="Times New Roman" w:eastAsiaTheme="majorEastAsia" w:hAnsi="Times New Roman" w:cs="Times New Roman"/>
          <w:sz w:val="22"/>
          <w:szCs w:val="22"/>
          <w:lang w:val="en"/>
        </w:rPr>
        <w:t>).</w:t>
      </w:r>
    </w:p>
    <w:p w14:paraId="1863CBDC" w14:textId="2D3A46D4" w:rsidR="007732B0" w:rsidRPr="008979A0" w:rsidRDefault="007732B0" w:rsidP="007732B0">
      <w:pPr>
        <w:pStyle w:val="HTMLPreformatted"/>
        <w:ind w:firstLine="567"/>
        <w:jc w:val="both"/>
        <w:rPr>
          <w:rFonts w:ascii="Times New Roman" w:hAnsi="Times New Roman" w:cs="Times New Roman"/>
          <w:sz w:val="22"/>
          <w:szCs w:val="22"/>
        </w:rPr>
      </w:pPr>
      <w:r w:rsidRPr="008979A0">
        <w:rPr>
          <w:rStyle w:val="y2iqfc"/>
          <w:rFonts w:ascii="Times New Roman" w:eastAsiaTheme="majorEastAsia" w:hAnsi="Times New Roman" w:cs="Times New Roman"/>
          <w:sz w:val="22"/>
          <w:szCs w:val="22"/>
          <w:lang w:val="en"/>
        </w:rPr>
        <w:t>Currently, the use of land cultivated by the community within the KHDTK BDK is almost evenly distributed throughout the area. The land that is still being cultivated varies greatly between 2</w:t>
      </w:r>
      <w:r w:rsidR="00EE26EE" w:rsidRPr="008979A0">
        <w:rPr>
          <w:rStyle w:val="y2iqfc"/>
          <w:rFonts w:ascii="Times New Roman" w:eastAsiaTheme="majorEastAsia" w:hAnsi="Times New Roman" w:cs="Times New Roman"/>
          <w:sz w:val="22"/>
          <w:szCs w:val="22"/>
          <w:lang w:val="en"/>
        </w:rPr>
        <w:t xml:space="preserve"> and </w:t>
      </w:r>
      <w:r w:rsidRPr="008979A0">
        <w:rPr>
          <w:rStyle w:val="y2iqfc"/>
          <w:rFonts w:ascii="Times New Roman" w:eastAsiaTheme="majorEastAsia" w:hAnsi="Times New Roman" w:cs="Times New Roman"/>
          <w:sz w:val="22"/>
          <w:szCs w:val="22"/>
          <w:lang w:val="en"/>
        </w:rPr>
        <w:t xml:space="preserve">22 </w:t>
      </w:r>
      <w:r w:rsidRPr="008979A0">
        <w:rPr>
          <w:rStyle w:val="y2iqfc"/>
          <w:rFonts w:ascii="Times New Roman" w:eastAsiaTheme="majorEastAsia" w:hAnsi="Times New Roman" w:cs="Times New Roman"/>
          <w:sz w:val="22"/>
          <w:szCs w:val="22"/>
          <w:lang w:val="en"/>
        </w:rPr>
        <w:lastRenderedPageBreak/>
        <w:t xml:space="preserve">hectares. Farmers generally grow pepper, secondary crops, fruits, and several types of commercial trees such as teak and </w:t>
      </w:r>
      <w:proofErr w:type="spellStart"/>
      <w:r w:rsidRPr="008979A0">
        <w:rPr>
          <w:rStyle w:val="y2iqfc"/>
          <w:rFonts w:ascii="Times New Roman" w:eastAsiaTheme="majorEastAsia" w:hAnsi="Times New Roman" w:cs="Times New Roman"/>
          <w:sz w:val="22"/>
          <w:szCs w:val="22"/>
          <w:lang w:val="en"/>
        </w:rPr>
        <w:t>sengon</w:t>
      </w:r>
      <w:proofErr w:type="spellEnd"/>
      <w:r w:rsidRPr="008979A0">
        <w:rPr>
          <w:rStyle w:val="y2iqfc"/>
          <w:rFonts w:ascii="Times New Roman" w:eastAsiaTheme="majorEastAsia" w:hAnsi="Times New Roman" w:cs="Times New Roman"/>
          <w:sz w:val="22"/>
          <w:szCs w:val="22"/>
          <w:lang w:val="en"/>
        </w:rPr>
        <w:t xml:space="preserve">. Meanwhile, areas that only grow grass and shrubs are community cultivated land that has been abandoned for 1 to 5 years without planted trees or fruit. Land like this is often found in very large areas stretching along the Loa </w:t>
      </w:r>
      <w:proofErr w:type="spellStart"/>
      <w:r w:rsidRPr="008979A0">
        <w:rPr>
          <w:rStyle w:val="y2iqfc"/>
          <w:rFonts w:ascii="Times New Roman" w:eastAsiaTheme="majorEastAsia" w:hAnsi="Times New Roman" w:cs="Times New Roman"/>
          <w:sz w:val="22"/>
          <w:szCs w:val="22"/>
          <w:lang w:val="en"/>
        </w:rPr>
        <w:t>Haur</w:t>
      </w:r>
      <w:proofErr w:type="spellEnd"/>
      <w:r w:rsidRPr="008979A0">
        <w:rPr>
          <w:rStyle w:val="y2iqfc"/>
          <w:rFonts w:ascii="Times New Roman" w:eastAsiaTheme="majorEastAsia" w:hAnsi="Times New Roman" w:cs="Times New Roman"/>
          <w:sz w:val="22"/>
          <w:szCs w:val="22"/>
          <w:lang w:val="en"/>
        </w:rPr>
        <w:t xml:space="preserve"> River, </w:t>
      </w:r>
      <w:proofErr w:type="spellStart"/>
      <w:r w:rsidRPr="008979A0">
        <w:rPr>
          <w:rStyle w:val="y2iqfc"/>
          <w:rFonts w:ascii="Times New Roman" w:eastAsiaTheme="majorEastAsia" w:hAnsi="Times New Roman" w:cs="Times New Roman"/>
          <w:sz w:val="22"/>
          <w:szCs w:val="22"/>
          <w:lang w:val="en"/>
        </w:rPr>
        <w:t>Miak</w:t>
      </w:r>
      <w:proofErr w:type="spellEnd"/>
      <w:r w:rsidRPr="008979A0">
        <w:rPr>
          <w:rStyle w:val="y2iqfc"/>
          <w:rFonts w:ascii="Times New Roman" w:eastAsiaTheme="majorEastAsia" w:hAnsi="Times New Roman" w:cs="Times New Roman"/>
          <w:sz w:val="22"/>
          <w:szCs w:val="22"/>
          <w:lang w:val="en"/>
        </w:rPr>
        <w:t xml:space="preserve"> River, </w:t>
      </w:r>
      <w:proofErr w:type="spellStart"/>
      <w:r w:rsidRPr="008979A0">
        <w:rPr>
          <w:rStyle w:val="y2iqfc"/>
          <w:rFonts w:ascii="Times New Roman" w:eastAsiaTheme="majorEastAsia" w:hAnsi="Times New Roman" w:cs="Times New Roman"/>
          <w:sz w:val="22"/>
          <w:szCs w:val="22"/>
          <w:lang w:val="en"/>
        </w:rPr>
        <w:t>Sepiak</w:t>
      </w:r>
      <w:proofErr w:type="spellEnd"/>
      <w:r w:rsidRPr="008979A0">
        <w:rPr>
          <w:rStyle w:val="y2iqfc"/>
          <w:rFonts w:ascii="Times New Roman" w:eastAsiaTheme="majorEastAsia" w:hAnsi="Times New Roman" w:cs="Times New Roman"/>
          <w:sz w:val="22"/>
          <w:szCs w:val="22"/>
          <w:lang w:val="en"/>
        </w:rPr>
        <w:t xml:space="preserve"> River, </w:t>
      </w:r>
      <w:proofErr w:type="spellStart"/>
      <w:r w:rsidRPr="008979A0">
        <w:rPr>
          <w:rStyle w:val="y2iqfc"/>
          <w:rFonts w:ascii="Times New Roman" w:eastAsiaTheme="majorEastAsia" w:hAnsi="Times New Roman" w:cs="Times New Roman"/>
          <w:sz w:val="22"/>
          <w:szCs w:val="22"/>
          <w:lang w:val="en"/>
        </w:rPr>
        <w:t>Bentuhung</w:t>
      </w:r>
      <w:proofErr w:type="spellEnd"/>
      <w:r w:rsidRPr="008979A0">
        <w:rPr>
          <w:rStyle w:val="y2iqfc"/>
          <w:rFonts w:ascii="Times New Roman" w:eastAsiaTheme="majorEastAsia" w:hAnsi="Times New Roman" w:cs="Times New Roman"/>
          <w:sz w:val="22"/>
          <w:szCs w:val="22"/>
          <w:lang w:val="en"/>
        </w:rPr>
        <w:t xml:space="preserve"> River, and </w:t>
      </w:r>
      <w:proofErr w:type="spellStart"/>
      <w:r w:rsidRPr="008979A0">
        <w:rPr>
          <w:rStyle w:val="y2iqfc"/>
          <w:rFonts w:ascii="Times New Roman" w:eastAsiaTheme="majorEastAsia" w:hAnsi="Times New Roman" w:cs="Times New Roman"/>
          <w:sz w:val="22"/>
          <w:szCs w:val="22"/>
          <w:lang w:val="en"/>
        </w:rPr>
        <w:t>Betung</w:t>
      </w:r>
      <w:proofErr w:type="spellEnd"/>
      <w:r w:rsidRPr="008979A0">
        <w:rPr>
          <w:rStyle w:val="y2iqfc"/>
          <w:rFonts w:ascii="Times New Roman" w:eastAsiaTheme="majorEastAsia" w:hAnsi="Times New Roman" w:cs="Times New Roman"/>
          <w:sz w:val="22"/>
          <w:szCs w:val="22"/>
          <w:lang w:val="en"/>
        </w:rPr>
        <w:t xml:space="preserve"> River, as well as along the forest road on the border of the Training Forest area on the eastern side.</w:t>
      </w:r>
    </w:p>
    <w:p w14:paraId="479069F3" w14:textId="77777777" w:rsidR="007732B0" w:rsidRPr="008979A0" w:rsidRDefault="007732B0" w:rsidP="007732B0">
      <w:pPr>
        <w:pStyle w:val="HTMLPreformatted"/>
        <w:ind w:firstLine="567"/>
        <w:jc w:val="both"/>
        <w:rPr>
          <w:rFonts w:ascii="Times New Roman" w:hAnsi="Times New Roman" w:cs="Times New Roman"/>
          <w:sz w:val="22"/>
          <w:szCs w:val="22"/>
        </w:rPr>
      </w:pPr>
      <w:r w:rsidRPr="008979A0">
        <w:rPr>
          <w:rStyle w:val="y2iqfc"/>
          <w:rFonts w:ascii="Times New Roman" w:eastAsiaTheme="majorEastAsia" w:hAnsi="Times New Roman" w:cs="Times New Roman"/>
          <w:sz w:val="22"/>
          <w:szCs w:val="22"/>
          <w:lang w:val="en"/>
        </w:rPr>
        <w:t>In developing the socio-economic potential of the region in order to improve the welfare of local communities as part of forestry development, an inventory and identification of the distribution of regional potential is carried out. Regional potential includes non-timber forest products (NTFPs) and environmental services (recreational or ecotourism potential) that allow for sustainable utilization and the development of community economic enterprises through cultivation (Social Forestry) or other economic activities. This activity is carried out in an effort to improve the skills and knowledge of forestry officials in community empowerment and as a laboratory for the development of institutional forest management by the community.</w:t>
      </w:r>
    </w:p>
    <w:p w14:paraId="0A3D5D82" w14:textId="5BB365D3" w:rsidR="007732B0" w:rsidRPr="00CC183D" w:rsidRDefault="007732B0" w:rsidP="007732B0">
      <w:pPr>
        <w:pStyle w:val="HTMLPreformatted"/>
        <w:ind w:firstLine="567"/>
        <w:jc w:val="both"/>
        <w:rPr>
          <w:rFonts w:ascii="Times New Roman" w:hAnsi="Times New Roman" w:cs="Times New Roman"/>
          <w:sz w:val="22"/>
          <w:szCs w:val="22"/>
        </w:rPr>
      </w:pPr>
      <w:r w:rsidRPr="008979A0">
        <w:rPr>
          <w:rStyle w:val="y2iqfc"/>
          <w:rFonts w:ascii="Times New Roman" w:eastAsiaTheme="majorEastAsia" w:hAnsi="Times New Roman" w:cs="Times New Roman"/>
          <w:sz w:val="22"/>
          <w:szCs w:val="22"/>
          <w:lang w:val="en"/>
        </w:rPr>
        <w:t>Developing community participation and collaboration between stakeholders is key to the success of KHDTK BDK management going forward. This effort is carried out by actively involving relevant stakeholders through collaborative forest management with existing farmer groups (Social Forestry) in the process of preparing management plans, organizing, implementing, monitoring, and evaluating plan implementation. In addition, collaborative management can also be carried out with mining companies around the area, as long as it does not conflict with existing regulations. To develop community participation in KHDTK BDK management, it is necessary to examine factors that influence the level of participation</w:t>
      </w:r>
      <w:r w:rsidR="00EE26EE" w:rsidRPr="008979A0">
        <w:rPr>
          <w:rStyle w:val="y2iqfc"/>
          <w:rFonts w:ascii="Times New Roman" w:eastAsiaTheme="majorEastAsia" w:hAnsi="Times New Roman" w:cs="Times New Roman"/>
          <w:sz w:val="22"/>
          <w:szCs w:val="22"/>
          <w:lang w:val="en"/>
        </w:rPr>
        <w:t>,</w:t>
      </w:r>
      <w:r w:rsidRPr="008979A0">
        <w:rPr>
          <w:rStyle w:val="y2iqfc"/>
          <w:rFonts w:ascii="Times New Roman" w:eastAsiaTheme="majorEastAsia" w:hAnsi="Times New Roman" w:cs="Times New Roman"/>
          <w:sz w:val="22"/>
          <w:szCs w:val="22"/>
          <w:lang w:val="en"/>
        </w:rPr>
        <w:t xml:space="preserve"> including internal and external factors that influence it.</w:t>
      </w:r>
    </w:p>
    <w:p w14:paraId="25A3B0B7" w14:textId="77777777" w:rsidR="007732B0" w:rsidRPr="00CC183D" w:rsidRDefault="007732B0" w:rsidP="007732B0">
      <w:pPr>
        <w:pStyle w:val="HTMLPreformatted"/>
        <w:jc w:val="both"/>
        <w:rPr>
          <w:rStyle w:val="y2iqfc"/>
          <w:rFonts w:ascii="Times New Roman" w:eastAsiaTheme="majorEastAsia" w:hAnsi="Times New Roman" w:cs="Times New Roman"/>
          <w:sz w:val="22"/>
          <w:szCs w:val="22"/>
          <w:lang w:val="en"/>
        </w:rPr>
      </w:pPr>
    </w:p>
    <w:p w14:paraId="190A4293"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2.2. Materials and Tools</w:t>
      </w:r>
    </w:p>
    <w:p w14:paraId="39A8B9D3" w14:textId="58A5B940" w:rsidR="00BA632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materials used in this interview guide included a map of the Special Purpose Forest Area and a questionnaire. The tools required were a digital camera, writing materials, SPSS (Statistical Package for the Social Sciences), and a recording device.</w:t>
      </w:r>
    </w:p>
    <w:p w14:paraId="75671E5F" w14:textId="77777777" w:rsidR="007732B0" w:rsidRDefault="007732B0" w:rsidP="00DD60D9">
      <w:pPr>
        <w:pStyle w:val="HTMLPreformatted"/>
        <w:jc w:val="both"/>
        <w:rPr>
          <w:rFonts w:ascii="Times New Roman" w:hAnsi="Times New Roman" w:cs="Times New Roman"/>
          <w:sz w:val="22"/>
          <w:szCs w:val="22"/>
        </w:rPr>
      </w:pPr>
    </w:p>
    <w:p w14:paraId="12878703" w14:textId="77777777" w:rsidR="00DD60D9" w:rsidRPr="00C4228D" w:rsidRDefault="00DD60D9" w:rsidP="00DD60D9">
      <w:pPr>
        <w:pStyle w:val="HTMLPreformatted"/>
        <w:rPr>
          <w:rStyle w:val="y2iqfc"/>
          <w:rFonts w:ascii="Times New Roman" w:eastAsiaTheme="majorEastAsia" w:hAnsi="Times New Roman" w:cs="Times New Roman"/>
          <w:b/>
          <w:bCs/>
          <w:sz w:val="22"/>
          <w:szCs w:val="22"/>
          <w:highlight w:val="cyan"/>
          <w:lang w:val="en"/>
        </w:rPr>
      </w:pPr>
      <w:r w:rsidRPr="00C4228D">
        <w:rPr>
          <w:rStyle w:val="y2iqfc"/>
          <w:rFonts w:ascii="Times New Roman" w:eastAsiaTheme="majorEastAsia" w:hAnsi="Times New Roman" w:cs="Times New Roman"/>
          <w:b/>
          <w:bCs/>
          <w:sz w:val="22"/>
          <w:szCs w:val="22"/>
          <w:highlight w:val="cyan"/>
          <w:lang w:val="en"/>
        </w:rPr>
        <w:t>2.3. Respondent Selection</w:t>
      </w:r>
    </w:p>
    <w:p w14:paraId="7453389B" w14:textId="77777777" w:rsidR="00DD60D9" w:rsidRPr="00C4228D" w:rsidRDefault="00DD60D9" w:rsidP="00DD60D9">
      <w:pPr>
        <w:pStyle w:val="HTMLPreformatted"/>
        <w:ind w:firstLine="567"/>
        <w:jc w:val="both"/>
        <w:rPr>
          <w:rFonts w:ascii="Times New Roman" w:hAnsi="Times New Roman" w:cs="Times New Roman"/>
          <w:sz w:val="22"/>
          <w:szCs w:val="22"/>
          <w:highlight w:val="cyan"/>
        </w:rPr>
      </w:pPr>
      <w:r w:rsidRPr="00C4228D">
        <w:rPr>
          <w:rStyle w:val="y2iqfc"/>
          <w:rFonts w:ascii="Times New Roman" w:eastAsiaTheme="majorEastAsia" w:hAnsi="Times New Roman" w:cs="Times New Roman"/>
          <w:sz w:val="22"/>
          <w:szCs w:val="22"/>
          <w:highlight w:val="cyan"/>
          <w:lang w:val="en"/>
        </w:rPr>
        <w:t>The respondents were selected using purposive sampling, considering that the desired information could only be obtained from specific sources. A total of 45 respondents were selected, consisting of farmers and village officials.</w:t>
      </w:r>
    </w:p>
    <w:p w14:paraId="490031B8" w14:textId="77777777" w:rsidR="00DD60D9" w:rsidRPr="00C4228D" w:rsidRDefault="00DD60D9" w:rsidP="00DD60D9">
      <w:pPr>
        <w:pStyle w:val="HTMLPreformatted"/>
        <w:jc w:val="both"/>
        <w:rPr>
          <w:rFonts w:ascii="Times New Roman" w:hAnsi="Times New Roman" w:cs="Times New Roman"/>
          <w:sz w:val="22"/>
          <w:szCs w:val="22"/>
          <w:highlight w:val="cyan"/>
        </w:rPr>
      </w:pPr>
    </w:p>
    <w:p w14:paraId="724B97DF" w14:textId="7E693638" w:rsidR="00BA632D" w:rsidRPr="00C4228D" w:rsidRDefault="00BA632D" w:rsidP="00BA632D">
      <w:pPr>
        <w:pStyle w:val="HTMLPreformatted"/>
        <w:jc w:val="both"/>
        <w:rPr>
          <w:rStyle w:val="y2iqfc"/>
          <w:rFonts w:ascii="Times New Roman" w:eastAsiaTheme="majorEastAsia" w:hAnsi="Times New Roman" w:cs="Times New Roman"/>
          <w:b/>
          <w:bCs/>
          <w:sz w:val="22"/>
          <w:szCs w:val="22"/>
          <w:highlight w:val="cyan"/>
          <w:lang w:val="en"/>
        </w:rPr>
      </w:pPr>
      <w:r w:rsidRPr="00C4228D">
        <w:rPr>
          <w:rStyle w:val="y2iqfc"/>
          <w:rFonts w:ascii="Times New Roman" w:eastAsiaTheme="majorEastAsia" w:hAnsi="Times New Roman" w:cs="Times New Roman"/>
          <w:b/>
          <w:bCs/>
          <w:sz w:val="22"/>
          <w:szCs w:val="22"/>
          <w:highlight w:val="cyan"/>
          <w:lang w:val="en"/>
        </w:rPr>
        <w:t>2.</w:t>
      </w:r>
      <w:r w:rsidR="00DD60D9" w:rsidRPr="00C4228D">
        <w:rPr>
          <w:rStyle w:val="y2iqfc"/>
          <w:rFonts w:ascii="Times New Roman" w:eastAsiaTheme="majorEastAsia" w:hAnsi="Times New Roman" w:cs="Times New Roman"/>
          <w:b/>
          <w:bCs/>
          <w:sz w:val="22"/>
          <w:szCs w:val="22"/>
          <w:highlight w:val="cyan"/>
          <w:lang w:val="en"/>
        </w:rPr>
        <w:t>4</w:t>
      </w:r>
      <w:r w:rsidRPr="00C4228D">
        <w:rPr>
          <w:rStyle w:val="y2iqfc"/>
          <w:rFonts w:ascii="Times New Roman" w:eastAsiaTheme="majorEastAsia" w:hAnsi="Times New Roman" w:cs="Times New Roman"/>
          <w:b/>
          <w:bCs/>
          <w:sz w:val="22"/>
          <w:szCs w:val="22"/>
          <w:highlight w:val="cyan"/>
          <w:lang w:val="en"/>
        </w:rPr>
        <w:t>. Data Collection</w:t>
      </w:r>
    </w:p>
    <w:p w14:paraId="444C1D88" w14:textId="447F31B2" w:rsidR="00EB2D58" w:rsidRPr="00C4228D" w:rsidRDefault="00BA632D" w:rsidP="00EB2D58">
      <w:pPr>
        <w:pStyle w:val="HTMLPreformatted"/>
        <w:ind w:firstLine="567"/>
        <w:jc w:val="both"/>
        <w:rPr>
          <w:rFonts w:ascii="Times New Roman" w:hAnsi="Times New Roman" w:cs="Times New Roman"/>
          <w:sz w:val="22"/>
          <w:szCs w:val="22"/>
          <w:highlight w:val="cyan"/>
        </w:rPr>
      </w:pPr>
      <w:r w:rsidRPr="00EB2D58">
        <w:rPr>
          <w:rStyle w:val="y2iqfc"/>
          <w:rFonts w:ascii="Times New Roman" w:eastAsiaTheme="majorEastAsia" w:hAnsi="Times New Roman" w:cs="Times New Roman"/>
          <w:sz w:val="22"/>
          <w:szCs w:val="22"/>
          <w:lang w:val="en"/>
        </w:rPr>
        <w:t>The data collected came from field observations, questionnaires, and interviews. These data consisted of: (1) primary data covering the geographic conditions of the region, sociodemographic conditions (population, education level, livelihoods), forest area potential, existing infrastructure, government policies, community economic activities, and others; and (2) secondary data sourced from agencies, institutions, and research publications.</w:t>
      </w:r>
      <w:r w:rsidR="00EB2D58">
        <w:rPr>
          <w:rStyle w:val="y2iqfc"/>
          <w:rFonts w:ascii="Times New Roman" w:eastAsiaTheme="majorEastAsia" w:hAnsi="Times New Roman" w:cs="Times New Roman"/>
          <w:sz w:val="22"/>
          <w:szCs w:val="22"/>
          <w:lang w:val="en"/>
        </w:rPr>
        <w:t xml:space="preserve">   </w:t>
      </w:r>
      <w:r w:rsidR="00EB2D58" w:rsidRPr="00C4228D">
        <w:rPr>
          <w:rStyle w:val="y2iqfc"/>
          <w:rFonts w:ascii="Times New Roman" w:eastAsiaTheme="majorEastAsia" w:hAnsi="Times New Roman" w:cs="Times New Roman"/>
          <w:sz w:val="22"/>
          <w:szCs w:val="22"/>
          <w:highlight w:val="cyan"/>
          <w:lang w:val="en"/>
        </w:rPr>
        <w:t xml:space="preserve">Data collection on respondent participation in forest rehabilitation, both in planning activities (Y1), namely the operational process stage that is prepared before rehabilitation activities are carried out; and in forest rehabilitation implementation activities (Y2), namely a series of systematic activities starting from planning, planting, </w:t>
      </w:r>
      <w:r w:rsidR="0085227F" w:rsidRPr="00C4228D">
        <w:rPr>
          <w:rStyle w:val="y2iqfc"/>
          <w:rFonts w:ascii="Times New Roman" w:eastAsiaTheme="majorEastAsia" w:hAnsi="Times New Roman" w:cs="Times New Roman"/>
          <w:sz w:val="22"/>
          <w:szCs w:val="22"/>
          <w:highlight w:val="cyan"/>
          <w:lang w:val="en"/>
        </w:rPr>
        <w:t>and</w:t>
      </w:r>
      <w:r w:rsidR="00EB2D58" w:rsidRPr="00C4228D">
        <w:rPr>
          <w:rStyle w:val="y2iqfc"/>
          <w:rFonts w:ascii="Times New Roman" w:eastAsiaTheme="majorEastAsia" w:hAnsi="Times New Roman" w:cs="Times New Roman"/>
          <w:sz w:val="22"/>
          <w:szCs w:val="22"/>
          <w:highlight w:val="cyan"/>
          <w:lang w:val="en"/>
        </w:rPr>
        <w:t xml:space="preserve"> plant maintenance to restore forest function.</w:t>
      </w:r>
    </w:p>
    <w:p w14:paraId="17A41EF2" w14:textId="77777777" w:rsidR="00BC29DE" w:rsidRPr="00C4228D" w:rsidRDefault="00BC29DE" w:rsidP="00BA632D">
      <w:pPr>
        <w:pStyle w:val="HTMLPreformatted"/>
        <w:jc w:val="both"/>
        <w:rPr>
          <w:rStyle w:val="y2iqfc"/>
          <w:rFonts w:ascii="Times New Roman" w:eastAsiaTheme="majorEastAsia" w:hAnsi="Times New Roman" w:cs="Times New Roman"/>
          <w:b/>
          <w:bCs/>
          <w:sz w:val="22"/>
          <w:szCs w:val="22"/>
          <w:highlight w:val="cyan"/>
          <w:lang w:val="en"/>
        </w:rPr>
      </w:pPr>
    </w:p>
    <w:p w14:paraId="6CD11B76" w14:textId="57C1E949"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4228D">
        <w:rPr>
          <w:rStyle w:val="y2iqfc"/>
          <w:rFonts w:ascii="Times New Roman" w:eastAsiaTheme="majorEastAsia" w:hAnsi="Times New Roman" w:cs="Times New Roman"/>
          <w:b/>
          <w:bCs/>
          <w:sz w:val="22"/>
          <w:szCs w:val="22"/>
          <w:highlight w:val="cyan"/>
          <w:lang w:val="en"/>
        </w:rPr>
        <w:t>2.</w:t>
      </w:r>
      <w:r w:rsidR="00DD60D9" w:rsidRPr="00C4228D">
        <w:rPr>
          <w:rStyle w:val="y2iqfc"/>
          <w:rFonts w:ascii="Times New Roman" w:eastAsiaTheme="majorEastAsia" w:hAnsi="Times New Roman" w:cs="Times New Roman"/>
          <w:b/>
          <w:bCs/>
          <w:sz w:val="22"/>
          <w:szCs w:val="22"/>
          <w:highlight w:val="cyan"/>
          <w:lang w:val="en"/>
        </w:rPr>
        <w:t>5</w:t>
      </w:r>
      <w:r w:rsidRPr="00C4228D">
        <w:rPr>
          <w:rStyle w:val="y2iqfc"/>
          <w:rFonts w:ascii="Times New Roman" w:eastAsiaTheme="majorEastAsia" w:hAnsi="Times New Roman" w:cs="Times New Roman"/>
          <w:b/>
          <w:bCs/>
          <w:sz w:val="22"/>
          <w:szCs w:val="22"/>
          <w:highlight w:val="cyan"/>
          <w:lang w:val="en"/>
        </w:rPr>
        <w:t>. Data Analysis</w:t>
      </w:r>
    </w:p>
    <w:p w14:paraId="6910AE52"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measured factors related to community participation consisted of internal factors (respondent age, education level, number of family members, crop type, number of workers, land area managed, proximity to management, income level, knowledge of agroforestry rehabilitation, cosmopolitanism, side jobs, perceptions, intrinsic and extrinsic motivation) and external factors (social intensity, cooperation on rights and obligations, land distance, soil fertility, cropping patterns, plant age and productivity, government support, attractiveness of cooperation, availability of inputs). To analyze the relationship between external and internal factors and community empowerment in agroforestry rehabilitation, non-parametric statistical analysis was used with the Spearman Rank correlation test, with the formula: </w:t>
      </w:r>
    </w:p>
    <w:p w14:paraId="2D176126" w14:textId="0A458557" w:rsidR="00BA632D" w:rsidRPr="00C4228D" w:rsidRDefault="00BA632D" w:rsidP="00BA632D">
      <w:pPr>
        <w:pStyle w:val="HTMLPreformatted"/>
        <w:ind w:firstLine="567"/>
        <w:jc w:val="center"/>
        <w:rPr>
          <w:rStyle w:val="y2iqfc"/>
          <w:rFonts w:ascii="Times New Roman" w:eastAsiaTheme="majorEastAsia" w:hAnsi="Times New Roman" w:cs="Times New Roman"/>
          <w:sz w:val="22"/>
          <w:szCs w:val="22"/>
          <w:highlight w:val="cyan"/>
          <w:lang w:val="en"/>
        </w:rPr>
      </w:pPr>
      <w:proofErr w:type="spellStart"/>
      <w:r w:rsidRPr="00C4228D">
        <w:rPr>
          <w:rStyle w:val="y2iqfc"/>
          <w:rFonts w:ascii="Times New Roman" w:eastAsiaTheme="majorEastAsia" w:hAnsi="Times New Roman" w:cs="Times New Roman"/>
          <w:sz w:val="22"/>
          <w:szCs w:val="22"/>
          <w:highlight w:val="cyan"/>
          <w:lang w:val="en"/>
        </w:rPr>
        <w:lastRenderedPageBreak/>
        <w:t>rs</w:t>
      </w:r>
      <w:proofErr w:type="spellEnd"/>
      <w:r w:rsidRPr="00C4228D">
        <w:rPr>
          <w:rStyle w:val="y2iqfc"/>
          <w:rFonts w:ascii="Times New Roman" w:eastAsiaTheme="majorEastAsia" w:hAnsi="Times New Roman" w:cs="Times New Roman"/>
          <w:sz w:val="22"/>
          <w:szCs w:val="22"/>
          <w:highlight w:val="cyan"/>
          <w:lang w:val="en"/>
        </w:rPr>
        <w:t xml:space="preserve"> = 1 – [</w:t>
      </w:r>
      <w:r w:rsidRPr="00C4228D">
        <w:rPr>
          <w:rStyle w:val="y2iqfc"/>
          <w:rFonts w:ascii="Times New Roman" w:eastAsiaTheme="majorEastAsia" w:hAnsi="Times New Roman" w:cs="Times New Roman"/>
          <w:i/>
          <w:iCs/>
          <w:sz w:val="22"/>
          <w:szCs w:val="22"/>
          <w:highlight w:val="cyan"/>
          <w:lang w:val="en"/>
        </w:rPr>
        <w:t>6Ʃd</w:t>
      </w:r>
      <w:proofErr w:type="gramStart"/>
      <w:r w:rsidR="00DD60D9" w:rsidRPr="00C4228D">
        <w:rPr>
          <w:rStyle w:val="y2iqfc"/>
          <w:rFonts w:ascii="Times New Roman" w:eastAsiaTheme="majorEastAsia" w:hAnsi="Times New Roman" w:cs="Times New Roman"/>
          <w:i/>
          <w:iCs/>
          <w:sz w:val="22"/>
          <w:szCs w:val="22"/>
          <w:highlight w:val="cyan"/>
          <w:vertAlign w:val="superscript"/>
          <w:lang w:val="en"/>
        </w:rPr>
        <w:t>2</w:t>
      </w:r>
      <w:r w:rsidRPr="00C4228D">
        <w:rPr>
          <w:rStyle w:val="y2iqfc"/>
          <w:rFonts w:ascii="Times New Roman" w:eastAsiaTheme="majorEastAsia" w:hAnsi="Times New Roman" w:cs="Times New Roman"/>
          <w:sz w:val="22"/>
          <w:szCs w:val="22"/>
          <w:highlight w:val="cyan"/>
          <w:lang w:val="en"/>
        </w:rPr>
        <w:t xml:space="preserve"> :</w:t>
      </w:r>
      <w:proofErr w:type="gramEnd"/>
      <w:r w:rsidRPr="00C4228D">
        <w:rPr>
          <w:rStyle w:val="y2iqfc"/>
          <w:rFonts w:ascii="Times New Roman" w:eastAsiaTheme="majorEastAsia" w:hAnsi="Times New Roman" w:cs="Times New Roman"/>
          <w:sz w:val="22"/>
          <w:szCs w:val="22"/>
          <w:highlight w:val="cyan"/>
          <w:lang w:val="en"/>
        </w:rPr>
        <w:t xml:space="preserve"> n(n2-1)]</w:t>
      </w:r>
    </w:p>
    <w:p w14:paraId="7DFE535C" w14:textId="1005F564" w:rsidR="00DD60D9" w:rsidRPr="00C4228D" w:rsidRDefault="00DD60D9" w:rsidP="00DD60D9">
      <w:pPr>
        <w:pStyle w:val="HTMLPreformatted"/>
        <w:jc w:val="both"/>
        <w:rPr>
          <w:rStyle w:val="y2iqfc"/>
          <w:rFonts w:ascii="Times New Roman" w:eastAsiaTheme="majorEastAsia" w:hAnsi="Times New Roman" w:cs="Times New Roman"/>
          <w:sz w:val="22"/>
          <w:szCs w:val="22"/>
          <w:highlight w:val="cyan"/>
          <w:lang w:val="en"/>
        </w:rPr>
      </w:pPr>
      <w:r w:rsidRPr="00C4228D">
        <w:rPr>
          <w:rStyle w:val="y2iqfc"/>
          <w:rFonts w:ascii="Times New Roman" w:eastAsiaTheme="majorEastAsia" w:hAnsi="Times New Roman" w:cs="Times New Roman"/>
          <w:sz w:val="22"/>
          <w:szCs w:val="22"/>
          <w:highlight w:val="cyan"/>
          <w:lang w:val="en"/>
        </w:rPr>
        <w:t xml:space="preserve">Description: </w:t>
      </w:r>
      <w:proofErr w:type="spellStart"/>
      <w:r w:rsidRPr="00C4228D">
        <w:rPr>
          <w:rStyle w:val="y2iqfc"/>
          <w:rFonts w:ascii="Times New Roman" w:eastAsiaTheme="majorEastAsia" w:hAnsi="Times New Roman" w:cs="Times New Roman"/>
          <w:sz w:val="22"/>
          <w:szCs w:val="22"/>
          <w:highlight w:val="cyan"/>
          <w:lang w:val="en"/>
        </w:rPr>
        <w:t>rs</w:t>
      </w:r>
      <w:proofErr w:type="spellEnd"/>
      <w:r w:rsidRPr="00C4228D">
        <w:rPr>
          <w:rStyle w:val="y2iqfc"/>
          <w:rFonts w:ascii="Times New Roman" w:eastAsiaTheme="majorEastAsia" w:hAnsi="Times New Roman" w:cs="Times New Roman"/>
          <w:sz w:val="22"/>
          <w:szCs w:val="22"/>
          <w:highlight w:val="cyan"/>
          <w:lang w:val="en"/>
        </w:rPr>
        <w:t xml:space="preserve"> = Spearman's rank coefficient; d = Difference between X and Y ranks; and n = Number of samples.</w:t>
      </w:r>
    </w:p>
    <w:p w14:paraId="6291C092" w14:textId="3E677A6D" w:rsidR="00DD60D9" w:rsidRPr="00DD60D9" w:rsidRDefault="00DD60D9" w:rsidP="00DD60D9">
      <w:pPr>
        <w:pStyle w:val="HTMLPreformatted"/>
        <w:jc w:val="both"/>
        <w:rPr>
          <w:rStyle w:val="y2iqfc"/>
          <w:rFonts w:ascii="Times New Roman" w:eastAsiaTheme="majorEastAsia" w:hAnsi="Times New Roman" w:cs="Times New Roman"/>
          <w:sz w:val="22"/>
          <w:szCs w:val="22"/>
          <w:lang w:val="en"/>
        </w:rPr>
      </w:pPr>
      <w:r w:rsidRPr="00C4228D">
        <w:rPr>
          <w:rStyle w:val="y2iqfc"/>
          <w:rFonts w:ascii="Times New Roman" w:eastAsiaTheme="majorEastAsia" w:hAnsi="Times New Roman" w:cs="Times New Roman"/>
          <w:sz w:val="22"/>
          <w:szCs w:val="22"/>
          <w:highlight w:val="cyan"/>
          <w:lang w:val="en"/>
        </w:rPr>
        <w:t xml:space="preserve">Condition: Spearman's coefficient can have values ​​between +1 and -1, where: </w:t>
      </w:r>
      <w:proofErr w:type="gramStart"/>
      <w:r w:rsidRPr="00C4228D">
        <w:rPr>
          <w:rStyle w:val="y2iqfc"/>
          <w:rFonts w:ascii="Times New Roman" w:eastAsiaTheme="majorEastAsia" w:hAnsi="Times New Roman" w:cs="Times New Roman"/>
          <w:sz w:val="22"/>
          <w:szCs w:val="22"/>
          <w:highlight w:val="cyan"/>
          <w:lang w:val="en"/>
        </w:rPr>
        <w:t>An</w:t>
      </w:r>
      <w:proofErr w:type="gramEnd"/>
      <w:r w:rsidRPr="00C4228D">
        <w:rPr>
          <w:rStyle w:val="y2iqfc"/>
          <w:rFonts w:ascii="Times New Roman" w:eastAsiaTheme="majorEastAsia" w:hAnsi="Times New Roman" w:cs="Times New Roman"/>
          <w:sz w:val="22"/>
          <w:szCs w:val="22"/>
          <w:highlight w:val="cyan"/>
          <w:lang w:val="en"/>
        </w:rPr>
        <w:t xml:space="preserve"> </w:t>
      </w:r>
      <w:proofErr w:type="spellStart"/>
      <w:r w:rsidRPr="00C4228D">
        <w:rPr>
          <w:rStyle w:val="y2iqfc"/>
          <w:rFonts w:ascii="Times New Roman" w:eastAsiaTheme="majorEastAsia" w:hAnsi="Times New Roman" w:cs="Times New Roman"/>
          <w:sz w:val="22"/>
          <w:szCs w:val="22"/>
          <w:highlight w:val="cyan"/>
          <w:lang w:val="en"/>
        </w:rPr>
        <w:t>rs</w:t>
      </w:r>
      <w:proofErr w:type="spellEnd"/>
      <w:r w:rsidRPr="00C4228D">
        <w:rPr>
          <w:rStyle w:val="y2iqfc"/>
          <w:rFonts w:ascii="Times New Roman" w:eastAsiaTheme="majorEastAsia" w:hAnsi="Times New Roman" w:cs="Times New Roman"/>
          <w:sz w:val="22"/>
          <w:szCs w:val="22"/>
          <w:highlight w:val="cyan"/>
          <w:lang w:val="en"/>
        </w:rPr>
        <w:t xml:space="preserve"> value of +1 indicates a perfect rank association; an </w:t>
      </w:r>
      <w:proofErr w:type="spellStart"/>
      <w:r w:rsidRPr="00C4228D">
        <w:rPr>
          <w:rStyle w:val="y2iqfc"/>
          <w:rFonts w:ascii="Times New Roman" w:eastAsiaTheme="majorEastAsia" w:hAnsi="Times New Roman" w:cs="Times New Roman"/>
          <w:sz w:val="22"/>
          <w:szCs w:val="22"/>
          <w:highlight w:val="cyan"/>
          <w:lang w:val="en"/>
        </w:rPr>
        <w:t>rs</w:t>
      </w:r>
      <w:proofErr w:type="spellEnd"/>
      <w:r w:rsidRPr="00C4228D">
        <w:rPr>
          <w:rStyle w:val="y2iqfc"/>
          <w:rFonts w:ascii="Times New Roman" w:eastAsiaTheme="majorEastAsia" w:hAnsi="Times New Roman" w:cs="Times New Roman"/>
          <w:sz w:val="22"/>
          <w:szCs w:val="22"/>
          <w:highlight w:val="cyan"/>
          <w:lang w:val="en"/>
        </w:rPr>
        <w:t xml:space="preserve"> value of 0 indicates no rank association; and an </w:t>
      </w:r>
      <w:proofErr w:type="spellStart"/>
      <w:r w:rsidRPr="00C4228D">
        <w:rPr>
          <w:rStyle w:val="y2iqfc"/>
          <w:rFonts w:ascii="Times New Roman" w:eastAsiaTheme="majorEastAsia" w:hAnsi="Times New Roman" w:cs="Times New Roman"/>
          <w:sz w:val="22"/>
          <w:szCs w:val="22"/>
          <w:highlight w:val="cyan"/>
          <w:lang w:val="en"/>
        </w:rPr>
        <w:t>rs</w:t>
      </w:r>
      <w:proofErr w:type="spellEnd"/>
      <w:r w:rsidRPr="00C4228D">
        <w:rPr>
          <w:rStyle w:val="y2iqfc"/>
          <w:rFonts w:ascii="Times New Roman" w:eastAsiaTheme="majorEastAsia" w:hAnsi="Times New Roman" w:cs="Times New Roman"/>
          <w:sz w:val="22"/>
          <w:szCs w:val="22"/>
          <w:highlight w:val="cyan"/>
          <w:lang w:val="en"/>
        </w:rPr>
        <w:t xml:space="preserve"> value of -1 indicates a perfect negative association between ranks.</w:t>
      </w:r>
    </w:p>
    <w:p w14:paraId="389F0915" w14:textId="281902EB"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For data analysis using the SPSS (Statistical Package for the Social Sciences) program.</w:t>
      </w:r>
    </w:p>
    <w:p w14:paraId="2A47FDF7" w14:textId="77777777" w:rsidR="00DD60D9" w:rsidRPr="00CC183D" w:rsidRDefault="00DD60D9" w:rsidP="00746B98">
      <w:pPr>
        <w:pStyle w:val="HTMLPreformatted"/>
        <w:jc w:val="both"/>
        <w:rPr>
          <w:rStyle w:val="y2iqfc"/>
          <w:rFonts w:ascii="Times New Roman" w:eastAsiaTheme="majorEastAsia" w:hAnsi="Times New Roman" w:cs="Times New Roman"/>
          <w:sz w:val="22"/>
          <w:szCs w:val="22"/>
          <w:lang w:val="en"/>
        </w:rPr>
      </w:pPr>
    </w:p>
    <w:p w14:paraId="4AEE8219"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 RESULTS AND DISCUSSION</w:t>
      </w:r>
    </w:p>
    <w:p w14:paraId="3B01D52C"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3.1. General Conditions of the Research Site</w:t>
      </w:r>
    </w:p>
    <w:p w14:paraId="505BC0FD" w14:textId="77777777" w:rsidR="00746B98" w:rsidRPr="00CC183D" w:rsidRDefault="00746B98" w:rsidP="00746B98">
      <w:pPr>
        <w:pStyle w:val="HTMLPreformatted"/>
        <w:ind w:firstLine="567"/>
        <w:jc w:val="both"/>
        <w:rPr>
          <w:rFonts w:ascii="Times New Roman" w:hAnsi="Times New Roman" w:cs="Times New Roman"/>
          <w:sz w:val="22"/>
          <w:szCs w:val="22"/>
        </w:rPr>
      </w:pP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has a total area of ​​84.7 km2, consisting of flat land and hills with an average elevation of 500 m above sea level. Based on land use function, 60% of the village's land is used and allocated for agricultural development. Detailed land allocation is shown in Table 1.</w:t>
      </w:r>
    </w:p>
    <w:p w14:paraId="05F25A04" w14:textId="77777777" w:rsidR="00746B98" w:rsidRPr="00CC183D" w:rsidRDefault="00746B98" w:rsidP="00746B98">
      <w:pPr>
        <w:pStyle w:val="HTMLPreformatted"/>
        <w:jc w:val="both"/>
        <w:rPr>
          <w:rFonts w:ascii="Times New Roman" w:hAnsi="Times New Roman" w:cs="Times New Roman"/>
          <w:sz w:val="22"/>
          <w:szCs w:val="22"/>
        </w:rPr>
      </w:pPr>
    </w:p>
    <w:p w14:paraId="255E39FA" w14:textId="77777777"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1. Land Use in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w:t>
      </w:r>
    </w:p>
    <w:tbl>
      <w:tblPr>
        <w:tblW w:w="0" w:type="auto"/>
        <w:tblLayout w:type="fixed"/>
        <w:tblCellMar>
          <w:left w:w="10" w:type="dxa"/>
          <w:right w:w="10" w:type="dxa"/>
        </w:tblCellMar>
        <w:tblLook w:val="04A0" w:firstRow="1" w:lastRow="0" w:firstColumn="1" w:lastColumn="0" w:noHBand="0" w:noVBand="1"/>
      </w:tblPr>
      <w:tblGrid>
        <w:gridCol w:w="725"/>
        <w:gridCol w:w="3600"/>
        <w:gridCol w:w="1800"/>
        <w:gridCol w:w="1810"/>
      </w:tblGrid>
      <w:tr w:rsidR="00746B98" w:rsidRPr="00CC183D" w14:paraId="31A568AC" w14:textId="77777777" w:rsidTr="00E64204">
        <w:trPr>
          <w:trHeight w:hRule="exact" w:val="288"/>
        </w:trPr>
        <w:tc>
          <w:tcPr>
            <w:tcW w:w="725" w:type="dxa"/>
            <w:tcBorders>
              <w:top w:val="single" w:sz="4" w:space="0" w:color="auto"/>
              <w:left w:val="single" w:sz="4" w:space="0" w:color="auto"/>
            </w:tcBorders>
            <w:shd w:val="clear" w:color="auto" w:fill="FFFFFF"/>
            <w:vAlign w:val="bottom"/>
          </w:tcPr>
          <w:p w14:paraId="1AC5FE3D" w14:textId="77777777" w:rsidR="00746B98" w:rsidRPr="00CC183D" w:rsidRDefault="00746B98" w:rsidP="00E64204">
            <w:pPr>
              <w:spacing w:after="0" w:line="240" w:lineRule="auto"/>
              <w:ind w:left="220"/>
              <w:jc w:val="both"/>
              <w:rPr>
                <w:rFonts w:ascii="Times New Roman" w:hAnsi="Times New Roman" w:cs="Times New Roman"/>
              </w:rPr>
            </w:pPr>
            <w:r w:rsidRPr="00CC183D">
              <w:rPr>
                <w:rStyle w:val="Bodytext2"/>
                <w:rFonts w:eastAsiaTheme="majorEastAsia"/>
                <w:sz w:val="22"/>
                <w:szCs w:val="22"/>
              </w:rPr>
              <w:t>No</w:t>
            </w:r>
          </w:p>
        </w:tc>
        <w:tc>
          <w:tcPr>
            <w:tcW w:w="3600" w:type="dxa"/>
            <w:tcBorders>
              <w:top w:val="single" w:sz="4" w:space="0" w:color="auto"/>
              <w:left w:val="single" w:sz="4" w:space="0" w:color="auto"/>
            </w:tcBorders>
            <w:shd w:val="clear" w:color="auto" w:fill="FFFFFF"/>
            <w:vAlign w:val="bottom"/>
          </w:tcPr>
          <w:p w14:paraId="38B7359D" w14:textId="3243F21E" w:rsidR="00746B98" w:rsidRPr="00CC183D" w:rsidRDefault="00746B98" w:rsidP="00E64204">
            <w:pPr>
              <w:spacing w:after="0" w:line="240" w:lineRule="auto"/>
              <w:jc w:val="both"/>
              <w:rPr>
                <w:rFonts w:ascii="Times New Roman" w:hAnsi="Times New Roman" w:cs="Times New Roman"/>
              </w:rPr>
            </w:pPr>
            <w:proofErr w:type="spellStart"/>
            <w:r w:rsidRPr="00CC183D">
              <w:rPr>
                <w:rStyle w:val="Bodytext2"/>
                <w:rFonts w:eastAsiaTheme="majorEastAsia"/>
                <w:sz w:val="22"/>
                <w:szCs w:val="22"/>
              </w:rPr>
              <w:t>Comodity</w:t>
            </w:r>
            <w:proofErr w:type="spellEnd"/>
          </w:p>
        </w:tc>
        <w:tc>
          <w:tcPr>
            <w:tcW w:w="1800" w:type="dxa"/>
            <w:tcBorders>
              <w:top w:val="single" w:sz="4" w:space="0" w:color="auto"/>
              <w:left w:val="single" w:sz="4" w:space="0" w:color="auto"/>
            </w:tcBorders>
            <w:shd w:val="clear" w:color="auto" w:fill="FFFFFF"/>
            <w:vAlign w:val="bottom"/>
          </w:tcPr>
          <w:p w14:paraId="67909E80" w14:textId="4FAEF4BF"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Areal (Ha)</w:t>
            </w:r>
          </w:p>
        </w:tc>
        <w:tc>
          <w:tcPr>
            <w:tcW w:w="1810" w:type="dxa"/>
            <w:tcBorders>
              <w:top w:val="single" w:sz="4" w:space="0" w:color="auto"/>
              <w:left w:val="single" w:sz="4" w:space="0" w:color="auto"/>
              <w:right w:val="single" w:sz="4" w:space="0" w:color="auto"/>
            </w:tcBorders>
            <w:shd w:val="clear" w:color="auto" w:fill="FFFFFF"/>
            <w:vAlign w:val="bottom"/>
          </w:tcPr>
          <w:p w14:paraId="321D85DE" w14:textId="73E39F5A"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Percentage (%)</w:t>
            </w:r>
          </w:p>
        </w:tc>
      </w:tr>
      <w:tr w:rsidR="00746B98" w:rsidRPr="00CC183D" w14:paraId="19002F3E"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31AD4BD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w:t>
            </w:r>
          </w:p>
        </w:tc>
        <w:tc>
          <w:tcPr>
            <w:tcW w:w="3600" w:type="dxa"/>
            <w:tcBorders>
              <w:top w:val="single" w:sz="4" w:space="0" w:color="auto"/>
              <w:left w:val="single" w:sz="4" w:space="0" w:color="auto"/>
            </w:tcBorders>
            <w:shd w:val="clear" w:color="auto" w:fill="FFFFFF"/>
          </w:tcPr>
          <w:p w14:paraId="6043BAF7" w14:textId="2EE3F8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Pepper Plantations</w:t>
            </w:r>
          </w:p>
        </w:tc>
        <w:tc>
          <w:tcPr>
            <w:tcW w:w="1800" w:type="dxa"/>
            <w:tcBorders>
              <w:top w:val="single" w:sz="4" w:space="0" w:color="auto"/>
              <w:left w:val="single" w:sz="4" w:space="0" w:color="auto"/>
            </w:tcBorders>
            <w:shd w:val="clear" w:color="auto" w:fill="FFFFFF"/>
            <w:vAlign w:val="bottom"/>
          </w:tcPr>
          <w:p w14:paraId="21688E9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3.851,97</w:t>
            </w:r>
          </w:p>
        </w:tc>
        <w:tc>
          <w:tcPr>
            <w:tcW w:w="1810" w:type="dxa"/>
            <w:tcBorders>
              <w:top w:val="single" w:sz="4" w:space="0" w:color="auto"/>
              <w:left w:val="single" w:sz="4" w:space="0" w:color="auto"/>
              <w:right w:val="single" w:sz="4" w:space="0" w:color="auto"/>
            </w:tcBorders>
            <w:shd w:val="clear" w:color="auto" w:fill="FFFFFF"/>
            <w:vAlign w:val="bottom"/>
          </w:tcPr>
          <w:p w14:paraId="4333102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14,99</w:t>
            </w:r>
          </w:p>
        </w:tc>
      </w:tr>
      <w:tr w:rsidR="00746B98" w:rsidRPr="00CC183D" w14:paraId="6049089F"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7212D6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2</w:t>
            </w:r>
          </w:p>
        </w:tc>
        <w:tc>
          <w:tcPr>
            <w:tcW w:w="3600" w:type="dxa"/>
            <w:tcBorders>
              <w:top w:val="single" w:sz="4" w:space="0" w:color="auto"/>
              <w:left w:val="single" w:sz="4" w:space="0" w:color="auto"/>
            </w:tcBorders>
            <w:shd w:val="clear" w:color="auto" w:fill="FFFFFF"/>
          </w:tcPr>
          <w:p w14:paraId="0ED76DA9" w14:textId="33B299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Palm Oil Plantations</w:t>
            </w:r>
          </w:p>
        </w:tc>
        <w:tc>
          <w:tcPr>
            <w:tcW w:w="1800" w:type="dxa"/>
            <w:tcBorders>
              <w:top w:val="single" w:sz="4" w:space="0" w:color="auto"/>
              <w:left w:val="single" w:sz="4" w:space="0" w:color="auto"/>
            </w:tcBorders>
            <w:shd w:val="clear" w:color="auto" w:fill="FFFFFF"/>
            <w:vAlign w:val="bottom"/>
          </w:tcPr>
          <w:p w14:paraId="7996AA6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834,00</w:t>
            </w:r>
          </w:p>
        </w:tc>
        <w:tc>
          <w:tcPr>
            <w:tcW w:w="1810" w:type="dxa"/>
            <w:tcBorders>
              <w:top w:val="single" w:sz="4" w:space="0" w:color="auto"/>
              <w:left w:val="single" w:sz="4" w:space="0" w:color="auto"/>
              <w:right w:val="single" w:sz="4" w:space="0" w:color="auto"/>
            </w:tcBorders>
            <w:shd w:val="clear" w:color="auto" w:fill="FFFFFF"/>
            <w:vAlign w:val="bottom"/>
          </w:tcPr>
          <w:p w14:paraId="24154D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3,25</w:t>
            </w:r>
          </w:p>
        </w:tc>
      </w:tr>
      <w:tr w:rsidR="00746B98" w:rsidRPr="00CC183D" w14:paraId="037006A8"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6CDC9F6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3</w:t>
            </w:r>
          </w:p>
        </w:tc>
        <w:tc>
          <w:tcPr>
            <w:tcW w:w="3600" w:type="dxa"/>
            <w:tcBorders>
              <w:top w:val="single" w:sz="4" w:space="0" w:color="auto"/>
              <w:left w:val="single" w:sz="4" w:space="0" w:color="auto"/>
            </w:tcBorders>
            <w:shd w:val="clear" w:color="auto" w:fill="FFFFFF"/>
          </w:tcPr>
          <w:p w14:paraId="66DC95AC" w14:textId="4064D70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Rubber Plantations</w:t>
            </w:r>
          </w:p>
        </w:tc>
        <w:tc>
          <w:tcPr>
            <w:tcW w:w="1800" w:type="dxa"/>
            <w:tcBorders>
              <w:top w:val="single" w:sz="4" w:space="0" w:color="auto"/>
              <w:left w:val="single" w:sz="4" w:space="0" w:color="auto"/>
            </w:tcBorders>
            <w:shd w:val="clear" w:color="auto" w:fill="FFFFFF"/>
            <w:vAlign w:val="bottom"/>
          </w:tcPr>
          <w:p w14:paraId="3766E48A"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66,00</w:t>
            </w:r>
          </w:p>
        </w:tc>
        <w:tc>
          <w:tcPr>
            <w:tcW w:w="1810" w:type="dxa"/>
            <w:tcBorders>
              <w:top w:val="single" w:sz="4" w:space="0" w:color="auto"/>
              <w:left w:val="single" w:sz="4" w:space="0" w:color="auto"/>
              <w:right w:val="single" w:sz="4" w:space="0" w:color="auto"/>
            </w:tcBorders>
            <w:shd w:val="clear" w:color="auto" w:fill="FFFFFF"/>
            <w:vAlign w:val="bottom"/>
          </w:tcPr>
          <w:p w14:paraId="015A620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0,25</w:t>
            </w:r>
          </w:p>
        </w:tc>
      </w:tr>
      <w:tr w:rsidR="00746B98" w:rsidRPr="00CC183D" w14:paraId="411ABD0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BBC1985"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4</w:t>
            </w:r>
          </w:p>
        </w:tc>
        <w:tc>
          <w:tcPr>
            <w:tcW w:w="3600" w:type="dxa"/>
            <w:tcBorders>
              <w:top w:val="single" w:sz="4" w:space="0" w:color="auto"/>
              <w:left w:val="single" w:sz="4" w:space="0" w:color="auto"/>
            </w:tcBorders>
            <w:shd w:val="clear" w:color="auto" w:fill="FFFFFF"/>
          </w:tcPr>
          <w:p w14:paraId="7A2BFB62" w14:textId="5D6131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Horticultural Plantations</w:t>
            </w:r>
          </w:p>
        </w:tc>
        <w:tc>
          <w:tcPr>
            <w:tcW w:w="1800" w:type="dxa"/>
            <w:tcBorders>
              <w:top w:val="single" w:sz="4" w:space="0" w:color="auto"/>
              <w:left w:val="single" w:sz="4" w:space="0" w:color="auto"/>
            </w:tcBorders>
            <w:shd w:val="clear" w:color="auto" w:fill="FFFFFF"/>
            <w:vAlign w:val="bottom"/>
          </w:tcPr>
          <w:p w14:paraId="0457C721"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600,00</w:t>
            </w:r>
          </w:p>
        </w:tc>
        <w:tc>
          <w:tcPr>
            <w:tcW w:w="1810" w:type="dxa"/>
            <w:tcBorders>
              <w:top w:val="single" w:sz="4" w:space="0" w:color="auto"/>
              <w:left w:val="single" w:sz="4" w:space="0" w:color="auto"/>
              <w:right w:val="single" w:sz="4" w:space="0" w:color="auto"/>
            </w:tcBorders>
            <w:shd w:val="clear" w:color="auto" w:fill="FFFFFF"/>
            <w:vAlign w:val="bottom"/>
          </w:tcPr>
          <w:p w14:paraId="367EFF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2,34</w:t>
            </w:r>
          </w:p>
        </w:tc>
      </w:tr>
      <w:tr w:rsidR="00746B98" w:rsidRPr="00CC183D" w14:paraId="0BA532A2"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9D2EF71"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5</w:t>
            </w:r>
          </w:p>
        </w:tc>
        <w:tc>
          <w:tcPr>
            <w:tcW w:w="3600" w:type="dxa"/>
            <w:tcBorders>
              <w:top w:val="single" w:sz="4" w:space="0" w:color="auto"/>
              <w:left w:val="single" w:sz="4" w:space="0" w:color="auto"/>
            </w:tcBorders>
            <w:shd w:val="clear" w:color="auto" w:fill="FFFFFF"/>
          </w:tcPr>
          <w:p w14:paraId="6C388E7A" w14:textId="029C0A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Rice Fields</w:t>
            </w:r>
          </w:p>
        </w:tc>
        <w:tc>
          <w:tcPr>
            <w:tcW w:w="1800" w:type="dxa"/>
            <w:tcBorders>
              <w:top w:val="single" w:sz="4" w:space="0" w:color="auto"/>
              <w:left w:val="single" w:sz="4" w:space="0" w:color="auto"/>
            </w:tcBorders>
            <w:shd w:val="clear" w:color="auto" w:fill="FFFFFF"/>
            <w:vAlign w:val="bottom"/>
          </w:tcPr>
          <w:p w14:paraId="50BEC2A6"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c>
          <w:tcPr>
            <w:tcW w:w="1810" w:type="dxa"/>
            <w:tcBorders>
              <w:top w:val="single" w:sz="4" w:space="0" w:color="auto"/>
              <w:left w:val="single" w:sz="4" w:space="0" w:color="auto"/>
              <w:right w:val="single" w:sz="4" w:space="0" w:color="auto"/>
            </w:tcBorders>
            <w:shd w:val="clear" w:color="auto" w:fill="FFFFFF"/>
            <w:vAlign w:val="bottom"/>
          </w:tcPr>
          <w:p w14:paraId="413E3C89"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0,39</w:t>
            </w:r>
          </w:p>
        </w:tc>
      </w:tr>
      <w:tr w:rsidR="00746B98" w:rsidRPr="00CC183D" w14:paraId="0191412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5B9422A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6</w:t>
            </w:r>
          </w:p>
        </w:tc>
        <w:tc>
          <w:tcPr>
            <w:tcW w:w="3600" w:type="dxa"/>
            <w:tcBorders>
              <w:top w:val="single" w:sz="4" w:space="0" w:color="auto"/>
              <w:left w:val="single" w:sz="4" w:space="0" w:color="auto"/>
            </w:tcBorders>
            <w:shd w:val="clear" w:color="auto" w:fill="FFFFFF"/>
          </w:tcPr>
          <w:p w14:paraId="5D033F08" w14:textId="0A667D5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Breed Chicken Farms</w:t>
            </w:r>
          </w:p>
        </w:tc>
        <w:tc>
          <w:tcPr>
            <w:tcW w:w="1800" w:type="dxa"/>
            <w:tcBorders>
              <w:top w:val="single" w:sz="4" w:space="0" w:color="auto"/>
              <w:left w:val="single" w:sz="4" w:space="0" w:color="auto"/>
            </w:tcBorders>
            <w:shd w:val="clear" w:color="auto" w:fill="FFFFFF"/>
            <w:vAlign w:val="bottom"/>
          </w:tcPr>
          <w:p w14:paraId="6095FD3B"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200,00</w:t>
            </w:r>
          </w:p>
        </w:tc>
        <w:tc>
          <w:tcPr>
            <w:tcW w:w="1810" w:type="dxa"/>
            <w:tcBorders>
              <w:top w:val="single" w:sz="4" w:space="0" w:color="auto"/>
              <w:left w:val="single" w:sz="4" w:space="0" w:color="auto"/>
              <w:right w:val="single" w:sz="4" w:space="0" w:color="auto"/>
            </w:tcBorders>
            <w:shd w:val="clear" w:color="auto" w:fill="FFFFFF"/>
            <w:vAlign w:val="bottom"/>
          </w:tcPr>
          <w:p w14:paraId="7520ACC7"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0,78</w:t>
            </w:r>
          </w:p>
        </w:tc>
      </w:tr>
      <w:tr w:rsidR="00746B98" w:rsidRPr="00CC183D" w14:paraId="37747FE0"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C7D86E7"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7</w:t>
            </w:r>
          </w:p>
        </w:tc>
        <w:tc>
          <w:tcPr>
            <w:tcW w:w="3600" w:type="dxa"/>
            <w:tcBorders>
              <w:top w:val="single" w:sz="4" w:space="0" w:color="auto"/>
              <w:left w:val="single" w:sz="4" w:space="0" w:color="auto"/>
            </w:tcBorders>
            <w:shd w:val="clear" w:color="auto" w:fill="FFFFFF"/>
          </w:tcPr>
          <w:p w14:paraId="36AD30EC" w14:textId="451D3AF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Cattle Farms</w:t>
            </w:r>
          </w:p>
        </w:tc>
        <w:tc>
          <w:tcPr>
            <w:tcW w:w="1800" w:type="dxa"/>
            <w:tcBorders>
              <w:top w:val="single" w:sz="4" w:space="0" w:color="auto"/>
              <w:left w:val="single" w:sz="4" w:space="0" w:color="auto"/>
            </w:tcBorders>
            <w:shd w:val="clear" w:color="auto" w:fill="FFFFFF"/>
            <w:vAlign w:val="bottom"/>
          </w:tcPr>
          <w:p w14:paraId="2D3AAD5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7,90</w:t>
            </w:r>
          </w:p>
        </w:tc>
        <w:tc>
          <w:tcPr>
            <w:tcW w:w="1810" w:type="dxa"/>
            <w:tcBorders>
              <w:top w:val="single" w:sz="4" w:space="0" w:color="auto"/>
              <w:left w:val="single" w:sz="4" w:space="0" w:color="auto"/>
              <w:right w:val="single" w:sz="4" w:space="0" w:color="auto"/>
            </w:tcBorders>
            <w:shd w:val="clear" w:color="auto" w:fill="FFFFFF"/>
            <w:vAlign w:val="bottom"/>
          </w:tcPr>
          <w:p w14:paraId="3F18DA1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0,03</w:t>
            </w:r>
          </w:p>
        </w:tc>
      </w:tr>
      <w:tr w:rsidR="00746B98" w:rsidRPr="00CC183D" w14:paraId="11AD4C8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0B5A791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8</w:t>
            </w:r>
          </w:p>
        </w:tc>
        <w:tc>
          <w:tcPr>
            <w:tcW w:w="3600" w:type="dxa"/>
            <w:tcBorders>
              <w:top w:val="single" w:sz="4" w:space="0" w:color="auto"/>
              <w:left w:val="single" w:sz="4" w:space="0" w:color="auto"/>
            </w:tcBorders>
            <w:shd w:val="clear" w:color="auto" w:fill="FFFFFF"/>
          </w:tcPr>
          <w:p w14:paraId="28E40A20" w14:textId="7EA7BEAB"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Vegetables</w:t>
            </w:r>
          </w:p>
        </w:tc>
        <w:tc>
          <w:tcPr>
            <w:tcW w:w="1800" w:type="dxa"/>
            <w:tcBorders>
              <w:top w:val="single" w:sz="4" w:space="0" w:color="auto"/>
              <w:left w:val="single" w:sz="4" w:space="0" w:color="auto"/>
            </w:tcBorders>
            <w:shd w:val="clear" w:color="auto" w:fill="FFFFFF"/>
            <w:vAlign w:val="bottom"/>
          </w:tcPr>
          <w:p w14:paraId="4F652BE4"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25,00</w:t>
            </w:r>
          </w:p>
        </w:tc>
        <w:tc>
          <w:tcPr>
            <w:tcW w:w="1810" w:type="dxa"/>
            <w:tcBorders>
              <w:top w:val="single" w:sz="4" w:space="0" w:color="auto"/>
              <w:left w:val="single" w:sz="4" w:space="0" w:color="auto"/>
              <w:right w:val="single" w:sz="4" w:space="0" w:color="auto"/>
            </w:tcBorders>
            <w:shd w:val="clear" w:color="auto" w:fill="FFFFFF"/>
            <w:vAlign w:val="bottom"/>
          </w:tcPr>
          <w:p w14:paraId="7751A1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0,10</w:t>
            </w:r>
          </w:p>
        </w:tc>
      </w:tr>
      <w:tr w:rsidR="00746B98" w:rsidRPr="00CC183D" w14:paraId="08E7E6B5"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405E4E62"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9</w:t>
            </w:r>
          </w:p>
        </w:tc>
        <w:tc>
          <w:tcPr>
            <w:tcW w:w="3600" w:type="dxa"/>
            <w:tcBorders>
              <w:top w:val="single" w:sz="4" w:space="0" w:color="auto"/>
              <w:left w:val="single" w:sz="4" w:space="0" w:color="auto"/>
            </w:tcBorders>
            <w:shd w:val="clear" w:color="auto" w:fill="FFFFFF"/>
          </w:tcPr>
          <w:p w14:paraId="7CF1CFED" w14:textId="3D40825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Freshwater Fisheries</w:t>
            </w:r>
          </w:p>
        </w:tc>
        <w:tc>
          <w:tcPr>
            <w:tcW w:w="1800" w:type="dxa"/>
            <w:tcBorders>
              <w:top w:val="single" w:sz="4" w:space="0" w:color="auto"/>
              <w:left w:val="single" w:sz="4" w:space="0" w:color="auto"/>
            </w:tcBorders>
            <w:shd w:val="clear" w:color="auto" w:fill="FFFFFF"/>
            <w:vAlign w:val="bottom"/>
          </w:tcPr>
          <w:p w14:paraId="63C2BE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3,00</w:t>
            </w:r>
          </w:p>
        </w:tc>
        <w:tc>
          <w:tcPr>
            <w:tcW w:w="1810" w:type="dxa"/>
            <w:tcBorders>
              <w:top w:val="single" w:sz="4" w:space="0" w:color="auto"/>
              <w:left w:val="single" w:sz="4" w:space="0" w:color="auto"/>
              <w:right w:val="single" w:sz="4" w:space="0" w:color="auto"/>
            </w:tcBorders>
            <w:shd w:val="clear" w:color="auto" w:fill="FFFFFF"/>
            <w:vAlign w:val="bottom"/>
          </w:tcPr>
          <w:p w14:paraId="4112CA4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0,01</w:t>
            </w:r>
          </w:p>
        </w:tc>
      </w:tr>
      <w:tr w:rsidR="00746B98" w:rsidRPr="00CC183D" w14:paraId="3BEF927F"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438A757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10</w:t>
            </w:r>
          </w:p>
        </w:tc>
        <w:tc>
          <w:tcPr>
            <w:tcW w:w="3600" w:type="dxa"/>
            <w:tcBorders>
              <w:top w:val="single" w:sz="4" w:space="0" w:color="auto"/>
              <w:left w:val="single" w:sz="4" w:space="0" w:color="auto"/>
            </w:tcBorders>
            <w:shd w:val="clear" w:color="auto" w:fill="FFFFFF"/>
          </w:tcPr>
          <w:p w14:paraId="31C90330" w14:textId="605B863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Others</w:t>
            </w:r>
          </w:p>
        </w:tc>
        <w:tc>
          <w:tcPr>
            <w:tcW w:w="1800" w:type="dxa"/>
            <w:tcBorders>
              <w:top w:val="single" w:sz="4" w:space="0" w:color="auto"/>
              <w:left w:val="single" w:sz="4" w:space="0" w:color="auto"/>
            </w:tcBorders>
            <w:shd w:val="clear" w:color="auto" w:fill="FFFFFF"/>
            <w:vAlign w:val="bottom"/>
          </w:tcPr>
          <w:p w14:paraId="078C21A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166,31</w:t>
            </w:r>
          </w:p>
        </w:tc>
        <w:tc>
          <w:tcPr>
            <w:tcW w:w="1810" w:type="dxa"/>
            <w:tcBorders>
              <w:top w:val="single" w:sz="4" w:space="0" w:color="auto"/>
              <w:left w:val="single" w:sz="4" w:space="0" w:color="auto"/>
              <w:right w:val="single" w:sz="4" w:space="0" w:color="auto"/>
            </w:tcBorders>
            <w:shd w:val="clear" w:color="auto" w:fill="FFFFFF"/>
            <w:vAlign w:val="bottom"/>
          </w:tcPr>
          <w:p w14:paraId="25F4D08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0,65</w:t>
            </w:r>
          </w:p>
        </w:tc>
      </w:tr>
      <w:tr w:rsidR="00746B98" w:rsidRPr="00CC183D" w14:paraId="4F4BE8B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0D3DD5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11</w:t>
            </w:r>
          </w:p>
        </w:tc>
        <w:tc>
          <w:tcPr>
            <w:tcW w:w="3600" w:type="dxa"/>
            <w:tcBorders>
              <w:top w:val="single" w:sz="4" w:space="0" w:color="auto"/>
              <w:left w:val="single" w:sz="4" w:space="0" w:color="auto"/>
            </w:tcBorders>
            <w:shd w:val="clear" w:color="auto" w:fill="FFFFFF"/>
          </w:tcPr>
          <w:p w14:paraId="0AE020B7" w14:textId="56EA641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Not Yet Manage</w:t>
            </w:r>
          </w:p>
        </w:tc>
        <w:tc>
          <w:tcPr>
            <w:tcW w:w="1800" w:type="dxa"/>
            <w:tcBorders>
              <w:top w:val="single" w:sz="4" w:space="0" w:color="auto"/>
              <w:left w:val="single" w:sz="4" w:space="0" w:color="auto"/>
            </w:tcBorders>
            <w:shd w:val="clear" w:color="auto" w:fill="FFFFFF"/>
            <w:vAlign w:val="bottom"/>
          </w:tcPr>
          <w:p w14:paraId="5353BD8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19.837,80</w:t>
            </w:r>
          </w:p>
        </w:tc>
        <w:tc>
          <w:tcPr>
            <w:tcW w:w="1810" w:type="dxa"/>
            <w:tcBorders>
              <w:top w:val="single" w:sz="4" w:space="0" w:color="auto"/>
              <w:left w:val="single" w:sz="4" w:space="0" w:color="auto"/>
              <w:right w:val="single" w:sz="4" w:space="0" w:color="auto"/>
            </w:tcBorders>
            <w:shd w:val="clear" w:color="auto" w:fill="FFFFFF"/>
            <w:vAlign w:val="bottom"/>
          </w:tcPr>
          <w:p w14:paraId="4E9BEFD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77,21</w:t>
            </w:r>
          </w:p>
        </w:tc>
      </w:tr>
      <w:tr w:rsidR="00746B98" w:rsidRPr="00CC183D" w14:paraId="6EA8D260" w14:textId="77777777" w:rsidTr="00E64204">
        <w:trPr>
          <w:trHeight w:hRule="exact" w:val="293"/>
        </w:trPr>
        <w:tc>
          <w:tcPr>
            <w:tcW w:w="4325" w:type="dxa"/>
            <w:gridSpan w:val="2"/>
            <w:tcBorders>
              <w:top w:val="single" w:sz="4" w:space="0" w:color="auto"/>
              <w:left w:val="single" w:sz="4" w:space="0" w:color="auto"/>
              <w:bottom w:val="single" w:sz="4" w:space="0" w:color="auto"/>
            </w:tcBorders>
            <w:shd w:val="clear" w:color="auto" w:fill="FFFFFF"/>
            <w:vAlign w:val="bottom"/>
          </w:tcPr>
          <w:p w14:paraId="2E2C5CE6" w14:textId="03836753"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Amount</w:t>
            </w:r>
          </w:p>
        </w:tc>
        <w:tc>
          <w:tcPr>
            <w:tcW w:w="1800" w:type="dxa"/>
            <w:tcBorders>
              <w:top w:val="single" w:sz="4" w:space="0" w:color="auto"/>
              <w:left w:val="single" w:sz="4" w:space="0" w:color="auto"/>
              <w:bottom w:val="single" w:sz="4" w:space="0" w:color="auto"/>
            </w:tcBorders>
            <w:shd w:val="clear" w:color="auto" w:fill="FFFFFF"/>
            <w:vAlign w:val="bottom"/>
          </w:tcPr>
          <w:p w14:paraId="76F4ACE8"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25,691,98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239A39D1"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r>
    </w:tbl>
    <w:p w14:paraId="04CD8B7E" w14:textId="6FFC7A59" w:rsidR="00746B98" w:rsidRPr="004C0254" w:rsidRDefault="00746B98" w:rsidP="00746B98">
      <w:pPr>
        <w:pStyle w:val="HTMLPreformatted"/>
        <w:rPr>
          <w:rStyle w:val="y2iqfc"/>
          <w:rFonts w:ascii="Times New Roman" w:eastAsiaTheme="majorEastAsia" w:hAnsi="Times New Roman" w:cs="Times New Roman"/>
          <w:sz w:val="22"/>
          <w:szCs w:val="22"/>
          <w:lang w:val="en"/>
        </w:rPr>
      </w:pPr>
      <w:r w:rsidRPr="00C4228D">
        <w:rPr>
          <w:rStyle w:val="y2iqfc"/>
          <w:rFonts w:ascii="Times New Roman" w:eastAsiaTheme="majorEastAsia" w:hAnsi="Times New Roman" w:cs="Times New Roman"/>
          <w:sz w:val="22"/>
          <w:szCs w:val="22"/>
          <w:lang w:val="en"/>
        </w:rPr>
        <w:t xml:space="preserve">Source: </w:t>
      </w:r>
      <w:r w:rsidR="004C0254" w:rsidRPr="00C4228D">
        <w:rPr>
          <w:rFonts w:ascii="Times New Roman" w:hAnsi="Times New Roman" w:cs="Times New Roman"/>
          <w:sz w:val="22"/>
          <w:szCs w:val="22"/>
        </w:rPr>
        <w:t xml:space="preserve">Secondary data from </w:t>
      </w:r>
      <w:proofErr w:type="spellStart"/>
      <w:r w:rsidRPr="00C4228D">
        <w:rPr>
          <w:rStyle w:val="y2iqfc"/>
          <w:rFonts w:ascii="Times New Roman" w:eastAsiaTheme="majorEastAsia" w:hAnsi="Times New Roman" w:cs="Times New Roman"/>
          <w:sz w:val="22"/>
          <w:szCs w:val="22"/>
          <w:lang w:val="en"/>
        </w:rPr>
        <w:t>Batuah</w:t>
      </w:r>
      <w:proofErr w:type="spellEnd"/>
      <w:r w:rsidRPr="00C4228D">
        <w:rPr>
          <w:rStyle w:val="y2iqfc"/>
          <w:rFonts w:ascii="Times New Roman" w:eastAsiaTheme="majorEastAsia" w:hAnsi="Times New Roman" w:cs="Times New Roman"/>
          <w:sz w:val="22"/>
          <w:szCs w:val="22"/>
          <w:lang w:val="en"/>
        </w:rPr>
        <w:t xml:space="preserve"> Village Monograph 2022</w:t>
      </w:r>
    </w:p>
    <w:p w14:paraId="5C6D0E8E"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5ED436C0" w14:textId="09E8ED49"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recorded population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as of 2022 was 8,338, consisting of 4,224 males and 4,114 females, with 2,466 households. The population by age group and income level </w:t>
      </w:r>
      <w:r w:rsidR="00DC15C8" w:rsidRPr="00CC183D">
        <w:rPr>
          <w:rStyle w:val="y2iqfc"/>
          <w:rFonts w:ascii="Times New Roman" w:eastAsiaTheme="majorEastAsia" w:hAnsi="Times New Roman" w:cs="Times New Roman"/>
          <w:sz w:val="22"/>
          <w:szCs w:val="22"/>
          <w:lang w:val="en"/>
        </w:rPr>
        <w:t>is</w:t>
      </w:r>
      <w:r w:rsidRPr="00CC183D">
        <w:rPr>
          <w:rStyle w:val="y2iqfc"/>
          <w:rFonts w:ascii="Times New Roman" w:eastAsiaTheme="majorEastAsia" w:hAnsi="Times New Roman" w:cs="Times New Roman"/>
          <w:sz w:val="22"/>
          <w:szCs w:val="22"/>
          <w:lang w:val="en"/>
        </w:rPr>
        <w:t xml:space="preserve"> shown in Tables 2 and 3.</w:t>
      </w:r>
    </w:p>
    <w:p w14:paraId="07F1E12A" w14:textId="77777777" w:rsidR="004C0254" w:rsidRPr="00CC183D" w:rsidRDefault="004C0254" w:rsidP="00746B98">
      <w:pPr>
        <w:spacing w:after="0" w:line="240" w:lineRule="auto"/>
        <w:jc w:val="both"/>
        <w:rPr>
          <w:rFonts w:ascii="Times New Roman" w:hAnsi="Times New Roman" w:cs="Times New Roman"/>
        </w:rPr>
      </w:pPr>
    </w:p>
    <w:p w14:paraId="6520755A" w14:textId="77777777" w:rsidR="004C0254" w:rsidRPr="00CC183D" w:rsidRDefault="004C0254" w:rsidP="004C0254">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2. Population Status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by Age Group</w:t>
      </w:r>
    </w:p>
    <w:p w14:paraId="0E1581A6" w14:textId="371B0A16" w:rsidR="004C0254" w:rsidRPr="004C0254" w:rsidRDefault="004C0254" w:rsidP="004C0254">
      <w:pPr>
        <w:pStyle w:val="HTMLPreformatted"/>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846"/>
        <w:gridCol w:w="3828"/>
        <w:gridCol w:w="2338"/>
        <w:gridCol w:w="2338"/>
      </w:tblGrid>
      <w:tr w:rsidR="004C0254" w:rsidRPr="004C0254" w14:paraId="31F0EA2F" w14:textId="77777777" w:rsidTr="000B6C40">
        <w:tc>
          <w:tcPr>
            <w:tcW w:w="846" w:type="dxa"/>
            <w:vAlign w:val="bottom"/>
          </w:tcPr>
          <w:p w14:paraId="6A1B6FCE"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No</w:t>
            </w:r>
          </w:p>
        </w:tc>
        <w:tc>
          <w:tcPr>
            <w:tcW w:w="3828" w:type="dxa"/>
            <w:vAlign w:val="bottom"/>
          </w:tcPr>
          <w:p w14:paraId="399D1C03" w14:textId="7B4E7E74" w:rsidR="004C0254" w:rsidRPr="004C0254" w:rsidRDefault="004C0254" w:rsidP="000B6C40">
            <w:pPr>
              <w:pStyle w:val="HTMLPreformatted"/>
              <w:rPr>
                <w:rStyle w:val="y2iqfc"/>
                <w:rFonts w:ascii="Times New Roman" w:eastAsiaTheme="majorEastAsia" w:hAnsi="Times New Roman" w:cs="Times New Roman"/>
                <w:sz w:val="22"/>
                <w:szCs w:val="22"/>
                <w:lang w:val="en"/>
              </w:rPr>
            </w:pPr>
            <w:r>
              <w:rPr>
                <w:rFonts w:ascii="Times New Roman" w:hAnsi="Times New Roman" w:cs="Times New Roman"/>
                <w:color w:val="000000"/>
                <w:sz w:val="22"/>
                <w:szCs w:val="22"/>
                <w:lang w:bidi="en-US"/>
              </w:rPr>
              <w:t>Age</w:t>
            </w:r>
            <w:r w:rsidRPr="004C0254">
              <w:rPr>
                <w:rFonts w:ascii="Times New Roman" w:hAnsi="Times New Roman" w:cs="Times New Roman"/>
                <w:color w:val="000000"/>
                <w:sz w:val="22"/>
                <w:szCs w:val="22"/>
                <w:lang w:bidi="en-US"/>
              </w:rPr>
              <w:t xml:space="preserve"> </w:t>
            </w:r>
          </w:p>
        </w:tc>
        <w:tc>
          <w:tcPr>
            <w:tcW w:w="2338" w:type="dxa"/>
            <w:vAlign w:val="bottom"/>
          </w:tcPr>
          <w:p w14:paraId="5B486153"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Amount</w:t>
            </w:r>
          </w:p>
        </w:tc>
        <w:tc>
          <w:tcPr>
            <w:tcW w:w="2338" w:type="dxa"/>
            <w:vAlign w:val="bottom"/>
          </w:tcPr>
          <w:p w14:paraId="02CA9CE0"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Percentage (%)</w:t>
            </w:r>
          </w:p>
        </w:tc>
      </w:tr>
      <w:tr w:rsidR="004C0254" w:rsidRPr="004C0254" w14:paraId="64E00EB9" w14:textId="77777777" w:rsidTr="00B01726">
        <w:tc>
          <w:tcPr>
            <w:tcW w:w="846" w:type="dxa"/>
            <w:vAlign w:val="bottom"/>
          </w:tcPr>
          <w:p w14:paraId="0254D862" w14:textId="77777777"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w:t>
            </w:r>
          </w:p>
        </w:tc>
        <w:tc>
          <w:tcPr>
            <w:tcW w:w="3828" w:type="dxa"/>
            <w:vAlign w:val="bottom"/>
          </w:tcPr>
          <w:p w14:paraId="0BFDE0C6" w14:textId="482DFDAB"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&lt; 5 years</w:t>
            </w:r>
          </w:p>
        </w:tc>
        <w:tc>
          <w:tcPr>
            <w:tcW w:w="2338" w:type="dxa"/>
            <w:vAlign w:val="bottom"/>
          </w:tcPr>
          <w:p w14:paraId="25A4D61D" w14:textId="0F349DFE"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1231</w:t>
            </w:r>
          </w:p>
        </w:tc>
        <w:tc>
          <w:tcPr>
            <w:tcW w:w="2338" w:type="dxa"/>
            <w:vAlign w:val="bottom"/>
          </w:tcPr>
          <w:p w14:paraId="3FB6DA43" w14:textId="7303998E"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14,76</w:t>
            </w:r>
          </w:p>
        </w:tc>
      </w:tr>
      <w:tr w:rsidR="004C0254" w:rsidRPr="004C0254" w14:paraId="6EC15102" w14:textId="77777777" w:rsidTr="00B01726">
        <w:tc>
          <w:tcPr>
            <w:tcW w:w="846" w:type="dxa"/>
            <w:vAlign w:val="bottom"/>
          </w:tcPr>
          <w:p w14:paraId="02A1B138" w14:textId="77777777"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w:t>
            </w:r>
          </w:p>
        </w:tc>
        <w:tc>
          <w:tcPr>
            <w:tcW w:w="3828" w:type="dxa"/>
            <w:vAlign w:val="bottom"/>
          </w:tcPr>
          <w:p w14:paraId="101854F0" w14:textId="271CA3B9"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16 - 60 years</w:t>
            </w:r>
          </w:p>
        </w:tc>
        <w:tc>
          <w:tcPr>
            <w:tcW w:w="2338" w:type="dxa"/>
            <w:vAlign w:val="bottom"/>
          </w:tcPr>
          <w:p w14:paraId="107F3962" w14:textId="7115B235"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6550</w:t>
            </w:r>
          </w:p>
        </w:tc>
        <w:tc>
          <w:tcPr>
            <w:tcW w:w="2338" w:type="dxa"/>
            <w:vAlign w:val="bottom"/>
          </w:tcPr>
          <w:p w14:paraId="7BC925F0" w14:textId="2809FF3D"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78,56</w:t>
            </w:r>
          </w:p>
        </w:tc>
      </w:tr>
      <w:tr w:rsidR="004C0254" w:rsidRPr="004C0254" w14:paraId="1456A659" w14:textId="77777777" w:rsidTr="00B01726">
        <w:tc>
          <w:tcPr>
            <w:tcW w:w="846" w:type="dxa"/>
            <w:vAlign w:val="bottom"/>
          </w:tcPr>
          <w:p w14:paraId="094DBE6E" w14:textId="77777777"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3</w:t>
            </w:r>
          </w:p>
        </w:tc>
        <w:tc>
          <w:tcPr>
            <w:tcW w:w="3828" w:type="dxa"/>
            <w:vAlign w:val="bottom"/>
          </w:tcPr>
          <w:p w14:paraId="068F2974" w14:textId="4495D44E"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&gt; 60 years</w:t>
            </w:r>
          </w:p>
        </w:tc>
        <w:tc>
          <w:tcPr>
            <w:tcW w:w="2338" w:type="dxa"/>
            <w:vAlign w:val="bottom"/>
          </w:tcPr>
          <w:p w14:paraId="3D35F00D" w14:textId="3C0E3598"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557</w:t>
            </w:r>
          </w:p>
        </w:tc>
        <w:tc>
          <w:tcPr>
            <w:tcW w:w="2338" w:type="dxa"/>
            <w:vAlign w:val="bottom"/>
          </w:tcPr>
          <w:p w14:paraId="5947034E" w14:textId="722BF43A"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CC183D">
              <w:rPr>
                <w:rFonts w:ascii="Times New Roman" w:hAnsi="Times New Roman" w:cs="Times New Roman"/>
                <w:color w:val="000000"/>
                <w:lang w:bidi="en-US"/>
              </w:rPr>
              <w:t>6,68</w:t>
            </w:r>
          </w:p>
        </w:tc>
      </w:tr>
      <w:tr w:rsidR="004C0254" w:rsidRPr="004C0254" w14:paraId="2B6E074E" w14:textId="77777777" w:rsidTr="000B6C40">
        <w:tc>
          <w:tcPr>
            <w:tcW w:w="4674" w:type="dxa"/>
            <w:gridSpan w:val="2"/>
          </w:tcPr>
          <w:p w14:paraId="7AE5D0BE"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Amount</w:t>
            </w:r>
          </w:p>
        </w:tc>
        <w:tc>
          <w:tcPr>
            <w:tcW w:w="2338" w:type="dxa"/>
          </w:tcPr>
          <w:p w14:paraId="5D86094D"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8338</w:t>
            </w:r>
          </w:p>
        </w:tc>
        <w:tc>
          <w:tcPr>
            <w:tcW w:w="2338" w:type="dxa"/>
            <w:vAlign w:val="bottom"/>
          </w:tcPr>
          <w:p w14:paraId="7A1FA79C" w14:textId="77777777" w:rsidR="004C0254" w:rsidRPr="004C0254" w:rsidRDefault="004C0254" w:rsidP="000B6C40">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100,00</w:t>
            </w:r>
          </w:p>
        </w:tc>
      </w:tr>
    </w:tbl>
    <w:p w14:paraId="3CACF145" w14:textId="77777777" w:rsidR="004C0254" w:rsidRPr="00CC183D" w:rsidRDefault="004C0254" w:rsidP="004C0254">
      <w:pPr>
        <w:spacing w:after="0" w:line="240" w:lineRule="auto"/>
        <w:jc w:val="both"/>
        <w:rPr>
          <w:rFonts w:ascii="Times New Roman" w:hAnsi="Times New Roman" w:cs="Times New Roman"/>
        </w:rPr>
      </w:pPr>
      <w:r w:rsidRPr="00C4228D">
        <w:rPr>
          <w:rStyle w:val="y2iqfc"/>
          <w:rFonts w:ascii="Times New Roman" w:eastAsiaTheme="majorEastAsia" w:hAnsi="Times New Roman" w:cs="Times New Roman"/>
          <w:lang w:val="en"/>
        </w:rPr>
        <w:t xml:space="preserve">Source: </w:t>
      </w:r>
      <w:r w:rsidRPr="00C4228D">
        <w:rPr>
          <w:rFonts w:ascii="Times New Roman" w:hAnsi="Times New Roman" w:cs="Times New Roman"/>
        </w:rPr>
        <w:t xml:space="preserve">Secondary data from </w:t>
      </w:r>
      <w:proofErr w:type="spellStart"/>
      <w:r w:rsidRPr="00C4228D">
        <w:rPr>
          <w:rStyle w:val="y2iqfc"/>
          <w:rFonts w:ascii="Times New Roman" w:eastAsiaTheme="majorEastAsia" w:hAnsi="Times New Roman" w:cs="Times New Roman"/>
          <w:lang w:val="en"/>
        </w:rPr>
        <w:t>Batuah</w:t>
      </w:r>
      <w:proofErr w:type="spellEnd"/>
      <w:r w:rsidRPr="00C4228D">
        <w:rPr>
          <w:rStyle w:val="y2iqfc"/>
          <w:rFonts w:ascii="Times New Roman" w:eastAsiaTheme="majorEastAsia" w:hAnsi="Times New Roman" w:cs="Times New Roman"/>
          <w:lang w:val="en"/>
        </w:rPr>
        <w:t xml:space="preserve"> Village Monograph 2022</w:t>
      </w:r>
    </w:p>
    <w:p w14:paraId="1BC1A5E1" w14:textId="77777777" w:rsidR="004C0254" w:rsidRDefault="004C0254" w:rsidP="004C0254">
      <w:pPr>
        <w:pStyle w:val="HTMLPreformatted"/>
        <w:rPr>
          <w:rStyle w:val="y2iqfc"/>
          <w:rFonts w:eastAsiaTheme="majorEastAsia"/>
          <w:lang w:val="en"/>
        </w:rPr>
      </w:pPr>
    </w:p>
    <w:p w14:paraId="40610598" w14:textId="77777777" w:rsidR="004C0254" w:rsidRDefault="004C0254" w:rsidP="004C0254">
      <w:pPr>
        <w:pStyle w:val="HTMLPreformatted"/>
        <w:rPr>
          <w:rStyle w:val="y2iqfc"/>
          <w:rFonts w:eastAsiaTheme="majorEastAsia"/>
          <w:lang w:val="en"/>
        </w:rPr>
      </w:pPr>
    </w:p>
    <w:p w14:paraId="2F2E0B84" w14:textId="77777777" w:rsidR="004C0254" w:rsidRDefault="004C0254" w:rsidP="004C0254">
      <w:pPr>
        <w:pStyle w:val="HTMLPreformatted"/>
        <w:rPr>
          <w:rStyle w:val="y2iqfc"/>
          <w:rFonts w:eastAsiaTheme="majorEastAsia"/>
          <w:lang w:val="en"/>
        </w:rPr>
      </w:pPr>
    </w:p>
    <w:p w14:paraId="0C6DBAB5" w14:textId="77777777" w:rsidR="004C0254" w:rsidRDefault="004C0254" w:rsidP="004C0254">
      <w:pPr>
        <w:pStyle w:val="HTMLPreformatted"/>
        <w:rPr>
          <w:rStyle w:val="y2iqfc"/>
          <w:rFonts w:eastAsiaTheme="majorEastAsia"/>
          <w:lang w:val="en"/>
        </w:rPr>
      </w:pPr>
    </w:p>
    <w:p w14:paraId="6ACE8BD2" w14:textId="77777777" w:rsidR="004C0254" w:rsidRDefault="004C0254" w:rsidP="004C0254">
      <w:pPr>
        <w:pStyle w:val="HTMLPreformatted"/>
        <w:rPr>
          <w:rStyle w:val="y2iqfc"/>
          <w:rFonts w:eastAsiaTheme="majorEastAsia"/>
          <w:lang w:val="en"/>
        </w:rPr>
      </w:pPr>
    </w:p>
    <w:p w14:paraId="202F61FA" w14:textId="77777777" w:rsidR="004C0254" w:rsidRDefault="004C0254" w:rsidP="004C0254">
      <w:pPr>
        <w:pStyle w:val="HTMLPreformatted"/>
        <w:rPr>
          <w:rStyle w:val="y2iqfc"/>
          <w:rFonts w:eastAsiaTheme="majorEastAsia"/>
          <w:lang w:val="en"/>
        </w:rPr>
      </w:pPr>
    </w:p>
    <w:p w14:paraId="0E913272" w14:textId="77777777" w:rsidR="004C0254" w:rsidRDefault="004C0254" w:rsidP="004C0254">
      <w:pPr>
        <w:pStyle w:val="HTMLPreformatted"/>
        <w:rPr>
          <w:rStyle w:val="y2iqfc"/>
          <w:rFonts w:eastAsiaTheme="majorEastAsia"/>
          <w:lang w:val="en"/>
        </w:rPr>
      </w:pPr>
    </w:p>
    <w:p w14:paraId="34693142" w14:textId="77777777" w:rsidR="007732B0" w:rsidRDefault="007732B0" w:rsidP="004C0254">
      <w:pPr>
        <w:pStyle w:val="HTMLPreformatted"/>
        <w:rPr>
          <w:rStyle w:val="y2iqfc"/>
          <w:rFonts w:eastAsiaTheme="majorEastAsia"/>
          <w:lang w:val="en"/>
        </w:rPr>
      </w:pPr>
    </w:p>
    <w:p w14:paraId="2DA3AF3E" w14:textId="77777777" w:rsidR="007732B0" w:rsidRDefault="007732B0" w:rsidP="004C0254">
      <w:pPr>
        <w:pStyle w:val="HTMLPreformatted"/>
        <w:rPr>
          <w:rStyle w:val="y2iqfc"/>
          <w:rFonts w:eastAsiaTheme="majorEastAsia"/>
          <w:lang w:val="en"/>
        </w:rPr>
      </w:pPr>
    </w:p>
    <w:p w14:paraId="77C85863" w14:textId="77777777" w:rsidR="007732B0" w:rsidRDefault="007732B0" w:rsidP="004C0254">
      <w:pPr>
        <w:pStyle w:val="HTMLPreformatted"/>
        <w:rPr>
          <w:rStyle w:val="y2iqfc"/>
          <w:rFonts w:eastAsiaTheme="majorEastAsia"/>
          <w:lang w:val="en"/>
        </w:rPr>
      </w:pPr>
    </w:p>
    <w:p w14:paraId="34588C70" w14:textId="77777777" w:rsidR="007732B0" w:rsidRDefault="007732B0" w:rsidP="004C0254">
      <w:pPr>
        <w:pStyle w:val="HTMLPreformatted"/>
        <w:rPr>
          <w:rStyle w:val="y2iqfc"/>
          <w:rFonts w:eastAsiaTheme="majorEastAsia"/>
          <w:lang w:val="en"/>
        </w:rPr>
      </w:pPr>
    </w:p>
    <w:p w14:paraId="54356721" w14:textId="6F057B88" w:rsidR="004C0254" w:rsidRPr="004C0254" w:rsidRDefault="004C0254" w:rsidP="004C0254">
      <w:pPr>
        <w:pStyle w:val="HTMLPreformatted"/>
        <w:rPr>
          <w:rFonts w:ascii="Times New Roman" w:hAnsi="Times New Roman" w:cs="Times New Roman"/>
          <w:sz w:val="22"/>
          <w:szCs w:val="22"/>
        </w:rPr>
      </w:pPr>
      <w:r w:rsidRPr="004C0254">
        <w:rPr>
          <w:rStyle w:val="y2iqfc"/>
          <w:rFonts w:ascii="Times New Roman" w:eastAsiaTheme="majorEastAsia" w:hAnsi="Times New Roman" w:cs="Times New Roman"/>
          <w:sz w:val="22"/>
          <w:szCs w:val="22"/>
          <w:lang w:val="en"/>
        </w:rPr>
        <w:t xml:space="preserve">Table 3. Education Level of </w:t>
      </w:r>
      <w:proofErr w:type="spellStart"/>
      <w:r w:rsidRPr="004C0254">
        <w:rPr>
          <w:rStyle w:val="y2iqfc"/>
          <w:rFonts w:ascii="Times New Roman" w:eastAsiaTheme="majorEastAsia" w:hAnsi="Times New Roman" w:cs="Times New Roman"/>
          <w:sz w:val="22"/>
          <w:szCs w:val="22"/>
          <w:lang w:val="en"/>
        </w:rPr>
        <w:t>Batuah</w:t>
      </w:r>
      <w:proofErr w:type="spellEnd"/>
      <w:r w:rsidRPr="004C0254">
        <w:rPr>
          <w:rStyle w:val="y2iqfc"/>
          <w:rFonts w:ascii="Times New Roman" w:eastAsiaTheme="majorEastAsia" w:hAnsi="Times New Roman" w:cs="Times New Roman"/>
          <w:sz w:val="22"/>
          <w:szCs w:val="22"/>
          <w:lang w:val="en"/>
        </w:rPr>
        <w:t xml:space="preserve"> Village Residents</w:t>
      </w:r>
    </w:p>
    <w:tbl>
      <w:tblPr>
        <w:tblStyle w:val="TableGrid"/>
        <w:tblW w:w="0" w:type="auto"/>
        <w:tblLook w:val="04A0" w:firstRow="1" w:lastRow="0" w:firstColumn="1" w:lastColumn="0" w:noHBand="0" w:noVBand="1"/>
      </w:tblPr>
      <w:tblGrid>
        <w:gridCol w:w="846"/>
        <w:gridCol w:w="3828"/>
        <w:gridCol w:w="2338"/>
        <w:gridCol w:w="2338"/>
      </w:tblGrid>
      <w:tr w:rsidR="004C0254" w:rsidRPr="004C0254" w14:paraId="368CB66F" w14:textId="77777777" w:rsidTr="00FF353F">
        <w:tc>
          <w:tcPr>
            <w:tcW w:w="846" w:type="dxa"/>
            <w:vAlign w:val="bottom"/>
          </w:tcPr>
          <w:p w14:paraId="1F9CA72D" w14:textId="76AEF72C"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No</w:t>
            </w:r>
          </w:p>
        </w:tc>
        <w:tc>
          <w:tcPr>
            <w:tcW w:w="3828" w:type="dxa"/>
            <w:vAlign w:val="bottom"/>
          </w:tcPr>
          <w:p w14:paraId="57C63579" w14:textId="7B4FF417"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 xml:space="preserve">Education Level </w:t>
            </w:r>
          </w:p>
        </w:tc>
        <w:tc>
          <w:tcPr>
            <w:tcW w:w="2338" w:type="dxa"/>
            <w:vAlign w:val="bottom"/>
          </w:tcPr>
          <w:p w14:paraId="69FE51C6" w14:textId="61DA4FC1"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Amount</w:t>
            </w:r>
          </w:p>
        </w:tc>
        <w:tc>
          <w:tcPr>
            <w:tcW w:w="2338" w:type="dxa"/>
            <w:vAlign w:val="bottom"/>
          </w:tcPr>
          <w:p w14:paraId="5C940B92" w14:textId="0F3298A6"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Percentage (%)</w:t>
            </w:r>
          </w:p>
        </w:tc>
      </w:tr>
      <w:tr w:rsidR="004C0254" w:rsidRPr="004C0254" w14:paraId="2BB3409D" w14:textId="77777777" w:rsidTr="00FF353F">
        <w:tc>
          <w:tcPr>
            <w:tcW w:w="846" w:type="dxa"/>
            <w:vAlign w:val="bottom"/>
          </w:tcPr>
          <w:p w14:paraId="4F3F845C" w14:textId="314D3FDB"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w:t>
            </w:r>
          </w:p>
        </w:tc>
        <w:tc>
          <w:tcPr>
            <w:tcW w:w="3828" w:type="dxa"/>
          </w:tcPr>
          <w:p w14:paraId="52C59490" w14:textId="455410DD"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Style w:val="y2iqfc"/>
                <w:rFonts w:ascii="Times New Roman" w:hAnsi="Times New Roman" w:cs="Times New Roman"/>
                <w:sz w:val="22"/>
                <w:szCs w:val="22"/>
                <w:lang w:val="en"/>
              </w:rPr>
              <w:t>Elementary School</w:t>
            </w:r>
          </w:p>
        </w:tc>
        <w:tc>
          <w:tcPr>
            <w:tcW w:w="2338" w:type="dxa"/>
            <w:vAlign w:val="bottom"/>
          </w:tcPr>
          <w:p w14:paraId="00E13BAC" w14:textId="2316E39C"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3487</w:t>
            </w:r>
          </w:p>
        </w:tc>
        <w:tc>
          <w:tcPr>
            <w:tcW w:w="2338" w:type="dxa"/>
            <w:vAlign w:val="bottom"/>
          </w:tcPr>
          <w:p w14:paraId="5BBAE36A" w14:textId="4026A034"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41,82</w:t>
            </w:r>
          </w:p>
        </w:tc>
      </w:tr>
      <w:tr w:rsidR="004C0254" w:rsidRPr="004C0254" w14:paraId="704AD44B" w14:textId="77777777" w:rsidTr="00FF353F">
        <w:tc>
          <w:tcPr>
            <w:tcW w:w="846" w:type="dxa"/>
            <w:vAlign w:val="bottom"/>
          </w:tcPr>
          <w:p w14:paraId="16C28394" w14:textId="7B978B8C"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w:t>
            </w:r>
          </w:p>
        </w:tc>
        <w:tc>
          <w:tcPr>
            <w:tcW w:w="3828" w:type="dxa"/>
          </w:tcPr>
          <w:p w14:paraId="3F3E959D" w14:textId="4517C786"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Style w:val="y2iqfc"/>
                <w:rFonts w:ascii="Times New Roman" w:hAnsi="Times New Roman" w:cs="Times New Roman"/>
                <w:sz w:val="22"/>
                <w:szCs w:val="22"/>
                <w:lang w:val="en"/>
              </w:rPr>
              <w:t>Junior High School</w:t>
            </w:r>
          </w:p>
        </w:tc>
        <w:tc>
          <w:tcPr>
            <w:tcW w:w="2338" w:type="dxa"/>
            <w:vAlign w:val="bottom"/>
          </w:tcPr>
          <w:p w14:paraId="5EFE817F" w14:textId="24DCBE23"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1533</w:t>
            </w:r>
          </w:p>
        </w:tc>
        <w:tc>
          <w:tcPr>
            <w:tcW w:w="2338" w:type="dxa"/>
            <w:vAlign w:val="bottom"/>
          </w:tcPr>
          <w:p w14:paraId="64BAE0B1" w14:textId="437716FC"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18,39</w:t>
            </w:r>
          </w:p>
        </w:tc>
      </w:tr>
      <w:tr w:rsidR="004C0254" w:rsidRPr="004C0254" w14:paraId="0E555CAB" w14:textId="77777777" w:rsidTr="00FF353F">
        <w:tc>
          <w:tcPr>
            <w:tcW w:w="846" w:type="dxa"/>
            <w:vAlign w:val="bottom"/>
          </w:tcPr>
          <w:p w14:paraId="01BF33F7" w14:textId="7FD175A3"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3</w:t>
            </w:r>
          </w:p>
        </w:tc>
        <w:tc>
          <w:tcPr>
            <w:tcW w:w="3828" w:type="dxa"/>
          </w:tcPr>
          <w:p w14:paraId="1F3941CE" w14:textId="3C4E4655"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Style w:val="y2iqfc"/>
                <w:rFonts w:ascii="Times New Roman" w:hAnsi="Times New Roman" w:cs="Times New Roman"/>
                <w:sz w:val="22"/>
                <w:szCs w:val="22"/>
                <w:lang w:val="en"/>
              </w:rPr>
              <w:t>Senior High School</w:t>
            </w:r>
          </w:p>
        </w:tc>
        <w:tc>
          <w:tcPr>
            <w:tcW w:w="2338" w:type="dxa"/>
            <w:vAlign w:val="bottom"/>
          </w:tcPr>
          <w:p w14:paraId="729E42B8" w14:textId="4AB9AC52"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980</w:t>
            </w:r>
          </w:p>
        </w:tc>
        <w:tc>
          <w:tcPr>
            <w:tcW w:w="2338" w:type="dxa"/>
            <w:vAlign w:val="bottom"/>
          </w:tcPr>
          <w:p w14:paraId="3C72773E" w14:textId="50149969"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11,75</w:t>
            </w:r>
          </w:p>
        </w:tc>
      </w:tr>
      <w:tr w:rsidR="004C0254" w:rsidRPr="004C0254" w14:paraId="02888B5D" w14:textId="77777777" w:rsidTr="00FF353F">
        <w:tc>
          <w:tcPr>
            <w:tcW w:w="846" w:type="dxa"/>
            <w:vAlign w:val="bottom"/>
          </w:tcPr>
          <w:p w14:paraId="7BD0C91C" w14:textId="219AF11E"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4</w:t>
            </w:r>
          </w:p>
        </w:tc>
        <w:tc>
          <w:tcPr>
            <w:tcW w:w="3828" w:type="dxa"/>
          </w:tcPr>
          <w:p w14:paraId="13C031D5" w14:textId="21ECFEE0"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Style w:val="y2iqfc"/>
                <w:rFonts w:ascii="Times New Roman" w:hAnsi="Times New Roman" w:cs="Times New Roman"/>
                <w:sz w:val="22"/>
                <w:szCs w:val="22"/>
                <w:lang w:val="en"/>
              </w:rPr>
              <w:t>Bachelor's Degree</w:t>
            </w:r>
          </w:p>
        </w:tc>
        <w:tc>
          <w:tcPr>
            <w:tcW w:w="2338" w:type="dxa"/>
            <w:vAlign w:val="bottom"/>
          </w:tcPr>
          <w:p w14:paraId="4F447931" w14:textId="414E1FE5"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225</w:t>
            </w:r>
          </w:p>
        </w:tc>
        <w:tc>
          <w:tcPr>
            <w:tcW w:w="2338" w:type="dxa"/>
            <w:vAlign w:val="bottom"/>
          </w:tcPr>
          <w:p w14:paraId="10EA2B37" w14:textId="6D2A6A5B"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2,70</w:t>
            </w:r>
          </w:p>
        </w:tc>
      </w:tr>
      <w:tr w:rsidR="004C0254" w:rsidRPr="004C0254" w14:paraId="67AFB3FC" w14:textId="77777777" w:rsidTr="00FF353F">
        <w:tc>
          <w:tcPr>
            <w:tcW w:w="846" w:type="dxa"/>
            <w:vAlign w:val="bottom"/>
          </w:tcPr>
          <w:p w14:paraId="4B5732F8" w14:textId="5020CBF6"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5</w:t>
            </w:r>
          </w:p>
        </w:tc>
        <w:tc>
          <w:tcPr>
            <w:tcW w:w="3828" w:type="dxa"/>
          </w:tcPr>
          <w:p w14:paraId="6B4B392C" w14:textId="1BFAA29B" w:rsidR="004C0254" w:rsidRPr="004C0254" w:rsidRDefault="004C0254" w:rsidP="004C0254">
            <w:pPr>
              <w:pStyle w:val="HTMLPreformatted"/>
              <w:rPr>
                <w:rStyle w:val="y2iqfc"/>
                <w:rFonts w:ascii="Times New Roman" w:eastAsiaTheme="majorEastAsia" w:hAnsi="Times New Roman" w:cs="Times New Roman"/>
                <w:sz w:val="22"/>
                <w:szCs w:val="22"/>
                <w:lang w:val="en"/>
              </w:rPr>
            </w:pPr>
            <w:r w:rsidRPr="004C0254">
              <w:rPr>
                <w:rStyle w:val="y2iqfc"/>
                <w:rFonts w:ascii="Times New Roman" w:hAnsi="Times New Roman" w:cs="Times New Roman"/>
                <w:sz w:val="22"/>
                <w:szCs w:val="22"/>
                <w:lang w:val="en"/>
              </w:rPr>
              <w:t>Incomplete Elementary School</w:t>
            </w:r>
          </w:p>
        </w:tc>
        <w:tc>
          <w:tcPr>
            <w:tcW w:w="2338" w:type="dxa"/>
            <w:vAlign w:val="bottom"/>
          </w:tcPr>
          <w:p w14:paraId="3FDD3F1A" w14:textId="0F3F20EB"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2113</w:t>
            </w:r>
          </w:p>
        </w:tc>
        <w:tc>
          <w:tcPr>
            <w:tcW w:w="2338" w:type="dxa"/>
            <w:vAlign w:val="bottom"/>
          </w:tcPr>
          <w:p w14:paraId="25CA9480" w14:textId="03DE9497"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25,34</w:t>
            </w:r>
          </w:p>
        </w:tc>
      </w:tr>
      <w:tr w:rsidR="004C0254" w:rsidRPr="004C0254" w14:paraId="691AF66B" w14:textId="77777777" w:rsidTr="00FD3A14">
        <w:tc>
          <w:tcPr>
            <w:tcW w:w="4674" w:type="dxa"/>
            <w:gridSpan w:val="2"/>
          </w:tcPr>
          <w:p w14:paraId="4D01D292" w14:textId="57B66E67"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Amount</w:t>
            </w:r>
          </w:p>
        </w:tc>
        <w:tc>
          <w:tcPr>
            <w:tcW w:w="2338" w:type="dxa"/>
          </w:tcPr>
          <w:p w14:paraId="59F7FB5C" w14:textId="0CB64960"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8338</w:t>
            </w:r>
          </w:p>
        </w:tc>
        <w:tc>
          <w:tcPr>
            <w:tcW w:w="2338" w:type="dxa"/>
            <w:vAlign w:val="bottom"/>
          </w:tcPr>
          <w:p w14:paraId="1972EDD6" w14:textId="4829A730" w:rsidR="004C0254" w:rsidRPr="004C0254" w:rsidRDefault="004C0254" w:rsidP="004C0254">
            <w:pPr>
              <w:pStyle w:val="HTMLPreformatted"/>
              <w:jc w:val="center"/>
              <w:rPr>
                <w:rStyle w:val="y2iqfc"/>
                <w:rFonts w:ascii="Times New Roman" w:eastAsiaTheme="majorEastAsia" w:hAnsi="Times New Roman" w:cs="Times New Roman"/>
                <w:sz w:val="22"/>
                <w:szCs w:val="22"/>
                <w:lang w:val="en"/>
              </w:rPr>
            </w:pPr>
            <w:r w:rsidRPr="004C0254">
              <w:rPr>
                <w:rFonts w:ascii="Times New Roman" w:hAnsi="Times New Roman" w:cs="Times New Roman"/>
                <w:color w:val="000000"/>
                <w:sz w:val="22"/>
                <w:szCs w:val="22"/>
                <w:lang w:bidi="en-US"/>
              </w:rPr>
              <w:t>100,00</w:t>
            </w:r>
          </w:p>
        </w:tc>
      </w:tr>
    </w:tbl>
    <w:p w14:paraId="59254CCD" w14:textId="77777777" w:rsidR="004C0254" w:rsidRPr="00CC183D" w:rsidRDefault="004C0254" w:rsidP="004C0254">
      <w:pPr>
        <w:pStyle w:val="HTMLPreformatted"/>
        <w:rPr>
          <w:rStyle w:val="y2iqfc"/>
          <w:rFonts w:ascii="Times New Roman" w:eastAsiaTheme="majorEastAsia" w:hAnsi="Times New Roman" w:cs="Times New Roman"/>
          <w:sz w:val="22"/>
          <w:szCs w:val="22"/>
          <w:lang w:val="en"/>
        </w:rPr>
      </w:pPr>
      <w:r w:rsidRPr="00C4228D">
        <w:rPr>
          <w:rStyle w:val="y2iqfc"/>
          <w:rFonts w:ascii="Times New Roman" w:eastAsiaTheme="majorEastAsia" w:hAnsi="Times New Roman" w:cs="Times New Roman"/>
          <w:sz w:val="22"/>
          <w:szCs w:val="22"/>
          <w:lang w:val="en"/>
        </w:rPr>
        <w:t xml:space="preserve">Source: </w:t>
      </w:r>
      <w:r w:rsidRPr="00C4228D">
        <w:rPr>
          <w:rFonts w:ascii="Times New Roman" w:hAnsi="Times New Roman" w:cs="Times New Roman"/>
          <w:sz w:val="22"/>
          <w:szCs w:val="22"/>
        </w:rPr>
        <w:t xml:space="preserve">Secondary data from </w:t>
      </w:r>
      <w:proofErr w:type="spellStart"/>
      <w:r w:rsidRPr="00C4228D">
        <w:rPr>
          <w:rStyle w:val="y2iqfc"/>
          <w:rFonts w:ascii="Times New Roman" w:eastAsiaTheme="majorEastAsia" w:hAnsi="Times New Roman" w:cs="Times New Roman"/>
          <w:sz w:val="22"/>
          <w:szCs w:val="22"/>
          <w:lang w:val="en"/>
        </w:rPr>
        <w:t>Batuah</w:t>
      </w:r>
      <w:proofErr w:type="spellEnd"/>
      <w:r w:rsidRPr="00C4228D">
        <w:rPr>
          <w:rStyle w:val="y2iqfc"/>
          <w:rFonts w:ascii="Times New Roman" w:eastAsiaTheme="majorEastAsia" w:hAnsi="Times New Roman" w:cs="Times New Roman"/>
          <w:sz w:val="22"/>
          <w:szCs w:val="22"/>
          <w:lang w:val="en"/>
        </w:rPr>
        <w:t xml:space="preserve"> Village Monograph 2022</w:t>
      </w:r>
    </w:p>
    <w:p w14:paraId="781D82D5" w14:textId="77777777" w:rsidR="004C0254" w:rsidRDefault="004C0254" w:rsidP="004C0254">
      <w:pPr>
        <w:pStyle w:val="HTMLPreformatted"/>
        <w:rPr>
          <w:rStyle w:val="y2iqfc"/>
          <w:rFonts w:ascii="Times New Roman" w:eastAsiaTheme="majorEastAsia" w:hAnsi="Times New Roman" w:cs="Times New Roman"/>
          <w:sz w:val="22"/>
          <w:szCs w:val="22"/>
          <w:lang w:val="en"/>
        </w:rPr>
      </w:pPr>
    </w:p>
    <w:p w14:paraId="61D32588" w14:textId="77777777" w:rsidR="00746B98" w:rsidRPr="00CC183D" w:rsidRDefault="00746B98" w:rsidP="004C0254">
      <w:pPr>
        <w:pStyle w:val="HTMLPreformatted"/>
        <w:rPr>
          <w:rStyle w:val="y2iqfc"/>
          <w:rFonts w:ascii="Times New Roman" w:eastAsiaTheme="majorEastAsia" w:hAnsi="Times New Roman" w:cs="Times New Roman"/>
          <w:sz w:val="22"/>
          <w:szCs w:val="22"/>
          <w:lang w:val="en"/>
        </w:rPr>
      </w:pPr>
    </w:p>
    <w:p w14:paraId="184E02F7"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majority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 are farmers. In addition to farmers, some are private employees, civil servants/honorary employees, non-commissioned officers (PTT), self-employed/traders, members of the Indonesian National Armed Forces (TNI)/Indonesian National Police (</w:t>
      </w:r>
      <w:proofErr w:type="spellStart"/>
      <w:r w:rsidRPr="00CC183D">
        <w:rPr>
          <w:rStyle w:val="y2iqfc"/>
          <w:rFonts w:ascii="Times New Roman" w:eastAsiaTheme="majorEastAsia" w:hAnsi="Times New Roman" w:cs="Times New Roman"/>
          <w:sz w:val="22"/>
          <w:szCs w:val="22"/>
          <w:lang w:val="en"/>
        </w:rPr>
        <w:t>Polri</w:t>
      </w:r>
      <w:proofErr w:type="spellEnd"/>
      <w:r w:rsidRPr="00CC183D">
        <w:rPr>
          <w:rStyle w:val="y2iqfc"/>
          <w:rFonts w:ascii="Times New Roman" w:eastAsiaTheme="majorEastAsia" w:hAnsi="Times New Roman" w:cs="Times New Roman"/>
          <w:sz w:val="22"/>
          <w:szCs w:val="22"/>
          <w:lang w:val="en"/>
        </w:rPr>
        <w:t>), and medical workers. The population breakdown by occupation is presented in Table 4.</w:t>
      </w:r>
    </w:p>
    <w:p w14:paraId="74B08D76"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p>
    <w:p w14:paraId="03D48BA9" w14:textId="516A439C"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4. Primary Livelihoods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w:t>
      </w:r>
    </w:p>
    <w:p w14:paraId="23763A8A" w14:textId="3AE69FBA" w:rsidR="00746B98" w:rsidRPr="00CC183D" w:rsidRDefault="00746B98" w:rsidP="00746B98">
      <w:pPr>
        <w:pStyle w:val="Tablecaption0"/>
        <w:shd w:val="clear" w:color="auto" w:fill="auto"/>
        <w:spacing w:line="240" w:lineRule="auto"/>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3686"/>
        <w:gridCol w:w="2296"/>
        <w:gridCol w:w="2251"/>
      </w:tblGrid>
      <w:tr w:rsidR="00746B98" w:rsidRPr="00CC183D" w14:paraId="7E2A91F7" w14:textId="77777777" w:rsidTr="004C0254">
        <w:trPr>
          <w:trHeight w:hRule="exact" w:val="533"/>
          <w:jc w:val="center"/>
        </w:trPr>
        <w:tc>
          <w:tcPr>
            <w:tcW w:w="704" w:type="dxa"/>
            <w:tcBorders>
              <w:top w:val="single" w:sz="4" w:space="0" w:color="auto"/>
              <w:left w:val="single" w:sz="4" w:space="0" w:color="auto"/>
            </w:tcBorders>
            <w:shd w:val="clear" w:color="auto" w:fill="FFFFFF"/>
            <w:vAlign w:val="center"/>
          </w:tcPr>
          <w:p w14:paraId="09B07C87" w14:textId="77777777" w:rsidR="00746B98" w:rsidRPr="00CC183D" w:rsidRDefault="00746B98" w:rsidP="004C0254">
            <w:pPr>
              <w:spacing w:after="0" w:line="240" w:lineRule="auto"/>
              <w:ind w:left="220" w:hanging="220"/>
              <w:jc w:val="both"/>
              <w:rPr>
                <w:rFonts w:ascii="Times New Roman" w:hAnsi="Times New Roman" w:cs="Times New Roman"/>
              </w:rPr>
            </w:pPr>
            <w:r w:rsidRPr="00CC183D">
              <w:rPr>
                <w:rFonts w:ascii="Times New Roman" w:hAnsi="Times New Roman" w:cs="Times New Roman"/>
                <w:color w:val="000000"/>
                <w:lang w:bidi="en-US"/>
              </w:rPr>
              <w:t>No</w:t>
            </w:r>
          </w:p>
        </w:tc>
        <w:tc>
          <w:tcPr>
            <w:tcW w:w="3686" w:type="dxa"/>
            <w:tcBorders>
              <w:top w:val="single" w:sz="4" w:space="0" w:color="auto"/>
              <w:left w:val="single" w:sz="4" w:space="0" w:color="auto"/>
            </w:tcBorders>
            <w:shd w:val="clear" w:color="auto" w:fill="FFFFFF"/>
          </w:tcPr>
          <w:p w14:paraId="52A609F4" w14:textId="7B9A979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Occupation</w:t>
            </w:r>
          </w:p>
        </w:tc>
        <w:tc>
          <w:tcPr>
            <w:tcW w:w="2296" w:type="dxa"/>
            <w:tcBorders>
              <w:top w:val="single" w:sz="4" w:space="0" w:color="auto"/>
              <w:left w:val="single" w:sz="4" w:space="0" w:color="auto"/>
            </w:tcBorders>
            <w:shd w:val="clear" w:color="auto" w:fill="FFFFFF"/>
            <w:vAlign w:val="center"/>
          </w:tcPr>
          <w:p w14:paraId="46D8B759" w14:textId="33ECD427" w:rsidR="00746B98" w:rsidRPr="00CC183D" w:rsidRDefault="00746B98" w:rsidP="00746B98">
            <w:pPr>
              <w:spacing w:after="0" w:line="240" w:lineRule="auto"/>
              <w:ind w:right="340"/>
              <w:jc w:val="center"/>
              <w:rPr>
                <w:rFonts w:ascii="Times New Roman" w:hAnsi="Times New Roman" w:cs="Times New Roman"/>
              </w:rPr>
            </w:pPr>
            <w:r w:rsidRPr="00CC183D">
              <w:rPr>
                <w:rFonts w:ascii="Times New Roman" w:hAnsi="Times New Roman" w:cs="Times New Roman"/>
                <w:color w:val="000000"/>
                <w:lang w:bidi="en-US"/>
              </w:rPr>
              <w:t>Amount</w:t>
            </w:r>
          </w:p>
        </w:tc>
        <w:tc>
          <w:tcPr>
            <w:tcW w:w="2251" w:type="dxa"/>
            <w:tcBorders>
              <w:top w:val="single" w:sz="4" w:space="0" w:color="auto"/>
              <w:left w:val="single" w:sz="4" w:space="0" w:color="auto"/>
              <w:right w:val="single" w:sz="4" w:space="0" w:color="auto"/>
            </w:tcBorders>
            <w:shd w:val="clear" w:color="auto" w:fill="FFFFFF"/>
            <w:vAlign w:val="center"/>
          </w:tcPr>
          <w:p w14:paraId="02FEA5C8" w14:textId="37689E7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364FA2AC" w14:textId="77777777" w:rsidTr="004C0254">
        <w:trPr>
          <w:trHeight w:hRule="exact" w:val="293"/>
          <w:jc w:val="center"/>
        </w:trPr>
        <w:tc>
          <w:tcPr>
            <w:tcW w:w="704" w:type="dxa"/>
            <w:tcBorders>
              <w:top w:val="single" w:sz="4" w:space="0" w:color="auto"/>
              <w:left w:val="single" w:sz="4" w:space="0" w:color="auto"/>
            </w:tcBorders>
            <w:shd w:val="clear" w:color="auto" w:fill="FFFFFF"/>
            <w:vAlign w:val="bottom"/>
          </w:tcPr>
          <w:p w14:paraId="422EA64C"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1</w:t>
            </w:r>
          </w:p>
        </w:tc>
        <w:tc>
          <w:tcPr>
            <w:tcW w:w="3686" w:type="dxa"/>
            <w:tcBorders>
              <w:top w:val="single" w:sz="4" w:space="0" w:color="auto"/>
              <w:left w:val="single" w:sz="4" w:space="0" w:color="auto"/>
            </w:tcBorders>
            <w:shd w:val="clear" w:color="auto" w:fill="FFFFFF"/>
          </w:tcPr>
          <w:p w14:paraId="12AE7BDE" w14:textId="76D3389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Farmer</w:t>
            </w:r>
          </w:p>
        </w:tc>
        <w:tc>
          <w:tcPr>
            <w:tcW w:w="2296" w:type="dxa"/>
            <w:tcBorders>
              <w:top w:val="single" w:sz="4" w:space="0" w:color="auto"/>
              <w:left w:val="single" w:sz="4" w:space="0" w:color="auto"/>
            </w:tcBorders>
            <w:shd w:val="clear" w:color="auto" w:fill="FFFFFF"/>
            <w:vAlign w:val="bottom"/>
          </w:tcPr>
          <w:p w14:paraId="4AD2A7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2388</w:t>
            </w:r>
          </w:p>
        </w:tc>
        <w:tc>
          <w:tcPr>
            <w:tcW w:w="2251" w:type="dxa"/>
            <w:tcBorders>
              <w:top w:val="single" w:sz="4" w:space="0" w:color="auto"/>
              <w:left w:val="single" w:sz="4" w:space="0" w:color="auto"/>
              <w:right w:val="single" w:sz="4" w:space="0" w:color="auto"/>
            </w:tcBorders>
            <w:shd w:val="clear" w:color="auto" w:fill="FFFFFF"/>
            <w:vAlign w:val="bottom"/>
          </w:tcPr>
          <w:p w14:paraId="0E6AE7E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62,01</w:t>
            </w:r>
          </w:p>
        </w:tc>
      </w:tr>
      <w:tr w:rsidR="00746B98" w:rsidRPr="00CC183D" w14:paraId="0FFCA9AD" w14:textId="77777777" w:rsidTr="004C0254">
        <w:trPr>
          <w:trHeight w:hRule="exact" w:val="293"/>
          <w:jc w:val="center"/>
        </w:trPr>
        <w:tc>
          <w:tcPr>
            <w:tcW w:w="704" w:type="dxa"/>
            <w:tcBorders>
              <w:top w:val="single" w:sz="4" w:space="0" w:color="auto"/>
              <w:left w:val="single" w:sz="4" w:space="0" w:color="auto"/>
            </w:tcBorders>
            <w:shd w:val="clear" w:color="auto" w:fill="FFFFFF"/>
            <w:vAlign w:val="bottom"/>
          </w:tcPr>
          <w:p w14:paraId="28206FD6"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2</w:t>
            </w:r>
          </w:p>
        </w:tc>
        <w:tc>
          <w:tcPr>
            <w:tcW w:w="3686" w:type="dxa"/>
            <w:tcBorders>
              <w:top w:val="single" w:sz="4" w:space="0" w:color="auto"/>
              <w:left w:val="single" w:sz="4" w:space="0" w:color="auto"/>
            </w:tcBorders>
            <w:shd w:val="clear" w:color="auto" w:fill="FFFFFF"/>
          </w:tcPr>
          <w:p w14:paraId="7F6F25ED" w14:textId="364330E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Private Employee</w:t>
            </w:r>
          </w:p>
        </w:tc>
        <w:tc>
          <w:tcPr>
            <w:tcW w:w="2296" w:type="dxa"/>
            <w:tcBorders>
              <w:top w:val="single" w:sz="4" w:space="0" w:color="auto"/>
              <w:left w:val="single" w:sz="4" w:space="0" w:color="auto"/>
            </w:tcBorders>
            <w:shd w:val="clear" w:color="auto" w:fill="FFFFFF"/>
            <w:vAlign w:val="bottom"/>
          </w:tcPr>
          <w:p w14:paraId="660EF6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338</w:t>
            </w:r>
          </w:p>
        </w:tc>
        <w:tc>
          <w:tcPr>
            <w:tcW w:w="2251" w:type="dxa"/>
            <w:tcBorders>
              <w:top w:val="single" w:sz="4" w:space="0" w:color="auto"/>
              <w:left w:val="single" w:sz="4" w:space="0" w:color="auto"/>
              <w:right w:val="single" w:sz="4" w:space="0" w:color="auto"/>
            </w:tcBorders>
            <w:shd w:val="clear" w:color="auto" w:fill="FFFFFF"/>
            <w:vAlign w:val="bottom"/>
          </w:tcPr>
          <w:p w14:paraId="670D9AE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8,78</w:t>
            </w:r>
          </w:p>
        </w:tc>
      </w:tr>
      <w:tr w:rsidR="00746B98" w:rsidRPr="00CC183D" w14:paraId="44DA1895" w14:textId="77777777" w:rsidTr="004C0254">
        <w:trPr>
          <w:trHeight w:hRule="exact" w:val="288"/>
          <w:jc w:val="center"/>
        </w:trPr>
        <w:tc>
          <w:tcPr>
            <w:tcW w:w="704" w:type="dxa"/>
            <w:tcBorders>
              <w:top w:val="single" w:sz="4" w:space="0" w:color="auto"/>
              <w:left w:val="single" w:sz="4" w:space="0" w:color="auto"/>
            </w:tcBorders>
            <w:shd w:val="clear" w:color="auto" w:fill="FFFFFF"/>
            <w:vAlign w:val="bottom"/>
          </w:tcPr>
          <w:p w14:paraId="6B05FAD5"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3</w:t>
            </w:r>
          </w:p>
        </w:tc>
        <w:tc>
          <w:tcPr>
            <w:tcW w:w="3686" w:type="dxa"/>
            <w:tcBorders>
              <w:top w:val="single" w:sz="4" w:space="0" w:color="auto"/>
              <w:left w:val="single" w:sz="4" w:space="0" w:color="auto"/>
            </w:tcBorders>
            <w:shd w:val="clear" w:color="auto" w:fill="FFFFFF"/>
          </w:tcPr>
          <w:p w14:paraId="5F74A4EE" w14:textId="11D1AF2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PNS/Honorary Employee</w:t>
            </w:r>
          </w:p>
        </w:tc>
        <w:tc>
          <w:tcPr>
            <w:tcW w:w="2296" w:type="dxa"/>
            <w:tcBorders>
              <w:top w:val="single" w:sz="4" w:space="0" w:color="auto"/>
              <w:left w:val="single" w:sz="4" w:space="0" w:color="auto"/>
            </w:tcBorders>
            <w:shd w:val="clear" w:color="auto" w:fill="FFFFFF"/>
            <w:vAlign w:val="bottom"/>
          </w:tcPr>
          <w:p w14:paraId="18E81980"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150</w:t>
            </w:r>
          </w:p>
        </w:tc>
        <w:tc>
          <w:tcPr>
            <w:tcW w:w="2251" w:type="dxa"/>
            <w:tcBorders>
              <w:top w:val="single" w:sz="4" w:space="0" w:color="auto"/>
              <w:left w:val="single" w:sz="4" w:space="0" w:color="auto"/>
              <w:right w:val="single" w:sz="4" w:space="0" w:color="auto"/>
            </w:tcBorders>
            <w:shd w:val="clear" w:color="auto" w:fill="FFFFFF"/>
            <w:vAlign w:val="bottom"/>
          </w:tcPr>
          <w:p w14:paraId="1B27119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3,90</w:t>
            </w:r>
          </w:p>
        </w:tc>
      </w:tr>
      <w:tr w:rsidR="00746B98" w:rsidRPr="00CC183D" w14:paraId="1F3B2789" w14:textId="77777777" w:rsidTr="004C0254">
        <w:trPr>
          <w:trHeight w:hRule="exact" w:val="293"/>
          <w:jc w:val="center"/>
        </w:trPr>
        <w:tc>
          <w:tcPr>
            <w:tcW w:w="704" w:type="dxa"/>
            <w:tcBorders>
              <w:top w:val="single" w:sz="4" w:space="0" w:color="auto"/>
              <w:left w:val="single" w:sz="4" w:space="0" w:color="auto"/>
            </w:tcBorders>
            <w:shd w:val="clear" w:color="auto" w:fill="FFFFFF"/>
            <w:vAlign w:val="bottom"/>
          </w:tcPr>
          <w:p w14:paraId="7DEDE058"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4</w:t>
            </w:r>
          </w:p>
        </w:tc>
        <w:tc>
          <w:tcPr>
            <w:tcW w:w="3686" w:type="dxa"/>
            <w:tcBorders>
              <w:top w:val="single" w:sz="4" w:space="0" w:color="auto"/>
              <w:left w:val="single" w:sz="4" w:space="0" w:color="auto"/>
            </w:tcBorders>
            <w:shd w:val="clear" w:color="auto" w:fill="FFFFFF"/>
          </w:tcPr>
          <w:p w14:paraId="29C49677" w14:textId="764966C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PTT</w:t>
            </w:r>
          </w:p>
        </w:tc>
        <w:tc>
          <w:tcPr>
            <w:tcW w:w="2296" w:type="dxa"/>
            <w:tcBorders>
              <w:top w:val="single" w:sz="4" w:space="0" w:color="auto"/>
              <w:left w:val="single" w:sz="4" w:space="0" w:color="auto"/>
            </w:tcBorders>
            <w:shd w:val="clear" w:color="auto" w:fill="FFFFFF"/>
            <w:vAlign w:val="bottom"/>
          </w:tcPr>
          <w:p w14:paraId="75CD2ED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102</w:t>
            </w:r>
          </w:p>
        </w:tc>
        <w:tc>
          <w:tcPr>
            <w:tcW w:w="2251" w:type="dxa"/>
            <w:tcBorders>
              <w:top w:val="single" w:sz="4" w:space="0" w:color="auto"/>
              <w:left w:val="single" w:sz="4" w:space="0" w:color="auto"/>
              <w:right w:val="single" w:sz="4" w:space="0" w:color="auto"/>
            </w:tcBorders>
            <w:shd w:val="clear" w:color="auto" w:fill="FFFFFF"/>
            <w:vAlign w:val="bottom"/>
          </w:tcPr>
          <w:p w14:paraId="5B8BDA1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2,65</w:t>
            </w:r>
          </w:p>
        </w:tc>
      </w:tr>
      <w:tr w:rsidR="00746B98" w:rsidRPr="00CC183D" w14:paraId="59F229D9" w14:textId="77777777" w:rsidTr="004C0254">
        <w:trPr>
          <w:trHeight w:hRule="exact" w:val="293"/>
          <w:jc w:val="center"/>
        </w:trPr>
        <w:tc>
          <w:tcPr>
            <w:tcW w:w="704" w:type="dxa"/>
            <w:tcBorders>
              <w:top w:val="single" w:sz="4" w:space="0" w:color="auto"/>
              <w:left w:val="single" w:sz="4" w:space="0" w:color="auto"/>
            </w:tcBorders>
            <w:shd w:val="clear" w:color="auto" w:fill="FFFFFF"/>
            <w:vAlign w:val="bottom"/>
          </w:tcPr>
          <w:p w14:paraId="3B68718F"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5</w:t>
            </w:r>
          </w:p>
        </w:tc>
        <w:tc>
          <w:tcPr>
            <w:tcW w:w="3686" w:type="dxa"/>
            <w:tcBorders>
              <w:top w:val="single" w:sz="4" w:space="0" w:color="auto"/>
              <w:left w:val="single" w:sz="4" w:space="0" w:color="auto"/>
            </w:tcBorders>
            <w:shd w:val="clear" w:color="auto" w:fill="FFFFFF"/>
          </w:tcPr>
          <w:p w14:paraId="30D95D08" w14:textId="5D675A7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Self-Employed/Trader</w:t>
            </w:r>
          </w:p>
        </w:tc>
        <w:tc>
          <w:tcPr>
            <w:tcW w:w="2296" w:type="dxa"/>
            <w:tcBorders>
              <w:top w:val="single" w:sz="4" w:space="0" w:color="auto"/>
              <w:left w:val="single" w:sz="4" w:space="0" w:color="auto"/>
            </w:tcBorders>
            <w:shd w:val="clear" w:color="auto" w:fill="FFFFFF"/>
            <w:vAlign w:val="bottom"/>
          </w:tcPr>
          <w:p w14:paraId="1DD2CCD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837</w:t>
            </w:r>
          </w:p>
        </w:tc>
        <w:tc>
          <w:tcPr>
            <w:tcW w:w="2251" w:type="dxa"/>
            <w:tcBorders>
              <w:top w:val="single" w:sz="4" w:space="0" w:color="auto"/>
              <w:left w:val="single" w:sz="4" w:space="0" w:color="auto"/>
              <w:right w:val="single" w:sz="4" w:space="0" w:color="auto"/>
            </w:tcBorders>
            <w:shd w:val="clear" w:color="auto" w:fill="FFFFFF"/>
            <w:vAlign w:val="bottom"/>
          </w:tcPr>
          <w:p w14:paraId="3B08C173"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21,73</w:t>
            </w:r>
          </w:p>
        </w:tc>
      </w:tr>
      <w:tr w:rsidR="00746B98" w:rsidRPr="00CC183D" w14:paraId="6E68455F" w14:textId="77777777" w:rsidTr="004C0254">
        <w:trPr>
          <w:trHeight w:hRule="exact" w:val="293"/>
          <w:jc w:val="center"/>
        </w:trPr>
        <w:tc>
          <w:tcPr>
            <w:tcW w:w="704" w:type="dxa"/>
            <w:tcBorders>
              <w:top w:val="single" w:sz="4" w:space="0" w:color="auto"/>
              <w:left w:val="single" w:sz="4" w:space="0" w:color="auto"/>
            </w:tcBorders>
            <w:shd w:val="clear" w:color="auto" w:fill="FFFFFF"/>
            <w:vAlign w:val="bottom"/>
          </w:tcPr>
          <w:p w14:paraId="3A3C5834"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6</w:t>
            </w:r>
          </w:p>
        </w:tc>
        <w:tc>
          <w:tcPr>
            <w:tcW w:w="3686" w:type="dxa"/>
            <w:tcBorders>
              <w:top w:val="single" w:sz="4" w:space="0" w:color="auto"/>
              <w:left w:val="single" w:sz="4" w:space="0" w:color="auto"/>
            </w:tcBorders>
            <w:shd w:val="clear" w:color="auto" w:fill="FFFFFF"/>
          </w:tcPr>
          <w:p w14:paraId="38108BB9" w14:textId="2E6A1EE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TNI/</w:t>
            </w:r>
            <w:proofErr w:type="spellStart"/>
            <w:r w:rsidRPr="00CC183D">
              <w:rPr>
                <w:rStyle w:val="y2iqfc"/>
                <w:rFonts w:ascii="Times New Roman" w:hAnsi="Times New Roman" w:cs="Times New Roman"/>
                <w:lang w:val="en"/>
              </w:rPr>
              <w:t>Polri</w:t>
            </w:r>
            <w:proofErr w:type="spellEnd"/>
          </w:p>
        </w:tc>
        <w:tc>
          <w:tcPr>
            <w:tcW w:w="2296" w:type="dxa"/>
            <w:tcBorders>
              <w:top w:val="single" w:sz="4" w:space="0" w:color="auto"/>
              <w:left w:val="single" w:sz="4" w:space="0" w:color="auto"/>
            </w:tcBorders>
            <w:shd w:val="clear" w:color="auto" w:fill="FFFFFF"/>
            <w:vAlign w:val="bottom"/>
          </w:tcPr>
          <w:p w14:paraId="6DCD00F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w:t>
            </w:r>
          </w:p>
        </w:tc>
        <w:tc>
          <w:tcPr>
            <w:tcW w:w="2251" w:type="dxa"/>
            <w:tcBorders>
              <w:top w:val="single" w:sz="4" w:space="0" w:color="auto"/>
              <w:left w:val="single" w:sz="4" w:space="0" w:color="auto"/>
              <w:right w:val="single" w:sz="4" w:space="0" w:color="auto"/>
            </w:tcBorders>
            <w:shd w:val="clear" w:color="auto" w:fill="FFFFFF"/>
            <w:vAlign w:val="bottom"/>
          </w:tcPr>
          <w:p w14:paraId="6CAAC58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0,39</w:t>
            </w:r>
          </w:p>
        </w:tc>
      </w:tr>
      <w:tr w:rsidR="00746B98" w:rsidRPr="00CC183D" w14:paraId="5718074E" w14:textId="77777777" w:rsidTr="004C0254">
        <w:trPr>
          <w:trHeight w:hRule="exact" w:val="307"/>
          <w:jc w:val="center"/>
        </w:trPr>
        <w:tc>
          <w:tcPr>
            <w:tcW w:w="704" w:type="dxa"/>
            <w:tcBorders>
              <w:top w:val="single" w:sz="4" w:space="0" w:color="auto"/>
              <w:left w:val="single" w:sz="4" w:space="0" w:color="auto"/>
            </w:tcBorders>
            <w:shd w:val="clear" w:color="auto" w:fill="FFFFFF"/>
          </w:tcPr>
          <w:p w14:paraId="313A476C"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7</w:t>
            </w:r>
          </w:p>
        </w:tc>
        <w:tc>
          <w:tcPr>
            <w:tcW w:w="3686" w:type="dxa"/>
            <w:tcBorders>
              <w:top w:val="single" w:sz="4" w:space="0" w:color="auto"/>
              <w:left w:val="single" w:sz="4" w:space="0" w:color="auto"/>
            </w:tcBorders>
            <w:shd w:val="clear" w:color="auto" w:fill="FFFFFF"/>
          </w:tcPr>
          <w:p w14:paraId="23D2C218" w14:textId="3AEA0C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Medical Services</w:t>
            </w:r>
          </w:p>
        </w:tc>
        <w:tc>
          <w:tcPr>
            <w:tcW w:w="2296" w:type="dxa"/>
            <w:tcBorders>
              <w:top w:val="single" w:sz="4" w:space="0" w:color="auto"/>
              <w:left w:val="single" w:sz="4" w:space="0" w:color="auto"/>
            </w:tcBorders>
            <w:shd w:val="clear" w:color="auto" w:fill="FFFFFF"/>
            <w:vAlign w:val="bottom"/>
          </w:tcPr>
          <w:p w14:paraId="676CCD9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w:t>
            </w:r>
          </w:p>
        </w:tc>
        <w:tc>
          <w:tcPr>
            <w:tcW w:w="2251" w:type="dxa"/>
            <w:tcBorders>
              <w:top w:val="single" w:sz="4" w:space="0" w:color="auto"/>
              <w:left w:val="single" w:sz="4" w:space="0" w:color="auto"/>
              <w:right w:val="single" w:sz="4" w:space="0" w:color="auto"/>
            </w:tcBorders>
            <w:shd w:val="clear" w:color="auto" w:fill="FFFFFF"/>
          </w:tcPr>
          <w:p w14:paraId="5418D1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0,54</w:t>
            </w:r>
          </w:p>
        </w:tc>
      </w:tr>
      <w:tr w:rsidR="00746B98" w:rsidRPr="00CC183D" w14:paraId="0F7B527F" w14:textId="77777777" w:rsidTr="004C0254">
        <w:trPr>
          <w:trHeight w:hRule="exact" w:val="302"/>
          <w:jc w:val="center"/>
        </w:trPr>
        <w:tc>
          <w:tcPr>
            <w:tcW w:w="4390" w:type="dxa"/>
            <w:gridSpan w:val="2"/>
            <w:tcBorders>
              <w:top w:val="single" w:sz="4" w:space="0" w:color="auto"/>
              <w:left w:val="single" w:sz="4" w:space="0" w:color="auto"/>
              <w:bottom w:val="single" w:sz="4" w:space="0" w:color="auto"/>
            </w:tcBorders>
            <w:shd w:val="clear" w:color="auto" w:fill="FFFFFF"/>
            <w:vAlign w:val="bottom"/>
          </w:tcPr>
          <w:p w14:paraId="4FDD2EA6" w14:textId="5C53785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2296" w:type="dxa"/>
            <w:tcBorders>
              <w:top w:val="single" w:sz="4" w:space="0" w:color="auto"/>
              <w:left w:val="single" w:sz="4" w:space="0" w:color="auto"/>
              <w:bottom w:val="single" w:sz="4" w:space="0" w:color="auto"/>
            </w:tcBorders>
            <w:shd w:val="clear" w:color="auto" w:fill="FFFFFF"/>
            <w:vAlign w:val="bottom"/>
          </w:tcPr>
          <w:p w14:paraId="7353850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3851</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bottom"/>
          </w:tcPr>
          <w:p w14:paraId="662409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1803C0D3" w14:textId="77777777" w:rsidR="004C0254" w:rsidRPr="00CC183D" w:rsidRDefault="004C0254" w:rsidP="004C0254">
      <w:pPr>
        <w:pStyle w:val="HTMLPreformatted"/>
        <w:rPr>
          <w:rStyle w:val="y2iqfc"/>
          <w:rFonts w:ascii="Times New Roman" w:eastAsiaTheme="majorEastAsia" w:hAnsi="Times New Roman" w:cs="Times New Roman"/>
          <w:sz w:val="22"/>
          <w:szCs w:val="22"/>
          <w:lang w:val="en"/>
        </w:rPr>
      </w:pPr>
      <w:r w:rsidRPr="00C4228D">
        <w:rPr>
          <w:rStyle w:val="y2iqfc"/>
          <w:rFonts w:ascii="Times New Roman" w:eastAsiaTheme="majorEastAsia" w:hAnsi="Times New Roman" w:cs="Times New Roman"/>
          <w:sz w:val="22"/>
          <w:szCs w:val="22"/>
          <w:lang w:val="en"/>
        </w:rPr>
        <w:t xml:space="preserve">Source: </w:t>
      </w:r>
      <w:r w:rsidRPr="00C4228D">
        <w:rPr>
          <w:rFonts w:ascii="Times New Roman" w:hAnsi="Times New Roman" w:cs="Times New Roman"/>
          <w:sz w:val="22"/>
          <w:szCs w:val="22"/>
        </w:rPr>
        <w:t xml:space="preserve">Secondary data from </w:t>
      </w:r>
      <w:proofErr w:type="spellStart"/>
      <w:r w:rsidRPr="00C4228D">
        <w:rPr>
          <w:rStyle w:val="y2iqfc"/>
          <w:rFonts w:ascii="Times New Roman" w:eastAsiaTheme="majorEastAsia" w:hAnsi="Times New Roman" w:cs="Times New Roman"/>
          <w:sz w:val="22"/>
          <w:szCs w:val="22"/>
          <w:lang w:val="en"/>
        </w:rPr>
        <w:t>Batuah</w:t>
      </w:r>
      <w:proofErr w:type="spellEnd"/>
      <w:r w:rsidRPr="00C4228D">
        <w:rPr>
          <w:rStyle w:val="y2iqfc"/>
          <w:rFonts w:ascii="Times New Roman" w:eastAsiaTheme="majorEastAsia" w:hAnsi="Times New Roman" w:cs="Times New Roman"/>
          <w:sz w:val="22"/>
          <w:szCs w:val="22"/>
          <w:lang w:val="en"/>
        </w:rPr>
        <w:t xml:space="preserve"> Village Monograph 2022</w:t>
      </w:r>
    </w:p>
    <w:p w14:paraId="63090F34" w14:textId="77777777" w:rsidR="004C0254" w:rsidRDefault="004C0254" w:rsidP="004C0254">
      <w:pPr>
        <w:pStyle w:val="HTMLPreformatted"/>
        <w:rPr>
          <w:rStyle w:val="y2iqfc"/>
          <w:rFonts w:ascii="Times New Roman" w:eastAsiaTheme="majorEastAsia" w:hAnsi="Times New Roman" w:cs="Times New Roman"/>
          <w:sz w:val="22"/>
          <w:szCs w:val="22"/>
          <w:lang w:val="en"/>
        </w:rPr>
      </w:pPr>
    </w:p>
    <w:p w14:paraId="05AF20DF" w14:textId="77777777" w:rsidR="00746B98" w:rsidRPr="00CC183D" w:rsidRDefault="00746B98" w:rsidP="00746B98">
      <w:pPr>
        <w:pStyle w:val="HTMLPreformatted"/>
        <w:rPr>
          <w:rFonts w:ascii="Times New Roman" w:hAnsi="Times New Roman" w:cs="Times New Roman"/>
          <w:sz w:val="22"/>
          <w:szCs w:val="22"/>
        </w:rPr>
      </w:pPr>
    </w:p>
    <w:p w14:paraId="69FCEB9B" w14:textId="31258BD0" w:rsidR="00746B98" w:rsidRPr="00BC29DE" w:rsidRDefault="00746B98" w:rsidP="00A9746B">
      <w:pPr>
        <w:pStyle w:val="HTMLPreformatted"/>
        <w:ind w:left="426" w:hanging="426"/>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w:t>
      </w:r>
      <w:r w:rsidR="007732B0">
        <w:rPr>
          <w:rStyle w:val="y2iqfc"/>
          <w:rFonts w:ascii="Times New Roman" w:eastAsiaTheme="majorEastAsia" w:hAnsi="Times New Roman" w:cs="Times New Roman"/>
          <w:b/>
          <w:bCs/>
          <w:sz w:val="22"/>
          <w:szCs w:val="22"/>
          <w:lang w:val="en"/>
        </w:rPr>
        <w:t>2</w:t>
      </w:r>
      <w:r w:rsidRPr="00BC29DE">
        <w:rPr>
          <w:rStyle w:val="y2iqfc"/>
          <w:rFonts w:ascii="Times New Roman" w:eastAsiaTheme="majorEastAsia" w:hAnsi="Times New Roman" w:cs="Times New Roman"/>
          <w:b/>
          <w:bCs/>
          <w:sz w:val="22"/>
          <w:szCs w:val="22"/>
          <w:lang w:val="en"/>
        </w:rPr>
        <w:t>. Relationship between Respondents' Internal and External Factors and the Level of Community Participation</w:t>
      </w:r>
    </w:p>
    <w:p w14:paraId="26E79641"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relationship between respondents' internal and external factors and the level of community empowerment provides an overview of the role of each factor in the level of community empowerment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w:t>
      </w:r>
      <w:proofErr w:type="spellStart"/>
      <w:r w:rsidRPr="00CC183D">
        <w:rPr>
          <w:rStyle w:val="y2iqfc"/>
          <w:rFonts w:ascii="Times New Roman" w:eastAsiaTheme="majorEastAsia" w:hAnsi="Times New Roman" w:cs="Times New Roman"/>
          <w:sz w:val="22"/>
          <w:szCs w:val="22"/>
          <w:lang w:val="en"/>
        </w:rPr>
        <w:t>Tahura</w:t>
      </w:r>
      <w:proofErr w:type="spellEnd"/>
      <w:r w:rsidRPr="00CC183D">
        <w:rPr>
          <w:rStyle w:val="y2iqfc"/>
          <w:rFonts w:ascii="Times New Roman" w:eastAsiaTheme="majorEastAsia" w:hAnsi="Times New Roman" w:cs="Times New Roman"/>
          <w:sz w:val="22"/>
          <w:szCs w:val="22"/>
          <w:lang w:val="en"/>
        </w:rPr>
        <w:t xml:space="preserve">)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at each stage of planning and implementation.</w:t>
      </w:r>
    </w:p>
    <w:p w14:paraId="1D7BFDDA" w14:textId="051F5E89" w:rsidR="00746B98" w:rsidRPr="00BC29DE" w:rsidRDefault="00746B98" w:rsidP="00746B98">
      <w:pPr>
        <w:pStyle w:val="HTMLPreformatted"/>
        <w:ind w:left="851" w:hanging="851"/>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w:t>
      </w:r>
      <w:r w:rsidR="007732B0">
        <w:rPr>
          <w:rStyle w:val="y2iqfc"/>
          <w:rFonts w:ascii="Times New Roman" w:eastAsiaTheme="majorEastAsia" w:hAnsi="Times New Roman" w:cs="Times New Roman"/>
          <w:b/>
          <w:bCs/>
          <w:sz w:val="22"/>
          <w:szCs w:val="22"/>
          <w:lang w:val="en"/>
        </w:rPr>
        <w:t>2</w:t>
      </w:r>
      <w:r w:rsidRPr="00BC29DE">
        <w:rPr>
          <w:rStyle w:val="y2iqfc"/>
          <w:rFonts w:ascii="Times New Roman" w:eastAsiaTheme="majorEastAsia" w:hAnsi="Times New Roman" w:cs="Times New Roman"/>
          <w:b/>
          <w:bCs/>
          <w:sz w:val="22"/>
          <w:szCs w:val="22"/>
          <w:lang w:val="en"/>
        </w:rPr>
        <w:t>.1. Relationship between Respondents' Internal Factors and the Level of Community Participation</w:t>
      </w:r>
    </w:p>
    <w:p w14:paraId="38C65D8D"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internal factors and the level of community empowerment shows different values ​​for each internal factor, as presented in Table 5.</w:t>
      </w:r>
    </w:p>
    <w:p w14:paraId="2A1DFBF4" w14:textId="77777777" w:rsidR="00480F04" w:rsidRDefault="00480F04" w:rsidP="00746B98">
      <w:pPr>
        <w:pStyle w:val="HTMLPreformatted"/>
        <w:jc w:val="both"/>
        <w:rPr>
          <w:rStyle w:val="y2iqfc"/>
          <w:rFonts w:ascii="Times New Roman" w:eastAsiaTheme="majorEastAsia" w:hAnsi="Times New Roman" w:cs="Times New Roman"/>
          <w:sz w:val="22"/>
          <w:szCs w:val="22"/>
          <w:lang w:val="en"/>
        </w:rPr>
      </w:pPr>
    </w:p>
    <w:p w14:paraId="4B0F67B4" w14:textId="77777777" w:rsidR="00480F04" w:rsidRDefault="00480F04" w:rsidP="00746B98">
      <w:pPr>
        <w:pStyle w:val="HTMLPreformatted"/>
        <w:jc w:val="both"/>
        <w:rPr>
          <w:rStyle w:val="y2iqfc"/>
          <w:rFonts w:ascii="Times New Roman" w:eastAsiaTheme="majorEastAsia" w:hAnsi="Times New Roman" w:cs="Times New Roman"/>
          <w:sz w:val="22"/>
          <w:szCs w:val="22"/>
          <w:lang w:val="en"/>
        </w:rPr>
      </w:pPr>
    </w:p>
    <w:p w14:paraId="085896BD" w14:textId="77777777" w:rsidR="00480F04" w:rsidRDefault="00480F04" w:rsidP="00746B98">
      <w:pPr>
        <w:pStyle w:val="HTMLPreformatted"/>
        <w:jc w:val="both"/>
        <w:rPr>
          <w:rStyle w:val="y2iqfc"/>
          <w:rFonts w:ascii="Times New Roman" w:eastAsiaTheme="majorEastAsia" w:hAnsi="Times New Roman" w:cs="Times New Roman"/>
          <w:sz w:val="22"/>
          <w:szCs w:val="22"/>
          <w:lang w:val="en"/>
        </w:rPr>
      </w:pPr>
    </w:p>
    <w:p w14:paraId="2CFFBD65" w14:textId="290A39D0" w:rsidR="00746B98" w:rsidRPr="00CC183D" w:rsidRDefault="00746B98" w:rsidP="00480F04">
      <w:pPr>
        <w:pStyle w:val="HTMLPreformatted"/>
        <w:ind w:left="851" w:hanging="851"/>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5. Correlation Coefficient between Respondents' Internal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w:t>
      </w:r>
      <w:proofErr w:type="spellStart"/>
      <w:r w:rsidRPr="00CC183D">
        <w:rPr>
          <w:rStyle w:val="y2iqfc"/>
          <w:rFonts w:ascii="Times New Roman" w:eastAsiaTheme="majorEastAsia" w:hAnsi="Times New Roman" w:cs="Times New Roman"/>
          <w:sz w:val="22"/>
          <w:szCs w:val="22"/>
          <w:lang w:val="en"/>
        </w:rPr>
        <w:t>Tahura</w:t>
      </w:r>
      <w:proofErr w:type="spellEnd"/>
      <w:r w:rsidRPr="00CC183D">
        <w:rPr>
          <w:rStyle w:val="y2iqfc"/>
          <w:rFonts w:ascii="Times New Roman" w:eastAsiaTheme="majorEastAsia" w:hAnsi="Times New Roman" w:cs="Times New Roman"/>
          <w:sz w:val="22"/>
          <w:szCs w:val="22"/>
          <w:lang w:val="en"/>
        </w:rPr>
        <w:t>)</w:t>
      </w:r>
    </w:p>
    <w:p w14:paraId="43C04D63" w14:textId="61F5A46B" w:rsidR="00746B98" w:rsidRPr="00CC183D" w:rsidRDefault="00746B98" w:rsidP="00746B98">
      <w:pPr>
        <w:pStyle w:val="Tablecaption0"/>
        <w:shd w:val="clear" w:color="auto" w:fill="auto"/>
        <w:spacing w:line="240" w:lineRule="auto"/>
        <w:ind w:left="993" w:hanging="993"/>
        <w:jc w:val="both"/>
      </w:pPr>
    </w:p>
    <w:tbl>
      <w:tblPr>
        <w:tblOverlap w:val="never"/>
        <w:tblW w:w="7954" w:type="dxa"/>
        <w:jc w:val="center"/>
        <w:tblLayout w:type="fixed"/>
        <w:tblCellMar>
          <w:left w:w="10" w:type="dxa"/>
          <w:right w:w="10" w:type="dxa"/>
        </w:tblCellMar>
        <w:tblLook w:val="04A0" w:firstRow="1" w:lastRow="0" w:firstColumn="1" w:lastColumn="0" w:noHBand="0" w:noVBand="1"/>
      </w:tblPr>
      <w:tblGrid>
        <w:gridCol w:w="514"/>
        <w:gridCol w:w="4584"/>
        <w:gridCol w:w="1418"/>
        <w:gridCol w:w="1438"/>
      </w:tblGrid>
      <w:tr w:rsidR="00746B98" w:rsidRPr="00CC183D" w14:paraId="1E2A83C6" w14:textId="77777777" w:rsidTr="00C66B49">
        <w:trPr>
          <w:trHeight w:hRule="exact" w:val="293"/>
          <w:jc w:val="center"/>
        </w:trPr>
        <w:tc>
          <w:tcPr>
            <w:tcW w:w="514" w:type="dxa"/>
            <w:vMerge w:val="restart"/>
            <w:tcBorders>
              <w:top w:val="single" w:sz="4" w:space="0" w:color="auto"/>
              <w:left w:val="single" w:sz="4" w:space="0" w:color="auto"/>
            </w:tcBorders>
            <w:shd w:val="clear" w:color="auto" w:fill="FFFFFF"/>
            <w:vAlign w:val="center"/>
          </w:tcPr>
          <w:p w14:paraId="4365A761" w14:textId="77777777" w:rsidR="00746B98" w:rsidRPr="00CC183D" w:rsidRDefault="00746B98" w:rsidP="00746B98">
            <w:pPr>
              <w:spacing w:after="0" w:line="240" w:lineRule="auto"/>
              <w:jc w:val="both"/>
              <w:rPr>
                <w:rFonts w:ascii="Times New Roman" w:hAnsi="Times New Roman" w:cs="Times New Roman"/>
              </w:rPr>
            </w:pPr>
            <w:r w:rsidRPr="00CC183D">
              <w:rPr>
                <w:rFonts w:ascii="Times New Roman" w:hAnsi="Times New Roman" w:cs="Times New Roman"/>
                <w:color w:val="000000"/>
                <w:lang w:bidi="en-US"/>
              </w:rPr>
              <w:lastRenderedPageBreak/>
              <w:t>No</w:t>
            </w:r>
          </w:p>
        </w:tc>
        <w:tc>
          <w:tcPr>
            <w:tcW w:w="4584" w:type="dxa"/>
            <w:vMerge w:val="restart"/>
            <w:tcBorders>
              <w:top w:val="single" w:sz="4" w:space="0" w:color="auto"/>
              <w:left w:val="single" w:sz="4" w:space="0" w:color="auto"/>
              <w:right w:val="single" w:sz="4" w:space="0" w:color="auto"/>
            </w:tcBorders>
            <w:shd w:val="clear" w:color="auto" w:fill="FFFFFF"/>
          </w:tcPr>
          <w:p w14:paraId="2E5AFB4E" w14:textId="7777777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Internal Factors</w:t>
            </w:r>
          </w:p>
          <w:p w14:paraId="2DD31AF7" w14:textId="226596E8" w:rsidR="00746B98" w:rsidRPr="00CC183D" w:rsidRDefault="00746B98" w:rsidP="00746B98">
            <w:pPr>
              <w:spacing w:after="0" w:line="240" w:lineRule="auto"/>
              <w:jc w:val="both"/>
              <w:rPr>
                <w:rFonts w:ascii="Times New Roman" w:hAnsi="Times New Roman" w:cs="Times New Roman"/>
              </w:rPr>
            </w:pPr>
          </w:p>
        </w:tc>
        <w:tc>
          <w:tcPr>
            <w:tcW w:w="2856" w:type="dxa"/>
            <w:gridSpan w:val="2"/>
            <w:tcBorders>
              <w:top w:val="single" w:sz="4" w:space="0" w:color="auto"/>
              <w:left w:val="single" w:sz="4" w:space="0" w:color="auto"/>
              <w:right w:val="single" w:sz="4" w:space="0" w:color="auto"/>
            </w:tcBorders>
            <w:shd w:val="clear" w:color="auto" w:fill="FFFFFF"/>
            <w:vAlign w:val="bottom"/>
          </w:tcPr>
          <w:p w14:paraId="568B15E1" w14:textId="77777777" w:rsidR="00746B98" w:rsidRPr="00CC183D" w:rsidRDefault="00746B98" w:rsidP="00480F04">
            <w:pPr>
              <w:pStyle w:val="HTMLPreformatted"/>
              <w:jc w:val="center"/>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16BE50B2" w14:textId="78CFCA26" w:rsidR="00746B98" w:rsidRPr="00CC183D" w:rsidRDefault="00746B98" w:rsidP="00746B98">
            <w:pPr>
              <w:spacing w:after="0" w:line="240" w:lineRule="auto"/>
              <w:jc w:val="center"/>
              <w:rPr>
                <w:rFonts w:ascii="Times New Roman" w:hAnsi="Times New Roman" w:cs="Times New Roman"/>
              </w:rPr>
            </w:pPr>
          </w:p>
        </w:tc>
      </w:tr>
      <w:tr w:rsidR="00746B98" w:rsidRPr="00C4228D" w14:paraId="14117637" w14:textId="77777777" w:rsidTr="008674D2">
        <w:trPr>
          <w:trHeight w:hRule="exact" w:val="562"/>
          <w:jc w:val="center"/>
        </w:trPr>
        <w:tc>
          <w:tcPr>
            <w:tcW w:w="514" w:type="dxa"/>
            <w:vMerge/>
            <w:tcBorders>
              <w:left w:val="single" w:sz="4" w:space="0" w:color="auto"/>
            </w:tcBorders>
            <w:shd w:val="clear" w:color="auto" w:fill="FFFFFF"/>
            <w:vAlign w:val="center"/>
          </w:tcPr>
          <w:p w14:paraId="600E04DD" w14:textId="77777777" w:rsidR="00746B98" w:rsidRPr="00CC183D" w:rsidRDefault="00746B98" w:rsidP="00746B98">
            <w:pPr>
              <w:spacing w:after="0" w:line="240" w:lineRule="auto"/>
              <w:jc w:val="both"/>
              <w:rPr>
                <w:rFonts w:ascii="Times New Roman" w:hAnsi="Times New Roman" w:cs="Times New Roman"/>
              </w:rPr>
            </w:pPr>
          </w:p>
        </w:tc>
        <w:tc>
          <w:tcPr>
            <w:tcW w:w="4584" w:type="dxa"/>
            <w:vMerge/>
            <w:tcBorders>
              <w:left w:val="single" w:sz="4" w:space="0" w:color="auto"/>
            </w:tcBorders>
            <w:shd w:val="clear" w:color="auto" w:fill="FFFFFF"/>
          </w:tcPr>
          <w:p w14:paraId="14DD8C7F" w14:textId="77777777" w:rsidR="00746B98" w:rsidRPr="00CC183D" w:rsidRDefault="00746B98" w:rsidP="00746B98">
            <w:pPr>
              <w:spacing w:after="0" w:line="240" w:lineRule="auto"/>
              <w:jc w:val="both"/>
              <w:rPr>
                <w:rFonts w:ascii="Times New Roman" w:hAnsi="Times New Roman" w:cs="Times New Roman"/>
              </w:rPr>
            </w:pPr>
          </w:p>
        </w:tc>
        <w:tc>
          <w:tcPr>
            <w:tcW w:w="1418" w:type="dxa"/>
            <w:tcBorders>
              <w:top w:val="single" w:sz="4" w:space="0" w:color="auto"/>
              <w:left w:val="single" w:sz="4" w:space="0" w:color="auto"/>
              <w:right w:val="single" w:sz="4" w:space="0" w:color="auto"/>
            </w:tcBorders>
            <w:shd w:val="clear" w:color="auto" w:fill="FFFFFF"/>
          </w:tcPr>
          <w:p w14:paraId="7DA6F6B4" w14:textId="77777777" w:rsidR="00746B98" w:rsidRPr="00CC183D" w:rsidRDefault="00746B98" w:rsidP="00746B98">
            <w:pPr>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334C2C5" w14:textId="2D061837" w:rsidR="00746B98" w:rsidRPr="00CC183D" w:rsidRDefault="00746B98" w:rsidP="00746B98">
            <w:pPr>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0305E43C" w14:textId="4A42239E" w:rsidR="00746B98" w:rsidRPr="00C4228D" w:rsidRDefault="00480F04" w:rsidP="00746B98">
            <w:pPr>
              <w:spacing w:after="0" w:line="240" w:lineRule="auto"/>
              <w:jc w:val="center"/>
              <w:rPr>
                <w:rFonts w:ascii="Times New Roman" w:hAnsi="Times New Roman" w:cs="Times New Roman"/>
              </w:rPr>
            </w:pPr>
            <w:proofErr w:type="spellStart"/>
            <w:r w:rsidRPr="00C4228D">
              <w:rPr>
                <w:rStyle w:val="y2iqfc"/>
                <w:rFonts w:ascii="Times New Roman" w:hAnsi="Times New Roman" w:cs="Times New Roman"/>
                <w:lang w:val="en"/>
              </w:rPr>
              <w:t>ImplementationStage</w:t>
            </w:r>
            <w:proofErr w:type="spellEnd"/>
            <w:r w:rsidRPr="00C4228D">
              <w:rPr>
                <w:rStyle w:val="y2iqfc"/>
                <w:rFonts w:ascii="Times New Roman" w:hAnsi="Times New Roman" w:cs="Times New Roman"/>
                <w:lang w:val="en"/>
              </w:rPr>
              <w:t xml:space="preserve"> </w:t>
            </w:r>
            <w:r w:rsidR="00746B98" w:rsidRPr="00C4228D">
              <w:rPr>
                <w:rStyle w:val="y2iqfc"/>
                <w:rFonts w:ascii="Times New Roman" w:hAnsi="Times New Roman" w:cs="Times New Roman"/>
                <w:lang w:val="en"/>
              </w:rPr>
              <w:t>(Y2)</w:t>
            </w:r>
          </w:p>
        </w:tc>
      </w:tr>
      <w:tr w:rsidR="00746B98" w:rsidRPr="00CC183D" w14:paraId="3587CE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CF0DA1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w:t>
            </w:r>
          </w:p>
        </w:tc>
        <w:tc>
          <w:tcPr>
            <w:tcW w:w="4584" w:type="dxa"/>
            <w:tcBorders>
              <w:top w:val="single" w:sz="4" w:space="0" w:color="auto"/>
              <w:left w:val="single" w:sz="4" w:space="0" w:color="auto"/>
            </w:tcBorders>
            <w:shd w:val="clear" w:color="auto" w:fill="FFFFFF"/>
          </w:tcPr>
          <w:p w14:paraId="3EEBD1D1" w14:textId="68C8581A"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Respondent's age</w:t>
            </w:r>
          </w:p>
        </w:tc>
        <w:tc>
          <w:tcPr>
            <w:tcW w:w="1418" w:type="dxa"/>
            <w:tcBorders>
              <w:top w:val="single" w:sz="4" w:space="0" w:color="auto"/>
              <w:left w:val="single" w:sz="4" w:space="0" w:color="auto"/>
            </w:tcBorders>
            <w:shd w:val="clear" w:color="auto" w:fill="FFFFFF"/>
            <w:vAlign w:val="bottom"/>
          </w:tcPr>
          <w:p w14:paraId="77DD059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0,000</w:t>
            </w:r>
          </w:p>
        </w:tc>
        <w:tc>
          <w:tcPr>
            <w:tcW w:w="1438" w:type="dxa"/>
            <w:tcBorders>
              <w:top w:val="single" w:sz="4" w:space="0" w:color="auto"/>
              <w:left w:val="single" w:sz="4" w:space="0" w:color="auto"/>
              <w:right w:val="single" w:sz="4" w:space="0" w:color="auto"/>
            </w:tcBorders>
            <w:shd w:val="clear" w:color="auto" w:fill="FFFFFF"/>
            <w:vAlign w:val="bottom"/>
          </w:tcPr>
          <w:p w14:paraId="752C09F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-0,010</w:t>
            </w:r>
          </w:p>
        </w:tc>
      </w:tr>
      <w:tr w:rsidR="00746B98" w:rsidRPr="00CC183D" w14:paraId="3778225A"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619635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2</w:t>
            </w:r>
          </w:p>
        </w:tc>
        <w:tc>
          <w:tcPr>
            <w:tcW w:w="4584" w:type="dxa"/>
            <w:tcBorders>
              <w:top w:val="single" w:sz="4" w:space="0" w:color="auto"/>
              <w:left w:val="single" w:sz="4" w:space="0" w:color="auto"/>
            </w:tcBorders>
            <w:shd w:val="clear" w:color="auto" w:fill="FFFFFF"/>
          </w:tcPr>
          <w:p w14:paraId="0704B7E8" w14:textId="4539214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Education level</w:t>
            </w:r>
          </w:p>
        </w:tc>
        <w:tc>
          <w:tcPr>
            <w:tcW w:w="1418" w:type="dxa"/>
            <w:tcBorders>
              <w:top w:val="single" w:sz="4" w:space="0" w:color="auto"/>
              <w:left w:val="single" w:sz="4" w:space="0" w:color="auto"/>
            </w:tcBorders>
            <w:shd w:val="clear" w:color="auto" w:fill="FFFFFF"/>
            <w:vAlign w:val="bottom"/>
          </w:tcPr>
          <w:p w14:paraId="5B0FF4B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-0,082</w:t>
            </w:r>
          </w:p>
        </w:tc>
        <w:tc>
          <w:tcPr>
            <w:tcW w:w="1438" w:type="dxa"/>
            <w:tcBorders>
              <w:top w:val="single" w:sz="4" w:space="0" w:color="auto"/>
              <w:left w:val="single" w:sz="4" w:space="0" w:color="auto"/>
              <w:right w:val="single" w:sz="4" w:space="0" w:color="auto"/>
            </w:tcBorders>
            <w:shd w:val="clear" w:color="auto" w:fill="FFFFFF"/>
            <w:vAlign w:val="bottom"/>
          </w:tcPr>
          <w:p w14:paraId="0E2B8AC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-0,247*</w:t>
            </w:r>
          </w:p>
        </w:tc>
      </w:tr>
      <w:tr w:rsidR="00746B98" w:rsidRPr="00CC183D" w14:paraId="50C08565"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6CAAEA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3</w:t>
            </w:r>
          </w:p>
        </w:tc>
        <w:tc>
          <w:tcPr>
            <w:tcW w:w="4584" w:type="dxa"/>
            <w:tcBorders>
              <w:top w:val="single" w:sz="4" w:space="0" w:color="auto"/>
              <w:left w:val="single" w:sz="4" w:space="0" w:color="auto"/>
            </w:tcBorders>
            <w:shd w:val="clear" w:color="auto" w:fill="FFFFFF"/>
          </w:tcPr>
          <w:p w14:paraId="789B6CAC" w14:textId="777883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family members</w:t>
            </w:r>
          </w:p>
        </w:tc>
        <w:tc>
          <w:tcPr>
            <w:tcW w:w="1418" w:type="dxa"/>
            <w:tcBorders>
              <w:top w:val="single" w:sz="4" w:space="0" w:color="auto"/>
              <w:left w:val="single" w:sz="4" w:space="0" w:color="auto"/>
            </w:tcBorders>
            <w:shd w:val="clear" w:color="auto" w:fill="FFFFFF"/>
            <w:vAlign w:val="bottom"/>
          </w:tcPr>
          <w:p w14:paraId="7DA4F62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0,187</w:t>
            </w:r>
          </w:p>
        </w:tc>
        <w:tc>
          <w:tcPr>
            <w:tcW w:w="1438" w:type="dxa"/>
            <w:tcBorders>
              <w:top w:val="single" w:sz="4" w:space="0" w:color="auto"/>
              <w:left w:val="single" w:sz="4" w:space="0" w:color="auto"/>
              <w:right w:val="single" w:sz="4" w:space="0" w:color="auto"/>
            </w:tcBorders>
            <w:shd w:val="clear" w:color="auto" w:fill="FFFFFF"/>
            <w:vAlign w:val="bottom"/>
          </w:tcPr>
          <w:p w14:paraId="3C84E13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0,062</w:t>
            </w:r>
          </w:p>
        </w:tc>
      </w:tr>
      <w:tr w:rsidR="00746B98" w:rsidRPr="00CC183D" w14:paraId="6D7A2A97"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4CA570D"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4</w:t>
            </w:r>
          </w:p>
        </w:tc>
        <w:tc>
          <w:tcPr>
            <w:tcW w:w="4584" w:type="dxa"/>
            <w:tcBorders>
              <w:top w:val="single" w:sz="4" w:space="0" w:color="auto"/>
              <w:left w:val="single" w:sz="4" w:space="0" w:color="auto"/>
            </w:tcBorders>
            <w:shd w:val="clear" w:color="auto" w:fill="FFFFFF"/>
          </w:tcPr>
          <w:p w14:paraId="617A3BA7" w14:textId="164DB37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Crop type selection</w:t>
            </w:r>
          </w:p>
        </w:tc>
        <w:tc>
          <w:tcPr>
            <w:tcW w:w="1418" w:type="dxa"/>
            <w:tcBorders>
              <w:top w:val="single" w:sz="4" w:space="0" w:color="auto"/>
              <w:left w:val="single" w:sz="4" w:space="0" w:color="auto"/>
            </w:tcBorders>
            <w:shd w:val="clear" w:color="auto" w:fill="FFFFFF"/>
            <w:vAlign w:val="bottom"/>
          </w:tcPr>
          <w:p w14:paraId="294F5CC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0,060</w:t>
            </w:r>
          </w:p>
        </w:tc>
        <w:tc>
          <w:tcPr>
            <w:tcW w:w="1438" w:type="dxa"/>
            <w:tcBorders>
              <w:top w:val="single" w:sz="4" w:space="0" w:color="auto"/>
              <w:left w:val="single" w:sz="4" w:space="0" w:color="auto"/>
              <w:right w:val="single" w:sz="4" w:space="0" w:color="auto"/>
            </w:tcBorders>
            <w:shd w:val="clear" w:color="auto" w:fill="FFFFFF"/>
            <w:vAlign w:val="bottom"/>
          </w:tcPr>
          <w:p w14:paraId="64A6C90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-0,032</w:t>
            </w:r>
          </w:p>
        </w:tc>
      </w:tr>
      <w:tr w:rsidR="00746B98" w:rsidRPr="00CC183D" w14:paraId="3690291C"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2C0CD0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5</w:t>
            </w:r>
          </w:p>
        </w:tc>
        <w:tc>
          <w:tcPr>
            <w:tcW w:w="4584" w:type="dxa"/>
            <w:tcBorders>
              <w:top w:val="single" w:sz="4" w:space="0" w:color="auto"/>
              <w:left w:val="single" w:sz="4" w:space="0" w:color="auto"/>
            </w:tcBorders>
            <w:shd w:val="clear" w:color="auto" w:fill="FFFFFF"/>
          </w:tcPr>
          <w:p w14:paraId="39866E38" w14:textId="5E970E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workers</w:t>
            </w:r>
          </w:p>
        </w:tc>
        <w:tc>
          <w:tcPr>
            <w:tcW w:w="1418" w:type="dxa"/>
            <w:tcBorders>
              <w:top w:val="single" w:sz="4" w:space="0" w:color="auto"/>
              <w:left w:val="single" w:sz="4" w:space="0" w:color="auto"/>
            </w:tcBorders>
            <w:shd w:val="clear" w:color="auto" w:fill="FFFFFF"/>
            <w:vAlign w:val="bottom"/>
          </w:tcPr>
          <w:p w14:paraId="753F2AA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0,116</w:t>
            </w:r>
          </w:p>
        </w:tc>
        <w:tc>
          <w:tcPr>
            <w:tcW w:w="1438" w:type="dxa"/>
            <w:tcBorders>
              <w:top w:val="single" w:sz="4" w:space="0" w:color="auto"/>
              <w:left w:val="single" w:sz="4" w:space="0" w:color="auto"/>
              <w:right w:val="single" w:sz="4" w:space="0" w:color="auto"/>
            </w:tcBorders>
            <w:shd w:val="clear" w:color="auto" w:fill="FFFFFF"/>
            <w:vAlign w:val="bottom"/>
          </w:tcPr>
          <w:p w14:paraId="1354C82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0,055</w:t>
            </w:r>
          </w:p>
        </w:tc>
      </w:tr>
      <w:tr w:rsidR="00746B98" w:rsidRPr="00CC183D" w14:paraId="05A22243"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5385EAF1"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6</w:t>
            </w:r>
          </w:p>
        </w:tc>
        <w:tc>
          <w:tcPr>
            <w:tcW w:w="4584" w:type="dxa"/>
            <w:tcBorders>
              <w:top w:val="single" w:sz="4" w:space="0" w:color="auto"/>
              <w:left w:val="single" w:sz="4" w:space="0" w:color="auto"/>
            </w:tcBorders>
            <w:shd w:val="clear" w:color="auto" w:fill="FFFFFF"/>
          </w:tcPr>
          <w:p w14:paraId="5392FC3C" w14:textId="748B896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Amount of cultivated land</w:t>
            </w:r>
          </w:p>
        </w:tc>
        <w:tc>
          <w:tcPr>
            <w:tcW w:w="1418" w:type="dxa"/>
            <w:tcBorders>
              <w:top w:val="single" w:sz="4" w:space="0" w:color="auto"/>
              <w:left w:val="single" w:sz="4" w:space="0" w:color="auto"/>
            </w:tcBorders>
            <w:shd w:val="clear" w:color="auto" w:fill="FFFFFF"/>
            <w:vAlign w:val="bottom"/>
          </w:tcPr>
          <w:p w14:paraId="48E37E1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0,241*</w:t>
            </w:r>
          </w:p>
        </w:tc>
        <w:tc>
          <w:tcPr>
            <w:tcW w:w="1438" w:type="dxa"/>
            <w:tcBorders>
              <w:top w:val="single" w:sz="4" w:space="0" w:color="auto"/>
              <w:left w:val="single" w:sz="4" w:space="0" w:color="auto"/>
              <w:right w:val="single" w:sz="4" w:space="0" w:color="auto"/>
            </w:tcBorders>
            <w:shd w:val="clear" w:color="auto" w:fill="FFFFFF"/>
            <w:vAlign w:val="bottom"/>
          </w:tcPr>
          <w:p w14:paraId="5A68E83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0,190</w:t>
            </w:r>
          </w:p>
        </w:tc>
      </w:tr>
      <w:tr w:rsidR="00746B98" w:rsidRPr="00CC183D" w14:paraId="6D7418A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8091D5C"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7</w:t>
            </w:r>
          </w:p>
        </w:tc>
        <w:tc>
          <w:tcPr>
            <w:tcW w:w="4584" w:type="dxa"/>
            <w:tcBorders>
              <w:top w:val="single" w:sz="4" w:space="0" w:color="auto"/>
              <w:left w:val="single" w:sz="4" w:space="0" w:color="auto"/>
            </w:tcBorders>
            <w:shd w:val="clear" w:color="auto" w:fill="FFFFFF"/>
          </w:tcPr>
          <w:p w14:paraId="50B83507" w14:textId="400C88B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Proximity to the Forest and Environment Agency (BDLHK)</w:t>
            </w:r>
          </w:p>
        </w:tc>
        <w:tc>
          <w:tcPr>
            <w:tcW w:w="1418" w:type="dxa"/>
            <w:tcBorders>
              <w:top w:val="single" w:sz="4" w:space="0" w:color="auto"/>
              <w:left w:val="single" w:sz="4" w:space="0" w:color="auto"/>
            </w:tcBorders>
            <w:shd w:val="clear" w:color="auto" w:fill="FFFFFF"/>
            <w:vAlign w:val="bottom"/>
          </w:tcPr>
          <w:p w14:paraId="45D728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-0,264*</w:t>
            </w:r>
          </w:p>
        </w:tc>
        <w:tc>
          <w:tcPr>
            <w:tcW w:w="1438" w:type="dxa"/>
            <w:tcBorders>
              <w:top w:val="single" w:sz="4" w:space="0" w:color="auto"/>
              <w:left w:val="single" w:sz="4" w:space="0" w:color="auto"/>
              <w:right w:val="single" w:sz="4" w:space="0" w:color="auto"/>
            </w:tcBorders>
            <w:shd w:val="clear" w:color="auto" w:fill="FFFFFF"/>
            <w:vAlign w:val="bottom"/>
          </w:tcPr>
          <w:p w14:paraId="6A4829AF"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-0,278*</w:t>
            </w:r>
          </w:p>
        </w:tc>
      </w:tr>
      <w:tr w:rsidR="00746B98" w:rsidRPr="00CC183D" w14:paraId="39F728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9E1D492"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8</w:t>
            </w:r>
          </w:p>
        </w:tc>
        <w:tc>
          <w:tcPr>
            <w:tcW w:w="4584" w:type="dxa"/>
            <w:tcBorders>
              <w:top w:val="single" w:sz="4" w:space="0" w:color="auto"/>
              <w:left w:val="single" w:sz="4" w:space="0" w:color="auto"/>
            </w:tcBorders>
            <w:shd w:val="clear" w:color="auto" w:fill="FFFFFF"/>
          </w:tcPr>
          <w:p w14:paraId="07A4B717" w14:textId="141E8F3E"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Income level</w:t>
            </w:r>
          </w:p>
        </w:tc>
        <w:tc>
          <w:tcPr>
            <w:tcW w:w="1418" w:type="dxa"/>
            <w:tcBorders>
              <w:top w:val="single" w:sz="4" w:space="0" w:color="auto"/>
              <w:left w:val="single" w:sz="4" w:space="0" w:color="auto"/>
            </w:tcBorders>
            <w:shd w:val="clear" w:color="auto" w:fill="FFFFFF"/>
            <w:vAlign w:val="bottom"/>
          </w:tcPr>
          <w:p w14:paraId="55109C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0,361**</w:t>
            </w:r>
          </w:p>
        </w:tc>
        <w:tc>
          <w:tcPr>
            <w:tcW w:w="1438" w:type="dxa"/>
            <w:tcBorders>
              <w:top w:val="single" w:sz="4" w:space="0" w:color="auto"/>
              <w:left w:val="single" w:sz="4" w:space="0" w:color="auto"/>
              <w:right w:val="single" w:sz="4" w:space="0" w:color="auto"/>
            </w:tcBorders>
            <w:shd w:val="clear" w:color="auto" w:fill="FFFFFF"/>
            <w:vAlign w:val="bottom"/>
          </w:tcPr>
          <w:p w14:paraId="795E83E7"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0,272*</w:t>
            </w:r>
          </w:p>
        </w:tc>
      </w:tr>
      <w:tr w:rsidR="00746B98" w:rsidRPr="00CC183D" w14:paraId="73304CF4" w14:textId="77777777" w:rsidTr="00C66B49">
        <w:trPr>
          <w:trHeight w:hRule="exact" w:val="562"/>
          <w:jc w:val="center"/>
        </w:trPr>
        <w:tc>
          <w:tcPr>
            <w:tcW w:w="514" w:type="dxa"/>
            <w:tcBorders>
              <w:top w:val="single" w:sz="4" w:space="0" w:color="auto"/>
              <w:left w:val="single" w:sz="4" w:space="0" w:color="auto"/>
            </w:tcBorders>
            <w:shd w:val="clear" w:color="auto" w:fill="FFFFFF"/>
            <w:vAlign w:val="center"/>
          </w:tcPr>
          <w:p w14:paraId="59E92D03"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9</w:t>
            </w:r>
          </w:p>
        </w:tc>
        <w:tc>
          <w:tcPr>
            <w:tcW w:w="4584" w:type="dxa"/>
            <w:tcBorders>
              <w:top w:val="single" w:sz="4" w:space="0" w:color="auto"/>
              <w:left w:val="single" w:sz="4" w:space="0" w:color="auto"/>
            </w:tcBorders>
            <w:shd w:val="clear" w:color="auto" w:fill="FFFFFF"/>
          </w:tcPr>
          <w:p w14:paraId="6170B909" w14:textId="40EDCE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Knowledge of agroforestry rehabilitation patterns</w:t>
            </w:r>
          </w:p>
        </w:tc>
        <w:tc>
          <w:tcPr>
            <w:tcW w:w="1418" w:type="dxa"/>
            <w:tcBorders>
              <w:top w:val="single" w:sz="4" w:space="0" w:color="auto"/>
              <w:left w:val="single" w:sz="4" w:space="0" w:color="auto"/>
            </w:tcBorders>
            <w:shd w:val="clear" w:color="auto" w:fill="FFFFFF"/>
            <w:vAlign w:val="center"/>
          </w:tcPr>
          <w:p w14:paraId="3C776C2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0,200</w:t>
            </w:r>
          </w:p>
        </w:tc>
        <w:tc>
          <w:tcPr>
            <w:tcW w:w="1438" w:type="dxa"/>
            <w:tcBorders>
              <w:top w:val="single" w:sz="4" w:space="0" w:color="auto"/>
              <w:left w:val="single" w:sz="4" w:space="0" w:color="auto"/>
              <w:right w:val="single" w:sz="4" w:space="0" w:color="auto"/>
            </w:tcBorders>
            <w:shd w:val="clear" w:color="auto" w:fill="FFFFFF"/>
            <w:vAlign w:val="center"/>
          </w:tcPr>
          <w:p w14:paraId="4C7D04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0,132</w:t>
            </w:r>
          </w:p>
        </w:tc>
      </w:tr>
      <w:tr w:rsidR="00746B98" w:rsidRPr="00CC183D" w14:paraId="0EC375F6"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1F050F1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10</w:t>
            </w:r>
          </w:p>
        </w:tc>
        <w:tc>
          <w:tcPr>
            <w:tcW w:w="4584" w:type="dxa"/>
            <w:tcBorders>
              <w:top w:val="single" w:sz="4" w:space="0" w:color="auto"/>
              <w:left w:val="single" w:sz="4" w:space="0" w:color="auto"/>
            </w:tcBorders>
            <w:shd w:val="clear" w:color="auto" w:fill="FFFFFF"/>
          </w:tcPr>
          <w:p w14:paraId="2020FFA3" w14:textId="68DF478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Cosmopolitanism</w:t>
            </w:r>
          </w:p>
        </w:tc>
        <w:tc>
          <w:tcPr>
            <w:tcW w:w="1418" w:type="dxa"/>
            <w:tcBorders>
              <w:top w:val="single" w:sz="4" w:space="0" w:color="auto"/>
              <w:left w:val="single" w:sz="4" w:space="0" w:color="auto"/>
            </w:tcBorders>
            <w:shd w:val="clear" w:color="auto" w:fill="FFFFFF"/>
            <w:vAlign w:val="bottom"/>
          </w:tcPr>
          <w:p w14:paraId="2CFBC39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0,041</w:t>
            </w:r>
          </w:p>
        </w:tc>
        <w:tc>
          <w:tcPr>
            <w:tcW w:w="1438" w:type="dxa"/>
            <w:tcBorders>
              <w:top w:val="single" w:sz="4" w:space="0" w:color="auto"/>
              <w:left w:val="single" w:sz="4" w:space="0" w:color="auto"/>
              <w:right w:val="single" w:sz="4" w:space="0" w:color="auto"/>
            </w:tcBorders>
            <w:shd w:val="clear" w:color="auto" w:fill="FFFFFF"/>
            <w:vAlign w:val="bottom"/>
          </w:tcPr>
          <w:p w14:paraId="518C4F1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0,072</w:t>
            </w:r>
          </w:p>
        </w:tc>
      </w:tr>
      <w:tr w:rsidR="00746B98" w:rsidRPr="00CC183D" w14:paraId="7EF800C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B9105D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11</w:t>
            </w:r>
          </w:p>
        </w:tc>
        <w:tc>
          <w:tcPr>
            <w:tcW w:w="4584" w:type="dxa"/>
            <w:tcBorders>
              <w:top w:val="single" w:sz="4" w:space="0" w:color="auto"/>
              <w:left w:val="single" w:sz="4" w:space="0" w:color="auto"/>
            </w:tcBorders>
            <w:shd w:val="clear" w:color="auto" w:fill="FFFFFF"/>
          </w:tcPr>
          <w:p w14:paraId="059A71D6" w14:textId="0B9BFC7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Side jobs</w:t>
            </w:r>
          </w:p>
        </w:tc>
        <w:tc>
          <w:tcPr>
            <w:tcW w:w="1418" w:type="dxa"/>
            <w:tcBorders>
              <w:top w:val="single" w:sz="4" w:space="0" w:color="auto"/>
              <w:left w:val="single" w:sz="4" w:space="0" w:color="auto"/>
            </w:tcBorders>
            <w:shd w:val="clear" w:color="auto" w:fill="FFFFFF"/>
            <w:vAlign w:val="bottom"/>
          </w:tcPr>
          <w:p w14:paraId="110DD91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-0,007</w:t>
            </w:r>
          </w:p>
        </w:tc>
        <w:tc>
          <w:tcPr>
            <w:tcW w:w="1438" w:type="dxa"/>
            <w:tcBorders>
              <w:top w:val="single" w:sz="4" w:space="0" w:color="auto"/>
              <w:left w:val="single" w:sz="4" w:space="0" w:color="auto"/>
              <w:right w:val="single" w:sz="4" w:space="0" w:color="auto"/>
            </w:tcBorders>
            <w:shd w:val="clear" w:color="auto" w:fill="FFFFFF"/>
            <w:vAlign w:val="bottom"/>
          </w:tcPr>
          <w:p w14:paraId="5B4EF41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-0,096</w:t>
            </w:r>
          </w:p>
        </w:tc>
      </w:tr>
      <w:tr w:rsidR="00746B98" w:rsidRPr="00CC183D" w14:paraId="1193D90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B42E95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12</w:t>
            </w:r>
          </w:p>
        </w:tc>
        <w:tc>
          <w:tcPr>
            <w:tcW w:w="4584" w:type="dxa"/>
            <w:tcBorders>
              <w:top w:val="single" w:sz="4" w:space="0" w:color="auto"/>
              <w:left w:val="single" w:sz="4" w:space="0" w:color="auto"/>
            </w:tcBorders>
            <w:shd w:val="clear" w:color="auto" w:fill="FFFFFF"/>
          </w:tcPr>
          <w:p w14:paraId="20FEDC5E" w14:textId="4176C02D"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Perceptions of rehabilitation activities</w:t>
            </w:r>
          </w:p>
        </w:tc>
        <w:tc>
          <w:tcPr>
            <w:tcW w:w="1418" w:type="dxa"/>
            <w:tcBorders>
              <w:top w:val="single" w:sz="4" w:space="0" w:color="auto"/>
              <w:left w:val="single" w:sz="4" w:space="0" w:color="auto"/>
            </w:tcBorders>
            <w:shd w:val="clear" w:color="auto" w:fill="FFFFFF"/>
            <w:vAlign w:val="bottom"/>
          </w:tcPr>
          <w:p w14:paraId="6C58BE3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0,118</w:t>
            </w:r>
          </w:p>
        </w:tc>
        <w:tc>
          <w:tcPr>
            <w:tcW w:w="1438" w:type="dxa"/>
            <w:tcBorders>
              <w:top w:val="single" w:sz="4" w:space="0" w:color="auto"/>
              <w:left w:val="single" w:sz="4" w:space="0" w:color="auto"/>
              <w:right w:val="single" w:sz="4" w:space="0" w:color="auto"/>
            </w:tcBorders>
            <w:shd w:val="clear" w:color="auto" w:fill="FFFFFF"/>
            <w:vAlign w:val="bottom"/>
          </w:tcPr>
          <w:p w14:paraId="23871DE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746B98" w:rsidRPr="00CC183D" w14:paraId="7BFACEA2"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6FF8AEE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13</w:t>
            </w:r>
          </w:p>
        </w:tc>
        <w:tc>
          <w:tcPr>
            <w:tcW w:w="4584" w:type="dxa"/>
            <w:tcBorders>
              <w:top w:val="single" w:sz="4" w:space="0" w:color="auto"/>
              <w:left w:val="single" w:sz="4" w:space="0" w:color="auto"/>
            </w:tcBorders>
            <w:shd w:val="clear" w:color="auto" w:fill="FFFFFF"/>
          </w:tcPr>
          <w:p w14:paraId="325B1FA6" w14:textId="2C31F5F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Intrinsic motivation</w:t>
            </w:r>
          </w:p>
        </w:tc>
        <w:tc>
          <w:tcPr>
            <w:tcW w:w="1418" w:type="dxa"/>
            <w:tcBorders>
              <w:top w:val="single" w:sz="4" w:space="0" w:color="auto"/>
              <w:left w:val="single" w:sz="4" w:space="0" w:color="auto"/>
            </w:tcBorders>
            <w:shd w:val="clear" w:color="auto" w:fill="FFFFFF"/>
            <w:vAlign w:val="bottom"/>
          </w:tcPr>
          <w:p w14:paraId="6CD9F8A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0,248*</w:t>
            </w:r>
          </w:p>
        </w:tc>
        <w:tc>
          <w:tcPr>
            <w:tcW w:w="1438" w:type="dxa"/>
            <w:tcBorders>
              <w:top w:val="single" w:sz="4" w:space="0" w:color="auto"/>
              <w:left w:val="single" w:sz="4" w:space="0" w:color="auto"/>
              <w:right w:val="single" w:sz="4" w:space="0" w:color="auto"/>
            </w:tcBorders>
            <w:shd w:val="clear" w:color="auto" w:fill="FFFFFF"/>
            <w:vAlign w:val="bottom"/>
          </w:tcPr>
          <w:p w14:paraId="0124CD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0,239*</w:t>
            </w:r>
          </w:p>
        </w:tc>
      </w:tr>
      <w:tr w:rsidR="00746B98" w:rsidRPr="00CC183D" w14:paraId="01789A19" w14:textId="77777777" w:rsidTr="00C66B49">
        <w:trPr>
          <w:trHeight w:hRule="exact" w:val="293"/>
          <w:jc w:val="center"/>
        </w:trPr>
        <w:tc>
          <w:tcPr>
            <w:tcW w:w="514" w:type="dxa"/>
            <w:tcBorders>
              <w:top w:val="single" w:sz="4" w:space="0" w:color="auto"/>
              <w:left w:val="single" w:sz="4" w:space="0" w:color="auto"/>
              <w:bottom w:val="single" w:sz="4" w:space="0" w:color="auto"/>
            </w:tcBorders>
            <w:shd w:val="clear" w:color="auto" w:fill="FFFFFF"/>
            <w:vAlign w:val="bottom"/>
          </w:tcPr>
          <w:p w14:paraId="5FD608E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14</w:t>
            </w:r>
          </w:p>
        </w:tc>
        <w:tc>
          <w:tcPr>
            <w:tcW w:w="4584" w:type="dxa"/>
            <w:tcBorders>
              <w:top w:val="single" w:sz="4" w:space="0" w:color="auto"/>
              <w:left w:val="single" w:sz="4" w:space="0" w:color="auto"/>
              <w:bottom w:val="single" w:sz="4" w:space="0" w:color="auto"/>
            </w:tcBorders>
            <w:shd w:val="clear" w:color="auto" w:fill="FFFFFF"/>
          </w:tcPr>
          <w:p w14:paraId="31204216" w14:textId="1923FCA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Extrinsic motivation</w:t>
            </w:r>
          </w:p>
        </w:tc>
        <w:tc>
          <w:tcPr>
            <w:tcW w:w="1418" w:type="dxa"/>
            <w:tcBorders>
              <w:top w:val="single" w:sz="4" w:space="0" w:color="auto"/>
              <w:left w:val="single" w:sz="4" w:space="0" w:color="auto"/>
              <w:bottom w:val="single" w:sz="4" w:space="0" w:color="auto"/>
            </w:tcBorders>
            <w:shd w:val="clear" w:color="auto" w:fill="FFFFFF"/>
            <w:vAlign w:val="bottom"/>
          </w:tcPr>
          <w:p w14:paraId="3D941A5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-0,309**</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75C4297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-0,304*</w:t>
            </w:r>
          </w:p>
        </w:tc>
      </w:tr>
    </w:tbl>
    <w:p w14:paraId="0ABA1F20" w14:textId="5DFC34AD"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      ** very </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ignificantly affected at a = 0.01</w:t>
      </w:r>
    </w:p>
    <w:p w14:paraId="2148B9DC" w14:textId="2C445C92"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2D482500" w14:textId="77777777" w:rsidR="00746B98" w:rsidRPr="00CC183D" w:rsidRDefault="00746B98" w:rsidP="00746B98">
      <w:pPr>
        <w:pStyle w:val="HTMLPreformatted"/>
        <w:jc w:val="both"/>
        <w:rPr>
          <w:rFonts w:ascii="Times New Roman" w:hAnsi="Times New Roman" w:cs="Times New Roman"/>
          <w:sz w:val="22"/>
          <w:szCs w:val="22"/>
        </w:rPr>
      </w:pPr>
    </w:p>
    <w:p w14:paraId="4663E372" w14:textId="7DE354F6"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a) </w:t>
      </w:r>
      <w:r w:rsidR="00A9746B">
        <w:rPr>
          <w:rStyle w:val="y2iqfc"/>
          <w:rFonts w:ascii="Times New Roman" w:eastAsiaTheme="majorEastAsia" w:hAnsi="Times New Roman" w:cs="Times New Roman"/>
          <w:sz w:val="22"/>
          <w:szCs w:val="22"/>
          <w:lang w:val="en"/>
        </w:rPr>
        <w:t xml:space="preserve"> The r</w:t>
      </w:r>
      <w:r w:rsidRPr="00CC183D">
        <w:rPr>
          <w:rStyle w:val="y2iqfc"/>
          <w:rFonts w:ascii="Times New Roman" w:eastAsiaTheme="majorEastAsia" w:hAnsi="Times New Roman" w:cs="Times New Roman"/>
          <w:sz w:val="22"/>
          <w:szCs w:val="22"/>
          <w:lang w:val="en"/>
        </w:rPr>
        <w:t>elationship between age and community participation in agroforestry rehabilitation activities</w:t>
      </w:r>
    </w:p>
    <w:p w14:paraId="01197338"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 was 0.00 in the planning stage and -0.010 in the implementation stage, indicating no or weak correlation in the planning stage and a negative correlation in the implementation stage of community empowerment activities. This indicates that the age of community members participating in activities in the area, both productive and non-productive age groups, is receptive to community empowerment activities. This is because the majority of respondents from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community are relatively homogeneous, with 94.3% being of productive/working age (15-55 years). This is consistent with research conducted by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in </w:t>
      </w:r>
      <w:proofErr w:type="spellStart"/>
      <w:r w:rsidRPr="00CC183D">
        <w:rPr>
          <w:rStyle w:val="y2iqfc"/>
          <w:rFonts w:ascii="Times New Roman" w:eastAsiaTheme="majorEastAsia" w:hAnsi="Times New Roman" w:cs="Times New Roman"/>
          <w:sz w:val="22"/>
          <w:szCs w:val="22"/>
          <w:lang w:val="en"/>
        </w:rPr>
        <w:t>Layana</w:t>
      </w:r>
      <w:proofErr w:type="spellEnd"/>
      <w:r w:rsidRPr="00CC183D">
        <w:rPr>
          <w:rStyle w:val="y2iqfc"/>
          <w:rFonts w:ascii="Times New Roman" w:eastAsiaTheme="majorEastAsia" w:hAnsi="Times New Roman" w:cs="Times New Roman"/>
          <w:sz w:val="22"/>
          <w:szCs w:val="22"/>
          <w:lang w:val="en"/>
        </w:rPr>
        <w:t xml:space="preserve"> Village, Central Sulawesi, which showed no significant correlation between age and participation levels in the planning and implementation stages, as the majority of the community is also of productive age (&gt;90%). According to the Demographic Institute of the University of Indonesia (2004), the workforce is defined as the working-age population, which in the literature is usually the entire population aged 15-64 years.</w:t>
      </w:r>
    </w:p>
    <w:p w14:paraId="209E1C11"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b) The relationship between education level and community participation in agroforestry rehabilitation activities.</w:t>
      </w:r>
    </w:p>
    <w:p w14:paraId="6CA7856D"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 was -0.082 in the planning stage and -0.247 in the implementation stage. This indicates that respondents' education level has a significant relationship with the level of community empowerment through agroforestry rehabilitation during the implementation stage. The lower the education level, the higher the level of participation in community empowerment activities through agroforestry rehabilitation. This is in line with the results of research by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which showed that at the planning stage, education level has a significant relationship with community participation. This means that the higher the respondent's education level, the higher the community participation during the planning stage. However, in the planning stage, education level did not significantly influence community participation because community involvement was not directly involved in the planning process; in other words, the planning was carried out by the BDK.</w:t>
      </w:r>
    </w:p>
    <w:p w14:paraId="70EC0FCE" w14:textId="441F757C"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number of family members and the level of community participation in agroforestry rehabilitation activities.</w:t>
      </w:r>
    </w:p>
    <w:p w14:paraId="2B275796" w14:textId="031B32D6"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lastRenderedPageBreak/>
        <w:t xml:space="preserve">The correlation coefficient value was 0.187 in the planning stage and 0.062 in the implementation stage. The correlation coefficient values ​​for the number of family members were not significantly related to the level of community participation in agroforestry rehabilitation. This contrasts with the results of research conducted by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which showed that the number of family members significantly influenced the level of community participation during the implementation stage. Field conditions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illustrate that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regardless of the number of family members, people are still willing to participate in these activities because, essentially, all members of the community benefit from the results of agroforestry activities. This is also influenced by the closeness of family ties within the community, so that all activities related to land management are always carried out through a cooperation system. This indicates that the number of dependents in the family does not influence the level of community participation during the implementation stage; the labor force is provided by the parents and children only occasionally.</w:t>
      </w:r>
    </w:p>
    <w:p w14:paraId="354F5859"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d) The relationship between plant species selection and community participation in agroforestry rehabilitation activities.</w:t>
      </w:r>
    </w:p>
    <w:p w14:paraId="3FFD2A7F" w14:textId="73D4F241"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of 0.060 in the planning stage and -0.032 in the implementation stage indicates that the variable of plant species selection has no or weak correlation and h</w:t>
      </w:r>
      <w:r w:rsidR="00DC15C8" w:rsidRPr="00CC183D">
        <w:rPr>
          <w:rStyle w:val="y2iqfc"/>
          <w:rFonts w:ascii="Times New Roman" w:eastAsiaTheme="majorEastAsia" w:hAnsi="Times New Roman" w:cs="Times New Roman"/>
          <w:sz w:val="22"/>
          <w:szCs w:val="22"/>
          <w:lang w:val="en"/>
        </w:rPr>
        <w:t>urts</w:t>
      </w:r>
      <w:r w:rsidRPr="00CC183D">
        <w:rPr>
          <w:rStyle w:val="y2iqfc"/>
          <w:rFonts w:ascii="Times New Roman" w:eastAsiaTheme="majorEastAsia" w:hAnsi="Times New Roman" w:cs="Times New Roman"/>
          <w:sz w:val="22"/>
          <w:szCs w:val="22"/>
          <w:lang w:val="en"/>
        </w:rPr>
        <w:t xml:space="preserve"> community empowerment through agroforestry rehabilitation implementation. This indicates that regardless of the type of plant planned for planting or the planting process, there is no resistance because they fundamentally believe that the government will provide profitable crops and will not provide crops that create problems.</w:t>
      </w:r>
    </w:p>
    <w:p w14:paraId="5298A308" w14:textId="77777777" w:rsidR="00746B98" w:rsidRPr="00CC183D" w:rsidRDefault="00746B98" w:rsidP="00746B98">
      <w:pPr>
        <w:pStyle w:val="HTMLPreformatted"/>
        <w:ind w:left="426" w:hanging="426"/>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e) Relationship between workforce and community participation in agroforestry rehabilitation activities</w:t>
      </w:r>
    </w:p>
    <w:p w14:paraId="44B346E4" w14:textId="078443AE"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0.116 in the planning stage and 0.055 in the implementation stage indicates that the number of workers has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relationship with the level of community empowerment through agroforestry rehabilitation. This suggests that agroforestry activities can also be carried out collaboratively, based on the principle of cooperation between farmer groups, in stages, thus eliminating the need for family labor. On the other hand, they may also assume that agroforestry is easier to do alone without assistance. This contrasts with the results of research by </w:t>
      </w:r>
      <w:proofErr w:type="spellStart"/>
      <w:r w:rsidRPr="00CC183D">
        <w:rPr>
          <w:rStyle w:val="y2iqfc"/>
          <w:rFonts w:ascii="Times New Roman" w:eastAsiaTheme="majorEastAsia" w:hAnsi="Times New Roman" w:cs="Times New Roman"/>
          <w:sz w:val="22"/>
          <w:szCs w:val="22"/>
          <w:lang w:val="en"/>
        </w:rPr>
        <w:t>Trison</w:t>
      </w:r>
      <w:proofErr w:type="spellEnd"/>
      <w:r w:rsidRPr="00CC183D">
        <w:rPr>
          <w:rStyle w:val="y2iqfc"/>
          <w:rFonts w:ascii="Times New Roman" w:eastAsiaTheme="majorEastAsia" w:hAnsi="Times New Roman" w:cs="Times New Roman"/>
          <w:sz w:val="22"/>
          <w:szCs w:val="22"/>
          <w:lang w:val="en"/>
        </w:rPr>
        <w:t xml:space="preserve"> (2005), which showed that the number of workers significantly influences community participation. This means that a greater number of workers involved in activities will increase the level of participation in the implementation of activities, as observed by the </w:t>
      </w:r>
      <w:proofErr w:type="spellStart"/>
      <w:r w:rsidRPr="00CC183D">
        <w:rPr>
          <w:rStyle w:val="y2iqfc"/>
          <w:rFonts w:ascii="Times New Roman" w:eastAsiaTheme="majorEastAsia" w:hAnsi="Times New Roman" w:cs="Times New Roman"/>
          <w:sz w:val="22"/>
          <w:szCs w:val="22"/>
          <w:lang w:val="en"/>
        </w:rPr>
        <w:t>Hegarmanah</w:t>
      </w:r>
      <w:proofErr w:type="spellEnd"/>
      <w:r w:rsidRPr="00CC183D">
        <w:rPr>
          <w:rStyle w:val="y2iqfc"/>
          <w:rFonts w:ascii="Times New Roman" w:eastAsiaTheme="majorEastAsia" w:hAnsi="Times New Roman" w:cs="Times New Roman"/>
          <w:sz w:val="22"/>
          <w:szCs w:val="22"/>
          <w:lang w:val="en"/>
        </w:rPr>
        <w:t xml:space="preserve"> Village community, where each task requires more than two people.</w:t>
      </w:r>
    </w:p>
    <w:p w14:paraId="5A4E6586" w14:textId="395D0205"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cultivated land area and community participation level in agroforestry rehabilitation activities. </w:t>
      </w:r>
    </w:p>
    <w:p w14:paraId="315DFE80" w14:textId="5EA25899" w:rsidR="0085227F" w:rsidRPr="0085227F" w:rsidRDefault="0085227F" w:rsidP="0085227F">
      <w:pPr>
        <w:pStyle w:val="HTMLPreformatted"/>
        <w:ind w:firstLine="567"/>
        <w:jc w:val="both"/>
        <w:rPr>
          <w:rFonts w:ascii="Times New Roman" w:hAnsi="Times New Roman" w:cs="Times New Roman"/>
          <w:sz w:val="22"/>
          <w:szCs w:val="22"/>
        </w:rPr>
      </w:pPr>
      <w:r w:rsidRPr="00C4228D">
        <w:rPr>
          <w:rStyle w:val="y2iqfc"/>
          <w:rFonts w:ascii="Times New Roman" w:eastAsiaTheme="majorEastAsia" w:hAnsi="Times New Roman" w:cs="Times New Roman"/>
          <w:sz w:val="22"/>
          <w:szCs w:val="22"/>
          <w:lang w:val="en"/>
        </w:rPr>
        <w:t xml:space="preserve">The correlation coefficient value of 0.241 at the planning stage and 0.190 at the implementation stage indicates that the variable of land management area has a significant relationship with the level of community empowerment through agroforestry rehabilitation patterns at the planning stage. Most communities control fairly large cultivated land, 2-10 ha.   The results of this study differ from the results of research reported by </w:t>
      </w:r>
      <w:proofErr w:type="spellStart"/>
      <w:r w:rsidRPr="00C4228D">
        <w:rPr>
          <w:rStyle w:val="y2iqfc"/>
          <w:rFonts w:ascii="Times New Roman" w:eastAsiaTheme="majorEastAsia" w:hAnsi="Times New Roman" w:cs="Times New Roman"/>
          <w:sz w:val="22"/>
          <w:szCs w:val="22"/>
          <w:lang w:val="en"/>
        </w:rPr>
        <w:t>Trison</w:t>
      </w:r>
      <w:proofErr w:type="spellEnd"/>
      <w:r w:rsidRPr="00C4228D">
        <w:rPr>
          <w:rStyle w:val="y2iqfc"/>
          <w:rFonts w:ascii="Times New Roman" w:eastAsiaTheme="majorEastAsia" w:hAnsi="Times New Roman" w:cs="Times New Roman"/>
          <w:sz w:val="22"/>
          <w:szCs w:val="22"/>
          <w:lang w:val="en"/>
        </w:rPr>
        <w:t xml:space="preserve"> (2005) and </w:t>
      </w:r>
      <w:proofErr w:type="spellStart"/>
      <w:r w:rsidRPr="00C4228D">
        <w:rPr>
          <w:rStyle w:val="y2iqfc"/>
          <w:rFonts w:ascii="Times New Roman" w:eastAsiaTheme="majorEastAsia" w:hAnsi="Times New Roman" w:cs="Times New Roman"/>
          <w:sz w:val="22"/>
          <w:szCs w:val="22"/>
          <w:lang w:val="en"/>
        </w:rPr>
        <w:t>Muis</w:t>
      </w:r>
      <w:proofErr w:type="spellEnd"/>
      <w:r w:rsidRPr="00C4228D">
        <w:rPr>
          <w:rStyle w:val="y2iqfc"/>
          <w:rFonts w:ascii="Times New Roman" w:eastAsiaTheme="majorEastAsia" w:hAnsi="Times New Roman" w:cs="Times New Roman"/>
          <w:sz w:val="22"/>
          <w:szCs w:val="22"/>
          <w:lang w:val="en"/>
        </w:rPr>
        <w:t xml:space="preserve"> (2007), which concluded that the area of ​​cultivated land does not affect the level of participation in the planning and implementation stages. This is because each community controls an area of ​​land of 0.5-2.5 ha.  The size of the cultivated land owned influences a person's choice of attitude in deciding to allocate part of their land for planting trees. Narrow land is more likely to be used for food crops or cash crops rather than trees (</w:t>
      </w:r>
      <w:proofErr w:type="spellStart"/>
      <w:r w:rsidRPr="00C4228D">
        <w:rPr>
          <w:rStyle w:val="y2iqfc"/>
          <w:rFonts w:ascii="Times New Roman" w:eastAsiaTheme="majorEastAsia" w:hAnsi="Times New Roman" w:cs="Times New Roman"/>
          <w:sz w:val="22"/>
          <w:szCs w:val="22"/>
          <w:lang w:val="en"/>
        </w:rPr>
        <w:t>Suharjito</w:t>
      </w:r>
      <w:proofErr w:type="spellEnd"/>
      <w:r w:rsidRPr="00C4228D">
        <w:rPr>
          <w:rStyle w:val="y2iqfc"/>
          <w:rFonts w:ascii="Times New Roman" w:eastAsiaTheme="majorEastAsia" w:hAnsi="Times New Roman" w:cs="Times New Roman"/>
          <w:sz w:val="22"/>
          <w:szCs w:val="22"/>
          <w:lang w:val="en"/>
        </w:rPr>
        <w:t xml:space="preserve"> et al, 2003).</w:t>
      </w:r>
    </w:p>
    <w:p w14:paraId="27B75569" w14:textId="77777777" w:rsidR="0085227F" w:rsidRDefault="0085227F" w:rsidP="00746B98">
      <w:pPr>
        <w:pStyle w:val="HTMLPreformatted"/>
        <w:ind w:firstLine="567"/>
        <w:jc w:val="both"/>
        <w:rPr>
          <w:rStyle w:val="y2iqfc"/>
          <w:rFonts w:ascii="Times New Roman" w:eastAsiaTheme="majorEastAsia" w:hAnsi="Times New Roman" w:cs="Times New Roman"/>
          <w:sz w:val="22"/>
          <w:szCs w:val="22"/>
          <w:lang w:val="en"/>
        </w:rPr>
      </w:pPr>
    </w:p>
    <w:p w14:paraId="070C4363" w14:textId="6DB48C8C"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BDK proximity and community participation in agroforestry rehabilitation activities</w:t>
      </w:r>
    </w:p>
    <w:p w14:paraId="7C81E6F5" w14:textId="17E17ABA" w:rsidR="00746B98" w:rsidRPr="00CC183D" w:rsidRDefault="00746B98" w:rsidP="00746B98">
      <w:pPr>
        <w:pStyle w:val="HTMLPreformatted"/>
        <w:ind w:firstLine="567"/>
        <w:jc w:val="both"/>
        <w:rPr>
          <w:rFonts w:ascii="Times New Roman" w:hAnsi="Times New Roman" w:cs="Times New Roman"/>
          <w:sz w:val="22"/>
          <w:szCs w:val="22"/>
        </w:rPr>
      </w:pPr>
      <w:r w:rsidRPr="00C4228D">
        <w:rPr>
          <w:rStyle w:val="y2iqfc"/>
          <w:rFonts w:ascii="Times New Roman" w:eastAsiaTheme="majorEastAsia" w:hAnsi="Times New Roman" w:cs="Times New Roman"/>
          <w:sz w:val="22"/>
          <w:szCs w:val="22"/>
          <w:lang w:val="en"/>
        </w:rPr>
        <w:t xml:space="preserve">The correlation coefficient of </w:t>
      </w:r>
      <w:r w:rsidR="00480F04" w:rsidRPr="00C4228D">
        <w:rPr>
          <w:rStyle w:val="y2iqfc"/>
          <w:rFonts w:ascii="Times New Roman" w:eastAsiaTheme="majorEastAsia" w:hAnsi="Times New Roman" w:cs="Times New Roman"/>
          <w:sz w:val="22"/>
          <w:szCs w:val="22"/>
          <w:lang w:val="en"/>
        </w:rPr>
        <w:t>-</w:t>
      </w:r>
      <w:r w:rsidRPr="00C4228D">
        <w:rPr>
          <w:rStyle w:val="y2iqfc"/>
          <w:rFonts w:ascii="Times New Roman" w:eastAsiaTheme="majorEastAsia" w:hAnsi="Times New Roman" w:cs="Times New Roman"/>
          <w:sz w:val="22"/>
          <w:szCs w:val="22"/>
          <w:lang w:val="en"/>
        </w:rPr>
        <w:t xml:space="preserve">0.264 in the planning stage and </w:t>
      </w:r>
      <w:r w:rsidR="00480F04" w:rsidRPr="00C4228D">
        <w:rPr>
          <w:rStyle w:val="y2iqfc"/>
          <w:rFonts w:ascii="Times New Roman" w:eastAsiaTheme="majorEastAsia" w:hAnsi="Times New Roman" w:cs="Times New Roman"/>
          <w:sz w:val="22"/>
          <w:szCs w:val="22"/>
          <w:lang w:val="en"/>
        </w:rPr>
        <w:t>-</w:t>
      </w:r>
      <w:r w:rsidRPr="00C4228D">
        <w:rPr>
          <w:rStyle w:val="y2iqfc"/>
          <w:rFonts w:ascii="Times New Roman" w:eastAsiaTheme="majorEastAsia" w:hAnsi="Times New Roman" w:cs="Times New Roman"/>
          <w:sz w:val="22"/>
          <w:szCs w:val="22"/>
          <w:lang w:val="en"/>
        </w:rPr>
        <w:t xml:space="preserve">0.278 in the implementation stage indicates that proximity to the BDK is </w:t>
      </w:r>
      <w:r w:rsidR="00480F04" w:rsidRPr="00C4228D">
        <w:rPr>
          <w:rStyle w:val="y2iqfc"/>
          <w:rFonts w:ascii="Times New Roman" w:eastAsiaTheme="majorEastAsia" w:hAnsi="Times New Roman" w:cs="Times New Roman"/>
          <w:sz w:val="22"/>
          <w:szCs w:val="22"/>
          <w:lang w:val="en"/>
        </w:rPr>
        <w:t>negati</w:t>
      </w:r>
      <w:r w:rsidR="0085227F" w:rsidRPr="00C4228D">
        <w:rPr>
          <w:rStyle w:val="y2iqfc"/>
          <w:rFonts w:ascii="Times New Roman" w:eastAsiaTheme="majorEastAsia" w:hAnsi="Times New Roman" w:cs="Times New Roman"/>
          <w:sz w:val="22"/>
          <w:szCs w:val="22"/>
          <w:lang w:val="en"/>
        </w:rPr>
        <w:t>v</w:t>
      </w:r>
      <w:r w:rsidR="00480F04" w:rsidRPr="00C4228D">
        <w:rPr>
          <w:rStyle w:val="y2iqfc"/>
          <w:rFonts w:ascii="Times New Roman" w:eastAsiaTheme="majorEastAsia" w:hAnsi="Times New Roman" w:cs="Times New Roman"/>
          <w:sz w:val="22"/>
          <w:szCs w:val="22"/>
          <w:lang w:val="en"/>
        </w:rPr>
        <w:t>ely</w:t>
      </w:r>
      <w:r w:rsidRPr="00C4228D">
        <w:rPr>
          <w:rStyle w:val="y2iqfc"/>
          <w:rFonts w:ascii="Times New Roman" w:eastAsiaTheme="majorEastAsia" w:hAnsi="Times New Roman" w:cs="Times New Roman"/>
          <w:sz w:val="22"/>
          <w:szCs w:val="22"/>
          <w:lang w:val="en"/>
        </w:rPr>
        <w:t xml:space="preserve"> (significantly)</w:t>
      </w:r>
      <w:r w:rsidRPr="00CC183D">
        <w:rPr>
          <w:rStyle w:val="y2iqfc"/>
          <w:rFonts w:ascii="Times New Roman" w:eastAsiaTheme="majorEastAsia" w:hAnsi="Times New Roman" w:cs="Times New Roman"/>
          <w:sz w:val="22"/>
          <w:szCs w:val="22"/>
          <w:lang w:val="en"/>
        </w:rPr>
        <w:t xml:space="preserve"> correlated with the level of community empowerment through agroforestry rehabilitation at both the planning and implementation stages. This could mean that the BDK's lack of engagement with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can make community empowerment activities difficult to implement. Without prior knowledge, people will be apathetic and uninterested. According to </w:t>
      </w:r>
      <w:proofErr w:type="spellStart"/>
      <w:r w:rsidRPr="00CC183D">
        <w:rPr>
          <w:rStyle w:val="y2iqfc"/>
          <w:rFonts w:ascii="Times New Roman" w:eastAsiaTheme="majorEastAsia" w:hAnsi="Times New Roman" w:cs="Times New Roman"/>
          <w:sz w:val="22"/>
          <w:szCs w:val="22"/>
          <w:lang w:val="en"/>
        </w:rPr>
        <w:t>Kairan</w:t>
      </w:r>
      <w:proofErr w:type="spellEnd"/>
      <w:r w:rsidRPr="00CC183D">
        <w:rPr>
          <w:rStyle w:val="y2iqfc"/>
          <w:rFonts w:ascii="Times New Roman" w:eastAsiaTheme="majorEastAsia" w:hAnsi="Times New Roman" w:cs="Times New Roman"/>
          <w:sz w:val="22"/>
          <w:szCs w:val="22"/>
          <w:lang w:val="en"/>
        </w:rPr>
        <w:t xml:space="preserve"> (2010), closeness between the facilitator and the community is crucial for </w:t>
      </w:r>
      <w:r w:rsidR="00DC15C8" w:rsidRPr="00CC183D">
        <w:rPr>
          <w:rStyle w:val="y2iqfc"/>
          <w:rFonts w:ascii="Times New Roman" w:eastAsiaTheme="majorEastAsia" w:hAnsi="Times New Roman" w:cs="Times New Roman"/>
          <w:sz w:val="22"/>
          <w:szCs w:val="22"/>
          <w:lang w:val="en"/>
        </w:rPr>
        <w:t>assisting</w:t>
      </w:r>
      <w:r w:rsidRPr="00CC183D">
        <w:rPr>
          <w:rStyle w:val="y2iqfc"/>
          <w:rFonts w:ascii="Times New Roman" w:eastAsiaTheme="majorEastAsia" w:hAnsi="Times New Roman" w:cs="Times New Roman"/>
          <w:sz w:val="22"/>
          <w:szCs w:val="22"/>
          <w:lang w:val="en"/>
        </w:rPr>
        <w:t>, as rural community development often fails because officers only visit for a few short visits when necessary and then leave the village and community.</w:t>
      </w:r>
    </w:p>
    <w:p w14:paraId="20DEA133"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h) Relationship between income level and community participation in agroforestry rehabilitation activities</w:t>
      </w:r>
    </w:p>
    <w:p w14:paraId="17DAF800"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of 0.361 at the planning stage and 0.272 at the implementation stage indicates a significant positive correlation between income level and community empowerment through agroforestry rehabilitation during the planning and implementation stages. This means that higher income leads to increased participation in rehabilitation activities, as income level is closely related to a person's social standing. </w:t>
      </w:r>
      <w:proofErr w:type="spellStart"/>
      <w:r w:rsidRPr="00CC183D">
        <w:rPr>
          <w:rStyle w:val="y2iqfc"/>
          <w:rFonts w:ascii="Times New Roman" w:eastAsiaTheme="majorEastAsia" w:hAnsi="Times New Roman" w:cs="Times New Roman"/>
          <w:sz w:val="22"/>
          <w:szCs w:val="22"/>
          <w:lang w:val="en"/>
        </w:rPr>
        <w:t>Slamet</w:t>
      </w:r>
      <w:proofErr w:type="spellEnd"/>
      <w:r w:rsidRPr="00CC183D">
        <w:rPr>
          <w:rStyle w:val="y2iqfc"/>
          <w:rFonts w:ascii="Times New Roman" w:eastAsiaTheme="majorEastAsia" w:hAnsi="Times New Roman" w:cs="Times New Roman"/>
          <w:sz w:val="22"/>
          <w:szCs w:val="22"/>
          <w:lang w:val="en"/>
        </w:rPr>
        <w:t xml:space="preserve"> (1989) stated that social status is influenced by occupation, education level, and income. Those with higher social status are more involved in the planning and implementation processes. This is in line with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who stated that income level and community participation have a significant relationship during the planning stage. This means that higher income levels lead to higher community participation in planning. This was observed in </w:t>
      </w:r>
      <w:proofErr w:type="spellStart"/>
      <w:r w:rsidRPr="00CC183D">
        <w:rPr>
          <w:rStyle w:val="y2iqfc"/>
          <w:rFonts w:ascii="Times New Roman" w:eastAsiaTheme="majorEastAsia" w:hAnsi="Times New Roman" w:cs="Times New Roman"/>
          <w:sz w:val="22"/>
          <w:szCs w:val="22"/>
          <w:lang w:val="en"/>
        </w:rPr>
        <w:t>Lambara</w:t>
      </w:r>
      <w:proofErr w:type="spellEnd"/>
      <w:r w:rsidRPr="00CC183D">
        <w:rPr>
          <w:rStyle w:val="y2iqfc"/>
          <w:rFonts w:ascii="Times New Roman" w:eastAsiaTheme="majorEastAsia" w:hAnsi="Times New Roman" w:cs="Times New Roman"/>
          <w:sz w:val="22"/>
          <w:szCs w:val="22"/>
          <w:lang w:val="en"/>
        </w:rPr>
        <w:t>, where respondents' income levels placed them in a higher and more respected social position.</w:t>
      </w:r>
    </w:p>
    <w:p w14:paraId="0E5CA121" w14:textId="09C5A6A8"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Knowledge of Agroforestry Rehabilitation and the Level of Community Participation in Agroforestry Rehabilitation Activities</w:t>
      </w:r>
    </w:p>
    <w:p w14:paraId="2241D0B4" w14:textId="7E973087"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0.200 in the planning stage and 0.132 in the implementation stage indicates that knowledge of agroforestry rehabilitation has no correlation in implementation and planning with the level of community empowerment through agroforestry rehabilitation. This indicates that the community lacks sufficient knowledge about agroforestry rehabilitation programs. However, they could participate if the government could reassure them about rehabilitation activities and provide solutions through awareness-raising activities, thus encouraging the government's active role in mobilizing the community. According to </w:t>
      </w:r>
      <w:proofErr w:type="spellStart"/>
      <w:r w:rsidRPr="00CC183D">
        <w:rPr>
          <w:rStyle w:val="y2iqfc"/>
          <w:rFonts w:ascii="Times New Roman" w:eastAsiaTheme="majorEastAsia" w:hAnsi="Times New Roman" w:cs="Times New Roman"/>
          <w:sz w:val="22"/>
          <w:szCs w:val="22"/>
          <w:lang w:val="en"/>
        </w:rPr>
        <w:t>Slamet</w:t>
      </w:r>
      <w:proofErr w:type="spellEnd"/>
      <w:r w:rsidRPr="00CC183D">
        <w:rPr>
          <w:rStyle w:val="y2iqfc"/>
          <w:rFonts w:ascii="Times New Roman" w:eastAsiaTheme="majorEastAsia" w:hAnsi="Times New Roman" w:cs="Times New Roman"/>
          <w:sz w:val="22"/>
          <w:szCs w:val="22"/>
          <w:lang w:val="en"/>
        </w:rPr>
        <w:t xml:space="preserve"> (1992), the level of community participation in development is influenced by many interacting factors. Generally, education, skills, experience, and availability of capital are reflected in the level of education, mental attitude, and skills.</w:t>
      </w:r>
    </w:p>
    <w:p w14:paraId="5DF2AF59" w14:textId="77777777" w:rsidR="00746B98" w:rsidRPr="00CC183D" w:rsidRDefault="00746B98" w:rsidP="00A9746B">
      <w:pPr>
        <w:pStyle w:val="HTMLPreformatted"/>
        <w:ind w:left="284" w:hanging="284"/>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j) The relationship between cosmopolitanism and community participation in agroforestry rehabilitation activities</w:t>
      </w:r>
    </w:p>
    <w:p w14:paraId="423DC7F7"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values ​​of 0.041 in the planning stage and 0.072 in the implementation stage indicate that the cosmopolitan variable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has a weak correlation with the level of community empowerment in agroforestry rehabilitation during the planning and implementation stages. This is evident in the community's generally low level of education, resulting in a low desire to seek information about rehabilitation activities. In other words, the community tends to only accept information as it comes (passively). According to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internal factors such as cosmopolitanism correlate positively with community participation at the planning and implementation stages. This indicates that the higher the cosmopolitanism, the higher the level of participation during the planning and implementation stages. This is strongly influenced by differences in community characteristics, requiring efforts from other parties, such as community leaders, facilitators, support staff, and the implementing parties themselves, to disseminate information related to the innovation adoption process and community diffusion in rehabilitation activities.</w:t>
      </w:r>
    </w:p>
    <w:p w14:paraId="62B00577" w14:textId="27E177EA" w:rsidR="00746B98" w:rsidRPr="00CC183D" w:rsidRDefault="00746B98" w:rsidP="00746B98">
      <w:pPr>
        <w:pStyle w:val="HTMLPreformatted"/>
        <w:ind w:left="567" w:hanging="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k)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Side Jobs and Community Participation in Agroforestry Rehabilitation</w:t>
      </w:r>
    </w:p>
    <w:p w14:paraId="7B25A339" w14:textId="092D9F69"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-0.007 in the planning stage and -0.096 in the implementation stage indicates that side jobs have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and negative relationship with planning and implementation activities related to community empowerment through agroforestry rehabilitation. This suggests that any side job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will not impact community empowerment activities because they can strategize to implement both the side job and the rehabilitation activities themselves. Furthermore, the side jobs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are secondary. These results align with research by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that found that side jobs do not affect participation levels, as most residents have temporary or seasonal side jobs, allowing them to still have free time to participate in activities.</w:t>
      </w:r>
    </w:p>
    <w:p w14:paraId="61B12A9C" w14:textId="135F5B86" w:rsidR="00746B98" w:rsidRPr="00CC183D" w:rsidRDefault="00EE26EE" w:rsidP="00A9746B">
      <w:pPr>
        <w:pStyle w:val="HTMLPreformatted"/>
        <w:ind w:left="284" w:hanging="284"/>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I</w:t>
      </w:r>
      <w:r w:rsidR="00746B98"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00746B98" w:rsidRPr="00CC183D">
        <w:rPr>
          <w:rStyle w:val="y2iqfc"/>
          <w:rFonts w:ascii="Times New Roman" w:eastAsiaTheme="majorEastAsia" w:hAnsi="Times New Roman" w:cs="Times New Roman"/>
          <w:sz w:val="22"/>
          <w:szCs w:val="22"/>
          <w:lang w:val="en"/>
        </w:rPr>
        <w:t>elationship between perceptions of rehabilitation activities and the level of community participation in agroforestry rehabilitation activities</w:t>
      </w:r>
    </w:p>
    <w:p w14:paraId="64BC9310"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 was 0.118 in the planning stage and -0.105 in the implementation stage. This indicates that perceptions of rehabilitation activities have no correlation with the level of participation in planning and implementation activities. This is because approximately 80% of the community is unaware of agroforestry rehabilitation activities. This contrasts with research conducted by </w:t>
      </w:r>
      <w:proofErr w:type="spellStart"/>
      <w:r w:rsidRPr="00CC183D">
        <w:rPr>
          <w:rStyle w:val="y2iqfc"/>
          <w:rFonts w:ascii="Times New Roman" w:eastAsiaTheme="majorEastAsia" w:hAnsi="Times New Roman" w:cs="Times New Roman"/>
          <w:sz w:val="22"/>
          <w:szCs w:val="22"/>
          <w:lang w:val="en"/>
        </w:rPr>
        <w:lastRenderedPageBreak/>
        <w:t>Muis</w:t>
      </w:r>
      <w:proofErr w:type="spellEnd"/>
      <w:r w:rsidRPr="00CC183D">
        <w:rPr>
          <w:rStyle w:val="y2iqfc"/>
          <w:rFonts w:ascii="Times New Roman" w:eastAsiaTheme="majorEastAsia" w:hAnsi="Times New Roman" w:cs="Times New Roman"/>
          <w:sz w:val="22"/>
          <w:szCs w:val="22"/>
          <w:lang w:val="en"/>
        </w:rPr>
        <w:t xml:space="preserve"> (2007) in </w:t>
      </w:r>
      <w:proofErr w:type="spellStart"/>
      <w:r w:rsidRPr="00CC183D">
        <w:rPr>
          <w:rStyle w:val="y2iqfc"/>
          <w:rFonts w:ascii="Times New Roman" w:eastAsiaTheme="majorEastAsia" w:hAnsi="Times New Roman" w:cs="Times New Roman"/>
          <w:sz w:val="22"/>
          <w:szCs w:val="22"/>
          <w:lang w:val="en"/>
        </w:rPr>
        <w:t>Layana</w:t>
      </w:r>
      <w:proofErr w:type="spellEnd"/>
      <w:r w:rsidRPr="00CC183D">
        <w:rPr>
          <w:rStyle w:val="y2iqfc"/>
          <w:rFonts w:ascii="Times New Roman" w:eastAsiaTheme="majorEastAsia" w:hAnsi="Times New Roman" w:cs="Times New Roman"/>
          <w:sz w:val="22"/>
          <w:szCs w:val="22"/>
          <w:lang w:val="en"/>
        </w:rPr>
        <w:t xml:space="preserve"> Village in Central Sulawesi, which showed a significant correlation between perceptions and community participation levels in the planning and implementation stages. Therefore, future activities can be successful if the implementing party intensifies socialization, provides effective mentoring, training, and outreach, and improves perceptions of the activities.</w:t>
      </w:r>
    </w:p>
    <w:p w14:paraId="50BB65B9" w14:textId="227E322F"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m)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Intrinsic Motivation and Community Participation in Agroforestry Rehabilitation</w:t>
      </w:r>
    </w:p>
    <w:p w14:paraId="403A37C2" w14:textId="77777777" w:rsidR="00746B98"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values ​​of 0.248 in the planning stage and 0.239 in the implementation stage indicate that intrinsic variables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significantly correlate with the level of community empowerment through agroforestry rehabilitation at both the planning and implementation stages. This demonstrates that internal motivation significantly influences the planning and implementation of community empowerment activities using agroforestry. Without strong will and desire, activities will never be successful. The results showed that 42.8% of respondents' motivation to participate in rehabilitation activities was driven by a desire to improve their social status. </w:t>
      </w:r>
      <w:proofErr w:type="spellStart"/>
      <w:r w:rsidRPr="00CC183D">
        <w:rPr>
          <w:rStyle w:val="y2iqfc"/>
          <w:rFonts w:ascii="Times New Roman" w:eastAsiaTheme="majorEastAsia" w:hAnsi="Times New Roman" w:cs="Times New Roman"/>
          <w:sz w:val="22"/>
          <w:szCs w:val="22"/>
          <w:lang w:val="en"/>
        </w:rPr>
        <w:t>Trison</w:t>
      </w:r>
      <w:proofErr w:type="spellEnd"/>
      <w:r w:rsidRPr="00CC183D">
        <w:rPr>
          <w:rStyle w:val="y2iqfc"/>
          <w:rFonts w:ascii="Times New Roman" w:eastAsiaTheme="majorEastAsia" w:hAnsi="Times New Roman" w:cs="Times New Roman"/>
          <w:sz w:val="22"/>
          <w:szCs w:val="22"/>
          <w:lang w:val="en"/>
        </w:rPr>
        <w:t xml:space="preserve"> (2005) stated that internal factors in intrinsic motivation indicate that at both the planning and implementation stages, the higher the respondents' motivation, the higher the level of community participation.</w:t>
      </w:r>
    </w:p>
    <w:p w14:paraId="06901BDA" w14:textId="77777777" w:rsidR="00A9746B" w:rsidRPr="00CC183D" w:rsidRDefault="00A9746B" w:rsidP="00C4228D">
      <w:pPr>
        <w:pStyle w:val="HTMLPreformatted"/>
        <w:jc w:val="both"/>
        <w:rPr>
          <w:rFonts w:ascii="Times New Roman" w:hAnsi="Times New Roman" w:cs="Times New Roman"/>
          <w:sz w:val="22"/>
          <w:szCs w:val="22"/>
        </w:rPr>
      </w:pPr>
    </w:p>
    <w:p w14:paraId="037B9B4C"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n) The relationship between extrinsic motivation and community participation in agroforestry rehabilitation activities</w:t>
      </w:r>
    </w:p>
    <w:p w14:paraId="380151B5" w14:textId="584EB4AC" w:rsidR="00746B98"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 was -0.309 in the planning stage and -0.304 in the implementation stage. This indicates that extrinsic motivation significantly influences the level of community empowerment through agroforestry rehabilitation at both the planning and implementation stages. This suggests the need for external motivators for successful community empowerment.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stated that the level of extrinsic motivation and community participation ha</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 significant relationship at both the planning and implementation stages. This is because community motivation in activities is primarily driven by encouragement from family, friends, or laborers.</w:t>
      </w:r>
    </w:p>
    <w:p w14:paraId="0B881832" w14:textId="77777777" w:rsidR="007732B0" w:rsidRPr="00CC183D" w:rsidRDefault="007732B0" w:rsidP="00746B98">
      <w:pPr>
        <w:pStyle w:val="HTMLPreformatted"/>
        <w:ind w:firstLine="567"/>
        <w:jc w:val="both"/>
        <w:rPr>
          <w:rFonts w:ascii="Times New Roman" w:hAnsi="Times New Roman" w:cs="Times New Roman"/>
          <w:sz w:val="22"/>
          <w:szCs w:val="22"/>
        </w:rPr>
      </w:pPr>
    </w:p>
    <w:p w14:paraId="25585FE7" w14:textId="33F76AD0" w:rsidR="00DC15C8" w:rsidRPr="00BC29DE" w:rsidRDefault="00DC15C8" w:rsidP="00A9746B">
      <w:pPr>
        <w:pStyle w:val="HTMLPreformatted"/>
        <w:tabs>
          <w:tab w:val="clear" w:pos="916"/>
        </w:tabs>
        <w:ind w:left="567" w:hanging="567"/>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w:t>
      </w:r>
      <w:r w:rsidR="007732B0">
        <w:rPr>
          <w:rStyle w:val="y2iqfc"/>
          <w:rFonts w:ascii="Times New Roman" w:eastAsiaTheme="majorEastAsia" w:hAnsi="Times New Roman" w:cs="Times New Roman"/>
          <w:b/>
          <w:bCs/>
          <w:sz w:val="22"/>
          <w:szCs w:val="22"/>
          <w:lang w:val="en"/>
        </w:rPr>
        <w:t>2</w:t>
      </w:r>
      <w:r w:rsidRPr="00BC29DE">
        <w:rPr>
          <w:rStyle w:val="y2iqfc"/>
          <w:rFonts w:ascii="Times New Roman" w:eastAsiaTheme="majorEastAsia" w:hAnsi="Times New Roman" w:cs="Times New Roman"/>
          <w:b/>
          <w:bCs/>
          <w:sz w:val="22"/>
          <w:szCs w:val="22"/>
          <w:lang w:val="en"/>
        </w:rPr>
        <w:t xml:space="preserve">.2. </w:t>
      </w:r>
      <w:r w:rsidR="00A9746B" w:rsidRPr="00BC29DE">
        <w:rPr>
          <w:rStyle w:val="y2iqfc"/>
          <w:rFonts w:ascii="Times New Roman" w:eastAsiaTheme="majorEastAsia" w:hAnsi="Times New Roman" w:cs="Times New Roman"/>
          <w:b/>
          <w:bCs/>
          <w:sz w:val="22"/>
          <w:szCs w:val="22"/>
          <w:lang w:val="en"/>
        </w:rPr>
        <w:t>The r</w:t>
      </w:r>
      <w:r w:rsidRPr="00BC29DE">
        <w:rPr>
          <w:rStyle w:val="y2iqfc"/>
          <w:rFonts w:ascii="Times New Roman" w:eastAsiaTheme="majorEastAsia" w:hAnsi="Times New Roman" w:cs="Times New Roman"/>
          <w:b/>
          <w:bCs/>
          <w:sz w:val="22"/>
          <w:szCs w:val="22"/>
          <w:lang w:val="en"/>
        </w:rPr>
        <w:t>elationship between Respondents' External Factors and the Level of Community Participation in Agroforestry Rehabilitation Activities</w:t>
      </w:r>
    </w:p>
    <w:p w14:paraId="77F0FDA5" w14:textId="0B64A768"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external factors and the level of community empowerment indicates a degree of diversity in the relationship between external factors and the level of community empowerment, including planning and implementation.  The relationship between respondents' external factors and the level of community participation is presented in Table 6.</w:t>
      </w:r>
    </w:p>
    <w:p w14:paraId="6C74A396" w14:textId="77777777" w:rsidR="00DC15C8" w:rsidRPr="00CC183D" w:rsidRDefault="00DC15C8" w:rsidP="00EC6515">
      <w:pPr>
        <w:pStyle w:val="HTMLPreformatted"/>
        <w:ind w:left="851" w:hanging="851"/>
        <w:jc w:val="both"/>
        <w:rPr>
          <w:rFonts w:ascii="Times New Roman" w:hAnsi="Times New Roman" w:cs="Times New Roman"/>
          <w:sz w:val="22"/>
          <w:szCs w:val="22"/>
        </w:rPr>
      </w:pPr>
      <w:bookmarkStart w:id="0" w:name="_GoBack"/>
      <w:r w:rsidRPr="00CC183D">
        <w:rPr>
          <w:rStyle w:val="y2iqfc"/>
          <w:rFonts w:ascii="Times New Roman" w:eastAsiaTheme="majorEastAsia" w:hAnsi="Times New Roman" w:cs="Times New Roman"/>
          <w:sz w:val="22"/>
          <w:szCs w:val="22"/>
          <w:lang w:val="en"/>
        </w:rPr>
        <w:t>Table</w:t>
      </w:r>
      <w:bookmarkEnd w:id="0"/>
      <w:r w:rsidRPr="00CC183D">
        <w:rPr>
          <w:rStyle w:val="y2iqfc"/>
          <w:rFonts w:ascii="Times New Roman" w:eastAsiaTheme="majorEastAsia" w:hAnsi="Times New Roman" w:cs="Times New Roman"/>
          <w:sz w:val="22"/>
          <w:szCs w:val="22"/>
          <w:lang w:val="en"/>
        </w:rPr>
        <w:t xml:space="preserve"> 6. Correlation Coefficient between Respondents' External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TAHURA Forest</w:t>
      </w:r>
    </w:p>
    <w:tbl>
      <w:tblPr>
        <w:tblOverlap w:val="never"/>
        <w:tblW w:w="7954" w:type="dxa"/>
        <w:tblInd w:w="10" w:type="dxa"/>
        <w:tblLayout w:type="fixed"/>
        <w:tblCellMar>
          <w:left w:w="10" w:type="dxa"/>
          <w:right w:w="10" w:type="dxa"/>
        </w:tblCellMar>
        <w:tblLook w:val="04A0" w:firstRow="1" w:lastRow="0" w:firstColumn="1" w:lastColumn="0" w:noHBand="0" w:noVBand="1"/>
      </w:tblPr>
      <w:tblGrid>
        <w:gridCol w:w="514"/>
        <w:gridCol w:w="3744"/>
        <w:gridCol w:w="1843"/>
        <w:gridCol w:w="1853"/>
      </w:tblGrid>
      <w:tr w:rsidR="00DC15C8" w:rsidRPr="00CC183D" w14:paraId="1B16E739" w14:textId="77777777" w:rsidTr="00834953">
        <w:trPr>
          <w:trHeight w:hRule="exact" w:val="288"/>
        </w:trPr>
        <w:tc>
          <w:tcPr>
            <w:tcW w:w="514" w:type="dxa"/>
            <w:vMerge w:val="restart"/>
            <w:tcBorders>
              <w:top w:val="single" w:sz="4" w:space="0" w:color="auto"/>
              <w:left w:val="single" w:sz="4" w:space="0" w:color="auto"/>
            </w:tcBorders>
            <w:shd w:val="clear" w:color="auto" w:fill="FFFFFF"/>
            <w:vAlign w:val="center"/>
          </w:tcPr>
          <w:p w14:paraId="4BF63773"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No</w:t>
            </w:r>
          </w:p>
        </w:tc>
        <w:tc>
          <w:tcPr>
            <w:tcW w:w="3744" w:type="dxa"/>
            <w:vMerge w:val="restart"/>
            <w:tcBorders>
              <w:top w:val="single" w:sz="4" w:space="0" w:color="auto"/>
              <w:left w:val="single" w:sz="4" w:space="0" w:color="auto"/>
            </w:tcBorders>
            <w:shd w:val="clear" w:color="auto" w:fill="FFFFFF"/>
          </w:tcPr>
          <w:p w14:paraId="2D9C8AE7"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External Factors</w:t>
            </w:r>
          </w:p>
          <w:p w14:paraId="3FBA19AF" w14:textId="22C6544B"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696" w:type="dxa"/>
            <w:gridSpan w:val="2"/>
            <w:tcBorders>
              <w:top w:val="single" w:sz="4" w:space="0" w:color="auto"/>
              <w:left w:val="single" w:sz="4" w:space="0" w:color="auto"/>
              <w:right w:val="single" w:sz="4" w:space="0" w:color="auto"/>
            </w:tcBorders>
            <w:shd w:val="clear" w:color="auto" w:fill="FFFFFF"/>
            <w:vAlign w:val="bottom"/>
          </w:tcPr>
          <w:p w14:paraId="35B7008D" w14:textId="77777777" w:rsidR="00DC15C8" w:rsidRPr="00CC183D" w:rsidRDefault="00DC15C8" w:rsidP="00DC15C8">
            <w:pPr>
              <w:pStyle w:val="HTMLPreformatted"/>
              <w:framePr w:w="7954" w:h="3437" w:hSpace="36" w:wrap="notBeside" w:vAnchor="text" w:hAnchor="text" w:x="61" w:y="1"/>
              <w:jc w:val="center"/>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585A4BB3" w14:textId="7020CF20"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r>
      <w:tr w:rsidR="00DC15C8" w:rsidRPr="00CC183D" w14:paraId="74CF2775" w14:textId="77777777" w:rsidTr="00F05C84">
        <w:trPr>
          <w:trHeight w:hRule="exact" w:val="566"/>
        </w:trPr>
        <w:tc>
          <w:tcPr>
            <w:tcW w:w="514" w:type="dxa"/>
            <w:vMerge/>
            <w:tcBorders>
              <w:left w:val="single" w:sz="4" w:space="0" w:color="auto"/>
            </w:tcBorders>
            <w:shd w:val="clear" w:color="auto" w:fill="FFFFFF"/>
            <w:vAlign w:val="center"/>
          </w:tcPr>
          <w:p w14:paraId="58B13D5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744" w:type="dxa"/>
            <w:vMerge/>
            <w:tcBorders>
              <w:left w:val="single" w:sz="4" w:space="0" w:color="auto"/>
            </w:tcBorders>
            <w:shd w:val="clear" w:color="auto" w:fill="FFFFFF"/>
          </w:tcPr>
          <w:p w14:paraId="228AFEF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1843" w:type="dxa"/>
            <w:tcBorders>
              <w:top w:val="single" w:sz="4" w:space="0" w:color="auto"/>
              <w:left w:val="single" w:sz="4" w:space="0" w:color="auto"/>
            </w:tcBorders>
            <w:shd w:val="clear" w:color="auto" w:fill="FFFFFF"/>
          </w:tcPr>
          <w:p w14:paraId="492A688E" w14:textId="77777777" w:rsidR="00DC15C8" w:rsidRPr="00CC183D" w:rsidRDefault="00DC15C8"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6BD0811" w14:textId="7AF9DE2F"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853" w:type="dxa"/>
            <w:tcBorders>
              <w:top w:val="single" w:sz="4" w:space="0" w:color="auto"/>
              <w:left w:val="single" w:sz="4" w:space="0" w:color="auto"/>
              <w:right w:val="single" w:sz="4" w:space="0" w:color="auto"/>
            </w:tcBorders>
            <w:shd w:val="clear" w:color="auto" w:fill="FFFFFF"/>
          </w:tcPr>
          <w:p w14:paraId="2E6E3DD0" w14:textId="77777777" w:rsidR="00480F04" w:rsidRPr="00C4228D" w:rsidRDefault="00480F04"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4228D">
              <w:rPr>
                <w:rStyle w:val="y2iqfc"/>
                <w:rFonts w:ascii="Times New Roman" w:hAnsi="Times New Roman" w:cs="Times New Roman"/>
                <w:lang w:val="en"/>
              </w:rPr>
              <w:t>Implementation</w:t>
            </w:r>
          </w:p>
          <w:p w14:paraId="1403E75A" w14:textId="23632AD0" w:rsidR="00DC15C8" w:rsidRPr="00CC183D" w:rsidRDefault="00480F04" w:rsidP="00DC15C8">
            <w:pPr>
              <w:framePr w:w="7954" w:h="3437" w:hSpace="36" w:wrap="notBeside" w:vAnchor="text" w:hAnchor="text" w:x="61" w:y="1"/>
              <w:spacing w:after="0" w:line="240" w:lineRule="auto"/>
              <w:jc w:val="center"/>
              <w:rPr>
                <w:rFonts w:ascii="Times New Roman" w:hAnsi="Times New Roman" w:cs="Times New Roman"/>
              </w:rPr>
            </w:pPr>
            <w:r w:rsidRPr="00C4228D">
              <w:rPr>
                <w:rStyle w:val="y2iqfc"/>
                <w:rFonts w:ascii="Times New Roman" w:hAnsi="Times New Roman" w:cs="Times New Roman"/>
                <w:lang w:val="en"/>
              </w:rPr>
              <w:t>Stage (Y2)</w:t>
            </w:r>
          </w:p>
        </w:tc>
      </w:tr>
      <w:tr w:rsidR="00DC15C8" w:rsidRPr="00CC183D" w14:paraId="250FE9E1"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4A29A372"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w:t>
            </w:r>
          </w:p>
        </w:tc>
        <w:tc>
          <w:tcPr>
            <w:tcW w:w="3744" w:type="dxa"/>
            <w:tcBorders>
              <w:top w:val="single" w:sz="4" w:space="0" w:color="auto"/>
              <w:left w:val="single" w:sz="4" w:space="0" w:color="auto"/>
            </w:tcBorders>
            <w:shd w:val="clear" w:color="auto" w:fill="FFFFFF"/>
          </w:tcPr>
          <w:p w14:paraId="3A7034A4" w14:textId="5C4A36C3"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Intensity of socialization</w:t>
            </w:r>
          </w:p>
        </w:tc>
        <w:tc>
          <w:tcPr>
            <w:tcW w:w="1843" w:type="dxa"/>
            <w:tcBorders>
              <w:top w:val="single" w:sz="4" w:space="0" w:color="auto"/>
              <w:left w:val="single" w:sz="4" w:space="0" w:color="auto"/>
            </w:tcBorders>
            <w:shd w:val="clear" w:color="auto" w:fill="FFFFFF"/>
            <w:vAlign w:val="bottom"/>
          </w:tcPr>
          <w:p w14:paraId="7DA04473"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0,077</w:t>
            </w:r>
          </w:p>
        </w:tc>
        <w:tc>
          <w:tcPr>
            <w:tcW w:w="1853" w:type="dxa"/>
            <w:tcBorders>
              <w:top w:val="single" w:sz="4" w:space="0" w:color="auto"/>
              <w:left w:val="single" w:sz="4" w:space="0" w:color="auto"/>
              <w:right w:val="single" w:sz="4" w:space="0" w:color="auto"/>
            </w:tcBorders>
            <w:shd w:val="clear" w:color="auto" w:fill="FFFFFF"/>
            <w:vAlign w:val="bottom"/>
          </w:tcPr>
          <w:p w14:paraId="086EFDEC"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0,014</w:t>
            </w:r>
          </w:p>
        </w:tc>
      </w:tr>
      <w:tr w:rsidR="00DC15C8" w:rsidRPr="00CC183D" w14:paraId="76CBB16E"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6E8C177B"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w:t>
            </w:r>
          </w:p>
        </w:tc>
        <w:tc>
          <w:tcPr>
            <w:tcW w:w="3744" w:type="dxa"/>
            <w:tcBorders>
              <w:top w:val="single" w:sz="4" w:space="0" w:color="auto"/>
              <w:left w:val="single" w:sz="4" w:space="0" w:color="auto"/>
            </w:tcBorders>
            <w:shd w:val="clear" w:color="auto" w:fill="FFFFFF"/>
          </w:tcPr>
          <w:p w14:paraId="0F6DB31C" w14:textId="459F0DF5"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Clarity of rights and obligations</w:t>
            </w:r>
          </w:p>
        </w:tc>
        <w:tc>
          <w:tcPr>
            <w:tcW w:w="1843" w:type="dxa"/>
            <w:tcBorders>
              <w:top w:val="single" w:sz="4" w:space="0" w:color="auto"/>
              <w:left w:val="single" w:sz="4" w:space="0" w:color="auto"/>
            </w:tcBorders>
            <w:shd w:val="clear" w:color="auto" w:fill="FFFFFF"/>
            <w:vAlign w:val="bottom"/>
          </w:tcPr>
          <w:p w14:paraId="7E7D028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0,314**</w:t>
            </w:r>
          </w:p>
        </w:tc>
        <w:tc>
          <w:tcPr>
            <w:tcW w:w="1853" w:type="dxa"/>
            <w:tcBorders>
              <w:top w:val="single" w:sz="4" w:space="0" w:color="auto"/>
              <w:left w:val="single" w:sz="4" w:space="0" w:color="auto"/>
              <w:right w:val="single" w:sz="4" w:space="0" w:color="auto"/>
            </w:tcBorders>
            <w:shd w:val="clear" w:color="auto" w:fill="FFFFFF"/>
            <w:vAlign w:val="bottom"/>
          </w:tcPr>
          <w:p w14:paraId="1CD6C83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0,424**</w:t>
            </w:r>
          </w:p>
        </w:tc>
      </w:tr>
      <w:tr w:rsidR="00DC15C8" w:rsidRPr="00CC183D" w14:paraId="53C39EAD"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7F62C5CA"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w:t>
            </w:r>
          </w:p>
        </w:tc>
        <w:tc>
          <w:tcPr>
            <w:tcW w:w="3744" w:type="dxa"/>
            <w:tcBorders>
              <w:top w:val="single" w:sz="4" w:space="0" w:color="auto"/>
              <w:left w:val="single" w:sz="4" w:space="0" w:color="auto"/>
            </w:tcBorders>
            <w:shd w:val="clear" w:color="auto" w:fill="FFFFFF"/>
          </w:tcPr>
          <w:p w14:paraId="0B4AC7E7" w14:textId="1F0BEC09"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Land distance</w:t>
            </w:r>
          </w:p>
        </w:tc>
        <w:tc>
          <w:tcPr>
            <w:tcW w:w="1843" w:type="dxa"/>
            <w:tcBorders>
              <w:top w:val="single" w:sz="4" w:space="0" w:color="auto"/>
              <w:left w:val="single" w:sz="4" w:space="0" w:color="auto"/>
            </w:tcBorders>
            <w:shd w:val="clear" w:color="auto" w:fill="FFFFFF"/>
            <w:vAlign w:val="bottom"/>
          </w:tcPr>
          <w:p w14:paraId="4EE3A39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0,380**</w:t>
            </w:r>
          </w:p>
        </w:tc>
        <w:tc>
          <w:tcPr>
            <w:tcW w:w="1853" w:type="dxa"/>
            <w:tcBorders>
              <w:top w:val="single" w:sz="4" w:space="0" w:color="auto"/>
              <w:left w:val="single" w:sz="4" w:space="0" w:color="auto"/>
              <w:right w:val="single" w:sz="4" w:space="0" w:color="auto"/>
            </w:tcBorders>
            <w:shd w:val="clear" w:color="auto" w:fill="FFFFFF"/>
            <w:vAlign w:val="bottom"/>
          </w:tcPr>
          <w:p w14:paraId="0E0793F4"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0,296*</w:t>
            </w:r>
          </w:p>
        </w:tc>
      </w:tr>
      <w:tr w:rsidR="00DC15C8" w:rsidRPr="00CC183D" w14:paraId="15400550"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2AB450B"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4</w:t>
            </w:r>
          </w:p>
        </w:tc>
        <w:tc>
          <w:tcPr>
            <w:tcW w:w="3744" w:type="dxa"/>
            <w:tcBorders>
              <w:top w:val="single" w:sz="4" w:space="0" w:color="auto"/>
              <w:left w:val="single" w:sz="4" w:space="0" w:color="auto"/>
            </w:tcBorders>
            <w:shd w:val="clear" w:color="auto" w:fill="FFFFFF"/>
          </w:tcPr>
          <w:p w14:paraId="4F846394" w14:textId="46A70FEF"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Soil fertility</w:t>
            </w:r>
          </w:p>
        </w:tc>
        <w:tc>
          <w:tcPr>
            <w:tcW w:w="1843" w:type="dxa"/>
            <w:tcBorders>
              <w:top w:val="single" w:sz="4" w:space="0" w:color="auto"/>
              <w:left w:val="single" w:sz="4" w:space="0" w:color="auto"/>
            </w:tcBorders>
            <w:shd w:val="clear" w:color="auto" w:fill="FFFFFF"/>
            <w:vAlign w:val="bottom"/>
          </w:tcPr>
          <w:p w14:paraId="24ED018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-0,003</w:t>
            </w:r>
          </w:p>
        </w:tc>
        <w:tc>
          <w:tcPr>
            <w:tcW w:w="1853" w:type="dxa"/>
            <w:tcBorders>
              <w:top w:val="single" w:sz="4" w:space="0" w:color="auto"/>
              <w:left w:val="single" w:sz="4" w:space="0" w:color="auto"/>
              <w:right w:val="single" w:sz="4" w:space="0" w:color="auto"/>
            </w:tcBorders>
            <w:shd w:val="clear" w:color="auto" w:fill="FFFFFF"/>
            <w:vAlign w:val="bottom"/>
          </w:tcPr>
          <w:p w14:paraId="33606CF0"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0,093</w:t>
            </w:r>
          </w:p>
        </w:tc>
      </w:tr>
      <w:tr w:rsidR="00DC15C8" w:rsidRPr="00CC183D" w14:paraId="13D63D20"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54188489"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5</w:t>
            </w:r>
          </w:p>
        </w:tc>
        <w:tc>
          <w:tcPr>
            <w:tcW w:w="3744" w:type="dxa"/>
            <w:tcBorders>
              <w:top w:val="single" w:sz="4" w:space="0" w:color="auto"/>
              <w:left w:val="single" w:sz="4" w:space="0" w:color="auto"/>
            </w:tcBorders>
            <w:shd w:val="clear" w:color="auto" w:fill="FFFFFF"/>
          </w:tcPr>
          <w:p w14:paraId="4BA157A2" w14:textId="3342ABF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Cropping patterns</w:t>
            </w:r>
          </w:p>
        </w:tc>
        <w:tc>
          <w:tcPr>
            <w:tcW w:w="1843" w:type="dxa"/>
            <w:tcBorders>
              <w:top w:val="single" w:sz="4" w:space="0" w:color="auto"/>
              <w:left w:val="single" w:sz="4" w:space="0" w:color="auto"/>
            </w:tcBorders>
            <w:shd w:val="clear" w:color="auto" w:fill="FFFFFF"/>
            <w:vAlign w:val="bottom"/>
          </w:tcPr>
          <w:p w14:paraId="07ABAFDB"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0,164</w:t>
            </w:r>
          </w:p>
        </w:tc>
        <w:tc>
          <w:tcPr>
            <w:tcW w:w="1853" w:type="dxa"/>
            <w:tcBorders>
              <w:top w:val="single" w:sz="4" w:space="0" w:color="auto"/>
              <w:left w:val="single" w:sz="4" w:space="0" w:color="auto"/>
              <w:right w:val="single" w:sz="4" w:space="0" w:color="auto"/>
            </w:tcBorders>
            <w:shd w:val="clear" w:color="auto" w:fill="FFFFFF"/>
            <w:vAlign w:val="bottom"/>
          </w:tcPr>
          <w:p w14:paraId="60861B68"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DC15C8" w:rsidRPr="00CC183D" w14:paraId="57C57813"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CF3AE06"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w:t>
            </w:r>
          </w:p>
        </w:tc>
        <w:tc>
          <w:tcPr>
            <w:tcW w:w="3744" w:type="dxa"/>
            <w:tcBorders>
              <w:top w:val="single" w:sz="4" w:space="0" w:color="auto"/>
              <w:left w:val="single" w:sz="4" w:space="0" w:color="auto"/>
            </w:tcBorders>
            <w:shd w:val="clear" w:color="auto" w:fill="FFFFFF"/>
          </w:tcPr>
          <w:p w14:paraId="4B67D4E6" w14:textId="72BE9B04"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Plant age and productivity</w:t>
            </w:r>
          </w:p>
        </w:tc>
        <w:tc>
          <w:tcPr>
            <w:tcW w:w="1843" w:type="dxa"/>
            <w:tcBorders>
              <w:top w:val="single" w:sz="4" w:space="0" w:color="auto"/>
              <w:left w:val="single" w:sz="4" w:space="0" w:color="auto"/>
            </w:tcBorders>
            <w:shd w:val="clear" w:color="auto" w:fill="FFFFFF"/>
            <w:vAlign w:val="bottom"/>
          </w:tcPr>
          <w:p w14:paraId="695F68A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-0,333**</w:t>
            </w:r>
          </w:p>
        </w:tc>
        <w:tc>
          <w:tcPr>
            <w:tcW w:w="1853" w:type="dxa"/>
            <w:tcBorders>
              <w:top w:val="single" w:sz="4" w:space="0" w:color="auto"/>
              <w:left w:val="single" w:sz="4" w:space="0" w:color="auto"/>
              <w:right w:val="single" w:sz="4" w:space="0" w:color="auto"/>
            </w:tcBorders>
            <w:shd w:val="clear" w:color="auto" w:fill="FFFFFF"/>
            <w:vAlign w:val="bottom"/>
          </w:tcPr>
          <w:p w14:paraId="0C3E9421"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-0,330*</w:t>
            </w:r>
          </w:p>
        </w:tc>
      </w:tr>
      <w:tr w:rsidR="00DC15C8" w:rsidRPr="00CC183D" w14:paraId="2458FE65"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4D9C52AF"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7</w:t>
            </w:r>
          </w:p>
        </w:tc>
        <w:tc>
          <w:tcPr>
            <w:tcW w:w="3744" w:type="dxa"/>
            <w:tcBorders>
              <w:top w:val="single" w:sz="4" w:space="0" w:color="auto"/>
              <w:left w:val="single" w:sz="4" w:space="0" w:color="auto"/>
            </w:tcBorders>
            <w:shd w:val="clear" w:color="auto" w:fill="FFFFFF"/>
          </w:tcPr>
          <w:p w14:paraId="011CDEFE" w14:textId="6517B27D"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Government support</w:t>
            </w:r>
          </w:p>
        </w:tc>
        <w:tc>
          <w:tcPr>
            <w:tcW w:w="1843" w:type="dxa"/>
            <w:tcBorders>
              <w:top w:val="single" w:sz="4" w:space="0" w:color="auto"/>
              <w:left w:val="single" w:sz="4" w:space="0" w:color="auto"/>
            </w:tcBorders>
            <w:shd w:val="clear" w:color="auto" w:fill="FFFFFF"/>
            <w:vAlign w:val="bottom"/>
          </w:tcPr>
          <w:p w14:paraId="4BA35A7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0,288*</w:t>
            </w:r>
          </w:p>
        </w:tc>
        <w:tc>
          <w:tcPr>
            <w:tcW w:w="1853" w:type="dxa"/>
            <w:tcBorders>
              <w:top w:val="single" w:sz="4" w:space="0" w:color="auto"/>
              <w:left w:val="single" w:sz="4" w:space="0" w:color="auto"/>
              <w:right w:val="single" w:sz="4" w:space="0" w:color="auto"/>
            </w:tcBorders>
            <w:shd w:val="clear" w:color="auto" w:fill="FFFFFF"/>
            <w:vAlign w:val="bottom"/>
          </w:tcPr>
          <w:p w14:paraId="54D256CE"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0,341**</w:t>
            </w:r>
          </w:p>
        </w:tc>
      </w:tr>
      <w:tr w:rsidR="00DC15C8" w:rsidRPr="00CC183D" w14:paraId="109A4A88"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05242F34"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w:t>
            </w:r>
          </w:p>
        </w:tc>
        <w:tc>
          <w:tcPr>
            <w:tcW w:w="3744" w:type="dxa"/>
            <w:tcBorders>
              <w:top w:val="single" w:sz="4" w:space="0" w:color="auto"/>
              <w:left w:val="single" w:sz="4" w:space="0" w:color="auto"/>
            </w:tcBorders>
            <w:shd w:val="clear" w:color="auto" w:fill="FFFFFF"/>
          </w:tcPr>
          <w:p w14:paraId="58338E71" w14:textId="54728C3C"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Attractiveness of collaboration</w:t>
            </w:r>
          </w:p>
        </w:tc>
        <w:tc>
          <w:tcPr>
            <w:tcW w:w="1843" w:type="dxa"/>
            <w:tcBorders>
              <w:top w:val="single" w:sz="4" w:space="0" w:color="auto"/>
              <w:left w:val="single" w:sz="4" w:space="0" w:color="auto"/>
            </w:tcBorders>
            <w:shd w:val="clear" w:color="auto" w:fill="FFFFFF"/>
            <w:vAlign w:val="bottom"/>
          </w:tcPr>
          <w:p w14:paraId="4CEC79D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0,320**</w:t>
            </w:r>
          </w:p>
        </w:tc>
        <w:tc>
          <w:tcPr>
            <w:tcW w:w="1853" w:type="dxa"/>
            <w:tcBorders>
              <w:top w:val="single" w:sz="4" w:space="0" w:color="auto"/>
              <w:left w:val="single" w:sz="4" w:space="0" w:color="auto"/>
              <w:right w:val="single" w:sz="4" w:space="0" w:color="auto"/>
            </w:tcBorders>
            <w:shd w:val="clear" w:color="auto" w:fill="FFFFFF"/>
            <w:vAlign w:val="bottom"/>
          </w:tcPr>
          <w:p w14:paraId="270BF3F2"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0,335**</w:t>
            </w:r>
          </w:p>
        </w:tc>
      </w:tr>
      <w:tr w:rsidR="00DC15C8" w:rsidRPr="00CC183D" w14:paraId="1EA77E6E" w14:textId="77777777" w:rsidTr="00DC15C8">
        <w:trPr>
          <w:trHeight w:hRule="exact" w:val="298"/>
        </w:trPr>
        <w:tc>
          <w:tcPr>
            <w:tcW w:w="514" w:type="dxa"/>
            <w:tcBorders>
              <w:top w:val="single" w:sz="4" w:space="0" w:color="auto"/>
              <w:left w:val="single" w:sz="4" w:space="0" w:color="auto"/>
              <w:bottom w:val="single" w:sz="4" w:space="0" w:color="auto"/>
            </w:tcBorders>
            <w:shd w:val="clear" w:color="auto" w:fill="FFFFFF"/>
            <w:vAlign w:val="bottom"/>
          </w:tcPr>
          <w:p w14:paraId="0A29FF0E" w14:textId="77777777" w:rsidR="00DC15C8" w:rsidRPr="00CC183D" w:rsidRDefault="00DC15C8" w:rsidP="00EE26EE">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9</w:t>
            </w:r>
          </w:p>
        </w:tc>
        <w:tc>
          <w:tcPr>
            <w:tcW w:w="3744" w:type="dxa"/>
            <w:tcBorders>
              <w:top w:val="single" w:sz="4" w:space="0" w:color="auto"/>
              <w:left w:val="single" w:sz="4" w:space="0" w:color="auto"/>
              <w:bottom w:val="single" w:sz="4" w:space="0" w:color="auto"/>
            </w:tcBorders>
            <w:shd w:val="clear" w:color="auto" w:fill="FFFFFF"/>
          </w:tcPr>
          <w:p w14:paraId="082A5FAE" w14:textId="0724398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Availability of agricultural inputs</w:t>
            </w:r>
          </w:p>
        </w:tc>
        <w:tc>
          <w:tcPr>
            <w:tcW w:w="1843" w:type="dxa"/>
            <w:tcBorders>
              <w:top w:val="single" w:sz="4" w:space="0" w:color="auto"/>
              <w:left w:val="single" w:sz="4" w:space="0" w:color="auto"/>
              <w:bottom w:val="single" w:sz="4" w:space="0" w:color="auto"/>
            </w:tcBorders>
            <w:shd w:val="clear" w:color="auto" w:fill="FFFFFF"/>
            <w:vAlign w:val="bottom"/>
          </w:tcPr>
          <w:p w14:paraId="5CA5546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0,216</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14:paraId="4DA3C41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0,349**</w:t>
            </w:r>
          </w:p>
        </w:tc>
      </w:tr>
    </w:tbl>
    <w:p w14:paraId="3F5BCCB9" w14:textId="72F7DA25" w:rsidR="00DC15C8" w:rsidRPr="00CC183D" w:rsidRDefault="00DC15C8" w:rsidP="00DC15C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very significantly affected at a = 0.01</w:t>
      </w:r>
    </w:p>
    <w:p w14:paraId="3FC9A3E2" w14:textId="112D734C" w:rsidR="00DC15C8" w:rsidRPr="00CC183D" w:rsidRDefault="00DC15C8" w:rsidP="00DC15C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426BA6F4" w14:textId="77777777" w:rsidR="00DC15C8" w:rsidRPr="00CC183D" w:rsidRDefault="00DC15C8" w:rsidP="00DC15C8">
      <w:pPr>
        <w:pStyle w:val="HTMLPreformatted"/>
        <w:ind w:firstLine="567"/>
        <w:jc w:val="both"/>
        <w:rPr>
          <w:rFonts w:ascii="Times New Roman" w:eastAsiaTheme="majorEastAsia" w:hAnsi="Times New Roman" w:cs="Times New Roman"/>
          <w:sz w:val="22"/>
          <w:szCs w:val="22"/>
          <w:lang w:val="en"/>
        </w:rPr>
      </w:pPr>
    </w:p>
    <w:p w14:paraId="7EEF6D58" w14:textId="181A4E32"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 xml:space="preserve">a)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intensity of socialization and the level of community participation in agroforestry rehabilitation activities</w:t>
      </w:r>
    </w:p>
    <w:p w14:paraId="4242C37A"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intensity of socialization is a crucial variable in increasing community empowerment through agroforestry rehabilitation activities. Through socialization activities, respondents will become aware of and understand the existence of agroforestry rehabilitation activities. Table 6 shows that there is no relationship between the intensity of socialization and the level of community participation in agroforestry rehabilitation activities at the planning and implementation stages. This is because socialization activities have been carried out frequently over the past six years, but the number of community members involved in the implementation has not been as expected. Research by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shows a positive correlation between the intensity of socialization and the intensity of socialization at the planning and implementation stages. This means that the higher the intensity of socialization activities, the greater the community participation in the activity stage.</w:t>
      </w:r>
    </w:p>
    <w:p w14:paraId="5A8A8162"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6B96F3FB" w14:textId="1B71099D"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b)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clarity of rights and obligations and the level of community participation in agroforestry rehabilitation activities</w:t>
      </w:r>
    </w:p>
    <w:p w14:paraId="191AE477"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clarity of rights and obligations variables correlated significantly across activity stages (Table 6). This indicates that the clarity of rights and obligations variables correlated positively with the level of community empowerment through agroforestry rehabilitation at both the planning and implementation stages. This is due to the existence of clear rules between the implementing party and the respondents, both in terms of clarity of the rights obtained and the obligations that must be fulfilled by the respondents. </w:t>
      </w:r>
      <w:proofErr w:type="spellStart"/>
      <w:r w:rsidRPr="00CC183D">
        <w:rPr>
          <w:rStyle w:val="y2iqfc"/>
          <w:rFonts w:ascii="Times New Roman" w:eastAsiaTheme="majorEastAsia" w:hAnsi="Times New Roman" w:cs="Times New Roman"/>
          <w:sz w:val="22"/>
          <w:szCs w:val="22"/>
          <w:lang w:val="en"/>
        </w:rPr>
        <w:t>Muis</w:t>
      </w:r>
      <w:proofErr w:type="spellEnd"/>
      <w:r w:rsidRPr="00CC183D">
        <w:rPr>
          <w:rStyle w:val="y2iqfc"/>
          <w:rFonts w:ascii="Times New Roman" w:eastAsiaTheme="majorEastAsia" w:hAnsi="Times New Roman" w:cs="Times New Roman"/>
          <w:sz w:val="22"/>
          <w:szCs w:val="22"/>
          <w:lang w:val="en"/>
        </w:rPr>
        <w:t xml:space="preserve"> (2007) showed that research results at the clarity of rights and obligations stage did not indicate a relationship between activities at the planning and implementation stages. This was due to the lack of clear rules between the implementing party and the respondents/community, both in terms of clarity of the rights obtained and the obligations that must be fulfilled by the respondents.</w:t>
      </w:r>
    </w:p>
    <w:p w14:paraId="2AE593A9" w14:textId="1B7DF602"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land distance and community participation in agroforestry rehabilitation activities</w:t>
      </w:r>
    </w:p>
    <w:p w14:paraId="445E78BC"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Land distance shows a significant positive relationship with the level of community empowerment through agroforestry rehabilitation in each activity. This is because the farther the distance from the cultivated land, the lower the level of participation. Land distance influences the amount of effort and time required to manage it. </w:t>
      </w:r>
      <w:proofErr w:type="spellStart"/>
      <w:r w:rsidRPr="00CC183D">
        <w:rPr>
          <w:rStyle w:val="y2iqfc"/>
          <w:rFonts w:ascii="Times New Roman" w:eastAsiaTheme="majorEastAsia" w:hAnsi="Times New Roman" w:cs="Times New Roman"/>
          <w:sz w:val="22"/>
          <w:szCs w:val="22"/>
          <w:lang w:val="en"/>
        </w:rPr>
        <w:t>Trison</w:t>
      </w:r>
      <w:proofErr w:type="spellEnd"/>
      <w:r w:rsidRPr="00CC183D">
        <w:rPr>
          <w:rStyle w:val="y2iqfc"/>
          <w:rFonts w:ascii="Times New Roman" w:eastAsiaTheme="majorEastAsia" w:hAnsi="Times New Roman" w:cs="Times New Roman"/>
          <w:sz w:val="22"/>
          <w:szCs w:val="22"/>
          <w:lang w:val="en"/>
        </w:rPr>
        <w:t xml:space="preserve"> (2005) stated that land distance has a significant relationship. This is because closer land proximity increases participation in these activities, resulting in more frequent visits by respondents to their cultivated land if the time and effort required are minimal.</w:t>
      </w:r>
    </w:p>
    <w:p w14:paraId="6F6817D1" w14:textId="3F9F4355"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d)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soil fertility and community participation in agroforestry rehabilitation activities</w:t>
      </w:r>
    </w:p>
    <w:p w14:paraId="07668CD6" w14:textId="77777777"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soil fertility variable was not significantly related at the planning and implementation stages. The soil fertility variable was negatively correlated with the level of community empowerment through agroforestry rehabilitation at the planning and implementation stages, due to their experience planting forestry plants such as </w:t>
      </w:r>
      <w:proofErr w:type="spellStart"/>
      <w:r w:rsidRPr="00CC183D">
        <w:rPr>
          <w:rStyle w:val="y2iqfc"/>
          <w:rFonts w:ascii="Times New Roman" w:eastAsiaTheme="majorEastAsia" w:hAnsi="Times New Roman" w:cs="Times New Roman"/>
          <w:sz w:val="22"/>
          <w:szCs w:val="22"/>
          <w:lang w:val="en"/>
        </w:rPr>
        <w:t>sengon</w:t>
      </w:r>
      <w:proofErr w:type="spellEnd"/>
      <w:r w:rsidRPr="00CC183D">
        <w:rPr>
          <w:rStyle w:val="y2iqfc"/>
          <w:rFonts w:ascii="Times New Roman" w:eastAsiaTheme="majorEastAsia" w:hAnsi="Times New Roman" w:cs="Times New Roman"/>
          <w:sz w:val="22"/>
          <w:szCs w:val="22"/>
          <w:lang w:val="en"/>
        </w:rPr>
        <w:t xml:space="preserve"> and acacia that can grow even in less fertile soil conditions.</w:t>
      </w:r>
    </w:p>
    <w:p w14:paraId="0435B467" w14:textId="2F8854B4"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cropping pattern and community participation in agroforestry rehabilitation activities</w:t>
      </w:r>
    </w:p>
    <w:p w14:paraId="1B5691E9"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cropping pattern variable had a correlation coefficient of 0.164 at the planning stage and 0.105 during implementation, respectively. This indicates that the cropping pattern variable has a weak or no relationship between implementation and planning with the level of community empowerment through agroforestry rehabilitation. This suggests that the community's cropping pattern is not a cause for concern, as it is considered guaranteed to be successful, having been planned by competent experts and implemented by the government.</w:t>
      </w:r>
    </w:p>
    <w:p w14:paraId="10F5D8A2" w14:textId="480781F7"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plant age and productivity, and the level of community participation in agroforestry rehabilitation activities</w:t>
      </w:r>
    </w:p>
    <w:p w14:paraId="42846657" w14:textId="181034B1"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variables of plant age and productivity were significantly negatively correlated across activity stages. The variables of plant age and productivity were negatively correlated with the level of community empowerment through agroforestry rehabilitation at the planning and implementation stages. This is </w:t>
      </w:r>
      <w:r w:rsidRPr="00CC183D">
        <w:rPr>
          <w:rStyle w:val="y2iqfc"/>
          <w:rFonts w:ascii="Times New Roman" w:eastAsiaTheme="majorEastAsia" w:hAnsi="Times New Roman" w:cs="Times New Roman"/>
          <w:sz w:val="22"/>
          <w:szCs w:val="22"/>
          <w:lang w:val="en"/>
        </w:rPr>
        <w:lastRenderedPageBreak/>
        <w:t>because the age of the annual crops cultivated by the community yields low productivity and economic value, such as secondary crops, whereas during the rehabilitation program, the community planted perennial crops, such as fruit trees.</w:t>
      </w:r>
    </w:p>
    <w:p w14:paraId="05708A84" w14:textId="63D43D5A"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government support and community participation in agroforestry rehabilitation activities</w:t>
      </w:r>
    </w:p>
    <w:p w14:paraId="3959126D" w14:textId="7F14DB06" w:rsidR="00A9746B" w:rsidRPr="007732B0" w:rsidRDefault="00DC15C8" w:rsidP="007732B0">
      <w:pPr>
        <w:pStyle w:val="HTMLPreformatted"/>
        <w:ind w:firstLine="567"/>
        <w:jc w:val="both"/>
        <w:rPr>
          <w:rStyle w:val="y2iqfc"/>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Government support demonstrated a significant positive relationship with the level of community empowerment through agroforestry rehabilitation in each activity (Table 7). The obtained values ​​indicate that the government support variable correlated positively with the level of community participation in agroforestry rehabilitation at both the planning and implementation stages. This indicates that they expect government support because their presence certainly creates its own problems for the government, and the community still recognizes the government's existence and role. Conversely, research by </w:t>
      </w:r>
      <w:proofErr w:type="spellStart"/>
      <w:r w:rsidRPr="00CC183D">
        <w:rPr>
          <w:rStyle w:val="y2iqfc"/>
          <w:rFonts w:ascii="Times New Roman" w:eastAsiaTheme="majorEastAsia" w:hAnsi="Times New Roman" w:cs="Times New Roman"/>
          <w:sz w:val="22"/>
          <w:szCs w:val="22"/>
          <w:lang w:val="en"/>
        </w:rPr>
        <w:t>Trison</w:t>
      </w:r>
      <w:proofErr w:type="spellEnd"/>
      <w:r w:rsidRPr="00CC183D">
        <w:rPr>
          <w:rStyle w:val="y2iqfc"/>
          <w:rFonts w:ascii="Times New Roman" w:eastAsiaTheme="majorEastAsia" w:hAnsi="Times New Roman" w:cs="Times New Roman"/>
          <w:sz w:val="22"/>
          <w:szCs w:val="22"/>
          <w:lang w:val="en"/>
        </w:rPr>
        <w:t xml:space="preserve"> (2005) showed that government support showed no significant relationship between the planning and implementation levels and participation in activities. This is because the government's role was merely a supporter, while the activity implementers were NGOs. In contrast, in this study, the government played the role of implementer, specifically the Community Development Coordination Agency (BDK), so its support is crucial to increasing community participation in agroforestry rehabilitation activities.</w:t>
      </w:r>
    </w:p>
    <w:p w14:paraId="17991DD6" w14:textId="7DB1D479"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h)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attractiveness of cooperation and the level of community participation in agroforestry rehabilitation activities</w:t>
      </w:r>
    </w:p>
    <w:p w14:paraId="681A6811" w14:textId="72F741B6"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attractiveness of the cooperation variable correlated significantly at the planning and implementation stages. The values ​​obtained (Table 6) indicate that the attractiveness of the cooperation variable correlated positively with the level of community participation in agroforestry rehabilitation activities at both the planning and implementation stages. This demonstrates that the attractiveness of cooperation is essential for the community to achieve the success of the program. Respondent responses indicated that the community's attractiveness to the program reached 54.29%, demonstrating the significant potential for community participation in these activities. The attractiveness of cooperation is necessary for the community to remain consistent, motivated, and enthusiastic in these rehabilitation activities.</w:t>
      </w:r>
    </w:p>
    <w:p w14:paraId="7FA760C0" w14:textId="01773398"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w:t>
      </w:r>
      <w:r w:rsidR="00A9746B">
        <w:rPr>
          <w:rStyle w:val="y2iqfc"/>
          <w:rFonts w:ascii="Times New Roman" w:eastAsiaTheme="majorEastAsia" w:hAnsi="Times New Roman" w:cs="Times New Roman"/>
          <w:sz w:val="22"/>
          <w:szCs w:val="22"/>
          <w:lang w:val="en"/>
        </w:rPr>
        <w:t xml:space="preserve">the </w:t>
      </w:r>
      <w:r w:rsidRPr="00CC183D">
        <w:rPr>
          <w:rStyle w:val="y2iqfc"/>
          <w:rFonts w:ascii="Times New Roman" w:eastAsiaTheme="majorEastAsia" w:hAnsi="Times New Roman" w:cs="Times New Roman"/>
          <w:sz w:val="22"/>
          <w:szCs w:val="22"/>
          <w:lang w:val="en"/>
        </w:rPr>
        <w:t>availability of production inputs and community participation in agroforestry rehabilitation activities</w:t>
      </w:r>
    </w:p>
    <w:p w14:paraId="5337AAF9" w14:textId="12A0D59C"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availability of production inputs has a significant positive effect on community participation at the implementation stage, while at the planning stage, it has no significant effect. This is because production inputs are only needed at the implementation stage. The availability of production inputs according to farmers' needs will increase their participation in agroforestry rehabilitation programs. This is in line with the research results of </w:t>
      </w:r>
      <w:proofErr w:type="spellStart"/>
      <w:r w:rsidRPr="00CC183D">
        <w:rPr>
          <w:rStyle w:val="y2iqfc"/>
          <w:rFonts w:ascii="Times New Roman" w:eastAsiaTheme="majorEastAsia" w:hAnsi="Times New Roman" w:cs="Times New Roman"/>
          <w:sz w:val="22"/>
          <w:szCs w:val="22"/>
          <w:lang w:val="en"/>
        </w:rPr>
        <w:t>Trison</w:t>
      </w:r>
      <w:proofErr w:type="spellEnd"/>
      <w:r w:rsidRPr="00CC183D">
        <w:rPr>
          <w:rStyle w:val="y2iqfc"/>
          <w:rFonts w:ascii="Times New Roman" w:eastAsiaTheme="majorEastAsia" w:hAnsi="Times New Roman" w:cs="Times New Roman"/>
          <w:sz w:val="22"/>
          <w:szCs w:val="22"/>
          <w:lang w:val="en"/>
        </w:rPr>
        <w:t xml:space="preserve"> (2005), which showed that the availability of production inputs shows a significant positive relationship at the activity stage, indicating that higher availability of production inputs increases participation, and conversely, lower availability of production inputs decreases participation.</w:t>
      </w:r>
    </w:p>
    <w:p w14:paraId="10E2BE1E" w14:textId="4A9510F9" w:rsidR="00EC6515" w:rsidRDefault="00EC6515" w:rsidP="00EC6515">
      <w:pPr>
        <w:pStyle w:val="HTMLPreformatted"/>
        <w:ind w:firstLine="567"/>
        <w:jc w:val="both"/>
        <w:rPr>
          <w:rStyle w:val="y2iqfc"/>
          <w:rFonts w:ascii="Times New Roman" w:eastAsiaTheme="majorEastAsia" w:hAnsi="Times New Roman" w:cs="Times New Roman"/>
          <w:sz w:val="22"/>
          <w:szCs w:val="22"/>
          <w:lang w:val="en"/>
        </w:rPr>
      </w:pPr>
      <w:r w:rsidRPr="0085227F">
        <w:rPr>
          <w:rStyle w:val="y2iqfc"/>
          <w:rFonts w:ascii="Times New Roman" w:eastAsiaTheme="majorEastAsia" w:hAnsi="Times New Roman" w:cs="Times New Roman"/>
          <w:sz w:val="22"/>
          <w:szCs w:val="22"/>
          <w:lang w:val="en"/>
        </w:rPr>
        <w:t xml:space="preserve">Another study related to community participation/empowerment in community forest management through agroforestry was reported by </w:t>
      </w:r>
      <w:proofErr w:type="spellStart"/>
      <w:r w:rsidRPr="0085227F">
        <w:rPr>
          <w:rStyle w:val="y2iqfc"/>
          <w:rFonts w:ascii="Times New Roman" w:eastAsiaTheme="majorEastAsia" w:hAnsi="Times New Roman" w:cs="Times New Roman"/>
          <w:sz w:val="22"/>
          <w:szCs w:val="22"/>
          <w:lang w:val="en"/>
        </w:rPr>
        <w:t>Mustofa</w:t>
      </w:r>
      <w:proofErr w:type="spellEnd"/>
      <w:r w:rsidRPr="0085227F">
        <w:rPr>
          <w:rStyle w:val="y2iqfc"/>
          <w:rFonts w:ascii="Times New Roman" w:eastAsiaTheme="majorEastAsia" w:hAnsi="Times New Roman" w:cs="Times New Roman"/>
          <w:sz w:val="22"/>
          <w:szCs w:val="22"/>
          <w:lang w:val="en"/>
        </w:rPr>
        <w:t xml:space="preserve"> (2013)</w:t>
      </w:r>
      <w:r w:rsidR="00EE26EE" w:rsidRPr="0085227F">
        <w:rPr>
          <w:rStyle w:val="y2iqfc"/>
          <w:rFonts w:ascii="Times New Roman" w:eastAsiaTheme="majorEastAsia" w:hAnsi="Times New Roman" w:cs="Times New Roman"/>
          <w:sz w:val="22"/>
          <w:szCs w:val="22"/>
          <w:lang w:val="en"/>
        </w:rPr>
        <w:t>.</w:t>
      </w:r>
      <w:r w:rsidRPr="0085227F">
        <w:rPr>
          <w:rStyle w:val="y2iqfc"/>
          <w:rFonts w:ascii="Times New Roman" w:eastAsiaTheme="majorEastAsia" w:hAnsi="Times New Roman" w:cs="Times New Roman"/>
          <w:sz w:val="22"/>
          <w:szCs w:val="22"/>
          <w:lang w:val="en"/>
        </w:rPr>
        <w:t xml:space="preserve"> </w:t>
      </w:r>
      <w:r w:rsidR="00EE26EE" w:rsidRPr="0085227F">
        <w:rPr>
          <w:rStyle w:val="y2iqfc"/>
          <w:rFonts w:ascii="Times New Roman" w:eastAsiaTheme="majorEastAsia" w:hAnsi="Times New Roman" w:cs="Times New Roman"/>
          <w:sz w:val="22"/>
          <w:szCs w:val="22"/>
          <w:lang w:val="en"/>
        </w:rPr>
        <w:t>T</w:t>
      </w:r>
      <w:r w:rsidRPr="0085227F">
        <w:rPr>
          <w:rStyle w:val="y2iqfc"/>
          <w:rFonts w:ascii="Times New Roman" w:eastAsiaTheme="majorEastAsia" w:hAnsi="Times New Roman" w:cs="Times New Roman"/>
          <w:sz w:val="22"/>
          <w:szCs w:val="22"/>
          <w:lang w:val="en"/>
        </w:rPr>
        <w:t xml:space="preserve">he success of community-based forest management lies in local community participation, which is demonstrated by the extent to which the community is willing to participate. Furthermore, </w:t>
      </w:r>
      <w:proofErr w:type="spellStart"/>
      <w:r w:rsidRPr="0085227F">
        <w:rPr>
          <w:rStyle w:val="y2iqfc"/>
          <w:rFonts w:ascii="Times New Roman" w:eastAsiaTheme="majorEastAsia" w:hAnsi="Times New Roman" w:cs="Times New Roman"/>
          <w:sz w:val="22"/>
          <w:szCs w:val="22"/>
          <w:lang w:val="en"/>
        </w:rPr>
        <w:t>Yeny</w:t>
      </w:r>
      <w:proofErr w:type="spellEnd"/>
      <w:r w:rsidRPr="0085227F">
        <w:rPr>
          <w:rStyle w:val="y2iqfc"/>
          <w:rFonts w:ascii="Times New Roman" w:eastAsiaTheme="majorEastAsia" w:hAnsi="Times New Roman" w:cs="Times New Roman"/>
          <w:sz w:val="22"/>
          <w:szCs w:val="22"/>
          <w:lang w:val="en"/>
        </w:rPr>
        <w:t xml:space="preserve"> et al. (2020) reported that farmer participation in agroforestry development is evident at the planning stage, involving ideas, and at the implementation and utilization stages, involving labor contributions and moral support, specifically community support for managing partnership land jointly and responsibly. There has been no evidence of participation in the form of financial or material contributions or skills in developing cultivated land. </w:t>
      </w:r>
      <w:proofErr w:type="spellStart"/>
      <w:r w:rsidRPr="0085227F">
        <w:rPr>
          <w:rStyle w:val="y2iqfc"/>
          <w:rFonts w:ascii="Times New Roman" w:eastAsiaTheme="majorEastAsia" w:hAnsi="Times New Roman" w:cs="Times New Roman"/>
          <w:sz w:val="22"/>
          <w:szCs w:val="22"/>
          <w:lang w:val="en"/>
        </w:rPr>
        <w:t>Mahaputra</w:t>
      </w:r>
      <w:proofErr w:type="spellEnd"/>
      <w:r w:rsidRPr="0085227F">
        <w:rPr>
          <w:rStyle w:val="y2iqfc"/>
          <w:rFonts w:ascii="Times New Roman" w:eastAsiaTheme="majorEastAsia" w:hAnsi="Times New Roman" w:cs="Times New Roman"/>
          <w:sz w:val="22"/>
          <w:szCs w:val="22"/>
          <w:lang w:val="en"/>
        </w:rPr>
        <w:t xml:space="preserve"> et al (2024) reported that empowering forest village conservation communities in </w:t>
      </w:r>
      <w:proofErr w:type="spellStart"/>
      <w:r w:rsidRPr="0085227F">
        <w:rPr>
          <w:rStyle w:val="y2iqfc"/>
          <w:rFonts w:ascii="Times New Roman" w:eastAsiaTheme="majorEastAsia" w:hAnsi="Times New Roman" w:cs="Times New Roman"/>
          <w:sz w:val="22"/>
          <w:szCs w:val="22"/>
          <w:lang w:val="en"/>
        </w:rPr>
        <w:t>Tubanan</w:t>
      </w:r>
      <w:proofErr w:type="spellEnd"/>
      <w:r w:rsidRPr="0085227F">
        <w:rPr>
          <w:rStyle w:val="y2iqfc"/>
          <w:rFonts w:ascii="Times New Roman" w:eastAsiaTheme="majorEastAsia" w:hAnsi="Times New Roman" w:cs="Times New Roman"/>
          <w:sz w:val="22"/>
          <w:szCs w:val="22"/>
          <w:lang w:val="en"/>
        </w:rPr>
        <w:t xml:space="preserve"> Village through agroforestry development can help communities in optimal forest environmental management and economic improvement. With the implementation of this program, communities are also educated in utilizing forests, not cutting down indiscriminately</w:t>
      </w:r>
      <w:r w:rsidR="00EE26EE" w:rsidRPr="0085227F">
        <w:rPr>
          <w:rStyle w:val="y2iqfc"/>
          <w:rFonts w:ascii="Times New Roman" w:eastAsiaTheme="majorEastAsia" w:hAnsi="Times New Roman" w:cs="Times New Roman"/>
          <w:sz w:val="22"/>
          <w:szCs w:val="22"/>
          <w:lang w:val="en"/>
        </w:rPr>
        <w:t>,</w:t>
      </w:r>
      <w:r w:rsidRPr="0085227F">
        <w:rPr>
          <w:rStyle w:val="y2iqfc"/>
          <w:rFonts w:ascii="Times New Roman" w:eastAsiaTheme="majorEastAsia" w:hAnsi="Times New Roman" w:cs="Times New Roman"/>
          <w:sz w:val="22"/>
          <w:szCs w:val="22"/>
          <w:lang w:val="en"/>
        </w:rPr>
        <w:t xml:space="preserve"> because there is a cooperation scheme</w:t>
      </w:r>
      <w:r w:rsidR="00EE26EE" w:rsidRPr="0085227F">
        <w:rPr>
          <w:rStyle w:val="y2iqfc"/>
          <w:rFonts w:ascii="Times New Roman" w:eastAsiaTheme="majorEastAsia" w:hAnsi="Times New Roman" w:cs="Times New Roman"/>
          <w:sz w:val="22"/>
          <w:szCs w:val="22"/>
          <w:lang w:val="en"/>
        </w:rPr>
        <w:t>;</w:t>
      </w:r>
      <w:r w:rsidRPr="0085227F">
        <w:rPr>
          <w:rStyle w:val="y2iqfc"/>
          <w:rFonts w:ascii="Times New Roman" w:eastAsiaTheme="majorEastAsia" w:hAnsi="Times New Roman" w:cs="Times New Roman"/>
          <w:sz w:val="22"/>
          <w:szCs w:val="22"/>
          <w:lang w:val="en"/>
        </w:rPr>
        <w:t xml:space="preserve"> if the forest is deforested, the community will also be disadvantaged. </w:t>
      </w:r>
      <w:proofErr w:type="spellStart"/>
      <w:r w:rsidRPr="0085227F">
        <w:rPr>
          <w:rStyle w:val="y2iqfc"/>
          <w:rFonts w:ascii="Times New Roman" w:eastAsiaTheme="majorEastAsia" w:hAnsi="Times New Roman" w:cs="Times New Roman"/>
          <w:sz w:val="22"/>
          <w:szCs w:val="22"/>
          <w:lang w:val="en"/>
        </w:rPr>
        <w:t>Hafidah</w:t>
      </w:r>
      <w:proofErr w:type="spellEnd"/>
      <w:r w:rsidRPr="0085227F">
        <w:rPr>
          <w:rStyle w:val="y2iqfc"/>
          <w:rFonts w:ascii="Times New Roman" w:eastAsiaTheme="majorEastAsia" w:hAnsi="Times New Roman" w:cs="Times New Roman"/>
          <w:sz w:val="22"/>
          <w:szCs w:val="22"/>
          <w:lang w:val="en"/>
        </w:rPr>
        <w:t xml:space="preserve"> et al. (2025) reported that the aspect of empowering forest farmers is one strategy to increase farmer motivation so that the agroforestry system implemented is not subsistence but more commercial and oriented towards sustainable land management and is able to increase community income, restore degraded ecosystems</w:t>
      </w:r>
      <w:r w:rsidR="00EE26EE" w:rsidRPr="0085227F">
        <w:rPr>
          <w:rStyle w:val="y2iqfc"/>
          <w:rFonts w:ascii="Times New Roman" w:eastAsiaTheme="majorEastAsia" w:hAnsi="Times New Roman" w:cs="Times New Roman"/>
          <w:sz w:val="22"/>
          <w:szCs w:val="22"/>
          <w:lang w:val="en"/>
        </w:rPr>
        <w:t>,</w:t>
      </w:r>
      <w:r w:rsidRPr="0085227F">
        <w:rPr>
          <w:rStyle w:val="y2iqfc"/>
          <w:rFonts w:ascii="Times New Roman" w:eastAsiaTheme="majorEastAsia" w:hAnsi="Times New Roman" w:cs="Times New Roman"/>
          <w:sz w:val="22"/>
          <w:szCs w:val="22"/>
          <w:lang w:val="en"/>
        </w:rPr>
        <w:t xml:space="preserve"> and strengthen local institutions. A participatory approach, technical training, </w:t>
      </w:r>
      <w:r w:rsidRPr="0085227F">
        <w:rPr>
          <w:rStyle w:val="y2iqfc"/>
          <w:rFonts w:ascii="Times New Roman" w:eastAsiaTheme="majorEastAsia" w:hAnsi="Times New Roman" w:cs="Times New Roman"/>
          <w:sz w:val="22"/>
          <w:szCs w:val="22"/>
          <w:lang w:val="en"/>
        </w:rPr>
        <w:lastRenderedPageBreak/>
        <w:t xml:space="preserve">and institutional strengthening, the agroforestry model in </w:t>
      </w:r>
      <w:proofErr w:type="spellStart"/>
      <w:r w:rsidRPr="0085227F">
        <w:rPr>
          <w:rStyle w:val="y2iqfc"/>
          <w:rFonts w:ascii="Times New Roman" w:eastAsiaTheme="majorEastAsia" w:hAnsi="Times New Roman" w:cs="Times New Roman"/>
          <w:sz w:val="22"/>
          <w:szCs w:val="22"/>
          <w:lang w:val="en"/>
        </w:rPr>
        <w:t>Teporoko</w:t>
      </w:r>
      <w:proofErr w:type="spellEnd"/>
      <w:r w:rsidRPr="0085227F">
        <w:rPr>
          <w:rStyle w:val="y2iqfc"/>
          <w:rFonts w:ascii="Times New Roman" w:eastAsiaTheme="majorEastAsia" w:hAnsi="Times New Roman" w:cs="Times New Roman"/>
          <w:sz w:val="22"/>
          <w:szCs w:val="22"/>
          <w:lang w:val="en"/>
        </w:rPr>
        <w:t xml:space="preserve"> Village can be an example of green economic development in the archipelago region.</w:t>
      </w:r>
    </w:p>
    <w:p w14:paraId="53B8FA38" w14:textId="7A642768" w:rsidR="00E10493" w:rsidRDefault="00E10493" w:rsidP="00EC6515">
      <w:pPr>
        <w:pStyle w:val="HTMLPreformatted"/>
        <w:ind w:firstLine="567"/>
        <w:jc w:val="both"/>
        <w:rPr>
          <w:rFonts w:ascii="Times New Roman" w:hAnsi="Times New Roman" w:cs="Times New Roman"/>
          <w:sz w:val="22"/>
          <w:szCs w:val="22"/>
        </w:rPr>
      </w:pPr>
    </w:p>
    <w:p w14:paraId="55AD2EE1" w14:textId="77777777" w:rsidR="00E10493" w:rsidRPr="00777ECD" w:rsidRDefault="00E10493" w:rsidP="00E10493">
      <w:pPr>
        <w:pStyle w:val="HTMLPreformatted"/>
        <w:jc w:val="both"/>
        <w:rPr>
          <w:rStyle w:val="y2iqfc"/>
          <w:rFonts w:ascii="Times New Roman" w:eastAsiaTheme="majorEastAsia" w:hAnsi="Times New Roman" w:cs="Times New Roman"/>
          <w:b/>
          <w:bCs/>
          <w:sz w:val="22"/>
          <w:szCs w:val="22"/>
          <w:highlight w:val="cyan"/>
          <w:lang w:val="en"/>
        </w:rPr>
      </w:pPr>
      <w:r w:rsidRPr="00777ECD">
        <w:rPr>
          <w:rStyle w:val="y2iqfc"/>
          <w:rFonts w:ascii="Times New Roman" w:eastAsiaTheme="majorEastAsia" w:hAnsi="Times New Roman" w:cs="Times New Roman"/>
          <w:b/>
          <w:bCs/>
          <w:sz w:val="22"/>
          <w:szCs w:val="22"/>
          <w:highlight w:val="cyan"/>
          <w:lang w:val="en"/>
        </w:rPr>
        <w:t>Limitations</w:t>
      </w:r>
    </w:p>
    <w:p w14:paraId="6FEC6373" w14:textId="77777777" w:rsidR="00E10493" w:rsidRDefault="00E10493" w:rsidP="00E10493">
      <w:pPr>
        <w:pStyle w:val="HTMLPreformatted"/>
        <w:jc w:val="both"/>
        <w:rPr>
          <w:rStyle w:val="y2iqfc"/>
          <w:rFonts w:ascii="Times New Roman" w:eastAsiaTheme="majorEastAsia" w:hAnsi="Times New Roman" w:cs="Times New Roman"/>
          <w:sz w:val="22"/>
          <w:szCs w:val="22"/>
          <w:lang w:val="en"/>
        </w:rPr>
      </w:pPr>
      <w:r w:rsidRPr="00777ECD">
        <w:rPr>
          <w:rStyle w:val="y2iqfc"/>
          <w:rFonts w:ascii="Times New Roman" w:eastAsiaTheme="majorEastAsia" w:hAnsi="Times New Roman" w:cs="Times New Roman"/>
          <w:sz w:val="22"/>
          <w:szCs w:val="22"/>
          <w:highlight w:val="cyan"/>
          <w:lang w:val="en"/>
        </w:rPr>
        <w:t>This study has several limitations that should be considered when interpreting the findings. First, the sample size and sampling approach may limit representativeness; respondents were drawn from a single village context and may not capture the diversity of households and stakeholders influencing participation in forest rehabilitation. Second, key constructs such as motivation, perception, knowledge, extension intensity, and “participation” were measured through self-reported questionnaires, which are vulnerable to recall error and social desirability bias, particularly where government programs are involved. Third, the analysis relies mainly on bivariate correlations, which can identify associations but cannot establish causal relationships; unobserved confounders (e.g., prior program exposure, land tenure security, market access, or leadership dynamics) may drive both the explanatory variables and participation. Fourth, participation was divided into stages (planning and implementation), yet measurement differences across stages may affect comparability. Finally, the findings are context-specific and should be generalized cautiously to other rehabilitation sites with different institutional arrangements and ecological conditions.</w:t>
      </w:r>
    </w:p>
    <w:p w14:paraId="5AB01A54" w14:textId="77777777" w:rsidR="00E10493" w:rsidRDefault="00E10493" w:rsidP="00E10493">
      <w:pPr>
        <w:pStyle w:val="HTMLPreformatted"/>
        <w:jc w:val="both"/>
        <w:rPr>
          <w:rStyle w:val="y2iqfc"/>
          <w:rFonts w:ascii="Times New Roman" w:eastAsiaTheme="majorEastAsia" w:hAnsi="Times New Roman" w:cs="Times New Roman"/>
          <w:sz w:val="22"/>
          <w:szCs w:val="22"/>
          <w:lang w:val="en"/>
        </w:rPr>
      </w:pPr>
    </w:p>
    <w:p w14:paraId="6F48C4A7" w14:textId="77777777" w:rsidR="00E10493" w:rsidRPr="0085227F" w:rsidRDefault="00E10493" w:rsidP="00EC6515">
      <w:pPr>
        <w:pStyle w:val="HTMLPreformatted"/>
        <w:ind w:firstLine="567"/>
        <w:jc w:val="both"/>
        <w:rPr>
          <w:rFonts w:ascii="Times New Roman" w:hAnsi="Times New Roman" w:cs="Times New Roman"/>
          <w:sz w:val="22"/>
          <w:szCs w:val="22"/>
        </w:rPr>
      </w:pPr>
    </w:p>
    <w:p w14:paraId="344DF8AB" w14:textId="77777777" w:rsidR="00746B98" w:rsidRPr="0085227F" w:rsidRDefault="00746B98" w:rsidP="00DC15C8">
      <w:pPr>
        <w:pStyle w:val="HTMLPreformatted"/>
        <w:jc w:val="both"/>
        <w:rPr>
          <w:rStyle w:val="y2iqfc"/>
          <w:rFonts w:ascii="Times New Roman" w:eastAsiaTheme="majorEastAsia" w:hAnsi="Times New Roman" w:cs="Times New Roman"/>
          <w:sz w:val="22"/>
          <w:szCs w:val="22"/>
          <w:highlight w:val="yellow"/>
          <w:lang w:val="en"/>
        </w:rPr>
      </w:pPr>
    </w:p>
    <w:p w14:paraId="372CFC6D" w14:textId="77777777" w:rsidR="00DC15C8" w:rsidRPr="0085227F" w:rsidRDefault="00DC15C8" w:rsidP="00DC15C8">
      <w:pPr>
        <w:pStyle w:val="HTMLPreformatted"/>
        <w:jc w:val="both"/>
        <w:rPr>
          <w:rStyle w:val="y2iqfc"/>
          <w:rFonts w:ascii="Times New Roman" w:eastAsiaTheme="majorEastAsia" w:hAnsi="Times New Roman" w:cs="Times New Roman"/>
          <w:sz w:val="22"/>
          <w:szCs w:val="22"/>
          <w:lang w:val="en"/>
        </w:rPr>
      </w:pPr>
      <w:r w:rsidRPr="0085227F">
        <w:rPr>
          <w:rStyle w:val="y2iqfc"/>
          <w:rFonts w:ascii="Times New Roman" w:eastAsiaTheme="majorEastAsia" w:hAnsi="Times New Roman" w:cs="Times New Roman"/>
          <w:sz w:val="22"/>
          <w:szCs w:val="22"/>
          <w:lang w:val="en"/>
        </w:rPr>
        <w:t xml:space="preserve">4. </w:t>
      </w:r>
      <w:r w:rsidRPr="0085227F">
        <w:rPr>
          <w:rStyle w:val="y2iqfc"/>
          <w:rFonts w:ascii="Times New Roman" w:eastAsiaTheme="majorEastAsia" w:hAnsi="Times New Roman" w:cs="Times New Roman"/>
          <w:b/>
          <w:bCs/>
          <w:sz w:val="22"/>
          <w:szCs w:val="22"/>
          <w:lang w:val="en"/>
        </w:rPr>
        <w:t>CONCLUSION</w:t>
      </w:r>
    </w:p>
    <w:p w14:paraId="0634CE64" w14:textId="77777777" w:rsidR="00C4228D" w:rsidRPr="00C4228D" w:rsidRDefault="00C4228D" w:rsidP="00C4228D">
      <w:pPr>
        <w:pStyle w:val="HTMLPreformatted"/>
        <w:jc w:val="both"/>
        <w:rPr>
          <w:rStyle w:val="y2iqfc"/>
          <w:rFonts w:ascii="Times New Roman" w:eastAsiaTheme="majorEastAsia" w:hAnsi="Times New Roman" w:cs="Times New Roman"/>
          <w:sz w:val="22"/>
          <w:szCs w:val="22"/>
          <w:highlight w:val="cyan"/>
          <w:lang w:val="en"/>
        </w:rPr>
      </w:pPr>
      <w:r w:rsidRPr="00C4228D">
        <w:rPr>
          <w:rStyle w:val="y2iqfc"/>
          <w:rFonts w:ascii="Times New Roman" w:eastAsiaTheme="majorEastAsia" w:hAnsi="Times New Roman" w:cs="Times New Roman"/>
          <w:sz w:val="22"/>
          <w:szCs w:val="22"/>
          <w:highlight w:val="cyan"/>
          <w:lang w:val="en"/>
        </w:rPr>
        <w:t xml:space="preserve">This study examined community participation in agroforestry-based forest rehabilitation in the Special Purpose Forest Area (KHDTK) of the Loa </w:t>
      </w:r>
      <w:proofErr w:type="spellStart"/>
      <w:r w:rsidRPr="00C4228D">
        <w:rPr>
          <w:rStyle w:val="y2iqfc"/>
          <w:rFonts w:ascii="Times New Roman" w:eastAsiaTheme="majorEastAsia" w:hAnsi="Times New Roman" w:cs="Times New Roman"/>
          <w:sz w:val="22"/>
          <w:szCs w:val="22"/>
          <w:highlight w:val="cyan"/>
          <w:lang w:val="en"/>
        </w:rPr>
        <w:t>Haur</w:t>
      </w:r>
      <w:proofErr w:type="spellEnd"/>
      <w:r w:rsidRPr="00C4228D">
        <w:rPr>
          <w:rStyle w:val="y2iqfc"/>
          <w:rFonts w:ascii="Times New Roman" w:eastAsiaTheme="majorEastAsia" w:hAnsi="Times New Roman" w:cs="Times New Roman"/>
          <w:sz w:val="22"/>
          <w:szCs w:val="22"/>
          <w:highlight w:val="cyan"/>
          <w:lang w:val="en"/>
        </w:rPr>
        <w:t xml:space="preserve"> Training Forest, </w:t>
      </w:r>
      <w:proofErr w:type="spellStart"/>
      <w:r w:rsidRPr="00C4228D">
        <w:rPr>
          <w:rStyle w:val="y2iqfc"/>
          <w:rFonts w:ascii="Times New Roman" w:eastAsiaTheme="majorEastAsia" w:hAnsi="Times New Roman" w:cs="Times New Roman"/>
          <w:sz w:val="22"/>
          <w:szCs w:val="22"/>
          <w:highlight w:val="cyan"/>
          <w:lang w:val="en"/>
        </w:rPr>
        <w:t>Kutai</w:t>
      </w:r>
      <w:proofErr w:type="spellEnd"/>
      <w:r w:rsidRPr="00C4228D">
        <w:rPr>
          <w:rStyle w:val="y2iqfc"/>
          <w:rFonts w:ascii="Times New Roman" w:eastAsiaTheme="majorEastAsia" w:hAnsi="Times New Roman" w:cs="Times New Roman"/>
          <w:sz w:val="22"/>
          <w:szCs w:val="22"/>
          <w:highlight w:val="cyan"/>
          <w:lang w:val="en"/>
        </w:rPr>
        <w:t xml:space="preserve"> </w:t>
      </w:r>
      <w:proofErr w:type="spellStart"/>
      <w:r w:rsidRPr="00C4228D">
        <w:rPr>
          <w:rStyle w:val="y2iqfc"/>
          <w:rFonts w:ascii="Times New Roman" w:eastAsiaTheme="majorEastAsia" w:hAnsi="Times New Roman" w:cs="Times New Roman"/>
          <w:sz w:val="22"/>
          <w:szCs w:val="22"/>
          <w:highlight w:val="cyan"/>
          <w:lang w:val="en"/>
        </w:rPr>
        <w:t>Kartanegara</w:t>
      </w:r>
      <w:proofErr w:type="spellEnd"/>
      <w:r w:rsidRPr="00C4228D">
        <w:rPr>
          <w:rStyle w:val="y2iqfc"/>
          <w:rFonts w:ascii="Times New Roman" w:eastAsiaTheme="majorEastAsia" w:hAnsi="Times New Roman" w:cs="Times New Roman"/>
          <w:sz w:val="22"/>
          <w:szCs w:val="22"/>
          <w:highlight w:val="cyan"/>
          <w:lang w:val="en"/>
        </w:rPr>
        <w:t xml:space="preserve"> Regency, by distinguishing participation at the planning and implementation stages. The findings indicate that participation is associated with a combination of internal and external factors that differ slightly across stages. Internally, participation at the planning stage is linked to land area managed, proximity to the BDK management center, income level, and intrinsic and extrinsic motivation. During implementation, education level becomes more prominent alongside proximity to BDK, income, and motivation. Externally, participation is consistently associated with BDK rules governing participants’ rights and obligations, land distance, and the age and productivity of agroforestry crops. Government support and the perceived attractiveness of cooperation are also associated with participation in both stages, while the availability of agricultural inputs appears particularly relevant during implementation.</w:t>
      </w:r>
    </w:p>
    <w:p w14:paraId="32DE782B" w14:textId="77777777" w:rsidR="00C4228D" w:rsidRPr="00C4228D" w:rsidRDefault="00C4228D" w:rsidP="00C4228D">
      <w:pPr>
        <w:pStyle w:val="HTMLPreformatted"/>
        <w:ind w:left="284" w:hanging="284"/>
        <w:jc w:val="both"/>
        <w:rPr>
          <w:rStyle w:val="y2iqfc"/>
          <w:rFonts w:ascii="Times New Roman" w:eastAsiaTheme="majorEastAsia" w:hAnsi="Times New Roman" w:cs="Times New Roman"/>
          <w:sz w:val="22"/>
          <w:szCs w:val="22"/>
          <w:highlight w:val="cyan"/>
          <w:lang w:val="en"/>
        </w:rPr>
      </w:pPr>
    </w:p>
    <w:p w14:paraId="1BB4D90C" w14:textId="77777777" w:rsidR="00C4228D" w:rsidRDefault="00C4228D" w:rsidP="00C4228D">
      <w:pPr>
        <w:pStyle w:val="HTMLPreformatted"/>
        <w:jc w:val="both"/>
        <w:rPr>
          <w:rStyle w:val="y2iqfc"/>
          <w:rFonts w:ascii="Times New Roman" w:eastAsiaTheme="majorEastAsia" w:hAnsi="Times New Roman" w:cs="Times New Roman"/>
          <w:sz w:val="22"/>
          <w:szCs w:val="22"/>
          <w:lang w:val="en"/>
        </w:rPr>
      </w:pPr>
      <w:r w:rsidRPr="00C4228D">
        <w:rPr>
          <w:rStyle w:val="y2iqfc"/>
          <w:rFonts w:ascii="Times New Roman" w:eastAsiaTheme="majorEastAsia" w:hAnsi="Times New Roman" w:cs="Times New Roman"/>
          <w:sz w:val="22"/>
          <w:szCs w:val="22"/>
          <w:highlight w:val="cyan"/>
          <w:lang w:val="en"/>
        </w:rPr>
        <w:t>Based on these results, strengthening community empowerment requires a practical focus on capacity and coordination. Priority actions include improving the quality of human resources among both BDK implementers and participating farmers, enhancing technical and managerial skills for forest and agroforestry management, and intensifying program socialization to improve understanding of program rules and benefits. In addition, stronger cross-sector collaboration is needed to address operational constraints, and greater engagement of central government institutions can help improve support mechanisms and ensure program continuity. Overall, aligning institutional support with community needs and incentives is essential for sustaining participation and achieving long-term rehabilitation outcomes.</w:t>
      </w:r>
    </w:p>
    <w:p w14:paraId="577031D6" w14:textId="77777777" w:rsidR="00C4228D" w:rsidRDefault="00C4228D" w:rsidP="00DC15C8">
      <w:pPr>
        <w:pStyle w:val="HTMLPreformatted"/>
        <w:ind w:firstLine="567"/>
        <w:jc w:val="both"/>
        <w:rPr>
          <w:rStyle w:val="y2iqfc"/>
          <w:rFonts w:ascii="Times New Roman" w:eastAsiaTheme="majorEastAsia" w:hAnsi="Times New Roman" w:cs="Times New Roman"/>
          <w:sz w:val="22"/>
          <w:szCs w:val="22"/>
          <w:lang w:val="en"/>
        </w:rPr>
      </w:pPr>
    </w:p>
    <w:p w14:paraId="381FFDB3" w14:textId="77777777" w:rsidR="00546A56" w:rsidRPr="00C4228D" w:rsidRDefault="00546A56" w:rsidP="00546A56">
      <w:pPr>
        <w:keepNext/>
        <w:keepLines/>
        <w:spacing w:before="120" w:after="120" w:line="360" w:lineRule="auto"/>
        <w:jc w:val="both"/>
        <w:outlineLvl w:val="1"/>
        <w:rPr>
          <w:rFonts w:ascii="Times New Roman" w:eastAsia="Times New Roman" w:hAnsi="Times New Roman" w:cs="Times New Roman"/>
          <w:bCs/>
          <w:sz w:val="24"/>
          <w:szCs w:val="24"/>
          <w:lang w:eastAsia="en-IN"/>
        </w:rPr>
      </w:pPr>
      <w:bookmarkStart w:id="1" w:name="_Hlk218867759"/>
      <w:bookmarkStart w:id="2" w:name="_Hlk219125673"/>
      <w:r w:rsidRPr="00C4228D">
        <w:rPr>
          <w:rFonts w:ascii="Times New Roman" w:eastAsia="Times New Roman" w:hAnsi="Times New Roman" w:cs="Times New Roman"/>
          <w:bCs/>
          <w:sz w:val="24"/>
          <w:szCs w:val="24"/>
          <w:lang w:eastAsia="en-IN"/>
        </w:rPr>
        <w:t>Disclaimer (Artificial intelligence)</w:t>
      </w:r>
    </w:p>
    <w:p w14:paraId="3099432A" w14:textId="5544B1F5" w:rsidR="00DC15C8" w:rsidRPr="00C4228D" w:rsidRDefault="00546A56" w:rsidP="00EC6515">
      <w:pPr>
        <w:keepNext/>
        <w:keepLines/>
        <w:spacing w:before="120" w:after="120" w:line="360" w:lineRule="auto"/>
        <w:jc w:val="both"/>
        <w:outlineLvl w:val="1"/>
        <w:rPr>
          <w:rStyle w:val="y2iqfc"/>
          <w:rFonts w:ascii="Times New Roman" w:eastAsia="Times New Roman" w:hAnsi="Times New Roman" w:cs="Times New Roman"/>
          <w:bCs/>
          <w:sz w:val="24"/>
          <w:szCs w:val="24"/>
          <w:lang w:eastAsia="en-IN"/>
        </w:rPr>
      </w:pPr>
      <w:r w:rsidRPr="00C4228D">
        <w:rPr>
          <w:rFonts w:ascii="Times New Roman" w:eastAsia="Times New Roman" w:hAnsi="Times New Roman" w:cs="Times New Roman"/>
          <w:bCs/>
          <w:sz w:val="24"/>
          <w:szCs w:val="24"/>
          <w:lang w:eastAsia="en-IN"/>
        </w:rPr>
        <w:t>Author(s) hereby declare that NO generative AI technologies such as Large Language Models (</w:t>
      </w:r>
      <w:proofErr w:type="spellStart"/>
      <w:r w:rsidRPr="00C4228D">
        <w:rPr>
          <w:rFonts w:ascii="Times New Roman" w:eastAsia="Times New Roman" w:hAnsi="Times New Roman" w:cs="Times New Roman"/>
          <w:bCs/>
          <w:sz w:val="24"/>
          <w:szCs w:val="24"/>
          <w:lang w:eastAsia="en-IN"/>
        </w:rPr>
        <w:t>ChatGPT</w:t>
      </w:r>
      <w:proofErr w:type="spellEnd"/>
      <w:r w:rsidRPr="00C4228D">
        <w:rPr>
          <w:rFonts w:ascii="Times New Roman" w:eastAsia="Times New Roman" w:hAnsi="Times New Roman" w:cs="Times New Roman"/>
          <w:bCs/>
          <w:sz w:val="24"/>
          <w:szCs w:val="24"/>
          <w:lang w:eastAsia="en-IN"/>
        </w:rPr>
        <w:t xml:space="preserve">, COPILOT, etc.) and text-to-image generators have been used during the writing or editing of this manuscript. </w:t>
      </w:r>
      <w:bookmarkEnd w:id="1"/>
      <w:bookmarkEnd w:id="2"/>
    </w:p>
    <w:p w14:paraId="42171A94" w14:textId="6C57C23A" w:rsidR="00DC15C8" w:rsidRPr="002D0283" w:rsidRDefault="00EC6515" w:rsidP="002D0283">
      <w:pPr>
        <w:pStyle w:val="HTMLPreformatted"/>
        <w:ind w:left="567" w:hanging="567"/>
        <w:jc w:val="both"/>
        <w:rPr>
          <w:rStyle w:val="y2iqfc"/>
          <w:rFonts w:ascii="Times New Roman" w:eastAsiaTheme="majorEastAsia" w:hAnsi="Times New Roman" w:cs="Times New Roman"/>
          <w:b/>
          <w:bCs/>
          <w:sz w:val="22"/>
          <w:szCs w:val="22"/>
          <w:lang w:val="en"/>
        </w:rPr>
      </w:pPr>
      <w:r w:rsidRPr="00C4228D">
        <w:rPr>
          <w:rStyle w:val="y2iqfc"/>
          <w:rFonts w:ascii="Times New Roman" w:eastAsiaTheme="majorEastAsia" w:hAnsi="Times New Roman" w:cs="Times New Roman"/>
          <w:b/>
          <w:bCs/>
          <w:sz w:val="22"/>
          <w:szCs w:val="22"/>
          <w:lang w:val="en"/>
        </w:rPr>
        <w:t>REFERENCE</w:t>
      </w:r>
    </w:p>
    <w:p w14:paraId="5BCF5F02" w14:textId="77777777"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lastRenderedPageBreak/>
        <w:t>Craig, G. and M. Mayo. 1995. Community Empowerment: A Reader in Participation and Development, London.</w:t>
      </w:r>
    </w:p>
    <w:p w14:paraId="3D7CC798" w14:textId="77777777"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Department of Home Affairs. 1994. Operational Guidelines for Village Development. Directorate General of Human Development and Development, Ministry of Home Affairs, Jakarta.</w:t>
      </w:r>
    </w:p>
    <w:p w14:paraId="7701E589" w14:textId="77777777"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Department of Forestry. 1999. Report on the Study of Research and Development of Soil Conservation with Agroforestry Patterns in </w:t>
      </w:r>
      <w:proofErr w:type="spellStart"/>
      <w:r w:rsidRPr="002D0283">
        <w:rPr>
          <w:rStyle w:val="y2iqfc"/>
          <w:rFonts w:ascii="Times New Roman" w:eastAsiaTheme="majorEastAsia" w:hAnsi="Times New Roman" w:cs="Times New Roman"/>
          <w:sz w:val="22"/>
          <w:szCs w:val="22"/>
          <w:lang w:val="en"/>
        </w:rPr>
        <w:t>Santani</w:t>
      </w:r>
      <w:proofErr w:type="spellEnd"/>
      <w:r w:rsidRPr="002D0283">
        <w:rPr>
          <w:rStyle w:val="y2iqfc"/>
          <w:rFonts w:ascii="Times New Roman" w:eastAsiaTheme="majorEastAsia" w:hAnsi="Times New Roman" w:cs="Times New Roman"/>
          <w:sz w:val="22"/>
          <w:szCs w:val="22"/>
          <w:lang w:val="en"/>
        </w:rPr>
        <w:t xml:space="preserve">. </w:t>
      </w:r>
      <w:proofErr w:type="spellStart"/>
      <w:r w:rsidRPr="002D0283">
        <w:rPr>
          <w:rStyle w:val="y2iqfc"/>
          <w:rFonts w:ascii="Times New Roman" w:eastAsiaTheme="majorEastAsia" w:hAnsi="Times New Roman" w:cs="Times New Roman"/>
          <w:sz w:val="22"/>
          <w:szCs w:val="22"/>
          <w:lang w:val="en"/>
        </w:rPr>
        <w:t>Balitbanghutbut</w:t>
      </w:r>
      <w:proofErr w:type="spellEnd"/>
      <w:r w:rsidRPr="002D0283">
        <w:rPr>
          <w:rStyle w:val="y2iqfc"/>
          <w:rFonts w:ascii="Times New Roman" w:eastAsiaTheme="majorEastAsia" w:hAnsi="Times New Roman" w:cs="Times New Roman"/>
          <w:sz w:val="22"/>
          <w:szCs w:val="22"/>
          <w:lang w:val="en"/>
        </w:rPr>
        <w:t>, Ministry of Forestry.</w:t>
      </w:r>
    </w:p>
    <w:p w14:paraId="1ECFB860" w14:textId="77777777"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Demographic Institute, University of Indonesia. 2004. Demographic Fundamentals. Faculty of Economics. Faculty of Economics, University of Indonesia, 2004.</w:t>
      </w:r>
    </w:p>
    <w:p w14:paraId="09229D75" w14:textId="77777777" w:rsidR="00EC6515" w:rsidRPr="00C4228D" w:rsidRDefault="00EC6515" w:rsidP="00980DB0">
      <w:pPr>
        <w:pStyle w:val="HTMLPreformatted"/>
        <w:numPr>
          <w:ilvl w:val="0"/>
          <w:numId w:val="2"/>
        </w:numPr>
        <w:jc w:val="both"/>
        <w:rPr>
          <w:rFonts w:ascii="Times New Roman" w:hAnsi="Times New Roman" w:cs="Times New Roman"/>
          <w:sz w:val="22"/>
          <w:szCs w:val="22"/>
        </w:rPr>
      </w:pPr>
      <w:proofErr w:type="spellStart"/>
      <w:r w:rsidRPr="00C4228D">
        <w:rPr>
          <w:rStyle w:val="y2iqfc"/>
          <w:rFonts w:ascii="Times New Roman" w:eastAsiaTheme="majorEastAsia" w:hAnsi="Times New Roman" w:cs="Times New Roman"/>
          <w:sz w:val="22"/>
          <w:szCs w:val="22"/>
          <w:lang w:val="en"/>
        </w:rPr>
        <w:t>Hafidah</w:t>
      </w:r>
      <w:proofErr w:type="spellEnd"/>
      <w:r w:rsidRPr="00C4228D">
        <w:rPr>
          <w:rStyle w:val="y2iqfc"/>
          <w:rFonts w:ascii="Times New Roman" w:eastAsiaTheme="majorEastAsia" w:hAnsi="Times New Roman" w:cs="Times New Roman"/>
          <w:sz w:val="22"/>
          <w:szCs w:val="22"/>
          <w:lang w:val="en"/>
        </w:rPr>
        <w:t xml:space="preserve"> Nur, </w:t>
      </w:r>
      <w:proofErr w:type="spellStart"/>
      <w:r w:rsidRPr="00C4228D">
        <w:rPr>
          <w:rStyle w:val="y2iqfc"/>
          <w:rFonts w:ascii="Times New Roman" w:eastAsiaTheme="majorEastAsia" w:hAnsi="Times New Roman" w:cs="Times New Roman"/>
          <w:sz w:val="22"/>
          <w:szCs w:val="22"/>
          <w:lang w:val="en"/>
        </w:rPr>
        <w:t>Basrudin</w:t>
      </w:r>
      <w:proofErr w:type="spellEnd"/>
      <w:r w:rsidRPr="00C4228D">
        <w:rPr>
          <w:rStyle w:val="y2iqfc"/>
          <w:rFonts w:ascii="Times New Roman" w:eastAsiaTheme="majorEastAsia" w:hAnsi="Times New Roman" w:cs="Times New Roman"/>
          <w:sz w:val="22"/>
          <w:szCs w:val="22"/>
          <w:lang w:val="en"/>
        </w:rPr>
        <w:t xml:space="preserve">, </w:t>
      </w:r>
      <w:proofErr w:type="spellStart"/>
      <w:r w:rsidRPr="00C4228D">
        <w:rPr>
          <w:rStyle w:val="y2iqfc"/>
          <w:rFonts w:ascii="Times New Roman" w:eastAsiaTheme="majorEastAsia" w:hAnsi="Times New Roman" w:cs="Times New Roman"/>
          <w:sz w:val="22"/>
          <w:szCs w:val="22"/>
          <w:lang w:val="en"/>
        </w:rPr>
        <w:t>Rosmarlinasiah</w:t>
      </w:r>
      <w:proofErr w:type="spellEnd"/>
      <w:r w:rsidRPr="00C4228D">
        <w:rPr>
          <w:rStyle w:val="y2iqfc"/>
          <w:rFonts w:ascii="Times New Roman" w:eastAsiaTheme="majorEastAsia" w:hAnsi="Times New Roman" w:cs="Times New Roman"/>
          <w:sz w:val="22"/>
          <w:szCs w:val="22"/>
          <w:lang w:val="en"/>
        </w:rPr>
        <w:t xml:space="preserve">, S.A. </w:t>
      </w:r>
      <w:proofErr w:type="spellStart"/>
      <w:r w:rsidRPr="00C4228D">
        <w:rPr>
          <w:rStyle w:val="y2iqfc"/>
          <w:rFonts w:ascii="Times New Roman" w:eastAsiaTheme="majorEastAsia" w:hAnsi="Times New Roman" w:cs="Times New Roman"/>
          <w:sz w:val="22"/>
          <w:szCs w:val="22"/>
          <w:lang w:val="en"/>
        </w:rPr>
        <w:t>Laksananny</w:t>
      </w:r>
      <w:proofErr w:type="spellEnd"/>
      <w:r w:rsidRPr="00C4228D">
        <w:rPr>
          <w:rStyle w:val="y2iqfc"/>
          <w:rFonts w:ascii="Times New Roman" w:eastAsiaTheme="majorEastAsia" w:hAnsi="Times New Roman" w:cs="Times New Roman"/>
          <w:sz w:val="22"/>
          <w:szCs w:val="22"/>
          <w:lang w:val="en"/>
        </w:rPr>
        <w:t xml:space="preserve">, Z. </w:t>
      </w:r>
      <w:proofErr w:type="spellStart"/>
      <w:r w:rsidRPr="00C4228D">
        <w:rPr>
          <w:rStyle w:val="y2iqfc"/>
          <w:rFonts w:ascii="Times New Roman" w:eastAsiaTheme="majorEastAsia" w:hAnsi="Times New Roman" w:cs="Times New Roman"/>
          <w:sz w:val="22"/>
          <w:szCs w:val="22"/>
          <w:lang w:val="en"/>
        </w:rPr>
        <w:t>Uslinawaty</w:t>
      </w:r>
      <w:proofErr w:type="spellEnd"/>
      <w:r w:rsidRPr="00C4228D">
        <w:rPr>
          <w:rStyle w:val="y2iqfc"/>
          <w:rFonts w:ascii="Times New Roman" w:eastAsiaTheme="majorEastAsia" w:hAnsi="Times New Roman" w:cs="Times New Roman"/>
          <w:sz w:val="22"/>
          <w:szCs w:val="22"/>
          <w:lang w:val="en"/>
        </w:rPr>
        <w:t xml:space="preserve">, L.O.A.S. Mando, A. </w:t>
      </w:r>
      <w:proofErr w:type="spellStart"/>
      <w:r w:rsidRPr="00C4228D">
        <w:rPr>
          <w:rStyle w:val="y2iqfc"/>
          <w:rFonts w:ascii="Times New Roman" w:eastAsiaTheme="majorEastAsia" w:hAnsi="Times New Roman" w:cs="Times New Roman"/>
          <w:sz w:val="22"/>
          <w:szCs w:val="22"/>
          <w:lang w:val="en"/>
        </w:rPr>
        <w:t>Flamin</w:t>
      </w:r>
      <w:proofErr w:type="spellEnd"/>
      <w:r w:rsidRPr="00C4228D">
        <w:rPr>
          <w:rStyle w:val="y2iqfc"/>
          <w:rFonts w:ascii="Times New Roman" w:eastAsiaTheme="majorEastAsia" w:hAnsi="Times New Roman" w:cs="Times New Roman"/>
          <w:sz w:val="22"/>
          <w:szCs w:val="22"/>
          <w:lang w:val="en"/>
        </w:rPr>
        <w:t xml:space="preserve">, M.N. Purnomo. 2025. Community Empowerment Through Sustainable Agroforestry Systems in </w:t>
      </w:r>
      <w:proofErr w:type="spellStart"/>
      <w:r w:rsidRPr="00C4228D">
        <w:rPr>
          <w:rStyle w:val="y2iqfc"/>
          <w:rFonts w:ascii="Times New Roman" w:eastAsiaTheme="majorEastAsia" w:hAnsi="Times New Roman" w:cs="Times New Roman"/>
          <w:sz w:val="22"/>
          <w:szCs w:val="22"/>
          <w:lang w:val="en"/>
        </w:rPr>
        <w:t>Teporoko</w:t>
      </w:r>
      <w:proofErr w:type="spellEnd"/>
      <w:r w:rsidRPr="00C4228D">
        <w:rPr>
          <w:rStyle w:val="y2iqfc"/>
          <w:rFonts w:ascii="Times New Roman" w:eastAsiaTheme="majorEastAsia" w:hAnsi="Times New Roman" w:cs="Times New Roman"/>
          <w:sz w:val="22"/>
          <w:szCs w:val="22"/>
          <w:lang w:val="en"/>
        </w:rPr>
        <w:t xml:space="preserve"> Village, Southeast </w:t>
      </w:r>
      <w:proofErr w:type="spellStart"/>
      <w:r w:rsidRPr="00C4228D">
        <w:rPr>
          <w:rStyle w:val="y2iqfc"/>
          <w:rFonts w:ascii="Times New Roman" w:eastAsiaTheme="majorEastAsia" w:hAnsi="Times New Roman" w:cs="Times New Roman"/>
          <w:sz w:val="22"/>
          <w:szCs w:val="22"/>
          <w:lang w:val="en"/>
        </w:rPr>
        <w:t>Wawonii</w:t>
      </w:r>
      <w:proofErr w:type="spellEnd"/>
      <w:r w:rsidRPr="00C4228D">
        <w:rPr>
          <w:rStyle w:val="y2iqfc"/>
          <w:rFonts w:ascii="Times New Roman" w:eastAsiaTheme="majorEastAsia" w:hAnsi="Times New Roman" w:cs="Times New Roman"/>
          <w:sz w:val="22"/>
          <w:szCs w:val="22"/>
          <w:lang w:val="en"/>
        </w:rPr>
        <w:t xml:space="preserve"> District, </w:t>
      </w:r>
      <w:proofErr w:type="spellStart"/>
      <w:r w:rsidRPr="00C4228D">
        <w:rPr>
          <w:rStyle w:val="y2iqfc"/>
          <w:rFonts w:ascii="Times New Roman" w:eastAsiaTheme="majorEastAsia" w:hAnsi="Times New Roman" w:cs="Times New Roman"/>
          <w:sz w:val="22"/>
          <w:szCs w:val="22"/>
          <w:lang w:val="en"/>
        </w:rPr>
        <w:t>Konawe</w:t>
      </w:r>
      <w:proofErr w:type="spellEnd"/>
      <w:r w:rsidRPr="00C4228D">
        <w:rPr>
          <w:rStyle w:val="y2iqfc"/>
          <w:rFonts w:ascii="Times New Roman" w:eastAsiaTheme="majorEastAsia" w:hAnsi="Times New Roman" w:cs="Times New Roman"/>
          <w:sz w:val="22"/>
          <w:szCs w:val="22"/>
          <w:lang w:val="en"/>
        </w:rPr>
        <w:t xml:space="preserve"> Islands Regency. </w:t>
      </w:r>
      <w:proofErr w:type="spellStart"/>
      <w:r w:rsidRPr="00C4228D">
        <w:rPr>
          <w:rStyle w:val="y2iqfc"/>
          <w:rFonts w:ascii="Times New Roman" w:eastAsiaTheme="majorEastAsia" w:hAnsi="Times New Roman" w:cs="Times New Roman"/>
          <w:sz w:val="22"/>
          <w:szCs w:val="22"/>
          <w:lang w:val="en"/>
        </w:rPr>
        <w:t>Ecoforest</w:t>
      </w:r>
      <w:proofErr w:type="spellEnd"/>
      <w:r w:rsidRPr="00C4228D">
        <w:rPr>
          <w:rStyle w:val="y2iqfc"/>
          <w:rFonts w:ascii="Times New Roman" w:eastAsiaTheme="majorEastAsia" w:hAnsi="Times New Roman" w:cs="Times New Roman"/>
          <w:sz w:val="22"/>
          <w:szCs w:val="22"/>
          <w:lang w:val="en"/>
        </w:rPr>
        <w:t xml:space="preserve"> Journal. 3 (1):23-28.</w:t>
      </w:r>
    </w:p>
    <w:p w14:paraId="43E98B2B" w14:textId="70186689" w:rsidR="00EC6515" w:rsidRPr="00EC6515" w:rsidRDefault="00EC6515" w:rsidP="00980DB0">
      <w:pPr>
        <w:pStyle w:val="HTMLPreformatted"/>
        <w:numPr>
          <w:ilvl w:val="0"/>
          <w:numId w:val="2"/>
        </w:numPr>
        <w:jc w:val="both"/>
        <w:rPr>
          <w:rStyle w:val="y2iqfc"/>
          <w:rFonts w:ascii="Times New Roman" w:hAnsi="Times New Roman" w:cs="Times New Roman"/>
          <w:sz w:val="22"/>
          <w:szCs w:val="22"/>
        </w:rPr>
      </w:pPr>
      <w:proofErr w:type="spellStart"/>
      <w:r w:rsidRPr="00C4228D">
        <w:rPr>
          <w:rStyle w:val="y2iqfc"/>
          <w:rFonts w:ascii="Times New Roman" w:eastAsiaTheme="majorEastAsia" w:hAnsi="Times New Roman" w:cs="Times New Roman"/>
          <w:sz w:val="22"/>
          <w:szCs w:val="22"/>
          <w:lang w:val="en"/>
        </w:rPr>
        <w:t>Mahaputra</w:t>
      </w:r>
      <w:proofErr w:type="spellEnd"/>
      <w:r w:rsidRPr="00C4228D">
        <w:rPr>
          <w:rStyle w:val="y2iqfc"/>
          <w:rFonts w:ascii="Times New Roman" w:eastAsiaTheme="majorEastAsia" w:hAnsi="Times New Roman" w:cs="Times New Roman"/>
          <w:sz w:val="22"/>
          <w:szCs w:val="22"/>
          <w:lang w:val="en"/>
        </w:rPr>
        <w:t xml:space="preserve">, W., A. Ilham, A.H. </w:t>
      </w:r>
      <w:proofErr w:type="spellStart"/>
      <w:r w:rsidRPr="00C4228D">
        <w:rPr>
          <w:rStyle w:val="y2iqfc"/>
          <w:rFonts w:ascii="Times New Roman" w:eastAsiaTheme="majorEastAsia" w:hAnsi="Times New Roman" w:cs="Times New Roman"/>
          <w:sz w:val="22"/>
          <w:szCs w:val="22"/>
          <w:lang w:val="en"/>
        </w:rPr>
        <w:t>Anam</w:t>
      </w:r>
      <w:proofErr w:type="spellEnd"/>
      <w:r w:rsidRPr="00C4228D">
        <w:rPr>
          <w:rStyle w:val="y2iqfc"/>
          <w:rFonts w:ascii="Times New Roman" w:eastAsiaTheme="majorEastAsia" w:hAnsi="Times New Roman" w:cs="Times New Roman"/>
          <w:sz w:val="22"/>
          <w:szCs w:val="22"/>
          <w:lang w:val="en"/>
        </w:rPr>
        <w:t xml:space="preserve">, and M. Arifin. 2024. Empowerment of Forest Village Conservation Communities in </w:t>
      </w:r>
      <w:proofErr w:type="spellStart"/>
      <w:r w:rsidRPr="00C4228D">
        <w:rPr>
          <w:rStyle w:val="y2iqfc"/>
          <w:rFonts w:ascii="Times New Roman" w:eastAsiaTheme="majorEastAsia" w:hAnsi="Times New Roman" w:cs="Times New Roman"/>
          <w:sz w:val="22"/>
          <w:szCs w:val="22"/>
          <w:lang w:val="en"/>
        </w:rPr>
        <w:t>Tubanan</w:t>
      </w:r>
      <w:proofErr w:type="spellEnd"/>
      <w:r w:rsidRPr="00C4228D">
        <w:rPr>
          <w:rStyle w:val="y2iqfc"/>
          <w:rFonts w:ascii="Times New Roman" w:eastAsiaTheme="majorEastAsia" w:hAnsi="Times New Roman" w:cs="Times New Roman"/>
          <w:sz w:val="22"/>
          <w:szCs w:val="22"/>
          <w:lang w:val="en"/>
        </w:rPr>
        <w:t xml:space="preserve"> Village Through Agroforestry Development. Encyclopedia of Journals. 6 (4): 56-65.</w:t>
      </w:r>
    </w:p>
    <w:p w14:paraId="3F93795E" w14:textId="619C64FD" w:rsidR="002D0283" w:rsidRPr="00EC6515" w:rsidRDefault="002D0283" w:rsidP="00980DB0">
      <w:pPr>
        <w:pStyle w:val="HTMLPreformatted"/>
        <w:numPr>
          <w:ilvl w:val="0"/>
          <w:numId w:val="2"/>
        </w:numPr>
        <w:jc w:val="both"/>
        <w:rPr>
          <w:rStyle w:val="y2iqfc"/>
          <w:rFonts w:ascii="Times New Roman" w:hAnsi="Times New Roman" w:cs="Times New Roman"/>
          <w:sz w:val="22"/>
          <w:szCs w:val="22"/>
        </w:rPr>
      </w:pPr>
      <w:proofErr w:type="spellStart"/>
      <w:r w:rsidRPr="002D0283">
        <w:rPr>
          <w:rStyle w:val="y2iqfc"/>
          <w:rFonts w:ascii="Times New Roman" w:eastAsiaTheme="majorEastAsia" w:hAnsi="Times New Roman" w:cs="Times New Roman"/>
          <w:sz w:val="22"/>
          <w:szCs w:val="22"/>
          <w:lang w:val="en"/>
        </w:rPr>
        <w:t>Michon</w:t>
      </w:r>
      <w:proofErr w:type="spellEnd"/>
      <w:r w:rsidRPr="002D0283">
        <w:rPr>
          <w:rStyle w:val="y2iqfc"/>
          <w:rFonts w:ascii="Times New Roman" w:eastAsiaTheme="majorEastAsia" w:hAnsi="Times New Roman" w:cs="Times New Roman"/>
          <w:sz w:val="22"/>
          <w:szCs w:val="22"/>
          <w:lang w:val="en"/>
        </w:rPr>
        <w:t xml:space="preserve">, G. and H. de </w:t>
      </w:r>
      <w:proofErr w:type="spellStart"/>
      <w:r w:rsidRPr="002D0283">
        <w:rPr>
          <w:rStyle w:val="y2iqfc"/>
          <w:rFonts w:ascii="Times New Roman" w:eastAsiaTheme="majorEastAsia" w:hAnsi="Times New Roman" w:cs="Times New Roman"/>
          <w:sz w:val="22"/>
          <w:szCs w:val="22"/>
          <w:lang w:val="en"/>
        </w:rPr>
        <w:t>Foresta</w:t>
      </w:r>
      <w:proofErr w:type="spellEnd"/>
      <w:r w:rsidRPr="002D0283">
        <w:rPr>
          <w:rStyle w:val="y2iqfc"/>
          <w:rFonts w:ascii="Times New Roman" w:eastAsiaTheme="majorEastAsia" w:hAnsi="Times New Roman" w:cs="Times New Roman"/>
          <w:sz w:val="22"/>
          <w:szCs w:val="22"/>
          <w:lang w:val="en"/>
        </w:rPr>
        <w:t xml:space="preserve">. 1995. The Indonesian </w:t>
      </w:r>
      <w:proofErr w:type="spellStart"/>
      <w:r w:rsidRPr="002D0283">
        <w:rPr>
          <w:rStyle w:val="y2iqfc"/>
          <w:rFonts w:ascii="Times New Roman" w:eastAsiaTheme="majorEastAsia" w:hAnsi="Times New Roman" w:cs="Times New Roman"/>
          <w:sz w:val="22"/>
          <w:szCs w:val="22"/>
          <w:lang w:val="en"/>
        </w:rPr>
        <w:t>Agro</w:t>
      </w:r>
      <w:proofErr w:type="spellEnd"/>
      <w:r w:rsidRPr="002D0283">
        <w:rPr>
          <w:rStyle w:val="y2iqfc"/>
          <w:rFonts w:ascii="Times New Roman" w:eastAsiaTheme="majorEastAsia" w:hAnsi="Times New Roman" w:cs="Times New Roman"/>
          <w:sz w:val="22"/>
          <w:szCs w:val="22"/>
          <w:lang w:val="en"/>
        </w:rPr>
        <w:t>-Forest Model: Forest Resource Management and Biodiversity Conservation. In Halladay</w:t>
      </w:r>
      <w:r>
        <w:rPr>
          <w:rStyle w:val="y2iqfc"/>
          <w:rFonts w:ascii="Times New Roman" w:eastAsiaTheme="majorEastAsia" w:hAnsi="Times New Roman" w:cs="Times New Roman"/>
          <w:sz w:val="22"/>
          <w:szCs w:val="22"/>
          <w:lang w:val="en"/>
        </w:rPr>
        <w:t>,</w:t>
      </w:r>
      <w:r w:rsidRPr="002D0283">
        <w:rPr>
          <w:rStyle w:val="y2iqfc"/>
          <w:rFonts w:ascii="Times New Roman" w:eastAsiaTheme="majorEastAsia" w:hAnsi="Times New Roman" w:cs="Times New Roman"/>
          <w:sz w:val="22"/>
          <w:szCs w:val="22"/>
          <w:lang w:val="en"/>
        </w:rPr>
        <w:t xml:space="preserve"> P. and D.A. Gilmour, eds.: Conserving Biodiversity Outside Protected Areas. The Role of Traditional</w:t>
      </w:r>
    </w:p>
    <w:p w14:paraId="5900BCC7" w14:textId="0BB3A71D" w:rsid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Muis</w:t>
      </w:r>
      <w:proofErr w:type="spellEnd"/>
      <w:r w:rsidRPr="002D0283">
        <w:rPr>
          <w:rStyle w:val="y2iqfc"/>
          <w:rFonts w:ascii="Times New Roman" w:eastAsiaTheme="majorEastAsia" w:hAnsi="Times New Roman" w:cs="Times New Roman"/>
          <w:sz w:val="22"/>
          <w:szCs w:val="22"/>
          <w:lang w:val="en"/>
        </w:rPr>
        <w:t xml:space="preserve">, H. 2007. Developing Community Participation in the National Forest and Land Rehabilitation Movement (GN-RHL). (Case study: </w:t>
      </w:r>
      <w:proofErr w:type="spellStart"/>
      <w:r w:rsidRPr="002D0283">
        <w:rPr>
          <w:rStyle w:val="y2iqfc"/>
          <w:rFonts w:ascii="Times New Roman" w:eastAsiaTheme="majorEastAsia" w:hAnsi="Times New Roman" w:cs="Times New Roman"/>
          <w:sz w:val="22"/>
          <w:szCs w:val="22"/>
          <w:lang w:val="en"/>
        </w:rPr>
        <w:t>Layana</w:t>
      </w:r>
      <w:proofErr w:type="spellEnd"/>
      <w:r w:rsidRPr="002D0283">
        <w:rPr>
          <w:rStyle w:val="y2iqfc"/>
          <w:rFonts w:ascii="Times New Roman" w:eastAsiaTheme="majorEastAsia" w:hAnsi="Times New Roman" w:cs="Times New Roman"/>
          <w:sz w:val="22"/>
          <w:szCs w:val="22"/>
          <w:lang w:val="en"/>
        </w:rPr>
        <w:t xml:space="preserve"> and </w:t>
      </w:r>
      <w:proofErr w:type="spellStart"/>
      <w:r w:rsidRPr="002D0283">
        <w:rPr>
          <w:rStyle w:val="y2iqfc"/>
          <w:rFonts w:ascii="Times New Roman" w:eastAsiaTheme="majorEastAsia" w:hAnsi="Times New Roman" w:cs="Times New Roman"/>
          <w:sz w:val="22"/>
          <w:szCs w:val="22"/>
          <w:lang w:val="en"/>
        </w:rPr>
        <w:t>Lambara</w:t>
      </w:r>
      <w:proofErr w:type="spellEnd"/>
      <w:r w:rsidRPr="002D0283">
        <w:rPr>
          <w:rStyle w:val="y2iqfc"/>
          <w:rFonts w:ascii="Times New Roman" w:eastAsiaTheme="majorEastAsia" w:hAnsi="Times New Roman" w:cs="Times New Roman"/>
          <w:sz w:val="22"/>
          <w:szCs w:val="22"/>
          <w:lang w:val="en"/>
        </w:rPr>
        <w:t xml:space="preserve"> sub-districts, East </w:t>
      </w:r>
      <w:proofErr w:type="spellStart"/>
      <w:r w:rsidRPr="002D0283">
        <w:rPr>
          <w:rStyle w:val="y2iqfc"/>
          <w:rFonts w:ascii="Times New Roman" w:eastAsiaTheme="majorEastAsia" w:hAnsi="Times New Roman" w:cs="Times New Roman"/>
          <w:sz w:val="22"/>
          <w:szCs w:val="22"/>
          <w:lang w:val="en"/>
        </w:rPr>
        <w:t>Palu</w:t>
      </w:r>
      <w:proofErr w:type="spellEnd"/>
      <w:r w:rsidRPr="002D0283">
        <w:rPr>
          <w:rStyle w:val="y2iqfc"/>
          <w:rFonts w:ascii="Times New Roman" w:eastAsiaTheme="majorEastAsia" w:hAnsi="Times New Roman" w:cs="Times New Roman"/>
          <w:sz w:val="22"/>
          <w:szCs w:val="22"/>
          <w:lang w:val="en"/>
        </w:rPr>
        <w:t xml:space="preserve"> District). Bogor Agricultural University, Bogor.</w:t>
      </w:r>
    </w:p>
    <w:p w14:paraId="3DE29320" w14:textId="38121CAF" w:rsidR="00EC6515" w:rsidRPr="00EC6515" w:rsidRDefault="00EC6515" w:rsidP="00980DB0">
      <w:pPr>
        <w:pStyle w:val="HTMLPreformatted"/>
        <w:numPr>
          <w:ilvl w:val="0"/>
          <w:numId w:val="2"/>
        </w:numPr>
        <w:jc w:val="both"/>
        <w:rPr>
          <w:rStyle w:val="y2iqfc"/>
          <w:rFonts w:ascii="Times New Roman" w:hAnsi="Times New Roman" w:cs="Times New Roman"/>
          <w:sz w:val="22"/>
          <w:szCs w:val="22"/>
        </w:rPr>
      </w:pPr>
      <w:proofErr w:type="spellStart"/>
      <w:r w:rsidRPr="00C4228D">
        <w:rPr>
          <w:rStyle w:val="y2iqfc"/>
          <w:rFonts w:ascii="Times New Roman" w:eastAsiaTheme="majorEastAsia" w:hAnsi="Times New Roman" w:cs="Times New Roman"/>
          <w:sz w:val="22"/>
          <w:szCs w:val="22"/>
          <w:lang w:val="en"/>
        </w:rPr>
        <w:t>Mustofa</w:t>
      </w:r>
      <w:proofErr w:type="spellEnd"/>
      <w:r w:rsidRPr="00C4228D">
        <w:rPr>
          <w:rStyle w:val="y2iqfc"/>
          <w:rFonts w:ascii="Times New Roman" w:eastAsiaTheme="majorEastAsia" w:hAnsi="Times New Roman" w:cs="Times New Roman"/>
          <w:sz w:val="22"/>
          <w:szCs w:val="22"/>
          <w:lang w:val="en"/>
        </w:rPr>
        <w:t xml:space="preserve">, M. S. 2013. The Behavior of Forest Village Communities in Utilizing Land Under Tree Stands. </w:t>
      </w:r>
      <w:proofErr w:type="spellStart"/>
      <w:r w:rsidRPr="00C4228D">
        <w:rPr>
          <w:rStyle w:val="y2iqfc"/>
          <w:rFonts w:ascii="Times New Roman" w:eastAsiaTheme="majorEastAsia" w:hAnsi="Times New Roman" w:cs="Times New Roman"/>
          <w:sz w:val="22"/>
          <w:szCs w:val="22"/>
          <w:lang w:val="en"/>
        </w:rPr>
        <w:t>Komunitas</w:t>
      </w:r>
      <w:proofErr w:type="spellEnd"/>
      <w:r w:rsidRPr="00C4228D">
        <w:rPr>
          <w:rStyle w:val="y2iqfc"/>
          <w:rFonts w:ascii="Times New Roman" w:eastAsiaTheme="majorEastAsia" w:hAnsi="Times New Roman" w:cs="Times New Roman"/>
          <w:sz w:val="22"/>
          <w:szCs w:val="22"/>
          <w:lang w:val="en"/>
        </w:rPr>
        <w:t>: International Journal of Indonesian Society and Culture, 3(1), 1–11. https://doi.org/10.15294/komunitas.v3i1.2287</w:t>
      </w:r>
    </w:p>
    <w:p w14:paraId="02EC7A53" w14:textId="061EC1BB"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Slamet</w:t>
      </w:r>
      <w:proofErr w:type="spellEnd"/>
      <w:r w:rsidRPr="002D0283">
        <w:rPr>
          <w:rStyle w:val="y2iqfc"/>
          <w:rFonts w:ascii="Times New Roman" w:eastAsiaTheme="majorEastAsia" w:hAnsi="Times New Roman" w:cs="Times New Roman"/>
          <w:sz w:val="22"/>
          <w:szCs w:val="22"/>
          <w:lang w:val="en"/>
        </w:rPr>
        <w:t xml:space="preserve">, Y. 1989. Basic Concepts of Social Participation. Inter-University Center for Social Studies. Gadjah </w:t>
      </w:r>
      <w:proofErr w:type="spellStart"/>
      <w:r w:rsidRPr="002D0283">
        <w:rPr>
          <w:rStyle w:val="y2iqfc"/>
          <w:rFonts w:ascii="Times New Roman" w:eastAsiaTheme="majorEastAsia" w:hAnsi="Times New Roman" w:cs="Times New Roman"/>
          <w:sz w:val="22"/>
          <w:szCs w:val="22"/>
          <w:lang w:val="en"/>
        </w:rPr>
        <w:t>Mada</w:t>
      </w:r>
      <w:proofErr w:type="spellEnd"/>
      <w:r w:rsidRPr="002D0283">
        <w:rPr>
          <w:rStyle w:val="y2iqfc"/>
          <w:rFonts w:ascii="Times New Roman" w:eastAsiaTheme="majorEastAsia" w:hAnsi="Times New Roman" w:cs="Times New Roman"/>
          <w:sz w:val="22"/>
          <w:szCs w:val="22"/>
          <w:lang w:val="en"/>
        </w:rPr>
        <w:t xml:space="preserve"> University, Yogyakarta.</w:t>
      </w:r>
    </w:p>
    <w:p w14:paraId="1644D285" w14:textId="64FACD44"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Slamet</w:t>
      </w:r>
      <w:proofErr w:type="spellEnd"/>
      <w:r w:rsidRPr="002D0283">
        <w:rPr>
          <w:rStyle w:val="y2iqfc"/>
          <w:rFonts w:ascii="Times New Roman" w:eastAsiaTheme="majorEastAsia" w:hAnsi="Times New Roman" w:cs="Times New Roman"/>
          <w:sz w:val="22"/>
          <w:szCs w:val="22"/>
          <w:lang w:val="en"/>
        </w:rPr>
        <w:t xml:space="preserve">, M. 2003. Community Empowerment in Shaping Human Behavior Patterns for Development. Edited by Ida </w:t>
      </w:r>
      <w:proofErr w:type="spellStart"/>
      <w:r w:rsidRPr="002D0283">
        <w:rPr>
          <w:rStyle w:val="y2iqfc"/>
          <w:rFonts w:ascii="Times New Roman" w:eastAsiaTheme="majorEastAsia" w:hAnsi="Times New Roman" w:cs="Times New Roman"/>
          <w:sz w:val="22"/>
          <w:szCs w:val="22"/>
          <w:lang w:val="en"/>
        </w:rPr>
        <w:t>Yustina</w:t>
      </w:r>
      <w:proofErr w:type="spellEnd"/>
      <w:r w:rsidRPr="002D0283">
        <w:rPr>
          <w:rStyle w:val="y2iqfc"/>
          <w:rFonts w:ascii="Times New Roman" w:eastAsiaTheme="majorEastAsia" w:hAnsi="Times New Roman" w:cs="Times New Roman"/>
          <w:sz w:val="22"/>
          <w:szCs w:val="22"/>
          <w:lang w:val="en"/>
        </w:rPr>
        <w:t xml:space="preserve"> and </w:t>
      </w:r>
      <w:proofErr w:type="spellStart"/>
      <w:r w:rsidRPr="002D0283">
        <w:rPr>
          <w:rStyle w:val="y2iqfc"/>
          <w:rFonts w:ascii="Times New Roman" w:eastAsiaTheme="majorEastAsia" w:hAnsi="Times New Roman" w:cs="Times New Roman"/>
          <w:sz w:val="22"/>
          <w:szCs w:val="22"/>
          <w:lang w:val="en"/>
        </w:rPr>
        <w:t>Adjat</w:t>
      </w:r>
      <w:proofErr w:type="spellEnd"/>
      <w:r w:rsidRPr="002D0283">
        <w:rPr>
          <w:rStyle w:val="y2iqfc"/>
          <w:rFonts w:ascii="Times New Roman" w:eastAsiaTheme="majorEastAsia" w:hAnsi="Times New Roman" w:cs="Times New Roman"/>
          <w:sz w:val="22"/>
          <w:szCs w:val="22"/>
          <w:lang w:val="en"/>
        </w:rPr>
        <w:t xml:space="preserve"> </w:t>
      </w:r>
      <w:proofErr w:type="spellStart"/>
      <w:r w:rsidRPr="002D0283">
        <w:rPr>
          <w:rStyle w:val="y2iqfc"/>
          <w:rFonts w:ascii="Times New Roman" w:eastAsiaTheme="majorEastAsia" w:hAnsi="Times New Roman" w:cs="Times New Roman"/>
          <w:sz w:val="22"/>
          <w:szCs w:val="22"/>
          <w:lang w:val="en"/>
        </w:rPr>
        <w:t>Sudradjat</w:t>
      </w:r>
      <w:proofErr w:type="spellEnd"/>
      <w:r w:rsidRPr="002D0283">
        <w:rPr>
          <w:rStyle w:val="y2iqfc"/>
          <w:rFonts w:ascii="Times New Roman" w:eastAsiaTheme="majorEastAsia" w:hAnsi="Times New Roman" w:cs="Times New Roman"/>
          <w:sz w:val="22"/>
          <w:szCs w:val="22"/>
          <w:lang w:val="en"/>
        </w:rPr>
        <w:t>. IPB Press, Bogor.</w:t>
      </w:r>
    </w:p>
    <w:p w14:paraId="4749590E" w14:textId="04A19B99" w:rsidR="002D0283" w:rsidRP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Suharjito</w:t>
      </w:r>
      <w:proofErr w:type="spellEnd"/>
      <w:r w:rsidRPr="002D0283">
        <w:rPr>
          <w:rStyle w:val="y2iqfc"/>
          <w:rFonts w:ascii="Times New Roman" w:eastAsiaTheme="majorEastAsia" w:hAnsi="Times New Roman" w:cs="Times New Roman"/>
          <w:sz w:val="22"/>
          <w:szCs w:val="22"/>
          <w:lang w:val="en"/>
        </w:rPr>
        <w:t xml:space="preserve">, D, </w:t>
      </w:r>
      <w:proofErr w:type="spellStart"/>
      <w:r w:rsidRPr="002D0283">
        <w:rPr>
          <w:rStyle w:val="y2iqfc"/>
          <w:rFonts w:ascii="Times New Roman" w:eastAsiaTheme="majorEastAsia" w:hAnsi="Times New Roman" w:cs="Times New Roman"/>
          <w:sz w:val="22"/>
          <w:szCs w:val="22"/>
          <w:lang w:val="en"/>
        </w:rPr>
        <w:t>Sundawati</w:t>
      </w:r>
      <w:proofErr w:type="spellEnd"/>
      <w:r w:rsidRPr="002D0283">
        <w:rPr>
          <w:rStyle w:val="y2iqfc"/>
          <w:rFonts w:ascii="Times New Roman" w:eastAsiaTheme="majorEastAsia" w:hAnsi="Times New Roman" w:cs="Times New Roman"/>
          <w:sz w:val="22"/>
          <w:szCs w:val="22"/>
          <w:lang w:val="en"/>
        </w:rPr>
        <w:t xml:space="preserve"> L, </w:t>
      </w:r>
      <w:proofErr w:type="spellStart"/>
      <w:r w:rsidRPr="002D0283">
        <w:rPr>
          <w:rStyle w:val="y2iqfc"/>
          <w:rFonts w:ascii="Times New Roman" w:eastAsiaTheme="majorEastAsia" w:hAnsi="Times New Roman" w:cs="Times New Roman"/>
          <w:sz w:val="22"/>
          <w:szCs w:val="22"/>
          <w:lang w:val="en"/>
        </w:rPr>
        <w:t>Suyanto</w:t>
      </w:r>
      <w:proofErr w:type="spellEnd"/>
      <w:r w:rsidRPr="002D0283">
        <w:rPr>
          <w:rStyle w:val="y2iqfc"/>
          <w:rFonts w:ascii="Times New Roman" w:eastAsiaTheme="majorEastAsia" w:hAnsi="Times New Roman" w:cs="Times New Roman"/>
          <w:sz w:val="22"/>
          <w:szCs w:val="22"/>
          <w:lang w:val="en"/>
        </w:rPr>
        <w:t xml:space="preserve">, and </w:t>
      </w:r>
      <w:proofErr w:type="spellStart"/>
      <w:r w:rsidRPr="002D0283">
        <w:rPr>
          <w:rStyle w:val="y2iqfc"/>
          <w:rFonts w:ascii="Times New Roman" w:eastAsiaTheme="majorEastAsia" w:hAnsi="Times New Roman" w:cs="Times New Roman"/>
          <w:sz w:val="22"/>
          <w:szCs w:val="22"/>
          <w:lang w:val="en"/>
        </w:rPr>
        <w:t>Utami</w:t>
      </w:r>
      <w:proofErr w:type="spellEnd"/>
      <w:r w:rsidRPr="002D0283">
        <w:rPr>
          <w:rStyle w:val="y2iqfc"/>
          <w:rFonts w:ascii="Times New Roman" w:eastAsiaTheme="majorEastAsia" w:hAnsi="Times New Roman" w:cs="Times New Roman"/>
          <w:sz w:val="22"/>
          <w:szCs w:val="22"/>
          <w:lang w:val="en"/>
        </w:rPr>
        <w:t xml:space="preserve"> SR. 2003. Socio-Economic and Cultural Aspects of Agroforestry. ICRAF, Bogor.</w:t>
      </w:r>
    </w:p>
    <w:p w14:paraId="63EA4F6A" w14:textId="77777777" w:rsidR="002D0283" w:rsidRDefault="002D0283" w:rsidP="00980DB0">
      <w:pPr>
        <w:pStyle w:val="HTMLPreformatted"/>
        <w:numPr>
          <w:ilvl w:val="0"/>
          <w:numId w:val="2"/>
        </w:numPr>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Trison</w:t>
      </w:r>
      <w:proofErr w:type="spellEnd"/>
      <w:r w:rsidRPr="002D0283">
        <w:rPr>
          <w:rStyle w:val="y2iqfc"/>
          <w:rFonts w:ascii="Times New Roman" w:eastAsiaTheme="majorEastAsia" w:hAnsi="Times New Roman" w:cs="Times New Roman"/>
          <w:sz w:val="22"/>
          <w:szCs w:val="22"/>
          <w:lang w:val="en"/>
        </w:rPr>
        <w:t>, S. 2005. Developing Community Participation in Forest Rehabilitation Activities. Postgraduate Program Thesis, Bogor Agricultural Institute, Bogor.</w:t>
      </w:r>
    </w:p>
    <w:p w14:paraId="3D24DC1E" w14:textId="436A04BD" w:rsidR="00EC6515" w:rsidRPr="00EC6515" w:rsidRDefault="00EC6515" w:rsidP="00980DB0">
      <w:pPr>
        <w:pStyle w:val="HTMLPreformatted"/>
        <w:numPr>
          <w:ilvl w:val="0"/>
          <w:numId w:val="2"/>
        </w:numPr>
        <w:jc w:val="both"/>
        <w:rPr>
          <w:rFonts w:ascii="Times New Roman" w:hAnsi="Times New Roman" w:cs="Times New Roman"/>
          <w:sz w:val="22"/>
          <w:szCs w:val="22"/>
        </w:rPr>
      </w:pPr>
      <w:proofErr w:type="spellStart"/>
      <w:r w:rsidRPr="00C4228D">
        <w:rPr>
          <w:rStyle w:val="y2iqfc"/>
          <w:rFonts w:ascii="Times New Roman" w:eastAsiaTheme="majorEastAsia" w:hAnsi="Times New Roman" w:cs="Times New Roman"/>
          <w:sz w:val="22"/>
          <w:szCs w:val="22"/>
          <w:lang w:val="en"/>
        </w:rPr>
        <w:t>Yeni</w:t>
      </w:r>
      <w:proofErr w:type="spellEnd"/>
      <w:r w:rsidRPr="00C4228D">
        <w:rPr>
          <w:rStyle w:val="y2iqfc"/>
          <w:rFonts w:ascii="Times New Roman" w:eastAsiaTheme="majorEastAsia" w:hAnsi="Times New Roman" w:cs="Times New Roman"/>
          <w:sz w:val="22"/>
          <w:szCs w:val="22"/>
          <w:lang w:val="en"/>
        </w:rPr>
        <w:t xml:space="preserve">, I., </w:t>
      </w:r>
      <w:proofErr w:type="spellStart"/>
      <w:r w:rsidRPr="00C4228D">
        <w:rPr>
          <w:rStyle w:val="y2iqfc"/>
          <w:rFonts w:ascii="Times New Roman" w:eastAsiaTheme="majorEastAsia" w:hAnsi="Times New Roman" w:cs="Times New Roman"/>
          <w:sz w:val="22"/>
          <w:szCs w:val="22"/>
          <w:lang w:val="en"/>
        </w:rPr>
        <w:t>Murniati</w:t>
      </w:r>
      <w:proofErr w:type="spellEnd"/>
      <w:r w:rsidRPr="00C4228D">
        <w:rPr>
          <w:rStyle w:val="y2iqfc"/>
          <w:rFonts w:ascii="Times New Roman" w:eastAsiaTheme="majorEastAsia" w:hAnsi="Times New Roman" w:cs="Times New Roman"/>
          <w:sz w:val="22"/>
          <w:szCs w:val="22"/>
          <w:lang w:val="en"/>
        </w:rPr>
        <w:t xml:space="preserve">, and S. </w:t>
      </w:r>
      <w:proofErr w:type="spellStart"/>
      <w:r w:rsidRPr="00C4228D">
        <w:rPr>
          <w:rStyle w:val="y2iqfc"/>
          <w:rFonts w:ascii="Times New Roman" w:eastAsiaTheme="majorEastAsia" w:hAnsi="Times New Roman" w:cs="Times New Roman"/>
          <w:sz w:val="22"/>
          <w:szCs w:val="22"/>
          <w:lang w:val="en"/>
        </w:rPr>
        <w:t>Suharti</w:t>
      </w:r>
      <w:proofErr w:type="spellEnd"/>
      <w:r w:rsidRPr="00C4228D">
        <w:rPr>
          <w:rStyle w:val="y2iqfc"/>
          <w:rFonts w:ascii="Times New Roman" w:eastAsiaTheme="majorEastAsia" w:hAnsi="Times New Roman" w:cs="Times New Roman"/>
          <w:sz w:val="22"/>
          <w:szCs w:val="22"/>
          <w:lang w:val="en"/>
        </w:rPr>
        <w:t xml:space="preserve">. 2020. Community Participation in Agroforestry Development in the </w:t>
      </w:r>
      <w:proofErr w:type="spellStart"/>
      <w:r w:rsidRPr="00C4228D">
        <w:rPr>
          <w:rStyle w:val="y2iqfc"/>
          <w:rFonts w:ascii="Times New Roman" w:eastAsiaTheme="majorEastAsia" w:hAnsi="Times New Roman" w:cs="Times New Roman"/>
          <w:sz w:val="22"/>
          <w:szCs w:val="22"/>
          <w:lang w:val="en"/>
        </w:rPr>
        <w:t>Gedong</w:t>
      </w:r>
      <w:proofErr w:type="spellEnd"/>
      <w:r w:rsidRPr="00C4228D">
        <w:rPr>
          <w:rStyle w:val="y2iqfc"/>
          <w:rFonts w:ascii="Times New Roman" w:eastAsiaTheme="majorEastAsia" w:hAnsi="Times New Roman" w:cs="Times New Roman"/>
          <w:sz w:val="22"/>
          <w:szCs w:val="22"/>
          <w:lang w:val="en"/>
        </w:rPr>
        <w:t xml:space="preserve"> </w:t>
      </w:r>
      <w:proofErr w:type="spellStart"/>
      <w:r w:rsidRPr="00C4228D">
        <w:rPr>
          <w:rStyle w:val="y2iqfc"/>
          <w:rFonts w:ascii="Times New Roman" w:eastAsiaTheme="majorEastAsia" w:hAnsi="Times New Roman" w:cs="Times New Roman"/>
          <w:sz w:val="22"/>
          <w:szCs w:val="22"/>
          <w:lang w:val="en"/>
        </w:rPr>
        <w:t>Wani</w:t>
      </w:r>
      <w:proofErr w:type="spellEnd"/>
      <w:r w:rsidRPr="00C4228D">
        <w:rPr>
          <w:rStyle w:val="y2iqfc"/>
          <w:rFonts w:ascii="Times New Roman" w:eastAsiaTheme="majorEastAsia" w:hAnsi="Times New Roman" w:cs="Times New Roman"/>
          <w:sz w:val="22"/>
          <w:szCs w:val="22"/>
          <w:lang w:val="en"/>
        </w:rPr>
        <w:t xml:space="preserve"> Forest Management Unit (KPH). Journal of Social and Economic Forestry Research. 17 (1): 49-66.</w:t>
      </w:r>
    </w:p>
    <w:p w14:paraId="29CF017A" w14:textId="77777777" w:rsidR="00EC6515" w:rsidRPr="002D0283" w:rsidRDefault="00EC6515" w:rsidP="002D0283">
      <w:pPr>
        <w:pStyle w:val="HTMLPreformatted"/>
        <w:ind w:left="567" w:hanging="567"/>
        <w:jc w:val="both"/>
        <w:rPr>
          <w:rFonts w:ascii="Times New Roman" w:hAnsi="Times New Roman" w:cs="Times New Roman"/>
          <w:sz w:val="22"/>
          <w:szCs w:val="22"/>
        </w:rPr>
      </w:pPr>
    </w:p>
    <w:p w14:paraId="31814D3C" w14:textId="77777777" w:rsidR="00DC15C8" w:rsidRPr="002D0283" w:rsidRDefault="00DC15C8" w:rsidP="002D0283">
      <w:pPr>
        <w:pStyle w:val="HTMLPreformatted"/>
        <w:ind w:left="567" w:hanging="567"/>
        <w:jc w:val="both"/>
        <w:rPr>
          <w:rStyle w:val="y2iqfc"/>
          <w:rFonts w:ascii="Times New Roman" w:eastAsiaTheme="majorEastAsia" w:hAnsi="Times New Roman" w:cs="Times New Roman"/>
          <w:sz w:val="22"/>
          <w:szCs w:val="22"/>
          <w:lang w:val="en"/>
        </w:rPr>
      </w:pPr>
    </w:p>
    <w:sectPr w:rsidR="00DC15C8" w:rsidRPr="002D02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1E65" w14:textId="77777777" w:rsidR="009E4341" w:rsidRDefault="009E4341" w:rsidP="001808CC">
      <w:pPr>
        <w:spacing w:after="0" w:line="240" w:lineRule="auto"/>
      </w:pPr>
      <w:r>
        <w:separator/>
      </w:r>
    </w:p>
  </w:endnote>
  <w:endnote w:type="continuationSeparator" w:id="0">
    <w:p w14:paraId="30D04B11" w14:textId="77777777" w:rsidR="009E4341" w:rsidRDefault="009E4341" w:rsidP="0018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219A" w14:textId="77777777" w:rsidR="001808CC" w:rsidRDefault="00180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9779" w14:textId="77777777" w:rsidR="001808CC" w:rsidRDefault="00180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418C" w14:textId="77777777" w:rsidR="001808CC" w:rsidRDefault="00180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FA1C" w14:textId="77777777" w:rsidR="009E4341" w:rsidRDefault="009E4341" w:rsidP="001808CC">
      <w:pPr>
        <w:spacing w:after="0" w:line="240" w:lineRule="auto"/>
      </w:pPr>
      <w:r>
        <w:separator/>
      </w:r>
    </w:p>
  </w:footnote>
  <w:footnote w:type="continuationSeparator" w:id="0">
    <w:p w14:paraId="66C85EEB" w14:textId="77777777" w:rsidR="009E4341" w:rsidRDefault="009E4341" w:rsidP="0018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DF06" w14:textId="14386A63" w:rsidR="001808CC" w:rsidRDefault="009E4341">
    <w:pPr>
      <w:pStyle w:val="Header"/>
    </w:pPr>
    <w:r>
      <w:rPr>
        <w:noProof/>
      </w:rPr>
      <w:pict w14:anchorId="6B32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F86A" w14:textId="3CBE4B73" w:rsidR="001808CC" w:rsidRDefault="009E4341">
    <w:pPr>
      <w:pStyle w:val="Header"/>
    </w:pPr>
    <w:r>
      <w:rPr>
        <w:noProof/>
      </w:rPr>
      <w:pict w14:anchorId="68631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4206" w14:textId="4338CAFD" w:rsidR="001808CC" w:rsidRDefault="009E4341">
    <w:pPr>
      <w:pStyle w:val="Header"/>
    </w:pPr>
    <w:r>
      <w:rPr>
        <w:noProof/>
      </w:rPr>
      <w:pict w14:anchorId="5E0A1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60167"/>
    <w:multiLevelType w:val="hybridMultilevel"/>
    <w:tmpl w:val="F26CA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703340"/>
    <w:multiLevelType w:val="hybridMultilevel"/>
    <w:tmpl w:val="AE18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I0NTIxMTAysjRT0lEKTi0uzszPAymwqAUALdqeBCwAAAA="/>
  </w:docVars>
  <w:rsids>
    <w:rsidRoot w:val="00BA632D"/>
    <w:rsid w:val="000521E5"/>
    <w:rsid w:val="00052F8C"/>
    <w:rsid w:val="000731EC"/>
    <w:rsid w:val="00092E4C"/>
    <w:rsid w:val="000E38C7"/>
    <w:rsid w:val="001808CC"/>
    <w:rsid w:val="00181718"/>
    <w:rsid w:val="002048D0"/>
    <w:rsid w:val="00214E56"/>
    <w:rsid w:val="00257537"/>
    <w:rsid w:val="002D0283"/>
    <w:rsid w:val="00480F04"/>
    <w:rsid w:val="004B6C89"/>
    <w:rsid w:val="004C0254"/>
    <w:rsid w:val="00546A56"/>
    <w:rsid w:val="005A13FC"/>
    <w:rsid w:val="005B47F6"/>
    <w:rsid w:val="00642C07"/>
    <w:rsid w:val="00642D50"/>
    <w:rsid w:val="006650C1"/>
    <w:rsid w:val="006746C0"/>
    <w:rsid w:val="006A06AA"/>
    <w:rsid w:val="00746B98"/>
    <w:rsid w:val="007732B0"/>
    <w:rsid w:val="007800F0"/>
    <w:rsid w:val="00812AF2"/>
    <w:rsid w:val="0085227F"/>
    <w:rsid w:val="00895E7D"/>
    <w:rsid w:val="008979A0"/>
    <w:rsid w:val="008C7C62"/>
    <w:rsid w:val="00961BA8"/>
    <w:rsid w:val="00975D60"/>
    <w:rsid w:val="00980DB0"/>
    <w:rsid w:val="009E4341"/>
    <w:rsid w:val="00A9746B"/>
    <w:rsid w:val="00AF6BB3"/>
    <w:rsid w:val="00B47F8E"/>
    <w:rsid w:val="00B50F6C"/>
    <w:rsid w:val="00B54FF8"/>
    <w:rsid w:val="00BA632D"/>
    <w:rsid w:val="00BC1A88"/>
    <w:rsid w:val="00BC29DE"/>
    <w:rsid w:val="00C4228D"/>
    <w:rsid w:val="00C712BC"/>
    <w:rsid w:val="00C7399B"/>
    <w:rsid w:val="00CA5E5B"/>
    <w:rsid w:val="00CC183D"/>
    <w:rsid w:val="00D63696"/>
    <w:rsid w:val="00D77EE6"/>
    <w:rsid w:val="00D84B96"/>
    <w:rsid w:val="00DC15C8"/>
    <w:rsid w:val="00DD60D9"/>
    <w:rsid w:val="00E10493"/>
    <w:rsid w:val="00EB2D58"/>
    <w:rsid w:val="00EC6515"/>
    <w:rsid w:val="00EE2329"/>
    <w:rsid w:val="00EE26EE"/>
    <w:rsid w:val="00F229B1"/>
    <w:rsid w:val="00F555E1"/>
    <w:rsid w:val="00FA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CD778"/>
  <w15:chartTrackingRefBased/>
  <w15:docId w15:val="{43597FC0-28AC-4582-98C0-8326750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3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3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3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3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3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3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3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3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3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3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32D"/>
    <w:rPr>
      <w:rFonts w:eastAsiaTheme="majorEastAsia" w:cstheme="majorBidi"/>
      <w:color w:val="272727" w:themeColor="text1" w:themeTint="D8"/>
    </w:rPr>
  </w:style>
  <w:style w:type="paragraph" w:styleId="Title">
    <w:name w:val="Title"/>
    <w:basedOn w:val="Normal"/>
    <w:next w:val="Normal"/>
    <w:link w:val="TitleChar"/>
    <w:uiPriority w:val="10"/>
    <w:qFormat/>
    <w:rsid w:val="00BA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32D"/>
    <w:rPr>
      <w:i/>
      <w:iCs/>
      <w:color w:val="404040" w:themeColor="text1" w:themeTint="BF"/>
    </w:rPr>
  </w:style>
  <w:style w:type="paragraph" w:styleId="ListParagraph">
    <w:name w:val="List Paragraph"/>
    <w:basedOn w:val="Normal"/>
    <w:uiPriority w:val="34"/>
    <w:qFormat/>
    <w:rsid w:val="00BA632D"/>
    <w:pPr>
      <w:ind w:left="720"/>
      <w:contextualSpacing/>
    </w:pPr>
  </w:style>
  <w:style w:type="character" w:styleId="IntenseEmphasis">
    <w:name w:val="Intense Emphasis"/>
    <w:basedOn w:val="DefaultParagraphFont"/>
    <w:uiPriority w:val="21"/>
    <w:qFormat/>
    <w:rsid w:val="00BA632D"/>
    <w:rPr>
      <w:i/>
      <w:iCs/>
      <w:color w:val="365F91" w:themeColor="accent1" w:themeShade="BF"/>
    </w:rPr>
  </w:style>
  <w:style w:type="paragraph" w:styleId="IntenseQuote">
    <w:name w:val="Intense Quote"/>
    <w:basedOn w:val="Normal"/>
    <w:next w:val="Normal"/>
    <w:link w:val="IntenseQuoteChar"/>
    <w:uiPriority w:val="30"/>
    <w:qFormat/>
    <w:rsid w:val="00BA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32D"/>
    <w:rPr>
      <w:i/>
      <w:iCs/>
      <w:color w:val="365F91" w:themeColor="accent1" w:themeShade="BF"/>
    </w:rPr>
  </w:style>
  <w:style w:type="character" w:styleId="IntenseReference">
    <w:name w:val="Intense Reference"/>
    <w:basedOn w:val="DefaultParagraphFont"/>
    <w:uiPriority w:val="32"/>
    <w:qFormat/>
    <w:rsid w:val="00BA632D"/>
    <w:rPr>
      <w:b/>
      <w:bCs/>
      <w:smallCaps/>
      <w:color w:val="365F91" w:themeColor="accent1" w:themeShade="BF"/>
      <w:spacing w:val="5"/>
    </w:rPr>
  </w:style>
  <w:style w:type="paragraph" w:styleId="HTMLPreformatted">
    <w:name w:val="HTML Preformatted"/>
    <w:basedOn w:val="Normal"/>
    <w:link w:val="HTMLPreformattedChar"/>
    <w:uiPriority w:val="99"/>
    <w:unhideWhenUsed/>
    <w:rsid w:val="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32D"/>
    <w:rPr>
      <w:rFonts w:ascii="Courier New" w:eastAsia="Times New Roman" w:hAnsi="Courier New" w:cs="Courier New"/>
      <w:sz w:val="20"/>
      <w:szCs w:val="20"/>
    </w:rPr>
  </w:style>
  <w:style w:type="character" w:customStyle="1" w:styleId="y2iqfc">
    <w:name w:val="y2iqfc"/>
    <w:basedOn w:val="DefaultParagraphFont"/>
    <w:rsid w:val="00BA632D"/>
  </w:style>
  <w:style w:type="character" w:customStyle="1" w:styleId="Bodytext2">
    <w:name w:val="Body text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746B98"/>
    <w:rPr>
      <w:rFonts w:ascii="Times New Roman" w:eastAsia="Times New Roman" w:hAnsi="Times New Roman" w:cs="Times New Roman"/>
      <w:shd w:val="clear" w:color="auto" w:fill="FFFFFF"/>
    </w:rPr>
  </w:style>
  <w:style w:type="character" w:customStyle="1" w:styleId="Tablecaption2">
    <w:name w:val="Table caption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Tablecaption0">
    <w:name w:val="Table caption"/>
    <w:basedOn w:val="Normal"/>
    <w:link w:val="Tablecaption"/>
    <w:rsid w:val="00746B98"/>
    <w:pPr>
      <w:widowControl w:val="0"/>
      <w:shd w:val="clear" w:color="auto" w:fill="FFFFFF"/>
      <w:spacing w:after="0" w:line="0" w:lineRule="atLeast"/>
    </w:pPr>
    <w:rPr>
      <w:rFonts w:ascii="Times New Roman" w:eastAsia="Times New Roman" w:hAnsi="Times New Roman" w:cs="Times New Roman"/>
    </w:rPr>
  </w:style>
  <w:style w:type="character" w:customStyle="1" w:styleId="Tablecaption2105pt">
    <w:name w:val="Table caption (2) + 10.5 pt"/>
    <w:aliases w:val="Bold,Italic"/>
    <w:basedOn w:val="DefaultParagraphFont"/>
    <w:rsid w:val="00746B9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styleId="Hyperlink">
    <w:name w:val="Hyperlink"/>
    <w:basedOn w:val="DefaultParagraphFont"/>
    <w:uiPriority w:val="99"/>
    <w:unhideWhenUsed/>
    <w:rsid w:val="00B54FF8"/>
    <w:rPr>
      <w:color w:val="0000FF" w:themeColor="hyperlink"/>
      <w:u w:val="single"/>
    </w:rPr>
  </w:style>
  <w:style w:type="character" w:styleId="UnresolvedMention">
    <w:name w:val="Unresolved Mention"/>
    <w:basedOn w:val="DefaultParagraphFont"/>
    <w:uiPriority w:val="99"/>
    <w:semiHidden/>
    <w:unhideWhenUsed/>
    <w:rsid w:val="00D77EE6"/>
    <w:rPr>
      <w:color w:val="605E5C"/>
      <w:shd w:val="clear" w:color="auto" w:fill="E1DFDD"/>
    </w:rPr>
  </w:style>
  <w:style w:type="paragraph" w:styleId="Header">
    <w:name w:val="header"/>
    <w:basedOn w:val="Normal"/>
    <w:link w:val="HeaderChar"/>
    <w:uiPriority w:val="99"/>
    <w:unhideWhenUsed/>
    <w:rsid w:val="0018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CC"/>
  </w:style>
  <w:style w:type="paragraph" w:styleId="Footer">
    <w:name w:val="footer"/>
    <w:basedOn w:val="Normal"/>
    <w:link w:val="FooterChar"/>
    <w:uiPriority w:val="99"/>
    <w:unhideWhenUsed/>
    <w:rsid w:val="0018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CC"/>
  </w:style>
  <w:style w:type="paragraph" w:styleId="CommentText">
    <w:name w:val="annotation text"/>
    <w:basedOn w:val="Normal"/>
    <w:link w:val="CommentTextChar"/>
    <w:uiPriority w:val="99"/>
    <w:unhideWhenUsed/>
    <w:rsid w:val="004C0254"/>
    <w:pPr>
      <w:spacing w:line="240" w:lineRule="auto"/>
    </w:pPr>
    <w:rPr>
      <w:sz w:val="20"/>
      <w:szCs w:val="20"/>
    </w:rPr>
  </w:style>
  <w:style w:type="character" w:customStyle="1" w:styleId="CommentTextChar">
    <w:name w:val="Comment Text Char"/>
    <w:basedOn w:val="DefaultParagraphFont"/>
    <w:link w:val="CommentText"/>
    <w:uiPriority w:val="99"/>
    <w:rsid w:val="004C0254"/>
    <w:rPr>
      <w:sz w:val="20"/>
      <w:szCs w:val="20"/>
    </w:rPr>
  </w:style>
  <w:style w:type="table" w:styleId="TableGrid">
    <w:name w:val="Table Grid"/>
    <w:basedOn w:val="TableNormal"/>
    <w:uiPriority w:val="59"/>
    <w:rsid w:val="004C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D854-0B5D-4AF7-8D7A-63F9443C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7308</Words>
  <Characters>41656</Characters>
  <Application>Microsoft Office Word</Application>
  <DocSecurity>0</DocSecurity>
  <Lines>347</Lines>
  <Paragraphs>97</Paragraphs>
  <ScaleCrop>false</ScaleCrop>
  <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1186</cp:lastModifiedBy>
  <cp:revision>6</cp:revision>
  <dcterms:created xsi:type="dcterms:W3CDTF">2026-01-27T23:30:00Z</dcterms:created>
  <dcterms:modified xsi:type="dcterms:W3CDTF">2026-01-28T06:43:00Z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631e57a8-39f9-4d20-a032-9e90bbdb5496</vt:lpwstr>
  </property>
</Properties>
</file>