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E771" w14:textId="792750C2" w:rsidR="00BA6C97" w:rsidRPr="00DB5227" w:rsidRDefault="00BA6C97" w:rsidP="0071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val="en"/>
        </w:rPr>
      </w:pPr>
      <w:r w:rsidRPr="00F01DD9">
        <w:rPr>
          <w:rFonts w:ascii="Times New Roman" w:eastAsia="Times New Roman" w:hAnsi="Times New Roman" w:cs="Times New Roman"/>
          <w:b/>
          <w:bCs/>
          <w:highlight w:val="yellow"/>
          <w:lang w:val="en"/>
        </w:rPr>
        <w:t>DETERMINING THE COST OF PRODUCTION, BREAK-EVEN POINT, AND SENSITIVITY ANALYSIS OF OYSTER MUSHROOM CHIPS PRODUCTION</w:t>
      </w:r>
    </w:p>
    <w:p w14:paraId="3E2DB6F6" w14:textId="77777777" w:rsidR="00BA6C97" w:rsidRPr="00DB5227" w:rsidRDefault="00BA6C97" w:rsidP="0071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rPr>
      </w:pPr>
    </w:p>
    <w:p w14:paraId="079BDD00" w14:textId="77777777" w:rsidR="00D37E5B" w:rsidRDefault="00D37E5B"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lang w:val="en"/>
        </w:rPr>
      </w:pPr>
    </w:p>
    <w:p w14:paraId="33712BD6" w14:textId="7C5C9A64" w:rsidR="00673F41" w:rsidRPr="00F27A0A" w:rsidRDefault="00673F41"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lang w:val="en"/>
        </w:rPr>
      </w:pPr>
      <w:r>
        <w:rPr>
          <w:rFonts w:ascii="Times New Roman" w:eastAsiaTheme="majorEastAsia" w:hAnsi="Times New Roman" w:cs="Times New Roman"/>
          <w:lang w:val="en"/>
        </w:rPr>
        <w:t xml:space="preserve"> </w:t>
      </w:r>
    </w:p>
    <w:p w14:paraId="68F019B8" w14:textId="77777777" w:rsidR="00DB5227" w:rsidRPr="00DB5227" w:rsidRDefault="00DB5227"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ajorEastAsia" w:hAnsi="Times New Roman" w:cs="Times New Roman"/>
          <w:b/>
          <w:bCs/>
          <w:lang w:val="en"/>
        </w:rPr>
      </w:pPr>
    </w:p>
    <w:p w14:paraId="195940F9" w14:textId="393CB4C7" w:rsidR="00BA6C97" w:rsidRPr="00DB5227" w:rsidRDefault="00BA6C97" w:rsidP="00DB5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imes New Roman" w:eastAsiaTheme="majorEastAsia" w:hAnsi="Times New Roman" w:cs="Times New Roman"/>
          <w:b/>
          <w:bCs/>
          <w:lang w:val="en"/>
        </w:rPr>
      </w:pPr>
      <w:r w:rsidRPr="00DB5227">
        <w:rPr>
          <w:rStyle w:val="y2iqfc"/>
          <w:rFonts w:ascii="Times New Roman" w:eastAsiaTheme="majorEastAsia" w:hAnsi="Times New Roman" w:cs="Times New Roman"/>
          <w:b/>
          <w:bCs/>
          <w:lang w:val="en"/>
        </w:rPr>
        <w:t>ABSTRACT</w:t>
      </w:r>
    </w:p>
    <w:p w14:paraId="101E486F" w14:textId="026E9093" w:rsidR="00BA6C97" w:rsidRPr="00DB5227" w:rsidRDefault="00DB5227" w:rsidP="00BA6C9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Oyster </w:t>
      </w:r>
      <w:r>
        <w:rPr>
          <w:rStyle w:val="y2iqfc"/>
          <w:rFonts w:ascii="Times New Roman" w:eastAsiaTheme="majorEastAsia" w:hAnsi="Times New Roman" w:cs="Times New Roman"/>
          <w:sz w:val="22"/>
          <w:szCs w:val="22"/>
          <w:lang w:val="en"/>
        </w:rPr>
        <w:t xml:space="preserve">Mushroom </w:t>
      </w:r>
      <w:r w:rsidRPr="00DB5227">
        <w:rPr>
          <w:rStyle w:val="y2iqfc"/>
          <w:rFonts w:ascii="Times New Roman" w:eastAsiaTheme="majorEastAsia" w:hAnsi="Times New Roman" w:cs="Times New Roman"/>
          <w:sz w:val="22"/>
          <w:szCs w:val="22"/>
          <w:lang w:val="en"/>
        </w:rPr>
        <w:t xml:space="preserve">Etam </w:t>
      </w:r>
      <w:r w:rsidR="00BA6C97" w:rsidRPr="00DB5227">
        <w:rPr>
          <w:rStyle w:val="y2iqfc"/>
          <w:rFonts w:ascii="Times New Roman" w:eastAsiaTheme="majorEastAsia" w:hAnsi="Times New Roman" w:cs="Times New Roman"/>
          <w:sz w:val="22"/>
          <w:szCs w:val="22"/>
          <w:lang w:val="en"/>
        </w:rPr>
        <w:t>(</w:t>
      </w:r>
      <w:r>
        <w:rPr>
          <w:rStyle w:val="y2iqfc"/>
          <w:rFonts w:ascii="Times New Roman" w:eastAsiaTheme="majorEastAsia" w:hAnsi="Times New Roman" w:cs="Times New Roman"/>
          <w:sz w:val="22"/>
          <w:szCs w:val="22"/>
          <w:lang w:val="en"/>
        </w:rPr>
        <w:t>JATAM)</w:t>
      </w:r>
      <w:r w:rsidRPr="00DB5227">
        <w:rPr>
          <w:rStyle w:val="y2iqfc"/>
          <w:rFonts w:ascii="Times New Roman" w:eastAsiaTheme="majorEastAsia" w:hAnsi="Times New Roman" w:cs="Times New Roman"/>
          <w:sz w:val="22"/>
          <w:szCs w:val="22"/>
          <w:lang w:val="en"/>
        </w:rPr>
        <w:t xml:space="preserve"> </w:t>
      </w:r>
      <w:r w:rsidR="00BA6C97" w:rsidRPr="00DB5227">
        <w:rPr>
          <w:rStyle w:val="y2iqfc"/>
          <w:rFonts w:ascii="Times New Roman" w:eastAsiaTheme="majorEastAsia" w:hAnsi="Times New Roman" w:cs="Times New Roman"/>
          <w:sz w:val="22"/>
          <w:szCs w:val="22"/>
          <w:lang w:val="en"/>
        </w:rPr>
        <w:t xml:space="preserve">is the only MSME producing packaged oyster mushroom chips in Samarinda City. This study aims to determine the calculation and comparison of production costs currently applied by JATAM MSME, using the full costing and variable costing methods, determine the break-even point, and measure the business's sensitivity to changes in the break-even point. The research method used was a case study. Data were analyzed using production cost calculation methods, namely full costing and variable costing, as well as break-even point (BEP) analysis and sensitivity analysis. The results show that JATAM MSME's method resulted in a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12,182.20 per package. The full costing method resulted in the highest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13,077.86 per package because it takes into account all variable and fixed costs, while the variable costing method resulted in a production cost of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12,832.20 per package. The break-even point (BEP) for sales revenue was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 xml:space="preserve">400,812.00, with a production volume of 2,004.06 grams (23 packages of JATAM chips). The sensitivity of JATAM chips production is seen in the 7% increase in production costs, which resulted in an increase in the BEP for sales revenue to </w:t>
      </w:r>
      <w:r>
        <w:rPr>
          <w:rStyle w:val="y2iqfc"/>
          <w:rFonts w:ascii="Times New Roman" w:eastAsiaTheme="majorEastAsia" w:hAnsi="Times New Roman" w:cs="Times New Roman"/>
          <w:sz w:val="22"/>
          <w:szCs w:val="22"/>
          <w:lang w:val="en"/>
        </w:rPr>
        <w:t xml:space="preserve">IDR </w:t>
      </w:r>
      <w:r w:rsidR="00BA6C97" w:rsidRPr="00DB5227">
        <w:rPr>
          <w:rStyle w:val="y2iqfc"/>
          <w:rFonts w:ascii="Times New Roman" w:eastAsiaTheme="majorEastAsia" w:hAnsi="Times New Roman" w:cs="Times New Roman"/>
          <w:sz w:val="22"/>
          <w:szCs w:val="22"/>
          <w:lang w:val="en"/>
        </w:rPr>
        <w:t>546,694.00, and an increase in the BEP for production volume to 2,733.47 grams (32 packages of JATAM chips).</w:t>
      </w:r>
      <w:r w:rsidR="00D455E8">
        <w:rPr>
          <w:rStyle w:val="y2iqfc"/>
          <w:rFonts w:ascii="Times New Roman" w:eastAsiaTheme="majorEastAsia" w:hAnsi="Times New Roman" w:cs="Times New Roman"/>
          <w:sz w:val="22"/>
          <w:szCs w:val="22"/>
          <w:lang w:val="en"/>
        </w:rPr>
        <w:t xml:space="preserve"> </w:t>
      </w:r>
      <w:r w:rsidR="00D455E8" w:rsidRPr="00D455E8">
        <w:rPr>
          <w:rStyle w:val="y2iqfc"/>
          <w:rFonts w:ascii="Times New Roman" w:eastAsiaTheme="majorEastAsia" w:hAnsi="Times New Roman" w:cs="Times New Roman"/>
          <w:sz w:val="22"/>
          <w:szCs w:val="22"/>
          <w:highlight w:val="yellow"/>
          <w:lang w:val="en"/>
        </w:rPr>
        <w:t>JATAM MSMEs are advised to use the full costing method in determining the cost of goods manufactured, so that all production cost components can be fully and accurately accommodated. Furthermore, it is important for MSMEs to periodically calculate the break-even point and conduct sensitivity analysis to anticipate cost changes that could impact business viability.</w:t>
      </w:r>
    </w:p>
    <w:p w14:paraId="6AA32430" w14:textId="77777777" w:rsidR="00DB5227" w:rsidRDefault="00DB5227" w:rsidP="00BA6C97">
      <w:pPr>
        <w:pStyle w:val="HTMLPreformatted"/>
        <w:jc w:val="both"/>
        <w:rPr>
          <w:rStyle w:val="y2iqfc"/>
          <w:rFonts w:ascii="Times New Roman" w:eastAsiaTheme="majorEastAsia" w:hAnsi="Times New Roman" w:cs="Times New Roman"/>
          <w:sz w:val="22"/>
          <w:szCs w:val="22"/>
          <w:lang w:val="en"/>
        </w:rPr>
      </w:pPr>
    </w:p>
    <w:p w14:paraId="74CD71BC" w14:textId="5B3DBDB1" w:rsidR="00BA6C97" w:rsidRPr="00DB5227" w:rsidRDefault="00BA6C97" w:rsidP="00BA6C97">
      <w:pPr>
        <w:pStyle w:val="HTMLPreformatted"/>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Keywords: MSMEs, Full Costing, Variable Costing, Break Event Point, Sensitivity</w:t>
      </w:r>
    </w:p>
    <w:p w14:paraId="49A3C59A" w14:textId="77777777" w:rsidR="00BA6C97" w:rsidRPr="00DB5227" w:rsidRDefault="00BA6C97">
      <w:pPr>
        <w:rPr>
          <w:rFonts w:ascii="Times New Roman" w:hAnsi="Times New Roman" w:cs="Times New Roman"/>
          <w:b/>
          <w:bCs/>
        </w:rPr>
      </w:pPr>
    </w:p>
    <w:p w14:paraId="14549EB1" w14:textId="43073C7C" w:rsidR="00BA6C97" w:rsidRPr="00D455E8" w:rsidRDefault="00BA6C97" w:rsidP="00D455E8">
      <w:pPr>
        <w:pStyle w:val="HTMLPreformatted"/>
        <w:numPr>
          <w:ilvl w:val="0"/>
          <w:numId w:val="6"/>
        </w:numPr>
        <w:ind w:left="284" w:hanging="284"/>
        <w:rPr>
          <w:rStyle w:val="y2iqfc"/>
          <w:rFonts w:ascii="Times New Roman" w:eastAsiaTheme="majorEastAsia" w:hAnsi="Times New Roman" w:cs="Times New Roman"/>
          <w:b/>
          <w:bCs/>
          <w:sz w:val="22"/>
          <w:szCs w:val="22"/>
          <w:highlight w:val="yellow"/>
          <w:lang w:val="en"/>
        </w:rPr>
      </w:pPr>
      <w:r w:rsidRPr="00D455E8">
        <w:rPr>
          <w:rStyle w:val="y2iqfc"/>
          <w:rFonts w:ascii="Times New Roman" w:eastAsiaTheme="majorEastAsia" w:hAnsi="Times New Roman" w:cs="Times New Roman"/>
          <w:b/>
          <w:bCs/>
          <w:sz w:val="22"/>
          <w:szCs w:val="22"/>
          <w:highlight w:val="yellow"/>
          <w:lang w:val="en"/>
        </w:rPr>
        <w:t>INTRODUCTION</w:t>
      </w:r>
    </w:p>
    <w:p w14:paraId="0D58A0D4"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transformation of the agricultural sector into an industrial sector is inevitable for developing countries like Indonesia. Development in the industrial sector, supported by agriculture, will also advance. Therefore, an economic balance is needed between a strong industrial sector and strong agricultural support. Agroindustry, which is the agricultural processing industry, utilizes agricultural products to produce economically valuable products and is also a key stage in sustainable agricultural development [1].</w:t>
      </w:r>
    </w:p>
    <w:p w14:paraId="659F0B5C" w14:textId="605D6C3E"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Agroindustry, particularly in the Micro, Small, and Medium Enterprises (MSMEs) sector, plays a crucial role in the Indonesian economy. Research conducted by the Institute for Development of Economics and Finance (INDEF) shows that the agricultural sector dominates the MSME sector in Indonesia. This sector contributes 50% of the total number of MSMEs in Indonesia [2]. Law No. 20 of 2008 defines MSMEs as productive businesses owned by individuals or business entities that have met the criteria as micro-enterprises [3]. In its role as a pillar of the Indonesian economy, MSMEs have a very large number and show a positive trend</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with their numbers continuing to increase every year [4]. According to data collected by the Ministry of Cooperatives and SMEs, it is revealed that the number of MSMEs is 65.46 million, helping the national economy</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including contributing to the Gross Domestic Product (GDP) at current prices with a percentage of 60.51% and absorbing a workforce of 123.3 thousand workers.</w:t>
      </w:r>
    </w:p>
    <w:p w14:paraId="480CC6D5" w14:textId="77777777" w:rsidR="00BA6C97" w:rsidRPr="00DB5227" w:rsidRDefault="00BA6C9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East Kalimantan, a region in Indonesia, has significant potential for the development of agro-industry-based MSMEs. This is reflected in the agricultural sector's contribution to East Kalimantan's economy in 2023, which amounted to 8.02%, equivalent to IDR 67.69 trillion. Horticulture is a sub-sector contributing to East Kalimantan's Gross Regional Domestic Product (GRDP), contributing IDR 2.74 trillion to the region's GRDP [5].</w:t>
      </w:r>
    </w:p>
    <w:p w14:paraId="2D34A548" w14:textId="70102E09"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Oyster mushrooms (</w:t>
      </w:r>
      <w:r w:rsidRPr="00DB5227">
        <w:rPr>
          <w:rStyle w:val="y2iqfc"/>
          <w:rFonts w:ascii="Times New Roman" w:eastAsiaTheme="majorEastAsia" w:hAnsi="Times New Roman" w:cs="Times New Roman"/>
          <w:i/>
          <w:iCs/>
          <w:sz w:val="22"/>
          <w:szCs w:val="22"/>
          <w:lang w:val="en"/>
        </w:rPr>
        <w:t>Pleurotus ostreatus</w:t>
      </w:r>
      <w:r w:rsidRPr="00DB5227">
        <w:rPr>
          <w:rStyle w:val="y2iqfc"/>
          <w:rFonts w:ascii="Times New Roman" w:eastAsiaTheme="majorEastAsia" w:hAnsi="Times New Roman" w:cs="Times New Roman"/>
          <w:sz w:val="22"/>
          <w:szCs w:val="22"/>
          <w:lang w:val="en"/>
        </w:rPr>
        <w:t xml:space="preserve">), a horticultural product, are widely used to meet agro-industry needs. The oyster mushroom agroindustry processes </w:t>
      </w:r>
      <w:r w:rsidR="002D1AE8" w:rsidRPr="002D1AE8">
        <w:rPr>
          <w:rStyle w:val="y2iqfc"/>
          <w:rFonts w:ascii="Times New Roman" w:eastAsiaTheme="majorEastAsia" w:hAnsi="Times New Roman" w:cs="Times New Roman"/>
          <w:sz w:val="22"/>
          <w:szCs w:val="22"/>
          <w:highlight w:val="yellow"/>
          <w:lang w:val="en"/>
        </w:rPr>
        <w:t>perishable oyster mushrooms</w:t>
      </w:r>
      <w:r w:rsidRPr="00DB5227">
        <w:rPr>
          <w:rStyle w:val="y2iqfc"/>
          <w:rFonts w:ascii="Times New Roman" w:eastAsiaTheme="majorEastAsia" w:hAnsi="Times New Roman" w:cs="Times New Roman"/>
          <w:sz w:val="22"/>
          <w:szCs w:val="22"/>
          <w:lang w:val="en"/>
        </w:rPr>
        <w:t xml:space="preserve"> into value-added products with a longer shelf life. Oyster mushrooms, positioned as an industrial raw material, can be guaranteed to be available as production increases [6]. Oyster mushroom production in East Kalimantan reached 54,810 kg in 2021, then increased to 167,050 kg in 2022 [7].</w:t>
      </w:r>
    </w:p>
    <w:p w14:paraId="6E1B5692" w14:textId="77777777"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Despite their potential and strategic contribution, MSMEs face various challenges, particularly in the agro-industry. The biggest challenge for MSMEs in the agro-industry is intense competition among competitors. They compete not only on quality but also on the selling price of their products. The selling price is determined by adding the cost of production per unit to the desired profit margin. Therefore, before setting a selling price, MSMEs must accurately calculate the cost of production to maintain product competitiveness in the market.</w:t>
      </w:r>
    </w:p>
    <w:p w14:paraId="29D514AE" w14:textId="77777777" w:rsidR="00BA6C97" w:rsidRPr="00DB5227" w:rsidRDefault="00BA6C97" w:rsidP="00BA6C9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correct cost of production can be determined through calculations based on cost accounting. To calculate the cost of production based on cost accounting, both full costing and variable costing methods can be used. The full costing method combines all elements of production costs, including raw material costs, direct labor costs, and variable and fixed overhead costs. Meanwhile, the variable costing method considers only variable costs, consisting of raw material costs, direct labor costs, and variable overhead costs [8].</w:t>
      </w:r>
    </w:p>
    <w:p w14:paraId="41ECFE40" w14:textId="606DE5BB" w:rsidR="00BA6C97" w:rsidRPr="00DB5227" w:rsidRDefault="00BA6C97" w:rsidP="00BA6C9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Research results reported that MSMEs also need to know the break-even point (BEP) so they have a benchmark or reference in the production process. BEP describes a condition where total costs and revenues are in balance, so that MSMEs do not experience losses or profits</w:t>
      </w:r>
      <w:r w:rsidR="00F01DD9">
        <w:rPr>
          <w:rStyle w:val="y2iqfc"/>
          <w:rFonts w:ascii="Times New Roman" w:eastAsiaTheme="majorEastAsia" w:hAnsi="Times New Roman" w:cs="Times New Roman"/>
          <w:sz w:val="22"/>
          <w:szCs w:val="22"/>
          <w:lang w:val="en"/>
        </w:rPr>
        <w:t xml:space="preserve"> </w:t>
      </w:r>
      <w:r w:rsidR="00F01DD9" w:rsidRPr="00F01DD9">
        <w:rPr>
          <w:rStyle w:val="y2iqfc"/>
          <w:rFonts w:ascii="Times New Roman" w:eastAsiaTheme="majorEastAsia" w:hAnsi="Times New Roman" w:cs="Times New Roman"/>
          <w:sz w:val="22"/>
          <w:szCs w:val="22"/>
          <w:highlight w:val="yellow"/>
          <w:lang w:val="en"/>
        </w:rPr>
        <w:t>[9]</w:t>
      </w:r>
      <w:r w:rsidRPr="00DB5227">
        <w:rPr>
          <w:rStyle w:val="y2iqfc"/>
          <w:rFonts w:ascii="Times New Roman" w:eastAsiaTheme="majorEastAsia" w:hAnsi="Times New Roman" w:cs="Times New Roman"/>
          <w:sz w:val="22"/>
          <w:szCs w:val="22"/>
          <w:lang w:val="en"/>
        </w:rPr>
        <w:t>. This calculation helps MSMEs determine the minimum number of products that must be sold to cover production costs and avoid losses. In carrying out their business activities, every MSME is constantly faced with uncertainty that can affect performance and profitability. To address this, sensitivity analysis is used as a tool to identify the impact of changes in production parameters on changes in the performance of the production system in generating profits, so that MSMEs have a more comprehensive picture in planning and managing their businesses [10].</w:t>
      </w:r>
    </w:p>
    <w:p w14:paraId="7192D5D7" w14:textId="7B0E7484" w:rsidR="00BA6C97" w:rsidRPr="00DB5227" w:rsidRDefault="00BA6C97" w:rsidP="00DB522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Oyster </w:t>
      </w:r>
      <w:r w:rsidR="00DB5227">
        <w:rPr>
          <w:rStyle w:val="y2iqfc"/>
          <w:rFonts w:ascii="Times New Roman" w:eastAsiaTheme="majorEastAsia" w:hAnsi="Times New Roman" w:cs="Times New Roman"/>
          <w:sz w:val="22"/>
          <w:szCs w:val="22"/>
          <w:lang w:val="en"/>
        </w:rPr>
        <w:t xml:space="preserve">Mushroom </w:t>
      </w:r>
      <w:r w:rsidRPr="00DB5227">
        <w:rPr>
          <w:rStyle w:val="y2iqfc"/>
          <w:rFonts w:ascii="Times New Roman" w:eastAsiaTheme="majorEastAsia" w:hAnsi="Times New Roman" w:cs="Times New Roman"/>
          <w:sz w:val="22"/>
          <w:szCs w:val="22"/>
          <w:lang w:val="en"/>
        </w:rPr>
        <w:t>Etam (JATAM) is the only MSME producing packaged oyster mushroom chips in Samarinda City, located in Lempake Village, Sungai Pinang District, North Samarinda District. This business was established in 2022 and now holds a halal certificate and a Home Industry Food Production Certificate (SPP-IRT). This business, which processes oyster mushrooms into oyster mushroom chips, develops its business through continuous innovation by always taking advantage of opportunities. However, JATAM MSME still faces several challenges. To date, in determining the cost of production, the MSME has not used a cost accounting-based approach, but only calculates based on the business owner's personal assumptions</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and does not detail the overall costs incurred during the production process. Furthermore, the MSME has not calculated the break-even point for sales revenue and production volume, or conducted a sensitivity analysis for future possibilities.</w:t>
      </w:r>
    </w:p>
    <w:p w14:paraId="449144DE" w14:textId="77777777" w:rsidR="00BA6C97" w:rsidRPr="00DB5227" w:rsidRDefault="00BA6C97" w:rsidP="00BA6C9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In connection with the description above, a study was conducted on the determination and comparison of production costs based on the methods applied by MSMEs, with the full costing method, and variable costing, as well as break even point analysis, and sensitivity analysis of oyster mushroom chips production, with a case study on the JATAM MSME located in Lempake Village, North Samarinda District, Samarinda City.</w:t>
      </w:r>
    </w:p>
    <w:p w14:paraId="669B63A6" w14:textId="77777777" w:rsidR="00BA6C97" w:rsidRPr="00DB5227" w:rsidRDefault="00BA6C97" w:rsidP="00DB5227">
      <w:pPr>
        <w:pStyle w:val="HTMLPreformatted"/>
        <w:rPr>
          <w:rFonts w:ascii="Times New Roman" w:hAnsi="Times New Roman" w:cs="Times New Roman"/>
          <w:sz w:val="22"/>
          <w:szCs w:val="22"/>
        </w:rPr>
      </w:pPr>
    </w:p>
    <w:p w14:paraId="27916FC6" w14:textId="6F97DF09" w:rsidR="00DF5477" w:rsidRPr="00D455E8" w:rsidRDefault="00DF5477" w:rsidP="00D455E8">
      <w:pPr>
        <w:pStyle w:val="HTMLPreformatted"/>
        <w:numPr>
          <w:ilvl w:val="0"/>
          <w:numId w:val="6"/>
        </w:numPr>
        <w:ind w:left="284" w:hanging="284"/>
        <w:rPr>
          <w:rStyle w:val="y2iqfc"/>
          <w:rFonts w:ascii="Times New Roman" w:eastAsiaTheme="majorEastAsia" w:hAnsi="Times New Roman" w:cs="Times New Roman"/>
          <w:b/>
          <w:bCs/>
          <w:sz w:val="22"/>
          <w:szCs w:val="22"/>
          <w:highlight w:val="yellow"/>
          <w:lang w:val="en"/>
        </w:rPr>
      </w:pPr>
      <w:r w:rsidRPr="00D455E8">
        <w:rPr>
          <w:rStyle w:val="y2iqfc"/>
          <w:rFonts w:ascii="Times New Roman" w:eastAsiaTheme="majorEastAsia" w:hAnsi="Times New Roman" w:cs="Times New Roman"/>
          <w:b/>
          <w:bCs/>
          <w:sz w:val="22"/>
          <w:szCs w:val="22"/>
          <w:highlight w:val="yellow"/>
          <w:lang w:val="en"/>
        </w:rPr>
        <w:t>RESEARCH METHODS</w:t>
      </w:r>
    </w:p>
    <w:p w14:paraId="07E2D8AA" w14:textId="7BEFA0EC" w:rsidR="00D455E8" w:rsidRPr="00D455E8" w:rsidRDefault="00D455E8" w:rsidP="00D455E8">
      <w:pPr>
        <w:pStyle w:val="HTMLPreformatted"/>
        <w:numPr>
          <w:ilvl w:val="1"/>
          <w:numId w:val="6"/>
        </w:numPr>
        <w:ind w:left="426" w:hanging="426"/>
        <w:rPr>
          <w:rStyle w:val="y2iqfc"/>
          <w:rFonts w:ascii="Times New Roman" w:eastAsiaTheme="majorEastAsia" w:hAnsi="Times New Roman" w:cs="Times New Roman"/>
          <w:b/>
          <w:bCs/>
          <w:sz w:val="22"/>
          <w:szCs w:val="22"/>
          <w:highlight w:val="yellow"/>
          <w:lang w:val="en"/>
        </w:rPr>
      </w:pPr>
      <w:r w:rsidRPr="00D455E8">
        <w:rPr>
          <w:rStyle w:val="y2iqfc"/>
          <w:rFonts w:ascii="Times New Roman" w:eastAsiaTheme="majorEastAsia" w:hAnsi="Times New Roman" w:cs="Times New Roman"/>
          <w:b/>
          <w:bCs/>
          <w:sz w:val="22"/>
          <w:szCs w:val="22"/>
          <w:highlight w:val="yellow"/>
          <w:lang w:val="en"/>
        </w:rPr>
        <w:t>Study Location</w:t>
      </w:r>
    </w:p>
    <w:p w14:paraId="44F128EB" w14:textId="4208C297" w:rsidR="00D455E8" w:rsidRPr="00DB5227" w:rsidRDefault="00DF5477" w:rsidP="00D455E8">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research was conducted from October 2024 to January 2025 at the JATAM MSME, located on Jalan Poros Kebun Agung, Lempake Village, North Samarinda District, Samarinda City. The location was selected based on the consideration that this MSME is the only agro-industry-based business processing oyster mushrooms into oyster mushroom chips in Samarinda City.</w:t>
      </w:r>
    </w:p>
    <w:p w14:paraId="07D76DC3" w14:textId="77777777" w:rsidR="00DF5477" w:rsidRDefault="00DF5477" w:rsidP="00DB522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The research method used was a case study focused on the business of processing oyster mushrooms into packaged oyster mushroom chips. The case study method aims to analyze a case in depth, so the results cannot be generalized [11].</w:t>
      </w:r>
    </w:p>
    <w:p w14:paraId="02192AE5" w14:textId="47624DC7" w:rsidR="00D455E8" w:rsidRPr="00D455E8" w:rsidRDefault="00D455E8" w:rsidP="00D455E8">
      <w:pPr>
        <w:pStyle w:val="HTMLPreformatted"/>
        <w:rPr>
          <w:rStyle w:val="y2iqfc"/>
          <w:rFonts w:ascii="Times New Roman" w:eastAsiaTheme="majorEastAsia" w:hAnsi="Times New Roman" w:cs="Times New Roman"/>
          <w:b/>
          <w:bCs/>
          <w:color w:val="000000" w:themeColor="text1"/>
          <w:sz w:val="22"/>
          <w:szCs w:val="22"/>
          <w:highlight w:val="yellow"/>
          <w:lang w:val="en"/>
        </w:rPr>
      </w:pPr>
      <w:r w:rsidRPr="00D455E8">
        <w:rPr>
          <w:rStyle w:val="y2iqfc"/>
          <w:rFonts w:ascii="Times New Roman" w:eastAsiaTheme="majorEastAsia" w:hAnsi="Times New Roman" w:cs="Times New Roman"/>
          <w:b/>
          <w:bCs/>
          <w:color w:val="000000" w:themeColor="text1"/>
          <w:sz w:val="22"/>
          <w:szCs w:val="22"/>
          <w:highlight w:val="yellow"/>
          <w:lang w:val="en"/>
        </w:rPr>
        <w:t>2.2 Study population</w:t>
      </w:r>
    </w:p>
    <w:p w14:paraId="479D8C38" w14:textId="36AFE05B" w:rsidR="00D455E8" w:rsidRPr="00D455E8" w:rsidRDefault="00D455E8" w:rsidP="00D455E8">
      <w:pPr>
        <w:pStyle w:val="HTMLPreformatted"/>
        <w:ind w:firstLine="567"/>
        <w:jc w:val="both"/>
        <w:rPr>
          <w:rFonts w:ascii="Times New Roman" w:eastAsiaTheme="majorEastAsia" w:hAnsi="Times New Roman" w:cs="Times New Roman"/>
          <w:color w:val="000000" w:themeColor="text1"/>
          <w:sz w:val="22"/>
          <w:szCs w:val="22"/>
          <w:lang w:val="en"/>
        </w:rPr>
      </w:pPr>
      <w:r w:rsidRPr="00D455E8">
        <w:rPr>
          <w:rStyle w:val="y2iqfc"/>
          <w:rFonts w:ascii="Times New Roman" w:eastAsiaTheme="majorEastAsia" w:hAnsi="Times New Roman" w:cs="Times New Roman"/>
          <w:color w:val="000000" w:themeColor="text1"/>
          <w:sz w:val="22"/>
          <w:szCs w:val="22"/>
          <w:highlight w:val="yellow"/>
          <w:lang w:val="en"/>
        </w:rPr>
        <w:t>The respondent in this study was Risa Agustina, a 26-year-old owner of the JATAM MSME. Based on the definition of the Central Statistics Agency (BPS), the productive age group includes individuals aged 15 to 64. Therefore, the owner is within her productive age, generally possessing the energy, adaptability, and capacity to drive business growth [1</w:t>
      </w:r>
      <w:r>
        <w:rPr>
          <w:rStyle w:val="y2iqfc"/>
          <w:rFonts w:ascii="Times New Roman" w:eastAsiaTheme="majorEastAsia" w:hAnsi="Times New Roman" w:cs="Times New Roman"/>
          <w:color w:val="000000" w:themeColor="text1"/>
          <w:sz w:val="22"/>
          <w:szCs w:val="22"/>
          <w:highlight w:val="yellow"/>
          <w:lang w:val="en"/>
        </w:rPr>
        <w:t>4</w:t>
      </w:r>
      <w:r w:rsidRPr="00D455E8">
        <w:rPr>
          <w:rStyle w:val="y2iqfc"/>
          <w:rFonts w:ascii="Times New Roman" w:eastAsiaTheme="majorEastAsia" w:hAnsi="Times New Roman" w:cs="Times New Roman"/>
          <w:color w:val="000000" w:themeColor="text1"/>
          <w:sz w:val="22"/>
          <w:szCs w:val="22"/>
          <w:highlight w:val="yellow"/>
          <w:lang w:val="en"/>
        </w:rPr>
        <w:t>]</w:t>
      </w:r>
      <w:r>
        <w:rPr>
          <w:rStyle w:val="y2iqfc"/>
          <w:rFonts w:ascii="Times New Roman" w:eastAsiaTheme="majorEastAsia" w:hAnsi="Times New Roman" w:cs="Times New Roman"/>
          <w:color w:val="000000" w:themeColor="text1"/>
          <w:sz w:val="22"/>
          <w:szCs w:val="22"/>
          <w:highlight w:val="yellow"/>
          <w:lang w:val="en"/>
        </w:rPr>
        <w:t xml:space="preserve"> [12]</w:t>
      </w:r>
      <w:r w:rsidRPr="00D455E8">
        <w:rPr>
          <w:rStyle w:val="y2iqfc"/>
          <w:rFonts w:ascii="Times New Roman" w:eastAsiaTheme="majorEastAsia" w:hAnsi="Times New Roman" w:cs="Times New Roman"/>
          <w:color w:val="000000" w:themeColor="text1"/>
          <w:sz w:val="22"/>
          <w:szCs w:val="22"/>
          <w:highlight w:val="yellow"/>
          <w:lang w:val="en"/>
        </w:rPr>
        <w:t>. Her most recent formal education was high school (SMA). She also actively participates in training organized by the Department of Industry, Trade, and Cooperatives (Disperindagkop), which focuses on MSME development, thus contributing to improving the respondents' business management skills.</w:t>
      </w:r>
    </w:p>
    <w:p w14:paraId="69E6F939" w14:textId="0E9F13FB" w:rsidR="00D455E8" w:rsidRPr="00D455E8" w:rsidRDefault="00D455E8" w:rsidP="00D455E8">
      <w:pPr>
        <w:pStyle w:val="HTMLPreformatted"/>
        <w:numPr>
          <w:ilvl w:val="1"/>
          <w:numId w:val="7"/>
        </w:numPr>
        <w:jc w:val="both"/>
        <w:rPr>
          <w:rStyle w:val="y2iqfc"/>
          <w:rFonts w:ascii="Times New Roman" w:eastAsiaTheme="majorEastAsia" w:hAnsi="Times New Roman" w:cs="Times New Roman"/>
          <w:sz w:val="22"/>
          <w:szCs w:val="22"/>
          <w:highlight w:val="yellow"/>
          <w:lang w:val="en"/>
        </w:rPr>
      </w:pPr>
      <w:r>
        <w:rPr>
          <w:rStyle w:val="y2iqfc"/>
          <w:rFonts w:ascii="Times New Roman" w:eastAsiaTheme="majorEastAsia" w:hAnsi="Times New Roman" w:cs="Times New Roman"/>
          <w:sz w:val="22"/>
          <w:szCs w:val="22"/>
          <w:lang w:val="en"/>
        </w:rPr>
        <w:t xml:space="preserve"> </w:t>
      </w:r>
      <w:r w:rsidRPr="00D455E8">
        <w:rPr>
          <w:rStyle w:val="y2iqfc"/>
          <w:rFonts w:ascii="Times New Roman" w:eastAsiaTheme="majorEastAsia" w:hAnsi="Times New Roman" w:cs="Times New Roman"/>
          <w:sz w:val="22"/>
          <w:szCs w:val="22"/>
          <w:highlight w:val="yellow"/>
          <w:lang w:val="en"/>
        </w:rPr>
        <w:t>Data Collection</w:t>
      </w:r>
    </w:p>
    <w:p w14:paraId="541B724D" w14:textId="745254E0" w:rsidR="00DF5477" w:rsidRPr="00DB5227" w:rsidRDefault="00DF5477" w:rsidP="00DF5477">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types and techniques of data collection in this study consisted of primary data obtained through direct field observation and interviews with parties related to the research topic, namely</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the owner of the JATAM MSME. Secondary data were obtained from library research, scientific articles, and literature from relevant agencies.</w:t>
      </w:r>
    </w:p>
    <w:p w14:paraId="10C0B776" w14:textId="1F760065" w:rsidR="00D455E8" w:rsidRPr="00D455E8" w:rsidRDefault="00D455E8" w:rsidP="00D455E8">
      <w:pPr>
        <w:pStyle w:val="HTMLPreformatted"/>
        <w:numPr>
          <w:ilvl w:val="1"/>
          <w:numId w:val="7"/>
        </w:numPr>
        <w:jc w:val="both"/>
        <w:rPr>
          <w:rStyle w:val="y2iqfc"/>
          <w:rFonts w:ascii="Times New Roman" w:eastAsiaTheme="majorEastAsia" w:hAnsi="Times New Roman" w:cs="Times New Roman"/>
          <w:sz w:val="22"/>
          <w:szCs w:val="22"/>
          <w:highlight w:val="yellow"/>
          <w:lang w:val="en"/>
        </w:rPr>
      </w:pPr>
      <w:r w:rsidRPr="00D455E8">
        <w:rPr>
          <w:rStyle w:val="y2iqfc"/>
          <w:rFonts w:ascii="Times New Roman" w:eastAsiaTheme="majorEastAsia" w:hAnsi="Times New Roman" w:cs="Times New Roman"/>
          <w:sz w:val="22"/>
          <w:szCs w:val="22"/>
          <w:highlight w:val="yellow"/>
          <w:lang w:val="en"/>
        </w:rPr>
        <w:t xml:space="preserve">Data Analysis Method </w:t>
      </w:r>
    </w:p>
    <w:p w14:paraId="3BFCE09F" w14:textId="07CE4F31" w:rsidR="00DF5477" w:rsidRPr="00DB5227" w:rsidRDefault="00DF5477" w:rsidP="00DF547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Data analysis methods in this study included full costing and variable costing, break-even point analysis, and sensitivity analysis. The following is the analytical framework used in this study:</w:t>
      </w:r>
    </w:p>
    <w:p w14:paraId="57120D13" w14:textId="77777777" w:rsidR="00DF5477" w:rsidRPr="00DB5227" w:rsidRDefault="00DF5477" w:rsidP="00DF5477">
      <w:pPr>
        <w:pStyle w:val="HTMLPreformatted"/>
        <w:numPr>
          <w:ilvl w:val="0"/>
          <w:numId w:val="1"/>
        </w:numPr>
        <w:ind w:left="426" w:hanging="426"/>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The method used to determine the cost of production is based on the full costing and variable costing methods [8]. </w:t>
      </w:r>
    </w:p>
    <w:p w14:paraId="552710BC" w14:textId="0FC90DAE"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Full Costing Method</w:t>
      </w:r>
    </w:p>
    <w:p w14:paraId="56B9F169" w14:textId="3982AC0D"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Raw Material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366F1F50" w14:textId="206143AD"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Direct Labor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6011158E" w14:textId="7CF9A376"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Fixed Overhead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0A74CC18" w14:textId="765EFA00" w:rsidR="00DF5477" w:rsidRPr="00DB5227" w:rsidRDefault="00DB5227" w:rsidP="00DF5477">
      <w:pPr>
        <w:pStyle w:val="HTMLPreformatted"/>
        <w:rPr>
          <w:rStyle w:val="y2iqfc"/>
          <w:rFonts w:ascii="Times New Roman" w:eastAsiaTheme="majorEastAsia" w:hAnsi="Times New Roman" w:cs="Times New Roman"/>
          <w:sz w:val="22"/>
          <w:szCs w:val="22"/>
          <w:u w:val="single"/>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u w:val="single"/>
          <w:lang w:val="en"/>
        </w:rPr>
        <w:t xml:space="preserve">Variable Overhead Cost </w:t>
      </w:r>
      <w:r w:rsidR="00DF5477" w:rsidRPr="00DB5227">
        <w:rPr>
          <w:rStyle w:val="y2iqfc"/>
          <w:rFonts w:ascii="Times New Roman" w:eastAsiaTheme="majorEastAsia" w:hAnsi="Times New Roman" w:cs="Times New Roman"/>
          <w:sz w:val="22"/>
          <w:szCs w:val="22"/>
          <w:u w:val="single"/>
          <w:lang w:val="en"/>
        </w:rPr>
        <w:tab/>
      </w:r>
      <w:r w:rsidR="00DF5477" w:rsidRPr="00DB5227">
        <w:rPr>
          <w:rStyle w:val="y2iqfc"/>
          <w:rFonts w:ascii="Times New Roman" w:eastAsiaTheme="majorEastAsia" w:hAnsi="Times New Roman" w:cs="Times New Roman"/>
          <w:sz w:val="22"/>
          <w:szCs w:val="22"/>
          <w:u w:val="single"/>
          <w:lang w:val="en"/>
        </w:rPr>
        <w:tab/>
      </w:r>
      <w:r>
        <w:rPr>
          <w:rStyle w:val="y2iqfc"/>
          <w:rFonts w:ascii="Times New Roman" w:eastAsiaTheme="majorEastAsia" w:hAnsi="Times New Roman" w:cs="Times New Roman"/>
          <w:sz w:val="22"/>
          <w:szCs w:val="22"/>
          <w:u w:val="single"/>
          <w:lang w:val="en"/>
        </w:rPr>
        <w:t xml:space="preserve">                 IDR</w:t>
      </w:r>
      <w:r w:rsidR="00DF5477" w:rsidRPr="00DB5227">
        <w:rPr>
          <w:rStyle w:val="y2iqfc"/>
          <w:rFonts w:ascii="Times New Roman" w:eastAsiaTheme="majorEastAsia" w:hAnsi="Times New Roman" w:cs="Times New Roman"/>
          <w:sz w:val="22"/>
          <w:szCs w:val="22"/>
          <w:u w:val="single"/>
          <w:lang w:val="en"/>
        </w:rPr>
        <w:t xml:space="preserve"> xxx (+)</w:t>
      </w:r>
    </w:p>
    <w:p w14:paraId="3DC67096" w14:textId="494000EE"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Cost of Goods Manufactured (COGS) </w:t>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00DA095B"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47A599E3" w14:textId="40227D34" w:rsidR="00DF5477" w:rsidRPr="00DB5227" w:rsidRDefault="00DF5477" w:rsidP="00DF547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COGS Per Unit = (Cost of Goods Manufactured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Total Production (Packaging))</w:t>
      </w:r>
    </w:p>
    <w:p w14:paraId="728BD7C9"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370D6B4A" w14:textId="4363CE70"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Variable Costing Method</w:t>
      </w:r>
    </w:p>
    <w:p w14:paraId="18D9C250" w14:textId="4B3EA25B"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Raw Material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75003506" w14:textId="708DCEB4" w:rsidR="00DF5477" w:rsidRPr="00DB5227" w:rsidRDefault="00DB5227" w:rsidP="00DF5477">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Direct Labor Cost </w:t>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IDR</w:t>
      </w:r>
      <w:r w:rsidR="00DF5477" w:rsidRPr="00DB5227">
        <w:rPr>
          <w:rStyle w:val="y2iqfc"/>
          <w:rFonts w:ascii="Times New Roman" w:eastAsiaTheme="majorEastAsia" w:hAnsi="Times New Roman" w:cs="Times New Roman"/>
          <w:sz w:val="22"/>
          <w:szCs w:val="22"/>
          <w:lang w:val="en"/>
        </w:rPr>
        <w:t xml:space="preserve"> xxx</w:t>
      </w:r>
    </w:p>
    <w:p w14:paraId="23FF2FB3" w14:textId="156E1862" w:rsidR="00DF5477" w:rsidRPr="00DB5227" w:rsidRDefault="00DB5227" w:rsidP="00DF5477">
      <w:pPr>
        <w:pStyle w:val="HTMLPreformatted"/>
        <w:rPr>
          <w:rStyle w:val="y2iqfc"/>
          <w:rFonts w:ascii="Times New Roman" w:eastAsiaTheme="majorEastAsia" w:hAnsi="Times New Roman" w:cs="Times New Roman"/>
          <w:sz w:val="22"/>
          <w:szCs w:val="22"/>
          <w:u w:val="single"/>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u w:val="single"/>
          <w:lang w:val="en"/>
        </w:rPr>
        <w:t xml:space="preserve">Variable Overhead Cost </w:t>
      </w:r>
      <w:r w:rsidR="00DF5477" w:rsidRPr="00DB5227">
        <w:rPr>
          <w:rStyle w:val="y2iqfc"/>
          <w:rFonts w:ascii="Times New Roman" w:eastAsiaTheme="majorEastAsia" w:hAnsi="Times New Roman" w:cs="Times New Roman"/>
          <w:sz w:val="22"/>
          <w:szCs w:val="22"/>
          <w:u w:val="single"/>
          <w:lang w:val="en"/>
        </w:rPr>
        <w:tab/>
      </w:r>
      <w:r w:rsidR="00DF5477" w:rsidRPr="00DB5227">
        <w:rPr>
          <w:rStyle w:val="y2iqfc"/>
          <w:rFonts w:ascii="Times New Roman" w:eastAsiaTheme="majorEastAsia" w:hAnsi="Times New Roman" w:cs="Times New Roman"/>
          <w:sz w:val="22"/>
          <w:szCs w:val="22"/>
          <w:u w:val="single"/>
          <w:lang w:val="en"/>
        </w:rPr>
        <w:tab/>
      </w:r>
      <w:r>
        <w:rPr>
          <w:rStyle w:val="y2iqfc"/>
          <w:rFonts w:ascii="Times New Roman" w:eastAsiaTheme="majorEastAsia" w:hAnsi="Times New Roman" w:cs="Times New Roman"/>
          <w:sz w:val="22"/>
          <w:szCs w:val="22"/>
          <w:u w:val="single"/>
          <w:lang w:val="en"/>
        </w:rPr>
        <w:t xml:space="preserve">                 IDR</w:t>
      </w:r>
      <w:r w:rsidR="00DF5477" w:rsidRPr="00DB5227">
        <w:rPr>
          <w:rStyle w:val="y2iqfc"/>
          <w:rFonts w:ascii="Times New Roman" w:eastAsiaTheme="majorEastAsia" w:hAnsi="Times New Roman" w:cs="Times New Roman"/>
          <w:sz w:val="22"/>
          <w:szCs w:val="22"/>
          <w:u w:val="single"/>
          <w:lang w:val="en"/>
        </w:rPr>
        <w:t xml:space="preserve"> xxx (+)</w:t>
      </w:r>
    </w:p>
    <w:p w14:paraId="0FD5BE12" w14:textId="0849C486" w:rsidR="00DF5477" w:rsidRPr="00DB5227" w:rsidRDefault="00DB522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        </w:t>
      </w:r>
      <w:r w:rsidR="00DF5477" w:rsidRPr="00DB5227">
        <w:rPr>
          <w:rStyle w:val="y2iqfc"/>
          <w:rFonts w:ascii="Times New Roman" w:eastAsiaTheme="majorEastAsia" w:hAnsi="Times New Roman" w:cs="Times New Roman"/>
          <w:sz w:val="22"/>
          <w:szCs w:val="22"/>
          <w:lang w:val="en"/>
        </w:rPr>
        <w:t xml:space="preserve">Cost of Goods Manufactured (COGS) </w:t>
      </w:r>
      <w:r w:rsidR="00DF5477" w:rsidRPr="00DB5227">
        <w:rPr>
          <w:rStyle w:val="y2iqfc"/>
          <w:rFonts w:ascii="Times New Roman" w:eastAsiaTheme="majorEastAsia" w:hAnsi="Times New Roman" w:cs="Times New Roman"/>
          <w:sz w:val="22"/>
          <w:szCs w:val="22"/>
          <w:lang w:val="en"/>
        </w:rPr>
        <w:tab/>
      </w:r>
      <w:r>
        <w:rPr>
          <w:rStyle w:val="y2iqfc"/>
          <w:rFonts w:ascii="Times New Roman" w:eastAsiaTheme="majorEastAsia" w:hAnsi="Times New Roman" w:cs="Times New Roman"/>
          <w:sz w:val="22"/>
          <w:szCs w:val="22"/>
          <w:lang w:val="en"/>
        </w:rPr>
        <w:t xml:space="preserve"> IDR</w:t>
      </w:r>
      <w:r w:rsidR="00DF5477" w:rsidRPr="00DB5227">
        <w:rPr>
          <w:rStyle w:val="y2iqfc"/>
          <w:rFonts w:ascii="Times New Roman" w:eastAsiaTheme="majorEastAsia" w:hAnsi="Times New Roman" w:cs="Times New Roman"/>
          <w:sz w:val="22"/>
          <w:szCs w:val="22"/>
          <w:lang w:val="en"/>
        </w:rPr>
        <w:t xml:space="preserve"> xxx</w:t>
      </w:r>
    </w:p>
    <w:p w14:paraId="15E97C6D"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39572ACE" w14:textId="4E788CA3" w:rsidR="00DF5477" w:rsidRPr="00DB5227" w:rsidRDefault="00DF5477" w:rsidP="00DF5477">
      <w:pPr>
        <w:pStyle w:val="HTMLPreformatted"/>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COGS Per Unit = (Cost of Goods Manufactured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w:t>
      </w:r>
      <w:proofErr w:type="gramStart"/>
      <w:r w:rsidRPr="00DB5227">
        <w:rPr>
          <w:rStyle w:val="y2iqfc"/>
          <w:rFonts w:ascii="Times New Roman" w:eastAsiaTheme="majorEastAsia" w:hAnsi="Times New Roman" w:cs="Times New Roman"/>
          <w:sz w:val="22"/>
          <w:szCs w:val="22"/>
          <w:lang w:val="en"/>
        </w:rPr>
        <w:t>/(</w:t>
      </w:r>
      <w:proofErr w:type="gramEnd"/>
      <w:r w:rsidRPr="00DB5227">
        <w:rPr>
          <w:rStyle w:val="y2iqfc"/>
          <w:rFonts w:ascii="Times New Roman" w:eastAsiaTheme="majorEastAsia" w:hAnsi="Times New Roman" w:cs="Times New Roman"/>
          <w:sz w:val="22"/>
          <w:szCs w:val="22"/>
          <w:lang w:val="en"/>
        </w:rPr>
        <w:t>Total Production (Packaging))</w:t>
      </w:r>
    </w:p>
    <w:p w14:paraId="6011E611"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29B41416" w14:textId="37BF9925" w:rsidR="00DF5477" w:rsidRPr="00DB5227" w:rsidRDefault="00DB5227" w:rsidP="00DF5477">
      <w:pPr>
        <w:pStyle w:val="HTMLPreformatted"/>
        <w:numPr>
          <w:ilvl w:val="0"/>
          <w:numId w:val="1"/>
        </w:numPr>
        <w:ind w:left="426" w:hanging="426"/>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The </w:t>
      </w:r>
      <w:r w:rsidR="00DF5477" w:rsidRPr="00DB5227">
        <w:rPr>
          <w:rStyle w:val="y2iqfc"/>
          <w:rFonts w:ascii="Times New Roman" w:eastAsiaTheme="majorEastAsia" w:hAnsi="Times New Roman" w:cs="Times New Roman"/>
          <w:sz w:val="22"/>
          <w:szCs w:val="22"/>
          <w:lang w:val="en"/>
        </w:rPr>
        <w:t>Method used to determine the break-even point [13</w:t>
      </w:r>
      <w:r w:rsidR="00823ACD">
        <w:rPr>
          <w:rStyle w:val="y2iqfc"/>
          <w:rFonts w:ascii="Times New Roman" w:eastAsiaTheme="majorEastAsia" w:hAnsi="Times New Roman" w:cs="Times New Roman"/>
          <w:sz w:val="22"/>
          <w:szCs w:val="22"/>
          <w:lang w:val="en"/>
        </w:rPr>
        <w:t>; 14</w:t>
      </w:r>
      <w:r w:rsidR="00DF5477" w:rsidRPr="00DB5227">
        <w:rPr>
          <w:rStyle w:val="y2iqfc"/>
          <w:rFonts w:ascii="Times New Roman" w:eastAsiaTheme="majorEastAsia" w:hAnsi="Times New Roman" w:cs="Times New Roman"/>
          <w:sz w:val="22"/>
          <w:szCs w:val="22"/>
          <w:lang w:val="en"/>
        </w:rPr>
        <w:t>]:</w:t>
      </w:r>
    </w:p>
    <w:p w14:paraId="7C7357C5" w14:textId="77777777" w:rsidR="00DF5477" w:rsidRPr="00DB5227" w:rsidRDefault="00DF5477" w:rsidP="00DF5477">
      <w:pPr>
        <w:pStyle w:val="HTMLPreformatted"/>
        <w:jc w:val="center"/>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BEP Sales Revenue = TFC/(1-TVC/S)</w:t>
      </w:r>
    </w:p>
    <w:p w14:paraId="6FFB213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1036368A" w14:textId="51F4E7BA"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TFC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Fixed Cost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0AD713D8" w14:textId="4E949832"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TVC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Variable Cost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7820F26C" w14:textId="69CF3A20"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Sales Value (</w:t>
      </w:r>
      <w:r w:rsidR="00DB5227">
        <w:rPr>
          <w:rStyle w:val="y2iqfc"/>
          <w:rFonts w:ascii="Times New Roman" w:eastAsiaTheme="majorEastAsia" w:hAnsi="Times New Roman" w:cs="Times New Roman"/>
          <w:sz w:val="22"/>
          <w:szCs w:val="22"/>
          <w:lang w:val="en"/>
        </w:rPr>
        <w:t>IDR</w:t>
      </w:r>
      <w:r w:rsidRPr="00DB5227">
        <w:rPr>
          <w:rStyle w:val="y2iqfc"/>
          <w:rFonts w:ascii="Times New Roman" w:eastAsiaTheme="majorEastAsia" w:hAnsi="Times New Roman" w:cs="Times New Roman"/>
          <w:sz w:val="22"/>
          <w:szCs w:val="22"/>
          <w:lang w:val="en"/>
        </w:rPr>
        <w:t>/Month)</w:t>
      </w:r>
    </w:p>
    <w:p w14:paraId="230118D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p>
    <w:p w14:paraId="59D8C68E" w14:textId="4DF5D942"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BEP Production Volume = [</w:t>
      </w:r>
      <w:proofErr w:type="gramStart"/>
      <w:r w:rsidRPr="00DB5227">
        <w:rPr>
          <w:rStyle w:val="y2iqfc"/>
          <w:rFonts w:ascii="Times New Roman" w:eastAsiaTheme="majorEastAsia" w:hAnsi="Times New Roman" w:cs="Times New Roman"/>
          <w:sz w:val="22"/>
          <w:szCs w:val="22"/>
          <w:lang w:val="en"/>
        </w:rPr>
        <w:t>TFC[</w:t>
      </w:r>
      <w:proofErr w:type="gramEnd"/>
      <w:r w:rsidRPr="00DB5227">
        <w:rPr>
          <w:rStyle w:val="y2iqfc"/>
          <w:rFonts w:ascii="Times New Roman" w:eastAsiaTheme="majorEastAsia" w:hAnsi="Times New Roman" w:cs="Times New Roman"/>
          <w:sz w:val="22"/>
          <w:szCs w:val="22"/>
          <w:lang w:val="en"/>
        </w:rPr>
        <w:t xml:space="preserve"> /[1-TVC/S))/P]</w:t>
      </w:r>
    </w:p>
    <w:p w14:paraId="4BD06213" w14:textId="6B9C8793" w:rsidR="00BA6C97" w:rsidRDefault="00DF5477" w:rsidP="00DB522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 P: Price (IDR/Gram)</w:t>
      </w:r>
    </w:p>
    <w:p w14:paraId="6DD5145F" w14:textId="77777777" w:rsidR="00DB5227" w:rsidRDefault="00DB5227" w:rsidP="00DB5227">
      <w:pPr>
        <w:pStyle w:val="HTMLPreformatted"/>
        <w:rPr>
          <w:rFonts w:ascii="Times New Roman" w:eastAsiaTheme="majorEastAsia" w:hAnsi="Times New Roman" w:cs="Times New Roman"/>
          <w:sz w:val="22"/>
          <w:szCs w:val="22"/>
          <w:lang w:val="en"/>
        </w:rPr>
      </w:pPr>
    </w:p>
    <w:p w14:paraId="0DC65B35" w14:textId="77777777" w:rsidR="00823ACD" w:rsidRDefault="00823ACD" w:rsidP="00DB5227">
      <w:pPr>
        <w:pStyle w:val="HTMLPreformatted"/>
        <w:rPr>
          <w:rFonts w:ascii="Times New Roman" w:eastAsiaTheme="majorEastAsia" w:hAnsi="Times New Roman" w:cs="Times New Roman"/>
          <w:sz w:val="22"/>
          <w:szCs w:val="22"/>
          <w:lang w:val="en"/>
        </w:rPr>
      </w:pPr>
    </w:p>
    <w:p w14:paraId="2BE97C35" w14:textId="77777777" w:rsidR="00823ACD" w:rsidRPr="00DB5227" w:rsidRDefault="00823ACD" w:rsidP="00DB5227">
      <w:pPr>
        <w:pStyle w:val="HTMLPreformatted"/>
        <w:rPr>
          <w:rFonts w:ascii="Times New Roman" w:eastAsiaTheme="majorEastAsia" w:hAnsi="Times New Roman" w:cs="Times New Roman"/>
          <w:sz w:val="22"/>
          <w:szCs w:val="22"/>
          <w:lang w:val="en"/>
        </w:rPr>
      </w:pPr>
    </w:p>
    <w:p w14:paraId="63402C30" w14:textId="77777777" w:rsidR="00823ACD" w:rsidRDefault="00DF5477" w:rsidP="00DF5477">
      <w:pPr>
        <w:pStyle w:val="HTMLPreformatted"/>
        <w:numPr>
          <w:ilvl w:val="0"/>
          <w:numId w:val="1"/>
        </w:numPr>
        <w:ind w:left="426" w:hanging="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The sensitivity analysis in this study was conducted using a production cost increase scenario to determine the extent to which changes in production costs affect the business's Break-E</w:t>
      </w:r>
      <w:r w:rsidR="00555088">
        <w:rPr>
          <w:rStyle w:val="y2iqfc"/>
          <w:rFonts w:ascii="Times New Roman" w:eastAsiaTheme="majorEastAsia" w:hAnsi="Times New Roman" w:cs="Times New Roman"/>
          <w:sz w:val="22"/>
          <w:szCs w:val="22"/>
          <w:lang w:val="en"/>
        </w:rPr>
        <w:t>ven Poin</w:t>
      </w:r>
      <w:r w:rsidRPr="00DB5227">
        <w:rPr>
          <w:rStyle w:val="y2iqfc"/>
          <w:rFonts w:ascii="Times New Roman" w:eastAsiaTheme="majorEastAsia" w:hAnsi="Times New Roman" w:cs="Times New Roman"/>
          <w:sz w:val="22"/>
          <w:szCs w:val="22"/>
          <w:lang w:val="en"/>
        </w:rPr>
        <w:t xml:space="preserve">t (BEP). Sensitivity can be calculated using the formula [11]: </w:t>
      </w:r>
    </w:p>
    <w:p w14:paraId="0867BA1B" w14:textId="0E1C323E" w:rsidR="00DF5477" w:rsidRPr="00DB5227" w:rsidRDefault="00DF5477" w:rsidP="00823ACD">
      <w:pPr>
        <w:pStyle w:val="HTMLPreformatted"/>
        <w:ind w:left="426"/>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Sensitivity = [TFC x S]</w:t>
      </w:r>
      <w:r w:rsidR="00823ACD">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w:t>
      </w:r>
      <w:r w:rsidR="00823ACD">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[S – TVC]</w:t>
      </w:r>
    </w:p>
    <w:p w14:paraId="0E5B4E97" w14:textId="77777777"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5FE2B3D8" w14:textId="0B6651BC" w:rsidR="00DF5477" w:rsidRPr="00DB5227" w:rsidRDefault="00DF5477" w:rsidP="00DF5477">
      <w:pPr>
        <w:pStyle w:val="HTMLPreformatted"/>
        <w:rPr>
          <w:rStyle w:val="y2iqfc"/>
          <w:rFonts w:ascii="Times New Roman" w:eastAsiaTheme="majorEastAsia" w:hAnsi="Times New Roman" w:cs="Times New Roman"/>
          <w:sz w:val="22"/>
          <w:szCs w:val="22"/>
          <w:lang w:val="en"/>
        </w:rPr>
      </w:pPr>
      <w:proofErr w:type="gramStart"/>
      <w:r w:rsidRPr="00DB5227">
        <w:rPr>
          <w:rStyle w:val="y2iqfc"/>
          <w:rFonts w:ascii="Times New Roman" w:eastAsiaTheme="majorEastAsia" w:hAnsi="Times New Roman" w:cs="Times New Roman"/>
          <w:sz w:val="22"/>
          <w:szCs w:val="22"/>
          <w:lang w:val="en"/>
        </w:rPr>
        <w:t>TFC</w:t>
      </w:r>
      <w:r w:rsidR="00DB5227">
        <w:rPr>
          <w:rStyle w:val="y2iqfc"/>
          <w:rFonts w:ascii="Times New Roman" w:eastAsiaTheme="majorEastAsia" w:hAnsi="Times New Roman" w:cs="Times New Roman"/>
          <w:sz w:val="22"/>
          <w:szCs w:val="22"/>
          <w:lang w:val="en"/>
        </w:rPr>
        <w:t xml:space="preserve">  =</w:t>
      </w:r>
      <w:proofErr w:type="gramEnd"/>
      <w:r w:rsidRPr="00DB5227">
        <w:rPr>
          <w:rStyle w:val="y2iqfc"/>
          <w:rFonts w:ascii="Times New Roman" w:eastAsiaTheme="majorEastAsia" w:hAnsi="Times New Roman" w:cs="Times New Roman"/>
          <w:sz w:val="22"/>
          <w:szCs w:val="22"/>
          <w:lang w:val="en"/>
        </w:rPr>
        <w:t xml:space="preserve"> Total Fixed Cost (IDR/Month)</w:t>
      </w:r>
    </w:p>
    <w:p w14:paraId="171A6021" w14:textId="6CC2F0F4" w:rsidR="00DF5477" w:rsidRPr="00DB5227" w:rsidRDefault="00DF5477" w:rsidP="00DF5477">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TVC</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Total Variable Cost (IDR/Month)</w:t>
      </w:r>
    </w:p>
    <w:p w14:paraId="2B24DC73" w14:textId="37C3061B" w:rsidR="00DF5477" w:rsidRDefault="00DF5477" w:rsidP="002D1AE8">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w:t>
      </w:r>
      <w:r w:rsidR="00DB5227">
        <w:rPr>
          <w:rStyle w:val="y2iqfc"/>
          <w:rFonts w:ascii="Times New Roman" w:eastAsiaTheme="majorEastAsia" w:hAnsi="Times New Roman" w:cs="Times New Roman"/>
          <w:sz w:val="22"/>
          <w:szCs w:val="22"/>
          <w:lang w:val="en"/>
        </w:rPr>
        <w:t xml:space="preserve">       =</w:t>
      </w:r>
      <w:r w:rsidRPr="00DB5227">
        <w:rPr>
          <w:rStyle w:val="y2iqfc"/>
          <w:rFonts w:ascii="Times New Roman" w:eastAsiaTheme="majorEastAsia" w:hAnsi="Times New Roman" w:cs="Times New Roman"/>
          <w:sz w:val="22"/>
          <w:szCs w:val="22"/>
          <w:lang w:val="en"/>
        </w:rPr>
        <w:t xml:space="preserve"> Sales Value (IDR/Month)</w:t>
      </w:r>
    </w:p>
    <w:p w14:paraId="3053134A" w14:textId="77777777" w:rsidR="002D1AE8" w:rsidRPr="002D1AE8" w:rsidRDefault="002D1AE8" w:rsidP="002D1AE8">
      <w:pPr>
        <w:pStyle w:val="HTMLPreformatted"/>
        <w:rPr>
          <w:rFonts w:ascii="Times New Roman" w:hAnsi="Times New Roman" w:cs="Times New Roman"/>
          <w:sz w:val="22"/>
          <w:szCs w:val="22"/>
        </w:rPr>
      </w:pPr>
    </w:p>
    <w:p w14:paraId="0884C62D" w14:textId="33475FCA" w:rsidR="005B214E" w:rsidRPr="00DB5227" w:rsidRDefault="00D455E8" w:rsidP="005B214E">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 xml:space="preserve">3. </w:t>
      </w:r>
      <w:r w:rsidR="005B214E" w:rsidRPr="00DB5227">
        <w:rPr>
          <w:rStyle w:val="y2iqfc"/>
          <w:rFonts w:ascii="Times New Roman" w:eastAsiaTheme="majorEastAsia" w:hAnsi="Times New Roman" w:cs="Times New Roman"/>
          <w:b/>
          <w:bCs/>
          <w:sz w:val="22"/>
          <w:szCs w:val="22"/>
          <w:lang w:val="en"/>
        </w:rPr>
        <w:t>RESULTS AND DISCUSSION</w:t>
      </w:r>
    </w:p>
    <w:p w14:paraId="5F204178" w14:textId="37B3CC9D" w:rsidR="005B214E" w:rsidRPr="00DB5227" w:rsidRDefault="00D455E8" w:rsidP="005B214E">
      <w:pPr>
        <w:pStyle w:val="HTMLPreformatted"/>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t>3.1</w:t>
      </w:r>
      <w:r w:rsidR="005B214E" w:rsidRPr="00D455E8">
        <w:rPr>
          <w:rStyle w:val="y2iqfc"/>
          <w:rFonts w:ascii="Times New Roman" w:eastAsiaTheme="majorEastAsia" w:hAnsi="Times New Roman" w:cs="Times New Roman"/>
          <w:b/>
          <w:bCs/>
          <w:sz w:val="22"/>
          <w:szCs w:val="22"/>
          <w:highlight w:val="yellow"/>
          <w:lang w:val="en"/>
        </w:rPr>
        <w:t>. Overview of JATAM MSME</w:t>
      </w:r>
    </w:p>
    <w:p w14:paraId="737C847D" w14:textId="3B983B8A"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JATAM is an MSME located in Samarinda City, specifically on Jalan Poros Kebun Agung RT. 3 No. 51, Lempake Village, North Samarinda District. Its establishment was motivated by the consideration that one of the MSME owner's family members, her in-laws, is an oyster mushroom farmer. Due to the perishable nature of oyster mushrooms, the idea arose to increase the product's shelf life by processing it into oyster mushroom chips. The oyster mushroom chips produced by the JATAM MSME have a shelf life of five to six months.</w:t>
      </w:r>
    </w:p>
    <w:p w14:paraId="1B2AE5BB"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JATAM MSME has been operating for two years, having been established in November 2022 with an initial capital of IDR 2,000,000.00. The quality of JATAM's chips is meticulously maintained, ensuring both taste and crispiness. During its production process, JATAM MSME has received official recognition in the form of a certificate from the Health Office with number SPP-IRT 5046472010233-27, issued on December 1, 2022. Furthermore, JATAM's chips were also certified halal by the Indonesian Ulema Council (MUI) on January 12, 2023, with certificate number ID 64110001304801222, guaranteeing the chips' halal status.</w:t>
      </w:r>
    </w:p>
    <w:p w14:paraId="57BBFA85" w14:textId="3741FDA5"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JATAM MSME has undertaken various strategic efforts to improve the quality of its products, thereby qualifying to market JATAM chips to major retailers. These oyster mushroom chips are marketed at Rp 17,000 per 85-gram package. Over the past two years, JATAM has completed a partnership with Toko Oleh-oleh Najwa, located on Jalan Pangeran Antasari. Furthermore, JATAM chips are also marketed in several local supermarkets, including Hypermart, Foodmart, Farmers Market, Joymart, and Mega Swalayan.</w:t>
      </w:r>
    </w:p>
    <w:p w14:paraId="575BA530" w14:textId="77777777" w:rsidR="005B214E" w:rsidRPr="00DB5227" w:rsidRDefault="005B214E" w:rsidP="005B214E">
      <w:pPr>
        <w:pStyle w:val="HTMLPreformatted"/>
        <w:ind w:firstLine="567"/>
        <w:jc w:val="both"/>
        <w:rPr>
          <w:rFonts w:ascii="Times New Roman" w:hAnsi="Times New Roman" w:cs="Times New Roman"/>
          <w:sz w:val="22"/>
          <w:szCs w:val="22"/>
        </w:rPr>
      </w:pPr>
    </w:p>
    <w:p w14:paraId="4E87B8B7" w14:textId="06B90FA3" w:rsidR="005B214E" w:rsidRPr="00DB5227" w:rsidRDefault="00D455E8" w:rsidP="005B214E">
      <w:pPr>
        <w:pStyle w:val="HTMLPreformatted"/>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t xml:space="preserve">3.2.  </w:t>
      </w:r>
      <w:r w:rsidR="005B214E" w:rsidRPr="00D455E8">
        <w:rPr>
          <w:rStyle w:val="y2iqfc"/>
          <w:rFonts w:ascii="Times New Roman" w:eastAsiaTheme="majorEastAsia" w:hAnsi="Times New Roman" w:cs="Times New Roman"/>
          <w:b/>
          <w:bCs/>
          <w:sz w:val="22"/>
          <w:szCs w:val="22"/>
          <w:highlight w:val="yellow"/>
          <w:lang w:val="en"/>
        </w:rPr>
        <w:t>Oyster Mushroom Chip Production Process at JATAM MSME</w:t>
      </w:r>
    </w:p>
    <w:p w14:paraId="47C6285C"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JATAM MSME produces once a week, resulting in four production runs per month. In one production run, 10 kg of fresh oyster mushrooms can produce 100 packages. The stages in the oyster mushroom chip production process are as follows:</w:t>
      </w:r>
    </w:p>
    <w:p w14:paraId="18073022" w14:textId="79AC7F06"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a. Ingredients preparation: The ingredients used to process oyster mushrooms into oyster mushroom chips are fresh white oyster mushrooms, water, wheat flour, rice flour, tapioca flour, mixed and flavored with flavorings (sugar, salt, and chicken-flavored masako), as well as seasonings in various flavors: Antaka roasted corn, Antaka barbecue, and Antaka balado.</w:t>
      </w:r>
    </w:p>
    <w:p w14:paraId="66CE529A" w14:textId="77777777" w:rsidR="005B214E" w:rsidRPr="00DB5227" w:rsidRDefault="005B214E" w:rsidP="00DB5227">
      <w:pPr>
        <w:pStyle w:val="HTMLPreformatted"/>
        <w:ind w:left="284" w:hanging="284"/>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b. Mixing the wet dough: The wet dough is made by mixing wheat flour, rice flour, and tapioca flour, seasoned with flavorings (sugar, salt, and chicken-flavored masako). Once the dough is thoroughly mixed, the fresh oyster mushrooms are added to the mixture.</w:t>
      </w:r>
    </w:p>
    <w:p w14:paraId="42C20861" w14:textId="3AD1A29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c. Mixing the dry flour mixture: Oyster mushrooms coated in the wet flour mixture are dipped one by one into the dry flour mixture, a mixture of wheat flour, rice flour, and tapioca flour, seasoned with additional seasonings (sugar, salt, and chicken-flavored masako).</w:t>
      </w:r>
    </w:p>
    <w:p w14:paraId="28C85C9D" w14:textId="7777777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 Sifting the mixture: Sifting ensures the flour doesn't stick too much to the mushrooms, resulting in a crispier fried product.</w:t>
      </w:r>
    </w:p>
    <w:p w14:paraId="2995B1AD" w14:textId="7777777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e. Frying: The first stage is carried out at 180°C until half-cooked, indicated by a yellow color change. The second stage is carried out at a maximum temperature of 100°C, continuing to fry until fully cooked, indicated by a brown color change.</w:t>
      </w:r>
    </w:p>
    <w:p w14:paraId="6ECE0DFD" w14:textId="77777777" w:rsidR="005B214E" w:rsidRPr="00DB5227"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f. Draining the chips: Draining is carried out using a modified spinner machine, in two cycles. Each cycle (one machine operation) takes 2.5 minutes.</w:t>
      </w:r>
    </w:p>
    <w:p w14:paraId="71FBA26F" w14:textId="77777777" w:rsidR="005B214E" w:rsidRDefault="005B214E" w:rsidP="00DB5227">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g. Packaging: This stage begins with labeling the flavor and expiration date on the packaging. Next, the product is packaged, followed by seasoning with various Antaka flavors (barbecue, balado, roasted corn). Finally, the packaging is sealed using a sealing machine to maintain product quality and durability.</w:t>
      </w:r>
    </w:p>
    <w:p w14:paraId="23DA96A1" w14:textId="77777777" w:rsidR="00555088" w:rsidRPr="00DB5227" w:rsidRDefault="00555088" w:rsidP="00823ACD">
      <w:pPr>
        <w:pStyle w:val="HTMLPreformatted"/>
        <w:jc w:val="both"/>
        <w:rPr>
          <w:rFonts w:ascii="Times New Roman" w:hAnsi="Times New Roman" w:cs="Times New Roman"/>
          <w:sz w:val="22"/>
          <w:szCs w:val="22"/>
        </w:rPr>
      </w:pPr>
    </w:p>
    <w:p w14:paraId="09343A81" w14:textId="4EEE6EA4" w:rsidR="005B214E" w:rsidRPr="00D455E8" w:rsidRDefault="00D455E8" w:rsidP="005B214E">
      <w:pPr>
        <w:pStyle w:val="HTMLPreformatted"/>
        <w:rPr>
          <w:rStyle w:val="y2iqfc"/>
          <w:rFonts w:ascii="Times New Roman" w:eastAsiaTheme="majorEastAsia" w:hAnsi="Times New Roman" w:cs="Times New Roman"/>
          <w:b/>
          <w:bCs/>
          <w:sz w:val="22"/>
          <w:szCs w:val="22"/>
          <w:highlight w:val="yellow"/>
          <w:lang w:val="en"/>
        </w:rPr>
      </w:pPr>
      <w:r w:rsidRPr="00D455E8">
        <w:rPr>
          <w:rStyle w:val="y2iqfc"/>
          <w:rFonts w:ascii="Times New Roman" w:eastAsiaTheme="majorEastAsia" w:hAnsi="Times New Roman" w:cs="Times New Roman"/>
          <w:b/>
          <w:bCs/>
          <w:sz w:val="22"/>
          <w:szCs w:val="22"/>
          <w:highlight w:val="yellow"/>
          <w:lang w:val="en"/>
        </w:rPr>
        <w:t>3.3.</w:t>
      </w:r>
      <w:r w:rsidR="005B214E" w:rsidRPr="00D455E8">
        <w:rPr>
          <w:rStyle w:val="y2iqfc"/>
          <w:rFonts w:ascii="Times New Roman" w:eastAsiaTheme="majorEastAsia" w:hAnsi="Times New Roman" w:cs="Times New Roman"/>
          <w:b/>
          <w:bCs/>
          <w:sz w:val="22"/>
          <w:szCs w:val="22"/>
          <w:highlight w:val="yellow"/>
          <w:lang w:val="en"/>
        </w:rPr>
        <w:t xml:space="preserve"> Cost of Goods Sold Analysis</w:t>
      </w:r>
    </w:p>
    <w:p w14:paraId="33B518FE" w14:textId="0EF4268A" w:rsidR="005B214E" w:rsidRPr="00DB5227" w:rsidRDefault="00D455E8" w:rsidP="005B214E">
      <w:pPr>
        <w:pStyle w:val="HTMLPreformatted"/>
        <w:jc w:val="both"/>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t xml:space="preserve">3.3.1. </w:t>
      </w:r>
      <w:r w:rsidR="005B214E" w:rsidRPr="00D455E8">
        <w:rPr>
          <w:rStyle w:val="y2iqfc"/>
          <w:rFonts w:ascii="Times New Roman" w:eastAsiaTheme="majorEastAsia" w:hAnsi="Times New Roman" w:cs="Times New Roman"/>
          <w:b/>
          <w:bCs/>
          <w:sz w:val="22"/>
          <w:szCs w:val="22"/>
          <w:highlight w:val="yellow"/>
          <w:lang w:val="en"/>
        </w:rPr>
        <w:t>Cost of Goods Sold Calculation According to JATAM MSMEs</w:t>
      </w:r>
    </w:p>
    <w:p w14:paraId="458C8F9B" w14:textId="77777777"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method used by JATAM MSMEs only calculates a few cost components based on the business owner's assumptions. These cost components include raw material costs, direct labor costs, packaging costs, the cost of various flavored seasonings, and the cost of purchasing sachet chili sauce. Details of the cost of goods sold calculation using this method are presented in Table 1.</w:t>
      </w:r>
    </w:p>
    <w:p w14:paraId="4B188D75" w14:textId="77777777" w:rsidR="005B214E" w:rsidRPr="00DB5227" w:rsidRDefault="005B214E" w:rsidP="005B214E">
      <w:pPr>
        <w:pStyle w:val="HTMLPreformatted"/>
        <w:ind w:left="1134" w:hanging="1134"/>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1. Calculation of Cost of Goods Sold Using the JATAM MSME Method,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2544"/>
      </w:tblGrid>
      <w:tr w:rsidR="005B214E" w:rsidRPr="00DB5227" w14:paraId="64A85EBB" w14:textId="77777777" w:rsidTr="00D455E8">
        <w:tc>
          <w:tcPr>
            <w:tcW w:w="8498" w:type="dxa"/>
            <w:gridSpan w:val="3"/>
            <w:tcBorders>
              <w:top w:val="single" w:sz="4" w:space="0" w:color="auto"/>
              <w:bottom w:val="single" w:sz="4" w:space="0" w:color="auto"/>
            </w:tcBorders>
          </w:tcPr>
          <w:p w14:paraId="0A178050" w14:textId="36482A23" w:rsidR="005B214E" w:rsidRPr="00DB5227" w:rsidRDefault="005B214E"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r w:rsidR="00DB5227" w:rsidRPr="00DB5227">
              <w:rPr>
                <w:rFonts w:ascii="Times New Roman" w:hAnsi="Times New Roman" w:cs="Times New Roman"/>
                <w:b/>
                <w:bCs/>
                <w:szCs w:val="22"/>
              </w:rPr>
              <w:t xml:space="preserve"> Method</w:t>
            </w:r>
          </w:p>
          <w:p w14:paraId="42A23A6E" w14:textId="72F23292" w:rsidR="005B214E" w:rsidRPr="00DB5227" w:rsidRDefault="005B214E"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05AEBC6B" w14:textId="77777777" w:rsidTr="00D455E8">
        <w:trPr>
          <w:trHeight w:val="365"/>
        </w:trPr>
        <w:tc>
          <w:tcPr>
            <w:tcW w:w="3828" w:type="dxa"/>
            <w:tcBorders>
              <w:top w:val="single" w:sz="4" w:space="0" w:color="auto"/>
              <w:bottom w:val="single" w:sz="4" w:space="0" w:color="auto"/>
            </w:tcBorders>
            <w:vAlign w:val="center"/>
          </w:tcPr>
          <w:p w14:paraId="2A4724CB" w14:textId="426B3EAA" w:rsidR="005B214E" w:rsidRPr="00DB5227" w:rsidRDefault="00DB5227" w:rsidP="00DB5227">
            <w:pPr>
              <w:pStyle w:val="HTMLPreformatted"/>
              <w:rPr>
                <w:rFonts w:ascii="Times New Roman" w:hAnsi="Times New Roman" w:cs="Times New Roman"/>
                <w:b/>
                <w:bCs/>
                <w:sz w:val="22"/>
                <w:szCs w:val="22"/>
              </w:rPr>
            </w:pPr>
            <w:r w:rsidRPr="00DB5227">
              <w:rPr>
                <w:rStyle w:val="y2iqfc"/>
                <w:rFonts w:ascii="Times New Roman" w:eastAsiaTheme="majorEastAsia" w:hAnsi="Times New Roman" w:cs="Times New Roman"/>
                <w:b/>
                <w:bCs/>
                <w:sz w:val="22"/>
                <w:szCs w:val="22"/>
                <w:lang w:val="en"/>
              </w:rPr>
              <w:t>Cost Components</w:t>
            </w:r>
          </w:p>
        </w:tc>
        <w:tc>
          <w:tcPr>
            <w:tcW w:w="2126" w:type="dxa"/>
            <w:tcBorders>
              <w:top w:val="single" w:sz="4" w:space="0" w:color="auto"/>
              <w:bottom w:val="single" w:sz="4" w:space="0" w:color="auto"/>
            </w:tcBorders>
            <w:vAlign w:val="center"/>
          </w:tcPr>
          <w:p w14:paraId="065B5911" w14:textId="3352B035" w:rsidR="005B214E" w:rsidRPr="00DB5227" w:rsidRDefault="00DB5227"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sidRPr="00DB5227">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79748211" w14:textId="4AEC4110" w:rsidR="005B214E" w:rsidRPr="00DB5227" w:rsidRDefault="005B214E"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 xml:space="preserve">Total </w:t>
            </w:r>
            <w:r w:rsidR="00DB5227" w:rsidRPr="00DB5227">
              <w:rPr>
                <w:rFonts w:ascii="Times New Roman" w:hAnsi="Times New Roman" w:cs="Times New Roman"/>
                <w:b/>
                <w:bCs/>
                <w:szCs w:val="22"/>
              </w:rPr>
              <w:t>Cost</w:t>
            </w:r>
            <w:r w:rsidRPr="00DB5227">
              <w:rPr>
                <w:rFonts w:ascii="Times New Roman" w:hAnsi="Times New Roman" w:cs="Times New Roman"/>
                <w:b/>
                <w:bCs/>
                <w:szCs w:val="22"/>
              </w:rPr>
              <w:t xml:space="preserve"> (</w:t>
            </w:r>
            <w:r w:rsidR="00DB5227" w:rsidRPr="00DB5227">
              <w:rPr>
                <w:rFonts w:ascii="Times New Roman" w:hAnsi="Times New Roman" w:cs="Times New Roman"/>
                <w:b/>
                <w:bCs/>
                <w:szCs w:val="22"/>
              </w:rPr>
              <w:t>IDR</w:t>
            </w:r>
            <w:r w:rsidRPr="00DB5227">
              <w:rPr>
                <w:rFonts w:ascii="Times New Roman" w:hAnsi="Times New Roman" w:cs="Times New Roman"/>
                <w:b/>
                <w:bCs/>
                <w:szCs w:val="22"/>
              </w:rPr>
              <w:t>)</w:t>
            </w:r>
          </w:p>
        </w:tc>
      </w:tr>
      <w:tr w:rsidR="005B214E" w:rsidRPr="00DB5227" w14:paraId="3F7E074B" w14:textId="77777777" w:rsidTr="00D455E8">
        <w:tc>
          <w:tcPr>
            <w:tcW w:w="3828" w:type="dxa"/>
            <w:tcBorders>
              <w:top w:val="single" w:sz="4" w:space="0" w:color="auto"/>
            </w:tcBorders>
          </w:tcPr>
          <w:p w14:paraId="1B7EFA43" w14:textId="70F89B7F" w:rsidR="005B214E" w:rsidRPr="00DB5227" w:rsidRDefault="00DB5227" w:rsidP="00D455E8">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Borders>
              <w:top w:val="single" w:sz="4" w:space="0" w:color="auto"/>
            </w:tcBorders>
          </w:tcPr>
          <w:p w14:paraId="7153A850"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316D0C4F"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5B214E" w:rsidRPr="00DB5227" w14:paraId="238D2D89" w14:textId="77777777" w:rsidTr="00D455E8">
        <w:tc>
          <w:tcPr>
            <w:tcW w:w="3828" w:type="dxa"/>
          </w:tcPr>
          <w:p w14:paraId="60EAA4DB" w14:textId="7B70CD03"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Direct labor costs</w:t>
            </w:r>
          </w:p>
        </w:tc>
        <w:tc>
          <w:tcPr>
            <w:tcW w:w="2126" w:type="dxa"/>
          </w:tcPr>
          <w:p w14:paraId="24C352E2"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tc>
        <w:tc>
          <w:tcPr>
            <w:tcW w:w="2544" w:type="dxa"/>
          </w:tcPr>
          <w:p w14:paraId="744F5C19"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0FDE5142" w14:textId="77777777" w:rsidTr="00D455E8">
        <w:trPr>
          <w:trHeight w:val="1051"/>
        </w:trPr>
        <w:tc>
          <w:tcPr>
            <w:tcW w:w="3828" w:type="dxa"/>
          </w:tcPr>
          <w:p w14:paraId="27ADEFDE"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Variable Overhead Costs</w:t>
            </w:r>
          </w:p>
          <w:p w14:paraId="442AA6B2" w14:textId="5DD9C84D" w:rsidR="00DB5227" w:rsidRPr="00DB5227" w:rsidRDefault="00DB5227" w:rsidP="00DB5227">
            <w:pPr>
              <w:pStyle w:val="HTMLPreformatted"/>
              <w:numPr>
                <w:ilvl w:val="0"/>
                <w:numId w:val="2"/>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23A1CDD2" w14:textId="6A295BB4" w:rsidR="00DB5227" w:rsidRPr="00DB5227" w:rsidRDefault="00DB5227" w:rsidP="00DB5227">
            <w:pPr>
              <w:pStyle w:val="HTMLPreformatted"/>
              <w:numPr>
                <w:ilvl w:val="0"/>
                <w:numId w:val="2"/>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22C49192" w14:textId="7CE31229" w:rsidR="005B214E" w:rsidRPr="00DB5227" w:rsidRDefault="00DB5227" w:rsidP="005B214E">
            <w:pPr>
              <w:pStyle w:val="ListParagraph"/>
              <w:widowControl w:val="0"/>
              <w:numPr>
                <w:ilvl w:val="0"/>
                <w:numId w:val="2"/>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 xml:space="preserve">Chili </w:t>
            </w:r>
            <w:r w:rsidR="005B214E" w:rsidRPr="00DB5227">
              <w:rPr>
                <w:rFonts w:ascii="Times New Roman" w:hAnsi="Times New Roman" w:cs="Times New Roman"/>
                <w:i/>
                <w:iCs/>
                <w:szCs w:val="22"/>
              </w:rPr>
              <w:t>Sachet</w:t>
            </w:r>
          </w:p>
        </w:tc>
        <w:tc>
          <w:tcPr>
            <w:tcW w:w="2126" w:type="dxa"/>
          </w:tcPr>
          <w:p w14:paraId="6A115226"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358959EA"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714B453D"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w:t>
            </w:r>
          </w:p>
          <w:p w14:paraId="2B330FD6" w14:textId="77777777" w:rsidR="00DB5227" w:rsidRPr="00DB5227" w:rsidRDefault="00DB5227" w:rsidP="00D455E8">
            <w:pPr>
              <w:widowControl w:val="0"/>
              <w:autoSpaceDE w:val="0"/>
              <w:autoSpaceDN w:val="0"/>
              <w:adjustRightInd w:val="0"/>
              <w:jc w:val="right"/>
              <w:rPr>
                <w:rFonts w:ascii="Times New Roman" w:hAnsi="Times New Roman" w:cs="Times New Roman"/>
                <w:szCs w:val="22"/>
              </w:rPr>
            </w:pPr>
          </w:p>
          <w:p w14:paraId="6FAC3031" w14:textId="4FAFED65"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3BC1AB88"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tc>
      </w:tr>
      <w:tr w:rsidR="005B214E" w:rsidRPr="00DB5227" w14:paraId="1A61F64F" w14:textId="77777777" w:rsidTr="00D455E8">
        <w:tc>
          <w:tcPr>
            <w:tcW w:w="3828" w:type="dxa"/>
            <w:tcBorders>
              <w:bottom w:val="single" w:sz="4" w:space="0" w:color="auto"/>
            </w:tcBorders>
          </w:tcPr>
          <w:p w14:paraId="2E7EBA34"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485A0B81"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262D9E80" w14:textId="517972AE"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(IDR/Package)</w:t>
            </w:r>
          </w:p>
        </w:tc>
        <w:tc>
          <w:tcPr>
            <w:tcW w:w="2126" w:type="dxa"/>
            <w:tcBorders>
              <w:bottom w:val="single" w:sz="4" w:space="0" w:color="auto"/>
            </w:tcBorders>
          </w:tcPr>
          <w:p w14:paraId="3F2660DA"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3E5E688E"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4.872.880,00</w:t>
            </w:r>
          </w:p>
          <w:p w14:paraId="46DDF5DD"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09EA2271" w14:textId="77777777" w:rsidR="00DB5227" w:rsidRPr="00DB5227" w:rsidRDefault="00DB5227" w:rsidP="00D455E8">
            <w:pPr>
              <w:widowControl w:val="0"/>
              <w:autoSpaceDE w:val="0"/>
              <w:autoSpaceDN w:val="0"/>
              <w:adjustRightInd w:val="0"/>
              <w:jc w:val="right"/>
              <w:rPr>
                <w:rFonts w:ascii="Times New Roman" w:hAnsi="Times New Roman" w:cs="Times New Roman"/>
                <w:szCs w:val="22"/>
              </w:rPr>
            </w:pPr>
          </w:p>
          <w:p w14:paraId="4C2DF6CD" w14:textId="6BA3E73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12.182,20</w:t>
            </w:r>
          </w:p>
        </w:tc>
      </w:tr>
    </w:tbl>
    <w:p w14:paraId="47F7409B" w14:textId="30D217DA"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08D1B6F2" w14:textId="77777777" w:rsidR="005B214E" w:rsidRPr="00DB5227" w:rsidRDefault="005B214E" w:rsidP="005B214E">
      <w:pPr>
        <w:pStyle w:val="HTMLPreformatted"/>
        <w:rPr>
          <w:rFonts w:ascii="Times New Roman" w:hAnsi="Times New Roman" w:cs="Times New Roman"/>
          <w:sz w:val="22"/>
          <w:szCs w:val="22"/>
        </w:rPr>
      </w:pPr>
    </w:p>
    <w:p w14:paraId="3430BF71"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Table 1, it is known that MSMEs have calculated the cost of goods manufactured. However, they have not yet taken into account several cost components, including fixed overhead costs, the cost of purchasing gallon water, the cost of purchasing electricity vouchers, the cost of 3 kg gas refills, and transportation costs (fuel). Inaccuracies in the accumulation of production costs can impact the accuracy of the calculation of the cost of goods manufactured, potentially impacting the product's selling price strategy.</w:t>
      </w:r>
    </w:p>
    <w:p w14:paraId="71C4CC86" w14:textId="77777777" w:rsidR="005B214E" w:rsidRPr="00DB5227" w:rsidRDefault="005B214E" w:rsidP="00DB5227">
      <w:pPr>
        <w:pStyle w:val="HTMLPreformatted"/>
        <w:jc w:val="both"/>
        <w:rPr>
          <w:rStyle w:val="y2iqfc"/>
          <w:rFonts w:ascii="Times New Roman" w:eastAsiaTheme="majorEastAsia" w:hAnsi="Times New Roman" w:cs="Times New Roman"/>
          <w:sz w:val="22"/>
          <w:szCs w:val="22"/>
          <w:lang w:val="en"/>
        </w:rPr>
      </w:pPr>
    </w:p>
    <w:p w14:paraId="4D2D145D" w14:textId="4512E840" w:rsidR="005B214E" w:rsidRPr="00DB5227" w:rsidRDefault="00D455E8" w:rsidP="005B214E">
      <w:pPr>
        <w:pStyle w:val="HTMLPreformatted"/>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t xml:space="preserve">3.3.2.  </w:t>
      </w:r>
      <w:r w:rsidR="005B214E" w:rsidRPr="00D455E8">
        <w:rPr>
          <w:rStyle w:val="y2iqfc"/>
          <w:rFonts w:ascii="Times New Roman" w:eastAsiaTheme="majorEastAsia" w:hAnsi="Times New Roman" w:cs="Times New Roman"/>
          <w:b/>
          <w:bCs/>
          <w:sz w:val="22"/>
          <w:szCs w:val="22"/>
          <w:highlight w:val="yellow"/>
          <w:lang w:val="en"/>
        </w:rPr>
        <w:t>Calculating Cost of Goods Manufactured Using the Full Costing Method</w:t>
      </w:r>
    </w:p>
    <w:p w14:paraId="2C743877" w14:textId="53A35871" w:rsidR="00DB5227" w:rsidRPr="00D455E8" w:rsidRDefault="005B214E" w:rsidP="00D455E8">
      <w:pPr>
        <w:pStyle w:val="HTMLPreformatted"/>
        <w:ind w:firstLine="567"/>
        <w:jc w:val="both"/>
        <w:rPr>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full costing method calculates the cost of goods manufactured by adding all production cost components, including raw material costs, direct labor costs, variable overhead costs, and fixed overhead costs. Details of the calculation of the cost of goods manufactured for JATAM chips using the full costing method can be seen in Table 2 below.</w:t>
      </w:r>
    </w:p>
    <w:p w14:paraId="744B7061" w14:textId="00DF37F6" w:rsidR="005B214E" w:rsidRPr="00DB5227" w:rsidRDefault="005B214E" w:rsidP="005B214E">
      <w:pPr>
        <w:pStyle w:val="HTMLPreformatted"/>
        <w:ind w:left="1134" w:hanging="1134"/>
        <w:jc w:val="both"/>
        <w:rPr>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Table 2. Calculation of Cost of Goods Sold Using the Full Costing Method, December 2024</w:t>
      </w:r>
    </w:p>
    <w:tbl>
      <w:tblPr>
        <w:tblStyle w:val="TableGrid"/>
        <w:tblW w:w="8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126"/>
        <w:gridCol w:w="2545"/>
      </w:tblGrid>
      <w:tr w:rsidR="005B214E" w:rsidRPr="00DB5227" w14:paraId="6BF058D3" w14:textId="77777777" w:rsidTr="00DB5227">
        <w:tc>
          <w:tcPr>
            <w:tcW w:w="8924" w:type="dxa"/>
            <w:gridSpan w:val="3"/>
            <w:tcBorders>
              <w:top w:val="single" w:sz="4" w:space="0" w:color="auto"/>
              <w:bottom w:val="single" w:sz="4" w:space="0" w:color="auto"/>
            </w:tcBorders>
          </w:tcPr>
          <w:p w14:paraId="0D23321A" w14:textId="77777777" w:rsidR="005B214E" w:rsidRPr="00DB5227" w:rsidRDefault="005B214E"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p>
          <w:p w14:paraId="1A45C279" w14:textId="77777777" w:rsidR="005B214E" w:rsidRPr="00DB5227" w:rsidRDefault="005B214E" w:rsidP="00D455E8">
            <w:pPr>
              <w:widowControl w:val="0"/>
              <w:autoSpaceDE w:val="0"/>
              <w:autoSpaceDN w:val="0"/>
              <w:adjustRightInd w:val="0"/>
              <w:jc w:val="center"/>
              <w:rPr>
                <w:rFonts w:ascii="Times New Roman" w:hAnsi="Times New Roman" w:cs="Times New Roman"/>
                <w:b/>
                <w:bCs/>
                <w:i/>
                <w:iCs/>
                <w:szCs w:val="22"/>
              </w:rPr>
            </w:pPr>
            <w:r w:rsidRPr="00DB5227">
              <w:rPr>
                <w:rFonts w:ascii="Times New Roman" w:hAnsi="Times New Roman" w:cs="Times New Roman"/>
                <w:b/>
                <w:bCs/>
                <w:szCs w:val="22"/>
              </w:rPr>
              <w:t xml:space="preserve">Metode </w:t>
            </w:r>
            <w:r w:rsidRPr="00DB5227">
              <w:rPr>
                <w:rFonts w:ascii="Times New Roman" w:hAnsi="Times New Roman" w:cs="Times New Roman"/>
                <w:b/>
                <w:bCs/>
                <w:i/>
                <w:iCs/>
                <w:szCs w:val="22"/>
              </w:rPr>
              <w:t>Full Costing</w:t>
            </w:r>
          </w:p>
          <w:p w14:paraId="01426A30" w14:textId="1800327E" w:rsidR="005B214E" w:rsidRPr="00DB5227" w:rsidRDefault="005B214E"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3380E379" w14:textId="77777777" w:rsidTr="00DB5227">
        <w:trPr>
          <w:trHeight w:val="365"/>
        </w:trPr>
        <w:tc>
          <w:tcPr>
            <w:tcW w:w="4253" w:type="dxa"/>
            <w:tcBorders>
              <w:top w:val="single" w:sz="4" w:space="0" w:color="auto"/>
            </w:tcBorders>
            <w:vAlign w:val="center"/>
          </w:tcPr>
          <w:p w14:paraId="7E8C88FE" w14:textId="3EFA837B" w:rsidR="005B214E" w:rsidRPr="00DB5227" w:rsidRDefault="00DB5227" w:rsidP="00D455E8">
            <w:pPr>
              <w:widowControl w:val="0"/>
              <w:autoSpaceDE w:val="0"/>
              <w:autoSpaceDN w:val="0"/>
              <w:adjustRightInd w:val="0"/>
              <w:rPr>
                <w:rFonts w:ascii="Times New Roman" w:hAnsi="Times New Roman" w:cs="Times New Roman"/>
                <w:b/>
                <w:bCs/>
                <w:szCs w:val="22"/>
              </w:rPr>
            </w:pPr>
            <w:r w:rsidRPr="00DB5227">
              <w:rPr>
                <w:rFonts w:ascii="Times New Roman" w:hAnsi="Times New Roman" w:cs="Times New Roman"/>
                <w:b/>
                <w:bCs/>
                <w:szCs w:val="22"/>
              </w:rPr>
              <w:t>Cost C</w:t>
            </w:r>
            <w:r w:rsidR="005B214E" w:rsidRPr="00DB5227">
              <w:rPr>
                <w:rFonts w:ascii="Times New Roman" w:hAnsi="Times New Roman" w:cs="Times New Roman"/>
                <w:b/>
                <w:bCs/>
                <w:szCs w:val="22"/>
              </w:rPr>
              <w:t>omponen</w:t>
            </w:r>
            <w:r w:rsidRPr="00DB5227">
              <w:rPr>
                <w:rFonts w:ascii="Times New Roman" w:hAnsi="Times New Roman" w:cs="Times New Roman"/>
                <w:b/>
                <w:bCs/>
                <w:szCs w:val="22"/>
              </w:rPr>
              <w:t>t</w:t>
            </w:r>
          </w:p>
        </w:tc>
        <w:tc>
          <w:tcPr>
            <w:tcW w:w="2126" w:type="dxa"/>
            <w:tcBorders>
              <w:top w:val="single" w:sz="4" w:space="0" w:color="auto"/>
            </w:tcBorders>
            <w:vAlign w:val="center"/>
          </w:tcPr>
          <w:p w14:paraId="707064B1" w14:textId="767E2F4B" w:rsidR="005B214E" w:rsidRPr="00DB5227" w:rsidRDefault="00DB5227" w:rsidP="00D455E8">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tcBorders>
            <w:vAlign w:val="center"/>
          </w:tcPr>
          <w:p w14:paraId="22D3D436" w14:textId="66988E55" w:rsidR="005B214E" w:rsidRPr="00DB5227" w:rsidRDefault="00DB5227" w:rsidP="00D455E8">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 xml:space="preserve">             </w:t>
            </w:r>
            <w:r w:rsidR="005B214E" w:rsidRPr="00DB5227">
              <w:rPr>
                <w:rFonts w:ascii="Times New Roman" w:hAnsi="Times New Roman" w:cs="Times New Roman"/>
                <w:b/>
                <w:bCs/>
                <w:szCs w:val="22"/>
              </w:rPr>
              <w:t xml:space="preserve">Total </w:t>
            </w:r>
            <w:r>
              <w:rPr>
                <w:rFonts w:ascii="Times New Roman" w:hAnsi="Times New Roman" w:cs="Times New Roman"/>
                <w:b/>
                <w:bCs/>
                <w:szCs w:val="22"/>
              </w:rPr>
              <w:t>Cost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r>
      <w:tr w:rsidR="00DB5227" w:rsidRPr="00DB5227" w14:paraId="39B7BD88" w14:textId="77777777" w:rsidTr="00DB5227">
        <w:tc>
          <w:tcPr>
            <w:tcW w:w="4253" w:type="dxa"/>
          </w:tcPr>
          <w:p w14:paraId="72A37A36" w14:textId="5B4B8CAB"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Pr>
          <w:p w14:paraId="049460FB"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4B593E4C"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B5227" w:rsidRPr="00DB5227" w14:paraId="133BAE70" w14:textId="77777777" w:rsidTr="00DB5227">
        <w:tc>
          <w:tcPr>
            <w:tcW w:w="4253" w:type="dxa"/>
          </w:tcPr>
          <w:p w14:paraId="58EECEAA" w14:textId="18A8DAB4"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Style w:val="y2iqfc"/>
                <w:rFonts w:ascii="Times New Roman" w:hAnsi="Times New Roman" w:cs="Times New Roman"/>
                <w:szCs w:val="22"/>
                <w:lang w:val="en"/>
              </w:rPr>
              <w:t>Direct labor costs</w:t>
            </w:r>
          </w:p>
        </w:tc>
        <w:tc>
          <w:tcPr>
            <w:tcW w:w="2126" w:type="dxa"/>
          </w:tcPr>
          <w:p w14:paraId="5C7B3BCE"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7EB224D3"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25349E73" w14:textId="77777777" w:rsidTr="00DB5227">
        <w:trPr>
          <w:trHeight w:val="2248"/>
        </w:trPr>
        <w:tc>
          <w:tcPr>
            <w:tcW w:w="4253" w:type="dxa"/>
          </w:tcPr>
          <w:p w14:paraId="092BAABC"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lastRenderedPageBreak/>
              <w:t>Variable Overhead Costs</w:t>
            </w:r>
          </w:p>
          <w:p w14:paraId="3377900D" w14:textId="369F3647"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Gallon water</w:t>
            </w:r>
          </w:p>
          <w:p w14:paraId="33E7284E" w14:textId="20B26932"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Electricity costs</w:t>
            </w:r>
          </w:p>
          <w:p w14:paraId="22DB8D77" w14:textId="2F43E799" w:rsidR="005B214E" w:rsidRPr="00DB5227" w:rsidRDefault="005B214E" w:rsidP="00DB5227">
            <w:pPr>
              <w:pStyle w:val="ListParagraph"/>
              <w:widowControl w:val="0"/>
              <w:numPr>
                <w:ilvl w:val="0"/>
                <w:numId w:val="3"/>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 xml:space="preserve">Gas </w:t>
            </w:r>
            <w:r w:rsidR="00DB5227" w:rsidRPr="00DB5227">
              <w:rPr>
                <w:rFonts w:ascii="Times New Roman" w:hAnsi="Times New Roman" w:cs="Times New Roman"/>
                <w:szCs w:val="22"/>
              </w:rPr>
              <w:t>(</w:t>
            </w:r>
            <w:r w:rsidRPr="00DB5227">
              <w:rPr>
                <w:rFonts w:ascii="Times New Roman" w:hAnsi="Times New Roman" w:cs="Times New Roman"/>
                <w:szCs w:val="22"/>
              </w:rPr>
              <w:t>3 kg</w:t>
            </w:r>
            <w:r w:rsidR="00DB5227" w:rsidRPr="00DB5227">
              <w:rPr>
                <w:rFonts w:ascii="Times New Roman" w:hAnsi="Times New Roman" w:cs="Times New Roman"/>
                <w:szCs w:val="22"/>
              </w:rPr>
              <w:t>)</w:t>
            </w:r>
          </w:p>
          <w:p w14:paraId="431462C2" w14:textId="6A436E8C"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Transportation costs (fuel)</w:t>
            </w:r>
          </w:p>
          <w:p w14:paraId="01E21996" w14:textId="4A7A23D4" w:rsidR="00DB5227" w:rsidRPr="00DB5227" w:rsidRDefault="00DB5227" w:rsidP="00DB5227">
            <w:pPr>
              <w:pStyle w:val="HTMLPreformatted"/>
              <w:numPr>
                <w:ilvl w:val="0"/>
                <w:numId w:val="3"/>
              </w:numPr>
              <w:tabs>
                <w:tab w:val="clear" w:pos="3664"/>
              </w:tabs>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1E14B9B8" w14:textId="77777777" w:rsidR="00DB5227" w:rsidRPr="00DB5227" w:rsidRDefault="00DB5227" w:rsidP="00DB5227">
            <w:pPr>
              <w:pStyle w:val="HTMLPreformatted"/>
              <w:numPr>
                <w:ilvl w:val="0"/>
                <w:numId w:val="3"/>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0C0597E6" w14:textId="7DCD45DD" w:rsidR="005B214E" w:rsidRPr="00DB5227" w:rsidRDefault="00DB5227" w:rsidP="00DB5227">
            <w:pPr>
              <w:pStyle w:val="ListParagraph"/>
              <w:widowControl w:val="0"/>
              <w:numPr>
                <w:ilvl w:val="0"/>
                <w:numId w:val="3"/>
              </w:numPr>
              <w:autoSpaceDE w:val="0"/>
              <w:autoSpaceDN w:val="0"/>
              <w:adjustRightInd w:val="0"/>
              <w:spacing w:line="276" w:lineRule="auto"/>
              <w:jc w:val="both"/>
              <w:rPr>
                <w:rFonts w:ascii="Times New Roman" w:hAnsi="Times New Roman" w:cs="Times New Roman"/>
                <w:szCs w:val="22"/>
              </w:rPr>
            </w:pPr>
            <w:r w:rsidRPr="00DB5227">
              <w:rPr>
                <w:rFonts w:ascii="Times New Roman" w:hAnsi="Times New Roman" w:cs="Times New Roman"/>
                <w:szCs w:val="22"/>
              </w:rPr>
              <w:t>Chili</w:t>
            </w:r>
            <w:r w:rsidR="005B214E" w:rsidRPr="00DB5227">
              <w:rPr>
                <w:rFonts w:ascii="Times New Roman" w:hAnsi="Times New Roman" w:cs="Times New Roman"/>
                <w:szCs w:val="22"/>
              </w:rPr>
              <w:t xml:space="preserve"> </w:t>
            </w:r>
            <w:r w:rsidR="005B214E" w:rsidRPr="00DB5227">
              <w:rPr>
                <w:rFonts w:ascii="Times New Roman" w:hAnsi="Times New Roman" w:cs="Times New Roman"/>
                <w:i/>
                <w:iCs/>
                <w:szCs w:val="22"/>
              </w:rPr>
              <w:t>Sachet</w:t>
            </w:r>
          </w:p>
          <w:p w14:paraId="4DA111DE" w14:textId="11E40872"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Fixed Overhead Costs</w:t>
            </w:r>
          </w:p>
        </w:tc>
        <w:tc>
          <w:tcPr>
            <w:tcW w:w="2126" w:type="dxa"/>
          </w:tcPr>
          <w:p w14:paraId="37375E25"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62238BE1"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08BA19CC"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667C5F87"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p w14:paraId="4C69B5A1"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40.000,00</w:t>
            </w:r>
          </w:p>
          <w:p w14:paraId="0E69B76F"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08AEDDEB"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280.000,00</w:t>
            </w:r>
          </w:p>
          <w:p w14:paraId="67F5680F" w14:textId="77777777" w:rsidR="00DB5227" w:rsidRDefault="00DB5227" w:rsidP="00D455E8">
            <w:pPr>
              <w:widowControl w:val="0"/>
              <w:autoSpaceDE w:val="0"/>
              <w:autoSpaceDN w:val="0"/>
              <w:adjustRightInd w:val="0"/>
              <w:jc w:val="right"/>
              <w:rPr>
                <w:rFonts w:ascii="Times New Roman" w:hAnsi="Times New Roman" w:cs="Times New Roman"/>
                <w:szCs w:val="22"/>
              </w:rPr>
            </w:pPr>
          </w:p>
          <w:p w14:paraId="37842383" w14:textId="1C258F41"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635339B2"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AD94B17"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4D227AA3"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3EC78B6B"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083C574C"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0DEDC6C5"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75EF23F8"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7243C7F8" w14:textId="77777777" w:rsidR="005B214E" w:rsidRPr="00DB5227" w:rsidRDefault="005B214E" w:rsidP="00D455E8">
            <w:pPr>
              <w:widowControl w:val="0"/>
              <w:autoSpaceDE w:val="0"/>
              <w:autoSpaceDN w:val="0"/>
              <w:adjustRightInd w:val="0"/>
              <w:spacing w:line="276" w:lineRule="auto"/>
              <w:jc w:val="both"/>
              <w:rPr>
                <w:rFonts w:ascii="Times New Roman" w:hAnsi="Times New Roman" w:cs="Times New Roman"/>
                <w:szCs w:val="22"/>
              </w:rPr>
            </w:pPr>
          </w:p>
          <w:p w14:paraId="15220A24" w14:textId="77777777" w:rsidR="00DB5227" w:rsidRDefault="00DB5227" w:rsidP="00D455E8">
            <w:pPr>
              <w:widowControl w:val="0"/>
              <w:autoSpaceDE w:val="0"/>
              <w:autoSpaceDN w:val="0"/>
              <w:adjustRightInd w:val="0"/>
              <w:jc w:val="right"/>
              <w:rPr>
                <w:rFonts w:ascii="Times New Roman" w:hAnsi="Times New Roman" w:cs="Times New Roman"/>
                <w:szCs w:val="22"/>
              </w:rPr>
            </w:pPr>
          </w:p>
          <w:p w14:paraId="2D5B5E12" w14:textId="4CA5F12C"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98.265,00</w:t>
            </w:r>
          </w:p>
        </w:tc>
      </w:tr>
      <w:tr w:rsidR="005B214E" w:rsidRPr="00DB5227" w14:paraId="0549481E" w14:textId="77777777" w:rsidTr="00DB5227">
        <w:tc>
          <w:tcPr>
            <w:tcW w:w="4253" w:type="dxa"/>
            <w:tcBorders>
              <w:bottom w:val="single" w:sz="4" w:space="0" w:color="auto"/>
            </w:tcBorders>
          </w:tcPr>
          <w:p w14:paraId="2745AF22"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15290A64"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603829A2" w14:textId="12D0A52F"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(IDR/Package)</w:t>
            </w:r>
          </w:p>
        </w:tc>
        <w:tc>
          <w:tcPr>
            <w:tcW w:w="2126" w:type="dxa"/>
            <w:tcBorders>
              <w:bottom w:val="single" w:sz="4" w:space="0" w:color="auto"/>
            </w:tcBorders>
          </w:tcPr>
          <w:p w14:paraId="65A20E9B"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15173996"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5.231.145,00</w:t>
            </w:r>
          </w:p>
          <w:p w14:paraId="468C4F7D" w14:textId="57054CA6" w:rsidR="00DB5227" w:rsidRDefault="005B214E"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6C25E82F" w14:textId="19394EAF"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13.077,86</w:t>
            </w:r>
          </w:p>
        </w:tc>
      </w:tr>
    </w:tbl>
    <w:p w14:paraId="5C434571"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54D46C4C" w14:textId="77777777" w:rsidR="005B214E" w:rsidRPr="00DB5227" w:rsidRDefault="005B214E" w:rsidP="005B214E">
      <w:pPr>
        <w:pStyle w:val="HTMLPreformatted"/>
        <w:ind w:left="1134" w:hanging="1134"/>
        <w:jc w:val="both"/>
        <w:rPr>
          <w:rFonts w:ascii="Times New Roman" w:hAnsi="Times New Roman" w:cs="Times New Roman"/>
          <w:sz w:val="22"/>
          <w:szCs w:val="22"/>
        </w:rPr>
      </w:pPr>
    </w:p>
    <w:p w14:paraId="64C7A6AB" w14:textId="7FEE5A4A"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total production cost using the full costing method was Rp5,231,145.00. Furthermore, the production cost per package was obtained by dividing the total production cost by the production quantity, resulting in a production cost per package of IDR 13,077.86.</w:t>
      </w:r>
    </w:p>
    <w:p w14:paraId="08E9D84E"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5A51D90B" w14:textId="10CC69B5" w:rsidR="005B214E" w:rsidRPr="00DB5227" w:rsidRDefault="00D455E8" w:rsidP="005B214E">
      <w:pPr>
        <w:pStyle w:val="HTMLPreformatted"/>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t xml:space="preserve">3.3.3. </w:t>
      </w:r>
      <w:r w:rsidR="005B214E" w:rsidRPr="00D455E8">
        <w:rPr>
          <w:rStyle w:val="y2iqfc"/>
          <w:rFonts w:ascii="Times New Roman" w:eastAsiaTheme="majorEastAsia" w:hAnsi="Times New Roman" w:cs="Times New Roman"/>
          <w:b/>
          <w:bCs/>
          <w:sz w:val="22"/>
          <w:szCs w:val="22"/>
          <w:highlight w:val="yellow"/>
          <w:lang w:val="en"/>
        </w:rPr>
        <w:t>Calculating Production Cost Using the Variable Costing Method</w:t>
      </w:r>
    </w:p>
    <w:p w14:paraId="11005C8E" w14:textId="77777777"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variable costing method is a method for calculating production cost based on the accumulation of variable costs throughout the JATAM chip production process. Costs included in this method include raw material costs, direct labor costs, and variable overhead costs. Details of the production cost calculation using the variable costing method are presented in Table 3 below.</w:t>
      </w:r>
    </w:p>
    <w:p w14:paraId="38FE5E5A" w14:textId="77777777" w:rsidR="005B214E" w:rsidRPr="00DB5227" w:rsidRDefault="005B214E" w:rsidP="005B214E">
      <w:pPr>
        <w:pStyle w:val="HTMLPreformatted"/>
        <w:ind w:left="1134" w:firstLine="567"/>
        <w:jc w:val="both"/>
        <w:rPr>
          <w:rFonts w:ascii="Times New Roman" w:hAnsi="Times New Roman" w:cs="Times New Roman"/>
          <w:sz w:val="22"/>
          <w:szCs w:val="22"/>
        </w:rPr>
      </w:pPr>
    </w:p>
    <w:p w14:paraId="432938FB" w14:textId="77777777" w:rsidR="005B214E" w:rsidRPr="00DB5227" w:rsidRDefault="005B214E" w:rsidP="005B214E">
      <w:pPr>
        <w:pStyle w:val="HTMLPreformatted"/>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3. Calculation of Cost of Goods Sold Using the Variable Costing Method,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2544"/>
      </w:tblGrid>
      <w:tr w:rsidR="005B214E" w:rsidRPr="00DB5227" w14:paraId="3D769598" w14:textId="77777777" w:rsidTr="00D455E8">
        <w:tc>
          <w:tcPr>
            <w:tcW w:w="8498" w:type="dxa"/>
            <w:gridSpan w:val="3"/>
            <w:tcBorders>
              <w:top w:val="single" w:sz="4" w:space="0" w:color="auto"/>
              <w:bottom w:val="single" w:sz="4" w:space="0" w:color="auto"/>
            </w:tcBorders>
          </w:tcPr>
          <w:p w14:paraId="7EDD23C9" w14:textId="77777777" w:rsidR="005B214E" w:rsidRPr="00DB5227" w:rsidRDefault="005B214E"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UMKM JATAM</w:t>
            </w:r>
          </w:p>
          <w:p w14:paraId="04B2C392" w14:textId="77777777" w:rsidR="005B214E" w:rsidRPr="00DB5227" w:rsidRDefault="005B214E" w:rsidP="00D455E8">
            <w:pPr>
              <w:widowControl w:val="0"/>
              <w:autoSpaceDE w:val="0"/>
              <w:autoSpaceDN w:val="0"/>
              <w:adjustRightInd w:val="0"/>
              <w:jc w:val="center"/>
              <w:rPr>
                <w:rFonts w:ascii="Times New Roman" w:hAnsi="Times New Roman" w:cs="Times New Roman"/>
                <w:b/>
                <w:bCs/>
                <w:i/>
                <w:iCs/>
                <w:szCs w:val="22"/>
              </w:rPr>
            </w:pPr>
            <w:r w:rsidRPr="00DB5227">
              <w:rPr>
                <w:rFonts w:ascii="Times New Roman" w:hAnsi="Times New Roman" w:cs="Times New Roman"/>
                <w:b/>
                <w:bCs/>
                <w:szCs w:val="22"/>
              </w:rPr>
              <w:t xml:space="preserve">Metode </w:t>
            </w:r>
            <w:r w:rsidRPr="00DB5227">
              <w:rPr>
                <w:rFonts w:ascii="Times New Roman" w:hAnsi="Times New Roman" w:cs="Times New Roman"/>
                <w:b/>
                <w:bCs/>
                <w:i/>
                <w:iCs/>
                <w:szCs w:val="22"/>
              </w:rPr>
              <w:t>Variable Costing</w:t>
            </w:r>
          </w:p>
          <w:p w14:paraId="59055ABB" w14:textId="50BEF852" w:rsidR="005B214E" w:rsidRPr="00DB5227" w:rsidRDefault="005B214E"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De</w:t>
            </w:r>
            <w:r w:rsidR="00AE06ED">
              <w:rPr>
                <w:rFonts w:ascii="Times New Roman" w:hAnsi="Times New Roman" w:cs="Times New Roman"/>
                <w:b/>
                <w:bCs/>
                <w:szCs w:val="22"/>
              </w:rPr>
              <w:t>c</w:t>
            </w:r>
            <w:r w:rsidRPr="00DB5227">
              <w:rPr>
                <w:rFonts w:ascii="Times New Roman" w:hAnsi="Times New Roman" w:cs="Times New Roman"/>
                <w:b/>
                <w:bCs/>
                <w:szCs w:val="22"/>
              </w:rPr>
              <w:t>ember 2024</w:t>
            </w:r>
          </w:p>
        </w:tc>
      </w:tr>
      <w:tr w:rsidR="005B214E" w:rsidRPr="00DB5227" w14:paraId="0092E32B" w14:textId="77777777" w:rsidTr="00D455E8">
        <w:trPr>
          <w:trHeight w:val="365"/>
        </w:trPr>
        <w:tc>
          <w:tcPr>
            <w:tcW w:w="3828" w:type="dxa"/>
            <w:tcBorders>
              <w:top w:val="single" w:sz="4" w:space="0" w:color="auto"/>
              <w:bottom w:val="single" w:sz="4" w:space="0" w:color="auto"/>
            </w:tcBorders>
            <w:vAlign w:val="center"/>
          </w:tcPr>
          <w:p w14:paraId="0955C402" w14:textId="395FB27B" w:rsidR="005B214E" w:rsidRPr="00DB5227" w:rsidRDefault="00AE06ED" w:rsidP="00D455E8">
            <w:pPr>
              <w:widowControl w:val="0"/>
              <w:autoSpaceDE w:val="0"/>
              <w:autoSpaceDN w:val="0"/>
              <w:adjustRightInd w:val="0"/>
              <w:rPr>
                <w:rFonts w:ascii="Times New Roman" w:hAnsi="Times New Roman" w:cs="Times New Roman"/>
                <w:b/>
                <w:bCs/>
                <w:szCs w:val="22"/>
              </w:rPr>
            </w:pPr>
            <w:r>
              <w:rPr>
                <w:rFonts w:ascii="Times New Roman" w:hAnsi="Times New Roman" w:cs="Times New Roman"/>
                <w:b/>
                <w:bCs/>
                <w:szCs w:val="22"/>
              </w:rPr>
              <w:t>Cost C</w:t>
            </w:r>
            <w:r w:rsidR="005B214E" w:rsidRPr="00DB5227">
              <w:rPr>
                <w:rFonts w:ascii="Times New Roman" w:hAnsi="Times New Roman" w:cs="Times New Roman"/>
                <w:b/>
                <w:bCs/>
                <w:szCs w:val="22"/>
              </w:rPr>
              <w:t>omponen</w:t>
            </w:r>
            <w:r>
              <w:rPr>
                <w:rFonts w:ascii="Times New Roman" w:hAnsi="Times New Roman" w:cs="Times New Roman"/>
                <w:b/>
                <w:bCs/>
                <w:szCs w:val="22"/>
              </w:rPr>
              <w:t>t</w:t>
            </w:r>
          </w:p>
        </w:tc>
        <w:tc>
          <w:tcPr>
            <w:tcW w:w="2126" w:type="dxa"/>
            <w:tcBorders>
              <w:top w:val="single" w:sz="4" w:space="0" w:color="auto"/>
              <w:bottom w:val="single" w:sz="4" w:space="0" w:color="auto"/>
            </w:tcBorders>
            <w:vAlign w:val="center"/>
          </w:tcPr>
          <w:p w14:paraId="3A4D47C2" w14:textId="2EA57499" w:rsidR="005B214E" w:rsidRPr="00DB5227" w:rsidRDefault="00AE06ED" w:rsidP="00D455E8">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41C6BECF" w14:textId="3B987B95" w:rsidR="005B214E" w:rsidRPr="00DB5227" w:rsidRDefault="00AE06ED" w:rsidP="00D455E8">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Total Cost</w:t>
            </w:r>
            <w:r w:rsidR="005B214E" w:rsidRPr="00DB5227">
              <w:rPr>
                <w:rFonts w:ascii="Times New Roman" w:hAnsi="Times New Roman" w:cs="Times New Roman"/>
                <w:b/>
                <w:bCs/>
                <w:szCs w:val="22"/>
              </w:rPr>
              <w:t xml:space="preserve"> (</w:t>
            </w:r>
            <w:r>
              <w:rPr>
                <w:rFonts w:ascii="Times New Roman" w:hAnsi="Times New Roman" w:cs="Times New Roman"/>
                <w:b/>
                <w:bCs/>
                <w:szCs w:val="22"/>
              </w:rPr>
              <w:t>IDR</w:t>
            </w:r>
            <w:r w:rsidR="005B214E" w:rsidRPr="00DB5227">
              <w:rPr>
                <w:rFonts w:ascii="Times New Roman" w:hAnsi="Times New Roman" w:cs="Times New Roman"/>
                <w:b/>
                <w:bCs/>
                <w:szCs w:val="22"/>
              </w:rPr>
              <w:t>)</w:t>
            </w:r>
          </w:p>
        </w:tc>
      </w:tr>
      <w:tr w:rsidR="00DB5227" w:rsidRPr="00DB5227" w14:paraId="24AC85CA" w14:textId="77777777" w:rsidTr="00D455E8">
        <w:tc>
          <w:tcPr>
            <w:tcW w:w="3828" w:type="dxa"/>
            <w:tcBorders>
              <w:top w:val="single" w:sz="4" w:space="0" w:color="auto"/>
            </w:tcBorders>
          </w:tcPr>
          <w:p w14:paraId="1E21A58A" w14:textId="624E9FF9"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Raw material cost</w:t>
            </w:r>
          </w:p>
        </w:tc>
        <w:tc>
          <w:tcPr>
            <w:tcW w:w="2126" w:type="dxa"/>
            <w:tcBorders>
              <w:top w:val="single" w:sz="4" w:space="0" w:color="auto"/>
            </w:tcBorders>
          </w:tcPr>
          <w:p w14:paraId="0BD86C77"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08C5BB3B"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B5227" w:rsidRPr="00DB5227" w14:paraId="1A65ECF2" w14:textId="77777777" w:rsidTr="00D455E8">
        <w:tc>
          <w:tcPr>
            <w:tcW w:w="3828" w:type="dxa"/>
          </w:tcPr>
          <w:p w14:paraId="09954CD2" w14:textId="4F291A8D" w:rsidR="00DB5227" w:rsidRPr="00DB5227" w:rsidRDefault="00DB5227" w:rsidP="00DB5227">
            <w:pPr>
              <w:widowControl w:val="0"/>
              <w:autoSpaceDE w:val="0"/>
              <w:autoSpaceDN w:val="0"/>
              <w:adjustRightInd w:val="0"/>
              <w:jc w:val="both"/>
              <w:rPr>
                <w:rFonts w:ascii="Times New Roman" w:hAnsi="Times New Roman" w:cs="Times New Roman"/>
                <w:szCs w:val="22"/>
              </w:rPr>
            </w:pPr>
            <w:r w:rsidRPr="00DB5227">
              <w:rPr>
                <w:rStyle w:val="y2iqfc"/>
                <w:rFonts w:ascii="Times New Roman" w:hAnsi="Times New Roman" w:cs="Times New Roman"/>
                <w:szCs w:val="22"/>
                <w:lang w:val="en"/>
              </w:rPr>
              <w:t>Direct labor costs</w:t>
            </w:r>
          </w:p>
        </w:tc>
        <w:tc>
          <w:tcPr>
            <w:tcW w:w="2126" w:type="dxa"/>
          </w:tcPr>
          <w:p w14:paraId="3FB0D97C" w14:textId="77777777" w:rsidR="00DB5227" w:rsidRPr="00DB5227" w:rsidRDefault="00DB5227" w:rsidP="00DB5227">
            <w:pPr>
              <w:widowControl w:val="0"/>
              <w:autoSpaceDE w:val="0"/>
              <w:autoSpaceDN w:val="0"/>
              <w:adjustRightInd w:val="0"/>
              <w:jc w:val="both"/>
              <w:rPr>
                <w:rFonts w:ascii="Times New Roman" w:hAnsi="Times New Roman" w:cs="Times New Roman"/>
                <w:szCs w:val="22"/>
              </w:rPr>
            </w:pPr>
          </w:p>
        </w:tc>
        <w:tc>
          <w:tcPr>
            <w:tcW w:w="2544" w:type="dxa"/>
          </w:tcPr>
          <w:p w14:paraId="7E944D49" w14:textId="77777777" w:rsidR="00DB5227" w:rsidRPr="00DB5227" w:rsidRDefault="00DB5227" w:rsidP="00DB5227">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tc>
      </w:tr>
      <w:tr w:rsidR="005B214E" w:rsidRPr="00DB5227" w14:paraId="39F4B92C" w14:textId="77777777" w:rsidTr="00D455E8">
        <w:trPr>
          <w:trHeight w:val="1955"/>
        </w:trPr>
        <w:tc>
          <w:tcPr>
            <w:tcW w:w="3828" w:type="dxa"/>
          </w:tcPr>
          <w:p w14:paraId="67434EEE"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Variable Overhead Costs</w:t>
            </w:r>
          </w:p>
          <w:p w14:paraId="47C42E11"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Gallon water</w:t>
            </w:r>
          </w:p>
          <w:p w14:paraId="4C282F7F"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Electricity costs</w:t>
            </w:r>
          </w:p>
          <w:p w14:paraId="3CB2F580" w14:textId="77777777" w:rsidR="00DB5227" w:rsidRPr="00DB5227" w:rsidRDefault="00DB5227" w:rsidP="00DB5227">
            <w:pPr>
              <w:pStyle w:val="ListParagraph"/>
              <w:widowControl w:val="0"/>
              <w:numPr>
                <w:ilvl w:val="0"/>
                <w:numId w:val="4"/>
              </w:numPr>
              <w:autoSpaceDE w:val="0"/>
              <w:autoSpaceDN w:val="0"/>
              <w:adjustRightInd w:val="0"/>
              <w:jc w:val="both"/>
              <w:rPr>
                <w:rFonts w:ascii="Times New Roman" w:hAnsi="Times New Roman" w:cs="Times New Roman"/>
                <w:szCs w:val="22"/>
              </w:rPr>
            </w:pPr>
            <w:r w:rsidRPr="00DB5227">
              <w:rPr>
                <w:rFonts w:ascii="Times New Roman" w:hAnsi="Times New Roman" w:cs="Times New Roman"/>
                <w:szCs w:val="22"/>
              </w:rPr>
              <w:t>Gas (3 kg)</w:t>
            </w:r>
          </w:p>
          <w:p w14:paraId="38810B96"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Transportation costs (fuel)</w:t>
            </w:r>
          </w:p>
          <w:p w14:paraId="49A65C66" w14:textId="77777777" w:rsidR="00DB5227" w:rsidRPr="00DB5227" w:rsidRDefault="00DB5227" w:rsidP="00DB5227">
            <w:pPr>
              <w:pStyle w:val="HTMLPreformatted"/>
              <w:numPr>
                <w:ilvl w:val="0"/>
                <w:numId w:val="4"/>
              </w:numPr>
              <w:tabs>
                <w:tab w:val="clear" w:pos="3664"/>
              </w:tabs>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Packaging costs</w:t>
            </w:r>
          </w:p>
          <w:p w14:paraId="0E3385E8" w14:textId="77777777" w:rsidR="00DB5227" w:rsidRPr="00DB5227" w:rsidRDefault="00DB5227" w:rsidP="00DB5227">
            <w:pPr>
              <w:pStyle w:val="HTMLPreformatted"/>
              <w:numPr>
                <w:ilvl w:val="0"/>
                <w:numId w:val="4"/>
              </w:numPr>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Sprinkle Seasoning with Various Flavors</w:t>
            </w:r>
          </w:p>
          <w:p w14:paraId="5B61CCEC" w14:textId="38DC9498" w:rsidR="005B214E" w:rsidRPr="00DB5227" w:rsidRDefault="00DB5227" w:rsidP="00DB5227">
            <w:pPr>
              <w:pStyle w:val="ListParagraph"/>
              <w:widowControl w:val="0"/>
              <w:numPr>
                <w:ilvl w:val="0"/>
                <w:numId w:val="4"/>
              </w:numPr>
              <w:autoSpaceDE w:val="0"/>
              <w:autoSpaceDN w:val="0"/>
              <w:adjustRightInd w:val="0"/>
              <w:spacing w:line="276" w:lineRule="auto"/>
              <w:jc w:val="both"/>
              <w:rPr>
                <w:rFonts w:ascii="Times New Roman" w:hAnsi="Times New Roman" w:cs="Times New Roman"/>
                <w:szCs w:val="22"/>
              </w:rPr>
            </w:pPr>
            <w:r w:rsidRPr="00DB5227">
              <w:rPr>
                <w:rFonts w:ascii="Times New Roman" w:hAnsi="Times New Roman" w:cs="Times New Roman"/>
                <w:szCs w:val="22"/>
              </w:rPr>
              <w:t xml:space="preserve">Chili </w:t>
            </w:r>
            <w:r w:rsidRPr="00DB5227">
              <w:rPr>
                <w:rFonts w:ascii="Times New Roman" w:hAnsi="Times New Roman" w:cs="Times New Roman"/>
                <w:i/>
                <w:iCs/>
                <w:szCs w:val="22"/>
              </w:rPr>
              <w:t>Sachet</w:t>
            </w:r>
          </w:p>
        </w:tc>
        <w:tc>
          <w:tcPr>
            <w:tcW w:w="2126" w:type="dxa"/>
          </w:tcPr>
          <w:p w14:paraId="51FF700C"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4F7A4EEE"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2232E0BF"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14E4C287"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p w14:paraId="27075EEE"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40.000,00</w:t>
            </w:r>
          </w:p>
          <w:p w14:paraId="60D1988A"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800.000,00</w:t>
            </w:r>
          </w:p>
          <w:p w14:paraId="63D5DC4B"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280.000,00</w:t>
            </w:r>
          </w:p>
          <w:p w14:paraId="1E71143F"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tc>
        <w:tc>
          <w:tcPr>
            <w:tcW w:w="2544" w:type="dxa"/>
          </w:tcPr>
          <w:p w14:paraId="7322770C"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C3DF01D"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3F31399D"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5E7C14E6"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p w14:paraId="593AA5BA" w14:textId="77777777" w:rsidR="005B214E" w:rsidRPr="00DB5227" w:rsidRDefault="005B214E" w:rsidP="00D455E8">
            <w:pPr>
              <w:widowControl w:val="0"/>
              <w:autoSpaceDE w:val="0"/>
              <w:autoSpaceDN w:val="0"/>
              <w:adjustRightInd w:val="0"/>
              <w:rPr>
                <w:rFonts w:ascii="Times New Roman" w:hAnsi="Times New Roman" w:cs="Times New Roman"/>
                <w:szCs w:val="22"/>
              </w:rPr>
            </w:pPr>
          </w:p>
        </w:tc>
      </w:tr>
      <w:tr w:rsidR="005B214E" w:rsidRPr="00DB5227" w14:paraId="167CE473" w14:textId="77777777" w:rsidTr="00D455E8">
        <w:tc>
          <w:tcPr>
            <w:tcW w:w="3828" w:type="dxa"/>
            <w:tcBorders>
              <w:bottom w:val="single" w:sz="4" w:space="0" w:color="auto"/>
            </w:tcBorders>
          </w:tcPr>
          <w:p w14:paraId="65ED318A"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Total Cost of Goods Sold</w:t>
            </w:r>
          </w:p>
          <w:p w14:paraId="1B0FC3B1" w14:textId="77777777" w:rsidR="00DB5227"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Production Quantity (</w:t>
            </w:r>
            <w:proofErr w:type="gramStart"/>
            <w:r w:rsidRPr="00DB5227">
              <w:rPr>
                <w:rStyle w:val="y2iqfc"/>
                <w:rFonts w:ascii="Times New Roman" w:eastAsiaTheme="majorEastAsia" w:hAnsi="Times New Roman" w:cs="Times New Roman"/>
                <w:sz w:val="22"/>
                <w:szCs w:val="22"/>
                <w:lang w:val="en"/>
              </w:rPr>
              <w:t>85 gram</w:t>
            </w:r>
            <w:proofErr w:type="gramEnd"/>
            <w:r w:rsidRPr="00DB5227">
              <w:rPr>
                <w:rStyle w:val="y2iqfc"/>
                <w:rFonts w:ascii="Times New Roman" w:eastAsiaTheme="majorEastAsia" w:hAnsi="Times New Roman" w:cs="Times New Roman"/>
                <w:sz w:val="22"/>
                <w:szCs w:val="22"/>
                <w:lang w:val="en"/>
              </w:rPr>
              <w:t xml:space="preserve"> packaging)</w:t>
            </w:r>
          </w:p>
          <w:p w14:paraId="075B4FC0" w14:textId="3C2BF513" w:rsidR="005B214E" w:rsidRPr="00DB5227" w:rsidRDefault="00DB5227" w:rsidP="00DB5227">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Cost of Goods Sold (Rp/Package)</w:t>
            </w:r>
          </w:p>
        </w:tc>
        <w:tc>
          <w:tcPr>
            <w:tcW w:w="2126" w:type="dxa"/>
            <w:tcBorders>
              <w:bottom w:val="single" w:sz="4" w:space="0" w:color="auto"/>
            </w:tcBorders>
          </w:tcPr>
          <w:p w14:paraId="550F28DA" w14:textId="77777777" w:rsidR="005B214E" w:rsidRPr="00DB5227" w:rsidRDefault="005B214E" w:rsidP="00D455E8">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419F2490"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5.132.880,00</w:t>
            </w:r>
          </w:p>
          <w:p w14:paraId="114A7B56"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p w14:paraId="716A4F9B" w14:textId="77777777" w:rsidR="005B214E" w:rsidRPr="00DB5227" w:rsidRDefault="005B214E"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12.832,20</w:t>
            </w:r>
          </w:p>
        </w:tc>
      </w:tr>
    </w:tbl>
    <w:p w14:paraId="21F1AC87"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32FEC9D9"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075B25F2" w14:textId="6033E30C"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Table 3, the total cost of production calculated using the variable costing method is IDR 5,132,880.00</w:t>
      </w:r>
      <w:r w:rsidR="00555088">
        <w:rPr>
          <w:rStyle w:val="y2iqfc"/>
          <w:rFonts w:ascii="Times New Roman" w:eastAsiaTheme="majorEastAsia" w:hAnsi="Times New Roman" w:cs="Times New Roman"/>
          <w:sz w:val="22"/>
          <w:szCs w:val="22"/>
          <w:lang w:val="en"/>
        </w:rPr>
        <w:t>. W</w:t>
      </w:r>
      <w:r w:rsidRPr="00DB5227">
        <w:rPr>
          <w:rStyle w:val="y2iqfc"/>
          <w:rFonts w:ascii="Times New Roman" w:eastAsiaTheme="majorEastAsia" w:hAnsi="Times New Roman" w:cs="Times New Roman"/>
          <w:sz w:val="22"/>
          <w:szCs w:val="22"/>
          <w:lang w:val="en"/>
        </w:rPr>
        <w:t>ith a production volume of 400 packages in one month, the cost of production per package based on the variable costing method is IDR 12,832.20.</w:t>
      </w:r>
    </w:p>
    <w:p w14:paraId="12F930D2" w14:textId="77777777" w:rsidR="005B214E" w:rsidRPr="00DB5227" w:rsidRDefault="005B214E" w:rsidP="005B214E">
      <w:pPr>
        <w:pStyle w:val="HTMLPreformatted"/>
        <w:jc w:val="both"/>
        <w:rPr>
          <w:rStyle w:val="y2iqfc"/>
          <w:rFonts w:ascii="Times New Roman" w:eastAsiaTheme="majorEastAsia" w:hAnsi="Times New Roman" w:cs="Times New Roman"/>
          <w:sz w:val="22"/>
          <w:szCs w:val="22"/>
          <w:lang w:val="en"/>
        </w:rPr>
      </w:pPr>
    </w:p>
    <w:p w14:paraId="540A41D7" w14:textId="49656D23" w:rsidR="005B214E" w:rsidRPr="00DB5227" w:rsidRDefault="00D455E8" w:rsidP="005B214E">
      <w:pPr>
        <w:pStyle w:val="HTMLPreformatted"/>
        <w:jc w:val="both"/>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lastRenderedPageBreak/>
        <w:t xml:space="preserve">3.3.4. </w:t>
      </w:r>
      <w:r w:rsidR="005B214E" w:rsidRPr="00D455E8">
        <w:rPr>
          <w:rStyle w:val="y2iqfc"/>
          <w:rFonts w:ascii="Times New Roman" w:eastAsiaTheme="majorEastAsia" w:hAnsi="Times New Roman" w:cs="Times New Roman"/>
          <w:b/>
          <w:bCs/>
          <w:sz w:val="22"/>
          <w:szCs w:val="22"/>
          <w:highlight w:val="yellow"/>
          <w:lang w:val="en"/>
        </w:rPr>
        <w:t>Comparison of Cost of Goods Sold Between the Three Methods</w:t>
      </w:r>
    </w:p>
    <w:p w14:paraId="288CBA69" w14:textId="7E17BB65"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 xml:space="preserve">The differences in calculating </w:t>
      </w:r>
      <w:r w:rsidR="00555088">
        <w:rPr>
          <w:rStyle w:val="y2iqfc"/>
          <w:rFonts w:ascii="Times New Roman" w:eastAsiaTheme="majorEastAsia" w:hAnsi="Times New Roman" w:cs="Times New Roman"/>
          <w:sz w:val="22"/>
          <w:szCs w:val="22"/>
          <w:lang w:val="en"/>
        </w:rPr>
        <w:t xml:space="preserve">the </w:t>
      </w:r>
      <w:r w:rsidRPr="00DB5227">
        <w:rPr>
          <w:rStyle w:val="y2iqfc"/>
          <w:rFonts w:ascii="Times New Roman" w:eastAsiaTheme="majorEastAsia" w:hAnsi="Times New Roman" w:cs="Times New Roman"/>
          <w:sz w:val="22"/>
          <w:szCs w:val="22"/>
          <w:lang w:val="en"/>
        </w:rPr>
        <w:t>cost of goods sold between the methods currently used by JATAM MSMEs, the full costing method, and the variable costing method indicate that each method has a different approach to accumulating production costs. A detailed comparison of the cost of goods sold between the three methods is presented in Table 4 below.</w:t>
      </w:r>
    </w:p>
    <w:p w14:paraId="6EF52CAC" w14:textId="77777777" w:rsidR="00D455E8" w:rsidRPr="00DB5227" w:rsidRDefault="00D455E8" w:rsidP="005B214E">
      <w:pPr>
        <w:pStyle w:val="HTMLPreformatted"/>
        <w:jc w:val="both"/>
        <w:rPr>
          <w:rFonts w:ascii="Times New Roman" w:hAnsi="Times New Roman" w:cs="Times New Roman"/>
          <w:sz w:val="22"/>
          <w:szCs w:val="22"/>
        </w:rPr>
      </w:pPr>
    </w:p>
    <w:p w14:paraId="6AE4FCC6" w14:textId="77777777" w:rsidR="005B214E" w:rsidRPr="00DB5227" w:rsidRDefault="005B214E" w:rsidP="000E6436">
      <w:pPr>
        <w:pStyle w:val="HTMLPreformatted"/>
        <w:ind w:left="851" w:hanging="851"/>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4. Comparison of Cost of Goods Sold Using the JATAM MSME Method, with the Full Costing and Variable Costing Methods,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1978"/>
        <w:gridCol w:w="2125"/>
      </w:tblGrid>
      <w:tr w:rsidR="005B214E" w:rsidRPr="00DB5227" w14:paraId="7D0CD4E8" w14:textId="77777777" w:rsidTr="00D455E8">
        <w:tc>
          <w:tcPr>
            <w:tcW w:w="2835" w:type="dxa"/>
            <w:tcBorders>
              <w:top w:val="single" w:sz="4" w:space="0" w:color="auto"/>
              <w:bottom w:val="single" w:sz="4" w:space="0" w:color="auto"/>
            </w:tcBorders>
            <w:vAlign w:val="center"/>
          </w:tcPr>
          <w:p w14:paraId="776F894F" w14:textId="77777777" w:rsidR="000E6436"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Information</w:t>
            </w:r>
          </w:p>
          <w:p w14:paraId="24C6F80C" w14:textId="322CB02D" w:rsidR="005B214E" w:rsidRPr="000E6436" w:rsidRDefault="005B214E" w:rsidP="00D455E8">
            <w:pPr>
              <w:widowControl w:val="0"/>
              <w:autoSpaceDE w:val="0"/>
              <w:autoSpaceDN w:val="0"/>
              <w:adjustRightInd w:val="0"/>
              <w:jc w:val="center"/>
              <w:rPr>
                <w:rFonts w:ascii="Times New Roman" w:hAnsi="Times New Roman" w:cs="Times New Roman"/>
                <w:b/>
                <w:bCs/>
                <w:szCs w:val="22"/>
              </w:rPr>
            </w:pPr>
          </w:p>
        </w:tc>
        <w:tc>
          <w:tcPr>
            <w:tcW w:w="1560" w:type="dxa"/>
            <w:tcBorders>
              <w:top w:val="single" w:sz="4" w:space="0" w:color="auto"/>
              <w:bottom w:val="single" w:sz="4" w:space="0" w:color="auto"/>
            </w:tcBorders>
            <w:vAlign w:val="center"/>
          </w:tcPr>
          <w:p w14:paraId="0026B6C9" w14:textId="4C68291A" w:rsidR="005B214E" w:rsidRPr="000E6436" w:rsidRDefault="005B214E" w:rsidP="00D455E8">
            <w:pPr>
              <w:widowControl w:val="0"/>
              <w:autoSpaceDE w:val="0"/>
              <w:autoSpaceDN w:val="0"/>
              <w:adjustRightInd w:val="0"/>
              <w:jc w:val="center"/>
              <w:rPr>
                <w:rFonts w:ascii="Times New Roman" w:hAnsi="Times New Roman" w:cs="Times New Roman"/>
                <w:b/>
                <w:bCs/>
                <w:szCs w:val="22"/>
              </w:rPr>
            </w:pPr>
            <w:r w:rsidRPr="000E6436">
              <w:rPr>
                <w:rFonts w:ascii="Times New Roman" w:hAnsi="Times New Roman" w:cs="Times New Roman"/>
                <w:b/>
                <w:bCs/>
                <w:szCs w:val="22"/>
              </w:rPr>
              <w:t>Met</w:t>
            </w:r>
            <w:r w:rsidR="000E6436" w:rsidRPr="000E6436">
              <w:rPr>
                <w:rFonts w:ascii="Times New Roman" w:hAnsi="Times New Roman" w:cs="Times New Roman"/>
                <w:b/>
                <w:bCs/>
                <w:szCs w:val="22"/>
              </w:rPr>
              <w:t>h</w:t>
            </w:r>
            <w:r w:rsidRPr="000E6436">
              <w:rPr>
                <w:rFonts w:ascii="Times New Roman" w:hAnsi="Times New Roman" w:cs="Times New Roman"/>
                <w:b/>
                <w:bCs/>
                <w:szCs w:val="22"/>
              </w:rPr>
              <w:t>od</w:t>
            </w:r>
            <w:r w:rsidR="000E6436" w:rsidRPr="000E6436">
              <w:rPr>
                <w:rFonts w:ascii="Times New Roman" w:hAnsi="Times New Roman" w:cs="Times New Roman"/>
                <w:b/>
                <w:bCs/>
                <w:szCs w:val="22"/>
              </w:rPr>
              <w:t xml:space="preserve"> of</w:t>
            </w:r>
            <w:r w:rsidRPr="000E6436">
              <w:rPr>
                <w:rFonts w:ascii="Times New Roman" w:hAnsi="Times New Roman" w:cs="Times New Roman"/>
                <w:b/>
                <w:bCs/>
                <w:szCs w:val="22"/>
              </w:rPr>
              <w:t xml:space="preserve"> UMKM JATAM</w:t>
            </w:r>
          </w:p>
        </w:tc>
        <w:tc>
          <w:tcPr>
            <w:tcW w:w="1978" w:type="dxa"/>
            <w:tcBorders>
              <w:top w:val="single" w:sz="4" w:space="0" w:color="auto"/>
              <w:bottom w:val="single" w:sz="4" w:space="0" w:color="auto"/>
            </w:tcBorders>
            <w:vAlign w:val="center"/>
          </w:tcPr>
          <w:p w14:paraId="2EFA47F2" w14:textId="77777777" w:rsidR="000E6436" w:rsidRPr="000E6436" w:rsidRDefault="000E6436" w:rsidP="000E6436">
            <w:pPr>
              <w:pStyle w:val="HTMLPreformatted"/>
              <w:jc w:val="center"/>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Author's Analysis of Full Costing Method</w:t>
            </w:r>
          </w:p>
          <w:p w14:paraId="683EE900" w14:textId="28C88099" w:rsidR="005B214E" w:rsidRPr="000E6436" w:rsidRDefault="005B214E" w:rsidP="000E6436">
            <w:pPr>
              <w:widowControl w:val="0"/>
              <w:autoSpaceDE w:val="0"/>
              <w:autoSpaceDN w:val="0"/>
              <w:adjustRightInd w:val="0"/>
              <w:jc w:val="center"/>
              <w:rPr>
                <w:rFonts w:ascii="Times New Roman" w:hAnsi="Times New Roman" w:cs="Times New Roman"/>
                <w:b/>
                <w:bCs/>
                <w:i/>
                <w:iCs/>
                <w:szCs w:val="22"/>
              </w:rPr>
            </w:pPr>
          </w:p>
        </w:tc>
        <w:tc>
          <w:tcPr>
            <w:tcW w:w="2125" w:type="dxa"/>
            <w:tcBorders>
              <w:top w:val="single" w:sz="4" w:space="0" w:color="auto"/>
              <w:bottom w:val="single" w:sz="4" w:space="0" w:color="auto"/>
            </w:tcBorders>
            <w:vAlign w:val="center"/>
          </w:tcPr>
          <w:p w14:paraId="507D96BE" w14:textId="56F939D3" w:rsidR="005B214E" w:rsidRPr="000E6436" w:rsidRDefault="000E6436" w:rsidP="000E6436">
            <w:pPr>
              <w:pStyle w:val="HTMLPreformatted"/>
              <w:jc w:val="center"/>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Author's Analysis of Variable Costing Method</w:t>
            </w:r>
          </w:p>
        </w:tc>
      </w:tr>
      <w:tr w:rsidR="005B214E" w:rsidRPr="00DB5227" w14:paraId="52AA2497" w14:textId="77777777" w:rsidTr="00D455E8">
        <w:tc>
          <w:tcPr>
            <w:tcW w:w="2835" w:type="dxa"/>
            <w:tcBorders>
              <w:top w:val="single" w:sz="4" w:space="0" w:color="auto"/>
            </w:tcBorders>
          </w:tcPr>
          <w:p w14:paraId="7050B8F9" w14:textId="7572A390"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COGS per package</w:t>
            </w:r>
          </w:p>
        </w:tc>
        <w:tc>
          <w:tcPr>
            <w:tcW w:w="1560" w:type="dxa"/>
            <w:tcBorders>
              <w:top w:val="single" w:sz="4" w:space="0" w:color="auto"/>
            </w:tcBorders>
          </w:tcPr>
          <w:p w14:paraId="63D5097D" w14:textId="77777777" w:rsidR="005B214E" w:rsidRPr="000E6436" w:rsidRDefault="005B214E" w:rsidP="00D455E8">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12.182,20</w:t>
            </w:r>
          </w:p>
        </w:tc>
        <w:tc>
          <w:tcPr>
            <w:tcW w:w="1978" w:type="dxa"/>
            <w:tcBorders>
              <w:top w:val="single" w:sz="4" w:space="0" w:color="auto"/>
            </w:tcBorders>
          </w:tcPr>
          <w:p w14:paraId="7ED9E2F0" w14:textId="77777777" w:rsidR="005B214E" w:rsidRPr="000E6436" w:rsidRDefault="005B214E" w:rsidP="00D455E8">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13.077,86</w:t>
            </w:r>
          </w:p>
        </w:tc>
        <w:tc>
          <w:tcPr>
            <w:tcW w:w="2125" w:type="dxa"/>
            <w:tcBorders>
              <w:top w:val="single" w:sz="4" w:space="0" w:color="auto"/>
            </w:tcBorders>
          </w:tcPr>
          <w:p w14:paraId="07E40BEC" w14:textId="77777777" w:rsidR="005B214E" w:rsidRPr="000E6436" w:rsidRDefault="005B214E" w:rsidP="00D455E8">
            <w:pPr>
              <w:widowControl w:val="0"/>
              <w:autoSpaceDE w:val="0"/>
              <w:autoSpaceDN w:val="0"/>
              <w:adjustRightInd w:val="0"/>
              <w:jc w:val="right"/>
              <w:rPr>
                <w:rFonts w:ascii="Times New Roman" w:hAnsi="Times New Roman" w:cs="Times New Roman"/>
                <w:b/>
                <w:bCs/>
                <w:szCs w:val="22"/>
              </w:rPr>
            </w:pPr>
            <w:r w:rsidRPr="000E6436">
              <w:rPr>
                <w:rFonts w:ascii="Times New Roman" w:hAnsi="Times New Roman" w:cs="Times New Roman"/>
                <w:b/>
                <w:bCs/>
                <w:szCs w:val="22"/>
              </w:rPr>
              <w:t>12.832,20</w:t>
            </w:r>
          </w:p>
        </w:tc>
      </w:tr>
      <w:tr w:rsidR="005B214E" w:rsidRPr="00DB5227" w14:paraId="700FB58C" w14:textId="77777777" w:rsidTr="00D455E8">
        <w:tc>
          <w:tcPr>
            <w:tcW w:w="2835" w:type="dxa"/>
          </w:tcPr>
          <w:p w14:paraId="644A961C" w14:textId="30CBBED6"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cost of goods manufactured</w:t>
            </w:r>
          </w:p>
        </w:tc>
        <w:tc>
          <w:tcPr>
            <w:tcW w:w="1560" w:type="dxa"/>
          </w:tcPr>
          <w:p w14:paraId="1C6DA789"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4.872.880,00</w:t>
            </w:r>
          </w:p>
        </w:tc>
        <w:tc>
          <w:tcPr>
            <w:tcW w:w="1978" w:type="dxa"/>
          </w:tcPr>
          <w:p w14:paraId="35C0F3CF"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5.231.145,00</w:t>
            </w:r>
          </w:p>
        </w:tc>
        <w:tc>
          <w:tcPr>
            <w:tcW w:w="2125" w:type="dxa"/>
          </w:tcPr>
          <w:p w14:paraId="46561927"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5.132.880,00</w:t>
            </w:r>
          </w:p>
        </w:tc>
      </w:tr>
      <w:tr w:rsidR="005B214E" w:rsidRPr="00DB5227" w14:paraId="15B214F0" w14:textId="77777777" w:rsidTr="00D455E8">
        <w:tc>
          <w:tcPr>
            <w:tcW w:w="2835" w:type="dxa"/>
          </w:tcPr>
          <w:p w14:paraId="25B4A789" w14:textId="4BEDD0F6"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Profit 35%</w:t>
            </w:r>
          </w:p>
        </w:tc>
        <w:tc>
          <w:tcPr>
            <w:tcW w:w="1560" w:type="dxa"/>
          </w:tcPr>
          <w:p w14:paraId="1E8BE6FF"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1.705.508,00</w:t>
            </w:r>
          </w:p>
        </w:tc>
        <w:tc>
          <w:tcPr>
            <w:tcW w:w="1978" w:type="dxa"/>
          </w:tcPr>
          <w:p w14:paraId="78298F43"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1.830.900,75</w:t>
            </w:r>
          </w:p>
        </w:tc>
        <w:tc>
          <w:tcPr>
            <w:tcW w:w="2125" w:type="dxa"/>
          </w:tcPr>
          <w:p w14:paraId="6D69FA3E"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1.796.508,00</w:t>
            </w:r>
          </w:p>
        </w:tc>
      </w:tr>
      <w:tr w:rsidR="005B214E" w:rsidRPr="00DB5227" w14:paraId="7A67A214" w14:textId="77777777" w:rsidTr="00D455E8">
        <w:tc>
          <w:tcPr>
            <w:tcW w:w="2835" w:type="dxa"/>
          </w:tcPr>
          <w:p w14:paraId="6BD9EAC4" w14:textId="3DDD1B65"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selling price</w:t>
            </w:r>
          </w:p>
        </w:tc>
        <w:tc>
          <w:tcPr>
            <w:tcW w:w="1560" w:type="dxa"/>
          </w:tcPr>
          <w:p w14:paraId="22104828"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6.578.388,00</w:t>
            </w:r>
          </w:p>
        </w:tc>
        <w:tc>
          <w:tcPr>
            <w:tcW w:w="1978" w:type="dxa"/>
          </w:tcPr>
          <w:p w14:paraId="65ACF02F"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7.062.045,75</w:t>
            </w:r>
          </w:p>
        </w:tc>
        <w:tc>
          <w:tcPr>
            <w:tcW w:w="2125" w:type="dxa"/>
          </w:tcPr>
          <w:p w14:paraId="36872A1E"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6.929.388,00</w:t>
            </w:r>
          </w:p>
        </w:tc>
      </w:tr>
      <w:tr w:rsidR="005B214E" w:rsidRPr="00DB5227" w14:paraId="13CB08B4" w14:textId="77777777" w:rsidTr="00D455E8">
        <w:tc>
          <w:tcPr>
            <w:tcW w:w="2835" w:type="dxa"/>
          </w:tcPr>
          <w:p w14:paraId="74C1C9A8" w14:textId="56921148"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Number of products (packages)</w:t>
            </w:r>
          </w:p>
        </w:tc>
        <w:tc>
          <w:tcPr>
            <w:tcW w:w="1560" w:type="dxa"/>
          </w:tcPr>
          <w:p w14:paraId="49621D8E"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c>
          <w:tcPr>
            <w:tcW w:w="1978" w:type="dxa"/>
          </w:tcPr>
          <w:p w14:paraId="54149D3D"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c>
          <w:tcPr>
            <w:tcW w:w="2125" w:type="dxa"/>
          </w:tcPr>
          <w:p w14:paraId="35E10008"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400</w:t>
            </w:r>
          </w:p>
        </w:tc>
      </w:tr>
      <w:tr w:rsidR="005B214E" w:rsidRPr="00DB5227" w14:paraId="1F3952C6" w14:textId="77777777" w:rsidTr="00D455E8">
        <w:tc>
          <w:tcPr>
            <w:tcW w:w="2835" w:type="dxa"/>
            <w:tcBorders>
              <w:bottom w:val="single" w:sz="4" w:space="0" w:color="auto"/>
            </w:tcBorders>
          </w:tcPr>
          <w:p w14:paraId="6F19940A" w14:textId="0CFB10F7" w:rsidR="005B214E" w:rsidRPr="000E6436" w:rsidRDefault="000E6436" w:rsidP="000E6436">
            <w:pPr>
              <w:pStyle w:val="HTMLPreformatted"/>
              <w:rPr>
                <w:rFonts w:ascii="Times New Roman" w:hAnsi="Times New Roman" w:cs="Times New Roman"/>
                <w:sz w:val="22"/>
                <w:szCs w:val="22"/>
              </w:rPr>
            </w:pPr>
            <w:r w:rsidRPr="000E6436">
              <w:rPr>
                <w:rStyle w:val="y2iqfc"/>
                <w:rFonts w:ascii="Times New Roman" w:eastAsiaTheme="majorEastAsia" w:hAnsi="Times New Roman" w:cs="Times New Roman"/>
                <w:sz w:val="22"/>
                <w:szCs w:val="22"/>
                <w:lang w:val="en"/>
              </w:rPr>
              <w:t>Total selling price per package</w:t>
            </w:r>
          </w:p>
        </w:tc>
        <w:tc>
          <w:tcPr>
            <w:tcW w:w="1560" w:type="dxa"/>
            <w:tcBorders>
              <w:bottom w:val="single" w:sz="4" w:space="0" w:color="auto"/>
            </w:tcBorders>
          </w:tcPr>
          <w:p w14:paraId="43513BBE"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16.445,97</w:t>
            </w:r>
          </w:p>
        </w:tc>
        <w:tc>
          <w:tcPr>
            <w:tcW w:w="1978" w:type="dxa"/>
            <w:tcBorders>
              <w:bottom w:val="single" w:sz="4" w:space="0" w:color="auto"/>
            </w:tcBorders>
          </w:tcPr>
          <w:p w14:paraId="1E6DC875"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17.655,11</w:t>
            </w:r>
          </w:p>
        </w:tc>
        <w:tc>
          <w:tcPr>
            <w:tcW w:w="2125" w:type="dxa"/>
            <w:tcBorders>
              <w:bottom w:val="single" w:sz="4" w:space="0" w:color="auto"/>
            </w:tcBorders>
          </w:tcPr>
          <w:p w14:paraId="74B00193" w14:textId="77777777" w:rsidR="005B214E" w:rsidRPr="000E6436" w:rsidRDefault="005B214E" w:rsidP="00D455E8">
            <w:pPr>
              <w:widowControl w:val="0"/>
              <w:autoSpaceDE w:val="0"/>
              <w:autoSpaceDN w:val="0"/>
              <w:adjustRightInd w:val="0"/>
              <w:jc w:val="right"/>
              <w:rPr>
                <w:rFonts w:ascii="Times New Roman" w:hAnsi="Times New Roman" w:cs="Times New Roman"/>
                <w:szCs w:val="22"/>
              </w:rPr>
            </w:pPr>
            <w:r w:rsidRPr="000E6436">
              <w:rPr>
                <w:rFonts w:ascii="Times New Roman" w:hAnsi="Times New Roman" w:cs="Times New Roman"/>
                <w:szCs w:val="22"/>
              </w:rPr>
              <w:t>17.323,47</w:t>
            </w:r>
          </w:p>
        </w:tc>
      </w:tr>
    </w:tbl>
    <w:p w14:paraId="400ECBF7" w14:textId="77777777" w:rsidR="005B214E" w:rsidRPr="00DB5227" w:rsidRDefault="005B214E" w:rsidP="005B214E">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12B389FE" w14:textId="77777777" w:rsidR="005B214E" w:rsidRPr="00DB5227" w:rsidRDefault="005B214E" w:rsidP="005B214E">
      <w:pPr>
        <w:pStyle w:val="HTMLPreformatted"/>
        <w:ind w:firstLine="567"/>
        <w:jc w:val="both"/>
        <w:rPr>
          <w:rStyle w:val="y2iqfc"/>
          <w:rFonts w:ascii="Times New Roman" w:eastAsiaTheme="majorEastAsia" w:hAnsi="Times New Roman" w:cs="Times New Roman"/>
          <w:sz w:val="22"/>
          <w:szCs w:val="22"/>
          <w:lang w:val="en"/>
        </w:rPr>
      </w:pPr>
    </w:p>
    <w:p w14:paraId="7A532A58" w14:textId="43CB7C5B" w:rsidR="005B214E" w:rsidRPr="00DB5227" w:rsidRDefault="005B214E" w:rsidP="005B214E">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comparative analysis of the cost of goods manufactured presented in Table 4 shows a difference in the cost of goods manufactured between the methods applied by JATAM MSMEs, the full costing method, and the variable costing method. The method currently applied by JATAM MSMEs results in a cost of goods manufactured per package of IDR 12,182.20. Meanwhile, calculations using the full costing method result in a cost of goods manufactured per package of IDR 13,077.86, resulting in a difference of Rp895.66 per package compared to the JATAM MSME method. Calculations using the variable costing method result in a cost of goods manufactured of Rp12,832.20 per package, indicating a difference of IDR 650.00 compared to the JATAM MSME method, and a difference of IDR 245.66 per package compared to the full costing method.</w:t>
      </w:r>
    </w:p>
    <w:p w14:paraId="1062A3DF" w14:textId="77777777" w:rsidR="00DD2147" w:rsidRPr="00DB5227" w:rsidRDefault="00DD2147" w:rsidP="00DD2147">
      <w:pPr>
        <w:pStyle w:val="HTMLPreformatted"/>
        <w:rPr>
          <w:rStyle w:val="y2iqfc"/>
          <w:rFonts w:ascii="Times New Roman" w:eastAsiaTheme="majorEastAsia" w:hAnsi="Times New Roman" w:cs="Times New Roman"/>
          <w:sz w:val="22"/>
          <w:szCs w:val="22"/>
          <w:lang w:val="en"/>
        </w:rPr>
      </w:pPr>
    </w:p>
    <w:p w14:paraId="11AAA285" w14:textId="5073987C" w:rsidR="00DD2147" w:rsidRPr="00DB5227" w:rsidRDefault="00D455E8" w:rsidP="00DD2147">
      <w:pPr>
        <w:pStyle w:val="HTMLPreformatted"/>
        <w:jc w:val="both"/>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t>3.4.</w:t>
      </w:r>
      <w:r w:rsidR="00DD2147" w:rsidRPr="00D455E8">
        <w:rPr>
          <w:rStyle w:val="y2iqfc"/>
          <w:rFonts w:ascii="Times New Roman" w:eastAsiaTheme="majorEastAsia" w:hAnsi="Times New Roman" w:cs="Times New Roman"/>
          <w:b/>
          <w:bCs/>
          <w:sz w:val="22"/>
          <w:szCs w:val="22"/>
          <w:highlight w:val="yellow"/>
          <w:lang w:val="en"/>
        </w:rPr>
        <w:t xml:space="preserve"> Break-Even Point Analysis for JATAM Chips Production</w:t>
      </w:r>
    </w:p>
    <w:p w14:paraId="5A298C6D" w14:textId="77777777" w:rsidR="00DD2147" w:rsidRPr="00DB5227" w:rsidRDefault="00DD2147" w:rsidP="00DD2147">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Break-even point analysis is a method used by management to determine the balance point between revenue and costs, where the company experiences neither a loss nor a profit. In calculating the break-even point, the first step is to classify costs based on their behavior [16]. Fixed costs in this study come from equipment depreciation, while costs included in the variable cost category include raw materials, direct labor, and variable overhead. After identifying fixed and variable costs, the next step is to calculate the Break-Even Point (BEP) based on sales revenue and production volume. The results of the BEP calculation are presented in Table 5 below.</w:t>
      </w:r>
    </w:p>
    <w:p w14:paraId="00D95FAC" w14:textId="77777777" w:rsidR="00AE06ED" w:rsidRDefault="00AE06ED" w:rsidP="00193D39">
      <w:pPr>
        <w:pStyle w:val="HTMLPreformatted"/>
        <w:rPr>
          <w:rStyle w:val="y2iqfc"/>
          <w:rFonts w:ascii="Times New Roman" w:eastAsiaTheme="majorEastAsia" w:hAnsi="Times New Roman" w:cs="Times New Roman"/>
          <w:sz w:val="22"/>
          <w:szCs w:val="22"/>
          <w:lang w:val="en"/>
        </w:rPr>
      </w:pPr>
    </w:p>
    <w:p w14:paraId="69C84E4A"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25699572"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61C7FCC5"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356EE6A4"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71402682"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69E84F16"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712FCA50"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05CAE098"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2EE4CF6F"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0046C280" w14:textId="77777777" w:rsidR="00823ACD" w:rsidRDefault="00823ACD" w:rsidP="00193D39">
      <w:pPr>
        <w:pStyle w:val="HTMLPreformatted"/>
        <w:rPr>
          <w:rStyle w:val="y2iqfc"/>
          <w:rFonts w:ascii="Times New Roman" w:eastAsiaTheme="majorEastAsia" w:hAnsi="Times New Roman" w:cs="Times New Roman"/>
          <w:sz w:val="22"/>
          <w:szCs w:val="22"/>
          <w:lang w:val="en"/>
        </w:rPr>
      </w:pPr>
    </w:p>
    <w:p w14:paraId="3F79C80E" w14:textId="476E6581" w:rsidR="00193D39" w:rsidRPr="00DB5227" w:rsidRDefault="00193D39" w:rsidP="00193D39">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lastRenderedPageBreak/>
        <w:t>Table 5. Calculation of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for JATAM Chips Production, December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985"/>
        <w:gridCol w:w="2544"/>
      </w:tblGrid>
      <w:tr w:rsidR="00DD2147" w:rsidRPr="00DB5227" w14:paraId="79282A5F" w14:textId="77777777" w:rsidTr="00D455E8">
        <w:trPr>
          <w:trHeight w:val="365"/>
        </w:trPr>
        <w:tc>
          <w:tcPr>
            <w:tcW w:w="3969" w:type="dxa"/>
            <w:tcBorders>
              <w:top w:val="single" w:sz="4" w:space="0" w:color="auto"/>
              <w:bottom w:val="single" w:sz="4" w:space="0" w:color="auto"/>
            </w:tcBorders>
            <w:vAlign w:val="center"/>
          </w:tcPr>
          <w:p w14:paraId="1B145087" w14:textId="77777777" w:rsidR="00AE06ED" w:rsidRPr="00AE06ED" w:rsidRDefault="00AE06ED" w:rsidP="00AE06ED">
            <w:pPr>
              <w:pStyle w:val="HTMLPreformatted"/>
              <w:rPr>
                <w:rFonts w:ascii="Times New Roman" w:hAnsi="Times New Roman" w:cs="Times New Roman"/>
                <w:b/>
                <w:bCs/>
                <w:sz w:val="22"/>
                <w:szCs w:val="22"/>
              </w:rPr>
            </w:pPr>
            <w:r w:rsidRPr="00AE06ED">
              <w:rPr>
                <w:rStyle w:val="y2iqfc"/>
                <w:rFonts w:ascii="Times New Roman" w:eastAsiaTheme="majorEastAsia" w:hAnsi="Times New Roman" w:cs="Times New Roman"/>
                <w:b/>
                <w:bCs/>
                <w:sz w:val="22"/>
                <w:szCs w:val="22"/>
                <w:lang w:val="en"/>
              </w:rPr>
              <w:t>Calculation Components</w:t>
            </w:r>
          </w:p>
          <w:p w14:paraId="53AFE78E" w14:textId="10580068" w:rsidR="00DD2147" w:rsidRPr="00DB5227" w:rsidRDefault="00DD2147" w:rsidP="00D455E8">
            <w:pPr>
              <w:widowControl w:val="0"/>
              <w:autoSpaceDE w:val="0"/>
              <w:autoSpaceDN w:val="0"/>
              <w:adjustRightInd w:val="0"/>
              <w:rPr>
                <w:rFonts w:ascii="Times New Roman" w:hAnsi="Times New Roman" w:cs="Times New Roman"/>
                <w:b/>
                <w:bCs/>
                <w:szCs w:val="22"/>
              </w:rPr>
            </w:pPr>
          </w:p>
        </w:tc>
        <w:tc>
          <w:tcPr>
            <w:tcW w:w="1985" w:type="dxa"/>
            <w:tcBorders>
              <w:top w:val="single" w:sz="4" w:space="0" w:color="auto"/>
              <w:bottom w:val="single" w:sz="4" w:space="0" w:color="auto"/>
            </w:tcBorders>
            <w:vAlign w:val="center"/>
          </w:tcPr>
          <w:p w14:paraId="1E53090E" w14:textId="3F1B4472" w:rsidR="00DD2147" w:rsidRPr="00DB5227" w:rsidRDefault="00AE06ED" w:rsidP="00D455E8">
            <w:pPr>
              <w:widowControl w:val="0"/>
              <w:autoSpaceDE w:val="0"/>
              <w:autoSpaceDN w:val="0"/>
              <w:adjustRightInd w:val="0"/>
              <w:jc w:val="center"/>
              <w:rPr>
                <w:rFonts w:ascii="Times New Roman" w:hAnsi="Times New Roman" w:cs="Times New Roman"/>
                <w:b/>
                <w:bCs/>
                <w:szCs w:val="22"/>
              </w:rPr>
            </w:pPr>
            <w:r>
              <w:rPr>
                <w:rFonts w:ascii="Times New Roman" w:hAnsi="Times New Roman" w:cs="Times New Roman"/>
                <w:b/>
                <w:bCs/>
                <w:szCs w:val="22"/>
              </w:rPr>
              <w:t>Amount</w:t>
            </w:r>
            <w:r w:rsidR="00DD2147" w:rsidRPr="00DB5227">
              <w:rPr>
                <w:rFonts w:ascii="Times New Roman" w:hAnsi="Times New Roman" w:cs="Times New Roman"/>
                <w:b/>
                <w:bCs/>
                <w:szCs w:val="22"/>
              </w:rPr>
              <w:t xml:space="preserve"> (</w:t>
            </w:r>
            <w:r>
              <w:rPr>
                <w:rFonts w:ascii="Times New Roman" w:hAnsi="Times New Roman" w:cs="Times New Roman"/>
                <w:b/>
                <w:bCs/>
                <w:szCs w:val="22"/>
              </w:rPr>
              <w:t>IDR</w:t>
            </w:r>
            <w:r w:rsidR="00DD2147" w:rsidRPr="00DB5227">
              <w:rPr>
                <w:rFonts w:ascii="Times New Roman" w:hAnsi="Times New Roman" w:cs="Times New Roman"/>
                <w:b/>
                <w:bCs/>
                <w:szCs w:val="22"/>
              </w:rPr>
              <w:t>)</w:t>
            </w:r>
          </w:p>
        </w:tc>
        <w:tc>
          <w:tcPr>
            <w:tcW w:w="2544" w:type="dxa"/>
            <w:tcBorders>
              <w:top w:val="single" w:sz="4" w:space="0" w:color="auto"/>
              <w:bottom w:val="single" w:sz="4" w:space="0" w:color="auto"/>
            </w:tcBorders>
            <w:vAlign w:val="center"/>
          </w:tcPr>
          <w:p w14:paraId="728F2916" w14:textId="2C16DC58" w:rsidR="00DD2147" w:rsidRPr="00DB5227" w:rsidRDefault="00DD2147" w:rsidP="00D455E8">
            <w:pPr>
              <w:widowControl w:val="0"/>
              <w:autoSpaceDE w:val="0"/>
              <w:autoSpaceDN w:val="0"/>
              <w:adjustRightInd w:val="0"/>
              <w:jc w:val="center"/>
              <w:rPr>
                <w:rFonts w:ascii="Times New Roman" w:hAnsi="Times New Roman" w:cs="Times New Roman"/>
                <w:b/>
                <w:bCs/>
                <w:szCs w:val="22"/>
              </w:rPr>
            </w:pPr>
            <w:r w:rsidRPr="00DB5227">
              <w:rPr>
                <w:rFonts w:ascii="Times New Roman" w:hAnsi="Times New Roman" w:cs="Times New Roman"/>
                <w:b/>
                <w:bCs/>
                <w:szCs w:val="22"/>
              </w:rPr>
              <w:t xml:space="preserve">Total </w:t>
            </w:r>
            <w:r w:rsidR="00AE06ED">
              <w:rPr>
                <w:rFonts w:ascii="Times New Roman" w:hAnsi="Times New Roman" w:cs="Times New Roman"/>
                <w:b/>
                <w:bCs/>
                <w:szCs w:val="22"/>
              </w:rPr>
              <w:t>Cost</w:t>
            </w:r>
            <w:r w:rsidRPr="00DB5227">
              <w:rPr>
                <w:rFonts w:ascii="Times New Roman" w:hAnsi="Times New Roman" w:cs="Times New Roman"/>
                <w:b/>
                <w:bCs/>
                <w:szCs w:val="22"/>
              </w:rPr>
              <w:t xml:space="preserve"> (Rp)</w:t>
            </w:r>
          </w:p>
        </w:tc>
      </w:tr>
      <w:tr w:rsidR="00DD2147" w:rsidRPr="00DB5227" w14:paraId="384971D5" w14:textId="77777777" w:rsidTr="00D455E8">
        <w:tc>
          <w:tcPr>
            <w:tcW w:w="3969" w:type="dxa"/>
            <w:tcBorders>
              <w:top w:val="single" w:sz="4" w:space="0" w:color="auto"/>
            </w:tcBorders>
          </w:tcPr>
          <w:p w14:paraId="14EE889C" w14:textId="452D5693"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Raw Material Costs</w:t>
            </w:r>
          </w:p>
        </w:tc>
        <w:tc>
          <w:tcPr>
            <w:tcW w:w="1985" w:type="dxa"/>
            <w:tcBorders>
              <w:top w:val="single" w:sz="4" w:space="0" w:color="auto"/>
            </w:tcBorders>
          </w:tcPr>
          <w:p w14:paraId="1DFB7329" w14:textId="77777777" w:rsidR="00DD2147" w:rsidRPr="00DB5227" w:rsidRDefault="00DD2147" w:rsidP="00D455E8">
            <w:pPr>
              <w:widowControl w:val="0"/>
              <w:autoSpaceDE w:val="0"/>
              <w:autoSpaceDN w:val="0"/>
              <w:adjustRightInd w:val="0"/>
              <w:jc w:val="both"/>
              <w:rPr>
                <w:rFonts w:ascii="Times New Roman" w:hAnsi="Times New Roman" w:cs="Times New Roman"/>
                <w:szCs w:val="22"/>
              </w:rPr>
            </w:pPr>
          </w:p>
        </w:tc>
        <w:tc>
          <w:tcPr>
            <w:tcW w:w="2544" w:type="dxa"/>
            <w:tcBorders>
              <w:top w:val="single" w:sz="4" w:space="0" w:color="auto"/>
            </w:tcBorders>
          </w:tcPr>
          <w:p w14:paraId="527D9EFF" w14:textId="77777777" w:rsidR="00DD2147" w:rsidRPr="00DB5227" w:rsidRDefault="00DD2147"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2.912.880,00</w:t>
            </w:r>
          </w:p>
        </w:tc>
      </w:tr>
      <w:tr w:rsidR="00DD2147" w:rsidRPr="00DB5227" w14:paraId="35AAB9D3" w14:textId="77777777" w:rsidTr="00D455E8">
        <w:trPr>
          <w:trHeight w:val="994"/>
        </w:trPr>
        <w:tc>
          <w:tcPr>
            <w:tcW w:w="3969" w:type="dxa"/>
          </w:tcPr>
          <w:p w14:paraId="74A0C002" w14:textId="2A594BAA" w:rsidR="00DD2147" w:rsidRPr="00AE06ED" w:rsidRDefault="00DD2147" w:rsidP="00D455E8">
            <w:pPr>
              <w:widowControl w:val="0"/>
              <w:autoSpaceDE w:val="0"/>
              <w:autoSpaceDN w:val="0"/>
              <w:adjustRightInd w:val="0"/>
              <w:jc w:val="both"/>
              <w:rPr>
                <w:rFonts w:ascii="Times New Roman" w:hAnsi="Times New Roman" w:cs="Times New Roman"/>
                <w:szCs w:val="22"/>
              </w:rPr>
            </w:pPr>
            <w:r w:rsidRPr="00AE06ED">
              <w:rPr>
                <w:rFonts w:ascii="Times New Roman" w:hAnsi="Times New Roman" w:cs="Times New Roman"/>
                <w:i/>
                <w:iCs/>
                <w:szCs w:val="22"/>
              </w:rPr>
              <w:t>Variable Cost</w:t>
            </w:r>
          </w:p>
          <w:p w14:paraId="456C1660" w14:textId="1925A48C" w:rsidR="00AE06ED" w:rsidRPr="00AE06ED" w:rsidRDefault="00AE06ED" w:rsidP="00AE06ED">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a. Raw material costs</w:t>
            </w:r>
          </w:p>
          <w:p w14:paraId="5EA32941" w14:textId="06707679" w:rsidR="00AE06ED" w:rsidRPr="00AE06ED" w:rsidRDefault="00AE06ED" w:rsidP="00AE06ED">
            <w:pPr>
              <w:pStyle w:val="HTMLPreformatted"/>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b. Direct labor costs</w:t>
            </w:r>
          </w:p>
          <w:p w14:paraId="0447D54C" w14:textId="28597AFF" w:rsidR="00DD2147" w:rsidRPr="00AE06ED" w:rsidRDefault="00AE06ED" w:rsidP="00AE06ED">
            <w:pPr>
              <w:pStyle w:val="HTMLPreformatted"/>
            </w:pPr>
            <w:r>
              <w:rPr>
                <w:rStyle w:val="y2iqfc"/>
                <w:rFonts w:ascii="Times New Roman" w:eastAsiaTheme="majorEastAsia" w:hAnsi="Times New Roman" w:cs="Times New Roman"/>
                <w:sz w:val="22"/>
                <w:szCs w:val="22"/>
                <w:lang w:val="en"/>
              </w:rPr>
              <w:t xml:space="preserve">  </w:t>
            </w:r>
            <w:r w:rsidRPr="00AE06ED">
              <w:rPr>
                <w:rStyle w:val="y2iqfc"/>
                <w:rFonts w:ascii="Times New Roman" w:eastAsiaTheme="majorEastAsia" w:hAnsi="Times New Roman" w:cs="Times New Roman"/>
                <w:sz w:val="22"/>
                <w:szCs w:val="22"/>
                <w:lang w:val="en"/>
              </w:rPr>
              <w:t>c. Variable overhead costs</w:t>
            </w:r>
          </w:p>
        </w:tc>
        <w:tc>
          <w:tcPr>
            <w:tcW w:w="1985" w:type="dxa"/>
          </w:tcPr>
          <w:p w14:paraId="52CE71A4" w14:textId="77777777" w:rsidR="00DD2147" w:rsidRPr="00DB5227" w:rsidRDefault="00DD2147" w:rsidP="00D455E8">
            <w:pPr>
              <w:widowControl w:val="0"/>
              <w:autoSpaceDE w:val="0"/>
              <w:autoSpaceDN w:val="0"/>
              <w:adjustRightInd w:val="0"/>
              <w:jc w:val="both"/>
              <w:rPr>
                <w:rFonts w:ascii="Times New Roman" w:hAnsi="Times New Roman" w:cs="Times New Roman"/>
                <w:szCs w:val="22"/>
              </w:rPr>
            </w:pPr>
          </w:p>
          <w:p w14:paraId="54EA80C9" w14:textId="77777777" w:rsidR="00DD2147" w:rsidRPr="00DB5227" w:rsidRDefault="00DD2147"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20.000,00</w:t>
            </w:r>
          </w:p>
          <w:p w14:paraId="435B818D" w14:textId="77777777" w:rsidR="00DD2147" w:rsidRPr="00DB5227" w:rsidRDefault="00DD2147"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80.000,00</w:t>
            </w:r>
          </w:p>
          <w:p w14:paraId="2885D298" w14:textId="77777777" w:rsidR="00DD2147" w:rsidRPr="00DB5227" w:rsidRDefault="00DD2147"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120.000,00</w:t>
            </w:r>
          </w:p>
        </w:tc>
        <w:tc>
          <w:tcPr>
            <w:tcW w:w="2544" w:type="dxa"/>
          </w:tcPr>
          <w:p w14:paraId="30ECD8ED" w14:textId="77777777" w:rsidR="00DD2147" w:rsidRPr="00DB5227" w:rsidRDefault="00DD2147" w:rsidP="00D455E8">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1.420.000,00</w:t>
            </w:r>
          </w:p>
          <w:p w14:paraId="094ACF6C" w14:textId="77777777" w:rsidR="00DD2147" w:rsidRPr="00DB5227" w:rsidRDefault="00DD2147" w:rsidP="00D455E8">
            <w:pPr>
              <w:widowControl w:val="0"/>
              <w:autoSpaceDE w:val="0"/>
              <w:autoSpaceDN w:val="0"/>
              <w:adjustRightInd w:val="0"/>
              <w:jc w:val="both"/>
              <w:rPr>
                <w:rFonts w:ascii="Times New Roman" w:hAnsi="Times New Roman" w:cs="Times New Roman"/>
                <w:szCs w:val="22"/>
              </w:rPr>
            </w:pPr>
          </w:p>
          <w:p w14:paraId="1604151D" w14:textId="77777777" w:rsidR="00DD2147" w:rsidRPr="00DB5227" w:rsidRDefault="00DD2147" w:rsidP="00D455E8">
            <w:pPr>
              <w:widowControl w:val="0"/>
              <w:autoSpaceDE w:val="0"/>
              <w:autoSpaceDN w:val="0"/>
              <w:adjustRightInd w:val="0"/>
              <w:rPr>
                <w:rFonts w:ascii="Times New Roman" w:hAnsi="Times New Roman" w:cs="Times New Roman"/>
                <w:szCs w:val="22"/>
              </w:rPr>
            </w:pPr>
          </w:p>
        </w:tc>
      </w:tr>
      <w:tr w:rsidR="00AE06ED" w:rsidRPr="00DB5227" w14:paraId="73979F3E" w14:textId="77777777" w:rsidTr="00D455E8">
        <w:tc>
          <w:tcPr>
            <w:tcW w:w="3969" w:type="dxa"/>
          </w:tcPr>
          <w:p w14:paraId="71A7A7A5" w14:textId="0D6C8C78"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Production Quantity (85 Gram Package)</w:t>
            </w:r>
          </w:p>
        </w:tc>
        <w:tc>
          <w:tcPr>
            <w:tcW w:w="1985" w:type="dxa"/>
          </w:tcPr>
          <w:p w14:paraId="47D75688"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Pr>
          <w:p w14:paraId="2B1F8755"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400</w:t>
            </w:r>
          </w:p>
        </w:tc>
      </w:tr>
      <w:tr w:rsidR="00AE06ED" w:rsidRPr="00DB5227" w14:paraId="67BB04A1" w14:textId="77777777" w:rsidTr="00D455E8">
        <w:tc>
          <w:tcPr>
            <w:tcW w:w="3969" w:type="dxa"/>
          </w:tcPr>
          <w:p w14:paraId="1AC505C9" w14:textId="25323E4C"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Selling Price per Package</w:t>
            </w:r>
          </w:p>
        </w:tc>
        <w:tc>
          <w:tcPr>
            <w:tcW w:w="1985" w:type="dxa"/>
          </w:tcPr>
          <w:p w14:paraId="137BB807"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Pr>
          <w:p w14:paraId="0C4FAD60"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17.000,00</w:t>
            </w:r>
          </w:p>
        </w:tc>
      </w:tr>
      <w:tr w:rsidR="00AE06ED" w:rsidRPr="00DB5227" w14:paraId="68EDD9F8" w14:textId="77777777" w:rsidTr="00D455E8">
        <w:tc>
          <w:tcPr>
            <w:tcW w:w="3969" w:type="dxa"/>
            <w:tcBorders>
              <w:bottom w:val="single" w:sz="4" w:space="0" w:color="auto"/>
            </w:tcBorders>
          </w:tcPr>
          <w:p w14:paraId="0CAD7CA4" w14:textId="19A8EAA9" w:rsidR="00AE06ED" w:rsidRPr="00AE06ED" w:rsidRDefault="00AE06ED" w:rsidP="00AE06ED">
            <w:pPr>
              <w:widowControl w:val="0"/>
              <w:autoSpaceDE w:val="0"/>
              <w:autoSpaceDN w:val="0"/>
              <w:adjustRightInd w:val="0"/>
              <w:jc w:val="both"/>
              <w:rPr>
                <w:rFonts w:ascii="Times New Roman" w:hAnsi="Times New Roman" w:cs="Times New Roman"/>
                <w:szCs w:val="22"/>
              </w:rPr>
            </w:pPr>
            <w:r w:rsidRPr="00AE06ED">
              <w:rPr>
                <w:rStyle w:val="y2iqfc"/>
                <w:rFonts w:ascii="Times New Roman" w:hAnsi="Times New Roman" w:cs="Times New Roman"/>
                <w:lang w:val="en"/>
              </w:rPr>
              <w:t>Sales Revenue</w:t>
            </w:r>
          </w:p>
        </w:tc>
        <w:tc>
          <w:tcPr>
            <w:tcW w:w="1985" w:type="dxa"/>
            <w:tcBorders>
              <w:bottom w:val="single" w:sz="4" w:space="0" w:color="auto"/>
            </w:tcBorders>
          </w:tcPr>
          <w:p w14:paraId="7693657C" w14:textId="77777777" w:rsidR="00AE06ED" w:rsidRPr="00DB5227" w:rsidRDefault="00AE06ED" w:rsidP="00AE06ED">
            <w:pPr>
              <w:widowControl w:val="0"/>
              <w:autoSpaceDE w:val="0"/>
              <w:autoSpaceDN w:val="0"/>
              <w:adjustRightInd w:val="0"/>
              <w:jc w:val="both"/>
              <w:rPr>
                <w:rFonts w:ascii="Times New Roman" w:hAnsi="Times New Roman" w:cs="Times New Roman"/>
                <w:szCs w:val="22"/>
              </w:rPr>
            </w:pPr>
          </w:p>
        </w:tc>
        <w:tc>
          <w:tcPr>
            <w:tcW w:w="2544" w:type="dxa"/>
            <w:tcBorders>
              <w:bottom w:val="single" w:sz="4" w:space="0" w:color="auto"/>
            </w:tcBorders>
          </w:tcPr>
          <w:p w14:paraId="0FA931F2" w14:textId="77777777" w:rsidR="00AE06ED" w:rsidRPr="00DB5227" w:rsidRDefault="00AE06ED" w:rsidP="00AE06ED">
            <w:pPr>
              <w:widowControl w:val="0"/>
              <w:autoSpaceDE w:val="0"/>
              <w:autoSpaceDN w:val="0"/>
              <w:adjustRightInd w:val="0"/>
              <w:jc w:val="right"/>
              <w:rPr>
                <w:rFonts w:ascii="Times New Roman" w:hAnsi="Times New Roman" w:cs="Times New Roman"/>
                <w:szCs w:val="22"/>
              </w:rPr>
            </w:pPr>
            <w:r w:rsidRPr="00DB5227">
              <w:rPr>
                <w:rFonts w:ascii="Times New Roman" w:hAnsi="Times New Roman" w:cs="Times New Roman"/>
                <w:szCs w:val="22"/>
              </w:rPr>
              <w:t>6.800.000,00</w:t>
            </w:r>
          </w:p>
        </w:tc>
      </w:tr>
      <w:tr w:rsidR="00DD2147" w:rsidRPr="00DB5227" w14:paraId="07E82A9D" w14:textId="77777777" w:rsidTr="00D455E8">
        <w:trPr>
          <w:trHeight w:val="160"/>
        </w:trPr>
        <w:tc>
          <w:tcPr>
            <w:tcW w:w="3969" w:type="dxa"/>
            <w:tcBorders>
              <w:top w:val="single" w:sz="4" w:space="0" w:color="auto"/>
              <w:bottom w:val="single" w:sz="4" w:space="0" w:color="auto"/>
            </w:tcBorders>
            <w:vAlign w:val="center"/>
          </w:tcPr>
          <w:p w14:paraId="07CFDCC2" w14:textId="1BE126B4"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BEP Sales Revenue (IDR/Month)</w:t>
            </w:r>
          </w:p>
        </w:tc>
        <w:tc>
          <w:tcPr>
            <w:tcW w:w="1985" w:type="dxa"/>
            <w:tcBorders>
              <w:top w:val="single" w:sz="4" w:space="0" w:color="auto"/>
              <w:bottom w:val="single" w:sz="4" w:space="0" w:color="auto"/>
            </w:tcBorders>
            <w:vAlign w:val="center"/>
          </w:tcPr>
          <w:p w14:paraId="4C54B3E6" w14:textId="77777777" w:rsidR="00DD2147" w:rsidRPr="00DB5227" w:rsidRDefault="00DD2147" w:rsidP="00D455E8">
            <w:pPr>
              <w:widowControl w:val="0"/>
              <w:autoSpaceDE w:val="0"/>
              <w:autoSpaceDN w:val="0"/>
              <w:adjustRightInd w:val="0"/>
              <w:rPr>
                <w:rFonts w:ascii="Times New Roman" w:hAnsi="Times New Roman" w:cs="Times New Roman"/>
                <w:b/>
                <w:bCs/>
                <w:szCs w:val="22"/>
              </w:rPr>
            </w:pPr>
          </w:p>
        </w:tc>
        <w:tc>
          <w:tcPr>
            <w:tcW w:w="2544" w:type="dxa"/>
            <w:tcBorders>
              <w:top w:val="single" w:sz="4" w:space="0" w:color="auto"/>
              <w:bottom w:val="single" w:sz="4" w:space="0" w:color="auto"/>
            </w:tcBorders>
            <w:vAlign w:val="center"/>
          </w:tcPr>
          <w:p w14:paraId="68866BF3" w14:textId="77777777" w:rsidR="00DD2147" w:rsidRPr="00DB5227" w:rsidRDefault="00DD2147" w:rsidP="00D455E8">
            <w:pPr>
              <w:widowControl w:val="0"/>
              <w:autoSpaceDE w:val="0"/>
              <w:autoSpaceDN w:val="0"/>
              <w:adjustRightInd w:val="0"/>
              <w:jc w:val="right"/>
              <w:rPr>
                <w:rFonts w:ascii="Times New Roman" w:hAnsi="Times New Roman" w:cs="Times New Roman"/>
                <w:b/>
                <w:bCs/>
                <w:szCs w:val="22"/>
              </w:rPr>
            </w:pPr>
            <w:r w:rsidRPr="00DB5227">
              <w:rPr>
                <w:rFonts w:ascii="Times New Roman" w:hAnsi="Times New Roman" w:cs="Times New Roman"/>
                <w:b/>
                <w:bCs/>
                <w:szCs w:val="22"/>
              </w:rPr>
              <w:t>400.812,00</w:t>
            </w:r>
          </w:p>
        </w:tc>
      </w:tr>
      <w:tr w:rsidR="00DD2147" w:rsidRPr="00DB5227" w14:paraId="54910CF6" w14:textId="77777777" w:rsidTr="00D455E8">
        <w:trPr>
          <w:trHeight w:val="55"/>
        </w:trPr>
        <w:tc>
          <w:tcPr>
            <w:tcW w:w="3969" w:type="dxa"/>
            <w:tcBorders>
              <w:top w:val="single" w:sz="4" w:space="0" w:color="auto"/>
              <w:bottom w:val="single" w:sz="4" w:space="0" w:color="auto"/>
            </w:tcBorders>
            <w:vAlign w:val="center"/>
          </w:tcPr>
          <w:p w14:paraId="70B77AA3" w14:textId="00F1A298" w:rsidR="00DD2147" w:rsidRPr="00AE06ED" w:rsidRDefault="00AE06ED" w:rsidP="00AE06ED">
            <w:pPr>
              <w:pStyle w:val="HTMLPreformatted"/>
              <w:rPr>
                <w:rFonts w:ascii="Times New Roman" w:hAnsi="Times New Roman" w:cs="Times New Roman"/>
                <w:sz w:val="22"/>
                <w:szCs w:val="22"/>
              </w:rPr>
            </w:pPr>
            <w:r w:rsidRPr="00AE06ED">
              <w:rPr>
                <w:rStyle w:val="y2iqfc"/>
                <w:rFonts w:ascii="Times New Roman" w:eastAsiaTheme="majorEastAsia" w:hAnsi="Times New Roman" w:cs="Times New Roman"/>
                <w:sz w:val="22"/>
                <w:szCs w:val="22"/>
                <w:lang w:val="en"/>
              </w:rPr>
              <w:t>BEP Production Volume (Gram/Month)</w:t>
            </w:r>
          </w:p>
        </w:tc>
        <w:tc>
          <w:tcPr>
            <w:tcW w:w="1985" w:type="dxa"/>
            <w:tcBorders>
              <w:top w:val="single" w:sz="4" w:space="0" w:color="auto"/>
              <w:bottom w:val="single" w:sz="4" w:space="0" w:color="auto"/>
            </w:tcBorders>
            <w:vAlign w:val="center"/>
          </w:tcPr>
          <w:p w14:paraId="49E8A27F" w14:textId="77777777" w:rsidR="00DD2147" w:rsidRPr="00DB5227" w:rsidRDefault="00DD2147" w:rsidP="00D455E8">
            <w:pPr>
              <w:widowControl w:val="0"/>
              <w:autoSpaceDE w:val="0"/>
              <w:autoSpaceDN w:val="0"/>
              <w:adjustRightInd w:val="0"/>
              <w:rPr>
                <w:rFonts w:ascii="Times New Roman" w:hAnsi="Times New Roman" w:cs="Times New Roman"/>
                <w:b/>
                <w:bCs/>
                <w:szCs w:val="22"/>
              </w:rPr>
            </w:pPr>
          </w:p>
        </w:tc>
        <w:tc>
          <w:tcPr>
            <w:tcW w:w="2544" w:type="dxa"/>
            <w:tcBorders>
              <w:top w:val="single" w:sz="4" w:space="0" w:color="auto"/>
              <w:bottom w:val="single" w:sz="4" w:space="0" w:color="auto"/>
            </w:tcBorders>
            <w:vAlign w:val="center"/>
          </w:tcPr>
          <w:p w14:paraId="7CAEAF89" w14:textId="77777777" w:rsidR="00DD2147" w:rsidRPr="00DB5227" w:rsidRDefault="00DD2147" w:rsidP="00D455E8">
            <w:pPr>
              <w:widowControl w:val="0"/>
              <w:autoSpaceDE w:val="0"/>
              <w:autoSpaceDN w:val="0"/>
              <w:adjustRightInd w:val="0"/>
              <w:jc w:val="right"/>
              <w:rPr>
                <w:rFonts w:ascii="Times New Roman" w:hAnsi="Times New Roman" w:cs="Times New Roman"/>
                <w:b/>
                <w:bCs/>
                <w:szCs w:val="22"/>
              </w:rPr>
            </w:pPr>
            <w:r w:rsidRPr="00DB5227">
              <w:rPr>
                <w:rFonts w:ascii="Times New Roman" w:hAnsi="Times New Roman" w:cs="Times New Roman"/>
                <w:b/>
                <w:bCs/>
                <w:szCs w:val="22"/>
              </w:rPr>
              <w:t>2.004,06</w:t>
            </w:r>
          </w:p>
        </w:tc>
      </w:tr>
    </w:tbl>
    <w:p w14:paraId="5F4DD07F" w14:textId="77777777" w:rsidR="00193D39" w:rsidRPr="00DB5227" w:rsidRDefault="00193D39" w:rsidP="00193D3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00606CC3" w14:textId="77777777" w:rsidR="00AE06ED" w:rsidRDefault="00AE06ED" w:rsidP="00193D39">
      <w:pPr>
        <w:pStyle w:val="HTMLPreformatted"/>
        <w:ind w:firstLine="567"/>
        <w:jc w:val="both"/>
        <w:rPr>
          <w:rStyle w:val="y2iqfc"/>
          <w:rFonts w:ascii="Times New Roman" w:eastAsiaTheme="majorEastAsia" w:hAnsi="Times New Roman" w:cs="Times New Roman"/>
          <w:sz w:val="22"/>
          <w:szCs w:val="22"/>
          <w:lang w:val="en"/>
        </w:rPr>
      </w:pPr>
    </w:p>
    <w:p w14:paraId="7EF90FC0" w14:textId="2CBD9741" w:rsidR="00193D39" w:rsidRPr="00DB5227" w:rsidRDefault="00193D39" w:rsidP="00193D3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In carrying out production activities, JATAM UMKM strives to use costs efficiently, so that it can obtain production results and profits.</w:t>
      </w:r>
    </w:p>
    <w:p w14:paraId="474474D3" w14:textId="27DF2138"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r w:rsidRPr="00DB5227">
        <w:rPr>
          <w:rFonts w:ascii="Times New Roman" w:hAnsi="Times New Roman" w:cs="Times New Roman"/>
          <w:noProof/>
          <w:sz w:val="22"/>
          <w:szCs w:val="22"/>
        </w:rPr>
        <w:drawing>
          <wp:anchor distT="0" distB="0" distL="114300" distR="114300" simplePos="0" relativeHeight="251659264" behindDoc="0" locked="0" layoutInCell="1" allowOverlap="1" wp14:anchorId="604042EA" wp14:editId="33AA4CDE">
            <wp:simplePos x="0" y="0"/>
            <wp:positionH relativeFrom="column">
              <wp:posOffset>1572260</wp:posOffset>
            </wp:positionH>
            <wp:positionV relativeFrom="paragraph">
              <wp:posOffset>143510</wp:posOffset>
            </wp:positionV>
            <wp:extent cx="2781300" cy="2159635"/>
            <wp:effectExtent l="0" t="0" r="0" b="0"/>
            <wp:wrapNone/>
            <wp:docPr id="5655803"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03" name="Gambar 56558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1300" cy="2159635"/>
                    </a:xfrm>
                    <a:prstGeom prst="rect">
                      <a:avLst/>
                    </a:prstGeom>
                  </pic:spPr>
                </pic:pic>
              </a:graphicData>
            </a:graphic>
            <wp14:sizeRelH relativeFrom="page">
              <wp14:pctWidth>0</wp14:pctWidth>
            </wp14:sizeRelH>
            <wp14:sizeRelV relativeFrom="page">
              <wp14:pctHeight>0</wp14:pctHeight>
            </wp14:sizeRelV>
          </wp:anchor>
        </w:drawing>
      </w:r>
    </w:p>
    <w:p w14:paraId="5DE4B752" w14:textId="4B08B39B"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13663EB"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436DB75B"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A4B3D2F"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D824BF5"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B3CEBFD"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0B3E1F1E"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097C83A"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31E2CB5C"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78EC0A3D"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676D015C"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56E3E984"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247D61E8"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2008D228"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126545EE" w14:textId="77777777" w:rsidR="00193D39" w:rsidRPr="00DB5227" w:rsidRDefault="00193D39" w:rsidP="00193D39">
      <w:pPr>
        <w:pStyle w:val="HTMLPreformatted"/>
        <w:ind w:firstLine="567"/>
        <w:jc w:val="both"/>
        <w:rPr>
          <w:rStyle w:val="y2iqfc"/>
          <w:rFonts w:ascii="Times New Roman" w:eastAsiaTheme="majorEastAsia" w:hAnsi="Times New Roman" w:cs="Times New Roman"/>
          <w:sz w:val="22"/>
          <w:szCs w:val="22"/>
          <w:lang w:val="en"/>
        </w:rPr>
      </w:pPr>
    </w:p>
    <w:p w14:paraId="4DE26E79" w14:textId="49C4DF1D" w:rsidR="00193D39" w:rsidRPr="00DB5227" w:rsidRDefault="00193D39" w:rsidP="00193D39">
      <w:pPr>
        <w:pStyle w:val="HTMLPreformatted"/>
        <w:jc w:val="both"/>
        <w:rPr>
          <w:rStyle w:val="y2iqfc"/>
          <w:rFonts w:ascii="Times New Roman" w:eastAsiaTheme="majorEastAsia" w:hAnsi="Times New Roman" w:cs="Times New Roman"/>
          <w:sz w:val="22"/>
          <w:szCs w:val="22"/>
          <w:lang w:val="en"/>
        </w:rPr>
      </w:pPr>
    </w:p>
    <w:p w14:paraId="6CF11E27" w14:textId="77777777" w:rsidR="00193D39" w:rsidRPr="00DB5227" w:rsidRDefault="00193D39" w:rsidP="00193D39">
      <w:pPr>
        <w:pStyle w:val="HTMLPreformatted"/>
        <w:jc w:val="center"/>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Figure 1. Break-Even Point Graph for JATAM Chip Production</w:t>
      </w:r>
    </w:p>
    <w:p w14:paraId="791EA87D" w14:textId="77777777" w:rsidR="00193D39" w:rsidRPr="00DB5227" w:rsidRDefault="00193D39" w:rsidP="00193D3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Description:</w:t>
      </w:r>
    </w:p>
    <w:p w14:paraId="50960DB0" w14:textId="2FC7F898" w:rsidR="00866F99" w:rsidRPr="00AE06ED" w:rsidRDefault="00866F99" w:rsidP="00866F99">
      <w:pPr>
        <w:widowControl w:val="0"/>
        <w:autoSpaceDE w:val="0"/>
        <w:autoSpaceDN w:val="0"/>
        <w:adjustRightInd w:val="0"/>
        <w:spacing w:after="0" w:line="240" w:lineRule="auto"/>
        <w:ind w:left="1276" w:hanging="1276"/>
        <w:jc w:val="both"/>
        <w:rPr>
          <w:rFonts w:ascii="Times New Roman" w:hAnsi="Times New Roman" w:cs="Times New Roman"/>
        </w:rPr>
      </w:pPr>
      <w:r w:rsidRPr="00DB5227">
        <w:rPr>
          <w:rFonts w:ascii="Times New Roman" w:hAnsi="Times New Roman" w:cs="Times New Roman"/>
        </w:rPr>
        <w:tab/>
        <w:t xml:space="preserve">: </w:t>
      </w:r>
      <w:r w:rsidRPr="00AE06ED">
        <w:rPr>
          <w:rFonts w:ascii="Times New Roman" w:hAnsi="Times New Roman" w:cs="Times New Roman"/>
        </w:rPr>
        <w:t>Break</w:t>
      </w:r>
      <w:r w:rsidR="00555088">
        <w:rPr>
          <w:rFonts w:ascii="Times New Roman" w:hAnsi="Times New Roman" w:cs="Times New Roman"/>
        </w:rPr>
        <w:t>-</w:t>
      </w:r>
      <w:r w:rsidRPr="00AE06ED">
        <w:rPr>
          <w:rFonts w:ascii="Times New Roman" w:hAnsi="Times New Roman" w:cs="Times New Roman"/>
        </w:rPr>
        <w:t>Even Point (BEP)</w:t>
      </w:r>
    </w:p>
    <w:p w14:paraId="2797F89F" w14:textId="2630A13A"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AE06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115E14E" wp14:editId="7F7132F1">
                <wp:simplePos x="0" y="0"/>
                <wp:positionH relativeFrom="column">
                  <wp:posOffset>49530</wp:posOffset>
                </wp:positionH>
                <wp:positionV relativeFrom="paragraph">
                  <wp:posOffset>89756</wp:posOffset>
                </wp:positionV>
                <wp:extent cx="540000" cy="0"/>
                <wp:effectExtent l="0" t="0" r="0" b="0"/>
                <wp:wrapNone/>
                <wp:docPr id="674168699"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905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DD9F8AB" id="Konektor Lurus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7.05pt" to="46.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" strokecolor="black [3213]" strokeweight="1.5pt">
                <v:stroke dashstyle="3 1"/>
              </v:line>
            </w:pict>
          </mc:Fallback>
        </mc:AlternateContent>
      </w:r>
      <w:r w:rsidRPr="00AE06ED">
        <w:rPr>
          <w:rFonts w:ascii="Times New Roman" w:hAnsi="Times New Roman" w:cs="Times New Roman"/>
        </w:rPr>
        <w:t>:</w:t>
      </w:r>
      <w:r w:rsidRPr="00DB5227">
        <w:rPr>
          <w:rFonts w:ascii="Times New Roman" w:hAnsi="Times New Roman" w:cs="Times New Roman"/>
        </w:rPr>
        <w:t xml:space="preserve"> </w:t>
      </w:r>
      <w:r w:rsidR="00AE06ED">
        <w:rPr>
          <w:rFonts w:ascii="Times New Roman" w:hAnsi="Times New Roman" w:cs="Times New Roman"/>
        </w:rPr>
        <w:t xml:space="preserve">Fluctuating costs and revenues   </w:t>
      </w:r>
    </w:p>
    <w:p w14:paraId="0C29C3E2" w14:textId="77777777"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34BC3DF0" wp14:editId="34A0F9BA">
                <wp:simplePos x="0" y="0"/>
                <wp:positionH relativeFrom="column">
                  <wp:posOffset>52926</wp:posOffset>
                </wp:positionH>
                <wp:positionV relativeFrom="paragraph">
                  <wp:posOffset>88265</wp:posOffset>
                </wp:positionV>
                <wp:extent cx="539750" cy="0"/>
                <wp:effectExtent l="0" t="0" r="0" b="0"/>
                <wp:wrapNone/>
                <wp:docPr id="792475682" name="Konektor Lurus 5"/>
                <wp:cNvGraphicFramePr/>
                <a:graphic xmlns:a="http://schemas.openxmlformats.org/drawingml/2006/main">
                  <a:graphicData uri="http://schemas.microsoft.com/office/word/2010/wordprocessingShape">
                    <wps:wsp>
                      <wps:cNvCnPr/>
                      <wps:spPr>
                        <a:xfrm>
                          <a:off x="0" y="0"/>
                          <a:ext cx="539750" cy="0"/>
                        </a:xfrm>
                        <a:prstGeom prst="line">
                          <a:avLst/>
                        </a:prstGeom>
                        <a:ln w="12700">
                          <a:solidFill>
                            <a:schemeClr val="tx1"/>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AD89880" id="Konektor Lurus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6.95pt" to="46.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" strokecolor="black [3213]" strokeweight="1pt"/>
            </w:pict>
          </mc:Fallback>
        </mc:AlternateContent>
      </w:r>
      <w:r w:rsidRPr="00DB5227">
        <w:rPr>
          <w:rFonts w:ascii="Times New Roman" w:hAnsi="Times New Roman" w:cs="Times New Roman"/>
        </w:rPr>
        <w:t xml:space="preserve">: </w:t>
      </w:r>
      <w:r w:rsidRPr="00AE06ED">
        <w:rPr>
          <w:rFonts w:ascii="Times New Roman" w:hAnsi="Times New Roman" w:cs="Times New Roman"/>
        </w:rPr>
        <w:t>Total Fixed Cost (TFC)</w:t>
      </w:r>
    </w:p>
    <w:p w14:paraId="76401C5B" w14:textId="77777777" w:rsidR="00AE06ED" w:rsidRPr="00DB5227" w:rsidRDefault="00AE06ED" w:rsidP="00866F99">
      <w:pPr>
        <w:widowControl w:val="0"/>
        <w:autoSpaceDE w:val="0"/>
        <w:autoSpaceDN w:val="0"/>
        <w:adjustRightInd w:val="0"/>
        <w:spacing w:after="0" w:line="240" w:lineRule="auto"/>
        <w:jc w:val="both"/>
        <w:rPr>
          <w:rFonts w:ascii="Times New Roman" w:hAnsi="Times New Roman" w:cs="Times New Roman"/>
        </w:rPr>
      </w:pPr>
    </w:p>
    <w:p w14:paraId="67EC7FE5" w14:textId="71B73B8A" w:rsidR="00823ACD" w:rsidRDefault="00823ACD" w:rsidP="00823ACD">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The horizontal (X) axis in the figure represents the production volume of JATAM chips, while the vertical (Y) axis shows the total costs and revenue in rupiah. The green line in the graph represents the total revenue earned from JATAM chip sales, the yellow line shows the total production costs incurred during the JATAM chip production process, the orange line represents total variable costs, and the black line in the graph represents the total fixed costs incurred by the JATAM MSME.</w:t>
      </w:r>
    </w:p>
    <w:p w14:paraId="61655D0B" w14:textId="10DF7732"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the graph presented in Figure 1, the break-even point occurs when the sales revenue (TR) line intersects the total cost (TC) line, specifically at a production volume of 2,004.06 grams per month with sales revenue of IDR 400,812.00. Before reaching this point, the business is in the loss zone because revenue is less than total production costs. Conversely, after passing the BEP point, the business enters the profit zone, where revenue exceeds total costs.</w:t>
      </w:r>
    </w:p>
    <w:p w14:paraId="13BA37E0" w14:textId="77777777" w:rsidR="00866F99" w:rsidRPr="00DB5227" w:rsidRDefault="00866F99" w:rsidP="00866F99">
      <w:pPr>
        <w:pStyle w:val="HTMLPreformatted"/>
        <w:jc w:val="both"/>
        <w:rPr>
          <w:rStyle w:val="y2iqfc"/>
          <w:rFonts w:ascii="Times New Roman" w:eastAsiaTheme="majorEastAsia" w:hAnsi="Times New Roman" w:cs="Times New Roman"/>
          <w:sz w:val="22"/>
          <w:szCs w:val="22"/>
          <w:lang w:val="en"/>
        </w:rPr>
      </w:pPr>
    </w:p>
    <w:p w14:paraId="566E2AF5" w14:textId="18120486" w:rsidR="00866F99" w:rsidRPr="00DB5227" w:rsidRDefault="00D455E8" w:rsidP="00866F99">
      <w:pPr>
        <w:pStyle w:val="HTMLPreformatted"/>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highlight w:val="yellow"/>
          <w:lang w:val="en"/>
        </w:rPr>
        <w:lastRenderedPageBreak/>
        <w:t>3.5</w:t>
      </w:r>
      <w:r w:rsidR="00866F99" w:rsidRPr="00D455E8">
        <w:rPr>
          <w:rStyle w:val="y2iqfc"/>
          <w:rFonts w:ascii="Times New Roman" w:eastAsiaTheme="majorEastAsia" w:hAnsi="Times New Roman" w:cs="Times New Roman"/>
          <w:b/>
          <w:bCs/>
          <w:sz w:val="22"/>
          <w:szCs w:val="22"/>
          <w:highlight w:val="yellow"/>
          <w:lang w:val="en"/>
        </w:rPr>
        <w:t>. Sensitivity Analysis</w:t>
      </w:r>
    </w:p>
    <w:p w14:paraId="5B72DC0F" w14:textId="77777777" w:rsidR="00866F99" w:rsidRPr="00DB5227" w:rsidRDefault="00866F99" w:rsidP="00866F9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The purpose of the sensitivity analysis is to determine the impact of changes in production parameters on the business's break-even point. In this study, the scenario for the changes experienced by the JATAM MSME is a 7% increase in total production costs. This projected increase is based on the inflation rate from the business's inception in November 2022 to December 2024 [17]. The impact of these changes in production costs is simulated and presented in detail in Table 6.</w:t>
      </w:r>
    </w:p>
    <w:p w14:paraId="586EB0AE" w14:textId="77777777" w:rsidR="00866F99" w:rsidRPr="00DB5227" w:rsidRDefault="00866F99" w:rsidP="00866F99">
      <w:pPr>
        <w:pStyle w:val="HTMLPreformatted"/>
        <w:ind w:firstLine="567"/>
        <w:jc w:val="both"/>
        <w:rPr>
          <w:rFonts w:ascii="Times New Roman" w:hAnsi="Times New Roman" w:cs="Times New Roman"/>
          <w:sz w:val="22"/>
          <w:szCs w:val="22"/>
        </w:rPr>
      </w:pPr>
    </w:p>
    <w:p w14:paraId="39113275" w14:textId="77777777" w:rsidR="00866F99" w:rsidRPr="00DB5227" w:rsidRDefault="00866F99" w:rsidP="00866F99">
      <w:pPr>
        <w:pStyle w:val="HTMLPreformatted"/>
        <w:ind w:left="1276" w:hanging="1276"/>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Table 6. Simulation of Sensitivity Analysis to a 7% Increase in Production Costs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40"/>
        <w:gridCol w:w="1276"/>
        <w:gridCol w:w="1559"/>
        <w:gridCol w:w="1559"/>
        <w:gridCol w:w="1701"/>
      </w:tblGrid>
      <w:tr w:rsidR="00866F99" w:rsidRPr="00DB5227" w14:paraId="1CB8F1A0" w14:textId="77777777" w:rsidTr="00D455E8">
        <w:tc>
          <w:tcPr>
            <w:tcW w:w="570" w:type="dxa"/>
            <w:tcBorders>
              <w:top w:val="single" w:sz="4" w:space="0" w:color="auto"/>
              <w:bottom w:val="single" w:sz="4" w:space="0" w:color="auto"/>
            </w:tcBorders>
            <w:vAlign w:val="center"/>
          </w:tcPr>
          <w:p w14:paraId="57F3EBA6" w14:textId="77777777" w:rsidR="00866F99" w:rsidRPr="00DB5227" w:rsidRDefault="00866F99" w:rsidP="00866F99">
            <w:pPr>
              <w:tabs>
                <w:tab w:val="left" w:pos="2268"/>
              </w:tabs>
              <w:jc w:val="both"/>
              <w:rPr>
                <w:rFonts w:ascii="Times New Roman" w:hAnsi="Times New Roman" w:cs="Times New Roman"/>
                <w:b/>
                <w:bCs/>
                <w:szCs w:val="22"/>
              </w:rPr>
            </w:pPr>
            <w:bookmarkStart w:id="0" w:name="_Hlk193861428"/>
            <w:r w:rsidRPr="00DB5227">
              <w:rPr>
                <w:rFonts w:ascii="Times New Roman" w:hAnsi="Times New Roman" w:cs="Times New Roman"/>
                <w:b/>
                <w:bCs/>
                <w:szCs w:val="22"/>
              </w:rPr>
              <w:t>No.</w:t>
            </w:r>
          </w:p>
        </w:tc>
        <w:tc>
          <w:tcPr>
            <w:tcW w:w="1840" w:type="dxa"/>
            <w:tcBorders>
              <w:top w:val="single" w:sz="4" w:space="0" w:color="auto"/>
              <w:bottom w:val="single" w:sz="4" w:space="0" w:color="auto"/>
            </w:tcBorders>
            <w:vAlign w:val="center"/>
          </w:tcPr>
          <w:p w14:paraId="43A427AE" w14:textId="55D2BC46" w:rsidR="00866F99" w:rsidRPr="00DB5227" w:rsidRDefault="00AE06ED" w:rsidP="00D455E8">
            <w:pPr>
              <w:tabs>
                <w:tab w:val="left" w:pos="2268"/>
              </w:tabs>
              <w:jc w:val="center"/>
              <w:rPr>
                <w:rFonts w:ascii="Times New Roman" w:hAnsi="Times New Roman" w:cs="Times New Roman"/>
                <w:b/>
                <w:bCs/>
                <w:szCs w:val="22"/>
              </w:rPr>
            </w:pPr>
            <w:r>
              <w:rPr>
                <w:rFonts w:ascii="Times New Roman" w:hAnsi="Times New Roman" w:cs="Times New Roman"/>
                <w:b/>
                <w:bCs/>
                <w:szCs w:val="22"/>
              </w:rPr>
              <w:t>Informations</w:t>
            </w:r>
          </w:p>
        </w:tc>
        <w:tc>
          <w:tcPr>
            <w:tcW w:w="1276" w:type="dxa"/>
            <w:tcBorders>
              <w:top w:val="single" w:sz="4" w:space="0" w:color="auto"/>
              <w:bottom w:val="single" w:sz="4" w:space="0" w:color="auto"/>
            </w:tcBorders>
            <w:vAlign w:val="center"/>
          </w:tcPr>
          <w:p w14:paraId="0B931907" w14:textId="393C72AC" w:rsidR="00866F99" w:rsidRPr="00DB5227" w:rsidRDefault="00AE06ED" w:rsidP="00D455E8">
            <w:pPr>
              <w:tabs>
                <w:tab w:val="left" w:pos="2268"/>
              </w:tabs>
              <w:jc w:val="center"/>
              <w:rPr>
                <w:rFonts w:ascii="Times New Roman" w:hAnsi="Times New Roman" w:cs="Times New Roman"/>
                <w:b/>
                <w:bCs/>
                <w:szCs w:val="22"/>
              </w:rPr>
            </w:pPr>
            <w:r>
              <w:rPr>
                <w:rFonts w:ascii="Times New Roman" w:hAnsi="Times New Roman" w:cs="Times New Roman"/>
                <w:b/>
                <w:bCs/>
                <w:szCs w:val="22"/>
              </w:rPr>
              <w:t>Fixed Costs</w:t>
            </w:r>
            <w:r w:rsidR="00866F99" w:rsidRPr="00DB5227">
              <w:rPr>
                <w:rFonts w:ascii="Times New Roman" w:hAnsi="Times New Roman" w:cs="Times New Roman"/>
                <w:b/>
                <w:bCs/>
                <w:szCs w:val="22"/>
              </w:rPr>
              <w:t xml:space="preserve"> (</w:t>
            </w:r>
            <w:r>
              <w:rPr>
                <w:rFonts w:ascii="Times New Roman" w:hAnsi="Times New Roman" w:cs="Times New Roman"/>
                <w:b/>
                <w:bCs/>
                <w:szCs w:val="22"/>
              </w:rPr>
              <w:t>IDR</w:t>
            </w:r>
            <w:r w:rsidR="00866F99" w:rsidRPr="00DB5227">
              <w:rPr>
                <w:rFonts w:ascii="Times New Roman" w:hAnsi="Times New Roman" w:cs="Times New Roman"/>
                <w:b/>
                <w:bCs/>
                <w:szCs w:val="22"/>
              </w:rPr>
              <w:t>)</w:t>
            </w:r>
          </w:p>
        </w:tc>
        <w:tc>
          <w:tcPr>
            <w:tcW w:w="1559" w:type="dxa"/>
            <w:tcBorders>
              <w:top w:val="single" w:sz="4" w:space="0" w:color="auto"/>
              <w:bottom w:val="single" w:sz="4" w:space="0" w:color="auto"/>
            </w:tcBorders>
            <w:vAlign w:val="center"/>
          </w:tcPr>
          <w:p w14:paraId="23345423" w14:textId="77777777" w:rsidR="00AE06ED" w:rsidRDefault="00AE06ED" w:rsidP="00D455E8">
            <w:pPr>
              <w:tabs>
                <w:tab w:val="left" w:pos="2268"/>
              </w:tabs>
              <w:jc w:val="center"/>
              <w:rPr>
                <w:rFonts w:ascii="Times New Roman" w:hAnsi="Times New Roman" w:cs="Times New Roman"/>
                <w:b/>
                <w:bCs/>
                <w:szCs w:val="22"/>
              </w:rPr>
            </w:pPr>
            <w:r>
              <w:rPr>
                <w:rFonts w:ascii="Times New Roman" w:hAnsi="Times New Roman" w:cs="Times New Roman"/>
                <w:b/>
                <w:bCs/>
                <w:szCs w:val="22"/>
              </w:rPr>
              <w:t xml:space="preserve">Variable </w:t>
            </w:r>
          </w:p>
          <w:p w14:paraId="2533DAB7" w14:textId="7C31F296" w:rsidR="00866F99" w:rsidRPr="00DB5227" w:rsidRDefault="00AE06ED" w:rsidP="00D455E8">
            <w:pPr>
              <w:tabs>
                <w:tab w:val="left" w:pos="2268"/>
              </w:tabs>
              <w:jc w:val="center"/>
              <w:rPr>
                <w:rFonts w:ascii="Times New Roman" w:hAnsi="Times New Roman" w:cs="Times New Roman"/>
                <w:b/>
                <w:bCs/>
                <w:szCs w:val="22"/>
              </w:rPr>
            </w:pPr>
            <w:r>
              <w:rPr>
                <w:rFonts w:ascii="Times New Roman" w:hAnsi="Times New Roman" w:cs="Times New Roman"/>
                <w:b/>
                <w:bCs/>
                <w:szCs w:val="22"/>
              </w:rPr>
              <w:t>Cost</w:t>
            </w:r>
          </w:p>
          <w:p w14:paraId="515A68A9" w14:textId="1EC5D236" w:rsidR="00866F99" w:rsidRPr="00DB5227" w:rsidRDefault="00866F99" w:rsidP="00D455E8">
            <w:pPr>
              <w:tabs>
                <w:tab w:val="left" w:pos="2268"/>
              </w:tabs>
              <w:jc w:val="center"/>
              <w:rPr>
                <w:rFonts w:ascii="Times New Roman" w:hAnsi="Times New Roman" w:cs="Times New Roman"/>
                <w:b/>
                <w:bCs/>
                <w:szCs w:val="22"/>
              </w:rPr>
            </w:pPr>
            <w:r w:rsidRPr="00DB5227">
              <w:rPr>
                <w:rFonts w:ascii="Times New Roman" w:hAnsi="Times New Roman" w:cs="Times New Roman"/>
                <w:b/>
                <w:bCs/>
                <w:szCs w:val="22"/>
              </w:rPr>
              <w:t>(</w:t>
            </w:r>
            <w:r w:rsidR="00AE06ED">
              <w:rPr>
                <w:rFonts w:ascii="Times New Roman" w:hAnsi="Times New Roman" w:cs="Times New Roman"/>
                <w:b/>
                <w:bCs/>
                <w:szCs w:val="22"/>
              </w:rPr>
              <w:t>IDR</w:t>
            </w:r>
            <w:r w:rsidRPr="00DB5227">
              <w:rPr>
                <w:rFonts w:ascii="Times New Roman" w:hAnsi="Times New Roman" w:cs="Times New Roman"/>
                <w:b/>
                <w:bCs/>
                <w:szCs w:val="22"/>
              </w:rPr>
              <w:t>)</w:t>
            </w:r>
          </w:p>
        </w:tc>
        <w:tc>
          <w:tcPr>
            <w:tcW w:w="1559" w:type="dxa"/>
            <w:tcBorders>
              <w:top w:val="single" w:sz="4" w:space="0" w:color="auto"/>
              <w:bottom w:val="single" w:sz="4" w:space="0" w:color="auto"/>
            </w:tcBorders>
          </w:tcPr>
          <w:p w14:paraId="5E8A8D27" w14:textId="795B7FCF" w:rsidR="00AE06ED" w:rsidRPr="00AE06ED" w:rsidRDefault="00AE06ED" w:rsidP="00AE06ED">
            <w:pPr>
              <w:pStyle w:val="HTMLPreformatted"/>
              <w:rPr>
                <w:rFonts w:ascii="Times New Roman" w:hAnsi="Times New Roman" w:cs="Times New Roman"/>
                <w:b/>
                <w:bCs/>
                <w:sz w:val="22"/>
                <w:szCs w:val="22"/>
              </w:rPr>
            </w:pPr>
            <w:r w:rsidRPr="00AE06ED">
              <w:rPr>
                <w:rStyle w:val="y2iqfc"/>
                <w:rFonts w:ascii="Times New Roman" w:eastAsiaTheme="majorEastAsia" w:hAnsi="Times New Roman" w:cs="Times New Roman"/>
                <w:b/>
                <w:bCs/>
                <w:sz w:val="22"/>
                <w:szCs w:val="22"/>
                <w:lang w:val="en"/>
              </w:rPr>
              <w:t>BEP Sales Revenue (IDR)</w:t>
            </w:r>
          </w:p>
          <w:p w14:paraId="146DEE7E" w14:textId="584B5F0E" w:rsidR="00866F99" w:rsidRPr="00AE06ED" w:rsidRDefault="00866F99" w:rsidP="00D455E8">
            <w:pPr>
              <w:tabs>
                <w:tab w:val="left" w:pos="2268"/>
              </w:tabs>
              <w:jc w:val="center"/>
              <w:rPr>
                <w:rFonts w:ascii="Times New Roman" w:hAnsi="Times New Roman" w:cs="Times New Roman"/>
                <w:b/>
                <w:bCs/>
                <w:szCs w:val="22"/>
              </w:rPr>
            </w:pPr>
          </w:p>
        </w:tc>
        <w:tc>
          <w:tcPr>
            <w:tcW w:w="1701" w:type="dxa"/>
            <w:tcBorders>
              <w:top w:val="single" w:sz="4" w:space="0" w:color="auto"/>
              <w:bottom w:val="single" w:sz="4" w:space="0" w:color="auto"/>
            </w:tcBorders>
            <w:vAlign w:val="center"/>
          </w:tcPr>
          <w:p w14:paraId="3031F576" w14:textId="6FE63BC6" w:rsidR="00AE06ED" w:rsidRPr="00AE06ED" w:rsidRDefault="00AE06ED" w:rsidP="00AE06ED">
            <w:pPr>
              <w:pStyle w:val="HTMLPreformatted"/>
              <w:rPr>
                <w:rStyle w:val="y2iqfc"/>
                <w:rFonts w:ascii="Times New Roman" w:eastAsiaTheme="majorEastAsia" w:hAnsi="Times New Roman" w:cs="Times New Roman"/>
                <w:b/>
                <w:bCs/>
                <w:sz w:val="22"/>
                <w:szCs w:val="22"/>
                <w:lang w:val="en"/>
              </w:rPr>
            </w:pPr>
            <w:r w:rsidRPr="00AE06ED">
              <w:rPr>
                <w:rStyle w:val="y2iqfc"/>
                <w:rFonts w:ascii="Times New Roman" w:eastAsiaTheme="majorEastAsia" w:hAnsi="Times New Roman" w:cs="Times New Roman"/>
                <w:b/>
                <w:bCs/>
                <w:sz w:val="22"/>
                <w:szCs w:val="22"/>
                <w:lang w:val="en"/>
              </w:rPr>
              <w:t>Break</w:t>
            </w:r>
            <w:r w:rsidR="00555088">
              <w:rPr>
                <w:rStyle w:val="y2iqfc"/>
                <w:rFonts w:ascii="Times New Roman" w:eastAsiaTheme="majorEastAsia" w:hAnsi="Times New Roman" w:cs="Times New Roman"/>
                <w:b/>
                <w:bCs/>
                <w:sz w:val="22"/>
                <w:szCs w:val="22"/>
                <w:lang w:val="en"/>
              </w:rPr>
              <w:t>-</w:t>
            </w:r>
            <w:r w:rsidRPr="00AE06ED">
              <w:rPr>
                <w:rStyle w:val="y2iqfc"/>
                <w:rFonts w:ascii="Times New Roman" w:eastAsiaTheme="majorEastAsia" w:hAnsi="Times New Roman" w:cs="Times New Roman"/>
                <w:b/>
                <w:bCs/>
                <w:sz w:val="22"/>
                <w:szCs w:val="22"/>
                <w:lang w:val="en"/>
              </w:rPr>
              <w:t xml:space="preserve">Even Point </w:t>
            </w:r>
          </w:p>
          <w:p w14:paraId="01A0B565" w14:textId="44A2D77E" w:rsidR="00AE06ED" w:rsidRPr="00AE06ED" w:rsidRDefault="00AE06ED" w:rsidP="00AE06ED">
            <w:pPr>
              <w:pStyle w:val="HTMLPreformatted"/>
              <w:rPr>
                <w:rFonts w:ascii="Times New Roman" w:eastAsiaTheme="majorEastAsia" w:hAnsi="Times New Roman" w:cs="Times New Roman"/>
                <w:b/>
                <w:bCs/>
                <w:sz w:val="22"/>
                <w:szCs w:val="22"/>
                <w:lang w:val="en"/>
              </w:rPr>
            </w:pPr>
            <w:r w:rsidRPr="00AE06ED">
              <w:rPr>
                <w:rStyle w:val="y2iqfc"/>
                <w:rFonts w:ascii="Times New Roman" w:eastAsiaTheme="majorEastAsia" w:hAnsi="Times New Roman" w:cs="Times New Roman"/>
                <w:b/>
                <w:bCs/>
                <w:sz w:val="22"/>
                <w:szCs w:val="22"/>
                <w:lang w:val="en"/>
              </w:rPr>
              <w:t>Production Volume</w:t>
            </w:r>
            <w:r>
              <w:rPr>
                <w:rStyle w:val="y2iqfc"/>
                <w:rFonts w:ascii="Times New Roman" w:eastAsiaTheme="majorEastAsia" w:hAnsi="Times New Roman" w:cs="Times New Roman"/>
                <w:b/>
                <w:bCs/>
                <w:sz w:val="22"/>
                <w:szCs w:val="22"/>
                <w:lang w:val="en"/>
              </w:rPr>
              <w:t xml:space="preserve"> </w:t>
            </w:r>
            <w:r w:rsidRPr="00AE06ED">
              <w:rPr>
                <w:rStyle w:val="y2iqfc"/>
                <w:rFonts w:ascii="Times New Roman" w:eastAsiaTheme="majorEastAsia" w:hAnsi="Times New Roman" w:cs="Times New Roman"/>
                <w:b/>
                <w:bCs/>
                <w:sz w:val="22"/>
                <w:szCs w:val="22"/>
                <w:lang w:val="en"/>
              </w:rPr>
              <w:t>(gr)</w:t>
            </w:r>
          </w:p>
          <w:p w14:paraId="6B89B385" w14:textId="2B45CF64" w:rsidR="00866F99" w:rsidRPr="00AE06ED" w:rsidRDefault="00866F99" w:rsidP="00D455E8">
            <w:pPr>
              <w:tabs>
                <w:tab w:val="left" w:pos="2268"/>
              </w:tabs>
              <w:ind w:right="26"/>
              <w:jc w:val="center"/>
              <w:rPr>
                <w:rFonts w:ascii="Times New Roman" w:hAnsi="Times New Roman" w:cs="Times New Roman"/>
                <w:b/>
                <w:bCs/>
                <w:szCs w:val="22"/>
              </w:rPr>
            </w:pPr>
          </w:p>
        </w:tc>
      </w:tr>
      <w:tr w:rsidR="00AE06ED" w:rsidRPr="00DB5227" w14:paraId="2187AB36" w14:textId="77777777" w:rsidTr="00D455E8">
        <w:trPr>
          <w:trHeight w:val="328"/>
        </w:trPr>
        <w:tc>
          <w:tcPr>
            <w:tcW w:w="570" w:type="dxa"/>
            <w:tcBorders>
              <w:top w:val="single" w:sz="4" w:space="0" w:color="auto"/>
            </w:tcBorders>
            <w:vAlign w:val="center"/>
          </w:tcPr>
          <w:p w14:paraId="7E1A47C9" w14:textId="77777777" w:rsidR="00AE06ED" w:rsidRPr="00DB5227" w:rsidRDefault="00AE06ED" w:rsidP="00AE06ED">
            <w:pPr>
              <w:tabs>
                <w:tab w:val="left" w:pos="2268"/>
              </w:tabs>
              <w:jc w:val="center"/>
              <w:rPr>
                <w:rFonts w:ascii="Times New Roman" w:hAnsi="Times New Roman" w:cs="Times New Roman"/>
                <w:szCs w:val="22"/>
              </w:rPr>
            </w:pPr>
            <w:r w:rsidRPr="00DB5227">
              <w:rPr>
                <w:rFonts w:ascii="Times New Roman" w:hAnsi="Times New Roman" w:cs="Times New Roman"/>
                <w:szCs w:val="22"/>
              </w:rPr>
              <w:t>1.</w:t>
            </w:r>
          </w:p>
        </w:tc>
        <w:tc>
          <w:tcPr>
            <w:tcW w:w="1840" w:type="dxa"/>
            <w:tcBorders>
              <w:top w:val="single" w:sz="4" w:space="0" w:color="auto"/>
            </w:tcBorders>
          </w:tcPr>
          <w:p w14:paraId="5140E0DB" w14:textId="1FE284E2" w:rsidR="00AE06ED" w:rsidRPr="00AE06ED" w:rsidRDefault="00AE06ED" w:rsidP="00AE06ED">
            <w:pPr>
              <w:tabs>
                <w:tab w:val="left" w:pos="2268"/>
              </w:tabs>
              <w:rPr>
                <w:rFonts w:ascii="Times New Roman" w:hAnsi="Times New Roman" w:cs="Times New Roman"/>
                <w:szCs w:val="22"/>
              </w:rPr>
            </w:pPr>
            <w:r w:rsidRPr="00AE06ED">
              <w:rPr>
                <w:rStyle w:val="y2iqfc"/>
                <w:rFonts w:ascii="Times New Roman" w:hAnsi="Times New Roman" w:cs="Times New Roman"/>
                <w:lang w:val="en"/>
              </w:rPr>
              <w:t>Before Ascension</w:t>
            </w:r>
          </w:p>
        </w:tc>
        <w:tc>
          <w:tcPr>
            <w:tcW w:w="1276" w:type="dxa"/>
            <w:tcBorders>
              <w:top w:val="single" w:sz="4" w:space="0" w:color="auto"/>
            </w:tcBorders>
            <w:vAlign w:val="center"/>
          </w:tcPr>
          <w:p w14:paraId="40FF0EB2"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98.265,00</w:t>
            </w:r>
          </w:p>
        </w:tc>
        <w:tc>
          <w:tcPr>
            <w:tcW w:w="1559" w:type="dxa"/>
            <w:tcBorders>
              <w:top w:val="single" w:sz="4" w:space="0" w:color="auto"/>
            </w:tcBorders>
            <w:vAlign w:val="center"/>
          </w:tcPr>
          <w:p w14:paraId="13E3940A"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5.132.880,00</w:t>
            </w:r>
          </w:p>
        </w:tc>
        <w:tc>
          <w:tcPr>
            <w:tcW w:w="1559" w:type="dxa"/>
            <w:tcBorders>
              <w:top w:val="single" w:sz="4" w:space="0" w:color="auto"/>
            </w:tcBorders>
            <w:vAlign w:val="center"/>
          </w:tcPr>
          <w:p w14:paraId="1CB30127" w14:textId="77777777" w:rsidR="00AE06ED" w:rsidRPr="00DB5227" w:rsidRDefault="00AE06ED" w:rsidP="00AE06ED">
            <w:pPr>
              <w:jc w:val="right"/>
              <w:rPr>
                <w:rFonts w:ascii="Times New Roman" w:hAnsi="Times New Roman" w:cs="Times New Roman"/>
                <w:szCs w:val="22"/>
              </w:rPr>
            </w:pPr>
            <w:r w:rsidRPr="00DB5227">
              <w:rPr>
                <w:rFonts w:ascii="Times New Roman" w:hAnsi="Times New Roman" w:cs="Times New Roman"/>
                <w:szCs w:val="22"/>
              </w:rPr>
              <w:t>400.812,00</w:t>
            </w:r>
          </w:p>
        </w:tc>
        <w:tc>
          <w:tcPr>
            <w:tcW w:w="1701" w:type="dxa"/>
            <w:tcBorders>
              <w:top w:val="single" w:sz="4" w:space="0" w:color="auto"/>
            </w:tcBorders>
            <w:vAlign w:val="center"/>
          </w:tcPr>
          <w:p w14:paraId="1A3FED84" w14:textId="77777777" w:rsidR="00AE06ED" w:rsidRPr="00DB5227" w:rsidRDefault="00AE06ED" w:rsidP="00AE06ED">
            <w:pPr>
              <w:tabs>
                <w:tab w:val="left" w:pos="2268"/>
              </w:tabs>
              <w:jc w:val="right"/>
              <w:rPr>
                <w:rFonts w:ascii="Times New Roman" w:hAnsi="Times New Roman" w:cs="Times New Roman"/>
                <w:szCs w:val="22"/>
              </w:rPr>
            </w:pPr>
            <w:r w:rsidRPr="00DB5227">
              <w:rPr>
                <w:rFonts w:ascii="Times New Roman" w:hAnsi="Times New Roman" w:cs="Times New Roman"/>
                <w:szCs w:val="22"/>
              </w:rPr>
              <w:t>2.004,06</w:t>
            </w:r>
          </w:p>
        </w:tc>
      </w:tr>
      <w:tr w:rsidR="00AE06ED" w:rsidRPr="00DB5227" w14:paraId="6F1B87EC" w14:textId="77777777" w:rsidTr="00D455E8">
        <w:trPr>
          <w:trHeight w:val="373"/>
        </w:trPr>
        <w:tc>
          <w:tcPr>
            <w:tcW w:w="570" w:type="dxa"/>
            <w:tcBorders>
              <w:bottom w:val="single" w:sz="4" w:space="0" w:color="auto"/>
            </w:tcBorders>
            <w:vAlign w:val="center"/>
          </w:tcPr>
          <w:p w14:paraId="6CBFEA51" w14:textId="77777777" w:rsidR="00AE06ED" w:rsidRPr="00DB5227" w:rsidRDefault="00AE06ED" w:rsidP="00AE06ED">
            <w:pPr>
              <w:tabs>
                <w:tab w:val="left" w:pos="2268"/>
              </w:tabs>
              <w:jc w:val="center"/>
              <w:rPr>
                <w:rFonts w:ascii="Times New Roman" w:hAnsi="Times New Roman" w:cs="Times New Roman"/>
                <w:b/>
                <w:bCs/>
                <w:szCs w:val="22"/>
              </w:rPr>
            </w:pPr>
            <w:r w:rsidRPr="00DB5227">
              <w:rPr>
                <w:rFonts w:ascii="Times New Roman" w:hAnsi="Times New Roman" w:cs="Times New Roman"/>
                <w:b/>
                <w:bCs/>
                <w:szCs w:val="22"/>
              </w:rPr>
              <w:t>2.</w:t>
            </w:r>
          </w:p>
        </w:tc>
        <w:tc>
          <w:tcPr>
            <w:tcW w:w="1840" w:type="dxa"/>
            <w:tcBorders>
              <w:bottom w:val="single" w:sz="4" w:space="0" w:color="auto"/>
            </w:tcBorders>
          </w:tcPr>
          <w:p w14:paraId="198D0C01" w14:textId="24E4304F" w:rsidR="00AE06ED" w:rsidRPr="00AE06ED" w:rsidRDefault="00AE06ED" w:rsidP="00AE06ED">
            <w:pPr>
              <w:tabs>
                <w:tab w:val="left" w:pos="2268"/>
              </w:tabs>
              <w:rPr>
                <w:rFonts w:ascii="Times New Roman" w:hAnsi="Times New Roman" w:cs="Times New Roman"/>
                <w:b/>
                <w:bCs/>
                <w:szCs w:val="22"/>
              </w:rPr>
            </w:pPr>
            <w:r w:rsidRPr="00AE06ED">
              <w:rPr>
                <w:rStyle w:val="y2iqfc"/>
                <w:rFonts w:ascii="Times New Roman" w:hAnsi="Times New Roman" w:cs="Times New Roman"/>
                <w:lang w:val="en"/>
              </w:rPr>
              <w:t>After Ascension</w:t>
            </w:r>
          </w:p>
        </w:tc>
        <w:tc>
          <w:tcPr>
            <w:tcW w:w="1276" w:type="dxa"/>
            <w:tcBorders>
              <w:bottom w:val="single" w:sz="4" w:space="0" w:color="auto"/>
            </w:tcBorders>
            <w:vAlign w:val="center"/>
          </w:tcPr>
          <w:p w14:paraId="53124F77"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105.143,55</w:t>
            </w:r>
          </w:p>
        </w:tc>
        <w:tc>
          <w:tcPr>
            <w:tcW w:w="1559" w:type="dxa"/>
            <w:tcBorders>
              <w:bottom w:val="single" w:sz="4" w:space="0" w:color="auto"/>
            </w:tcBorders>
            <w:vAlign w:val="center"/>
          </w:tcPr>
          <w:p w14:paraId="007F5E8D"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5.492.181,60</w:t>
            </w:r>
          </w:p>
        </w:tc>
        <w:tc>
          <w:tcPr>
            <w:tcW w:w="1559" w:type="dxa"/>
            <w:tcBorders>
              <w:bottom w:val="single" w:sz="4" w:space="0" w:color="auto"/>
            </w:tcBorders>
            <w:vAlign w:val="center"/>
          </w:tcPr>
          <w:p w14:paraId="315B044A"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546.694,00</w:t>
            </w:r>
          </w:p>
        </w:tc>
        <w:tc>
          <w:tcPr>
            <w:tcW w:w="1701" w:type="dxa"/>
            <w:tcBorders>
              <w:bottom w:val="single" w:sz="4" w:space="0" w:color="auto"/>
            </w:tcBorders>
            <w:vAlign w:val="center"/>
          </w:tcPr>
          <w:p w14:paraId="0BC06626" w14:textId="77777777" w:rsidR="00AE06ED" w:rsidRPr="00DB5227" w:rsidRDefault="00AE06ED" w:rsidP="00AE06ED">
            <w:pPr>
              <w:tabs>
                <w:tab w:val="left" w:pos="2268"/>
              </w:tabs>
              <w:jc w:val="right"/>
              <w:rPr>
                <w:rFonts w:ascii="Times New Roman" w:hAnsi="Times New Roman" w:cs="Times New Roman"/>
                <w:b/>
                <w:bCs/>
                <w:szCs w:val="22"/>
              </w:rPr>
            </w:pPr>
            <w:r w:rsidRPr="00DB5227">
              <w:rPr>
                <w:rFonts w:ascii="Times New Roman" w:hAnsi="Times New Roman" w:cs="Times New Roman"/>
                <w:b/>
                <w:bCs/>
                <w:szCs w:val="22"/>
              </w:rPr>
              <w:t>2.733,47</w:t>
            </w:r>
          </w:p>
        </w:tc>
      </w:tr>
    </w:tbl>
    <w:bookmarkEnd w:id="0"/>
    <w:p w14:paraId="5CE20179" w14:textId="77777777" w:rsidR="00866F99" w:rsidRPr="00DB5227" w:rsidRDefault="00866F99" w:rsidP="00866F99">
      <w:pPr>
        <w:pStyle w:val="HTMLPreformatted"/>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Source: Primary Data (processed), 2025</w:t>
      </w:r>
    </w:p>
    <w:p w14:paraId="3C387AC4" w14:textId="77777777" w:rsidR="00866F99" w:rsidRPr="00DB5227" w:rsidRDefault="00866F99" w:rsidP="00866F99">
      <w:pPr>
        <w:widowControl w:val="0"/>
        <w:autoSpaceDE w:val="0"/>
        <w:autoSpaceDN w:val="0"/>
        <w:adjustRightInd w:val="0"/>
        <w:spacing w:after="0" w:line="240" w:lineRule="auto"/>
        <w:jc w:val="both"/>
        <w:rPr>
          <w:rFonts w:ascii="Times New Roman" w:hAnsi="Times New Roman" w:cs="Times New Roman"/>
        </w:rPr>
      </w:pPr>
    </w:p>
    <w:p w14:paraId="2A041957" w14:textId="77777777" w:rsidR="00866F99" w:rsidRPr="00DB5227" w:rsidRDefault="00866F99" w:rsidP="00866F99">
      <w:pPr>
        <w:pStyle w:val="HTMLPreformatted"/>
        <w:ind w:firstLine="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Based on Table 6, it is known that a 7% increase in production costs resulted in an increase in the break-even point for JATAM's chips business. The shift in the break-even point due to the increase in production costs is visualized in Figure 2.</w:t>
      </w:r>
    </w:p>
    <w:p w14:paraId="61C1AC7A"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0CA224E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r w:rsidRPr="00DB5227">
        <w:rPr>
          <w:rFonts w:ascii="Times New Roman" w:hAnsi="Times New Roman" w:cs="Times New Roman"/>
          <w:noProof/>
        </w:rPr>
        <w:drawing>
          <wp:anchor distT="0" distB="0" distL="114300" distR="114300" simplePos="0" relativeHeight="251664384" behindDoc="0" locked="0" layoutInCell="1" allowOverlap="1" wp14:anchorId="7C2EBBAD" wp14:editId="066D8C41">
            <wp:simplePos x="0" y="0"/>
            <wp:positionH relativeFrom="column">
              <wp:posOffset>0</wp:posOffset>
            </wp:positionH>
            <wp:positionV relativeFrom="paragraph">
              <wp:posOffset>-160655</wp:posOffset>
            </wp:positionV>
            <wp:extent cx="2794000" cy="2159635"/>
            <wp:effectExtent l="0" t="0" r="6350" b="0"/>
            <wp:wrapNone/>
            <wp:docPr id="1236068292"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68292" name="Gambar 12360682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4000" cy="2159635"/>
                    </a:xfrm>
                    <a:prstGeom prst="rect">
                      <a:avLst/>
                    </a:prstGeom>
                  </pic:spPr>
                </pic:pic>
              </a:graphicData>
            </a:graphic>
            <wp14:sizeRelH relativeFrom="page">
              <wp14:pctWidth>0</wp14:pctWidth>
            </wp14:sizeRelH>
            <wp14:sizeRelV relativeFrom="page">
              <wp14:pctHeight>0</wp14:pctHeight>
            </wp14:sizeRelV>
          </wp:anchor>
        </w:drawing>
      </w:r>
    </w:p>
    <w:p w14:paraId="76E52E0B"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4973FF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082C1465"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989FBD0"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183D0E8A"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76F1329"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3BBD3878"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9EC1799"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6B942624"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58501A83"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2A562EB6"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17E8C443" w14:textId="77777777" w:rsidR="00866F99" w:rsidRPr="00DB5227" w:rsidRDefault="00866F99" w:rsidP="00866F99">
      <w:pPr>
        <w:widowControl w:val="0"/>
        <w:autoSpaceDE w:val="0"/>
        <w:autoSpaceDN w:val="0"/>
        <w:adjustRightInd w:val="0"/>
        <w:spacing w:after="0" w:line="240" w:lineRule="auto"/>
        <w:rPr>
          <w:rFonts w:ascii="Times New Roman" w:hAnsi="Times New Roman" w:cs="Times New Roman"/>
        </w:rPr>
      </w:pPr>
    </w:p>
    <w:p w14:paraId="7F7D1214" w14:textId="25F2A131" w:rsidR="00866F99" w:rsidRPr="00DB5227" w:rsidRDefault="00866F99" w:rsidP="00866F99">
      <w:pPr>
        <w:pStyle w:val="HTMLPreformatted"/>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Figure 2.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Shift Graph for JATAM Chips Production</w:t>
      </w:r>
    </w:p>
    <w:p w14:paraId="558DF617" w14:textId="071B2A8D" w:rsidR="00866F99" w:rsidRPr="00DB5227" w:rsidRDefault="00866F99" w:rsidP="00866F99">
      <w:pPr>
        <w:widowControl w:val="0"/>
        <w:autoSpaceDE w:val="0"/>
        <w:autoSpaceDN w:val="0"/>
        <w:adjustRightInd w:val="0"/>
        <w:spacing w:after="0" w:line="240" w:lineRule="auto"/>
        <w:jc w:val="both"/>
        <w:rPr>
          <w:rFonts w:ascii="Times New Roman" w:hAnsi="Times New Roman" w:cs="Times New Roman"/>
        </w:rPr>
      </w:pPr>
      <w:r w:rsidRPr="00DB5227">
        <w:rPr>
          <w:rFonts w:ascii="Times New Roman" w:hAnsi="Times New Roman" w:cs="Times New Roman"/>
        </w:rPr>
        <w:t>Description:</w:t>
      </w:r>
    </w:p>
    <w:p w14:paraId="4226C53E" w14:textId="79167E2A" w:rsidR="00866F99" w:rsidRPr="00DB5227" w:rsidRDefault="00866F99" w:rsidP="00866F99">
      <w:pPr>
        <w:widowControl w:val="0"/>
        <w:autoSpaceDE w:val="0"/>
        <w:autoSpaceDN w:val="0"/>
        <w:adjustRightInd w:val="0"/>
        <w:spacing w:after="0" w:line="240" w:lineRule="auto"/>
        <w:ind w:left="1276" w:hanging="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1BB8B7C7" wp14:editId="186F13BA">
                <wp:simplePos x="0" y="0"/>
                <wp:positionH relativeFrom="column">
                  <wp:posOffset>51214</wp:posOffset>
                </wp:positionH>
                <wp:positionV relativeFrom="paragraph">
                  <wp:posOffset>88900</wp:posOffset>
                </wp:positionV>
                <wp:extent cx="540000" cy="0"/>
                <wp:effectExtent l="0" t="0" r="0" b="0"/>
                <wp:wrapNone/>
                <wp:docPr id="1914884496"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270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741D51A6" id="Konektor Lurus 5"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7pt" to="46.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" strokecolor="black [3213]" strokeweight="1pt">
                <v:stroke dashstyle="3 1"/>
              </v:line>
            </w:pict>
          </mc:Fallback>
        </mc:AlternateContent>
      </w:r>
      <w:r w:rsidRPr="00DB5227">
        <w:rPr>
          <w:rFonts w:ascii="Times New Roman" w:hAnsi="Times New Roman" w:cs="Times New Roman"/>
        </w:rPr>
        <w:tab/>
        <w:t>: Break</w:t>
      </w:r>
      <w:r w:rsidR="00555088">
        <w:rPr>
          <w:rFonts w:ascii="Times New Roman" w:hAnsi="Times New Roman" w:cs="Times New Roman"/>
        </w:rPr>
        <w:t>-</w:t>
      </w:r>
      <w:r w:rsidRPr="00DB5227">
        <w:rPr>
          <w:rFonts w:ascii="Times New Roman" w:hAnsi="Times New Roman" w:cs="Times New Roman"/>
        </w:rPr>
        <w:t>Even Point (BEP) dan Sensitivit</w:t>
      </w:r>
      <w:r w:rsidR="00AE06ED">
        <w:rPr>
          <w:rFonts w:ascii="Times New Roman" w:hAnsi="Times New Roman" w:cs="Times New Roman"/>
        </w:rPr>
        <w:t>y</w:t>
      </w:r>
    </w:p>
    <w:p w14:paraId="6469C326" w14:textId="7DE62E21"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78549684" wp14:editId="601F3EE3">
                <wp:simplePos x="0" y="0"/>
                <wp:positionH relativeFrom="column">
                  <wp:posOffset>49530</wp:posOffset>
                </wp:positionH>
                <wp:positionV relativeFrom="paragraph">
                  <wp:posOffset>89756</wp:posOffset>
                </wp:positionV>
                <wp:extent cx="540000" cy="0"/>
                <wp:effectExtent l="0" t="0" r="0" b="0"/>
                <wp:wrapNone/>
                <wp:docPr id="16646676" name="Konektor Lurus 5"/>
                <wp:cNvGraphicFramePr/>
                <a:graphic xmlns:a="http://schemas.openxmlformats.org/drawingml/2006/main">
                  <a:graphicData uri="http://schemas.microsoft.com/office/word/2010/wordprocessingShape">
                    <wps:wsp>
                      <wps:cNvCnPr/>
                      <wps:spPr>
                        <a:xfrm>
                          <a:off x="0" y="0"/>
                          <a:ext cx="540000" cy="0"/>
                        </a:xfrm>
                        <a:prstGeom prst="line">
                          <a:avLst/>
                        </a:prstGeom>
                        <a:ln w="19050">
                          <a:solidFill>
                            <a:schemeClr val="tx1"/>
                          </a:solidFill>
                          <a:prstDash val="sys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8CBA074" id="Konektor Lurus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7.05pt" to="46.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" strokecolor="black [3213]" strokeweight="1.5pt">
                <v:stroke dashstyle="3 1"/>
              </v:line>
            </w:pict>
          </mc:Fallback>
        </mc:AlternateContent>
      </w:r>
      <w:r w:rsidRPr="00DB5227">
        <w:rPr>
          <w:rFonts w:ascii="Times New Roman" w:hAnsi="Times New Roman" w:cs="Times New Roman"/>
        </w:rPr>
        <w:t xml:space="preserve">: </w:t>
      </w:r>
      <w:r w:rsidR="00AE06ED">
        <w:rPr>
          <w:rFonts w:ascii="Times New Roman" w:hAnsi="Times New Roman" w:cs="Times New Roman"/>
        </w:rPr>
        <w:t>Fluctuating costs and revenues</w:t>
      </w:r>
      <w:r w:rsidR="00555088">
        <w:rPr>
          <w:rFonts w:ascii="Times New Roman" w:hAnsi="Times New Roman" w:cs="Times New Roman"/>
        </w:rPr>
        <w:t>,</w:t>
      </w:r>
      <w:r w:rsidR="00AE06ED">
        <w:rPr>
          <w:rFonts w:ascii="Times New Roman" w:hAnsi="Times New Roman" w:cs="Times New Roman"/>
        </w:rPr>
        <w:t xml:space="preserve"> and sens</w:t>
      </w:r>
      <w:r w:rsidR="00555088">
        <w:rPr>
          <w:rFonts w:ascii="Times New Roman" w:hAnsi="Times New Roman" w:cs="Times New Roman"/>
        </w:rPr>
        <w:t>i</w:t>
      </w:r>
      <w:r w:rsidR="00AE06ED">
        <w:rPr>
          <w:rFonts w:ascii="Times New Roman" w:hAnsi="Times New Roman" w:cs="Times New Roman"/>
        </w:rPr>
        <w:t>tivity</w:t>
      </w:r>
    </w:p>
    <w:p w14:paraId="48706AA9" w14:textId="2813EFAD" w:rsidR="00866F99" w:rsidRPr="00DB5227" w:rsidRDefault="00866F99" w:rsidP="00866F99">
      <w:pPr>
        <w:widowControl w:val="0"/>
        <w:autoSpaceDE w:val="0"/>
        <w:autoSpaceDN w:val="0"/>
        <w:adjustRightInd w:val="0"/>
        <w:spacing w:after="0" w:line="240" w:lineRule="auto"/>
        <w:ind w:left="1276"/>
        <w:jc w:val="both"/>
        <w:rPr>
          <w:rFonts w:ascii="Times New Roman" w:hAnsi="Times New Roman" w:cs="Times New Roman"/>
        </w:rPr>
      </w:pPr>
      <w:r w:rsidRPr="00DB5227">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29BC6AE6" wp14:editId="3C5DCAA1">
                <wp:simplePos x="0" y="0"/>
                <wp:positionH relativeFrom="column">
                  <wp:posOffset>52926</wp:posOffset>
                </wp:positionH>
                <wp:positionV relativeFrom="paragraph">
                  <wp:posOffset>88265</wp:posOffset>
                </wp:positionV>
                <wp:extent cx="539750" cy="0"/>
                <wp:effectExtent l="0" t="0" r="0" b="0"/>
                <wp:wrapNone/>
                <wp:docPr id="526213203" name="Konektor Lurus 5"/>
                <wp:cNvGraphicFramePr/>
                <a:graphic xmlns:a="http://schemas.openxmlformats.org/drawingml/2006/main">
                  <a:graphicData uri="http://schemas.microsoft.com/office/word/2010/wordprocessingShape">
                    <wps:wsp>
                      <wps:cNvCnPr/>
                      <wps:spPr>
                        <a:xfrm>
                          <a:off x="0" y="0"/>
                          <a:ext cx="539750" cy="0"/>
                        </a:xfrm>
                        <a:prstGeom prst="line">
                          <a:avLst/>
                        </a:prstGeom>
                        <a:ln w="12700">
                          <a:solidFill>
                            <a:schemeClr val="tx1"/>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D6ADB6D" id="Konektor Lurus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6.95pt" to="46.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" strokecolor="black [3213]" strokeweight="1pt"/>
            </w:pict>
          </mc:Fallback>
        </mc:AlternateContent>
      </w:r>
      <w:r w:rsidRPr="00DB5227">
        <w:rPr>
          <w:rFonts w:ascii="Times New Roman" w:hAnsi="Times New Roman" w:cs="Times New Roman"/>
        </w:rPr>
        <w:t>: Total Fixed Cost (TFC) dan Sensitivit</w:t>
      </w:r>
      <w:r w:rsidR="00AE06ED">
        <w:rPr>
          <w:rFonts w:ascii="Times New Roman" w:hAnsi="Times New Roman" w:cs="Times New Roman"/>
        </w:rPr>
        <w:t>y</w:t>
      </w:r>
    </w:p>
    <w:p w14:paraId="36FD662A" w14:textId="77777777" w:rsidR="00AE06ED" w:rsidRDefault="00AE06ED" w:rsidP="00866F99">
      <w:pPr>
        <w:pStyle w:val="HTMLPreformatted"/>
        <w:ind w:firstLine="567"/>
        <w:jc w:val="both"/>
        <w:rPr>
          <w:rStyle w:val="y2iqfc"/>
          <w:rFonts w:ascii="Times New Roman" w:eastAsiaTheme="majorEastAsia" w:hAnsi="Times New Roman" w:cs="Times New Roman"/>
          <w:sz w:val="22"/>
          <w:szCs w:val="22"/>
          <w:lang w:val="en"/>
        </w:rPr>
      </w:pPr>
    </w:p>
    <w:p w14:paraId="665A6329" w14:textId="228B63D0" w:rsidR="00866F99"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Figure 2 shows a shift in the break-even point due to the increase in production costs. </w:t>
      </w:r>
      <w:r w:rsidR="00555088">
        <w:rPr>
          <w:rStyle w:val="y2iqfc"/>
          <w:rFonts w:ascii="Times New Roman" w:eastAsiaTheme="majorEastAsia" w:hAnsi="Times New Roman" w:cs="Times New Roman"/>
          <w:sz w:val="22"/>
          <w:szCs w:val="22"/>
          <w:lang w:val="en"/>
        </w:rPr>
        <w:t>Before</w:t>
      </w:r>
      <w:r w:rsidRPr="00DB5227">
        <w:rPr>
          <w:rStyle w:val="y2iqfc"/>
          <w:rFonts w:ascii="Times New Roman" w:eastAsiaTheme="majorEastAsia" w:hAnsi="Times New Roman" w:cs="Times New Roman"/>
          <w:sz w:val="22"/>
          <w:szCs w:val="22"/>
          <w:lang w:val="en"/>
        </w:rPr>
        <w:t xml:space="preserve"> the increase, the break-even point (BEP) was at its initial position (BEP 1) with sales revenue of Rp400,812.00. After the production costs increased, the BEP for sales revenue shifted upward to Rp546,694.00. This was followed by a shift in the BEP for production volume to the right, reaching 2,733.47 grams per month, equivalent to 32 packages of JATAM chips. At BEP 2, the business generates neither a profit nor a loss, but is still able to cover all production costs. Therefore, as long as sales revenue exceeds the new break-even point (BEP 2), the JATAM chips business remains viable. </w:t>
      </w:r>
    </w:p>
    <w:p w14:paraId="6568C3B8" w14:textId="77777777" w:rsidR="00823ACD" w:rsidRDefault="00823ACD" w:rsidP="00866F99">
      <w:pPr>
        <w:pStyle w:val="HTMLPreformatted"/>
        <w:ind w:firstLine="567"/>
        <w:jc w:val="both"/>
        <w:rPr>
          <w:rStyle w:val="y2iqfc"/>
          <w:rFonts w:ascii="Times New Roman" w:eastAsiaTheme="majorEastAsia" w:hAnsi="Times New Roman" w:cs="Times New Roman"/>
          <w:sz w:val="22"/>
          <w:szCs w:val="22"/>
          <w:lang w:val="en"/>
        </w:rPr>
      </w:pPr>
    </w:p>
    <w:p w14:paraId="719CCE20" w14:textId="77777777" w:rsidR="00823ACD" w:rsidRPr="00DB5227" w:rsidRDefault="00823ACD" w:rsidP="00866F99">
      <w:pPr>
        <w:pStyle w:val="HTMLPreformatted"/>
        <w:ind w:firstLine="567"/>
        <w:jc w:val="both"/>
        <w:rPr>
          <w:rStyle w:val="y2iqfc"/>
          <w:rFonts w:ascii="Times New Roman" w:eastAsiaTheme="majorEastAsia" w:hAnsi="Times New Roman" w:cs="Times New Roman"/>
          <w:sz w:val="22"/>
          <w:szCs w:val="22"/>
          <w:lang w:val="en"/>
        </w:rPr>
      </w:pPr>
    </w:p>
    <w:p w14:paraId="41F65643" w14:textId="77777777" w:rsidR="00866F99" w:rsidRPr="00DB5227" w:rsidRDefault="00866F99" w:rsidP="00866F99">
      <w:pPr>
        <w:pStyle w:val="HTMLPreformatted"/>
        <w:jc w:val="both"/>
        <w:rPr>
          <w:rStyle w:val="y2iqfc"/>
          <w:rFonts w:ascii="Times New Roman" w:eastAsiaTheme="majorEastAsia" w:hAnsi="Times New Roman" w:cs="Times New Roman"/>
          <w:sz w:val="22"/>
          <w:szCs w:val="22"/>
          <w:lang w:val="en"/>
        </w:rPr>
      </w:pPr>
    </w:p>
    <w:p w14:paraId="693885F3" w14:textId="1AA82308" w:rsidR="00D455E8" w:rsidRPr="00D455E8" w:rsidRDefault="00D455E8" w:rsidP="00D455E8">
      <w:pPr>
        <w:pStyle w:val="HTMLPreformatted"/>
        <w:jc w:val="both"/>
        <w:rPr>
          <w:rStyle w:val="y2iqfc"/>
          <w:rFonts w:ascii="Times New Roman" w:eastAsiaTheme="majorEastAsia" w:hAnsi="Times New Roman" w:cs="Times New Roman"/>
          <w:sz w:val="22"/>
          <w:szCs w:val="22"/>
          <w:lang w:val="en"/>
        </w:rPr>
      </w:pPr>
      <w:r>
        <w:rPr>
          <w:rStyle w:val="y2iqfc"/>
          <w:rFonts w:ascii="Times New Roman" w:eastAsiaTheme="majorEastAsia" w:hAnsi="Times New Roman" w:cs="Times New Roman"/>
          <w:b/>
          <w:bCs/>
          <w:sz w:val="22"/>
          <w:szCs w:val="22"/>
          <w:lang w:val="en"/>
        </w:rPr>
        <w:lastRenderedPageBreak/>
        <w:t xml:space="preserve">4. </w:t>
      </w:r>
      <w:r w:rsidR="00866F99" w:rsidRPr="00DB5227">
        <w:rPr>
          <w:rStyle w:val="y2iqfc"/>
          <w:rFonts w:ascii="Times New Roman" w:eastAsiaTheme="majorEastAsia" w:hAnsi="Times New Roman" w:cs="Times New Roman"/>
          <w:b/>
          <w:bCs/>
          <w:sz w:val="22"/>
          <w:szCs w:val="22"/>
          <w:lang w:val="en"/>
        </w:rPr>
        <w:t>CONCLUSION</w:t>
      </w:r>
      <w:r>
        <w:rPr>
          <w:rStyle w:val="y2iqfc"/>
          <w:rFonts w:ascii="Times New Roman" w:eastAsiaTheme="majorEastAsia" w:hAnsi="Times New Roman" w:cs="Times New Roman"/>
          <w:b/>
          <w:bCs/>
          <w:sz w:val="22"/>
          <w:szCs w:val="22"/>
          <w:lang w:val="en"/>
        </w:rPr>
        <w:t xml:space="preserve"> AND </w:t>
      </w:r>
      <w:r w:rsidRPr="00D455E8">
        <w:rPr>
          <w:rStyle w:val="y2iqfc"/>
          <w:rFonts w:ascii="Times New Roman" w:eastAsiaTheme="majorEastAsia" w:hAnsi="Times New Roman" w:cs="Times New Roman"/>
          <w:b/>
          <w:bCs/>
          <w:sz w:val="22"/>
          <w:szCs w:val="22"/>
          <w:lang w:val="en"/>
        </w:rPr>
        <w:t>RECOMMENDATIONS</w:t>
      </w:r>
    </w:p>
    <w:p w14:paraId="07E097FE" w14:textId="52ECEE04" w:rsidR="00866F99" w:rsidRPr="00DB5227" w:rsidRDefault="00D455E8" w:rsidP="00D455E8">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4.1. Conclusion</w:t>
      </w:r>
    </w:p>
    <w:p w14:paraId="4E33B17B" w14:textId="77777777" w:rsidR="00866F99" w:rsidRPr="00DB5227" w:rsidRDefault="00866F99" w:rsidP="00866F99">
      <w:pPr>
        <w:pStyle w:val="HTMLPreformatted"/>
        <w:ind w:firstLine="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Based on the analysis and discussion presented, the following conclusions can be drawn:</w:t>
      </w:r>
    </w:p>
    <w:p w14:paraId="302C9D17" w14:textId="77777777" w:rsidR="00866F99" w:rsidRPr="00DB5227" w:rsidRDefault="00866F99" w:rsidP="002D1AE8">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 The calculation of the production cost of JATAM chips, currently used by the JATAM MSME, is based on the owner's personal assumptions. The calculated costs include raw material costs, direct labor costs, and several variable overhead costs, including the purchase of packaging, various flavored seasonings, and sachet chili sauce. However, fixed overhead costs and several other variable overhead costs, including the cost of water gallons, electricity, 3-kg gas refills, and fuel, are not included in the calculation. Using this method, the production cost of JATAM chips is Rp12,182.20 per package.</w:t>
      </w:r>
    </w:p>
    <w:p w14:paraId="3A935A4A" w14:textId="77777777" w:rsidR="00866F99" w:rsidRPr="00DB5227" w:rsidRDefault="00866F99" w:rsidP="002D1AE8">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2. The calculation using the full costing method is Rp13,077.86 per package, while the variable costing method yields a production cost of Rp12,832.20 per package.</w:t>
      </w:r>
    </w:p>
    <w:p w14:paraId="41FBA80B" w14:textId="77777777" w:rsidR="00866F99" w:rsidRPr="00DB5227" w:rsidRDefault="00866F99" w:rsidP="002D1AE8">
      <w:pPr>
        <w:pStyle w:val="HTMLPreformatted"/>
        <w:ind w:left="284" w:hanging="284"/>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3. A comparison of the calculation results shows a significant difference in production costs between the three methods. The difference in the cost of goods manufactured using the JATAM UMKM method compared to the full costing method is Rp895.66 per package. Meanwhile, the difference between the JATAM UMKM method and the variable costing method is Rp650.00 per package. The difference in the cost of goods manufactured using the full costing method compared to the variable costing method is Rp245.66.</w:t>
      </w:r>
    </w:p>
    <w:p w14:paraId="5370352C" w14:textId="77777777" w:rsidR="00866F99" w:rsidRPr="00DB5227" w:rsidRDefault="00866F99" w:rsidP="002D1AE8">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4. The calculation results show that to reach the break-even point, the JATAM MSME needs to sell 2,004.06 grams of JATAM chips per month, equivalent to 23 packages, with a minimum sales revenue of Rp400,812.00 per month to cover all production costs.</w:t>
      </w:r>
    </w:p>
    <w:p w14:paraId="12B4B5E6" w14:textId="77777777" w:rsidR="00866F99" w:rsidRPr="00DB5227" w:rsidRDefault="00866F99" w:rsidP="002D1AE8">
      <w:pPr>
        <w:pStyle w:val="HTMLPreformatted"/>
        <w:ind w:left="284" w:hanging="284"/>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5. The sensitivity of the JATAM MSME is seen based on a scenario of a 7% increase in production costs. This scenario causes the BEP for sales revenue to increase to Rp546,694.00 and the BEP for production volume to increase to 2,733.47, equivalent to 32 packages of JATAM chips. Despite the increase in BEP, the JATAM chip business remains viable because the actual revenue and production volume remain above the BEP.</w:t>
      </w:r>
    </w:p>
    <w:p w14:paraId="24EB4A91" w14:textId="15F5A287" w:rsidR="00AE06ED" w:rsidRDefault="00AE06ED" w:rsidP="002D1AE8">
      <w:pPr>
        <w:pStyle w:val="HTMLPreformatted"/>
        <w:ind w:left="284" w:hanging="284"/>
        <w:rPr>
          <w:rStyle w:val="y2iqfc"/>
          <w:rFonts w:ascii="Times New Roman" w:eastAsiaTheme="majorEastAsia" w:hAnsi="Times New Roman" w:cs="Times New Roman"/>
          <w:b/>
          <w:bCs/>
          <w:sz w:val="22"/>
          <w:szCs w:val="22"/>
          <w:lang w:val="en"/>
        </w:rPr>
      </w:pPr>
    </w:p>
    <w:p w14:paraId="779B59DE" w14:textId="4B3056DD" w:rsidR="00D455E8" w:rsidRPr="00D455E8" w:rsidRDefault="00D455E8" w:rsidP="00D455E8">
      <w:pPr>
        <w:pStyle w:val="HTMLPreformatted"/>
        <w:jc w:val="both"/>
        <w:rPr>
          <w:rStyle w:val="y2iqfc"/>
          <w:rFonts w:ascii="Times New Roman" w:eastAsiaTheme="majorEastAsia" w:hAnsi="Times New Roman" w:cs="Times New Roman"/>
          <w:b/>
          <w:bCs/>
          <w:sz w:val="22"/>
          <w:szCs w:val="22"/>
          <w:lang w:val="en"/>
        </w:rPr>
      </w:pPr>
      <w:r w:rsidRPr="00D455E8">
        <w:rPr>
          <w:rStyle w:val="y2iqfc"/>
          <w:rFonts w:ascii="Times New Roman" w:eastAsiaTheme="majorEastAsia" w:hAnsi="Times New Roman" w:cs="Times New Roman"/>
          <w:b/>
          <w:bCs/>
          <w:sz w:val="22"/>
          <w:szCs w:val="22"/>
          <w:lang w:val="en"/>
        </w:rPr>
        <w:t>4.2. Recommendations</w:t>
      </w:r>
    </w:p>
    <w:p w14:paraId="1DD39342" w14:textId="77777777" w:rsidR="00D455E8" w:rsidRPr="00D455E8" w:rsidRDefault="00D455E8" w:rsidP="00D455E8">
      <w:pPr>
        <w:pStyle w:val="HTMLPreformatted"/>
        <w:ind w:firstLine="567"/>
        <w:jc w:val="both"/>
        <w:rPr>
          <w:rStyle w:val="y2iqfc"/>
          <w:rFonts w:ascii="Times New Roman" w:eastAsiaTheme="majorEastAsia" w:hAnsi="Times New Roman" w:cs="Times New Roman"/>
          <w:sz w:val="22"/>
          <w:szCs w:val="22"/>
          <w:lang w:val="en"/>
        </w:rPr>
      </w:pPr>
      <w:r w:rsidRPr="00D455E8">
        <w:rPr>
          <w:rStyle w:val="y2iqfc"/>
          <w:rFonts w:ascii="Times New Roman" w:eastAsiaTheme="majorEastAsia" w:hAnsi="Times New Roman" w:cs="Times New Roman"/>
          <w:sz w:val="22"/>
          <w:szCs w:val="22"/>
          <w:lang w:val="en"/>
        </w:rPr>
        <w:t>Based on the study results, several recommendations can be put forward, as follows:</w:t>
      </w:r>
    </w:p>
    <w:p w14:paraId="58C51D52" w14:textId="77777777" w:rsidR="00D455E8" w:rsidRPr="00D455E8" w:rsidRDefault="00D455E8" w:rsidP="00D455E8">
      <w:pPr>
        <w:pStyle w:val="HTMLPreformatted"/>
        <w:ind w:left="284" w:hanging="284"/>
        <w:jc w:val="both"/>
        <w:rPr>
          <w:rStyle w:val="y2iqfc"/>
          <w:rFonts w:ascii="Times New Roman" w:eastAsiaTheme="majorEastAsia" w:hAnsi="Times New Roman" w:cs="Times New Roman"/>
          <w:sz w:val="22"/>
          <w:szCs w:val="22"/>
          <w:lang w:val="en"/>
        </w:rPr>
      </w:pPr>
      <w:r w:rsidRPr="00D455E8">
        <w:rPr>
          <w:rStyle w:val="y2iqfc"/>
          <w:rFonts w:ascii="Times New Roman" w:eastAsiaTheme="majorEastAsia" w:hAnsi="Times New Roman" w:cs="Times New Roman"/>
          <w:sz w:val="22"/>
          <w:szCs w:val="22"/>
          <w:lang w:val="en"/>
        </w:rPr>
        <w:t>1. JATAM MSMEs are advised to use the full costing method in determining the cost of goods manufactured, so that all production cost components can be fully and accurately accommodated. Furthermore, it is important for MSMEs to periodically calculate the break-even point and conduct sensitivity analysis to anticipate cost changes that could impact business viability.</w:t>
      </w:r>
    </w:p>
    <w:p w14:paraId="1D02C488" w14:textId="77777777" w:rsidR="00D455E8" w:rsidRPr="00D455E8" w:rsidRDefault="00D455E8" w:rsidP="00D455E8">
      <w:pPr>
        <w:pStyle w:val="HTMLPreformatted"/>
        <w:ind w:left="284" w:hanging="284"/>
        <w:jc w:val="both"/>
        <w:rPr>
          <w:rStyle w:val="y2iqfc"/>
          <w:rFonts w:ascii="Times New Roman" w:eastAsiaTheme="majorEastAsia" w:hAnsi="Times New Roman" w:cs="Times New Roman"/>
          <w:sz w:val="22"/>
          <w:szCs w:val="22"/>
          <w:lang w:val="en"/>
        </w:rPr>
      </w:pPr>
      <w:r w:rsidRPr="00D455E8">
        <w:rPr>
          <w:rStyle w:val="y2iqfc"/>
          <w:rFonts w:ascii="Times New Roman" w:eastAsiaTheme="majorEastAsia" w:hAnsi="Times New Roman" w:cs="Times New Roman"/>
          <w:sz w:val="22"/>
          <w:szCs w:val="22"/>
          <w:lang w:val="en"/>
        </w:rPr>
        <w:t>2. The government is expected to provide training and mentoring to MSMEs, particularly regarding cost accounting and business management.</w:t>
      </w:r>
    </w:p>
    <w:p w14:paraId="0E3A64E9" w14:textId="77777777" w:rsidR="00D455E8" w:rsidRPr="00D455E8" w:rsidRDefault="00D455E8" w:rsidP="00D455E8">
      <w:pPr>
        <w:pStyle w:val="HTMLPreformatted"/>
        <w:ind w:left="284" w:hanging="284"/>
        <w:jc w:val="both"/>
        <w:rPr>
          <w:rFonts w:ascii="Times New Roman" w:hAnsi="Times New Roman" w:cs="Times New Roman"/>
          <w:sz w:val="22"/>
          <w:szCs w:val="22"/>
        </w:rPr>
      </w:pPr>
      <w:r w:rsidRPr="00D455E8">
        <w:rPr>
          <w:rStyle w:val="y2iqfc"/>
          <w:rFonts w:ascii="Times New Roman" w:eastAsiaTheme="majorEastAsia" w:hAnsi="Times New Roman" w:cs="Times New Roman"/>
          <w:sz w:val="22"/>
          <w:szCs w:val="22"/>
          <w:lang w:val="en"/>
        </w:rPr>
        <w:t>3. The scope of the sensitivity analysis can be expanded by using several scenarios, such as fluctuations in product selling prices and decreases in sales revenue.</w:t>
      </w:r>
    </w:p>
    <w:p w14:paraId="6F91E147" w14:textId="77777777" w:rsidR="00D455E8" w:rsidRDefault="00D455E8" w:rsidP="008B6317">
      <w:pPr>
        <w:pStyle w:val="HTMLPreformatted"/>
        <w:rPr>
          <w:rStyle w:val="y2iqfc"/>
          <w:rFonts w:ascii="Times New Roman" w:eastAsiaTheme="majorEastAsia" w:hAnsi="Times New Roman" w:cs="Times New Roman"/>
          <w:b/>
          <w:bCs/>
          <w:sz w:val="22"/>
          <w:szCs w:val="22"/>
          <w:lang w:val="en"/>
        </w:rPr>
      </w:pPr>
    </w:p>
    <w:p w14:paraId="0B68CEBE" w14:textId="4ECFFD41" w:rsidR="007B134E" w:rsidRDefault="007B134E" w:rsidP="008B6317">
      <w:pPr>
        <w:pStyle w:val="HTMLPreformatted"/>
        <w:rPr>
          <w:rStyle w:val="y2iqfc"/>
          <w:rFonts w:ascii="Times New Roman" w:eastAsiaTheme="majorEastAsia" w:hAnsi="Times New Roman" w:cs="Times New Roman"/>
          <w:b/>
          <w:bCs/>
          <w:sz w:val="22"/>
          <w:szCs w:val="22"/>
          <w:lang w:val="en"/>
        </w:rPr>
      </w:pPr>
    </w:p>
    <w:p w14:paraId="1C33833A" w14:textId="7F3E0F06" w:rsidR="007B134E" w:rsidRDefault="007B134E" w:rsidP="008B6317">
      <w:pPr>
        <w:pStyle w:val="HTMLPreformatted"/>
        <w:rPr>
          <w:rStyle w:val="y2iqfc"/>
          <w:rFonts w:ascii="Times New Roman" w:eastAsiaTheme="majorEastAsia" w:hAnsi="Times New Roman" w:cs="Times New Roman"/>
          <w:b/>
          <w:bCs/>
          <w:sz w:val="22"/>
          <w:szCs w:val="22"/>
          <w:lang w:val="en"/>
        </w:rPr>
      </w:pPr>
    </w:p>
    <w:p w14:paraId="52EC1A47" w14:textId="77777777" w:rsidR="000E45D4" w:rsidRPr="00005ED1" w:rsidRDefault="000E45D4" w:rsidP="000E45D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6B8E657" w14:textId="77777777" w:rsidR="000E45D4" w:rsidRPr="00005ED1" w:rsidRDefault="000E45D4" w:rsidP="000E45D4">
      <w:pPr>
        <w:pStyle w:val="NoSpacing"/>
        <w:rPr>
          <w:rFonts w:ascii="Arial" w:hAnsi="Arial" w:cs="Arial"/>
          <w:highlight w:val="yellow"/>
        </w:rPr>
      </w:pPr>
    </w:p>
    <w:p w14:paraId="3E697B8F" w14:textId="77777777" w:rsidR="000E45D4" w:rsidRPr="00005ED1" w:rsidRDefault="000E45D4" w:rsidP="000E45D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7CDEDFD6" w14:textId="77777777" w:rsidR="000E45D4" w:rsidRDefault="000E45D4" w:rsidP="008B6317">
      <w:pPr>
        <w:pStyle w:val="HTMLPreformatted"/>
        <w:rPr>
          <w:rStyle w:val="y2iqfc"/>
          <w:rFonts w:ascii="Times New Roman" w:eastAsiaTheme="majorEastAsia" w:hAnsi="Times New Roman" w:cs="Times New Roman"/>
          <w:b/>
          <w:bCs/>
          <w:sz w:val="22"/>
          <w:szCs w:val="22"/>
          <w:lang w:val="en"/>
        </w:rPr>
      </w:pPr>
    </w:p>
    <w:p w14:paraId="415372BB" w14:textId="702E3327" w:rsidR="008B6317" w:rsidRPr="00DB5227" w:rsidRDefault="00D455E8" w:rsidP="008B6317">
      <w:pPr>
        <w:pStyle w:val="HTMLPreformatted"/>
        <w:rPr>
          <w:rStyle w:val="y2iqfc"/>
          <w:rFonts w:ascii="Times New Roman" w:eastAsiaTheme="majorEastAsia" w:hAnsi="Times New Roman" w:cs="Times New Roman"/>
          <w:b/>
          <w:bCs/>
          <w:sz w:val="22"/>
          <w:szCs w:val="22"/>
          <w:lang w:val="en"/>
        </w:rPr>
      </w:pPr>
      <w:r>
        <w:rPr>
          <w:rStyle w:val="y2iqfc"/>
          <w:rFonts w:ascii="Times New Roman" w:eastAsiaTheme="majorEastAsia" w:hAnsi="Times New Roman" w:cs="Times New Roman"/>
          <w:b/>
          <w:bCs/>
          <w:sz w:val="22"/>
          <w:szCs w:val="22"/>
          <w:lang w:val="en"/>
        </w:rPr>
        <w:t>REFERENCES</w:t>
      </w:r>
    </w:p>
    <w:p w14:paraId="3965394A" w14:textId="4F0A8742"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 Sonia, F. P., Sayekti, W. D., &amp; Prasmatiwi</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 xml:space="preserve"> F. E. 2023. Business Profits, Cost of Goods Sold (HPP), and Consumer Satisfaction of the Instant Ginger Agroindustry in the Harapan Jaya Women's Farmers Group (KWT) in Bandar Lampung City. Agroinfo Galuh Student Scientific Journal. Vol. 10, No. 2: 1370-1382.</w:t>
      </w:r>
    </w:p>
    <w:p w14:paraId="7B539F0D"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lastRenderedPageBreak/>
        <w:t>[2] Institute for Development of Economics and Finance. 2021. Evaluation of the Indonesian Economy 2021: MSMEs and the Digital Economy.</w:t>
      </w:r>
    </w:p>
    <w:p w14:paraId="5209A763"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[3] Sujarweni, V. W. Accounting for MSMEs (Micro, Small, and Medium Enterprises). Pustaka Baru Press. Yogyakarta.</w:t>
      </w:r>
    </w:p>
    <w:p w14:paraId="0E195716"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[4] Ministry of Cooperatives and SMEs. 2019. Development of Micro, Small, and Medium Enterprises (MSMEs) and Large Enterprises (UB) Data 2015-2019. https://www.kemenkopukm.go.id/data-umkm</w:t>
      </w:r>
    </w:p>
    <w:p w14:paraId="7D2EA268"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[5] Central Statistics Agency. 2023. Gross Regional Domestic Product of East Kalimantan Province by Business Sector 2019-2023.</w:t>
      </w:r>
    </w:p>
    <w:p w14:paraId="01197190"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[6] Ristika, W., Bafadal, A., and Zani, M. Analysis of Added Value of Oyster Mushroom Processing in Palangga District, South Konawe Regency (Case Study of Mushroom Chips Business). Vol. 4, No. 3: 16617–16629.</w:t>
      </w:r>
    </w:p>
    <w:p w14:paraId="48264581"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[7] Central Statistics Agency. 2023. Statistics of Vegetables and Fruits in East Kalimantan Province 2022. Volume 22.</w:t>
      </w:r>
    </w:p>
    <w:p w14:paraId="7F45356F"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[8] Mulyadi. 2023 Cost Accounting. Fifth Edition. UPP STIM YKPN. Yogyakarta City.</w:t>
      </w:r>
    </w:p>
    <w:p w14:paraId="1D1FEB3F" w14:textId="40046416"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[9] Romadlon, C. G., and Sujud, F. A. 2024.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Analysis in Determining Profit Projections at the D'Bantar Bamboo Craft Grocery Store, Mandiraja District, Banjarnegara Regency. Tanbih Journal. Vol. 1, No. 2.</w:t>
      </w:r>
    </w:p>
    <w:p w14:paraId="6C90968B" w14:textId="73922941" w:rsidR="008B6317" w:rsidRPr="00DB5227" w:rsidRDefault="008B6317" w:rsidP="008B6317">
      <w:pPr>
        <w:pStyle w:val="HTMLPreformatted"/>
        <w:ind w:left="567" w:hanging="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[10] Khasana, U. 2024. Break</w:t>
      </w:r>
      <w:r w:rsidR="00555088">
        <w:rPr>
          <w:rStyle w:val="y2iqfc"/>
          <w:rFonts w:ascii="Times New Roman" w:eastAsiaTheme="majorEastAsia" w:hAnsi="Times New Roman" w:cs="Times New Roman"/>
          <w:sz w:val="22"/>
          <w:szCs w:val="22"/>
          <w:lang w:val="en"/>
        </w:rPr>
        <w:t>-</w:t>
      </w:r>
      <w:r w:rsidRPr="00DB5227">
        <w:rPr>
          <w:rStyle w:val="y2iqfc"/>
          <w:rFonts w:ascii="Times New Roman" w:eastAsiaTheme="majorEastAsia" w:hAnsi="Times New Roman" w:cs="Times New Roman"/>
          <w:sz w:val="22"/>
          <w:szCs w:val="22"/>
          <w:lang w:val="en"/>
        </w:rPr>
        <w:t>Even Point (BEP) Analysis and Income Sensitivity of Rice Farming (Case Study of the Hati Mulia Farmer Group in Cakura Village, Polongbangkeng Selatan District, Takalar Regency). Thesis. Faculty of Agriculture. Muhammadiyah University of Makassar.</w:t>
      </w:r>
    </w:p>
    <w:p w14:paraId="62BB3122" w14:textId="01FB5ABB" w:rsidR="008B631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 xml:space="preserve">[11] Rahayu, N, </w:t>
      </w:r>
      <w:r w:rsidR="00555088">
        <w:rPr>
          <w:rStyle w:val="y2iqfc"/>
          <w:rFonts w:ascii="Times New Roman" w:eastAsiaTheme="majorEastAsia" w:hAnsi="Times New Roman" w:cs="Times New Roman"/>
          <w:sz w:val="22"/>
          <w:szCs w:val="22"/>
          <w:lang w:val="en"/>
        </w:rPr>
        <w:t>N.S.</w:t>
      </w:r>
      <w:r w:rsidRPr="00DB5227">
        <w:rPr>
          <w:rStyle w:val="y2iqfc"/>
          <w:rFonts w:ascii="Times New Roman" w:eastAsiaTheme="majorEastAsia" w:hAnsi="Times New Roman" w:cs="Times New Roman"/>
          <w:sz w:val="22"/>
          <w:szCs w:val="22"/>
          <w:lang w:val="en"/>
        </w:rPr>
        <w:t xml:space="preserve">, </w:t>
      </w:r>
      <w:r w:rsidR="00555088">
        <w:rPr>
          <w:rStyle w:val="y2iqfc"/>
          <w:rFonts w:ascii="Times New Roman" w:eastAsiaTheme="majorEastAsia" w:hAnsi="Times New Roman" w:cs="Times New Roman"/>
          <w:sz w:val="22"/>
          <w:szCs w:val="22"/>
          <w:lang w:val="en"/>
        </w:rPr>
        <w:t>N.S.</w:t>
      </w:r>
      <w:r w:rsidRPr="00DB5227">
        <w:rPr>
          <w:rStyle w:val="y2iqfc"/>
          <w:rFonts w:ascii="Times New Roman" w:eastAsiaTheme="majorEastAsia" w:hAnsi="Times New Roman" w:cs="Times New Roman"/>
          <w:sz w:val="22"/>
          <w:szCs w:val="22"/>
          <w:lang w:val="en"/>
        </w:rPr>
        <w:t xml:space="preserve">M., Nuryaman, H., Suyadi, &amp; Mutiarasari, N, R. 2024. Cost of Production, Break-Even Point, and Sensitivity of Honje Processing </w:t>
      </w:r>
      <w:proofErr w:type="gramStart"/>
      <w:r w:rsidRPr="00DB5227">
        <w:rPr>
          <w:rStyle w:val="y2iqfc"/>
          <w:rFonts w:ascii="Times New Roman" w:eastAsiaTheme="majorEastAsia" w:hAnsi="Times New Roman" w:cs="Times New Roman"/>
          <w:sz w:val="22"/>
          <w:szCs w:val="22"/>
          <w:lang w:val="en"/>
        </w:rPr>
        <w:t>Into</w:t>
      </w:r>
      <w:proofErr w:type="gramEnd"/>
      <w:r w:rsidRPr="00DB5227">
        <w:rPr>
          <w:rStyle w:val="y2iqfc"/>
          <w:rFonts w:ascii="Times New Roman" w:eastAsiaTheme="majorEastAsia" w:hAnsi="Times New Roman" w:cs="Times New Roman"/>
          <w:sz w:val="22"/>
          <w:szCs w:val="22"/>
          <w:lang w:val="en"/>
        </w:rPr>
        <w:t xml:space="preserve"> Honjo Juice. IOP Conference Series: Earth and Environmental Science. 1-9.</w:t>
      </w:r>
    </w:p>
    <w:p w14:paraId="52E90DFE" w14:textId="1EF32AD6" w:rsidR="00D455E8" w:rsidRPr="00DB5227" w:rsidRDefault="00D455E8" w:rsidP="00823ACD">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w:t>
      </w:r>
      <w:r>
        <w:rPr>
          <w:rStyle w:val="y2iqfc"/>
          <w:rFonts w:ascii="Times New Roman" w:eastAsiaTheme="majorEastAsia" w:hAnsi="Times New Roman" w:cs="Times New Roman"/>
          <w:sz w:val="22"/>
          <w:szCs w:val="22"/>
          <w:lang w:val="en"/>
        </w:rPr>
        <w:t>2</w:t>
      </w:r>
      <w:r w:rsidRPr="00DB5227">
        <w:rPr>
          <w:rStyle w:val="y2iqfc"/>
          <w:rFonts w:ascii="Times New Roman" w:eastAsiaTheme="majorEastAsia" w:hAnsi="Times New Roman" w:cs="Times New Roman"/>
          <w:sz w:val="22"/>
          <w:szCs w:val="22"/>
          <w:lang w:val="en"/>
        </w:rPr>
        <w:t>] BPS. 2022. Analysis of the Indonesian Population Profile 2020. https://www.bps.go.id/id/publication/2022/06/24/ea52f6a38d3913a5bc557c5f/analisis-profil-penduduk-indonesia.html.</w:t>
      </w:r>
    </w:p>
    <w:p w14:paraId="4258D3CC" w14:textId="4C47B5B1"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w:t>
      </w:r>
      <w:r w:rsidR="00823ACD">
        <w:rPr>
          <w:rStyle w:val="y2iqfc"/>
          <w:rFonts w:ascii="Times New Roman" w:eastAsiaTheme="majorEastAsia" w:hAnsi="Times New Roman" w:cs="Times New Roman"/>
          <w:sz w:val="22"/>
          <w:szCs w:val="22"/>
          <w:lang w:val="en"/>
        </w:rPr>
        <w:t>3</w:t>
      </w:r>
      <w:r w:rsidRPr="00DB5227">
        <w:rPr>
          <w:rStyle w:val="y2iqfc"/>
          <w:rFonts w:ascii="Times New Roman" w:eastAsiaTheme="majorEastAsia" w:hAnsi="Times New Roman" w:cs="Times New Roman"/>
          <w:sz w:val="22"/>
          <w:szCs w:val="22"/>
          <w:lang w:val="en"/>
        </w:rPr>
        <w:t>] Mulyadi. 2023. Cost Accounting. Fifth Edition. UPP STIM YKPN. Yogyakarta City.</w:t>
      </w:r>
    </w:p>
    <w:p w14:paraId="64C208E8" w14:textId="3093F37E"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w:t>
      </w:r>
      <w:r w:rsidR="00823ACD">
        <w:rPr>
          <w:rStyle w:val="y2iqfc"/>
          <w:rFonts w:ascii="Times New Roman" w:eastAsiaTheme="majorEastAsia" w:hAnsi="Times New Roman" w:cs="Times New Roman"/>
          <w:sz w:val="22"/>
          <w:szCs w:val="22"/>
          <w:lang w:val="en"/>
        </w:rPr>
        <w:t>4</w:t>
      </w:r>
      <w:r w:rsidRPr="00DB5227">
        <w:rPr>
          <w:rStyle w:val="y2iqfc"/>
          <w:rFonts w:ascii="Times New Roman" w:eastAsiaTheme="majorEastAsia" w:hAnsi="Times New Roman" w:cs="Times New Roman"/>
          <w:sz w:val="22"/>
          <w:szCs w:val="22"/>
          <w:lang w:val="en"/>
        </w:rPr>
        <w:t>] Anggraini, N., et al. 2022. Introduction to Microeconomics (Theory and Practice). First Edition. Widina Media Utama. Bandung.</w:t>
      </w:r>
    </w:p>
    <w:p w14:paraId="63A46751" w14:textId="475DAD05"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[15] Pasapan, V W., Pusung, R J., Maradesa, D. 2023. Analysis of Full Costing and Variable Costing Methods in Determining the Cost of Production of Jackfruit Seed Boba at the Subin Mood Boba MSME. EMBA Journal. Vol. 11, No. 2: 453-463.</w:t>
      </w:r>
    </w:p>
    <w:p w14:paraId="351C772E" w14:textId="77777777" w:rsidR="008B6317" w:rsidRPr="00DB5227" w:rsidRDefault="008B6317" w:rsidP="008B6317">
      <w:pPr>
        <w:pStyle w:val="HTMLPreformatted"/>
        <w:ind w:left="567" w:hanging="567"/>
        <w:jc w:val="both"/>
        <w:rPr>
          <w:rStyle w:val="y2iqfc"/>
          <w:rFonts w:ascii="Times New Roman" w:eastAsiaTheme="majorEastAsia" w:hAnsi="Times New Roman" w:cs="Times New Roman"/>
          <w:sz w:val="22"/>
          <w:szCs w:val="22"/>
          <w:lang w:val="en"/>
        </w:rPr>
      </w:pPr>
      <w:r w:rsidRPr="00DB5227">
        <w:rPr>
          <w:rStyle w:val="y2iqfc"/>
          <w:rFonts w:ascii="Times New Roman" w:eastAsiaTheme="majorEastAsia" w:hAnsi="Times New Roman" w:cs="Times New Roman"/>
          <w:sz w:val="22"/>
          <w:szCs w:val="22"/>
          <w:lang w:val="en"/>
        </w:rPr>
        <w:t>[16] Mahardika, P.I. 2018. Cost Accounting: A Complete Guide to Cost Analysis and Calculation of Cost of Production, First Edition. Quadrant. Yogyakarta City.</w:t>
      </w:r>
    </w:p>
    <w:p w14:paraId="2014E7A5" w14:textId="77777777" w:rsidR="008B6317" w:rsidRPr="00DB5227" w:rsidRDefault="008B6317" w:rsidP="008B6317">
      <w:pPr>
        <w:pStyle w:val="HTMLPreformatted"/>
        <w:ind w:left="567" w:hanging="567"/>
        <w:jc w:val="both"/>
        <w:rPr>
          <w:rFonts w:ascii="Times New Roman" w:hAnsi="Times New Roman" w:cs="Times New Roman"/>
          <w:sz w:val="22"/>
          <w:szCs w:val="22"/>
        </w:rPr>
      </w:pPr>
      <w:r w:rsidRPr="00DB5227">
        <w:rPr>
          <w:rStyle w:val="y2iqfc"/>
          <w:rFonts w:ascii="Times New Roman" w:eastAsiaTheme="majorEastAsia" w:hAnsi="Times New Roman" w:cs="Times New Roman"/>
          <w:sz w:val="22"/>
          <w:szCs w:val="22"/>
          <w:lang w:val="en"/>
        </w:rPr>
        <w:t>[17] Bank Indonesia. Inflation Statistics Data November 2022-December 2024. Central Bank of the Republic of Indonesia. https://www.bi.go.id/id/statistik/indikator/data-inflasi.aspx.</w:t>
      </w:r>
    </w:p>
    <w:p w14:paraId="2692F2BD" w14:textId="77777777" w:rsidR="008B6317" w:rsidRPr="00DB5227" w:rsidRDefault="008B6317" w:rsidP="008B6317">
      <w:pPr>
        <w:pStyle w:val="HTMLPreformatted"/>
        <w:ind w:left="567" w:hanging="567"/>
        <w:jc w:val="both"/>
        <w:rPr>
          <w:rFonts w:ascii="Times New Roman" w:hAnsi="Times New Roman" w:cs="Times New Roman"/>
          <w:sz w:val="22"/>
          <w:szCs w:val="22"/>
        </w:rPr>
      </w:pPr>
    </w:p>
    <w:p w14:paraId="368324CF" w14:textId="77777777" w:rsidR="008B6317" w:rsidRPr="00DB5227" w:rsidRDefault="008B6317" w:rsidP="00866F99">
      <w:pPr>
        <w:pStyle w:val="HTMLPreformatted"/>
        <w:ind w:left="426" w:hanging="426"/>
        <w:jc w:val="both"/>
        <w:rPr>
          <w:rFonts w:ascii="Times New Roman" w:hAnsi="Times New Roman" w:cs="Times New Roman"/>
          <w:sz w:val="22"/>
          <w:szCs w:val="22"/>
        </w:rPr>
      </w:pPr>
    </w:p>
    <w:p w14:paraId="2B746141" w14:textId="77777777" w:rsidR="00866F99" w:rsidRPr="00DB5227" w:rsidRDefault="00866F99" w:rsidP="00866F99">
      <w:pPr>
        <w:pStyle w:val="HTMLPreformatted"/>
        <w:ind w:left="426" w:hanging="426"/>
        <w:jc w:val="both"/>
        <w:rPr>
          <w:rFonts w:ascii="Times New Roman" w:hAnsi="Times New Roman" w:cs="Times New Roman"/>
          <w:sz w:val="22"/>
          <w:szCs w:val="22"/>
        </w:rPr>
      </w:pPr>
    </w:p>
    <w:p w14:paraId="0C10986C" w14:textId="77777777" w:rsidR="00547FB6" w:rsidRPr="00DB5227" w:rsidRDefault="00547FB6" w:rsidP="00547FB6">
      <w:pPr>
        <w:spacing w:before="240" w:after="0" w:line="240" w:lineRule="auto"/>
        <w:jc w:val="both"/>
        <w:rPr>
          <w:rFonts w:ascii="Times New Roman" w:hAnsi="Times New Roman" w:cs="Times New Roman"/>
        </w:rPr>
      </w:pPr>
    </w:p>
    <w:p w14:paraId="73B4201A" w14:textId="77777777" w:rsidR="00547FB6" w:rsidRPr="00DB5227" w:rsidRDefault="00547FB6" w:rsidP="00547FB6">
      <w:pPr>
        <w:spacing w:before="240" w:after="0" w:line="240" w:lineRule="auto"/>
        <w:jc w:val="center"/>
        <w:rPr>
          <w:rFonts w:ascii="Times New Roman" w:hAnsi="Times New Roman" w:cs="Times New Roman"/>
          <w:i/>
          <w:iCs/>
        </w:rPr>
      </w:pPr>
    </w:p>
    <w:p w14:paraId="394C5998" w14:textId="591455DC" w:rsidR="00866F99" w:rsidRPr="00DB5227" w:rsidRDefault="00866F99" w:rsidP="00866F99">
      <w:pPr>
        <w:widowControl w:val="0"/>
        <w:autoSpaceDE w:val="0"/>
        <w:autoSpaceDN w:val="0"/>
        <w:adjustRightInd w:val="0"/>
        <w:spacing w:after="0" w:line="240" w:lineRule="auto"/>
        <w:rPr>
          <w:rFonts w:ascii="Times New Roman" w:hAnsi="Times New Roman" w:cs="Times New Roman"/>
        </w:rPr>
        <w:sectPr w:rsidR="00866F99" w:rsidRPr="00DB5227" w:rsidSect="00866F99">
          <w:headerReference w:type="even" r:id="rId9"/>
          <w:headerReference w:type="default" r:id="rId10"/>
          <w:footerReference w:type="even" r:id="rId11"/>
          <w:footerReference w:type="default" r:id="rId12"/>
          <w:headerReference w:type="first" r:id="rId13"/>
          <w:footerReference w:type="first" r:id="rId14"/>
          <w:pgSz w:w="11910" w:h="16840"/>
          <w:pgMar w:top="1701" w:right="1701" w:bottom="1701" w:left="1701" w:header="720" w:footer="720" w:gutter="0"/>
          <w:cols w:space="286"/>
          <w:docGrid w:linePitch="299"/>
        </w:sectPr>
      </w:pPr>
    </w:p>
    <w:p w14:paraId="4A6CF23E" w14:textId="77777777" w:rsidR="00866F99" w:rsidRPr="00DB5227" w:rsidRDefault="00866F99" w:rsidP="00193D39">
      <w:pPr>
        <w:pStyle w:val="HTMLPreformatted"/>
        <w:rPr>
          <w:rStyle w:val="y2iqfc"/>
          <w:rFonts w:ascii="Times New Roman" w:eastAsiaTheme="majorEastAsia" w:hAnsi="Times New Roman" w:cs="Times New Roman"/>
          <w:sz w:val="22"/>
          <w:szCs w:val="22"/>
          <w:lang w:val="en"/>
        </w:rPr>
      </w:pPr>
    </w:p>
    <w:sectPr w:rsidR="00866F99" w:rsidRPr="00DB52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2BE1" w14:textId="77777777" w:rsidR="00EE4DFF" w:rsidRDefault="00EE4DFF" w:rsidP="00D37E5B">
      <w:pPr>
        <w:spacing w:after="0" w:line="240" w:lineRule="auto"/>
      </w:pPr>
      <w:r>
        <w:separator/>
      </w:r>
    </w:p>
  </w:endnote>
  <w:endnote w:type="continuationSeparator" w:id="0">
    <w:p w14:paraId="111694B0" w14:textId="77777777" w:rsidR="00EE4DFF" w:rsidRDefault="00EE4DFF" w:rsidP="00D3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A5E5F" w14:textId="77777777" w:rsidR="00D37E5B" w:rsidRDefault="00D3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017C" w14:textId="77777777" w:rsidR="00D37E5B" w:rsidRDefault="00D37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8C78" w14:textId="77777777" w:rsidR="00D37E5B" w:rsidRDefault="00D3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B8F8" w14:textId="77777777" w:rsidR="00EE4DFF" w:rsidRDefault="00EE4DFF" w:rsidP="00D37E5B">
      <w:pPr>
        <w:spacing w:after="0" w:line="240" w:lineRule="auto"/>
      </w:pPr>
      <w:r>
        <w:separator/>
      </w:r>
    </w:p>
  </w:footnote>
  <w:footnote w:type="continuationSeparator" w:id="0">
    <w:p w14:paraId="2912950C" w14:textId="77777777" w:rsidR="00EE4DFF" w:rsidRDefault="00EE4DFF" w:rsidP="00D37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9532" w14:textId="12AA6193" w:rsidR="00D37E5B" w:rsidRDefault="00D455E8">
    <w:pPr>
      <w:pStyle w:val="Header"/>
    </w:pPr>
    <w:r>
      <w:rPr>
        <w:noProof/>
      </w:rPr>
      <w:pict w14:anchorId="6CB26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6" o:spid="_x0000_s1026" type="#_x0000_t136" style="position:absolute;margin-left:0;margin-top:0;width:504.55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6A47" w14:textId="3E5FBD5E" w:rsidR="00D37E5B" w:rsidRDefault="00D455E8">
    <w:pPr>
      <w:pStyle w:val="Header"/>
    </w:pPr>
    <w:r>
      <w:rPr>
        <w:noProof/>
      </w:rPr>
      <w:pict w14:anchorId="01FF6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7" o:spid="_x0000_s1027" type="#_x0000_t136" style="position:absolute;margin-left:0;margin-top:0;width:504.55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7E36" w14:textId="0171562F" w:rsidR="00D37E5B" w:rsidRDefault="00D455E8">
    <w:pPr>
      <w:pStyle w:val="Header"/>
    </w:pPr>
    <w:r>
      <w:rPr>
        <w:noProof/>
      </w:rPr>
      <w:pict w14:anchorId="38431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314125" o:spid="_x0000_s1025" type="#_x0000_t136" style="position:absolute;margin-left:0;margin-top:0;width:504.55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1A20"/>
    <w:multiLevelType w:val="hybridMultilevel"/>
    <w:tmpl w:val="8F7CFA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3E93004"/>
    <w:multiLevelType w:val="multilevel"/>
    <w:tmpl w:val="6E2643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7D3413"/>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3D505A"/>
    <w:multiLevelType w:val="hybridMultilevel"/>
    <w:tmpl w:val="C5E21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F1D25"/>
    <w:multiLevelType w:val="multilevel"/>
    <w:tmpl w:val="9336E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3F03BC"/>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7B2E7C"/>
    <w:multiLevelType w:val="hybridMultilevel"/>
    <w:tmpl w:val="8F7CFA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836087">
    <w:abstractNumId w:val="3"/>
  </w:num>
  <w:num w:numId="2" w16cid:durableId="1515458757">
    <w:abstractNumId w:val="0"/>
  </w:num>
  <w:num w:numId="3" w16cid:durableId="635333757">
    <w:abstractNumId w:val="6"/>
  </w:num>
  <w:num w:numId="4" w16cid:durableId="19211135">
    <w:abstractNumId w:val="2"/>
  </w:num>
  <w:num w:numId="5" w16cid:durableId="1809476324">
    <w:abstractNumId w:val="5"/>
  </w:num>
  <w:num w:numId="6" w16cid:durableId="546602998">
    <w:abstractNumId w:val="4"/>
  </w:num>
  <w:num w:numId="7" w16cid:durableId="1702128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zNDc3NzM1tjC1NLBQ0lEKTi0uzszPAykwrQUAXU5qoywAAAA="/>
  </w:docVars>
  <w:rsids>
    <w:rsidRoot w:val="00BA6C97"/>
    <w:rsid w:val="00092E4C"/>
    <w:rsid w:val="000E45D4"/>
    <w:rsid w:val="000E6436"/>
    <w:rsid w:val="00181718"/>
    <w:rsid w:val="00193D39"/>
    <w:rsid w:val="0027436A"/>
    <w:rsid w:val="002D1AE8"/>
    <w:rsid w:val="004B6C89"/>
    <w:rsid w:val="00547FB6"/>
    <w:rsid w:val="00555088"/>
    <w:rsid w:val="00585BC1"/>
    <w:rsid w:val="005B214E"/>
    <w:rsid w:val="00673F41"/>
    <w:rsid w:val="006A06AA"/>
    <w:rsid w:val="00712FA1"/>
    <w:rsid w:val="007B134E"/>
    <w:rsid w:val="00823ACD"/>
    <w:rsid w:val="00866F99"/>
    <w:rsid w:val="008B6317"/>
    <w:rsid w:val="00975D60"/>
    <w:rsid w:val="00AE06ED"/>
    <w:rsid w:val="00B22076"/>
    <w:rsid w:val="00B63F55"/>
    <w:rsid w:val="00BA6C97"/>
    <w:rsid w:val="00C4504F"/>
    <w:rsid w:val="00C7259E"/>
    <w:rsid w:val="00C76E19"/>
    <w:rsid w:val="00D37E5B"/>
    <w:rsid w:val="00D455E8"/>
    <w:rsid w:val="00D4634F"/>
    <w:rsid w:val="00DB5227"/>
    <w:rsid w:val="00DD2147"/>
    <w:rsid w:val="00DF5477"/>
    <w:rsid w:val="00E34634"/>
    <w:rsid w:val="00E61128"/>
    <w:rsid w:val="00E93652"/>
    <w:rsid w:val="00EE4DFF"/>
    <w:rsid w:val="00F01DD9"/>
    <w:rsid w:val="00F27A0A"/>
    <w:rsid w:val="00F52F88"/>
    <w:rsid w:val="00F60404"/>
    <w:rsid w:val="00FC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0271A"/>
  <w15:chartTrackingRefBased/>
  <w15:docId w15:val="{0F45F560-8867-4305-A87A-2530E639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C9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6C9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6C9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6C9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6C9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C9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6C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6C9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6C9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6C9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C97"/>
    <w:rPr>
      <w:rFonts w:eastAsiaTheme="majorEastAsia" w:cstheme="majorBidi"/>
      <w:color w:val="272727" w:themeColor="text1" w:themeTint="D8"/>
    </w:rPr>
  </w:style>
  <w:style w:type="paragraph" w:styleId="Title">
    <w:name w:val="Title"/>
    <w:basedOn w:val="Normal"/>
    <w:next w:val="Normal"/>
    <w:link w:val="TitleChar"/>
    <w:uiPriority w:val="10"/>
    <w:qFormat/>
    <w:rsid w:val="00BA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C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C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C97"/>
    <w:rPr>
      <w:i/>
      <w:iCs/>
      <w:color w:val="404040" w:themeColor="text1" w:themeTint="BF"/>
    </w:rPr>
  </w:style>
  <w:style w:type="paragraph" w:styleId="ListParagraph">
    <w:name w:val="List Paragraph"/>
    <w:basedOn w:val="Normal"/>
    <w:uiPriority w:val="34"/>
    <w:qFormat/>
    <w:rsid w:val="00BA6C97"/>
    <w:pPr>
      <w:ind w:left="720"/>
      <w:contextualSpacing/>
    </w:pPr>
  </w:style>
  <w:style w:type="character" w:styleId="IntenseEmphasis">
    <w:name w:val="Intense Emphasis"/>
    <w:basedOn w:val="DefaultParagraphFont"/>
    <w:uiPriority w:val="21"/>
    <w:qFormat/>
    <w:rsid w:val="00BA6C97"/>
    <w:rPr>
      <w:i/>
      <w:iCs/>
      <w:color w:val="365F91" w:themeColor="accent1" w:themeShade="BF"/>
    </w:rPr>
  </w:style>
  <w:style w:type="paragraph" w:styleId="IntenseQuote">
    <w:name w:val="Intense Quote"/>
    <w:basedOn w:val="Normal"/>
    <w:next w:val="Normal"/>
    <w:link w:val="IntenseQuoteChar"/>
    <w:uiPriority w:val="30"/>
    <w:qFormat/>
    <w:rsid w:val="00BA6C9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C97"/>
    <w:rPr>
      <w:i/>
      <w:iCs/>
      <w:color w:val="365F91" w:themeColor="accent1" w:themeShade="BF"/>
    </w:rPr>
  </w:style>
  <w:style w:type="character" w:styleId="IntenseReference">
    <w:name w:val="Intense Reference"/>
    <w:basedOn w:val="DefaultParagraphFont"/>
    <w:uiPriority w:val="32"/>
    <w:qFormat/>
    <w:rsid w:val="00BA6C97"/>
    <w:rPr>
      <w:b/>
      <w:bCs/>
      <w:smallCaps/>
      <w:color w:val="365F91" w:themeColor="accent1" w:themeShade="BF"/>
      <w:spacing w:val="5"/>
    </w:rPr>
  </w:style>
  <w:style w:type="paragraph" w:styleId="HTMLPreformatted">
    <w:name w:val="HTML Preformatted"/>
    <w:basedOn w:val="Normal"/>
    <w:link w:val="HTMLPreformattedChar"/>
    <w:uiPriority w:val="99"/>
    <w:unhideWhenUsed/>
    <w:rsid w:val="00BA6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6C97"/>
    <w:rPr>
      <w:rFonts w:ascii="Courier New" w:eastAsia="Times New Roman" w:hAnsi="Courier New" w:cs="Courier New"/>
      <w:sz w:val="20"/>
      <w:szCs w:val="20"/>
    </w:rPr>
  </w:style>
  <w:style w:type="character" w:customStyle="1" w:styleId="y2iqfc">
    <w:name w:val="y2iqfc"/>
    <w:basedOn w:val="DefaultParagraphFont"/>
    <w:rsid w:val="00BA6C97"/>
  </w:style>
  <w:style w:type="table" w:styleId="TableGrid">
    <w:name w:val="Table Grid"/>
    <w:basedOn w:val="TableNormal"/>
    <w:uiPriority w:val="39"/>
    <w:rsid w:val="005B214E"/>
    <w:pPr>
      <w:spacing w:after="0" w:line="240" w:lineRule="auto"/>
    </w:pPr>
    <w:rPr>
      <w:kern w:val="2"/>
      <w:szCs w:val="28"/>
      <w:lang w:val="id-ID"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227"/>
    <w:rPr>
      <w:color w:val="0000FF" w:themeColor="hyperlink"/>
      <w:u w:val="single"/>
    </w:rPr>
  </w:style>
  <w:style w:type="character" w:customStyle="1" w:styleId="Bodytext2Exact">
    <w:name w:val="Body text (2) Exact"/>
    <w:basedOn w:val="DefaultParagraphFont"/>
    <w:rsid w:val="00DB5227"/>
    <w:rPr>
      <w:rFonts w:ascii="Times New Roman" w:eastAsia="Times New Roman" w:hAnsi="Times New Roman" w:cs="Times New Roman"/>
      <w:b w:val="0"/>
      <w:bCs w:val="0"/>
      <w:i w:val="0"/>
      <w:iCs w:val="0"/>
      <w:smallCaps w:val="0"/>
      <w:strike w:val="0"/>
      <w:u w:val="none"/>
    </w:rPr>
  </w:style>
  <w:style w:type="paragraph" w:styleId="Header">
    <w:name w:val="header"/>
    <w:basedOn w:val="Normal"/>
    <w:link w:val="HeaderChar"/>
    <w:uiPriority w:val="99"/>
    <w:unhideWhenUsed/>
    <w:rsid w:val="00DB5227"/>
    <w:pPr>
      <w:tabs>
        <w:tab w:val="center" w:pos="4513"/>
        <w:tab w:val="right" w:pos="9026"/>
      </w:tabs>
      <w:spacing w:after="0" w:line="240" w:lineRule="auto"/>
    </w:pPr>
    <w:rPr>
      <w:kern w:val="2"/>
      <w:szCs w:val="28"/>
      <w:lang w:val="id-ID" w:bidi="th-TH"/>
      <w14:ligatures w14:val="standardContextual"/>
    </w:rPr>
  </w:style>
  <w:style w:type="character" w:customStyle="1" w:styleId="HeaderChar">
    <w:name w:val="Header Char"/>
    <w:basedOn w:val="DefaultParagraphFont"/>
    <w:link w:val="Header"/>
    <w:uiPriority w:val="99"/>
    <w:rsid w:val="00DB5227"/>
    <w:rPr>
      <w:kern w:val="2"/>
      <w:szCs w:val="28"/>
      <w:lang w:val="id-ID" w:bidi="th-TH"/>
      <w14:ligatures w14:val="standardContextual"/>
    </w:rPr>
  </w:style>
  <w:style w:type="character" w:styleId="UnresolvedMention">
    <w:name w:val="Unresolved Mention"/>
    <w:basedOn w:val="DefaultParagraphFont"/>
    <w:uiPriority w:val="99"/>
    <w:semiHidden/>
    <w:unhideWhenUsed/>
    <w:rsid w:val="00DB5227"/>
    <w:rPr>
      <w:color w:val="605E5C"/>
      <w:shd w:val="clear" w:color="auto" w:fill="E1DFDD"/>
    </w:rPr>
  </w:style>
  <w:style w:type="paragraph" w:styleId="Footer">
    <w:name w:val="footer"/>
    <w:basedOn w:val="Normal"/>
    <w:link w:val="FooterChar"/>
    <w:uiPriority w:val="99"/>
    <w:unhideWhenUsed/>
    <w:rsid w:val="00D37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5B"/>
  </w:style>
  <w:style w:type="paragraph" w:styleId="NoSpacing">
    <w:name w:val="No Spacing"/>
    <w:uiPriority w:val="1"/>
    <w:qFormat/>
    <w:rsid w:val="000E45D4"/>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4718</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ACERE5473G</dc:creator>
  <cp:keywords/>
  <dc:description/>
  <cp:lastModifiedBy>ACERE5473G</cp:lastModifiedBy>
  <cp:revision>4</cp:revision>
  <dcterms:created xsi:type="dcterms:W3CDTF">2026-01-12T21:03:00Z</dcterms:created>
  <dcterms:modified xsi:type="dcterms:W3CDTF">2026-01-13T22:30:00Z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4db0976f-5078-4dba-a50c-c8c155114c07</vt:lpwstr>
  </property>
</Properties>
</file>