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8C" w:rsidRDefault="0055688C" w:rsidP="0055688C">
      <w:pPr>
        <w:spacing w:line="360" w:lineRule="auto"/>
        <w:jc w:val="right"/>
        <w:rPr>
          <w:rFonts w:ascii="Times New Roman" w:hAnsi="Times New Roman"/>
          <w:sz w:val="28"/>
          <w:szCs w:val="28"/>
        </w:rPr>
      </w:pPr>
      <w:bookmarkStart w:id="0" w:name="_GoBack"/>
      <w:bookmarkEnd w:id="0"/>
      <w:r w:rsidRPr="00040D8C">
        <w:rPr>
          <w:rFonts w:ascii="Times New Roman" w:hAnsi="Times New Roman"/>
          <w:sz w:val="28"/>
          <w:szCs w:val="28"/>
          <w:highlight w:val="yellow"/>
        </w:rPr>
        <w:t xml:space="preserve">Knowledge and Feeding Practices as Correlates of Caregiver-Reported </w:t>
      </w:r>
      <w:r w:rsidR="00464B42" w:rsidRPr="00040D8C">
        <w:rPr>
          <w:rFonts w:ascii="Times New Roman" w:hAnsi="Times New Roman"/>
          <w:sz w:val="28"/>
          <w:szCs w:val="28"/>
          <w:highlight w:val="yellow"/>
        </w:rPr>
        <w:t>Childhood Malnutrition:</w:t>
      </w:r>
      <w:r w:rsidRPr="00040D8C">
        <w:rPr>
          <w:rFonts w:ascii="Times New Roman" w:hAnsi="Times New Roman"/>
          <w:sz w:val="28"/>
          <w:szCs w:val="28"/>
          <w:highlight w:val="yellow"/>
        </w:rPr>
        <w:t xml:space="preserve"> A Cross-Sectional Study in Zanzibar</w:t>
      </w:r>
    </w:p>
    <w:p w:rsidR="00D7083A" w:rsidRPr="004A02C3" w:rsidRDefault="00D7083A" w:rsidP="00D7083A">
      <w:pPr>
        <w:pStyle w:val="Heading2"/>
        <w:spacing w:line="360" w:lineRule="auto"/>
        <w:rPr>
          <w:rFonts w:ascii="Arial" w:hAnsi="Arial" w:cs="Arial"/>
          <w:b/>
          <w:bCs/>
          <w:color w:val="000000"/>
          <w:sz w:val="24"/>
          <w:szCs w:val="24"/>
        </w:rPr>
      </w:pPr>
      <w:r w:rsidRPr="004A02C3">
        <w:rPr>
          <w:rFonts w:ascii="Arial" w:hAnsi="Arial" w:cs="Arial"/>
          <w:b/>
          <w:bCs/>
          <w:color w:val="000000"/>
          <w:sz w:val="24"/>
          <w:szCs w:val="24"/>
        </w:rPr>
        <w:t xml:space="preserve">INTRODUCTION </w:t>
      </w:r>
    </w:p>
    <w:p w:rsidR="00F01DDE" w:rsidRPr="00505546" w:rsidRDefault="00F01DDE" w:rsidP="00F01DDE">
      <w:pPr>
        <w:pStyle w:val="NormalWeb"/>
        <w:spacing w:line="360" w:lineRule="auto"/>
        <w:jc w:val="both"/>
        <w:rPr>
          <w:rFonts w:ascii="Arial" w:hAnsi="Arial" w:cs="Arial"/>
        </w:rPr>
      </w:pPr>
      <w:r w:rsidRPr="00505546">
        <w:rPr>
          <w:rFonts w:ascii="Arial" w:hAnsi="Arial" w:cs="Arial"/>
        </w:rPr>
        <w:br/>
        <w:t xml:space="preserve">Malnutrition remains a major cause of morbidity and mortality among children under five in low- and middle-income countries. Suboptimal breastfeeding and </w:t>
      </w:r>
      <w:r>
        <w:rPr>
          <w:rFonts w:ascii="Arial" w:hAnsi="Arial" w:cs="Arial"/>
        </w:rPr>
        <w:t xml:space="preserve">complementary feeding practices, </w:t>
      </w:r>
      <w:r w:rsidRPr="00505546">
        <w:rPr>
          <w:rFonts w:ascii="Arial" w:hAnsi="Arial" w:cs="Arial"/>
        </w:rPr>
        <w:t>often driven by limited caregiver knowledge, financial barriers, and inadequate access to nutrition education</w:t>
      </w:r>
      <w:r w:rsidR="009D2EE1">
        <w:rPr>
          <w:rFonts w:ascii="Arial" w:hAnsi="Arial" w:cs="Arial"/>
        </w:rPr>
        <w:t xml:space="preserve">, </w:t>
      </w:r>
      <w:r w:rsidRPr="00505546">
        <w:rPr>
          <w:rFonts w:ascii="Arial" w:hAnsi="Arial" w:cs="Arial"/>
        </w:rPr>
        <w:t>significantly contribute to poor nutritional outcomes.</w:t>
      </w:r>
    </w:p>
    <w:p w:rsidR="00F01DDE" w:rsidRPr="00505546" w:rsidRDefault="00F01DDE" w:rsidP="00F01DDE">
      <w:pPr>
        <w:pStyle w:val="NormalWeb"/>
        <w:spacing w:line="360" w:lineRule="auto"/>
        <w:jc w:val="both"/>
        <w:rPr>
          <w:rFonts w:ascii="Arial" w:hAnsi="Arial" w:cs="Arial"/>
        </w:rPr>
      </w:pPr>
      <w:r w:rsidRPr="00505546">
        <w:rPr>
          <w:rStyle w:val="Strong"/>
          <w:rFonts w:ascii="Arial" w:hAnsi="Arial" w:cs="Arial"/>
        </w:rPr>
        <w:t>Objective:</w:t>
      </w:r>
      <w:r w:rsidRPr="00505546">
        <w:rPr>
          <w:rFonts w:ascii="Arial" w:hAnsi="Arial" w:cs="Arial"/>
        </w:rPr>
        <w:br/>
      </w:r>
      <w:r w:rsidRPr="00464B42">
        <w:rPr>
          <w:rFonts w:ascii="Arial" w:hAnsi="Arial" w:cs="Arial"/>
          <w:highlight w:val="yellow"/>
        </w:rPr>
        <w:t>To assess caregivers’ knowledge</w:t>
      </w:r>
      <w:r w:rsidR="00464B42" w:rsidRPr="00464B42">
        <w:rPr>
          <w:rFonts w:ascii="Arial" w:hAnsi="Arial" w:cs="Arial"/>
          <w:highlight w:val="yellow"/>
        </w:rPr>
        <w:t xml:space="preserve"> and feeding practices</w:t>
      </w:r>
      <w:r w:rsidRPr="00464B42">
        <w:rPr>
          <w:rFonts w:ascii="Arial" w:hAnsi="Arial" w:cs="Arial"/>
          <w:highlight w:val="yellow"/>
        </w:rPr>
        <w:t xml:space="preserve"> related to infant and young child nutrition, and to identify opportunities for improving nutritional outcomes among children under five.</w:t>
      </w:r>
    </w:p>
    <w:p w:rsidR="00F01DDE" w:rsidRPr="00505546" w:rsidRDefault="00F01DDE" w:rsidP="00F01DDE">
      <w:pPr>
        <w:pStyle w:val="NormalWeb"/>
        <w:spacing w:line="360" w:lineRule="auto"/>
        <w:jc w:val="both"/>
        <w:rPr>
          <w:rFonts w:ascii="Arial" w:hAnsi="Arial" w:cs="Arial"/>
        </w:rPr>
      </w:pPr>
      <w:r w:rsidRPr="00505546">
        <w:rPr>
          <w:rStyle w:val="Strong"/>
          <w:rFonts w:ascii="Arial" w:hAnsi="Arial" w:cs="Arial"/>
        </w:rPr>
        <w:t>Methods:</w:t>
      </w:r>
      <w:r w:rsidRPr="00505546">
        <w:rPr>
          <w:rFonts w:ascii="Arial" w:hAnsi="Arial" w:cs="Arial"/>
        </w:rPr>
        <w:br/>
        <w:t xml:space="preserve">A cross-sectional study was conducted among 96 caregivers of </w:t>
      </w:r>
      <w:r w:rsidR="009D2EE1">
        <w:rPr>
          <w:rFonts w:ascii="Arial" w:hAnsi="Arial" w:cs="Arial"/>
        </w:rPr>
        <w:t xml:space="preserve">children </w:t>
      </w:r>
      <w:r w:rsidR="009D2EE1" w:rsidRPr="008165D4">
        <w:rPr>
          <w:rFonts w:ascii="Arial" w:hAnsi="Arial" w:cs="Arial"/>
          <w:highlight w:val="yellow"/>
        </w:rPr>
        <w:t xml:space="preserve">under five </w:t>
      </w:r>
      <w:r w:rsidR="00B10BE8">
        <w:rPr>
          <w:rFonts w:ascii="Arial" w:hAnsi="Arial" w:cs="Arial"/>
          <w:highlight w:val="yellow"/>
        </w:rPr>
        <w:t>who</w:t>
      </w:r>
      <w:r w:rsidR="008165D4" w:rsidRPr="008165D4">
        <w:rPr>
          <w:rFonts w:ascii="Arial" w:hAnsi="Arial" w:cs="Arial"/>
          <w:highlight w:val="yellow"/>
        </w:rPr>
        <w:t xml:space="preserve"> reported </w:t>
      </w:r>
      <w:r w:rsidR="008165D4" w:rsidRPr="008165D4">
        <w:rPr>
          <w:sz w:val="20"/>
          <w:szCs w:val="20"/>
          <w:highlight w:val="yellow"/>
        </w:rPr>
        <w:t xml:space="preserve">Child </w:t>
      </w:r>
      <w:r w:rsidR="008165D4" w:rsidRPr="00464B42">
        <w:rPr>
          <w:highlight w:val="yellow"/>
        </w:rPr>
        <w:t>malnutrition</w:t>
      </w:r>
      <w:r w:rsidRPr="00505546">
        <w:rPr>
          <w:rFonts w:ascii="Arial" w:hAnsi="Arial" w:cs="Arial"/>
        </w:rPr>
        <w:t>. Data collected included sociodemographic characteristics, breastfeeding and complementary feeding practices, nutrition knowledge, and perceived challenges. Statistical tests were performed to assess associations between feeding practices, caregiver knowledge, and child malnutrition status.</w:t>
      </w:r>
    </w:p>
    <w:p w:rsidR="00F01DDE" w:rsidRPr="00505546" w:rsidRDefault="00F01DDE" w:rsidP="00F01DDE">
      <w:pPr>
        <w:pStyle w:val="NormalWeb"/>
        <w:spacing w:line="360" w:lineRule="auto"/>
        <w:jc w:val="both"/>
        <w:rPr>
          <w:rFonts w:ascii="Arial" w:hAnsi="Arial" w:cs="Arial"/>
        </w:rPr>
      </w:pPr>
      <w:r w:rsidRPr="00505546">
        <w:rPr>
          <w:rStyle w:val="Strong"/>
          <w:rFonts w:ascii="Arial" w:hAnsi="Arial" w:cs="Arial"/>
        </w:rPr>
        <w:t>Results:</w:t>
      </w:r>
      <w:r w:rsidRPr="00505546">
        <w:rPr>
          <w:rFonts w:ascii="Arial" w:hAnsi="Arial" w:cs="Arial"/>
        </w:rPr>
        <w:br/>
        <w:t xml:space="preserve">A significant association was found between </w:t>
      </w:r>
      <w:r w:rsidR="009D2EE1">
        <w:rPr>
          <w:rFonts w:ascii="Arial" w:hAnsi="Arial" w:cs="Arial"/>
        </w:rPr>
        <w:t xml:space="preserve">malnutrition type </w:t>
      </w:r>
      <w:r w:rsidR="009F2517">
        <w:rPr>
          <w:rFonts w:ascii="Arial" w:hAnsi="Arial" w:cs="Arial"/>
        </w:rPr>
        <w:t xml:space="preserve">and </w:t>
      </w:r>
      <w:r w:rsidR="009F2517" w:rsidRPr="009F2517">
        <w:rPr>
          <w:rFonts w:ascii="Arial" w:hAnsi="Arial" w:cs="Arial"/>
          <w:highlight w:val="yellow"/>
        </w:rPr>
        <w:t>caregiver</w:t>
      </w:r>
      <w:r w:rsidR="00C808AB">
        <w:rPr>
          <w:rFonts w:ascii="Arial" w:hAnsi="Arial" w:cs="Arial"/>
        </w:rPr>
        <w:t>s’</w:t>
      </w:r>
      <w:r w:rsidRPr="00505546">
        <w:rPr>
          <w:rFonts w:ascii="Arial" w:hAnsi="Arial" w:cs="Arial"/>
        </w:rPr>
        <w:t xml:space="preserve"> knowledge of the recommended duration of exclusive breastfeeding (Likelihood Ratio = 15.69, p = 0.016). The type of complementary food provided was also significantly associated with malnutrition status (χ² = 34.46, p &lt; 0.001), as was the relationship between a history of malnutrition diagnosis and the current malnutrition category (χ² = 42.91, p &lt; 0.001). Overall, most caregivers exhibited limited knowledge of recommended feeding practices, with major gaps in understanding the timing and nutritional adequacy of complementary foods. Financial constraints, lack of nutrition education, and common misconceptions </w:t>
      </w:r>
      <w:r w:rsidRPr="00505546">
        <w:rPr>
          <w:rFonts w:ascii="Arial" w:hAnsi="Arial" w:cs="Arial"/>
        </w:rPr>
        <w:lastRenderedPageBreak/>
        <w:t xml:space="preserve">were reported as key barriers. Despite these challenges, most caregivers expressed </w:t>
      </w:r>
      <w:r w:rsidR="009D2EE1">
        <w:rPr>
          <w:rFonts w:ascii="Arial" w:hAnsi="Arial" w:cs="Arial"/>
        </w:rPr>
        <w:t xml:space="preserve">a </w:t>
      </w:r>
      <w:r w:rsidRPr="00505546">
        <w:rPr>
          <w:rFonts w:ascii="Arial" w:hAnsi="Arial" w:cs="Arial"/>
        </w:rPr>
        <w:t>strong willingness to participate in nutrition training.</w:t>
      </w:r>
    </w:p>
    <w:p w:rsidR="00F01DDE" w:rsidRPr="00505546" w:rsidRDefault="00F01DDE" w:rsidP="00F01DDE">
      <w:pPr>
        <w:pStyle w:val="NormalWeb"/>
        <w:spacing w:line="360" w:lineRule="auto"/>
        <w:jc w:val="both"/>
        <w:rPr>
          <w:rFonts w:ascii="Arial" w:hAnsi="Arial" w:cs="Arial"/>
        </w:rPr>
      </w:pPr>
      <w:r w:rsidRPr="00505546">
        <w:rPr>
          <w:rStyle w:val="Strong"/>
          <w:rFonts w:ascii="Arial" w:hAnsi="Arial" w:cs="Arial"/>
        </w:rPr>
        <w:t>Conclusions:</w:t>
      </w:r>
      <w:r w:rsidRPr="00505546">
        <w:rPr>
          <w:rFonts w:ascii="Arial" w:hAnsi="Arial" w:cs="Arial"/>
        </w:rPr>
        <w:br/>
        <w:t>Caregivers face substantial informat</w:t>
      </w:r>
      <w:r w:rsidR="00464B42">
        <w:rPr>
          <w:rFonts w:ascii="Arial" w:hAnsi="Arial" w:cs="Arial"/>
        </w:rPr>
        <w:t xml:space="preserve">ional and socioeconomic </w:t>
      </w:r>
      <w:r w:rsidR="00464B42" w:rsidRPr="00464B42">
        <w:rPr>
          <w:rFonts w:ascii="Arial" w:hAnsi="Arial" w:cs="Arial"/>
          <w:highlight w:val="yellow"/>
        </w:rPr>
        <w:t>chal</w:t>
      </w:r>
      <w:r w:rsidR="00464B42">
        <w:rPr>
          <w:rFonts w:ascii="Arial" w:hAnsi="Arial" w:cs="Arial"/>
          <w:highlight w:val="yellow"/>
        </w:rPr>
        <w:t>l</w:t>
      </w:r>
      <w:r w:rsidR="00464B42" w:rsidRPr="00464B42">
        <w:rPr>
          <w:rFonts w:ascii="Arial" w:hAnsi="Arial" w:cs="Arial"/>
          <w:highlight w:val="yellow"/>
        </w:rPr>
        <w:t>enges</w:t>
      </w:r>
      <w:r w:rsidRPr="00505546">
        <w:rPr>
          <w:rFonts w:ascii="Arial" w:hAnsi="Arial" w:cs="Arial"/>
        </w:rPr>
        <w:t xml:space="preserve"> that heighten the risk of malnutrition in early childhood. Strengthening community-based nutrition education, improving access to counselling services, and addressing financial barriers are essential for improving feeding practices and promoting healthier growth among children under five.</w:t>
      </w:r>
    </w:p>
    <w:p w:rsidR="00F01DDE" w:rsidRPr="00213697" w:rsidRDefault="00F01DDE" w:rsidP="00F01DDE">
      <w:pPr>
        <w:spacing w:after="0" w:line="240" w:lineRule="auto"/>
        <w:rPr>
          <w:rFonts w:ascii="Arial" w:eastAsia="Times New Roman" w:hAnsi="Arial" w:cs="Arial"/>
          <w:sz w:val="24"/>
          <w:szCs w:val="24"/>
          <w:lang w:eastAsia="en-US"/>
        </w:rPr>
      </w:pPr>
    </w:p>
    <w:p w:rsidR="00F01DDE" w:rsidRPr="004A02C3" w:rsidRDefault="00F01DDE" w:rsidP="00F01DDE">
      <w:pPr>
        <w:spacing w:before="100" w:beforeAutospacing="1" w:after="100" w:afterAutospacing="1" w:line="360" w:lineRule="auto"/>
        <w:rPr>
          <w:rFonts w:ascii="Arial" w:eastAsia="Times New Roman" w:hAnsi="Arial" w:cs="Arial"/>
          <w:sz w:val="24"/>
          <w:szCs w:val="24"/>
          <w:lang w:eastAsia="en-US"/>
        </w:rPr>
      </w:pPr>
      <w:r w:rsidRPr="004A02C3">
        <w:rPr>
          <w:rFonts w:ascii="Arial" w:hAnsi="Arial" w:cs="Arial"/>
          <w:b/>
          <w:bCs/>
          <w:color w:val="000000"/>
          <w:sz w:val="24"/>
          <w:szCs w:val="24"/>
        </w:rPr>
        <w:t>Keywords</w:t>
      </w:r>
      <w:r w:rsidRPr="004A02C3">
        <w:rPr>
          <w:rFonts w:ascii="Arial" w:hAnsi="Arial" w:cs="Arial"/>
          <w:color w:val="000000"/>
          <w:sz w:val="24"/>
          <w:szCs w:val="24"/>
        </w:rPr>
        <w:t xml:space="preserve">: </w:t>
      </w:r>
      <w:r w:rsidRPr="004A02C3">
        <w:rPr>
          <w:rFonts w:ascii="Arial" w:eastAsia="Times New Roman" w:hAnsi="Arial" w:cs="Arial"/>
          <w:sz w:val="24"/>
          <w:szCs w:val="24"/>
          <w:lang w:eastAsia="en-US"/>
        </w:rPr>
        <w:t>Caregiver knowledge</w:t>
      </w:r>
      <w:r w:rsidRPr="004A02C3">
        <w:rPr>
          <w:rFonts w:ascii="Arial" w:hAnsi="Arial" w:cs="Arial"/>
          <w:color w:val="000000"/>
          <w:sz w:val="24"/>
          <w:szCs w:val="24"/>
        </w:rPr>
        <w:t xml:space="preserve">, </w:t>
      </w:r>
      <w:r w:rsidRPr="004A02C3">
        <w:rPr>
          <w:rFonts w:ascii="Arial" w:eastAsia="Times New Roman" w:hAnsi="Arial" w:cs="Arial"/>
          <w:sz w:val="24"/>
          <w:szCs w:val="24"/>
          <w:lang w:eastAsia="en-US"/>
        </w:rPr>
        <w:t>Child malnutrition, Infant and young child feeding, Breastfeeding practices, Complementary feeding, Nutrition education, Low- and middle-income countries, Zanzibar.</w:t>
      </w:r>
    </w:p>
    <w:p w:rsidR="00F01DDE" w:rsidRPr="004A02C3" w:rsidRDefault="00F01DDE" w:rsidP="00F01DDE">
      <w:pPr>
        <w:pStyle w:val="Heading2"/>
        <w:spacing w:line="360" w:lineRule="auto"/>
        <w:rPr>
          <w:rFonts w:ascii="Arial" w:hAnsi="Arial" w:cs="Arial"/>
          <w:b/>
          <w:bCs/>
          <w:color w:val="000000"/>
          <w:sz w:val="24"/>
          <w:szCs w:val="24"/>
        </w:rPr>
      </w:pPr>
      <w:bookmarkStart w:id="1" w:name="_Toc200716788"/>
    </w:p>
    <w:p w:rsidR="00F01DDE" w:rsidRPr="004A02C3" w:rsidRDefault="00F01DDE" w:rsidP="00F01DDE">
      <w:pPr>
        <w:pStyle w:val="Heading2"/>
        <w:spacing w:line="360" w:lineRule="auto"/>
        <w:rPr>
          <w:rFonts w:ascii="Arial" w:hAnsi="Arial" w:cs="Arial"/>
          <w:b/>
          <w:bCs/>
          <w:color w:val="000000"/>
          <w:sz w:val="24"/>
          <w:szCs w:val="24"/>
        </w:rPr>
      </w:pPr>
      <w:r w:rsidRPr="004A02C3">
        <w:rPr>
          <w:rFonts w:ascii="Arial" w:hAnsi="Arial" w:cs="Arial"/>
          <w:b/>
          <w:bCs/>
          <w:color w:val="000000"/>
          <w:sz w:val="24"/>
          <w:szCs w:val="24"/>
        </w:rPr>
        <w:t>INTRODUCTION</w:t>
      </w:r>
      <w:bookmarkEnd w:id="1"/>
      <w:r w:rsidRPr="004A02C3">
        <w:rPr>
          <w:rFonts w:ascii="Arial" w:hAnsi="Arial" w:cs="Arial"/>
          <w:b/>
          <w:bCs/>
          <w:color w:val="000000"/>
          <w:sz w:val="24"/>
          <w:szCs w:val="24"/>
        </w:rPr>
        <w:t xml:space="preserve"> </w:t>
      </w:r>
    </w:p>
    <w:p w:rsidR="00F01DDE" w:rsidRPr="004A02C3" w:rsidRDefault="00F01DDE" w:rsidP="00F01DDE">
      <w:pPr>
        <w:pStyle w:val="NormalWeb"/>
        <w:spacing w:line="360" w:lineRule="auto"/>
        <w:jc w:val="both"/>
        <w:rPr>
          <w:rFonts w:ascii="Arial" w:hAnsi="Arial" w:cs="Arial"/>
        </w:rPr>
      </w:pPr>
      <w:bookmarkStart w:id="2" w:name="_Toc200716809"/>
      <w:r w:rsidRPr="004A02C3">
        <w:rPr>
          <w:rFonts w:ascii="Arial" w:hAnsi="Arial" w:cs="Arial"/>
        </w:rPr>
        <w:t xml:space="preserve">Child malnutrition remains one of the most pressing global health challenges, contributing to nearly 45% of deaths among children under five and undermining long-term human development </w:t>
      </w:r>
      <w:r w:rsidRPr="004A02C3">
        <w:rPr>
          <w:rFonts w:ascii="Arial" w:hAnsi="Arial" w:cs="Arial"/>
        </w:rPr>
        <w:fldChar w:fldCharType="begin" w:fldLock="1"/>
      </w:r>
      <w:r w:rsidR="00A62D47">
        <w:rPr>
          <w:rFonts w:ascii="Arial" w:hAnsi="Arial" w:cs="Arial"/>
        </w:rPr>
        <w:instrText>ADDIN CSL_CITATION {"citationItems":[{"id":"ITEM-1","itemData":{"author":[{"dropping-particle":"","family":"Exposto","given":"Levi Anatolia S M","non-dropping-particle":"","parse-names":false,"suffix":""},{"dropping-particle":"","family":"Pacheco","given":"Conceição","non-dropping-particle":"","parse-names":false,"suffix":""},{"dropping-particle":"","family":"Pereira","given":"Elias","non-dropping-particle":"","parse-names":false,"suffix":""},{"dropping-particle":"","family":"Ximenes","given":"Eliseba Borges","non-dropping-particle":"","parse-names":false,"suffix":""},{"dropping-particle":"","family":"Carvalho","given":"Marcos","non-dropping-particle":"","parse-names":false,"suffix":""},{"dropping-particle":"","family":"Fernandes","given":"Daniela R M U","non-dropping-particle":"","parse-names":false,"suffix":""}],"id":"ITEM-1","issue":"6","issued":{"date-parts":[["2025"]]},"page":"251-260","title":"The Impact of Malnutrition Problems on Children Under 5 Years Old and its Management Strategies : A Retrospective Analysis","type":"article-journal","volume":"4"},"uris":["http://www.mendeley.com/documents/?uuid=e8f8e97a-77e9-4d84-bca9-5a175b49d6d4","http://www.mendeley.com/documents/?uuid=d6cfad9c-35e9-4530-856b-5b89acdf3e13"]}],"mendeley":{"formattedCitation":"[1]","plainTextFormattedCitation":"[1]","previouslyFormattedCitation":"[1]"},"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[1]</w:t>
      </w:r>
      <w:r w:rsidRPr="004A02C3">
        <w:rPr>
          <w:rFonts w:ascii="Arial" w:hAnsi="Arial" w:cs="Arial"/>
        </w:rPr>
        <w:fldChar w:fldCharType="end"/>
      </w:r>
      <w:r w:rsidRPr="004A02C3">
        <w:rPr>
          <w:rFonts w:ascii="Arial" w:hAnsi="Arial" w:cs="Arial"/>
        </w:rPr>
        <w:fldChar w:fldCharType="begin" w:fldLock="1"/>
      </w:r>
      <w:r w:rsidR="00A62D47">
        <w:rPr>
          <w:rFonts w:ascii="Arial" w:hAnsi="Arial" w:cs="Arial"/>
        </w:rPr>
        <w:instrText>ADDIN CSL_CITATION {"citationItems":[{"id":"ITEM-1","itemData":{"author":[{"dropping-particle":"","family":"Mathosi","given":"Meshack Mzamani","non-dropping-particle":"","parse-names":false,"suffix":""},{"dropping-particle":"","family":"Cele","given":"Lindiwe Priscilla","non-dropping-particle":"","parse-names":false,"suffix":""},{"dropping-particle":"","family":"Mathibe","given":"Mmampedi","non-dropping-particle":"","parse-names":false,"suffix":""}],"id":"ITEM-1","issued":{"date-parts":[["2025"]]},"page":"1-21","title":"Acute Malnutrition in Under-Five Children in KwaZulu-Natal , South Africa : Risk Factors and Implications for Dietary Quality","type":"article-journal"},"uris":["http://www.mendeley.com/documents/?uuid=65824218-2a37-4bf6-b5c4-2fae7f476c78","http://www.mendeley.com/documents/?uuid=d5b23679-9739-4ade-93be-910fe0e93c1d"]}],"mendeley":{"formattedCitation":"[2]","plainTextFormattedCitation":"[2]","previouslyFormattedCitation":"[2]"},"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[2]</w:t>
      </w:r>
      <w:r w:rsidRPr="004A02C3">
        <w:rPr>
          <w:rFonts w:ascii="Arial" w:hAnsi="Arial" w:cs="Arial"/>
        </w:rPr>
        <w:fldChar w:fldCharType="end"/>
      </w:r>
      <w:r w:rsidRPr="004A02C3">
        <w:rPr>
          <w:rFonts w:ascii="Arial" w:hAnsi="Arial" w:cs="Arial"/>
        </w:rPr>
        <w:fldChar w:fldCharType="begin" w:fldLock="1"/>
      </w:r>
      <w:r w:rsidR="00A62D47">
        <w:rPr>
          <w:rFonts w:ascii="Arial" w:hAnsi="Arial" w:cs="Arial"/>
        </w:rPr>
        <w:instrText>ADDIN CSL_CITATION {"citationItems":[{"id":"ITEM-1","itemData":{"author":[{"dropping-particle":"","family":"Morales","given":"F","non-dropping-particle":"","parse-names":false,"suffix":""},{"dropping-particle":"","family":"Paz","given":"Sergio Montserrat-de","non-dropping-particle":"","parse-names":false,"suffix":""},{"dropping-particle":"","family":"Leon","given":"Maria J","non-dropping-particle":"","parse-names":false,"suffix":""},{"dropping-particle":"","family":"Rivero-pino","given":"Fernando","non-dropping-particle":"","parse-names":false,"suffix":""}],"id":"ITEM-1","issued":{"date-parts":[["2024"]]},"page":"1-16","title":"Effects of Malnutrition on the Immune System and Infection and the Role of Nutritional Strategies Regarding Improvements in Children ’ s Health Status : A Literature Review","type":"article-journal"},"uris":["http://www.mendeley.com/documents/?uuid=1a42909e-b03f-4b8b-adac-b578c14a3c53","http://www.mendeley.com/documents/?uuid=b70f1d79-4d1f-426d-8bb2-057c18b0af0c"]}],"mendeley":{"formattedCitation":"[3]","plainTextFormattedCitation":"[3]","previouslyFormattedCitation":"[3]"},"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[3]</w:t>
      </w:r>
      <w:r w:rsidRPr="004A02C3">
        <w:rPr>
          <w:rFonts w:ascii="Arial" w:hAnsi="Arial" w:cs="Arial"/>
        </w:rPr>
        <w:fldChar w:fldCharType="end"/>
      </w:r>
      <w:r w:rsidRPr="004A02C3">
        <w:rPr>
          <w:rFonts w:ascii="Arial" w:hAnsi="Arial" w:cs="Arial"/>
        </w:rPr>
        <w:t xml:space="preserve">. Although global initiatives have reduced </w:t>
      </w:r>
      <w:r w:rsidR="009D2EE1">
        <w:rPr>
          <w:rFonts w:ascii="Arial" w:hAnsi="Arial" w:cs="Arial"/>
        </w:rPr>
        <w:t>their</w:t>
      </w:r>
      <w:r w:rsidRPr="004A02C3">
        <w:rPr>
          <w:rFonts w:ascii="Arial" w:hAnsi="Arial" w:cs="Arial"/>
        </w:rPr>
        <w:t xml:space="preserve"> burden over recent decades, malnutrition persists at unacceptably high levels, particularly in low- and middle-income countries where structural inequities, recurrent infections, and suboptimal feeding practices continue to limit child survival and growth</w:t>
      </w:r>
      <w:r w:rsidR="00276B3B">
        <w:rPr>
          <w:rFonts w:ascii="Arial" w:hAnsi="Arial" w:cs="Arial"/>
        </w:rPr>
        <w:t xml:space="preserve"> </w:t>
      </w:r>
      <w:r w:rsidRPr="004A02C3">
        <w:rPr>
          <w:rFonts w:ascii="Arial" w:hAnsi="Arial" w:cs="Arial"/>
        </w:rPr>
        <w:fldChar w:fldCharType="begin" w:fldLock="1"/>
      </w:r>
      <w:r w:rsidR="00A62D47">
        <w:rPr>
          <w:rFonts w:ascii="Arial" w:hAnsi="Arial" w:cs="Arial"/>
        </w:rPr>
        <w:instrText>ADDIN CSL_CITATION {"citationItems":[{"id":"ITEM-1","itemData":{"author":[{"dropping-particle":"","family":"Compte","given":"Mireya Vilar","non-dropping-particle":"","parse-names":false,"suffix":""},{"dropping-particle":"","family":"Velázquez","given":"Natalia Rovelo","non-dropping-particle":"","parse-names":false,"suffix":""},{"dropping-particle":"","family":"Thi","given":"Hoa","non-dropping-particle":"","parse-names":false,"suffix":""},{"dropping-particle":"","family":"Nguyen","given":"Mai","non-dropping-particle":"","parse-names":false,"suffix":""},{"dropping-particle":"","family":"Mehta","given":"Michelle Ashwin","non-dropping-particle":"","parse-names":false,"suffix":""}],"id":"ITEM-1","issued":{"date-parts":[["2025"]]},"publisher":"BioMed Central","title":"Impact of nutrition and health interventions on undernutrition : an overview of systematic reviews","type":"article-journal"},"uris":["http://www.mendeley.com/documents/?uuid=0795c64f-2396-478b-bc12-7108ffec5c90","http://www.mendeley.com/documents/?uuid=7863edf4-11e0-4536-ab80-9a6cf50b25db"]}],"mendeley":{"formattedCitation":"[4]","plainTextFormattedCitation":"[4]","previouslyFormattedCitation":"[4]"},"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[4]</w:t>
      </w:r>
      <w:r w:rsidRPr="004A02C3">
        <w:rPr>
          <w:rFonts w:ascii="Arial" w:hAnsi="Arial" w:cs="Arial"/>
        </w:rPr>
        <w:fldChar w:fldCharType="end"/>
      </w:r>
      <w:r w:rsidRPr="004A02C3">
        <w:rPr>
          <w:rFonts w:ascii="Arial" w:hAnsi="Arial" w:cs="Arial"/>
        </w:rPr>
        <w:fldChar w:fldCharType="begin" w:fldLock="1"/>
      </w:r>
      <w:r w:rsidR="00A62D47">
        <w:rPr>
          <w:rFonts w:ascii="Arial" w:hAnsi="Arial" w:cs="Arial"/>
        </w:rPr>
        <w:instrText>ADDIN CSL_CITATION {"citationItems":[{"id":"ITEM-1","itemData":{"author":[{"dropping-particle":"","family":"Moramarco","given":"Stefania","non-dropping-particle":"","parse-names":false,"suffix":""},{"dropping-particle":"","family":"Buonomo","given":"Ersilia","non-dropping-particle":"","parse-names":false,"suffix":""},{"dropping-particle":"","family":"Andreoli","given":"Angela","non-dropping-particle":"","parse-names":false,"suffix":""}],"id":"ITEM-1","issued":{"date-parts":[["2025"]]},"page":"1-22","title":"Tackling Global Malnutrition and Hunger in the Final Push Toward the 2030 Agenda","type":"article-journal"},"uris":["http://www.mendeley.com/documents/?uuid=0d68c4e2-ad72-4f45-943c-1fe983efda81","http://www.mendeley.com/documents/?uuid=123a4b56-be6b-4b87-8a4b-5ac250a93624"]}],"mendeley":{"formattedCitation":"[5]","plainTextFormattedCitation":"[5]","previouslyFormattedCitation":"[5]"},"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[5]</w:t>
      </w:r>
      <w:r w:rsidRPr="004A02C3">
        <w:rPr>
          <w:rFonts w:ascii="Arial" w:hAnsi="Arial" w:cs="Arial"/>
        </w:rPr>
        <w:fldChar w:fldCharType="end"/>
      </w:r>
      <w:r w:rsidRPr="004A02C3">
        <w:rPr>
          <w:rFonts w:ascii="Arial" w:hAnsi="Arial" w:cs="Arial"/>
        </w:rPr>
        <w:t xml:space="preserve"> </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Malnutrition comprises several interrelated forms. Undernutrition: measured through wasting (low weight-for-height), stunting (low height-for-age), and underweight (low weight-for-age), remains the most critical</w:t>
      </w:r>
      <w:r w:rsidR="00276B3B">
        <w:rPr>
          <w:rFonts w:ascii="Arial" w:hAnsi="Arial" w:cs="Arial"/>
        </w:rPr>
        <w:t xml:space="preserve"> </w:t>
      </w:r>
      <w:r w:rsidRPr="004A02C3">
        <w:rPr>
          <w:rFonts w:ascii="Arial" w:hAnsi="Arial" w:cs="Arial"/>
        </w:rPr>
        <w:fldChar w:fldCharType="begin" w:fldLock="1"/>
      </w:r>
      <w:r w:rsidR="00A62D47">
        <w:rPr>
          <w:rFonts w:ascii="Arial" w:hAnsi="Arial" w:cs="Arial"/>
        </w:rPr>
        <w:instrText>ADDIN CSL_CITATION {"citationItems":[{"id":"ITEM-1","itemData":{"author":[{"dropping-particle":"","family":"Warssamo","given":"Birhanu Betela","non-dropping-particle":"","parse-names":false,"suffix":""},{"dropping-particle":"","family":"Belay","given":"Denekew Bitew","non-dropping-particle":"","parse-names":false,"suffix":""},{"dropping-particle":"","family":"Chen","given":"Ding-geng","non-dropping-particle":"","parse-names":false,"suffix":""}],"id":"ITEM-1","issued":{"date-parts":[["2025"]]},"page":"1-13","title":"Determinants of chronic malnutrition among under- five children in Ethiopia using simultaneous quantile regression","type":"article-journal"},"uris":["http://www.mendeley.com/documents/?uuid=eb94759f-3f63-4551-9de6-55325f9b69c4","http://www.mendeley.com/documents/?uuid=63e821b5-92d7-4db4-b9bf-b3a3506b5b27"]}],"mendeley":{"formattedCitation":"[6]","plainTextFormattedCitation":"[6]","previouslyFormattedCitation":"[6]"},"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[6]</w:t>
      </w:r>
      <w:r w:rsidRPr="004A02C3">
        <w:rPr>
          <w:rFonts w:ascii="Arial" w:hAnsi="Arial" w:cs="Arial"/>
        </w:rPr>
        <w:fldChar w:fldCharType="end"/>
      </w:r>
      <w:r w:rsidRPr="004A02C3">
        <w:rPr>
          <w:rFonts w:ascii="Arial" w:hAnsi="Arial" w:cs="Arial"/>
        </w:rPr>
        <w:fldChar w:fldCharType="begin" w:fldLock="1"/>
      </w:r>
      <w:r w:rsidR="002A0A2C">
        <w:rPr>
          <w:rFonts w:ascii="Arial" w:hAnsi="Arial" w:cs="Arial"/>
        </w:rPr>
        <w:instrText>ADDIN CSL_CITATION {"citationItems":[{"id":"ITEM-1","itemData":{"DOI":"10.1080/16070658.2025.2477900","ISSN":"1607-0658","author":[{"dropping-particle":"","family":"Emera","given":"Willy Désiré","non-dropping-particle":"","parse-names":false,"suffix":""},{"dropping-particle":"","family":"Haese","given":"Marijke D","non-dropping-particle":"","parse-names":false,"suffix":""},{"dropping-particle":"","family":"Slosse","given":"Wannes","non-dropping-particle":"","parse-names":false,"suffix":""},{"dropping-particle":"","family":"Lachat","given":"Carl","non-dropping-particle":"","parse-names":false,"suffix":""},{"dropping-particle":"","family":"Désiré","given":"Willy","non-dropping-particle":"","parse-names":false,"suffix":""},{"dropping-particle":"","family":"Haese","given":"Marijke D","non-dropping-particle":"","parse-names":false,"suffix":""},{"dropping-particle":"","family":"Slosse","given":"Wannes","non-dropping-particle":"","parse-names":false,"suffix":""},{"dropping-particle":"","family":"Lachat","given":"Carl","non-dropping-particle":"","parse-names":false,"suffix":""},{"dropping-particle":"","family":"Group","given":"Francis","non-dropping-particle":"","parse-names":false,"suffix":""},{"dropping-particle":"","family":"Désiré","given":"Willy","non-dropping-particle":"","parse-names":false,"suffix":""}],"container-title":"South African Journal of Clinical Nutrition","id":"ITEM-1","issue":"2","issued":{"date-parts":[["2025"]]},"page":"82-90","title":"Understanding the factors associated with child malnutrition in rural Burundi : experiences from the Muyinga and Ngozi provinces Understanding the factors associated with child malnutrition in rural Burundi : experiences from the Muyinga and Ngozi provinc","type":"article-journal","volume":"38"},"uris":["http://www.mendeley.com/documents/?uuid=47034220-7ff9-4b48-a61e-0c1a67a05b16","http://www.mendeley.com/documents/?uuid=99cbfcc4-a829-4b0b-b1e1-32838ada0857"]}],"mendeley":{"formattedCitation":"[7]","plainTextFormattedCitation":"[7]","previouslyFormattedCitation":"[7]"},"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[7]</w:t>
      </w:r>
      <w:r w:rsidRPr="004A02C3">
        <w:rPr>
          <w:rFonts w:ascii="Arial" w:hAnsi="Arial" w:cs="Arial"/>
        </w:rPr>
        <w:fldChar w:fldCharType="end"/>
      </w:r>
      <w:r w:rsidRPr="004A02C3">
        <w:rPr>
          <w:rFonts w:ascii="Arial" w:hAnsi="Arial" w:cs="Arial"/>
        </w:rPr>
        <w:t xml:space="preserve">. Wasting reflects acute nutritional deficits or illness and is strongly associated with elevated mortality risk. Stunting indicates chronic nutritional deprivation and repeated infection, leading to impaired linear growth and long-term deficits in cognitive development, educational attainment, and economic </w:t>
      </w:r>
      <w:r w:rsidRPr="004A02C3">
        <w:rPr>
          <w:rFonts w:ascii="Arial" w:hAnsi="Arial" w:cs="Arial"/>
        </w:rPr>
        <w:lastRenderedPageBreak/>
        <w:t>productivity. Underweight, a composite measure, reflects both chronic and acute undernutrition and signals inadequate overall nutritional status</w:t>
      </w:r>
      <w:r w:rsidR="00276B3B">
        <w:rPr>
          <w:rFonts w:ascii="Arial" w:hAnsi="Arial" w:cs="Arial"/>
        </w:rPr>
        <w:t xml:space="preserve"> </w:t>
      </w:r>
      <w:r w:rsidRPr="004A02C3">
        <w:rPr>
          <w:rFonts w:ascii="Arial" w:hAnsi="Arial" w:cs="Arial"/>
        </w:rPr>
        <w:fldChar w:fldCharType="begin" w:fldLock="1"/>
      </w:r>
      <w:r w:rsidR="00A62D47">
        <w:rPr>
          <w:rFonts w:ascii="Arial" w:hAnsi="Arial" w:cs="Arial"/>
        </w:rPr>
        <w:instrText>ADDIN CSL_CITATION {"citationItems":[{"id":"ITEM-1","itemData":{"DOI":"10.1186/s12889-022-12875-w","ISBN":"1288902212","ISSN":"1471-2458","author":[{"dropping-particle":"","family":"Li","given":"Huixia","non-dropping-particle":"","parse-names":false,"suffix":""},{"dropping-particle":"","family":"Yuan","given":"Shan","non-dropping-particle":"","parse-names":false,"suffix":""},{"dropping-particle":"","family":"Fang","given":"Hualing","non-dropping-particle":"","parse-names":false,"suffix":""},{"dropping-particle":"","family":"Huang","given":"Guangwen","non-dropping-particle":"","parse-names":false,"suffix":""},{"dropping-particle":"","family":"Huang","given":"Qun","non-dropping-particle":"","parse-names":false,"suffix":""},{"dropping-particle":"","family":"Wang","given":"Hua","non-dropping-particle":"","parse-names":false,"suffix":""},{"dropping-particle":"","family":"Wang","given":"Aihua","non-dropping-particle":"","parse-names":false,"suffix":""}],"container-title":"BMC Public Health","id":"ITEM-1","issued":{"date-parts":[["2022"]]},"page":"1-12","publisher":"BioMed Central","title":"Prevalence and associated factors for stunting , underweight and wasting among children under 6 years of age in rural Hunan Province , China : a community-based cross-sectional study","type":"article-journal"},"uris":["http://www.mendeley.com/documents/?uuid=c652c05b-6ec3-49ad-ab60-8dc2fb742751","http://www.mendeley.com/documents/?uuid=c5117dbd-3dd8-4729-b279-027e7d747b58"]}],"mendeley":{"formattedCitation":"[8]","plainTextFormattedCitation":"[8]","previouslyFormattedCitation":"[8]"},"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[8]</w:t>
      </w:r>
      <w:r w:rsidRPr="004A02C3">
        <w:rPr>
          <w:rFonts w:ascii="Arial" w:hAnsi="Arial" w:cs="Arial"/>
        </w:rPr>
        <w:fldChar w:fldCharType="end"/>
      </w:r>
      <w:r w:rsidRPr="004A02C3">
        <w:rPr>
          <w:rFonts w:ascii="Arial" w:hAnsi="Arial" w:cs="Arial"/>
        </w:rPr>
        <w:fldChar w:fldCharType="begin" w:fldLock="1"/>
      </w:r>
      <w:r w:rsidR="00A62D47">
        <w:rPr>
          <w:rFonts w:ascii="Arial" w:hAnsi="Arial" w:cs="Arial"/>
        </w:rPr>
        <w:instrText>ADDIN CSL_CITATION {"citationItems":[{"id":"ITEM-1","itemData":{"DOI":"10.23750/abm.v92i1.11346","author":[{"dropping-particle":"","family":"Soliman","given":"Ashraf","non-dropping-particle":"","parse-names":false,"suffix":""},{"dropping-particle":"De","family":"Sanctis","given":"Vincenzo","non-dropping-particle":"","parse-names":false,"suffix":""},{"dropping-particle":"","family":"Alaaraj","given":"Nada","non-dropping-particle":"","parse-names":false,"suffix":""},{"dropping-particle":"","family":"Ahmed","given":"Shayma","non-dropping-particle":"","parse-names":false,"suffix":""},{"dropping-particle":"","family":"Alyafei","given":"Fawziya","non-dropping-particle":"","parse-names":false,"suffix":""},{"dropping-particle":"","family":"Hamed","given":"Noor","non-dropping-particle":"","parse-names":false,"suffix":""},{"dropping-particle":"","family":"Soliman","given":"Nada","non-dropping-particle":"","parse-names":false,"suffix":""}],"id":"ITEM-1","issue":"4","issued":{"date-parts":[["2021"]]},"page":"1-12","title":"Early and Long-term Consequences of Nutritional Stunting : From Childhood to Adulthood","type":"article-journal","volume":"92"},"uris":["http://www.mendeley.com/documents/?uuid=df933a02-0dd7-4ded-a9c7-74b68f08b87f","http://www.mendeley.com/documents/?uuid=da25f615-1723-4481-8295-74aafa7f00e4"]}],"mendeley":{"formattedCitation":"[9]","plainTextFormattedCitation":"[9]","previouslyFormattedCitation":"[9]"},"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[9]</w:t>
      </w:r>
      <w:r w:rsidRPr="004A02C3">
        <w:rPr>
          <w:rFonts w:ascii="Arial" w:hAnsi="Arial" w:cs="Arial"/>
        </w:rPr>
        <w:fldChar w:fldCharType="end"/>
      </w:r>
      <w:r w:rsidRPr="004A02C3">
        <w:rPr>
          <w:rFonts w:ascii="Arial" w:hAnsi="Arial" w:cs="Arial"/>
        </w:rPr>
        <w:t>.</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Maternal education has consistently emerged as a powerful determinant of child nutritional outcomes. Globally, children born to mothers without formal education are twice as likely to be stunted compared with those whose mothers completed secondary education</w:t>
      </w:r>
      <w:r w:rsidR="00276B3B">
        <w:rPr>
          <w:rFonts w:ascii="Arial" w:hAnsi="Arial" w:cs="Arial"/>
        </w:rPr>
        <w:t xml:space="preserve"> </w:t>
      </w:r>
      <w:r w:rsidRPr="004A02C3">
        <w:rPr>
          <w:rFonts w:ascii="Arial" w:hAnsi="Arial" w:cs="Arial"/>
        </w:rPr>
        <w:fldChar w:fldCharType="begin" w:fldLock="1"/>
      </w:r>
      <w:r w:rsidR="00A62D47">
        <w:rPr>
          <w:rFonts w:ascii="Arial" w:hAnsi="Arial" w:cs="Arial"/>
        </w:rPr>
        <w:instrText>ADDIN CSL_CITATION {"citationItems":[{"id":"ITEM-1","itemData":{"DOI":"10.1016/j.eclinm.2024.102574","ISSN":"2589-5370","author":[{"dropping-particle":"","family":"Rezaeizadeh","given":"Golnaz","non-dropping-particle":"","parse-names":false,"suffix":""},{"dropping-particle":"","family":"Mansournia","given":"Ali","non-dropping-particle":"","parse-names":false,"suffix":""},{"dropping-particle":"","family":"Keshtkar","given":"Abbasali","non-dropping-particle":"","parse-names":false,"suffix":""},{"dropping-particle":"","family":"Farahani","given":"Zahra","non-dropping-particle":"","parse-names":false,"suffix":""},{"dropping-particle":"","family":"Zarepour","given":"Fatemeh","non-dropping-particle":"","parse-names":false,"suffix":""},{"dropping-particle":"","family":"Sharafkhah","given":"Maryam","non-dropping-particle":"","parse-names":false,"suffix":""}],"container-title":"eClinicalMedicine","id":"ITEM-1","issued":{"date-parts":[["2024"]]},"page":"102574","publisher":"The Author(s)","title":"Articles Maternal education and its in fl uence on child growth and nutritional status during the fi rst two years of life : a systematic review and meta-analysis","type":"article-journal","volume":"71"},"uris":["http://www.mendeley.com/documents/?uuid=a2f53a13-a08e-4e93-bb25-b4c90bacb9ab","http://www.mendeley.com/documents/?uuid=ffdebd41-00f9-4114-9c1f-ef36a00388d6"]}],"mendeley":{"formattedCitation":"[10]","plainTextFormattedCitation":"[10]","previouslyFormattedCitation":"[10]"},"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[10]</w:t>
      </w:r>
      <w:r w:rsidRPr="004A02C3">
        <w:rPr>
          <w:rFonts w:ascii="Arial" w:hAnsi="Arial" w:cs="Arial"/>
        </w:rPr>
        <w:fldChar w:fldCharType="end"/>
      </w:r>
      <w:r w:rsidRPr="004A02C3">
        <w:rPr>
          <w:rFonts w:ascii="Arial" w:hAnsi="Arial" w:cs="Arial"/>
        </w:rPr>
        <w:t xml:space="preserve">. Feeding practices further shape early nutritional status. Despite robust evidence that exclusive breastfeeding during the first six months can reduce child mortality </w:t>
      </w:r>
      <w:r w:rsidR="009D2EE1">
        <w:rPr>
          <w:rFonts w:ascii="Arial" w:hAnsi="Arial" w:cs="Arial"/>
        </w:rPr>
        <w:t xml:space="preserve">in infants worldwide who </w:t>
      </w:r>
      <w:r w:rsidRPr="004A02C3">
        <w:rPr>
          <w:rFonts w:ascii="Arial" w:hAnsi="Arial" w:cs="Arial"/>
        </w:rPr>
        <w:t>receive exclusive breastfeeding</w:t>
      </w:r>
      <w:r w:rsidR="00276B3B">
        <w:rPr>
          <w:rFonts w:ascii="Arial" w:hAnsi="Arial" w:cs="Arial"/>
        </w:rPr>
        <w:t xml:space="preserve"> </w:t>
      </w:r>
      <w:r w:rsidRPr="004A02C3">
        <w:rPr>
          <w:rFonts w:ascii="Arial" w:hAnsi="Arial" w:cs="Arial"/>
        </w:rPr>
        <w:fldChar w:fldCharType="begin" w:fldLock="1"/>
      </w:r>
      <w:r w:rsidR="00A62D47">
        <w:rPr>
          <w:rFonts w:ascii="Arial" w:hAnsi="Arial" w:cs="Arial"/>
        </w:rPr>
        <w:instrText>ADDIN CSL_CITATION {"citationItems":[{"id":"ITEM-1","itemData":{"author":[{"dropping-particle":"","family":"Orczyk-pawiłowicz","given":"Magdalena","non-dropping-particle":"","parse-names":false,"suffix":""}],"id":"ITEM-1","issued":{"date-parts":[["2024"]]},"title":"Breastfeeding Beyond Six Months : Evidence of Child Health Benefits","type":"article-journal"},"uris":["http://www.mendeley.com/documents/?uuid=55868656-1a55-4361-9695-591d4c9f20d0","http://www.mendeley.com/documents/?uuid=a163bea0-3b6e-493f-b143-284796034c9b"]}],"mendeley":{"formattedCitation":"[11]","plainTextFormattedCitation":"[11]","previouslyFormattedCitation":"[11]"},"properties":{"noteIndex":0},"schema":"https://github.com/citation-style-language/schema/raw/master/csl-citation.json"}</w:instrText>
      </w:r>
      <w:r w:rsidRPr="004A02C3">
        <w:rPr>
          <w:rFonts w:ascii="Arial" w:hAnsi="Arial" w:cs="Arial"/>
        </w:rPr>
        <w:fldChar w:fldCharType="separate"/>
      </w:r>
      <w:r w:rsidRPr="004A02C3">
        <w:rPr>
          <w:rFonts w:ascii="Arial" w:hAnsi="Arial" w:cs="Arial"/>
          <w:noProof/>
        </w:rPr>
        <w:t>[11]</w:t>
      </w:r>
      <w:r w:rsidRPr="004A02C3">
        <w:rPr>
          <w:rFonts w:ascii="Arial" w:hAnsi="Arial" w:cs="Arial"/>
        </w:rPr>
        <w:fldChar w:fldCharType="end"/>
      </w:r>
      <w:r w:rsidR="00A70C03">
        <w:rPr>
          <w:rFonts w:ascii="Arial" w:hAnsi="Arial" w:cs="Arial"/>
        </w:rPr>
        <w:fldChar w:fldCharType="begin" w:fldLock="1"/>
      </w:r>
      <w:r w:rsidR="0067184B">
        <w:rPr>
          <w:rFonts w:ascii="Arial" w:hAnsi="Arial" w:cs="Arial"/>
        </w:rPr>
        <w:instrText>ADDIN CSL_CITATION {"citationItems":[{"id":"ITEM-1","itemData":{"DOI":"10.3329/bjm.v33i3.61374","ISSN":"1023-1986","abstract":"Background: Exclusive breastfeeding (EBF) offers optimum growth and development up to first six month of life. In Bangladesh, 55% of children less than 6 months of age are exclusively breastfed according to BDHS 2014.the aim of the study is to assess the exclusive breast feeding practice and associated factors among children in peri- urban area of Bangladesh. Methods: This is a cross sectional observational study conducted at Jhalkuri under Narayanganj districts during the period of July to December 2014. Total 109 mothers having infants aged 6-12 months interviewed and included in this study. Results: It was found that only 26(24%) mother went for regular antenatal checkup and remaining 83 (76%) had irregular antenatal check up. But none of them got breastfeeding advice during antenatal visit. Knowledge about breast milk as first food in 44(40%) mother. Mother informed to breast feeding exclusively upto six months only 53 (48%).Breastfeeding was initiated with in 1 hour of birth in 42(39%) cases and 67 (61%) cases after 1hour of birth. Exclusive breastfeeding (EBF) was found in 43 (40%) children. Among them 34 (79%) were children of housewife mothers. Mixed feeding (breast milk plus formula/ cow’s milk) was given to 52 children among them 25 (49%) were the children of housewife mothers. Only formula milk was given to 14 children of them 5(35%) were the children of housewife mothers. Exclusive breast milk was not given by 26(39%) mothers due to job or other occupation whereas 40(61%) mother did not give EBF due to insufficient breast milk. Conclusion: In the study rate of exclusive breast feeding was 40%. This is lower compare to national level. This study also showed that frequency of exclusive breast feeding practice was lower in working mothers than housewife mothers. This study also showed that the speculation of not getting sufficient milk was one of the main reasons for not giving exclusive breastfeeding. Bangladesh J Medicine 2022; 33: 274-279","author":[{"dropping-particle":"","family":"Das","given":"Subhasish","non-dropping-particle":"","parse-names":false,"suffix":""},{"dropping-particle":"","family":"Dey","given":"Soma Rani","non-dropping-particle":"","parse-names":false,"suffix":""},{"dropping-particle":"","family":"Islam","given":"Khandaker Tarequl","non-dropping-particle":"","parse-names":false,"suffix":""}],"container-title":"Bangladesh Journal of Medicine","id":"ITEM-1","issue":"3","issued":{"date-parts":[["2022"]]},"page":"274-279","title":"Breast feeding practice in a selected peri urban area of Bangladesh","type":"article-journal","volume":"33"},"uris":["http://www.mendeley.com/documents/?uuid=8c4249f9-f6f8-4ed1-ac63-93df8aef7935"]}],"mendeley":{"formattedCitation":"[12]","plainTextFormattedCitation":"[12]","previouslyFormattedCitation":"[12]"},"properties":{"noteIndex":0},"schema":"https://github.com/citation-style-language/schema/raw/master/csl-citation.json"}</w:instrText>
      </w:r>
      <w:r w:rsidR="00A70C03">
        <w:rPr>
          <w:rFonts w:ascii="Arial" w:hAnsi="Arial" w:cs="Arial"/>
        </w:rPr>
        <w:fldChar w:fldCharType="separate"/>
      </w:r>
      <w:r w:rsidR="00A70C03" w:rsidRPr="00A70C03">
        <w:rPr>
          <w:rFonts w:ascii="Arial" w:hAnsi="Arial" w:cs="Arial"/>
          <w:noProof/>
        </w:rPr>
        <w:t>[12]</w:t>
      </w:r>
      <w:r w:rsidR="00A70C03">
        <w:rPr>
          <w:rFonts w:ascii="Arial" w:hAnsi="Arial" w:cs="Arial"/>
        </w:rPr>
        <w:fldChar w:fldCharType="end"/>
      </w:r>
      <w:r w:rsidR="00A70C03">
        <w:rPr>
          <w:rFonts w:ascii="Arial" w:hAnsi="Arial" w:cs="Arial"/>
        </w:rPr>
        <w:fldChar w:fldCharType="begin" w:fldLock="1"/>
      </w:r>
      <w:r w:rsidR="00A70C03">
        <w:rPr>
          <w:rFonts w:ascii="Arial" w:hAnsi="Arial" w:cs="Arial"/>
        </w:rPr>
        <w:instrText>ADDIN CSL_CITATION {"citationItems":[{"id":"ITEM-1","itemData":{"DOI":"10.9734/jammr/2021/v33i1330963","abstract":"Breastfeeding (BF) has been a proven means of providing young infants with the nutrients required for healthy growth and development. The process has also been known to reduce common childhood infections, which are the causes of high mortality and morbidity.  Hence in achieving the best practice of BF, both knowledge and techniques are essential. Therefore, the study aims to assess the knowledge and practice on BF among mothers whose children were admitted at Mnazi Mmoja Hospital, Zanzibar. The study was a cross-sectional descriptive hospital-based carried out in the pediatric ward of MMH from April 2020 to July 2020 after approval by the hospital's health and ethics committee. Questionnaires were deployed to interview all consenting participants who were mothers aged from 18 to 50 years, breastfeeding a child, and having at least one previous child who had been breastfed earlier (Above 2 years) at the time of the study.  Selected questions were used to assess and categorized a total of 199 mothers who were recruited into the study as those with knowledge, those without knowledge on Exclusive breastfeeding (EBF), breastfeeding (BF) for 2 years, and breastfeeding techniques (BFT). Data were analyzed using Statistical Package for Social Sciences version 16. Differences at P &lt; 0.05 were considered significant. About 76.9% of the mothers studied had knowledge of EBF, while 65% had knowledge of BF for two years. A total of 42 (21.1%) had children below 6 months and were still BF, with the remaining 157(78.9%) having children above 6 months. Among the 157, only 58 (37%) practice EBF for 6 months. Also, 130 (65.3%) mothers breastfed their children up to 2 years in their previous child's upbringing. Most of them (42%) stopped because they became pregnant. The breastfeeding technique (BFT) was affected by the mother's age but not education level, as more of the older mothers had good positions and attachments than the younger ones. On overall techniques, 58.5% had good attachment compared to 49.7% who had proper position. Although most mothers were aware of the knowledge of EBF for 6 months, the practice is still low. However, older mothers, particularly the age group 31-40, have good BFT compared to younger mothers. There is a need for more education on EBF, BF, and BFT among women during Antenatal Clinic (ANC) and after delivery during the monthly clinic.","author":[{"dropping-particle":"","family":"Said","given":"Fat-hiya Abdallah","non-dropping-particle":"","parse-names":false,"suffix":""},{"dropping-particle":"","family":"Okafor","given":"Chukwuma J.","non-dropping-particle":"","parse-names":false,"suffix":""},{"dropping-particle":"","family":"Yusuf","given":"Said Ali","non-dropping-particle":"","parse-names":false,"suffix":""},{"dropping-particle":"","family":"Ali","given":"Amina A.","non-dropping-particle":"","parse-names":false,"suffix":""},{"dropping-particle":"","family":"Abeid","given":"Khamis A.","non-dropping-particle":"","parse-names":false,"suffix":""},{"dropping-particle":"","family":"Mahmoud","given":"Salma Abdi","non-dropping-particle":"","parse-names":false,"suffix":""},{"dropping-particle":"","family":"Chukwuani","given":"Ufuoma","non-dropping-particle":"","parse-names":false,"suffix":""},{"dropping-particle":"","family":"Hussein","given":"Ayan Ahmed","non-dropping-particle":"","parse-names":false,"suffix":""},{"dropping-particle":"","family":"Khamis","given":"Sabahi Salum","non-dropping-particle":"","parse-names":false,"suffix":""},{"dropping-particle":"","family":"Hamid","given":"Amina Abdi","non-dropping-particle":"","parse-names":false,"suffix":""}],"container-title":"Journal of Advances in Medicine and Medical Research","id":"ITEM-1","issue":"13","issued":{"date-parts":[["2021"]]},"page":"124-133","title":"Knowledge Levels and Practice Regarding Breastfeeding among Mothers with Children under 2 Years Admitted in the Pediatric Ward at Mnazi Mmoja Hospital, Zanzibar","type":"article-journal","volume":"33"},"uris":["http://www.mendeley.com/documents/?uuid=344cacb2-c57c-4f7d-a365-69289c14ce5e"]}],"mendeley":{"formattedCitation":"[13]","plainTextFormattedCitation":"[13]","previouslyFormattedCitation":"[13]"},"properties":{"noteIndex":0},"schema":"https://github.com/citation-style-language/schema/raw/master/csl-citation.json"}</w:instrText>
      </w:r>
      <w:r w:rsidR="00A70C03">
        <w:rPr>
          <w:rFonts w:ascii="Arial" w:hAnsi="Arial" w:cs="Arial"/>
        </w:rPr>
        <w:fldChar w:fldCharType="separate"/>
      </w:r>
      <w:r w:rsidR="00A70C03" w:rsidRPr="00A70C03">
        <w:rPr>
          <w:rFonts w:ascii="Arial" w:hAnsi="Arial" w:cs="Arial"/>
          <w:noProof/>
        </w:rPr>
        <w:t>[13]</w:t>
      </w:r>
      <w:r w:rsidR="00A70C03">
        <w:rPr>
          <w:rFonts w:ascii="Arial" w:hAnsi="Arial" w:cs="Arial"/>
        </w:rPr>
        <w:fldChar w:fldCharType="end"/>
      </w:r>
      <w:r w:rsidRPr="004A02C3">
        <w:rPr>
          <w:rFonts w:ascii="Arial" w:hAnsi="Arial" w:cs="Arial"/>
        </w:rPr>
        <w:t xml:space="preserve">. Complementary feeding practices are equally suboptimal. In Tanzania, only 23% of children aged 6–23 months meet the minimum acceptable diet, and national stunting prevalence remains high at 32% </w:t>
      </w:r>
      <w:r w:rsidRPr="004A02C3">
        <w:rPr>
          <w:rFonts w:ascii="Arial" w:hAnsi="Arial" w:cs="Arial"/>
        </w:rPr>
        <w:fldChar w:fldCharType="begin" w:fldLock="1"/>
      </w:r>
      <w:r w:rsidR="00A70C03">
        <w:rPr>
          <w:rFonts w:ascii="Arial" w:hAnsi="Arial" w:cs="Arial"/>
        </w:rPr>
        <w:instrText>ADDIN CSL_CITATION {"citationItems":[{"id":"ITEM-1","itemData":{"author":[{"dropping-particle":"","family":"Majengo","given":"Victoria Godfrey","non-dropping-particle":"","parse-names":false,"suffix":""},{"dropping-particle":"","family":"Lumbe","given":"Arnold Gideon","non-dropping-particle":"","parse-names":false,"suffix":""}],"id":"ITEM-1","issued":{"date-parts":[["2022"]]},"title":"Complementary feeding practices and associated factors among mothers of children aged 6 to 23 months in Tanzania : A multilevel analysis of the 2022 Demographic and Health Survey","type":"article-journal"},"uris":["http://www.mendeley.com/documents/?uuid=90d3aa89-52be-4f0d-a430-b23203c2b130","http://www.mendeley.com/documents/?uuid=d104de80-c062-4fb4-9c79-932c4ae31f6c"]}],"mendeley":{"formattedCitation":"[14]","plainTextFormattedCitation":"[14]","previouslyFormattedCitation":"[14]"},"properties":{"noteIndex":0},"schema":"https://github.com/citation-style-language/schema/raw/master/csl-citation.json"}</w:instrText>
      </w:r>
      <w:r w:rsidRPr="004A02C3">
        <w:rPr>
          <w:rFonts w:ascii="Arial" w:hAnsi="Arial" w:cs="Arial"/>
        </w:rPr>
        <w:fldChar w:fldCharType="separate"/>
      </w:r>
      <w:r w:rsidR="00A70C03" w:rsidRPr="00A70C03">
        <w:rPr>
          <w:rFonts w:ascii="Arial" w:hAnsi="Arial" w:cs="Arial"/>
          <w:noProof/>
        </w:rPr>
        <w:t>[14]</w:t>
      </w:r>
      <w:r w:rsidRPr="004A02C3">
        <w:rPr>
          <w:rFonts w:ascii="Arial" w:hAnsi="Arial" w:cs="Arial"/>
        </w:rPr>
        <w:fldChar w:fldCharType="end"/>
      </w:r>
      <w:r w:rsidRPr="004A02C3">
        <w:rPr>
          <w:rFonts w:ascii="Arial" w:hAnsi="Arial" w:cs="Arial"/>
        </w:rPr>
        <w:t>.</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Zanzibar reflects similar challenges. Like in mainland Tanzania, Zanzibar suffers from the triple burden of malnutrition: (</w:t>
      </w:r>
      <w:proofErr w:type="spellStart"/>
      <w:r w:rsidRPr="004A02C3">
        <w:rPr>
          <w:rFonts w:ascii="Arial" w:hAnsi="Arial" w:cs="Arial"/>
        </w:rPr>
        <w:t>i</w:t>
      </w:r>
      <w:proofErr w:type="spellEnd"/>
      <w:r w:rsidRPr="004A02C3">
        <w:rPr>
          <w:rFonts w:ascii="Arial" w:hAnsi="Arial" w:cs="Arial"/>
        </w:rPr>
        <w:t>) protein-energy undernutrition manifested in high levels of stunting, wasting and underweight; (ii) Micronutrient deficiencies, especially of iron, folic acid, vitamin A and iodine; and (iii) overweight/Obesity and</w:t>
      </w:r>
      <w:r w:rsidR="00276B3B">
        <w:rPr>
          <w:rFonts w:ascii="Arial" w:hAnsi="Arial" w:cs="Arial"/>
        </w:rPr>
        <w:t xml:space="preserve"> </w:t>
      </w:r>
      <w:r w:rsidRPr="004A02C3">
        <w:rPr>
          <w:rFonts w:ascii="Arial" w:hAnsi="Arial" w:cs="Arial"/>
        </w:rPr>
        <w:fldChar w:fldCharType="begin" w:fldLock="1"/>
      </w:r>
      <w:r w:rsidR="00A70C03">
        <w:rPr>
          <w:rFonts w:ascii="Arial" w:hAnsi="Arial" w:cs="Arial"/>
        </w:rPr>
        <w:instrText>ADDIN CSL_CITATION {"citationItems":[{"id":"ITEM-1","itemData":{"author":[{"dropping-particle":"","family":"Strategic","given":"Nutrition","non-dropping-particle":"","parse-names":false,"suffix":""}],"id":"ITEM-1","issued":{"date-parts":[["2025"]]},"title":"NUTRITION STRATEGIC ACTION PLAN ( ZMNSAP )","type":"article-journal"},"uris":["http://www.mendeley.com/documents/?uuid=1c890648-7301-47d8-847e-44115502f98f","http://www.mendeley.com/documents/?uuid=db332db0-fa0a-4d0d-a111-b13a4c81c098"]}],"mendeley":{"formattedCitation":"[15]","plainTextFormattedCitation":"[15]","previouslyFormattedCitation":"[15]"},"properties":{"noteIndex":0},"schema":"https://github.com/citation-style-language/schema/raw/master/csl-citation.json"}</w:instrText>
      </w:r>
      <w:r w:rsidRPr="004A02C3">
        <w:rPr>
          <w:rFonts w:ascii="Arial" w:hAnsi="Arial" w:cs="Arial"/>
        </w:rPr>
        <w:fldChar w:fldCharType="separate"/>
      </w:r>
      <w:r w:rsidR="00A70C03" w:rsidRPr="00A70C03">
        <w:rPr>
          <w:rFonts w:ascii="Arial" w:hAnsi="Arial" w:cs="Arial"/>
          <w:noProof/>
        </w:rPr>
        <w:t>[15]</w:t>
      </w:r>
      <w:r w:rsidRPr="004A02C3">
        <w:rPr>
          <w:rFonts w:ascii="Arial" w:hAnsi="Arial" w:cs="Arial"/>
        </w:rPr>
        <w:fldChar w:fldCharType="end"/>
      </w:r>
      <w:r w:rsidRPr="004A02C3">
        <w:rPr>
          <w:rFonts w:ascii="Arial" w:hAnsi="Arial" w:cs="Arial"/>
        </w:rPr>
        <w:t>. Maternal knowledge and education gaps exacerbate these issues, limiting caregivers’ capacity to provide</w:t>
      </w:r>
      <w:r w:rsidR="00276B3B">
        <w:rPr>
          <w:rFonts w:ascii="Arial" w:hAnsi="Arial" w:cs="Arial"/>
        </w:rPr>
        <w:t xml:space="preserve"> nutritionally adequate feeding </w:t>
      </w:r>
      <w:r w:rsidRPr="004A02C3">
        <w:rPr>
          <w:rFonts w:ascii="Arial" w:hAnsi="Arial" w:cs="Arial"/>
        </w:rPr>
        <w:fldChar w:fldCharType="begin" w:fldLock="1"/>
      </w:r>
      <w:r w:rsidR="00A70C03">
        <w:rPr>
          <w:rFonts w:ascii="Arial" w:hAnsi="Arial" w:cs="Arial"/>
        </w:rPr>
        <w:instrText>ADDIN CSL_CITATION {"citationItems":[{"id":"ITEM-1","itemData":{"author":[{"dropping-particle":"","family":"Stakeholders","given":"Key","non-dropping-particle":"","parse-names":false,"suffix":""},{"dropping-particle":"","family":"Frumence","given":"Gasto","non-dropping-particle":"","parse-names":false,"suffix":""},{"dropping-particle":"","family":"Jin","given":"Yannan","non-dropping-particle":"","parse-names":false,"suffix":""},{"dropping-particle":"","family":"Kasangala","given":"Amalberga","non-dropping-particle":"","parse-names":false,"suffix":""},{"dropping-particle":"","family":"Bakar","given":"Saidah","non-dropping-particle":"","parse-names":false,"suffix":""},{"dropping-particle":"","family":"Mahiti","given":"Gladys Reuben","non-dropping-particle":"","parse-names":false,"suffix":""},{"dropping-particle":"","family":"Ochieng","given":"Bertha","non-dropping-particle":"","parse-names":false,"suffix":""}],"id":"ITEM-1","issued":{"date-parts":[["2024"]]},"page":"1-21","title":"A Systems Approach in the Prevention of Undernutrition among Children under Five in Tanzania : Perspectives from","type":"article-journal"},"uris":["http://www.mendeley.com/documents/?uuid=1be4aa0f-cd7f-4ab7-ac2e-d7a896a7a6e3","http://www.mendeley.com/documents/?uuid=71f30a73-648c-459a-ab4b-457692eb2469"]}],"mendeley":{"formattedCitation":"[16]","plainTextFormattedCitation":"[16]","previouslyFormattedCitation":"[16]"},"properties":{"noteIndex":0},"schema":"https://github.com/citation-style-language/schema/raw/master/csl-citation.json"}</w:instrText>
      </w:r>
      <w:r w:rsidRPr="004A02C3">
        <w:rPr>
          <w:rFonts w:ascii="Arial" w:hAnsi="Arial" w:cs="Arial"/>
        </w:rPr>
        <w:fldChar w:fldCharType="separate"/>
      </w:r>
      <w:r w:rsidR="00A70C03" w:rsidRPr="00A70C03">
        <w:rPr>
          <w:rFonts w:ascii="Arial" w:hAnsi="Arial" w:cs="Arial"/>
          <w:noProof/>
        </w:rPr>
        <w:t>[16]</w:t>
      </w:r>
      <w:r w:rsidRPr="004A02C3">
        <w:rPr>
          <w:rFonts w:ascii="Arial" w:hAnsi="Arial" w:cs="Arial"/>
        </w:rPr>
        <w:fldChar w:fldCharType="end"/>
      </w:r>
      <w:r w:rsidR="00276B3B">
        <w:rPr>
          <w:rFonts w:ascii="Arial" w:hAnsi="Arial" w:cs="Arial"/>
        </w:rPr>
        <w:t>.</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 xml:space="preserve">Despite these insights, the interaction between maternal education, feeding practices, and child nutritional outcomes in Zanzibar </w:t>
      </w:r>
      <w:r w:rsidR="00276B3B">
        <w:rPr>
          <w:rFonts w:ascii="Arial" w:hAnsi="Arial" w:cs="Arial"/>
        </w:rPr>
        <w:t xml:space="preserve">remains insufficiently explored </w:t>
      </w:r>
      <w:r w:rsidRPr="004A02C3">
        <w:rPr>
          <w:rFonts w:ascii="Arial" w:hAnsi="Arial" w:cs="Arial"/>
        </w:rPr>
        <w:fldChar w:fldCharType="begin" w:fldLock="1"/>
      </w:r>
      <w:r w:rsidR="00A70C03">
        <w:rPr>
          <w:rFonts w:ascii="Arial" w:hAnsi="Arial" w:cs="Arial"/>
        </w:rPr>
        <w:instrText>ADDIN CSL_CITATION {"citationItems":[{"id":"ITEM-1","itemData":{"author":[{"dropping-particle":"","family":"Ika","given":"S E R","non-dropping-particle":"","parse-names":false,"suffix":""}],"id":"ITEM-1","issued":{"date-parts":[["2020"]]},"title":"The State of Zanzibar ’ s Children Evidence from the Zanzibar Household Budget Surveys ( 2010 – 2020 )","type":"article-journal"},"uris":["http://www.mendeley.com/documents/?uuid=720699d8-36fb-4d34-bbcd-4a8da05fee81","http://www.mendeley.com/documents/?uuid=80c7c7ab-b7e7-49c0-9bb3-03a3cfe0a904"]}],"mendeley":{"formattedCitation":"[17]","plainTextFormattedCitation":"[17]","previouslyFormattedCitation":"[17]"},"properties":{"noteIndex":0},"schema":"https://github.com/citation-style-language/schema/raw/master/csl-citation.json"}</w:instrText>
      </w:r>
      <w:r w:rsidRPr="004A02C3">
        <w:rPr>
          <w:rFonts w:ascii="Arial" w:hAnsi="Arial" w:cs="Arial"/>
        </w:rPr>
        <w:fldChar w:fldCharType="separate"/>
      </w:r>
      <w:r w:rsidR="00A70C03" w:rsidRPr="00A70C03">
        <w:rPr>
          <w:rFonts w:ascii="Arial" w:hAnsi="Arial" w:cs="Arial"/>
          <w:noProof/>
        </w:rPr>
        <w:t>[17]</w:t>
      </w:r>
      <w:r w:rsidRPr="004A02C3">
        <w:rPr>
          <w:rFonts w:ascii="Arial" w:hAnsi="Arial" w:cs="Arial"/>
        </w:rPr>
        <w:fldChar w:fldCharType="end"/>
      </w:r>
      <w:r w:rsidR="0067184B">
        <w:rPr>
          <w:rFonts w:ascii="Arial" w:hAnsi="Arial" w:cs="Arial"/>
        </w:rPr>
        <w:fldChar w:fldCharType="begin" w:fldLock="1"/>
      </w:r>
      <w:r w:rsidR="0067184B">
        <w:rPr>
          <w:rFonts w:ascii="Arial" w:hAnsi="Arial" w:cs="Arial"/>
        </w:rPr>
        <w:instrText>ADDIN CSL_CITATION {"citationItems":[{"id":"ITEM-1","itemData":{"abstract":"Pneumonia remains the leading cause of death among under-five children, killing approximately 2,400 children a day. The purpose of this research is to evaluate some associated risk factors of Pneumonia among under-five children admitted at MnaziMmojaHospital (MMH). The study was a cross-sectional descriptive hospital-based carried out in the pediatric ward of MMH from April 2020 to July 2020 after approval by the hospital's health and ethics committee.The research instrument used was a questionnaire (open and close) and interview. A sample size of 400 under-five children and also 400 parents were employed. The children were made up of 161 males and 239 females within 0-1, 2-3, and 4-5 age brackets. The parents' age brackets were less than 18 and above 18. The research findings were analyzed using SPSS software version 15 and Epin info. The interpretation was on the basis of certain predictive factors, including malnutrition, breastfeeding, birth weight, pneumococcal vaccine, and HIV, on how they relate to the development of Pneumonia. Pearson Chi-Square was used to compare the levels of significances. Probability values of less or equal to 0.05 were accepted to be significant.Our study recorded a high prevalence ( above 60% ) for some major risk factors, including malnutrition, low birth weight, and breastfeeding below six months duration. The study showed that a more significant percentage of parents (55%) had no knowledge of Pneumonia and also recorded a significant association between gender and risk factors such as malnutrition, breastfeeding, and underweight children as girls were more affected. The findings showed a significant association between some major risk factors like malnutrition, low birth weight, lower duration of breastfeeding activities, and parents' educational status (p&lt;0.05).The uneducated, 69.8%, 68.5%, and 67.2% have children with significant malnutrition levels, did not breastfeed for up to 6 months, and had children with low birthweight, respectively. The children's age group had no associationwith the risk factors, while most of the subjects under study had two risk factors.Pneumonia and malnutrition are two of the biggest killers in childhood. Education of the parents and guidelines for the care of children with Pneumonia and malnutrition needs to consider this strong and often lethal association to contribute to the United nations' sustainable development Goal 3, aiming for substantial reductions in childhood mortality","author":[{"dropping-particle":"","family":"Fakih","given":"Aisha Juma","non-dropping-particle":"","parse-names":false,"suffix":""},{"dropping-particle":"","family":"Okafor","given":"Chukwuma J","non-dropping-particle":"","parse-names":false,"suffix":""},{"dropping-particle":"","family":"Yusuf","given":"Said Ali","non-dropping-particle":"","parse-names":false,"suffix":""},{"dropping-particle":"","family":"Mahmoud","given":"Salma Abdi","non-dropping-particle":"","parse-names":false,"suffix":""},{"dropping-particle":"","family":"Masud","given":"A","non-dropping-particle":"","parse-names":false,"suffix":""},{"dropping-particle":"","family":"Obeagu","given":"Emmanuel Ifeanyi","non-dropping-particle":"","parse-names":false,"suffix":""},{"dropping-particle":"","family":"Nyabukika","given":"Andrew G","non-dropping-particle":"","parse-names":false,"suffix":""},{"dropping-particle":"","family":"Omar","given":"Mariam M","non-dropping-particle":"","parse-names":false,"suffix":""},{"dropping-particle":"","family":"Bikombo","given":"S","non-dropping-particle":"","parse-names":false,"suffix":""},{"dropping-particle":"","family":"Khamis","given":"Ali O","non-dropping-particle":"","parse-names":false,"suffix":""}],"container-title":"Bulletin of Environment, Pharmacology and Life Sciences","id":"ITEM-1","issue":"February","issued":{"date-parts":[["2021"]]},"page":"69-75","title":"Evaluation of Risk Factors of Pneumonia in Children under Five Years Old at Mnazi Mmoja Hospital- Zanzibar","type":"article-journal","volume":"10"},"uris":["http://www.mendeley.com/documents/?uuid=579d3a5b-ae59-4a77-b5da-499d5a5e8856"]}],"mendeley":{"formattedCitation":"[18]","plainTextFormattedCitation":"[18]"},"properties":{"noteIndex":0},"schema":"https://github.com/citation-style-language/schema/raw/master/csl-citation.json"}</w:instrText>
      </w:r>
      <w:r w:rsidR="0067184B">
        <w:rPr>
          <w:rFonts w:ascii="Arial" w:hAnsi="Arial" w:cs="Arial"/>
        </w:rPr>
        <w:fldChar w:fldCharType="separate"/>
      </w:r>
      <w:r w:rsidR="0067184B" w:rsidRPr="0067184B">
        <w:rPr>
          <w:rFonts w:ascii="Arial" w:hAnsi="Arial" w:cs="Arial"/>
          <w:noProof/>
        </w:rPr>
        <w:t>[18]</w:t>
      </w:r>
      <w:r w:rsidR="0067184B">
        <w:rPr>
          <w:rFonts w:ascii="Arial" w:hAnsi="Arial" w:cs="Arial"/>
        </w:rPr>
        <w:fldChar w:fldCharType="end"/>
      </w:r>
      <w:r w:rsidR="00276B3B">
        <w:rPr>
          <w:rFonts w:ascii="Arial" w:hAnsi="Arial" w:cs="Arial"/>
        </w:rPr>
        <w:t>.</w:t>
      </w:r>
      <w:r w:rsidRPr="004A02C3">
        <w:rPr>
          <w:rFonts w:ascii="Arial" w:hAnsi="Arial" w:cs="Arial"/>
        </w:rPr>
        <w:t xml:space="preserve"> Persistently high rates of stunting, wasting, and underweight indicate ongoing gaps in prevention </w:t>
      </w:r>
      <w:r w:rsidR="00276B3B">
        <w:rPr>
          <w:rFonts w:ascii="Arial" w:hAnsi="Arial" w:cs="Arial"/>
        </w:rPr>
        <w:t xml:space="preserve">and care </w:t>
      </w:r>
      <w:r w:rsidRPr="004A02C3">
        <w:rPr>
          <w:rFonts w:ascii="Arial" w:hAnsi="Arial" w:cs="Arial"/>
        </w:rPr>
        <w:fldChar w:fldCharType="begin" w:fldLock="1"/>
      </w:r>
      <w:r w:rsidR="0067184B">
        <w:rPr>
          <w:rFonts w:ascii="Arial" w:hAnsi="Arial" w:cs="Arial"/>
        </w:rPr>
        <w:instrText>ADDIN CSL_CITATION {"citationItems":[{"id":"ITEM-1","itemData":{"author":[{"dropping-particle":"","family":"Healthy","given":"Nutrition F O R A","non-dropping-particle":"","parse-names":false,"suffix":""},{"dropping-particle":"","family":"Zanzibar","given":"Wealthy","non-dropping-particle":"","parse-names":false,"suffix":""}],"id":"ITEM-1","issued":{"date-parts":[["2025"]]},"title":"ZANZIBAR MULTISECTORAL NUTRITION STRATEGIC ACTION PLAN ( ZMNSAP )","type":"article-journal"},"uris":["http://www.mendeley.com/documents/?uuid=ea8c76ab-7bc0-47e1-81d1-61bf8d627355","http://www.mendeley.com/documents/?uuid=89f3a290-2db1-4758-a34b-5acf6ec5930e"]}],"mendeley":{"formattedCitation":"[19]","plainTextFormattedCitation":"[19]","previouslyFormattedCitation":"[18]"},"properties":{"noteIndex":0},"schema":"https://github.com/citation-style-language/schema/raw/master/csl-citation.json"}</w:instrText>
      </w:r>
      <w:r w:rsidRPr="004A02C3">
        <w:rPr>
          <w:rFonts w:ascii="Arial" w:hAnsi="Arial" w:cs="Arial"/>
        </w:rPr>
        <w:fldChar w:fldCharType="separate"/>
      </w:r>
      <w:r w:rsidR="0067184B" w:rsidRPr="0067184B">
        <w:rPr>
          <w:rFonts w:ascii="Arial" w:hAnsi="Arial" w:cs="Arial"/>
          <w:noProof/>
        </w:rPr>
        <w:t>[19]</w:t>
      </w:r>
      <w:r w:rsidRPr="004A02C3">
        <w:rPr>
          <w:rFonts w:ascii="Arial" w:hAnsi="Arial" w:cs="Arial"/>
        </w:rPr>
        <w:fldChar w:fldCharType="end"/>
      </w:r>
      <w:r w:rsidR="00276B3B">
        <w:rPr>
          <w:rFonts w:ascii="Arial" w:hAnsi="Arial" w:cs="Arial"/>
        </w:rPr>
        <w:t>.</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 xml:space="preserve">This study aims to address these gaps by examining the relationship </w:t>
      </w:r>
      <w:r w:rsidR="009D2EE1">
        <w:rPr>
          <w:rFonts w:ascii="Arial" w:hAnsi="Arial" w:cs="Arial"/>
        </w:rPr>
        <w:t xml:space="preserve">among maternal education, feeding practices, and nutritional status among children under five years of age </w:t>
      </w:r>
      <w:r w:rsidRPr="004A02C3">
        <w:rPr>
          <w:rFonts w:ascii="Arial" w:hAnsi="Arial" w:cs="Arial"/>
        </w:rPr>
        <w:t xml:space="preserve">attending </w:t>
      </w:r>
      <w:proofErr w:type="spellStart"/>
      <w:r w:rsidRPr="004A02C3">
        <w:rPr>
          <w:rFonts w:ascii="Arial" w:hAnsi="Arial" w:cs="Arial"/>
        </w:rPr>
        <w:t>Ijitimai</w:t>
      </w:r>
      <w:proofErr w:type="spellEnd"/>
      <w:r w:rsidRPr="004A02C3">
        <w:rPr>
          <w:rFonts w:ascii="Arial" w:hAnsi="Arial" w:cs="Arial"/>
        </w:rPr>
        <w:t xml:space="preserve"> District Hospital.</w:t>
      </w:r>
    </w:p>
    <w:p w:rsidR="00F01DDE" w:rsidRPr="00164506" w:rsidRDefault="00F01DDE" w:rsidP="00F01DDE">
      <w:pPr>
        <w:pStyle w:val="Heading3"/>
        <w:spacing w:line="360" w:lineRule="auto"/>
        <w:jc w:val="both"/>
        <w:rPr>
          <w:rFonts w:ascii="Arial" w:hAnsi="Arial" w:cs="Arial"/>
          <w:color w:val="auto"/>
        </w:rPr>
      </w:pPr>
      <w:r w:rsidRPr="00164506">
        <w:rPr>
          <w:rStyle w:val="Strong"/>
          <w:rFonts w:ascii="Arial" w:hAnsi="Arial" w:cs="Arial"/>
          <w:b w:val="0"/>
          <w:bCs w:val="0"/>
          <w:color w:val="auto"/>
        </w:rPr>
        <w:t>Objectives</w:t>
      </w:r>
    </w:p>
    <w:p w:rsidR="00F01DDE" w:rsidRPr="004A02C3" w:rsidRDefault="00F01DDE" w:rsidP="00F01DDE">
      <w:pPr>
        <w:pStyle w:val="NormalWeb"/>
        <w:numPr>
          <w:ilvl w:val="0"/>
          <w:numId w:val="5"/>
        </w:numPr>
        <w:spacing w:line="360" w:lineRule="auto"/>
        <w:jc w:val="both"/>
        <w:rPr>
          <w:rFonts w:ascii="Arial" w:hAnsi="Arial" w:cs="Arial"/>
        </w:rPr>
      </w:pPr>
      <w:r w:rsidRPr="004A02C3">
        <w:rPr>
          <w:rStyle w:val="Strong"/>
          <w:rFonts w:ascii="Arial" w:hAnsi="Arial" w:cs="Arial"/>
          <w:b w:val="0"/>
        </w:rPr>
        <w:t xml:space="preserve">To assess feeding practices among mothers of children under five attending </w:t>
      </w:r>
      <w:proofErr w:type="spellStart"/>
      <w:r w:rsidRPr="004A02C3">
        <w:rPr>
          <w:rStyle w:val="Strong"/>
          <w:rFonts w:ascii="Arial" w:hAnsi="Arial" w:cs="Arial"/>
          <w:b w:val="0"/>
        </w:rPr>
        <w:t>Ijitimai</w:t>
      </w:r>
      <w:proofErr w:type="spellEnd"/>
      <w:r w:rsidRPr="004A02C3">
        <w:rPr>
          <w:rStyle w:val="Strong"/>
          <w:rFonts w:ascii="Arial" w:hAnsi="Arial" w:cs="Arial"/>
          <w:b w:val="0"/>
        </w:rPr>
        <w:t xml:space="preserve"> District Hospital.</w:t>
      </w:r>
    </w:p>
    <w:p w:rsidR="00F01DDE" w:rsidRPr="004A02C3" w:rsidRDefault="009F2517" w:rsidP="00F01DDE">
      <w:pPr>
        <w:pStyle w:val="NormalWeb"/>
        <w:numPr>
          <w:ilvl w:val="0"/>
          <w:numId w:val="5"/>
        </w:numPr>
        <w:spacing w:line="360" w:lineRule="auto"/>
        <w:jc w:val="both"/>
        <w:rPr>
          <w:rFonts w:ascii="Arial" w:hAnsi="Arial" w:cs="Arial"/>
        </w:rPr>
      </w:pPr>
      <w:r>
        <w:rPr>
          <w:rStyle w:val="Strong"/>
          <w:rFonts w:ascii="Arial" w:hAnsi="Arial" w:cs="Arial"/>
          <w:b w:val="0"/>
        </w:rPr>
        <w:lastRenderedPageBreak/>
        <w:t>To evaluate caregiver</w:t>
      </w:r>
      <w:r w:rsidR="00F01DDE" w:rsidRPr="004A02C3">
        <w:rPr>
          <w:rStyle w:val="Strong"/>
          <w:rFonts w:ascii="Arial" w:hAnsi="Arial" w:cs="Arial"/>
          <w:b w:val="0"/>
        </w:rPr>
        <w:t xml:space="preserve"> knowledge and education on child nutrition and their influence on feeding practices.</w:t>
      </w:r>
    </w:p>
    <w:p w:rsidR="00F01DDE" w:rsidRPr="004A02C3" w:rsidRDefault="00F01DDE" w:rsidP="00F01DDE">
      <w:pPr>
        <w:spacing w:line="360" w:lineRule="auto"/>
        <w:rPr>
          <w:rFonts w:ascii="Arial" w:hAnsi="Arial" w:cs="Arial"/>
          <w:sz w:val="24"/>
          <w:szCs w:val="24"/>
        </w:rPr>
      </w:pPr>
    </w:p>
    <w:p w:rsidR="00F01DDE" w:rsidRPr="00164506" w:rsidRDefault="00F01DDE" w:rsidP="00F61D00">
      <w:pPr>
        <w:pStyle w:val="Heading1"/>
        <w:spacing w:line="360" w:lineRule="auto"/>
        <w:jc w:val="both"/>
        <w:rPr>
          <w:rFonts w:ascii="Arial" w:hAnsi="Arial" w:cs="Arial"/>
          <w:color w:val="auto"/>
          <w:sz w:val="24"/>
          <w:szCs w:val="24"/>
        </w:rPr>
      </w:pPr>
      <w:r>
        <w:rPr>
          <w:rStyle w:val="Strong"/>
          <w:rFonts w:ascii="Arial" w:hAnsi="Arial" w:cs="Arial"/>
          <w:b w:val="0"/>
          <w:bCs w:val="0"/>
          <w:color w:val="auto"/>
          <w:sz w:val="24"/>
          <w:szCs w:val="24"/>
        </w:rPr>
        <w:t>Methods:</w:t>
      </w:r>
    </w:p>
    <w:p w:rsidR="00F01DDE" w:rsidRPr="004A02C3" w:rsidRDefault="00F01DDE" w:rsidP="00F61D00">
      <w:pPr>
        <w:pStyle w:val="NormalWeb"/>
        <w:spacing w:line="360" w:lineRule="auto"/>
        <w:jc w:val="both"/>
        <w:rPr>
          <w:rFonts w:ascii="Arial" w:hAnsi="Arial" w:cs="Arial"/>
        </w:rPr>
      </w:pPr>
      <w:r w:rsidRPr="004A02C3">
        <w:rPr>
          <w:rFonts w:ascii="Arial" w:hAnsi="Arial" w:cs="Arial"/>
        </w:rPr>
        <w:t xml:space="preserve">This study employed a facility-based cross-sectional design to assess the relationship between maternal feeding practices, sociodemographic characteristics, and malnutrition among children under </w:t>
      </w:r>
      <w:r w:rsidR="009D2EE1">
        <w:rPr>
          <w:rFonts w:ascii="Arial" w:hAnsi="Arial" w:cs="Arial"/>
        </w:rPr>
        <w:t>5 years of age</w:t>
      </w:r>
      <w:r w:rsidRPr="004A02C3">
        <w:rPr>
          <w:rFonts w:ascii="Arial" w:hAnsi="Arial" w:cs="Arial"/>
        </w:rPr>
        <w:t xml:space="preserve">. Data were collected at a single time point from mothers and primary caregivers attending the </w:t>
      </w:r>
      <w:proofErr w:type="spellStart"/>
      <w:r w:rsidRPr="004A02C3">
        <w:rPr>
          <w:rFonts w:ascii="Arial" w:hAnsi="Arial" w:cs="Arial"/>
        </w:rPr>
        <w:t>Paediatrics</w:t>
      </w:r>
      <w:proofErr w:type="spellEnd"/>
      <w:r w:rsidRPr="004A02C3">
        <w:rPr>
          <w:rFonts w:ascii="Arial" w:hAnsi="Arial" w:cs="Arial"/>
        </w:rPr>
        <w:t xml:space="preserve"> Ward of </w:t>
      </w:r>
      <w:proofErr w:type="spellStart"/>
      <w:r w:rsidRPr="004A02C3">
        <w:rPr>
          <w:rFonts w:ascii="Arial" w:hAnsi="Arial" w:cs="Arial"/>
        </w:rPr>
        <w:t>Ijitimai</w:t>
      </w:r>
      <w:proofErr w:type="spellEnd"/>
      <w:r w:rsidRPr="004A02C3">
        <w:rPr>
          <w:rFonts w:ascii="Arial" w:hAnsi="Arial" w:cs="Arial"/>
        </w:rPr>
        <w:t xml:space="preserve"> District Hospital, a public district facility located in </w:t>
      </w:r>
      <w:proofErr w:type="spellStart"/>
      <w:r w:rsidRPr="004A02C3">
        <w:rPr>
          <w:rFonts w:ascii="Arial" w:hAnsi="Arial" w:cs="Arial"/>
        </w:rPr>
        <w:t>Mwanakwerekwe</w:t>
      </w:r>
      <w:proofErr w:type="spellEnd"/>
      <w:r w:rsidRPr="004A02C3">
        <w:rPr>
          <w:rFonts w:ascii="Arial" w:hAnsi="Arial" w:cs="Arial"/>
        </w:rPr>
        <w:t xml:space="preserve">, Zanzibar. The target population consisted of caregivers of children under </w:t>
      </w:r>
      <w:r w:rsidR="009D2EE1">
        <w:rPr>
          <w:rFonts w:ascii="Arial" w:hAnsi="Arial" w:cs="Arial"/>
        </w:rPr>
        <w:t xml:space="preserve">5 years of age </w:t>
      </w:r>
      <w:r w:rsidRPr="004A02C3">
        <w:rPr>
          <w:rFonts w:ascii="Arial" w:hAnsi="Arial" w:cs="Arial"/>
        </w:rPr>
        <w:t xml:space="preserve">seeking </w:t>
      </w:r>
      <w:proofErr w:type="spellStart"/>
      <w:r w:rsidRPr="004A02C3">
        <w:rPr>
          <w:rFonts w:ascii="Arial" w:hAnsi="Arial" w:cs="Arial"/>
        </w:rPr>
        <w:t>paediatric</w:t>
      </w:r>
      <w:proofErr w:type="spellEnd"/>
      <w:r w:rsidRPr="004A02C3">
        <w:rPr>
          <w:rFonts w:ascii="Arial" w:hAnsi="Arial" w:cs="Arial"/>
        </w:rPr>
        <w:t xml:space="preserve"> services during the study period. A minimum sample size of 96 participants was calculated using the Fisher formula for single-proportion estimates, based on a malnutrition prevalence of </w:t>
      </w:r>
      <w:r w:rsidRPr="002A0A2C">
        <w:rPr>
          <w:rFonts w:ascii="Arial" w:hAnsi="Arial" w:cs="Arial"/>
          <w:highlight w:val="yellow"/>
        </w:rPr>
        <w:t>6.7%</w:t>
      </w:r>
      <w:r w:rsidR="002A0A2C" w:rsidRPr="002A0A2C">
        <w:rPr>
          <w:rFonts w:ascii="Arial" w:hAnsi="Arial" w:cs="Arial"/>
          <w:highlight w:val="yellow"/>
        </w:rPr>
        <w:t xml:space="preserve"> </w:t>
      </w:r>
      <w:r w:rsidR="002A0A2C" w:rsidRPr="002A0A2C">
        <w:rPr>
          <w:rFonts w:ascii="Arial" w:hAnsi="Arial" w:cs="Arial"/>
          <w:highlight w:val="yellow"/>
        </w:rPr>
        <w:fldChar w:fldCharType="begin" w:fldLock="1"/>
      </w:r>
      <w:r w:rsidR="0067184B">
        <w:rPr>
          <w:rFonts w:ascii="Arial" w:hAnsi="Arial" w:cs="Arial"/>
          <w:highlight w:val="yellow"/>
        </w:rPr>
        <w:instrText>ADDIN CSL_CITATION {"citationItems":[{"id":"ITEM-1","itemData":{"author":[{"dropping-particle":"","family":"Republic","given":"United","non-dropping-particle":"","parse-names":false,"suffix":""}],"id":"ITEM-1","issue":"June 2019","issued":{"date-parts":[["2018"]]},"page":"1-8","title":"Survey 2018 Summary of Key Findings Nutrition","type":"article-journal"},"uris":["http://www.mendeley.com/documents/?uuid=8c029f61-b839-493a-889a-0352fb0c44ae","http://www.mendeley.com/documents/?uuid=e88a18ef-57eb-4346-a5f0-405df3ecfc39"]}],"mendeley":{"formattedCitation":"[20]","plainTextFormattedCitation":"[20]","previouslyFormattedCitation":"[19]"},"properties":{"noteIndex":0},"schema":"https://github.com/citation-style-language/schema/raw/master/csl-citation.json"}</w:instrText>
      </w:r>
      <w:r w:rsidR="002A0A2C" w:rsidRPr="002A0A2C">
        <w:rPr>
          <w:rFonts w:ascii="Arial" w:hAnsi="Arial" w:cs="Arial"/>
          <w:highlight w:val="yellow"/>
        </w:rPr>
        <w:fldChar w:fldCharType="separate"/>
      </w:r>
      <w:r w:rsidR="0067184B" w:rsidRPr="0067184B">
        <w:rPr>
          <w:rFonts w:ascii="Arial" w:hAnsi="Arial" w:cs="Arial"/>
          <w:noProof/>
          <w:highlight w:val="yellow"/>
        </w:rPr>
        <w:t>[20]</w:t>
      </w:r>
      <w:r w:rsidR="002A0A2C" w:rsidRPr="002A0A2C">
        <w:rPr>
          <w:rFonts w:ascii="Arial" w:hAnsi="Arial" w:cs="Arial"/>
          <w:highlight w:val="yellow"/>
        </w:rPr>
        <w:fldChar w:fldCharType="end"/>
      </w:r>
      <w:r w:rsidRPr="002A0A2C">
        <w:rPr>
          <w:rFonts w:ascii="Arial" w:hAnsi="Arial" w:cs="Arial"/>
          <w:highlight w:val="yellow"/>
        </w:rPr>
        <w:t>,</w:t>
      </w:r>
      <w:r w:rsidRPr="004A02C3">
        <w:rPr>
          <w:rFonts w:ascii="Arial" w:hAnsi="Arial" w:cs="Arial"/>
        </w:rPr>
        <w:t xml:space="preserve"> a 95% confidence level, and a 5% margin of error.</w:t>
      </w:r>
    </w:p>
    <w:p w:rsidR="00F01DDE" w:rsidRPr="004A02C3" w:rsidRDefault="00F01DDE" w:rsidP="00F61D00">
      <w:pPr>
        <w:pStyle w:val="NormalWeb"/>
        <w:spacing w:line="360" w:lineRule="auto"/>
        <w:jc w:val="both"/>
        <w:rPr>
          <w:rFonts w:ascii="Arial" w:hAnsi="Arial" w:cs="Arial"/>
        </w:rPr>
      </w:pPr>
      <w:r w:rsidRPr="004A02C3">
        <w:rPr>
          <w:rFonts w:ascii="Arial" w:hAnsi="Arial" w:cs="Arial"/>
        </w:rPr>
        <w:t xml:space="preserve">The study considered maternal education, feeding practices, and </w:t>
      </w:r>
      <w:r w:rsidR="009D2EE1">
        <w:rPr>
          <w:rFonts w:ascii="Arial" w:hAnsi="Arial" w:cs="Arial"/>
        </w:rPr>
        <w:t>socioeconomic status as independent variables, while the child's nutritional status</w:t>
      </w:r>
      <w:r w:rsidRPr="004A02C3">
        <w:rPr>
          <w:rFonts w:ascii="Arial" w:hAnsi="Arial" w:cs="Arial"/>
        </w:rPr>
        <w:t>, classified according to WHO criteria</w:t>
      </w:r>
      <w:r w:rsidR="00D7500C">
        <w:rPr>
          <w:rFonts w:ascii="Arial" w:hAnsi="Arial" w:cs="Arial"/>
        </w:rPr>
        <w:t xml:space="preserve"> </w:t>
      </w:r>
      <w:r w:rsidR="00D7500C" w:rsidRPr="00D7500C">
        <w:rPr>
          <w:rFonts w:ascii="Arial" w:hAnsi="Arial" w:cs="Arial"/>
          <w:highlight w:val="yellow"/>
        </w:rPr>
        <w:t xml:space="preserve">corroborated in the </w:t>
      </w:r>
      <w:r w:rsidR="00B10BE8">
        <w:rPr>
          <w:rFonts w:ascii="Arial" w:hAnsi="Arial" w:cs="Arial"/>
          <w:highlight w:val="yellow"/>
        </w:rPr>
        <w:t>children's ambulatory clinical histories</w:t>
      </w:r>
      <w:r w:rsidRPr="004A02C3">
        <w:rPr>
          <w:rFonts w:ascii="Arial" w:hAnsi="Arial" w:cs="Arial"/>
        </w:rPr>
        <w:t>, served as the dependent variable. Eligible participants were mothers or primary caregivers, including fathers or grandparents, who provided informed consent and were directly involved in the child’s daily care and feeding. Caregivers of children older than five years and individuals unable or unwilling to give informed consent due to language or cognitive barriers were excluded.</w:t>
      </w:r>
    </w:p>
    <w:p w:rsidR="00F01DDE" w:rsidRPr="004A02C3" w:rsidRDefault="00F01DDE" w:rsidP="00F61D00">
      <w:pPr>
        <w:pStyle w:val="NormalWeb"/>
        <w:spacing w:line="360" w:lineRule="auto"/>
        <w:jc w:val="both"/>
        <w:rPr>
          <w:rFonts w:ascii="Arial" w:hAnsi="Arial" w:cs="Arial"/>
        </w:rPr>
      </w:pPr>
      <w:r w:rsidRPr="004A02C3">
        <w:rPr>
          <w:rFonts w:ascii="Arial" w:hAnsi="Arial" w:cs="Arial"/>
        </w:rPr>
        <w:t xml:space="preserve">Participants were recruited using convenience sampling, whereby eligible caregivers presenting to the </w:t>
      </w:r>
      <w:proofErr w:type="spellStart"/>
      <w:r w:rsidRPr="004A02C3">
        <w:rPr>
          <w:rFonts w:ascii="Arial" w:hAnsi="Arial" w:cs="Arial"/>
        </w:rPr>
        <w:t>Paediatrics</w:t>
      </w:r>
      <w:proofErr w:type="spellEnd"/>
      <w:r w:rsidRPr="004A02C3">
        <w:rPr>
          <w:rFonts w:ascii="Arial" w:hAnsi="Arial" w:cs="Arial"/>
        </w:rPr>
        <w:t xml:space="preserve"> Ward were consecutively invited to participate. Data were collected through a structured, interviewer-administered questionnaire</w:t>
      </w:r>
      <w:r w:rsidR="005023F4">
        <w:rPr>
          <w:rFonts w:ascii="Arial" w:hAnsi="Arial" w:cs="Arial"/>
        </w:rPr>
        <w:t xml:space="preserve"> </w:t>
      </w:r>
      <w:r w:rsidR="005023F4" w:rsidRPr="005023F4">
        <w:rPr>
          <w:rFonts w:ascii="Arial" w:hAnsi="Arial" w:cs="Arial"/>
          <w:highlight w:val="yellow"/>
        </w:rPr>
        <w:t xml:space="preserve">adapted from validated questionnaires </w:t>
      </w:r>
      <w:r w:rsidR="005023F4" w:rsidRPr="005023F4">
        <w:rPr>
          <w:rFonts w:ascii="Arial" w:hAnsi="Arial" w:cs="Arial"/>
          <w:highlight w:val="yellow"/>
        </w:rPr>
        <w:fldChar w:fldCharType="begin" w:fldLock="1"/>
      </w:r>
      <w:r w:rsidR="0067184B">
        <w:rPr>
          <w:rFonts w:ascii="Arial" w:hAnsi="Arial" w:cs="Arial"/>
          <w:highlight w:val="yellow"/>
        </w:rPr>
        <w:instrText>ADDIN CSL_CITATION {"citationItems":[{"id":"ITEM-1","itemData":{"ISBN":"9789241596664","ISSN":"00029165","PMID":"22030229","abstract":"vi, 81 p.","author":[{"dropping-particle":"","family":"UNICEF","given":"","non-dropping-particle":"","parse-names":false,"suffix":""}],"container-title":"World Health Organization","id":"ITEM-1","issued":{"date-parts":[["2010"]]},"number-of-pages":"19","title":"Indicators for Assessing Infant and Young Child Feeding Practices","type":"book","volume":"WHA55 A55/"},"uris":["http://www.mendeley.com/documents/?uuid=45af457e-90f5-4925-b622-0cfcf1e8c32c","http://www.mendeley.com/documents/?uuid=52fa2c8a-fd44-43d0-ae6c-634c23ca087e"]}],"mendeley":{"formattedCitation":"[21]","plainTextFormattedCitation":"[21]","previouslyFormattedCitation":"[20]"},"properties":{"noteIndex":0},"schema":"https://github.com/citation-style-language/schema/raw/master/csl-citation.json"}</w:instrText>
      </w:r>
      <w:r w:rsidR="005023F4" w:rsidRPr="005023F4">
        <w:rPr>
          <w:rFonts w:ascii="Arial" w:hAnsi="Arial" w:cs="Arial"/>
          <w:highlight w:val="yellow"/>
        </w:rPr>
        <w:fldChar w:fldCharType="separate"/>
      </w:r>
      <w:r w:rsidR="0067184B" w:rsidRPr="0067184B">
        <w:rPr>
          <w:rFonts w:ascii="Arial" w:hAnsi="Arial" w:cs="Arial"/>
          <w:noProof/>
          <w:highlight w:val="yellow"/>
        </w:rPr>
        <w:t>[21]</w:t>
      </w:r>
      <w:r w:rsidR="005023F4" w:rsidRPr="005023F4">
        <w:rPr>
          <w:rFonts w:ascii="Arial" w:hAnsi="Arial" w:cs="Arial"/>
          <w:highlight w:val="yellow"/>
        </w:rPr>
        <w:fldChar w:fldCharType="end"/>
      </w:r>
      <w:r w:rsidR="005023F4">
        <w:rPr>
          <w:rFonts w:ascii="Arial" w:hAnsi="Arial" w:cs="Arial"/>
          <w:highlight w:val="yellow"/>
        </w:rPr>
        <w:fldChar w:fldCharType="begin" w:fldLock="1"/>
      </w:r>
      <w:r w:rsidR="0067184B">
        <w:rPr>
          <w:rFonts w:ascii="Arial" w:hAnsi="Arial" w:cs="Arial"/>
          <w:highlight w:val="yellow"/>
        </w:rPr>
        <w:instrText>ADDIN CSL_CITATION {"citationItems":[{"id":"ITEM-1","itemData":{"DOI":"10.52403/ijhsr.20240939","abstract":"Background and Objective: In spite of the recognition of the impact of optimal Infant and Young Child Feeding (IYCF) practices and Child Survival Strategies (CSS) for child health, Nigeria still remains one of the five countries that account for about 50% of under-five mortality in the world. This study was therefore conducted to assess the knowledge and practice of mothers on child feeding practices and child survival strategies in Ibadan. Method: This descriptive cross-sectional study was done using a structured interviewer administered questionnaire to obtain information from 960 mothers of under-five children recruited from three Local Government Areas of Ibadan. Information was collected on mother’s socio-demographic characteristics, knowledge and practice of breastfeeding, complementary feeding, growth monitoring, oral rehydration therapy, immunization, food fortification, female education and vitamin A supplementation. Data analysis was done using SPSS version 21. Result: Majority of the mothers got information regarding child nutrition and care from hospitals (85.9%). 44.5% of respondents practiced exclusive breast feeding. Only 51.5% of mothers practiced the recommended age of complementary food introduction at 6 months. Of all respondents, 74.5% had an average knowledge, 19.5% had good knowledge and only 6.0% poor knowledge of IYCF while 39.7% had poor practice and 60.3% had good practice of IYCF. For CSS, 71.4% had average knowledge, 10.4% had good knowledge and 18.2% poor knowledge while 10.2% had poor practice and 89.8% had good practice of CSS. Conclusion: Knowledge of IYCF was higher than practice while level of practice of CSS was higher than its knowledge. Only education and source of information had a statistical significance with both IYCF and CSS. Although respondents demonstrated adequate practice of most of the components of CSS, there were gaps in knowledge, which was the direct opposite for IYCF. Also, the study reaffirms the importance of education and source of information in the knowledge and practice of IYCF and CSS. Key words: Child survival, Child Feeding, Mothers, Knowledge, Practice","author":[{"dropping-particle":"","family":"Muyide","given":"Abimbola Magret","non-dropping-particle":"","parse-names":false,"suffix":""},{"dropping-particle":"","family":"Sanusi","given":"Rasaki Ajani","non-dropping-particle":"","parse-names":false,"suffix":""}],"container-title":"International Journal of Health Sciences and Research","id":"ITEM-1","issue":"9","issued":{"date-parts":[["2024"]]},"page":"293-304","title":"Knowledge and Practice of Mothers on Child Feeding Practices and Child Survival Strategies in Ibadan","type":"article-journal","volume":"14"},"uris":["http://www.mendeley.com/documents/?uuid=ae103c7a-9002-4235-9a3f-7571ce0d8559","http://www.mendeley.com/documents/?uuid=371ef355-877f-4a02-b368-94be2c26cf06"]}],"mendeley":{"formattedCitation":"[22]","plainTextFormattedCitation":"[22]","previouslyFormattedCitation":"[21]"},"properties":{"noteIndex":0},"schema":"https://github.com/citation-style-language/schema/raw/master/csl-citation.json"}</w:instrText>
      </w:r>
      <w:r w:rsidR="005023F4">
        <w:rPr>
          <w:rFonts w:ascii="Arial" w:hAnsi="Arial" w:cs="Arial"/>
          <w:highlight w:val="yellow"/>
        </w:rPr>
        <w:fldChar w:fldCharType="separate"/>
      </w:r>
      <w:r w:rsidR="0067184B" w:rsidRPr="0067184B">
        <w:rPr>
          <w:rFonts w:ascii="Arial" w:hAnsi="Arial" w:cs="Arial"/>
          <w:noProof/>
          <w:highlight w:val="yellow"/>
        </w:rPr>
        <w:t>[22]</w:t>
      </w:r>
      <w:r w:rsidR="005023F4">
        <w:rPr>
          <w:rFonts w:ascii="Arial" w:hAnsi="Arial" w:cs="Arial"/>
          <w:highlight w:val="yellow"/>
        </w:rPr>
        <w:fldChar w:fldCharType="end"/>
      </w:r>
      <w:r w:rsidRPr="004A02C3">
        <w:rPr>
          <w:rFonts w:ascii="Arial" w:hAnsi="Arial" w:cs="Arial"/>
        </w:rPr>
        <w:t xml:space="preserve"> designed to capture sociodemographic details, maternal feeding practices, and child nutritional indicators. The questionnaire consisted of clear, </w:t>
      </w:r>
      <w:r w:rsidRPr="00B10BE8">
        <w:rPr>
          <w:rFonts w:ascii="Arial" w:hAnsi="Arial" w:cs="Arial"/>
          <w:highlight w:val="yellow"/>
        </w:rPr>
        <w:t xml:space="preserve">closed-ended items to </w:t>
      </w:r>
      <w:r w:rsidR="00B10BE8" w:rsidRPr="00B10BE8">
        <w:rPr>
          <w:rFonts w:ascii="Arial" w:hAnsi="Arial" w:cs="Arial"/>
          <w:highlight w:val="yellow"/>
        </w:rPr>
        <w:t>ensure accurate, consistent</w:t>
      </w:r>
      <w:r w:rsidRPr="00B10BE8">
        <w:rPr>
          <w:rFonts w:ascii="Arial" w:hAnsi="Arial" w:cs="Arial"/>
          <w:highlight w:val="yellow"/>
        </w:rPr>
        <w:t xml:space="preserve"> responses.</w:t>
      </w:r>
      <w:r w:rsidRPr="004A02C3">
        <w:rPr>
          <w:rFonts w:ascii="Arial" w:hAnsi="Arial" w:cs="Arial"/>
        </w:rPr>
        <w:t xml:space="preserve"> Trained data collectors administered the tool using standardized procedures.</w:t>
      </w:r>
    </w:p>
    <w:p w:rsidR="00F01DDE" w:rsidRPr="004A02C3" w:rsidRDefault="00F01DDE" w:rsidP="00F61D00">
      <w:pPr>
        <w:pStyle w:val="NormalWeb"/>
        <w:spacing w:line="360" w:lineRule="auto"/>
        <w:jc w:val="both"/>
        <w:rPr>
          <w:rFonts w:ascii="Arial" w:hAnsi="Arial" w:cs="Arial"/>
        </w:rPr>
      </w:pPr>
      <w:r w:rsidRPr="004A02C3">
        <w:rPr>
          <w:rFonts w:ascii="Arial" w:hAnsi="Arial" w:cs="Arial"/>
        </w:rPr>
        <w:lastRenderedPageBreak/>
        <w:t xml:space="preserve">Data analysis was conducted using SPSS version 23. Descriptive statistics, including frequencies, percentages, and means, were used to </w:t>
      </w:r>
      <w:r w:rsidR="009D2EE1">
        <w:rPr>
          <w:rFonts w:ascii="Arial" w:hAnsi="Arial" w:cs="Arial"/>
        </w:rPr>
        <w:t>summarize participant characteristics and the prevalence of malnutrition</w:t>
      </w:r>
      <w:r w:rsidRPr="004A02C3">
        <w:rPr>
          <w:rFonts w:ascii="Arial" w:hAnsi="Arial" w:cs="Arial"/>
        </w:rPr>
        <w:t>. Associations between maternal factors and child nutritional status were assessed using chi-square or likelihood-ratio chi-square tests, with statistical significance set at p &lt; 0.05. Ethical approval for the study was obtained from the Zanzibar Health Research Institute, and permission to conduct the research was granted by the School of Health and Medical Sciences at the State University of Zanzibar. Written informed consent was obtained from all participants, and confidentiality was maintained by omitting personal identifiers and securely storing all data.</w:t>
      </w:r>
    </w:p>
    <w:p w:rsidR="00F01DDE" w:rsidRPr="00410C5A" w:rsidRDefault="00F01DDE" w:rsidP="00F61D00">
      <w:pPr>
        <w:pStyle w:val="Heading1"/>
        <w:spacing w:line="360" w:lineRule="auto"/>
        <w:jc w:val="both"/>
        <w:rPr>
          <w:rFonts w:ascii="Arial" w:hAnsi="Arial" w:cs="Arial"/>
          <w:bCs/>
          <w:color w:val="000000"/>
          <w:sz w:val="24"/>
          <w:szCs w:val="24"/>
        </w:rPr>
      </w:pPr>
      <w:r>
        <w:rPr>
          <w:rFonts w:ascii="Arial" w:hAnsi="Arial" w:cs="Arial"/>
          <w:bCs/>
          <w:color w:val="000000"/>
          <w:sz w:val="24"/>
          <w:szCs w:val="24"/>
        </w:rPr>
        <w:t>R</w:t>
      </w:r>
      <w:r w:rsidRPr="00410C5A">
        <w:rPr>
          <w:rFonts w:ascii="Arial" w:hAnsi="Arial" w:cs="Arial"/>
          <w:bCs/>
          <w:color w:val="000000"/>
          <w:sz w:val="24"/>
          <w:szCs w:val="24"/>
        </w:rPr>
        <w:t>esult</w:t>
      </w:r>
      <w:bookmarkEnd w:id="2"/>
      <w:r w:rsidRPr="00410C5A">
        <w:rPr>
          <w:rFonts w:ascii="Arial" w:hAnsi="Arial" w:cs="Arial"/>
          <w:bCs/>
          <w:color w:val="000000"/>
          <w:sz w:val="24"/>
          <w:szCs w:val="24"/>
        </w:rPr>
        <w:t>s</w:t>
      </w:r>
    </w:p>
    <w:p w:rsidR="00F01DDE" w:rsidRPr="00410C5A" w:rsidRDefault="00F01DDE" w:rsidP="00F61D00">
      <w:pPr>
        <w:pStyle w:val="Heading1"/>
        <w:spacing w:line="360" w:lineRule="auto"/>
        <w:jc w:val="both"/>
        <w:rPr>
          <w:rFonts w:ascii="Arial" w:hAnsi="Arial" w:cs="Arial"/>
          <w:i/>
          <w:sz w:val="24"/>
          <w:szCs w:val="24"/>
        </w:rPr>
      </w:pPr>
      <w:r w:rsidRPr="004A02C3">
        <w:rPr>
          <w:rFonts w:ascii="Arial" w:hAnsi="Arial" w:cs="Arial"/>
          <w:color w:val="000000"/>
          <w:sz w:val="24"/>
          <w:szCs w:val="24"/>
        </w:rPr>
        <w:t xml:space="preserve"> </w:t>
      </w:r>
      <w:r w:rsidRPr="00410C5A">
        <w:rPr>
          <w:rStyle w:val="Strong"/>
          <w:rFonts w:ascii="Arial" w:hAnsi="Arial" w:cs="Arial"/>
          <w:b w:val="0"/>
          <w:bCs w:val="0"/>
          <w:i/>
          <w:color w:val="auto"/>
          <w:sz w:val="24"/>
          <w:szCs w:val="24"/>
        </w:rPr>
        <w:t>Sociodemographic Characteristics of Respondents</w:t>
      </w:r>
    </w:p>
    <w:p w:rsidR="00F01DDE" w:rsidRPr="004A02C3" w:rsidRDefault="00F01DDE" w:rsidP="00F61D00">
      <w:pPr>
        <w:pStyle w:val="NormalWeb"/>
        <w:spacing w:line="360" w:lineRule="auto"/>
        <w:jc w:val="both"/>
        <w:rPr>
          <w:rFonts w:ascii="Arial" w:hAnsi="Arial" w:cs="Arial"/>
        </w:rPr>
      </w:pPr>
      <w:r w:rsidRPr="004A02C3">
        <w:rPr>
          <w:rFonts w:ascii="Arial" w:hAnsi="Arial" w:cs="Arial"/>
        </w:rPr>
        <w:t>A total of 96 caregivers participated in the study. Most of the res</w:t>
      </w:r>
      <w:r>
        <w:rPr>
          <w:rFonts w:ascii="Arial" w:hAnsi="Arial" w:cs="Arial"/>
        </w:rPr>
        <w:t>p</w:t>
      </w:r>
      <w:r w:rsidRPr="004A02C3">
        <w:rPr>
          <w:rFonts w:ascii="Arial" w:hAnsi="Arial" w:cs="Arial"/>
        </w:rPr>
        <w:t>ondents were female (64.6%), while males account</w:t>
      </w:r>
      <w:r w:rsidR="00F21F8A">
        <w:rPr>
          <w:rFonts w:ascii="Arial" w:hAnsi="Arial" w:cs="Arial"/>
        </w:rPr>
        <w:t xml:space="preserve">ed for 35.4%. Regarding </w:t>
      </w:r>
      <w:r w:rsidR="00F21F8A" w:rsidRPr="00F21F8A">
        <w:rPr>
          <w:rFonts w:ascii="Arial" w:hAnsi="Arial" w:cs="Arial"/>
          <w:highlight w:val="yellow"/>
        </w:rPr>
        <w:t>caregiver</w:t>
      </w:r>
      <w:r w:rsidRPr="00F21F8A">
        <w:rPr>
          <w:rFonts w:ascii="Arial" w:hAnsi="Arial" w:cs="Arial"/>
          <w:highlight w:val="yellow"/>
        </w:rPr>
        <w:t xml:space="preserve"> education</w:t>
      </w:r>
      <w:r w:rsidRPr="004A02C3">
        <w:rPr>
          <w:rFonts w:ascii="Arial" w:hAnsi="Arial" w:cs="Arial"/>
        </w:rPr>
        <w:t xml:space="preserve">, over half of the </w:t>
      </w:r>
      <w:r w:rsidR="00F21F8A" w:rsidRPr="00F21F8A">
        <w:rPr>
          <w:rFonts w:ascii="Arial" w:hAnsi="Arial" w:cs="Arial"/>
          <w:highlight w:val="yellow"/>
        </w:rPr>
        <w:t>caregivers</w:t>
      </w:r>
      <w:r w:rsidRPr="004A02C3">
        <w:rPr>
          <w:rFonts w:ascii="Arial" w:hAnsi="Arial" w:cs="Arial"/>
        </w:rPr>
        <w:t xml:space="preserve"> (52.1%) had attained secondary education, whereas 21.9% had primary education, 16.7% had no formal education, and only 9.4% had higher education.</w:t>
      </w:r>
    </w:p>
    <w:p w:rsidR="00F01DDE" w:rsidRPr="004A02C3" w:rsidRDefault="00F01DDE" w:rsidP="00F61D00">
      <w:pPr>
        <w:pStyle w:val="NormalWeb"/>
        <w:spacing w:line="360" w:lineRule="auto"/>
        <w:jc w:val="both"/>
        <w:rPr>
          <w:rFonts w:ascii="Arial" w:hAnsi="Arial" w:cs="Arial"/>
        </w:rPr>
      </w:pPr>
      <w:r w:rsidRPr="004A02C3">
        <w:rPr>
          <w:rFonts w:ascii="Arial" w:hAnsi="Arial" w:cs="Arial"/>
        </w:rPr>
        <w:t xml:space="preserve">The majority of respondents were married (94.8%), with only a small proportion reporting being single (4.2%) or divorced (1.0%). In terms of occupation, slightly more than half </w:t>
      </w:r>
      <w:r w:rsidR="00B10BE8">
        <w:rPr>
          <w:rFonts w:ascii="Arial" w:hAnsi="Arial" w:cs="Arial"/>
        </w:rPr>
        <w:t>(52.1%) of the caregivers were unemployed, 42.7% were self-employed,</w:t>
      </w:r>
      <w:r w:rsidRPr="004A02C3">
        <w:rPr>
          <w:rFonts w:ascii="Arial" w:hAnsi="Arial" w:cs="Arial"/>
        </w:rPr>
        <w:t xml:space="preserve"> and 5.2% were formally employed.</w:t>
      </w:r>
    </w:p>
    <w:p w:rsidR="00F01DDE" w:rsidRPr="004A02C3" w:rsidRDefault="00F01DDE" w:rsidP="00F61D00">
      <w:pPr>
        <w:pStyle w:val="NormalWeb"/>
        <w:spacing w:line="360" w:lineRule="auto"/>
        <w:jc w:val="both"/>
        <w:rPr>
          <w:rFonts w:ascii="Arial" w:hAnsi="Arial" w:cs="Arial"/>
        </w:rPr>
      </w:pPr>
      <w:r w:rsidRPr="00410C5A">
        <w:rPr>
          <w:rStyle w:val="Strong"/>
          <w:rFonts w:ascii="Arial" w:hAnsi="Arial" w:cs="Arial"/>
          <w:b w:val="0"/>
        </w:rPr>
        <w:t>Overall, the demographic profile indicates that respondents were predominantly married women with secondary education and limited formal employment</w:t>
      </w:r>
      <w:r w:rsidRPr="004A02C3">
        <w:rPr>
          <w:rFonts w:ascii="Arial" w:hAnsi="Arial" w:cs="Arial"/>
        </w:rPr>
        <w:t>, which may have implications for household income and access to nutrition information.</w:t>
      </w:r>
    </w:p>
    <w:p w:rsidR="00F01DDE" w:rsidRPr="004A02C3" w:rsidRDefault="00F01DDE" w:rsidP="00F01DDE">
      <w:pPr>
        <w:spacing w:line="360" w:lineRule="auto"/>
        <w:rPr>
          <w:rFonts w:ascii="Arial" w:hAnsi="Arial" w:cs="Arial"/>
          <w:color w:val="000000"/>
          <w:sz w:val="24"/>
          <w:szCs w:val="24"/>
        </w:rPr>
      </w:pPr>
    </w:p>
    <w:p w:rsidR="00F01DDE" w:rsidRPr="004A02C3" w:rsidRDefault="00F01DDE" w:rsidP="00F01DDE">
      <w:pPr>
        <w:spacing w:line="360" w:lineRule="auto"/>
        <w:jc w:val="both"/>
        <w:rPr>
          <w:rFonts w:ascii="Arial" w:hAnsi="Arial" w:cs="Arial"/>
          <w:b/>
          <w:color w:val="000000"/>
          <w:sz w:val="24"/>
          <w:szCs w:val="24"/>
        </w:rPr>
      </w:pPr>
      <w:bookmarkStart w:id="3" w:name="_Toc183254846"/>
      <w:bookmarkEnd w:id="3"/>
      <w:r w:rsidRPr="004A02C3">
        <w:rPr>
          <w:rStyle w:val="Strong"/>
          <w:rFonts w:ascii="Arial" w:hAnsi="Arial" w:cs="Arial"/>
          <w:bCs w:val="0"/>
          <w:sz w:val="24"/>
          <w:szCs w:val="24"/>
        </w:rPr>
        <w:t>Table</w:t>
      </w:r>
      <w:r w:rsidR="009D2EE1">
        <w:rPr>
          <w:rStyle w:val="Strong"/>
          <w:rFonts w:ascii="Arial" w:hAnsi="Arial" w:cs="Arial"/>
          <w:bCs w:val="0"/>
          <w:sz w:val="24"/>
          <w:szCs w:val="24"/>
        </w:rPr>
        <w:t xml:space="preserve"> 1: Demographic Characteristics of Respondents (N = 96) children</w:t>
      </w:r>
      <w:r w:rsidR="00276B3B">
        <w:rPr>
          <w:rFonts w:ascii="Arial" w:hAnsi="Arial" w:cs="Arial"/>
          <w:b/>
          <w:color w:val="000000"/>
          <w:sz w:val="24"/>
          <w:szCs w:val="24"/>
        </w:rPr>
        <w:t xml:space="preserve"> under five</w:t>
      </w:r>
      <w:r w:rsidRPr="004A02C3">
        <w:rPr>
          <w:rFonts w:ascii="Arial" w:hAnsi="Arial" w:cs="Arial"/>
          <w:b/>
          <w:color w:val="000000"/>
          <w:sz w:val="24"/>
          <w:szCs w:val="24"/>
        </w:rPr>
        <w:t xml:space="preserve"> years old at </w:t>
      </w:r>
      <w:proofErr w:type="spellStart"/>
      <w:r w:rsidRPr="004A02C3">
        <w:rPr>
          <w:rFonts w:ascii="Arial" w:hAnsi="Arial" w:cs="Arial"/>
          <w:b/>
          <w:color w:val="000000"/>
          <w:sz w:val="24"/>
          <w:szCs w:val="24"/>
        </w:rPr>
        <w:t>Jitimai</w:t>
      </w:r>
      <w:proofErr w:type="spellEnd"/>
      <w:r w:rsidRPr="004A02C3">
        <w:rPr>
          <w:rFonts w:ascii="Arial" w:hAnsi="Arial" w:cs="Arial"/>
          <w:b/>
          <w:color w:val="000000"/>
          <w:sz w:val="24"/>
          <w:szCs w:val="24"/>
        </w:rPr>
        <w:t xml:space="preserve"> District Hospital</w:t>
      </w:r>
      <w:r w:rsidR="009D2EE1">
        <w:rPr>
          <w:rFonts w:ascii="Arial" w:hAnsi="Arial" w:cs="Arial"/>
          <w:b/>
          <w:color w:val="000000"/>
          <w:sz w:val="24"/>
          <w:szCs w:val="24"/>
        </w:rPr>
        <w:t xml:space="preserve">, Zanzibar </w:t>
      </w:r>
    </w:p>
    <w:p w:rsidR="00F01DDE" w:rsidRPr="004A02C3" w:rsidRDefault="00F01DDE" w:rsidP="00F01DDE">
      <w:pPr>
        <w:pStyle w:val="Heading2"/>
        <w:spacing w:line="360" w:lineRule="auto"/>
        <w:rPr>
          <w:rFonts w:ascii="Arial" w:hAnsi="Arial" w:cs="Arial"/>
          <w:sz w:val="24"/>
          <w:szCs w:val="24"/>
        </w:rPr>
      </w:pP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2636"/>
        <w:gridCol w:w="1647"/>
        <w:gridCol w:w="1809"/>
      </w:tblGrid>
      <w:tr w:rsidR="00F01DDE" w:rsidRPr="004A02C3" w:rsidTr="002A0A2C">
        <w:trPr>
          <w:tblHeader/>
          <w:tblCellSpacing w:w="15" w:type="dxa"/>
        </w:trPr>
        <w:tc>
          <w:tcPr>
            <w:tcW w:w="0" w:type="auto"/>
            <w:tcBorders>
              <w:top w:val="thinThickSmallGap" w:sz="24" w:space="0" w:color="auto"/>
              <w:bottom w:val="single" w:sz="4" w:space="0" w:color="auto"/>
            </w:tcBorders>
            <w:vAlign w:val="center"/>
            <w:hideMark/>
          </w:tcPr>
          <w:p w:rsidR="00F01DDE" w:rsidRPr="004A02C3" w:rsidRDefault="00F01DDE" w:rsidP="002A0A2C">
            <w:pPr>
              <w:spacing w:line="360" w:lineRule="auto"/>
              <w:jc w:val="center"/>
              <w:rPr>
                <w:rFonts w:ascii="Arial" w:hAnsi="Arial" w:cs="Arial"/>
                <w:b/>
                <w:bCs/>
                <w:sz w:val="24"/>
                <w:szCs w:val="24"/>
              </w:rPr>
            </w:pPr>
            <w:r w:rsidRPr="004A02C3">
              <w:rPr>
                <w:rStyle w:val="Strong"/>
                <w:rFonts w:ascii="Arial" w:hAnsi="Arial" w:cs="Arial"/>
                <w:sz w:val="24"/>
                <w:szCs w:val="24"/>
              </w:rPr>
              <w:t>Item</w:t>
            </w:r>
          </w:p>
        </w:tc>
        <w:tc>
          <w:tcPr>
            <w:tcW w:w="0" w:type="auto"/>
            <w:tcBorders>
              <w:top w:val="thinThickSmallGap" w:sz="24" w:space="0" w:color="auto"/>
              <w:bottom w:val="single" w:sz="4" w:space="0" w:color="auto"/>
            </w:tcBorders>
            <w:vAlign w:val="center"/>
            <w:hideMark/>
          </w:tcPr>
          <w:p w:rsidR="00F01DDE" w:rsidRPr="004A02C3" w:rsidRDefault="00F01DDE" w:rsidP="002A0A2C">
            <w:pPr>
              <w:spacing w:line="360" w:lineRule="auto"/>
              <w:jc w:val="center"/>
              <w:rPr>
                <w:rFonts w:ascii="Arial" w:hAnsi="Arial" w:cs="Arial"/>
                <w:b/>
                <w:bCs/>
                <w:sz w:val="24"/>
                <w:szCs w:val="24"/>
              </w:rPr>
            </w:pPr>
            <w:r w:rsidRPr="004A02C3">
              <w:rPr>
                <w:rStyle w:val="Strong"/>
                <w:rFonts w:ascii="Arial" w:hAnsi="Arial" w:cs="Arial"/>
                <w:sz w:val="24"/>
                <w:szCs w:val="24"/>
              </w:rPr>
              <w:t>Frequency (n)</w:t>
            </w:r>
          </w:p>
        </w:tc>
        <w:tc>
          <w:tcPr>
            <w:tcW w:w="0" w:type="auto"/>
            <w:tcBorders>
              <w:top w:val="thinThickSmallGap" w:sz="24" w:space="0" w:color="auto"/>
              <w:bottom w:val="single" w:sz="4" w:space="0" w:color="auto"/>
            </w:tcBorders>
            <w:vAlign w:val="center"/>
            <w:hideMark/>
          </w:tcPr>
          <w:p w:rsidR="00F01DDE" w:rsidRPr="004A02C3" w:rsidRDefault="00F01DDE" w:rsidP="002A0A2C">
            <w:pPr>
              <w:spacing w:line="360" w:lineRule="auto"/>
              <w:jc w:val="center"/>
              <w:rPr>
                <w:rFonts w:ascii="Arial" w:hAnsi="Arial" w:cs="Arial"/>
                <w:b/>
                <w:bCs/>
                <w:sz w:val="24"/>
                <w:szCs w:val="24"/>
              </w:rPr>
            </w:pPr>
            <w:r w:rsidRPr="004A02C3">
              <w:rPr>
                <w:rStyle w:val="Strong"/>
                <w:rFonts w:ascii="Arial" w:hAnsi="Arial" w:cs="Arial"/>
                <w:sz w:val="24"/>
                <w:szCs w:val="24"/>
              </w:rPr>
              <w:t>Percentage (%)</w:t>
            </w:r>
          </w:p>
        </w:tc>
      </w:tr>
      <w:tr w:rsidR="00F01DDE" w:rsidRPr="004A02C3" w:rsidTr="002A0A2C">
        <w:trPr>
          <w:tblCellSpacing w:w="15" w:type="dxa"/>
        </w:trPr>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Style w:val="Strong"/>
                <w:rFonts w:ascii="Arial" w:hAnsi="Arial" w:cs="Arial"/>
                <w:sz w:val="24"/>
                <w:szCs w:val="24"/>
              </w:rPr>
              <w:t>Responder’s  Gender</w:t>
            </w:r>
          </w:p>
        </w:tc>
        <w:tc>
          <w:tcPr>
            <w:tcW w:w="0" w:type="auto"/>
            <w:vAlign w:val="center"/>
            <w:hideMark/>
          </w:tcPr>
          <w:p w:rsidR="00F01DDE" w:rsidRPr="004A02C3" w:rsidRDefault="00F01DDE" w:rsidP="002A0A2C">
            <w:pPr>
              <w:spacing w:line="360" w:lineRule="auto"/>
              <w:rPr>
                <w:rFonts w:ascii="Arial" w:hAnsi="Arial" w:cs="Arial"/>
                <w:sz w:val="24"/>
                <w:szCs w:val="24"/>
              </w:rPr>
            </w:pPr>
          </w:p>
        </w:tc>
        <w:tc>
          <w:tcPr>
            <w:tcW w:w="0" w:type="auto"/>
            <w:vAlign w:val="center"/>
            <w:hideMark/>
          </w:tcPr>
          <w:p w:rsidR="00F01DDE" w:rsidRPr="004A02C3" w:rsidRDefault="00F01DDE" w:rsidP="002A0A2C">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Male</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34</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35.4</w:t>
            </w:r>
          </w:p>
        </w:tc>
      </w:tr>
      <w:tr w:rsidR="00F01DDE" w:rsidRPr="004A02C3" w:rsidTr="002A0A2C">
        <w:trPr>
          <w:tblCellSpacing w:w="15" w:type="dxa"/>
        </w:trPr>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Female</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62</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64.6</w:t>
            </w:r>
          </w:p>
        </w:tc>
      </w:tr>
      <w:tr w:rsidR="00F01DDE" w:rsidRPr="004A02C3" w:rsidTr="002A0A2C">
        <w:trPr>
          <w:tblCellSpacing w:w="15" w:type="dxa"/>
        </w:trPr>
        <w:tc>
          <w:tcPr>
            <w:tcW w:w="0" w:type="auto"/>
            <w:vAlign w:val="center"/>
            <w:hideMark/>
          </w:tcPr>
          <w:p w:rsidR="00F01DDE" w:rsidRPr="004A02C3" w:rsidRDefault="00F01DDE" w:rsidP="002A0A2C">
            <w:pPr>
              <w:spacing w:line="360" w:lineRule="auto"/>
              <w:rPr>
                <w:rStyle w:val="Strong"/>
                <w:rFonts w:ascii="Arial" w:hAnsi="Arial" w:cs="Arial"/>
                <w:sz w:val="24"/>
                <w:szCs w:val="24"/>
              </w:rPr>
            </w:pPr>
            <w:r w:rsidRPr="004A02C3">
              <w:rPr>
                <w:rStyle w:val="Strong"/>
                <w:rFonts w:ascii="Arial" w:hAnsi="Arial" w:cs="Arial"/>
                <w:sz w:val="24"/>
                <w:szCs w:val="24"/>
              </w:rPr>
              <w:t xml:space="preserve">Education Level of the </w:t>
            </w:r>
          </w:p>
          <w:p w:rsidR="00F01DDE" w:rsidRPr="00F21F8A" w:rsidRDefault="00F21F8A" w:rsidP="002A0A2C">
            <w:pPr>
              <w:spacing w:line="360" w:lineRule="auto"/>
              <w:rPr>
                <w:rFonts w:ascii="Arial" w:hAnsi="Arial" w:cs="Arial"/>
                <w:b/>
                <w:sz w:val="24"/>
                <w:szCs w:val="24"/>
              </w:rPr>
            </w:pPr>
            <w:r w:rsidRPr="00F21F8A">
              <w:rPr>
                <w:rFonts w:ascii="Arial" w:hAnsi="Arial" w:cs="Arial"/>
                <w:b/>
                <w:highlight w:val="yellow"/>
              </w:rPr>
              <w:t>Caregivers</w:t>
            </w:r>
          </w:p>
        </w:tc>
        <w:tc>
          <w:tcPr>
            <w:tcW w:w="0" w:type="auto"/>
            <w:vAlign w:val="center"/>
            <w:hideMark/>
          </w:tcPr>
          <w:p w:rsidR="00F01DDE" w:rsidRPr="004A02C3" w:rsidRDefault="00F01DDE" w:rsidP="002A0A2C">
            <w:pPr>
              <w:spacing w:line="360" w:lineRule="auto"/>
              <w:rPr>
                <w:rFonts w:ascii="Arial" w:hAnsi="Arial" w:cs="Arial"/>
                <w:sz w:val="24"/>
                <w:szCs w:val="24"/>
              </w:rPr>
            </w:pPr>
          </w:p>
        </w:tc>
        <w:tc>
          <w:tcPr>
            <w:tcW w:w="0" w:type="auto"/>
            <w:vAlign w:val="center"/>
            <w:hideMark/>
          </w:tcPr>
          <w:p w:rsidR="00F01DDE" w:rsidRPr="004A02C3" w:rsidRDefault="00F01DDE" w:rsidP="002A0A2C">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No formal education</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16</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16.7</w:t>
            </w:r>
          </w:p>
        </w:tc>
      </w:tr>
      <w:tr w:rsidR="00F01DDE" w:rsidRPr="004A02C3" w:rsidTr="002A0A2C">
        <w:trPr>
          <w:tblCellSpacing w:w="15" w:type="dxa"/>
        </w:trPr>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Primary education</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21</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21.9</w:t>
            </w:r>
          </w:p>
        </w:tc>
      </w:tr>
      <w:tr w:rsidR="00F01DDE" w:rsidRPr="004A02C3" w:rsidTr="002A0A2C">
        <w:trPr>
          <w:tblCellSpacing w:w="15" w:type="dxa"/>
        </w:trPr>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Secondary education</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50</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52.1</w:t>
            </w:r>
          </w:p>
        </w:tc>
      </w:tr>
      <w:tr w:rsidR="00F01DDE" w:rsidRPr="004A02C3" w:rsidTr="002A0A2C">
        <w:trPr>
          <w:tblCellSpacing w:w="15" w:type="dxa"/>
        </w:trPr>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Higher education</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9</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9.4</w:t>
            </w:r>
          </w:p>
        </w:tc>
      </w:tr>
      <w:tr w:rsidR="00F01DDE" w:rsidRPr="004A02C3" w:rsidTr="002A0A2C">
        <w:trPr>
          <w:tblCellSpacing w:w="15" w:type="dxa"/>
        </w:trPr>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Style w:val="Strong"/>
                <w:rFonts w:ascii="Arial" w:hAnsi="Arial" w:cs="Arial"/>
                <w:sz w:val="24"/>
                <w:szCs w:val="24"/>
              </w:rPr>
              <w:t>Marital Status</w:t>
            </w:r>
          </w:p>
        </w:tc>
        <w:tc>
          <w:tcPr>
            <w:tcW w:w="0" w:type="auto"/>
            <w:vAlign w:val="center"/>
            <w:hideMark/>
          </w:tcPr>
          <w:p w:rsidR="00F01DDE" w:rsidRPr="004A02C3" w:rsidRDefault="00F01DDE" w:rsidP="002A0A2C">
            <w:pPr>
              <w:spacing w:line="360" w:lineRule="auto"/>
              <w:rPr>
                <w:rFonts w:ascii="Arial" w:hAnsi="Arial" w:cs="Arial"/>
                <w:sz w:val="24"/>
                <w:szCs w:val="24"/>
              </w:rPr>
            </w:pPr>
          </w:p>
        </w:tc>
        <w:tc>
          <w:tcPr>
            <w:tcW w:w="0" w:type="auto"/>
            <w:vAlign w:val="center"/>
            <w:hideMark/>
          </w:tcPr>
          <w:p w:rsidR="00F01DDE" w:rsidRPr="004A02C3" w:rsidRDefault="00F01DDE" w:rsidP="002A0A2C">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Married</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91</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94.8</w:t>
            </w:r>
          </w:p>
        </w:tc>
      </w:tr>
      <w:tr w:rsidR="00F01DDE" w:rsidRPr="004A02C3" w:rsidTr="002A0A2C">
        <w:trPr>
          <w:tblCellSpacing w:w="15" w:type="dxa"/>
        </w:trPr>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Single</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4</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4.2</w:t>
            </w:r>
          </w:p>
        </w:tc>
      </w:tr>
      <w:tr w:rsidR="00F01DDE" w:rsidRPr="004A02C3" w:rsidTr="002A0A2C">
        <w:trPr>
          <w:tblCellSpacing w:w="15" w:type="dxa"/>
        </w:trPr>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Divorced</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1</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1.0</w:t>
            </w:r>
          </w:p>
        </w:tc>
      </w:tr>
      <w:tr w:rsidR="00F01DDE" w:rsidRPr="004A02C3" w:rsidTr="002A0A2C">
        <w:trPr>
          <w:tblCellSpacing w:w="15" w:type="dxa"/>
        </w:trPr>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Style w:val="Strong"/>
                <w:rFonts w:ascii="Arial" w:hAnsi="Arial" w:cs="Arial"/>
                <w:sz w:val="24"/>
                <w:szCs w:val="24"/>
              </w:rPr>
              <w:t>Occupation</w:t>
            </w:r>
          </w:p>
        </w:tc>
        <w:tc>
          <w:tcPr>
            <w:tcW w:w="0" w:type="auto"/>
            <w:vAlign w:val="center"/>
            <w:hideMark/>
          </w:tcPr>
          <w:p w:rsidR="00F01DDE" w:rsidRPr="004A02C3" w:rsidRDefault="00F01DDE" w:rsidP="002A0A2C">
            <w:pPr>
              <w:spacing w:line="360" w:lineRule="auto"/>
              <w:rPr>
                <w:rFonts w:ascii="Arial" w:hAnsi="Arial" w:cs="Arial"/>
                <w:sz w:val="24"/>
                <w:szCs w:val="24"/>
              </w:rPr>
            </w:pPr>
          </w:p>
        </w:tc>
        <w:tc>
          <w:tcPr>
            <w:tcW w:w="0" w:type="auto"/>
            <w:vAlign w:val="center"/>
            <w:hideMark/>
          </w:tcPr>
          <w:p w:rsidR="00F01DDE" w:rsidRPr="004A02C3" w:rsidRDefault="00F01DDE" w:rsidP="002A0A2C">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Unemployed</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50</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52.1</w:t>
            </w:r>
          </w:p>
        </w:tc>
      </w:tr>
      <w:tr w:rsidR="00F01DDE" w:rsidRPr="004A02C3" w:rsidTr="002A0A2C">
        <w:trPr>
          <w:tblCellSpacing w:w="15" w:type="dxa"/>
        </w:trPr>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Self-employed</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41</w:t>
            </w:r>
          </w:p>
        </w:tc>
        <w:tc>
          <w:tcPr>
            <w:tcW w:w="0" w:type="auto"/>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42.7</w:t>
            </w:r>
          </w:p>
        </w:tc>
      </w:tr>
      <w:tr w:rsidR="00F01DDE" w:rsidRPr="004A02C3" w:rsidTr="002A0A2C">
        <w:trPr>
          <w:tblCellSpacing w:w="15" w:type="dxa"/>
        </w:trPr>
        <w:tc>
          <w:tcPr>
            <w:tcW w:w="0" w:type="auto"/>
            <w:tcBorders>
              <w:bottom w:val="thinThickSmallGap" w:sz="24" w:space="0" w:color="auto"/>
            </w:tcBorders>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Formally employed</w:t>
            </w:r>
          </w:p>
        </w:tc>
        <w:tc>
          <w:tcPr>
            <w:tcW w:w="0" w:type="auto"/>
            <w:tcBorders>
              <w:bottom w:val="thinThickSmallGap" w:sz="24" w:space="0" w:color="auto"/>
            </w:tcBorders>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5</w:t>
            </w:r>
          </w:p>
        </w:tc>
        <w:tc>
          <w:tcPr>
            <w:tcW w:w="0" w:type="auto"/>
            <w:tcBorders>
              <w:bottom w:val="thinThickSmallGap" w:sz="24" w:space="0" w:color="auto"/>
            </w:tcBorders>
            <w:vAlign w:val="center"/>
            <w:hideMark/>
          </w:tcPr>
          <w:p w:rsidR="00F01DDE" w:rsidRPr="004A02C3" w:rsidRDefault="00F01DDE" w:rsidP="002A0A2C">
            <w:pPr>
              <w:spacing w:line="360" w:lineRule="auto"/>
              <w:rPr>
                <w:rFonts w:ascii="Arial" w:hAnsi="Arial" w:cs="Arial"/>
                <w:sz w:val="24"/>
                <w:szCs w:val="24"/>
              </w:rPr>
            </w:pPr>
            <w:r w:rsidRPr="004A02C3">
              <w:rPr>
                <w:rFonts w:ascii="Arial" w:hAnsi="Arial" w:cs="Arial"/>
                <w:sz w:val="24"/>
                <w:szCs w:val="24"/>
              </w:rPr>
              <w:t>5.2</w:t>
            </w:r>
          </w:p>
        </w:tc>
      </w:tr>
    </w:tbl>
    <w:p w:rsidR="00F01DDE" w:rsidRDefault="002A0A2C" w:rsidP="00F01DDE">
      <w:pPr>
        <w:pStyle w:val="Heading2"/>
        <w:spacing w:line="360" w:lineRule="auto"/>
        <w:rPr>
          <w:rFonts w:ascii="Arial" w:hAnsi="Arial" w:cs="Arial"/>
          <w:b/>
          <w:bCs/>
          <w:color w:val="000000"/>
          <w:sz w:val="24"/>
          <w:szCs w:val="24"/>
        </w:rPr>
      </w:pPr>
      <w:bookmarkStart w:id="4" w:name="_Toc200716818"/>
      <w:bookmarkStart w:id="5" w:name="_Toc200716816"/>
      <w:r>
        <w:rPr>
          <w:rFonts w:ascii="Arial" w:hAnsi="Arial" w:cs="Arial"/>
          <w:b/>
          <w:bCs/>
          <w:color w:val="000000"/>
          <w:sz w:val="24"/>
          <w:szCs w:val="24"/>
        </w:rPr>
        <w:lastRenderedPageBreak/>
        <w:br w:type="textWrapping" w:clear="all"/>
      </w:r>
    </w:p>
    <w:p w:rsidR="00F01DDE" w:rsidRDefault="00F01DDE" w:rsidP="00F01DDE">
      <w:pPr>
        <w:pStyle w:val="Heading2"/>
        <w:spacing w:line="360" w:lineRule="auto"/>
        <w:rPr>
          <w:rFonts w:ascii="Arial" w:hAnsi="Arial" w:cs="Arial"/>
          <w:bCs/>
          <w:i/>
          <w:color w:val="000000"/>
          <w:sz w:val="24"/>
          <w:szCs w:val="24"/>
        </w:rPr>
      </w:pPr>
      <w:r>
        <w:rPr>
          <w:rFonts w:ascii="Arial" w:hAnsi="Arial" w:cs="Arial"/>
          <w:bCs/>
          <w:i/>
          <w:color w:val="000000"/>
          <w:sz w:val="24"/>
          <w:szCs w:val="24"/>
        </w:rPr>
        <w:t>Prevalence of</w:t>
      </w:r>
      <w:r w:rsidRPr="00410C5A">
        <w:rPr>
          <w:rFonts w:ascii="Arial" w:hAnsi="Arial" w:cs="Arial"/>
          <w:bCs/>
          <w:i/>
          <w:color w:val="000000"/>
          <w:sz w:val="24"/>
          <w:szCs w:val="24"/>
        </w:rPr>
        <w:t xml:space="preserve"> Malnutrition</w:t>
      </w:r>
      <w:bookmarkEnd w:id="4"/>
      <w:r w:rsidR="00E36F56">
        <w:rPr>
          <w:rFonts w:ascii="Arial" w:hAnsi="Arial" w:cs="Arial"/>
          <w:bCs/>
          <w:i/>
          <w:color w:val="000000"/>
          <w:sz w:val="24"/>
          <w:szCs w:val="24"/>
        </w:rPr>
        <w:t xml:space="preserve"> among </w:t>
      </w:r>
      <w:r w:rsidR="009D2EE1">
        <w:rPr>
          <w:rFonts w:ascii="Arial" w:hAnsi="Arial" w:cs="Arial"/>
          <w:bCs/>
          <w:i/>
          <w:color w:val="000000"/>
          <w:sz w:val="24"/>
          <w:szCs w:val="24"/>
        </w:rPr>
        <w:t>Children</w:t>
      </w:r>
      <w:r w:rsidR="00276B3B">
        <w:rPr>
          <w:rFonts w:ascii="Arial" w:hAnsi="Arial" w:cs="Arial"/>
          <w:bCs/>
          <w:i/>
          <w:color w:val="000000"/>
          <w:sz w:val="24"/>
          <w:szCs w:val="24"/>
        </w:rPr>
        <w:t xml:space="preserve"> under five</w:t>
      </w:r>
      <w:r w:rsidR="00E36F56">
        <w:rPr>
          <w:rFonts w:ascii="Arial" w:hAnsi="Arial" w:cs="Arial"/>
          <w:bCs/>
          <w:i/>
          <w:color w:val="000000"/>
          <w:sz w:val="24"/>
          <w:szCs w:val="24"/>
        </w:rPr>
        <w:t xml:space="preserve">  </w:t>
      </w:r>
    </w:p>
    <w:p w:rsidR="00F01DDE" w:rsidRPr="00410C5A" w:rsidRDefault="00F01DDE" w:rsidP="00F01DDE"/>
    <w:p w:rsidR="00F01DDE" w:rsidRPr="009D2EE1" w:rsidRDefault="008A7DFC" w:rsidP="00F01DDE">
      <w:pPr>
        <w:spacing w:line="360" w:lineRule="auto"/>
        <w:jc w:val="both"/>
        <w:rPr>
          <w:rFonts w:ascii="Arial" w:hAnsi="Arial" w:cs="Arial"/>
          <w:color w:val="000000" w:themeColor="text1"/>
          <w:sz w:val="24"/>
          <w:szCs w:val="24"/>
        </w:rPr>
      </w:pPr>
      <w:r w:rsidRPr="008A7DFC">
        <w:rPr>
          <w:rFonts w:ascii="Arial" w:hAnsi="Arial" w:cs="Arial"/>
          <w:color w:val="000000" w:themeColor="text1"/>
          <w:sz w:val="24"/>
          <w:szCs w:val="24"/>
          <w:highlight w:val="yellow"/>
        </w:rPr>
        <w:t>According</w:t>
      </w:r>
      <w:r w:rsidRPr="008A7DFC">
        <w:rPr>
          <w:bCs/>
          <w:sz w:val="20"/>
          <w:szCs w:val="20"/>
          <w:highlight w:val="yellow"/>
        </w:rPr>
        <w:t xml:space="preserve"> </w:t>
      </w:r>
      <w:r w:rsidRPr="008A7DFC">
        <w:rPr>
          <w:rFonts w:ascii="Arial" w:hAnsi="Arial" w:cs="Arial"/>
          <w:bCs/>
          <w:sz w:val="24"/>
          <w:szCs w:val="24"/>
          <w:highlight w:val="yellow"/>
        </w:rPr>
        <w:t>to the 96 caregiver's perception and recall of a past diagnosis</w:t>
      </w:r>
      <w:r w:rsidR="009D2EE1" w:rsidRPr="008A7DFC">
        <w:rPr>
          <w:rFonts w:ascii="Arial" w:hAnsi="Arial" w:cs="Arial"/>
          <w:color w:val="000000" w:themeColor="text1"/>
          <w:sz w:val="24"/>
          <w:szCs w:val="24"/>
          <w:highlight w:val="yellow"/>
        </w:rPr>
        <w:t>, 83.3% (80</w:t>
      </w:r>
      <w:r w:rsidR="009D2EE1" w:rsidRPr="009D2EE1">
        <w:rPr>
          <w:rFonts w:ascii="Arial" w:hAnsi="Arial" w:cs="Arial"/>
          <w:color w:val="000000" w:themeColor="text1"/>
          <w:sz w:val="24"/>
          <w:szCs w:val="24"/>
        </w:rPr>
        <w:t xml:space="preserve"> respondents) reported that their child had never experienced malnutrition, while 16.7</w:t>
      </w:r>
      <w:r w:rsidR="00F01DDE" w:rsidRPr="009D2EE1">
        <w:rPr>
          <w:rFonts w:ascii="Arial" w:hAnsi="Arial" w:cs="Arial"/>
          <w:color w:val="000000" w:themeColor="text1"/>
          <w:sz w:val="24"/>
          <w:szCs w:val="24"/>
        </w:rPr>
        <w:t xml:space="preserve">% (16 respondents) indicated that their child had. </w:t>
      </w:r>
      <w:r w:rsidR="00F01DDE" w:rsidRPr="00B97A64">
        <w:rPr>
          <w:rFonts w:ascii="Arial" w:hAnsi="Arial" w:cs="Arial"/>
          <w:color w:val="000000" w:themeColor="text1"/>
          <w:sz w:val="24"/>
          <w:szCs w:val="24"/>
          <w:highlight w:val="yellow"/>
        </w:rPr>
        <w:t>Among t</w:t>
      </w:r>
      <w:r w:rsidR="00B97A64" w:rsidRPr="00B97A64">
        <w:rPr>
          <w:rFonts w:ascii="Arial" w:hAnsi="Arial" w:cs="Arial"/>
          <w:color w:val="000000" w:themeColor="text1"/>
          <w:sz w:val="24"/>
          <w:szCs w:val="24"/>
          <w:highlight w:val="yellow"/>
        </w:rPr>
        <w:t>hose who reported malnutrition</w:t>
      </w:r>
      <w:r w:rsidR="00BD3512">
        <w:rPr>
          <w:rFonts w:ascii="Arial" w:hAnsi="Arial" w:cs="Arial"/>
          <w:color w:val="000000" w:themeColor="text1"/>
          <w:sz w:val="24"/>
          <w:szCs w:val="24"/>
          <w:highlight w:val="yellow"/>
        </w:rPr>
        <w:t>,</w:t>
      </w:r>
      <w:r w:rsidR="00B97A64" w:rsidRPr="00B97A64">
        <w:rPr>
          <w:rFonts w:ascii="Arial" w:hAnsi="Arial" w:cs="Arial"/>
          <w:color w:val="000000" w:themeColor="text1"/>
          <w:sz w:val="24"/>
          <w:szCs w:val="24"/>
          <w:highlight w:val="yellow"/>
        </w:rPr>
        <w:t xml:space="preserve"> </w:t>
      </w:r>
      <w:r w:rsidR="00F01DDE" w:rsidRPr="00B97A64">
        <w:rPr>
          <w:rFonts w:ascii="Arial" w:hAnsi="Arial" w:cs="Arial"/>
          <w:color w:val="000000" w:themeColor="text1"/>
          <w:sz w:val="24"/>
          <w:szCs w:val="24"/>
          <w:highlight w:val="yellow"/>
        </w:rPr>
        <w:t>9.4% (9 respondents) reported</w:t>
      </w:r>
      <w:r w:rsidR="00F01DDE" w:rsidRPr="009D2EE1">
        <w:rPr>
          <w:rFonts w:ascii="Arial" w:hAnsi="Arial" w:cs="Arial"/>
          <w:color w:val="000000" w:themeColor="text1"/>
          <w:sz w:val="24"/>
          <w:szCs w:val="24"/>
        </w:rPr>
        <w:t xml:space="preserve"> underweight (low weight for age), 5.2% (5 respondents) reported wasting (low weight for height), and 2.1% (2 respondents) reported stunting (low height for age).</w:t>
      </w:r>
    </w:p>
    <w:p w:rsidR="00F01DDE" w:rsidRPr="004A02C3" w:rsidRDefault="00F01DDE" w:rsidP="00F01DDE">
      <w:pPr>
        <w:spacing w:line="360" w:lineRule="auto"/>
        <w:jc w:val="both"/>
        <w:rPr>
          <w:rFonts w:ascii="Arial" w:hAnsi="Arial" w:cs="Arial"/>
          <w:color w:val="000000"/>
          <w:sz w:val="24"/>
          <w:szCs w:val="24"/>
        </w:rPr>
      </w:pPr>
      <w:r w:rsidRPr="004A02C3">
        <w:rPr>
          <w:rFonts w:ascii="Arial" w:hAnsi="Arial" w:cs="Arial"/>
          <w:color w:val="000000"/>
          <w:sz w:val="24"/>
          <w:szCs w:val="24"/>
        </w:rPr>
        <w:t>In seeking medical assistance for their children, the overwhelming majority, 99.0% (95 respondents), reported going to the hospital, while only 1.0% (1 respondent) sought help from a traditional healer.</w:t>
      </w:r>
    </w:p>
    <w:p w:rsidR="00F01DDE" w:rsidRPr="004A02C3" w:rsidRDefault="00F01DDE" w:rsidP="00F01DDE">
      <w:pPr>
        <w:spacing w:line="360" w:lineRule="auto"/>
        <w:jc w:val="both"/>
        <w:rPr>
          <w:rFonts w:ascii="Arial" w:hAnsi="Arial" w:cs="Arial"/>
          <w:b/>
          <w:color w:val="000000"/>
          <w:sz w:val="24"/>
          <w:szCs w:val="24"/>
        </w:rPr>
      </w:pPr>
      <w:r w:rsidRPr="004A02C3">
        <w:rPr>
          <w:rFonts w:ascii="Arial" w:hAnsi="Arial" w:cs="Arial"/>
          <w:b/>
          <w:color w:val="000000"/>
          <w:sz w:val="24"/>
          <w:szCs w:val="24"/>
        </w:rPr>
        <w:t>Figure 1</w:t>
      </w:r>
      <w:r w:rsidR="009D2EE1">
        <w:rPr>
          <w:rFonts w:ascii="Arial" w:hAnsi="Arial" w:cs="Arial"/>
          <w:b/>
          <w:color w:val="000000"/>
          <w:sz w:val="24"/>
          <w:szCs w:val="24"/>
        </w:rPr>
        <w:t>:</w:t>
      </w:r>
      <w:r w:rsidRPr="004A02C3">
        <w:rPr>
          <w:rFonts w:ascii="Arial" w:hAnsi="Arial" w:cs="Arial"/>
          <w:b/>
          <w:color w:val="000000"/>
          <w:sz w:val="24"/>
          <w:szCs w:val="24"/>
        </w:rPr>
        <w:t xml:space="preserve"> Prevalence of malnutrition and type of malnutrition in </w:t>
      </w:r>
      <w:r w:rsidR="009D2EE1">
        <w:rPr>
          <w:rFonts w:ascii="Arial" w:hAnsi="Arial" w:cs="Arial"/>
          <w:b/>
          <w:color w:val="000000"/>
          <w:sz w:val="24"/>
          <w:szCs w:val="24"/>
        </w:rPr>
        <w:t>children</w:t>
      </w:r>
      <w:r w:rsidR="00276B3B">
        <w:rPr>
          <w:rFonts w:ascii="Arial" w:hAnsi="Arial" w:cs="Arial"/>
          <w:b/>
          <w:color w:val="000000"/>
          <w:sz w:val="24"/>
          <w:szCs w:val="24"/>
        </w:rPr>
        <w:t xml:space="preserve"> under five</w:t>
      </w:r>
      <w:r w:rsidRPr="004A02C3">
        <w:rPr>
          <w:rFonts w:ascii="Arial" w:hAnsi="Arial" w:cs="Arial"/>
          <w:b/>
          <w:color w:val="000000"/>
          <w:sz w:val="24"/>
          <w:szCs w:val="24"/>
        </w:rPr>
        <w:t xml:space="preserve"> years old at </w:t>
      </w:r>
      <w:proofErr w:type="spellStart"/>
      <w:r w:rsidRPr="004A02C3">
        <w:rPr>
          <w:rFonts w:ascii="Arial" w:hAnsi="Arial" w:cs="Arial"/>
          <w:b/>
          <w:color w:val="000000"/>
          <w:sz w:val="24"/>
          <w:szCs w:val="24"/>
        </w:rPr>
        <w:t>Jitimai</w:t>
      </w:r>
      <w:proofErr w:type="spellEnd"/>
      <w:r w:rsidRPr="004A02C3">
        <w:rPr>
          <w:rFonts w:ascii="Arial" w:hAnsi="Arial" w:cs="Arial"/>
          <w:b/>
          <w:color w:val="000000"/>
          <w:sz w:val="24"/>
          <w:szCs w:val="24"/>
        </w:rPr>
        <w:t xml:space="preserve"> District Hospital</w:t>
      </w:r>
      <w:r w:rsidR="009D2EE1">
        <w:rPr>
          <w:rFonts w:ascii="Arial" w:hAnsi="Arial" w:cs="Arial"/>
          <w:b/>
          <w:color w:val="000000"/>
          <w:sz w:val="24"/>
          <w:szCs w:val="24"/>
        </w:rPr>
        <w:t xml:space="preserve">, Zanzibar </w:t>
      </w:r>
    </w:p>
    <w:p w:rsidR="00F01DDE" w:rsidRPr="004A02C3" w:rsidRDefault="00F01DDE" w:rsidP="00F01DDE">
      <w:pPr>
        <w:rPr>
          <w:rFonts w:ascii="Arial" w:hAnsi="Arial" w:cs="Arial"/>
          <w:noProof/>
          <w:sz w:val="24"/>
          <w:szCs w:val="24"/>
          <w:lang w:eastAsia="en-US"/>
        </w:rPr>
      </w:pPr>
      <w:r w:rsidRPr="0046610E">
        <w:rPr>
          <w:noProof/>
          <w:sz w:val="28"/>
          <w:szCs w:val="28"/>
          <w:lang w:eastAsia="en-US"/>
        </w:rPr>
        <w:lastRenderedPageBreak/>
        <w:drawing>
          <wp:inline distT="0" distB="0" distL="0" distR="0" wp14:anchorId="76AEF41E" wp14:editId="30D80FD8">
            <wp:extent cx="6334125" cy="46767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01DDE" w:rsidRPr="004A02C3" w:rsidRDefault="00F01DDE" w:rsidP="00F01DDE">
      <w:pPr>
        <w:rPr>
          <w:rFonts w:ascii="Arial" w:hAnsi="Arial" w:cs="Arial"/>
          <w:sz w:val="24"/>
          <w:szCs w:val="24"/>
        </w:rPr>
      </w:pPr>
    </w:p>
    <w:p w:rsidR="00F01DDE" w:rsidRPr="004A02C3" w:rsidRDefault="00F01DDE" w:rsidP="00F01DDE">
      <w:pPr>
        <w:pStyle w:val="Heading2"/>
        <w:spacing w:line="360" w:lineRule="auto"/>
        <w:rPr>
          <w:rFonts w:ascii="Arial" w:hAnsi="Arial" w:cs="Arial"/>
          <w:bCs/>
          <w:i/>
          <w:color w:val="000000"/>
          <w:sz w:val="24"/>
          <w:szCs w:val="24"/>
        </w:rPr>
      </w:pPr>
      <w:r w:rsidRPr="004A02C3">
        <w:rPr>
          <w:rFonts w:ascii="Arial" w:hAnsi="Arial" w:cs="Arial"/>
          <w:bCs/>
          <w:i/>
          <w:color w:val="000000"/>
          <w:sz w:val="24"/>
          <w:szCs w:val="24"/>
        </w:rPr>
        <w:t>Maternal Knowledge of Child Nutrition</w:t>
      </w:r>
      <w:bookmarkEnd w:id="5"/>
    </w:p>
    <w:p w:rsidR="00F01DDE" w:rsidRPr="004A02C3" w:rsidRDefault="00F01DDE" w:rsidP="00F01DDE">
      <w:pPr>
        <w:spacing w:before="100" w:beforeAutospacing="1" w:after="100" w:afterAutospacing="1" w:line="360" w:lineRule="auto"/>
        <w:jc w:val="both"/>
        <w:rPr>
          <w:rFonts w:ascii="Arial" w:eastAsia="Times New Roman" w:hAnsi="Arial" w:cs="Arial"/>
          <w:sz w:val="24"/>
          <w:szCs w:val="24"/>
          <w:lang w:eastAsia="en-US"/>
        </w:rPr>
      </w:pPr>
      <w:r w:rsidRPr="004A02C3">
        <w:rPr>
          <w:rFonts w:ascii="Arial" w:eastAsia="Times New Roman" w:hAnsi="Arial" w:cs="Arial"/>
          <w:sz w:val="24"/>
          <w:szCs w:val="24"/>
          <w:lang w:eastAsia="en-US"/>
        </w:rPr>
        <w:t xml:space="preserve">Based on </w:t>
      </w:r>
      <w:r w:rsidR="00B10BE8">
        <w:rPr>
          <w:rFonts w:ascii="Arial" w:eastAsia="Times New Roman" w:hAnsi="Arial" w:cs="Arial"/>
          <w:sz w:val="24"/>
          <w:szCs w:val="24"/>
          <w:lang w:eastAsia="en-US"/>
        </w:rPr>
        <w:t>responses from 96 caregivers, 62.5% reported never receiving nutrition education, while 37.5% reported receiving</w:t>
      </w:r>
      <w:r w:rsidRPr="004A02C3">
        <w:rPr>
          <w:rFonts w:ascii="Arial" w:eastAsia="Times New Roman" w:hAnsi="Arial" w:cs="Arial"/>
          <w:sz w:val="24"/>
          <w:szCs w:val="24"/>
          <w:lang w:eastAsia="en-US"/>
        </w:rPr>
        <w:t xml:space="preserve"> some form of guidance. Among those exposed to nutrition education, hospitals were the primary source (31.3%), followed by media platforms such as television, radio, and social media (20.8%). Smaller proportions obtained information from community health programs (6.3%) or schools (3.1%), whereas 38.5% selected an unspecified “other” source. Knowledge of recommended feeding practices varied: although 63.5% correctly identified that complementary feeding should begin after six months, more than one-quarter (28.1%) did not know the appropriate timing. Similarly, while 61.5% believed exclusive breastfeeding should continue for three to six months, almost one-third (29.2%) were unsure of the correct duration. These </w:t>
      </w:r>
      <w:r w:rsidRPr="004A02C3">
        <w:rPr>
          <w:rFonts w:ascii="Arial" w:eastAsia="Times New Roman" w:hAnsi="Arial" w:cs="Arial"/>
          <w:sz w:val="24"/>
          <w:szCs w:val="24"/>
          <w:lang w:eastAsia="en-US"/>
        </w:rPr>
        <w:lastRenderedPageBreak/>
        <w:t>findings highlight persistent gaps in caregiver knowledge, underscoring the need for strengthened nutrition education interventions.</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Cross</w:t>
      </w:r>
      <w:r w:rsidR="009D2EE1">
        <w:rPr>
          <w:rFonts w:ascii="Arial" w:hAnsi="Arial" w:cs="Arial"/>
        </w:rPr>
        <w:t>-</w:t>
      </w:r>
      <w:r w:rsidRPr="004A02C3">
        <w:rPr>
          <w:rFonts w:ascii="Arial" w:hAnsi="Arial" w:cs="Arial"/>
        </w:rPr>
        <w:t xml:space="preserve">tabulation analysis was performed to examine whether </w:t>
      </w:r>
      <w:r w:rsidR="00B10BE8">
        <w:rPr>
          <w:rFonts w:ascii="Arial" w:hAnsi="Arial" w:cs="Arial"/>
          <w:highlight w:val="yellow"/>
        </w:rPr>
        <w:t>caregivers'</w:t>
      </w:r>
      <w:r w:rsidRPr="004A02C3">
        <w:rPr>
          <w:rFonts w:ascii="Arial" w:hAnsi="Arial" w:cs="Arial"/>
        </w:rPr>
        <w:t xml:space="preserve"> knowledge </w:t>
      </w:r>
      <w:r w:rsidR="009D2EE1">
        <w:rPr>
          <w:rFonts w:ascii="Arial" w:hAnsi="Arial" w:cs="Arial"/>
        </w:rPr>
        <w:t>of</w:t>
      </w:r>
      <w:r w:rsidRPr="004A02C3">
        <w:rPr>
          <w:rFonts w:ascii="Arial" w:hAnsi="Arial" w:cs="Arial"/>
        </w:rPr>
        <w:t xml:space="preserve"> child nutrition was associated with the type of malnutrition reported among their children. Overall, the majority of caregivers (80/96; 83.3%) reported “I don’t know” when asked about the type of malnutrition, while 2.1% reported stunting, 9.4% underweight, and 5.2% wasting.</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 xml:space="preserve">There was </w:t>
      </w:r>
      <w:r w:rsidRPr="00320F50">
        <w:rPr>
          <w:rStyle w:val="Strong"/>
          <w:rFonts w:ascii="Arial" w:hAnsi="Arial" w:cs="Arial"/>
          <w:b w:val="0"/>
        </w:rPr>
        <w:t>no significant association</w:t>
      </w:r>
      <w:r w:rsidRPr="004A02C3">
        <w:rPr>
          <w:rFonts w:ascii="Arial" w:hAnsi="Arial" w:cs="Arial"/>
        </w:rPr>
        <w:t xml:space="preserve"> between </w:t>
      </w:r>
      <w:r w:rsidR="009D2EE1">
        <w:rPr>
          <w:rFonts w:ascii="Arial" w:hAnsi="Arial" w:cs="Arial"/>
        </w:rPr>
        <w:t xml:space="preserve">malnutrition type </w:t>
      </w:r>
      <w:r w:rsidRPr="004A02C3">
        <w:rPr>
          <w:rFonts w:ascii="Arial" w:hAnsi="Arial" w:cs="Arial"/>
        </w:rPr>
        <w:t>and whether caregivers had ever received nutrition education (Likelihood Ratio = 2.83, p = 0.418; χ² = 2.09, p = 0.554). Similarly, no significant associations were observed between malnutrition type and the main source of nutrition education (Likelihood Ratio = 11.63, p = 0.476; χ² = 8.59, p = 0.738), or alternative sources of nutrition information (Likelihood Ratio = 12.36, p = 0.652; χ² = 10.31, p = 0.800).</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 xml:space="preserve">Knowledge regarding the recommended age to begin complementary feeding also showed </w:t>
      </w:r>
      <w:r w:rsidRPr="00320F50">
        <w:rPr>
          <w:rStyle w:val="Strong"/>
          <w:rFonts w:ascii="Arial" w:hAnsi="Arial" w:cs="Arial"/>
          <w:b w:val="0"/>
        </w:rPr>
        <w:t>no statistically significant relationship</w:t>
      </w:r>
      <w:r w:rsidRPr="004A02C3">
        <w:rPr>
          <w:rFonts w:ascii="Arial" w:hAnsi="Arial" w:cs="Arial"/>
        </w:rPr>
        <w:t xml:space="preserve"> with the type of malnutrition (Likelihood Ratio = 12.27, p = 0.198; χ² = 8.02, p = 0.532).</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 xml:space="preserve">However, a </w:t>
      </w:r>
      <w:r w:rsidRPr="00320F50">
        <w:rPr>
          <w:rStyle w:val="Strong"/>
          <w:rFonts w:ascii="Arial" w:hAnsi="Arial" w:cs="Arial"/>
          <w:b w:val="0"/>
        </w:rPr>
        <w:t>significant association</w:t>
      </w:r>
      <w:r w:rsidRPr="004A02C3">
        <w:rPr>
          <w:rFonts w:ascii="Arial" w:hAnsi="Arial" w:cs="Arial"/>
        </w:rPr>
        <w:t xml:space="preserve"> was observed between </w:t>
      </w:r>
      <w:r w:rsidR="009D2EE1">
        <w:rPr>
          <w:rFonts w:ascii="Arial" w:hAnsi="Arial" w:cs="Arial"/>
        </w:rPr>
        <w:t xml:space="preserve">malnutrition type </w:t>
      </w:r>
      <w:r w:rsidRPr="004A02C3">
        <w:rPr>
          <w:rFonts w:ascii="Arial" w:hAnsi="Arial" w:cs="Arial"/>
        </w:rPr>
        <w:t xml:space="preserve">and </w:t>
      </w:r>
      <w:r w:rsidR="00B10BE8">
        <w:rPr>
          <w:rFonts w:ascii="Arial" w:hAnsi="Arial" w:cs="Arial"/>
          <w:highlight w:val="yellow"/>
        </w:rPr>
        <w:t>caregivers'</w:t>
      </w:r>
      <w:r w:rsidRPr="004A02C3">
        <w:rPr>
          <w:rFonts w:ascii="Arial" w:hAnsi="Arial" w:cs="Arial"/>
        </w:rPr>
        <w:t xml:space="preserve"> knowledge of the recommended duration of exclusive breastfeeding. The Likelihood Ratio test indicated a statistically significant association (LR = 15.69, p = 0.016), although the Pearson chi-square test was not significant (χ² = 10.73, p = 0.097). Given that several cells had expected counts below five, the Likelihood Ratio is the more reliable statistic in this context. This finding suggests that </w:t>
      </w:r>
      <w:r w:rsidR="009D2EE1">
        <w:rPr>
          <w:rFonts w:ascii="Arial" w:hAnsi="Arial" w:cs="Arial"/>
        </w:rPr>
        <w:t xml:space="preserve">caregivers' understanding of the duration of exclusive breastfeeding </w:t>
      </w:r>
      <w:r w:rsidRPr="004A02C3">
        <w:rPr>
          <w:rFonts w:ascii="Arial" w:hAnsi="Arial" w:cs="Arial"/>
        </w:rPr>
        <w:t>may be related to how they perceive or report malnutrition in their children.</w:t>
      </w:r>
    </w:p>
    <w:p w:rsidR="00F01DDE" w:rsidRPr="004A02C3" w:rsidRDefault="00F01DDE" w:rsidP="00F01DDE">
      <w:pPr>
        <w:spacing w:line="360" w:lineRule="auto"/>
        <w:rPr>
          <w:rFonts w:ascii="Arial" w:hAnsi="Arial" w:cs="Arial"/>
          <w:color w:val="000000"/>
          <w:sz w:val="24"/>
          <w:szCs w:val="24"/>
        </w:rPr>
      </w:pPr>
    </w:p>
    <w:p w:rsidR="00F01DDE" w:rsidRPr="004A02C3" w:rsidRDefault="00F01DDE" w:rsidP="00F01DDE">
      <w:pPr>
        <w:spacing w:line="360" w:lineRule="auto"/>
        <w:jc w:val="both"/>
        <w:rPr>
          <w:rFonts w:ascii="Arial" w:eastAsia="Times New Roman" w:hAnsi="Arial" w:cs="Arial"/>
          <w:b/>
          <w:bCs/>
          <w:kern w:val="36"/>
          <w:sz w:val="24"/>
          <w:szCs w:val="24"/>
        </w:rPr>
      </w:pPr>
      <w:r>
        <w:rPr>
          <w:rFonts w:ascii="Arial" w:eastAsia="Times New Roman" w:hAnsi="Arial" w:cs="Arial"/>
          <w:b/>
          <w:bCs/>
          <w:kern w:val="36"/>
          <w:sz w:val="24"/>
          <w:szCs w:val="24"/>
        </w:rPr>
        <w:t>Table 2</w:t>
      </w:r>
      <w:r w:rsidR="009D2EE1">
        <w:rPr>
          <w:rFonts w:ascii="Arial" w:eastAsia="Times New Roman" w:hAnsi="Arial" w:cs="Arial"/>
          <w:b/>
          <w:bCs/>
          <w:kern w:val="36"/>
          <w:sz w:val="24"/>
          <w:szCs w:val="24"/>
        </w:rPr>
        <w:t>:</w:t>
      </w:r>
      <w:r w:rsidR="003E0BD6">
        <w:rPr>
          <w:rFonts w:ascii="Arial" w:eastAsia="Times New Roman" w:hAnsi="Arial" w:cs="Arial"/>
          <w:b/>
          <w:bCs/>
          <w:kern w:val="36"/>
          <w:sz w:val="24"/>
          <w:szCs w:val="24"/>
        </w:rPr>
        <w:t xml:space="preserve"> Cross-tabulation between</w:t>
      </w:r>
      <w:r w:rsidR="009D2EE1">
        <w:rPr>
          <w:rFonts w:ascii="Arial" w:eastAsia="Times New Roman" w:hAnsi="Arial" w:cs="Arial"/>
          <w:b/>
          <w:bCs/>
          <w:kern w:val="36"/>
          <w:sz w:val="24"/>
          <w:szCs w:val="24"/>
        </w:rPr>
        <w:t xml:space="preserve"> Type of Malnutrition vs Maternal Knowledge on children</w:t>
      </w:r>
      <w:r w:rsidR="00276B3B">
        <w:rPr>
          <w:rFonts w:ascii="Arial" w:hAnsi="Arial" w:cs="Arial"/>
          <w:b/>
          <w:color w:val="000000"/>
          <w:sz w:val="24"/>
          <w:szCs w:val="24"/>
        </w:rPr>
        <w:t xml:space="preserve"> under five</w:t>
      </w:r>
      <w:r w:rsidRPr="004A02C3">
        <w:rPr>
          <w:rFonts w:ascii="Arial" w:hAnsi="Arial" w:cs="Arial"/>
          <w:b/>
          <w:color w:val="000000"/>
          <w:sz w:val="24"/>
          <w:szCs w:val="24"/>
        </w:rPr>
        <w:t xml:space="preserve"> years old at </w:t>
      </w:r>
      <w:proofErr w:type="spellStart"/>
      <w:r w:rsidRPr="004A02C3">
        <w:rPr>
          <w:rFonts w:ascii="Arial" w:hAnsi="Arial" w:cs="Arial"/>
          <w:b/>
          <w:color w:val="000000"/>
          <w:sz w:val="24"/>
          <w:szCs w:val="24"/>
        </w:rPr>
        <w:t>J</w:t>
      </w:r>
      <w:r w:rsidR="00276B3B">
        <w:rPr>
          <w:rFonts w:ascii="Arial" w:hAnsi="Arial" w:cs="Arial"/>
          <w:b/>
          <w:color w:val="000000"/>
          <w:sz w:val="24"/>
          <w:szCs w:val="24"/>
        </w:rPr>
        <w:t>itimai</w:t>
      </w:r>
      <w:proofErr w:type="spellEnd"/>
      <w:r w:rsidR="00276B3B">
        <w:rPr>
          <w:rFonts w:ascii="Arial" w:hAnsi="Arial" w:cs="Arial"/>
          <w:b/>
          <w:color w:val="000000"/>
          <w:sz w:val="24"/>
          <w:szCs w:val="24"/>
        </w:rPr>
        <w:t xml:space="preserve"> District Hospital, Zanzibar</w:t>
      </w:r>
      <w:r w:rsidRPr="004A02C3">
        <w:rPr>
          <w:rFonts w:ascii="Arial" w:eastAsia="Times New Roman" w:hAnsi="Arial" w:cs="Arial"/>
          <w:b/>
          <w:bCs/>
          <w:kern w:val="36"/>
          <w:sz w:val="24"/>
          <w:szCs w:val="24"/>
        </w:rPr>
        <w:t xml:space="preserve"> (N = 96)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2"/>
        <w:gridCol w:w="1467"/>
        <w:gridCol w:w="1052"/>
        <w:gridCol w:w="1532"/>
        <w:gridCol w:w="1012"/>
        <w:gridCol w:w="1330"/>
        <w:gridCol w:w="925"/>
      </w:tblGrid>
      <w:tr w:rsidR="00D5011F" w:rsidRPr="004A02C3" w:rsidTr="002A0A2C">
        <w:trPr>
          <w:tblHeader/>
          <w:tblCellSpacing w:w="15" w:type="dxa"/>
        </w:trPr>
        <w:tc>
          <w:tcPr>
            <w:tcW w:w="0" w:type="auto"/>
            <w:tcBorders>
              <w:top w:val="thinThickSmallGap" w:sz="24" w:space="0" w:color="auto"/>
              <w:bottom w:val="single" w:sz="4" w:space="0" w:color="auto"/>
            </w:tcBorders>
            <w:vAlign w:val="center"/>
            <w:hideMark/>
          </w:tcPr>
          <w:p w:rsidR="00D5011F" w:rsidRDefault="00D5011F" w:rsidP="009D2EE1">
            <w:pPr>
              <w:spacing w:after="0" w:line="360" w:lineRule="auto"/>
              <w:jc w:val="center"/>
              <w:rPr>
                <w:rFonts w:ascii="Arial" w:eastAsia="Times New Roman" w:hAnsi="Arial" w:cs="Arial"/>
                <w:b/>
                <w:bCs/>
                <w:sz w:val="24"/>
                <w:szCs w:val="24"/>
              </w:rPr>
            </w:pPr>
            <w:r w:rsidRPr="00D5011F">
              <w:rPr>
                <w:rFonts w:ascii="Arial" w:eastAsia="Times New Roman" w:hAnsi="Arial" w:cs="Arial"/>
                <w:b/>
                <w:bCs/>
                <w:sz w:val="24"/>
                <w:szCs w:val="24"/>
                <w:highlight w:val="yellow"/>
              </w:rPr>
              <w:lastRenderedPageBreak/>
              <w:t>Caregivers</w:t>
            </w:r>
            <w:r w:rsidR="00B10BE8">
              <w:rPr>
                <w:rFonts w:ascii="Arial" w:eastAsia="Times New Roman" w:hAnsi="Arial" w:cs="Arial"/>
                <w:b/>
                <w:bCs/>
                <w:sz w:val="24"/>
                <w:szCs w:val="24"/>
              </w:rPr>
              <w:t>’</w:t>
            </w:r>
          </w:p>
          <w:p w:rsidR="00F01DDE" w:rsidRPr="004A02C3" w:rsidRDefault="00F01DDE" w:rsidP="009D2EE1">
            <w:pPr>
              <w:spacing w:after="0" w:line="360" w:lineRule="auto"/>
              <w:jc w:val="center"/>
              <w:rPr>
                <w:rFonts w:ascii="Arial" w:eastAsia="Times New Roman" w:hAnsi="Arial" w:cs="Arial"/>
                <w:b/>
                <w:bCs/>
                <w:sz w:val="24"/>
                <w:szCs w:val="24"/>
              </w:rPr>
            </w:pPr>
            <w:r w:rsidRPr="004A02C3">
              <w:rPr>
                <w:rFonts w:ascii="Arial" w:eastAsia="Times New Roman" w:hAnsi="Arial" w:cs="Arial"/>
                <w:b/>
                <w:bCs/>
                <w:sz w:val="24"/>
                <w:szCs w:val="24"/>
              </w:rPr>
              <w:t>knowledge variable</w:t>
            </w:r>
          </w:p>
        </w:tc>
        <w:tc>
          <w:tcPr>
            <w:tcW w:w="0" w:type="auto"/>
            <w:tcBorders>
              <w:top w:val="thinThickSmallGap" w:sz="24" w:space="0" w:color="auto"/>
              <w:bottom w:val="single" w:sz="4" w:space="0" w:color="auto"/>
            </w:tcBorders>
            <w:vAlign w:val="center"/>
            <w:hideMark/>
          </w:tcPr>
          <w:p w:rsidR="00F01DDE" w:rsidRPr="004A02C3" w:rsidRDefault="00D5011F" w:rsidP="009D2EE1">
            <w:pPr>
              <w:spacing w:after="0" w:line="360" w:lineRule="auto"/>
              <w:jc w:val="center"/>
              <w:rPr>
                <w:rFonts w:ascii="Arial" w:eastAsia="Times New Roman" w:hAnsi="Arial" w:cs="Arial"/>
                <w:b/>
                <w:bCs/>
                <w:sz w:val="24"/>
                <w:szCs w:val="24"/>
              </w:rPr>
            </w:pPr>
            <w:r w:rsidRPr="00D5011F">
              <w:rPr>
                <w:rFonts w:ascii="Arial" w:eastAsia="Times New Roman" w:hAnsi="Arial" w:cs="Arial"/>
                <w:b/>
                <w:bCs/>
                <w:sz w:val="24"/>
                <w:szCs w:val="24"/>
                <w:highlight w:val="yellow"/>
              </w:rPr>
              <w:t>No Malnutrition</w:t>
            </w:r>
            <w:r w:rsidR="00F01DDE" w:rsidRPr="00D5011F">
              <w:rPr>
                <w:rFonts w:ascii="Arial" w:eastAsia="Times New Roman" w:hAnsi="Arial" w:cs="Arial"/>
                <w:b/>
                <w:bCs/>
                <w:sz w:val="24"/>
                <w:szCs w:val="24"/>
                <w:highlight w:val="yellow"/>
              </w:rPr>
              <w:t xml:space="preserve"> (%)</w:t>
            </w:r>
          </w:p>
        </w:tc>
        <w:tc>
          <w:tcPr>
            <w:tcW w:w="0" w:type="auto"/>
            <w:tcBorders>
              <w:top w:val="thinThickSmallGap" w:sz="24" w:space="0" w:color="auto"/>
              <w:bottom w:val="single" w:sz="4" w:space="0" w:color="auto"/>
            </w:tcBorders>
            <w:vAlign w:val="center"/>
            <w:hideMark/>
          </w:tcPr>
          <w:p w:rsidR="00F01DDE" w:rsidRPr="004A02C3" w:rsidRDefault="009D2EE1" w:rsidP="009D2EE1">
            <w:pPr>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t>Stunting</w:t>
            </w:r>
            <w:r w:rsidR="00F01DDE" w:rsidRPr="004A02C3">
              <w:rPr>
                <w:rFonts w:ascii="Arial" w:eastAsia="Times New Roman" w:hAnsi="Arial" w:cs="Arial"/>
                <w:b/>
                <w:bCs/>
                <w:sz w:val="24"/>
                <w:szCs w:val="24"/>
              </w:rPr>
              <w:t xml:space="preserve"> (%)</w:t>
            </w:r>
          </w:p>
        </w:tc>
        <w:tc>
          <w:tcPr>
            <w:tcW w:w="0" w:type="auto"/>
            <w:tcBorders>
              <w:top w:val="thinThickSmallGap" w:sz="24" w:space="0" w:color="auto"/>
              <w:bottom w:val="single" w:sz="4" w:space="0" w:color="auto"/>
            </w:tcBorders>
            <w:vAlign w:val="center"/>
            <w:hideMark/>
          </w:tcPr>
          <w:p w:rsidR="00F01DDE" w:rsidRPr="004A02C3" w:rsidRDefault="009D2EE1" w:rsidP="009D2EE1">
            <w:pPr>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t>Underweight</w:t>
            </w:r>
            <w:r w:rsidR="00F01DDE" w:rsidRPr="004A02C3">
              <w:rPr>
                <w:rFonts w:ascii="Arial" w:eastAsia="Times New Roman" w:hAnsi="Arial" w:cs="Arial"/>
                <w:b/>
                <w:bCs/>
                <w:sz w:val="24"/>
                <w:szCs w:val="24"/>
              </w:rPr>
              <w:t xml:space="preserve"> (%)</w:t>
            </w:r>
          </w:p>
        </w:tc>
        <w:tc>
          <w:tcPr>
            <w:tcW w:w="0" w:type="auto"/>
            <w:tcBorders>
              <w:top w:val="thinThickSmallGap" w:sz="24" w:space="0" w:color="auto"/>
              <w:bottom w:val="single" w:sz="4" w:space="0" w:color="auto"/>
            </w:tcBorders>
            <w:vAlign w:val="center"/>
            <w:hideMark/>
          </w:tcPr>
          <w:p w:rsidR="00F01DDE" w:rsidRPr="004A02C3" w:rsidRDefault="009D2EE1" w:rsidP="009D2EE1">
            <w:pPr>
              <w:spacing w:after="0" w:line="360" w:lineRule="auto"/>
              <w:jc w:val="center"/>
              <w:rPr>
                <w:rFonts w:ascii="Arial" w:eastAsia="Times New Roman" w:hAnsi="Arial" w:cs="Arial"/>
                <w:b/>
                <w:bCs/>
                <w:sz w:val="24"/>
                <w:szCs w:val="24"/>
              </w:rPr>
            </w:pPr>
            <w:r>
              <w:rPr>
                <w:rFonts w:ascii="Arial" w:eastAsia="Times New Roman" w:hAnsi="Arial" w:cs="Arial"/>
                <w:b/>
                <w:bCs/>
                <w:sz w:val="24"/>
                <w:szCs w:val="24"/>
              </w:rPr>
              <w:t>Wasting</w:t>
            </w:r>
            <w:r w:rsidR="00F01DDE" w:rsidRPr="004A02C3">
              <w:rPr>
                <w:rFonts w:ascii="Arial" w:eastAsia="Times New Roman" w:hAnsi="Arial" w:cs="Arial"/>
                <w:b/>
                <w:bCs/>
                <w:sz w:val="24"/>
                <w:szCs w:val="24"/>
              </w:rPr>
              <w:t xml:space="preserve"> (%)</w:t>
            </w:r>
          </w:p>
        </w:tc>
        <w:tc>
          <w:tcPr>
            <w:tcW w:w="0" w:type="auto"/>
            <w:tcBorders>
              <w:top w:val="thinThickSmallGap" w:sz="24" w:space="0" w:color="auto"/>
              <w:bottom w:val="single" w:sz="4" w:space="0" w:color="auto"/>
            </w:tcBorders>
            <w:vAlign w:val="center"/>
            <w:hideMark/>
          </w:tcPr>
          <w:p w:rsidR="00F01DDE" w:rsidRPr="004A02C3" w:rsidRDefault="00F01DDE" w:rsidP="009D2EE1">
            <w:pPr>
              <w:spacing w:after="0" w:line="360" w:lineRule="auto"/>
              <w:jc w:val="center"/>
              <w:rPr>
                <w:rFonts w:ascii="Arial" w:eastAsia="Times New Roman" w:hAnsi="Arial" w:cs="Arial"/>
                <w:b/>
                <w:bCs/>
                <w:sz w:val="24"/>
                <w:szCs w:val="24"/>
              </w:rPr>
            </w:pPr>
            <w:r w:rsidRPr="004A02C3">
              <w:rPr>
                <w:rFonts w:ascii="Arial" w:eastAsia="Times New Roman" w:hAnsi="Arial" w:cs="Arial"/>
                <w:b/>
                <w:bCs/>
                <w:sz w:val="24"/>
                <w:szCs w:val="24"/>
              </w:rPr>
              <w:t>Likelihood Ratio (p-value)</w:t>
            </w:r>
          </w:p>
        </w:tc>
        <w:tc>
          <w:tcPr>
            <w:tcW w:w="0" w:type="auto"/>
            <w:tcBorders>
              <w:top w:val="thinThickSmallGap" w:sz="24" w:space="0" w:color="auto"/>
              <w:bottom w:val="single" w:sz="4" w:space="0" w:color="auto"/>
            </w:tcBorders>
            <w:vAlign w:val="center"/>
            <w:hideMark/>
          </w:tcPr>
          <w:p w:rsidR="00F01DDE" w:rsidRPr="004A02C3" w:rsidRDefault="00F01DDE" w:rsidP="009D2EE1">
            <w:pPr>
              <w:spacing w:after="0" w:line="360" w:lineRule="auto"/>
              <w:jc w:val="center"/>
              <w:rPr>
                <w:rFonts w:ascii="Arial" w:eastAsia="Times New Roman" w:hAnsi="Arial" w:cs="Arial"/>
                <w:b/>
                <w:bCs/>
                <w:sz w:val="24"/>
                <w:szCs w:val="24"/>
              </w:rPr>
            </w:pPr>
            <w:r w:rsidRPr="004A02C3">
              <w:rPr>
                <w:rFonts w:ascii="Arial" w:eastAsia="Times New Roman" w:hAnsi="Arial" w:cs="Arial"/>
                <w:b/>
                <w:bCs/>
                <w:sz w:val="24"/>
                <w:szCs w:val="24"/>
              </w:rPr>
              <w:t>Chi-square (p-value)</w:t>
            </w:r>
          </w:p>
        </w:tc>
      </w:tr>
      <w:tr w:rsidR="00D5011F" w:rsidRPr="004A02C3" w:rsidTr="002A0A2C">
        <w:trPr>
          <w:tblCellSpacing w:w="15" w:type="dxa"/>
        </w:trPr>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b/>
                <w:bCs/>
                <w:sz w:val="24"/>
                <w:szCs w:val="24"/>
              </w:rPr>
              <w:t>Received nutrition education</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80 (83.3%)</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2 (2.1%)</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9 (9.4%)</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5 (5.2%)</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2.832 (p = 0.418)</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2.092 (p = 0.554)</w:t>
            </w:r>
          </w:p>
        </w:tc>
      </w:tr>
      <w:tr w:rsidR="00D5011F" w:rsidRPr="004A02C3" w:rsidTr="002A0A2C">
        <w:trPr>
          <w:tblCellSpacing w:w="15" w:type="dxa"/>
        </w:trPr>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b/>
                <w:bCs/>
                <w:sz w:val="24"/>
                <w:szCs w:val="24"/>
              </w:rPr>
              <w:t>Source of nutrition education</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80 (83.3%)</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2 (2.1%)</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9 (9.4%)</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5 (5.2%)</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11.633 (p = 0.476)</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8.588 (p = 0.738)</w:t>
            </w:r>
          </w:p>
        </w:tc>
      </w:tr>
      <w:tr w:rsidR="00D5011F" w:rsidRPr="004A02C3" w:rsidTr="002A0A2C">
        <w:trPr>
          <w:tblCellSpacing w:w="15" w:type="dxa"/>
        </w:trPr>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b/>
                <w:bCs/>
                <w:sz w:val="24"/>
                <w:szCs w:val="24"/>
              </w:rPr>
              <w:t>Alternative source of nutrition information</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80 (83.3%)</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2 (2.1%)</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9 (9.4%)</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5 (5.2%)</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12.358 (p = 0.652)</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10.314 (p = 0.800)</w:t>
            </w:r>
          </w:p>
        </w:tc>
      </w:tr>
      <w:tr w:rsidR="00D5011F" w:rsidRPr="004A02C3" w:rsidTr="002A0A2C">
        <w:trPr>
          <w:tblCellSpacing w:w="15" w:type="dxa"/>
        </w:trPr>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b/>
                <w:bCs/>
                <w:sz w:val="24"/>
                <w:szCs w:val="24"/>
              </w:rPr>
              <w:t>Knowledge of when complementary feeding should begin</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80 (83.3%)</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2 (2.1%)</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9 (9.4%)</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5 (5.2%)</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12.270 (p = 0.198)</w:t>
            </w:r>
          </w:p>
        </w:tc>
        <w:tc>
          <w:tcPr>
            <w:tcW w:w="0" w:type="auto"/>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8.020 (p = 0.532)</w:t>
            </w:r>
          </w:p>
        </w:tc>
      </w:tr>
      <w:tr w:rsidR="00D5011F" w:rsidRPr="004A02C3" w:rsidTr="002A0A2C">
        <w:trPr>
          <w:tblCellSpacing w:w="15" w:type="dxa"/>
        </w:trPr>
        <w:tc>
          <w:tcPr>
            <w:tcW w:w="0" w:type="auto"/>
            <w:tcBorders>
              <w:bottom w:val="thinThickSmallGap" w:sz="24" w:space="0" w:color="auto"/>
            </w:tcBorders>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b/>
                <w:bCs/>
                <w:sz w:val="24"/>
                <w:szCs w:val="24"/>
              </w:rPr>
              <w:t xml:space="preserve">Knowledge of </w:t>
            </w:r>
            <w:r w:rsidR="009D2EE1">
              <w:rPr>
                <w:rFonts w:ascii="Arial" w:eastAsia="Times New Roman" w:hAnsi="Arial" w:cs="Arial"/>
                <w:b/>
                <w:bCs/>
                <w:sz w:val="24"/>
                <w:szCs w:val="24"/>
              </w:rPr>
              <w:t xml:space="preserve">the </w:t>
            </w:r>
            <w:r w:rsidRPr="004A02C3">
              <w:rPr>
                <w:rFonts w:ascii="Arial" w:eastAsia="Times New Roman" w:hAnsi="Arial" w:cs="Arial"/>
                <w:b/>
                <w:bCs/>
                <w:sz w:val="24"/>
                <w:szCs w:val="24"/>
              </w:rPr>
              <w:t>duration of exclusive breastfeeding</w:t>
            </w:r>
          </w:p>
        </w:tc>
        <w:tc>
          <w:tcPr>
            <w:tcW w:w="0" w:type="auto"/>
            <w:tcBorders>
              <w:bottom w:val="thinThickSmallGap" w:sz="24" w:space="0" w:color="auto"/>
            </w:tcBorders>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80 (83.3%)</w:t>
            </w:r>
          </w:p>
        </w:tc>
        <w:tc>
          <w:tcPr>
            <w:tcW w:w="0" w:type="auto"/>
            <w:tcBorders>
              <w:bottom w:val="thinThickSmallGap" w:sz="24" w:space="0" w:color="auto"/>
            </w:tcBorders>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2 (2.1%)</w:t>
            </w:r>
          </w:p>
        </w:tc>
        <w:tc>
          <w:tcPr>
            <w:tcW w:w="0" w:type="auto"/>
            <w:tcBorders>
              <w:bottom w:val="thinThickSmallGap" w:sz="24" w:space="0" w:color="auto"/>
            </w:tcBorders>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9 (9.4%)</w:t>
            </w:r>
          </w:p>
        </w:tc>
        <w:tc>
          <w:tcPr>
            <w:tcW w:w="0" w:type="auto"/>
            <w:tcBorders>
              <w:bottom w:val="thinThickSmallGap" w:sz="24" w:space="0" w:color="auto"/>
            </w:tcBorders>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5 (5.2%)</w:t>
            </w:r>
          </w:p>
        </w:tc>
        <w:tc>
          <w:tcPr>
            <w:tcW w:w="0" w:type="auto"/>
            <w:tcBorders>
              <w:bottom w:val="thinThickSmallGap" w:sz="24" w:space="0" w:color="auto"/>
            </w:tcBorders>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b/>
                <w:bCs/>
                <w:sz w:val="24"/>
                <w:szCs w:val="24"/>
              </w:rPr>
              <w:t>15.689 (p = 0.016)</w:t>
            </w:r>
          </w:p>
        </w:tc>
        <w:tc>
          <w:tcPr>
            <w:tcW w:w="0" w:type="auto"/>
            <w:tcBorders>
              <w:bottom w:val="thinThickSmallGap" w:sz="24" w:space="0" w:color="auto"/>
            </w:tcBorders>
            <w:vAlign w:val="center"/>
            <w:hideMark/>
          </w:tcPr>
          <w:p w:rsidR="00F01DDE" w:rsidRPr="004A02C3" w:rsidRDefault="00F01DDE" w:rsidP="009D2EE1">
            <w:pPr>
              <w:spacing w:after="0" w:line="360" w:lineRule="auto"/>
              <w:rPr>
                <w:rFonts w:ascii="Arial" w:eastAsia="Times New Roman" w:hAnsi="Arial" w:cs="Arial"/>
                <w:sz w:val="24"/>
                <w:szCs w:val="24"/>
              </w:rPr>
            </w:pPr>
            <w:r w:rsidRPr="004A02C3">
              <w:rPr>
                <w:rFonts w:ascii="Arial" w:eastAsia="Times New Roman" w:hAnsi="Arial" w:cs="Arial"/>
                <w:sz w:val="24"/>
                <w:szCs w:val="24"/>
              </w:rPr>
              <w:t>10.727 (p = 0.097)</w:t>
            </w:r>
          </w:p>
        </w:tc>
      </w:tr>
    </w:tbl>
    <w:p w:rsidR="00F01DDE" w:rsidRPr="004A02C3" w:rsidRDefault="00F01DDE" w:rsidP="00F01DDE">
      <w:pPr>
        <w:spacing w:line="360" w:lineRule="auto"/>
        <w:rPr>
          <w:rFonts w:ascii="Arial" w:hAnsi="Arial" w:cs="Arial"/>
          <w:b/>
          <w:bCs/>
          <w:color w:val="000000"/>
          <w:sz w:val="24"/>
          <w:szCs w:val="24"/>
        </w:rPr>
      </w:pPr>
    </w:p>
    <w:p w:rsidR="00F01DDE" w:rsidRPr="00320F50" w:rsidRDefault="00F01DDE" w:rsidP="00F01DDE">
      <w:pPr>
        <w:pStyle w:val="Heading2"/>
        <w:spacing w:line="360" w:lineRule="auto"/>
        <w:rPr>
          <w:rFonts w:ascii="Arial" w:hAnsi="Arial" w:cs="Arial"/>
          <w:bCs/>
          <w:i/>
          <w:color w:val="000000"/>
          <w:sz w:val="24"/>
          <w:szCs w:val="24"/>
        </w:rPr>
      </w:pPr>
      <w:bookmarkStart w:id="6" w:name="_Toc200716817"/>
      <w:r w:rsidRPr="00320F50">
        <w:rPr>
          <w:rFonts w:ascii="Arial" w:hAnsi="Arial" w:cs="Arial"/>
          <w:bCs/>
          <w:i/>
          <w:color w:val="000000"/>
          <w:sz w:val="24"/>
          <w:szCs w:val="24"/>
        </w:rPr>
        <w:t>Feeding Practice</w:t>
      </w:r>
      <w:bookmarkEnd w:id="6"/>
    </w:p>
    <w:p w:rsidR="00F01DDE" w:rsidRPr="004A02C3" w:rsidRDefault="00F01DDE" w:rsidP="00F01DDE">
      <w:pPr>
        <w:spacing w:line="360" w:lineRule="auto"/>
        <w:jc w:val="both"/>
        <w:rPr>
          <w:rFonts w:ascii="Arial" w:hAnsi="Arial" w:cs="Arial"/>
          <w:color w:val="000000"/>
          <w:sz w:val="24"/>
          <w:szCs w:val="24"/>
        </w:rPr>
      </w:pPr>
      <w:r w:rsidRPr="004A02C3">
        <w:rPr>
          <w:rFonts w:ascii="Arial" w:hAnsi="Arial" w:cs="Arial"/>
          <w:color w:val="000000"/>
          <w:sz w:val="24"/>
          <w:szCs w:val="24"/>
        </w:rPr>
        <w:t>Out of the 96 caregivers, 42.7% (41 respondents) reported feeding their child less than three times a day, while 28.1% (27 respondents) indicated "three times" a day, and 26.0% (25 respondents) said they fed their child 5 to 8 times daily. Only 3.1% (3 respondents) reported feeding more than 8 times a day.</w:t>
      </w:r>
    </w:p>
    <w:p w:rsidR="00F01DDE" w:rsidRPr="004A02C3" w:rsidRDefault="00F01DDE" w:rsidP="00F61D00">
      <w:pPr>
        <w:spacing w:line="360" w:lineRule="auto"/>
        <w:jc w:val="both"/>
        <w:rPr>
          <w:rFonts w:ascii="Arial" w:hAnsi="Arial" w:cs="Arial"/>
          <w:color w:val="000000"/>
          <w:sz w:val="24"/>
          <w:szCs w:val="24"/>
        </w:rPr>
      </w:pPr>
      <w:r w:rsidRPr="004A02C3">
        <w:rPr>
          <w:rFonts w:ascii="Arial" w:hAnsi="Arial" w:cs="Arial"/>
          <w:color w:val="000000"/>
          <w:sz w:val="24"/>
          <w:szCs w:val="24"/>
        </w:rPr>
        <w:lastRenderedPageBreak/>
        <w:t>When asked about the type of complementary food given to their child, the majority, 57.3% (55 respondents), gave fruits and vegetables, followed by 31.3% (30 respondents) who provided dairy products. A smaller number gave porridge 7.3% (7 respondents) and fish or eggs 4.2% (4 respondents).</w:t>
      </w:r>
    </w:p>
    <w:p w:rsidR="00F01DDE" w:rsidRPr="004A02C3" w:rsidRDefault="00F01DDE" w:rsidP="00F61D00">
      <w:pPr>
        <w:spacing w:line="360" w:lineRule="auto"/>
        <w:jc w:val="both"/>
        <w:rPr>
          <w:rFonts w:ascii="Arial" w:hAnsi="Arial" w:cs="Arial"/>
          <w:color w:val="000000"/>
          <w:sz w:val="24"/>
          <w:szCs w:val="24"/>
        </w:rPr>
      </w:pPr>
      <w:r w:rsidRPr="00774CCB">
        <w:rPr>
          <w:rFonts w:ascii="Arial" w:hAnsi="Arial" w:cs="Arial"/>
          <w:color w:val="000000"/>
          <w:sz w:val="24"/>
          <w:szCs w:val="24"/>
          <w:highlight w:val="yellow"/>
        </w:rPr>
        <w:t xml:space="preserve">Regarding </w:t>
      </w:r>
      <w:r w:rsidR="00774CCB" w:rsidRPr="00774CCB">
        <w:rPr>
          <w:rFonts w:ascii="Arial" w:hAnsi="Arial" w:cs="Arial"/>
          <w:color w:val="000000"/>
          <w:sz w:val="24"/>
          <w:szCs w:val="24"/>
          <w:highlight w:val="yellow"/>
        </w:rPr>
        <w:t>meal frequency, most caregivers (85.4%, 82 respondents) reported feeding their child 3</w:t>
      </w:r>
      <w:r w:rsidRPr="00774CCB">
        <w:rPr>
          <w:rFonts w:ascii="Arial" w:hAnsi="Arial" w:cs="Arial"/>
          <w:color w:val="000000"/>
          <w:sz w:val="24"/>
          <w:szCs w:val="24"/>
          <w:highlight w:val="yellow"/>
        </w:rPr>
        <w:t xml:space="preserve"> or more times a day, while 6.3% (6 respondents) rarely </w:t>
      </w:r>
      <w:r w:rsidR="00BD3512">
        <w:rPr>
          <w:rFonts w:ascii="Arial" w:hAnsi="Arial" w:cs="Arial"/>
          <w:color w:val="000000"/>
          <w:sz w:val="24"/>
          <w:szCs w:val="24"/>
          <w:highlight w:val="yellow"/>
        </w:rPr>
        <w:t>fed their child</w:t>
      </w:r>
      <w:r w:rsidRPr="00774CCB">
        <w:rPr>
          <w:rFonts w:ascii="Arial" w:hAnsi="Arial" w:cs="Arial"/>
          <w:color w:val="000000"/>
          <w:sz w:val="24"/>
          <w:szCs w:val="24"/>
          <w:highlight w:val="yellow"/>
        </w:rPr>
        <w:t>. Only a few gave meals once a day, 2.1% (2 respondents), twice a day, 3.1% (3 respondents), or not at all, 3.1% (3 respondents).</w:t>
      </w:r>
    </w:p>
    <w:p w:rsidR="00F01DDE" w:rsidRPr="00320F50" w:rsidRDefault="00F01DDE" w:rsidP="00F61D00">
      <w:pPr>
        <w:pStyle w:val="NormalWeb"/>
        <w:spacing w:line="360" w:lineRule="auto"/>
        <w:jc w:val="both"/>
        <w:rPr>
          <w:rFonts w:ascii="Arial" w:hAnsi="Arial" w:cs="Arial"/>
        </w:rPr>
      </w:pPr>
      <w:r w:rsidRPr="00320F50">
        <w:rPr>
          <w:rFonts w:ascii="Arial" w:hAnsi="Arial" w:cs="Arial"/>
        </w:rPr>
        <w:t xml:space="preserve">Among the 96 enrolled children, most caregivers (83.3%) were unable to identify the specific type of malnutrition affecting their child. When examining feeding practices, </w:t>
      </w:r>
      <w:r w:rsidRPr="00320F50">
        <w:rPr>
          <w:rStyle w:val="Strong"/>
          <w:rFonts w:ascii="Arial" w:hAnsi="Arial" w:cs="Arial"/>
          <w:b w:val="0"/>
        </w:rPr>
        <w:t xml:space="preserve">the type of complementary food provided </w:t>
      </w:r>
      <w:r w:rsidR="001E42CC">
        <w:rPr>
          <w:rStyle w:val="Strong"/>
          <w:rFonts w:ascii="Arial" w:hAnsi="Arial" w:cs="Arial"/>
          <w:b w:val="0"/>
        </w:rPr>
        <w:t>was associated</w:t>
      </w:r>
      <w:r w:rsidRPr="00320F50">
        <w:rPr>
          <w:rStyle w:val="Strong"/>
          <w:rFonts w:ascii="Arial" w:hAnsi="Arial" w:cs="Arial"/>
          <w:b w:val="0"/>
        </w:rPr>
        <w:t xml:space="preserve"> with the type of malnutrition</w:t>
      </w:r>
      <w:r w:rsidRPr="00320F50">
        <w:rPr>
          <w:rFonts w:ascii="Arial" w:hAnsi="Arial" w:cs="Arial"/>
          <w:b/>
        </w:rPr>
        <w:t xml:space="preserve"> </w:t>
      </w:r>
      <w:r w:rsidRPr="00320F50">
        <w:rPr>
          <w:rFonts w:ascii="Arial" w:hAnsi="Arial" w:cs="Arial"/>
        </w:rPr>
        <w:t>(χ² = 34.46, p &lt; 0.001; LR = 29.67, p &lt; 0.001). Children who were wasted or underweight were more likely to receive dairy products or porridge, whereas those consuming mainly fruits and vegetables fell predo</w:t>
      </w:r>
      <w:r w:rsidR="004E49AC">
        <w:rPr>
          <w:rFonts w:ascii="Arial" w:hAnsi="Arial" w:cs="Arial"/>
        </w:rPr>
        <w:t xml:space="preserve">minantly into the </w:t>
      </w:r>
      <w:r w:rsidR="004E49AC" w:rsidRPr="004E49AC">
        <w:rPr>
          <w:rFonts w:ascii="Arial" w:hAnsi="Arial" w:cs="Arial"/>
          <w:highlight w:val="yellow"/>
        </w:rPr>
        <w:t>non-malnutrition</w:t>
      </w:r>
      <w:r w:rsidRPr="00320F50">
        <w:rPr>
          <w:rFonts w:ascii="Arial" w:hAnsi="Arial" w:cs="Arial"/>
        </w:rPr>
        <w:t xml:space="preserve"> and stunting categories. Fish and eggs were rarely used as complementary foods across all groups.</w:t>
      </w:r>
    </w:p>
    <w:p w:rsidR="00F01DDE" w:rsidRPr="00320F50" w:rsidRDefault="00F01DDE" w:rsidP="00F61D00">
      <w:pPr>
        <w:pStyle w:val="NormalWeb"/>
        <w:spacing w:line="360" w:lineRule="auto"/>
        <w:jc w:val="both"/>
        <w:rPr>
          <w:rFonts w:ascii="Arial" w:hAnsi="Arial" w:cs="Arial"/>
        </w:rPr>
      </w:pPr>
      <w:r w:rsidRPr="00320F50">
        <w:rPr>
          <w:rFonts w:ascii="Arial" w:hAnsi="Arial" w:cs="Arial"/>
        </w:rPr>
        <w:t xml:space="preserve">A similarly strong association was observed between </w:t>
      </w:r>
      <w:r w:rsidR="001E42CC">
        <w:rPr>
          <w:rStyle w:val="Strong"/>
          <w:rFonts w:ascii="Arial" w:hAnsi="Arial" w:cs="Arial"/>
          <w:b w:val="0"/>
        </w:rPr>
        <w:t xml:space="preserve">a history of malnutrition diagnosis and the </w:t>
      </w:r>
      <w:r w:rsidRPr="00320F50">
        <w:rPr>
          <w:rFonts w:ascii="Arial" w:hAnsi="Arial" w:cs="Arial"/>
        </w:rPr>
        <w:t>current malnutrition category (χ² = 42.91, p &lt; 0.001; LR = 36.71, p &lt; 0.001). Nearly all children previously diagnosed with malnutrition were classified as underweight or wasted, indicating a pattern of persistent or recurrent nutritional deficits.</w:t>
      </w:r>
    </w:p>
    <w:p w:rsidR="00F01DDE" w:rsidRPr="00320F50" w:rsidRDefault="00F01DDE" w:rsidP="00F61D00">
      <w:pPr>
        <w:pStyle w:val="NormalWeb"/>
        <w:spacing w:line="360" w:lineRule="auto"/>
        <w:jc w:val="both"/>
        <w:rPr>
          <w:rFonts w:ascii="Arial" w:hAnsi="Arial" w:cs="Arial"/>
        </w:rPr>
      </w:pPr>
      <w:r w:rsidRPr="00320F50">
        <w:rPr>
          <w:rFonts w:ascii="Arial" w:hAnsi="Arial" w:cs="Arial"/>
        </w:rPr>
        <w:t>In contrast, other examined feeding-related variables</w:t>
      </w:r>
      <w:r>
        <w:rPr>
          <w:rFonts w:ascii="Arial" w:hAnsi="Arial" w:cs="Arial"/>
          <w:b/>
        </w:rPr>
        <w:t xml:space="preserve">: </w:t>
      </w:r>
      <w:r w:rsidRPr="00320F50">
        <w:rPr>
          <w:rStyle w:val="Strong"/>
          <w:rFonts w:ascii="Arial" w:hAnsi="Arial" w:cs="Arial"/>
          <w:b w:val="0"/>
        </w:rPr>
        <w:t>frequency of breastfeeding</w:t>
      </w:r>
      <w:r w:rsidRPr="00320F50">
        <w:rPr>
          <w:rFonts w:ascii="Arial" w:hAnsi="Arial" w:cs="Arial"/>
          <w:b/>
        </w:rPr>
        <w:t xml:space="preserve">, </w:t>
      </w:r>
      <w:r w:rsidRPr="00320F50">
        <w:rPr>
          <w:rStyle w:val="Strong"/>
          <w:rFonts w:ascii="Arial" w:hAnsi="Arial" w:cs="Arial"/>
          <w:b w:val="0"/>
        </w:rPr>
        <w:t>frequency of meals per day</w:t>
      </w:r>
      <w:r w:rsidRPr="00320F50">
        <w:rPr>
          <w:rFonts w:ascii="Arial" w:hAnsi="Arial" w:cs="Arial"/>
          <w:b/>
        </w:rPr>
        <w:t xml:space="preserve">, </w:t>
      </w:r>
      <w:r w:rsidRPr="00320F50">
        <w:rPr>
          <w:rFonts w:ascii="Arial" w:hAnsi="Arial" w:cs="Arial"/>
        </w:rPr>
        <w:t>and</w:t>
      </w:r>
      <w:r w:rsidRPr="00320F50">
        <w:rPr>
          <w:rFonts w:ascii="Arial" w:hAnsi="Arial" w:cs="Arial"/>
          <w:b/>
        </w:rPr>
        <w:t xml:space="preserve"> </w:t>
      </w:r>
      <w:r w:rsidRPr="00320F50">
        <w:rPr>
          <w:rStyle w:val="Strong"/>
          <w:rFonts w:ascii="Arial" w:hAnsi="Arial" w:cs="Arial"/>
          <w:b w:val="0"/>
        </w:rPr>
        <w:t>frequency of infections</w:t>
      </w:r>
      <w:r>
        <w:rPr>
          <w:rFonts w:ascii="Arial" w:hAnsi="Arial" w:cs="Arial"/>
        </w:rPr>
        <w:t xml:space="preserve">, </w:t>
      </w:r>
      <w:r w:rsidRPr="00320F50">
        <w:rPr>
          <w:rFonts w:ascii="Arial" w:hAnsi="Arial" w:cs="Arial"/>
        </w:rPr>
        <w:t xml:space="preserve">did not show statistically significant relationships with malnutrition type (all p &gt; 0.05). Most children were breastfed </w:t>
      </w:r>
      <w:r w:rsidR="00B10BE8">
        <w:rPr>
          <w:rFonts w:ascii="Arial" w:hAnsi="Arial" w:cs="Arial"/>
        </w:rPr>
        <w:t>5-8 times per day or fewer than 3 times per day, and the majority received 3</w:t>
      </w:r>
      <w:r w:rsidRPr="00320F50">
        <w:rPr>
          <w:rFonts w:ascii="Arial" w:hAnsi="Arial" w:cs="Arial"/>
        </w:rPr>
        <w:t xml:space="preserve"> or more meals per day. Episodes of fever or </w:t>
      </w:r>
      <w:r w:rsidR="001E42CC">
        <w:rPr>
          <w:rFonts w:ascii="Arial" w:hAnsi="Arial" w:cs="Arial"/>
        </w:rPr>
        <w:t>infection were generally reported as rare and did not differ substantially across malnutrition categories</w:t>
      </w:r>
      <w:r w:rsidRPr="00320F50">
        <w:rPr>
          <w:rFonts w:ascii="Arial" w:hAnsi="Arial" w:cs="Arial"/>
        </w:rPr>
        <w:t>.</w:t>
      </w:r>
    </w:p>
    <w:p w:rsidR="00F01DDE" w:rsidRPr="00320F50" w:rsidRDefault="00F01DDE" w:rsidP="00F61D00">
      <w:pPr>
        <w:pStyle w:val="NormalWeb"/>
        <w:spacing w:line="360" w:lineRule="auto"/>
        <w:jc w:val="both"/>
        <w:rPr>
          <w:rFonts w:ascii="Arial" w:hAnsi="Arial" w:cs="Arial"/>
        </w:rPr>
      </w:pPr>
      <w:r w:rsidRPr="00320F50">
        <w:rPr>
          <w:rFonts w:ascii="Arial" w:hAnsi="Arial" w:cs="Arial"/>
        </w:rPr>
        <w:t xml:space="preserve">Overall, these findings indicate that </w:t>
      </w:r>
      <w:r w:rsidRPr="00320F50">
        <w:rPr>
          <w:rStyle w:val="Strong"/>
          <w:rFonts w:ascii="Arial" w:hAnsi="Arial" w:cs="Arial"/>
          <w:b w:val="0"/>
        </w:rPr>
        <w:t>the type of complementary foods provided and a prior diagnosis of malnutrition</w:t>
      </w:r>
      <w:r w:rsidRPr="00320F50">
        <w:rPr>
          <w:rFonts w:ascii="Arial" w:hAnsi="Arial" w:cs="Arial"/>
          <w:b/>
        </w:rPr>
        <w:t xml:space="preserve"> </w:t>
      </w:r>
      <w:r w:rsidRPr="00320F50">
        <w:rPr>
          <w:rFonts w:ascii="Arial" w:hAnsi="Arial" w:cs="Arial"/>
        </w:rPr>
        <w:t xml:space="preserve">are the factors most closely associated with the child’s current </w:t>
      </w:r>
      <w:r w:rsidRPr="00320F50">
        <w:rPr>
          <w:rFonts w:ascii="Arial" w:hAnsi="Arial" w:cs="Arial"/>
        </w:rPr>
        <w:lastRenderedPageBreak/>
        <w:t>nutritional status, while general feeding frequency and infection patterns did not demonstrate significant variation across malnutrition groups.</w:t>
      </w:r>
    </w:p>
    <w:p w:rsidR="00F01DDE" w:rsidRPr="004A02C3" w:rsidRDefault="00F01DDE" w:rsidP="00F61D00">
      <w:pPr>
        <w:spacing w:line="360" w:lineRule="auto"/>
        <w:jc w:val="both"/>
        <w:rPr>
          <w:rFonts w:ascii="Arial" w:hAnsi="Arial" w:cs="Arial"/>
          <w:sz w:val="24"/>
          <w:szCs w:val="24"/>
        </w:rPr>
      </w:pPr>
    </w:p>
    <w:p w:rsidR="00F01DDE" w:rsidRPr="004A02C3" w:rsidRDefault="00EC3D63" w:rsidP="00F01DDE">
      <w:pPr>
        <w:spacing w:line="360" w:lineRule="auto"/>
        <w:jc w:val="both"/>
        <w:rPr>
          <w:rFonts w:ascii="Arial" w:hAnsi="Arial" w:cs="Arial"/>
          <w:sz w:val="24"/>
          <w:szCs w:val="24"/>
        </w:rPr>
      </w:pPr>
      <w:r>
        <w:rPr>
          <w:rStyle w:val="Strong"/>
          <w:rFonts w:ascii="Arial" w:hAnsi="Arial" w:cs="Arial"/>
          <w:bCs w:val="0"/>
        </w:rPr>
        <w:t>Table 3</w:t>
      </w:r>
      <w:r w:rsidR="00F01DDE" w:rsidRPr="004A02C3">
        <w:rPr>
          <w:rStyle w:val="Strong"/>
          <w:rFonts w:ascii="Arial" w:hAnsi="Arial" w:cs="Arial"/>
          <w:bCs w:val="0"/>
          <w:sz w:val="24"/>
          <w:szCs w:val="24"/>
        </w:rPr>
        <w:t xml:space="preserve">. Association between </w:t>
      </w:r>
      <w:r w:rsidR="00FC42FA">
        <w:rPr>
          <w:rStyle w:val="Strong"/>
          <w:rFonts w:ascii="Arial" w:hAnsi="Arial" w:cs="Arial"/>
          <w:bCs w:val="0"/>
          <w:sz w:val="24"/>
          <w:szCs w:val="24"/>
        </w:rPr>
        <w:t xml:space="preserve">malnutrition type and feeding practices among children under 5 years old at </w:t>
      </w:r>
      <w:proofErr w:type="spellStart"/>
      <w:r w:rsidR="00FC42FA">
        <w:rPr>
          <w:rStyle w:val="Strong"/>
          <w:rFonts w:ascii="Arial" w:hAnsi="Arial" w:cs="Arial"/>
          <w:bCs w:val="0"/>
          <w:sz w:val="24"/>
          <w:szCs w:val="24"/>
        </w:rPr>
        <w:t>Jitimai</w:t>
      </w:r>
      <w:proofErr w:type="spellEnd"/>
      <w:r w:rsidR="00FC42FA">
        <w:rPr>
          <w:rStyle w:val="Strong"/>
          <w:rFonts w:ascii="Arial" w:hAnsi="Arial" w:cs="Arial"/>
          <w:bCs w:val="0"/>
          <w:sz w:val="24"/>
          <w:szCs w:val="24"/>
        </w:rPr>
        <w:t xml:space="preserve"> District Hospital</w:t>
      </w:r>
      <w:r w:rsidR="00C46343">
        <w:rPr>
          <w:rStyle w:val="Strong"/>
          <w:rFonts w:ascii="Arial" w:hAnsi="Arial" w:cs="Arial"/>
          <w:bCs w:val="0"/>
          <w:sz w:val="24"/>
          <w:szCs w:val="24"/>
        </w:rPr>
        <w:t>,</w:t>
      </w:r>
      <w:r w:rsidR="00853877">
        <w:rPr>
          <w:rFonts w:ascii="Arial" w:hAnsi="Arial" w:cs="Arial"/>
          <w:b/>
          <w:color w:val="000000"/>
          <w:sz w:val="24"/>
          <w:szCs w:val="24"/>
        </w:rPr>
        <w:t xml:space="preserve"> </w:t>
      </w:r>
      <w:r w:rsidR="001E42CC">
        <w:rPr>
          <w:rFonts w:ascii="Arial" w:hAnsi="Arial" w:cs="Arial"/>
          <w:b/>
          <w:color w:val="000000"/>
          <w:sz w:val="24"/>
          <w:szCs w:val="24"/>
        </w:rPr>
        <w:t>Zanzibar</w:t>
      </w:r>
      <w:r w:rsidR="00F01DDE" w:rsidRPr="004A02C3">
        <w:rPr>
          <w:rStyle w:val="Strong"/>
          <w:rFonts w:ascii="Arial" w:hAnsi="Arial" w:cs="Arial"/>
          <w:bCs w:val="0"/>
        </w:rPr>
        <w:t xml:space="preserve"> </w:t>
      </w:r>
      <w:r w:rsidR="00F01DDE" w:rsidRPr="004A02C3">
        <w:rPr>
          <w:rStyle w:val="Strong"/>
          <w:rFonts w:ascii="Arial" w:hAnsi="Arial" w:cs="Arial"/>
          <w:bCs w:val="0"/>
          <w:sz w:val="24"/>
          <w:szCs w:val="24"/>
        </w:rPr>
        <w:t>(N=96)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gridCol w:w="1128"/>
        <w:gridCol w:w="1076"/>
        <w:gridCol w:w="1534"/>
        <w:gridCol w:w="1149"/>
        <w:gridCol w:w="1280"/>
        <w:gridCol w:w="979"/>
      </w:tblGrid>
      <w:tr w:rsidR="00F01DDE" w:rsidRPr="004A02C3" w:rsidTr="008E4424">
        <w:trPr>
          <w:tblHeader/>
          <w:tblCellSpacing w:w="15" w:type="dxa"/>
        </w:trPr>
        <w:tc>
          <w:tcPr>
            <w:tcW w:w="0" w:type="auto"/>
            <w:tcBorders>
              <w:top w:val="thinThickSmallGap" w:sz="24" w:space="0" w:color="auto"/>
              <w:bottom w:val="thinThickSmallGap" w:sz="12" w:space="0" w:color="auto"/>
            </w:tcBorders>
            <w:vAlign w:val="center"/>
            <w:hideMark/>
          </w:tcPr>
          <w:p w:rsidR="00F01DDE" w:rsidRPr="004A02C3" w:rsidRDefault="00F01DDE" w:rsidP="009D2EE1">
            <w:pPr>
              <w:spacing w:line="360" w:lineRule="auto"/>
              <w:jc w:val="center"/>
              <w:rPr>
                <w:rFonts w:ascii="Arial" w:hAnsi="Arial" w:cs="Arial"/>
                <w:b/>
                <w:bCs/>
                <w:sz w:val="24"/>
                <w:szCs w:val="24"/>
              </w:rPr>
            </w:pPr>
            <w:r w:rsidRPr="004A02C3">
              <w:rPr>
                <w:rFonts w:ascii="Arial" w:hAnsi="Arial" w:cs="Arial"/>
                <w:b/>
                <w:bCs/>
                <w:sz w:val="24"/>
                <w:szCs w:val="24"/>
              </w:rPr>
              <w:t>Feeding Practice</w:t>
            </w:r>
          </w:p>
        </w:tc>
        <w:tc>
          <w:tcPr>
            <w:tcW w:w="1098" w:type="dxa"/>
            <w:tcBorders>
              <w:top w:val="thinThickSmallGap" w:sz="24" w:space="0" w:color="auto"/>
              <w:bottom w:val="thinThickSmallGap" w:sz="12" w:space="0" w:color="auto"/>
            </w:tcBorders>
            <w:vAlign w:val="center"/>
            <w:hideMark/>
          </w:tcPr>
          <w:p w:rsidR="00F01DDE" w:rsidRPr="004A02C3" w:rsidRDefault="00F01DDE" w:rsidP="009D2EE1">
            <w:pPr>
              <w:spacing w:line="360" w:lineRule="auto"/>
              <w:jc w:val="center"/>
              <w:rPr>
                <w:rFonts w:ascii="Arial" w:hAnsi="Arial" w:cs="Arial"/>
                <w:b/>
                <w:bCs/>
                <w:sz w:val="24"/>
                <w:szCs w:val="24"/>
              </w:rPr>
            </w:pPr>
            <w:r w:rsidRPr="004A02C3">
              <w:rPr>
                <w:rFonts w:ascii="Arial" w:hAnsi="Arial" w:cs="Arial"/>
                <w:b/>
                <w:bCs/>
                <w:sz w:val="24"/>
                <w:szCs w:val="24"/>
              </w:rPr>
              <w:t>I don’t know n (%)</w:t>
            </w:r>
          </w:p>
        </w:tc>
        <w:tc>
          <w:tcPr>
            <w:tcW w:w="1046" w:type="dxa"/>
            <w:tcBorders>
              <w:top w:val="thinThickSmallGap" w:sz="24" w:space="0" w:color="auto"/>
              <w:bottom w:val="thinThickSmallGap" w:sz="12" w:space="0" w:color="auto"/>
            </w:tcBorders>
            <w:vAlign w:val="center"/>
            <w:hideMark/>
          </w:tcPr>
          <w:p w:rsidR="00F01DDE" w:rsidRPr="004A02C3" w:rsidRDefault="00F01DDE" w:rsidP="009D2EE1">
            <w:pPr>
              <w:spacing w:line="360" w:lineRule="auto"/>
              <w:jc w:val="center"/>
              <w:rPr>
                <w:rFonts w:ascii="Arial" w:hAnsi="Arial" w:cs="Arial"/>
                <w:b/>
                <w:bCs/>
                <w:sz w:val="24"/>
                <w:szCs w:val="24"/>
              </w:rPr>
            </w:pPr>
            <w:r w:rsidRPr="004A02C3">
              <w:rPr>
                <w:rFonts w:ascii="Arial" w:hAnsi="Arial" w:cs="Arial"/>
                <w:b/>
                <w:bCs/>
                <w:sz w:val="24"/>
                <w:szCs w:val="24"/>
              </w:rPr>
              <w:t>Stunting</w:t>
            </w:r>
          </w:p>
          <w:p w:rsidR="00F01DDE" w:rsidRPr="004A02C3" w:rsidRDefault="00F01DDE" w:rsidP="009D2EE1">
            <w:pPr>
              <w:spacing w:line="360" w:lineRule="auto"/>
              <w:jc w:val="center"/>
              <w:rPr>
                <w:rFonts w:ascii="Arial" w:hAnsi="Arial" w:cs="Arial"/>
                <w:b/>
                <w:bCs/>
                <w:sz w:val="24"/>
                <w:szCs w:val="24"/>
              </w:rPr>
            </w:pPr>
            <w:r w:rsidRPr="004A02C3">
              <w:rPr>
                <w:rFonts w:ascii="Arial" w:hAnsi="Arial" w:cs="Arial"/>
                <w:b/>
                <w:bCs/>
                <w:sz w:val="24"/>
                <w:szCs w:val="24"/>
              </w:rPr>
              <w:t xml:space="preserve"> n (%)</w:t>
            </w:r>
          </w:p>
        </w:tc>
        <w:tc>
          <w:tcPr>
            <w:tcW w:w="1504" w:type="dxa"/>
            <w:tcBorders>
              <w:top w:val="thinThickSmallGap" w:sz="24" w:space="0" w:color="auto"/>
              <w:bottom w:val="thinThickSmallGap" w:sz="12" w:space="0" w:color="auto"/>
            </w:tcBorders>
            <w:vAlign w:val="center"/>
            <w:hideMark/>
          </w:tcPr>
          <w:p w:rsidR="00F01DDE" w:rsidRPr="004A02C3" w:rsidRDefault="00F01DDE" w:rsidP="009D2EE1">
            <w:pPr>
              <w:spacing w:line="360" w:lineRule="auto"/>
              <w:jc w:val="center"/>
              <w:rPr>
                <w:rFonts w:ascii="Arial" w:hAnsi="Arial" w:cs="Arial"/>
                <w:b/>
                <w:bCs/>
                <w:sz w:val="24"/>
                <w:szCs w:val="24"/>
              </w:rPr>
            </w:pPr>
            <w:r w:rsidRPr="004A02C3">
              <w:rPr>
                <w:rFonts w:ascii="Arial" w:hAnsi="Arial" w:cs="Arial"/>
                <w:b/>
                <w:bCs/>
                <w:sz w:val="24"/>
                <w:szCs w:val="24"/>
              </w:rPr>
              <w:t>Underweight n (%)</w:t>
            </w:r>
          </w:p>
        </w:tc>
        <w:tc>
          <w:tcPr>
            <w:tcW w:w="1119" w:type="dxa"/>
            <w:tcBorders>
              <w:top w:val="thinThickSmallGap" w:sz="24" w:space="0" w:color="auto"/>
              <w:bottom w:val="thinThickSmallGap" w:sz="12" w:space="0" w:color="auto"/>
            </w:tcBorders>
            <w:vAlign w:val="center"/>
            <w:hideMark/>
          </w:tcPr>
          <w:p w:rsidR="00F01DDE" w:rsidRPr="004A02C3" w:rsidRDefault="00F01DDE" w:rsidP="009D2EE1">
            <w:pPr>
              <w:spacing w:line="360" w:lineRule="auto"/>
              <w:jc w:val="center"/>
              <w:rPr>
                <w:rFonts w:ascii="Arial" w:hAnsi="Arial" w:cs="Arial"/>
                <w:b/>
                <w:bCs/>
                <w:sz w:val="24"/>
                <w:szCs w:val="24"/>
              </w:rPr>
            </w:pPr>
            <w:r w:rsidRPr="004A02C3">
              <w:rPr>
                <w:rFonts w:ascii="Arial" w:hAnsi="Arial" w:cs="Arial"/>
                <w:b/>
                <w:bCs/>
                <w:sz w:val="24"/>
                <w:szCs w:val="24"/>
              </w:rPr>
              <w:t>Wasting n (%)</w:t>
            </w:r>
          </w:p>
        </w:tc>
        <w:tc>
          <w:tcPr>
            <w:tcW w:w="1250" w:type="dxa"/>
            <w:tcBorders>
              <w:top w:val="thinThickSmallGap" w:sz="24" w:space="0" w:color="auto"/>
              <w:bottom w:val="thinThickSmallGap" w:sz="12" w:space="0" w:color="auto"/>
            </w:tcBorders>
            <w:vAlign w:val="center"/>
            <w:hideMark/>
          </w:tcPr>
          <w:p w:rsidR="00F01DDE" w:rsidRPr="004A02C3" w:rsidRDefault="00F01DDE" w:rsidP="009D2EE1">
            <w:pPr>
              <w:spacing w:line="360" w:lineRule="auto"/>
              <w:jc w:val="center"/>
              <w:rPr>
                <w:rFonts w:ascii="Arial" w:hAnsi="Arial" w:cs="Arial"/>
                <w:b/>
                <w:bCs/>
                <w:sz w:val="24"/>
                <w:szCs w:val="24"/>
              </w:rPr>
            </w:pPr>
            <w:r w:rsidRPr="004A02C3">
              <w:rPr>
                <w:rFonts w:ascii="Arial" w:hAnsi="Arial" w:cs="Arial"/>
                <w:b/>
                <w:bCs/>
                <w:sz w:val="24"/>
                <w:szCs w:val="24"/>
              </w:rPr>
              <w:t>Likelihood Ratio (p)</w:t>
            </w:r>
          </w:p>
        </w:tc>
        <w:tc>
          <w:tcPr>
            <w:tcW w:w="0" w:type="auto"/>
            <w:tcBorders>
              <w:top w:val="thinThickSmallGap" w:sz="24" w:space="0" w:color="auto"/>
              <w:bottom w:val="thinThickSmallGap" w:sz="12" w:space="0" w:color="auto"/>
            </w:tcBorders>
            <w:vAlign w:val="center"/>
            <w:hideMark/>
          </w:tcPr>
          <w:p w:rsidR="00F01DDE" w:rsidRPr="004A02C3" w:rsidRDefault="00F01DDE" w:rsidP="009D2EE1">
            <w:pPr>
              <w:spacing w:line="360" w:lineRule="auto"/>
              <w:jc w:val="center"/>
              <w:rPr>
                <w:rFonts w:ascii="Arial" w:hAnsi="Arial" w:cs="Arial"/>
                <w:b/>
                <w:bCs/>
                <w:sz w:val="24"/>
                <w:szCs w:val="24"/>
              </w:rPr>
            </w:pPr>
            <w:r w:rsidRPr="004A02C3">
              <w:rPr>
                <w:rFonts w:ascii="Arial" w:hAnsi="Arial" w:cs="Arial"/>
                <w:b/>
                <w:bCs/>
                <w:sz w:val="24"/>
                <w:szCs w:val="24"/>
              </w:rPr>
              <w:t>Chi-square (p)</w:t>
            </w: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Style w:val="Strong"/>
                <w:rFonts w:ascii="Arial" w:hAnsi="Arial" w:cs="Arial"/>
                <w:sz w:val="24"/>
                <w:szCs w:val="24"/>
              </w:rPr>
              <w:t>Frequency of breastfeeding per day</w:t>
            </w:r>
          </w:p>
        </w:tc>
        <w:tc>
          <w:tcPr>
            <w:tcW w:w="1098" w:type="dxa"/>
            <w:vAlign w:val="center"/>
            <w:hideMark/>
          </w:tcPr>
          <w:p w:rsidR="00F01DDE" w:rsidRPr="004A02C3" w:rsidRDefault="00F01DDE" w:rsidP="009D2EE1">
            <w:pPr>
              <w:spacing w:line="360" w:lineRule="auto"/>
              <w:rPr>
                <w:rFonts w:ascii="Arial" w:hAnsi="Arial" w:cs="Arial"/>
                <w:sz w:val="24"/>
                <w:szCs w:val="24"/>
              </w:rPr>
            </w:pPr>
          </w:p>
        </w:tc>
        <w:tc>
          <w:tcPr>
            <w:tcW w:w="1046" w:type="dxa"/>
            <w:vAlign w:val="center"/>
            <w:hideMark/>
          </w:tcPr>
          <w:p w:rsidR="00F01DDE" w:rsidRPr="004A02C3" w:rsidRDefault="00F01DDE" w:rsidP="009D2EE1">
            <w:pPr>
              <w:spacing w:line="360" w:lineRule="auto"/>
              <w:rPr>
                <w:rFonts w:ascii="Arial" w:hAnsi="Arial" w:cs="Arial"/>
                <w:sz w:val="24"/>
                <w:szCs w:val="24"/>
              </w:rPr>
            </w:pPr>
          </w:p>
        </w:tc>
        <w:tc>
          <w:tcPr>
            <w:tcW w:w="1504" w:type="dxa"/>
            <w:vAlign w:val="center"/>
            <w:hideMark/>
          </w:tcPr>
          <w:p w:rsidR="00F01DDE" w:rsidRPr="004A02C3" w:rsidRDefault="00F01DDE" w:rsidP="009D2EE1">
            <w:pPr>
              <w:spacing w:line="360" w:lineRule="auto"/>
              <w:rPr>
                <w:rFonts w:ascii="Arial" w:hAnsi="Arial" w:cs="Arial"/>
                <w:sz w:val="24"/>
                <w:szCs w:val="24"/>
              </w:rPr>
            </w:pPr>
          </w:p>
        </w:tc>
        <w:tc>
          <w:tcPr>
            <w:tcW w:w="1119" w:type="dxa"/>
            <w:vAlign w:val="center"/>
            <w:hideMark/>
          </w:tcPr>
          <w:p w:rsidR="00F01DDE" w:rsidRPr="004A02C3" w:rsidRDefault="00F01DDE" w:rsidP="009D2EE1">
            <w:pPr>
              <w:spacing w:line="360" w:lineRule="auto"/>
              <w:rPr>
                <w:rFonts w:ascii="Arial" w:hAnsi="Arial" w:cs="Arial"/>
                <w:sz w:val="24"/>
                <w:szCs w:val="24"/>
              </w:rPr>
            </w:pP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&lt;3 times/day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36 (45.0)</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(50.0)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 (44.4)</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250"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14.33 (0.111)</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13.07 (0.159)</w:t>
            </w: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5–8 times/day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16 (20.0)</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(50.0)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 (44.4)</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 (80)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&gt;8 times/day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3 (3.8)</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Style w:val="Strong"/>
                <w:rFonts w:ascii="Arial" w:hAnsi="Arial" w:cs="Arial"/>
                <w:sz w:val="24"/>
                <w:szCs w:val="24"/>
              </w:rPr>
              <w:t>Type of complementary feeding</w:t>
            </w:r>
          </w:p>
        </w:tc>
        <w:tc>
          <w:tcPr>
            <w:tcW w:w="1098" w:type="dxa"/>
            <w:vAlign w:val="center"/>
            <w:hideMark/>
          </w:tcPr>
          <w:p w:rsidR="00F01DDE" w:rsidRPr="004A02C3" w:rsidRDefault="00F01DDE" w:rsidP="009D2EE1">
            <w:pPr>
              <w:spacing w:line="360" w:lineRule="auto"/>
              <w:rPr>
                <w:rFonts w:ascii="Arial" w:hAnsi="Arial" w:cs="Arial"/>
                <w:sz w:val="24"/>
                <w:szCs w:val="24"/>
              </w:rPr>
            </w:pPr>
          </w:p>
        </w:tc>
        <w:tc>
          <w:tcPr>
            <w:tcW w:w="1046" w:type="dxa"/>
            <w:vAlign w:val="center"/>
            <w:hideMark/>
          </w:tcPr>
          <w:p w:rsidR="00F01DDE" w:rsidRPr="004A02C3" w:rsidRDefault="00F01DDE" w:rsidP="009D2EE1">
            <w:pPr>
              <w:spacing w:line="360" w:lineRule="auto"/>
              <w:rPr>
                <w:rFonts w:ascii="Arial" w:hAnsi="Arial" w:cs="Arial"/>
                <w:sz w:val="24"/>
                <w:szCs w:val="24"/>
              </w:rPr>
            </w:pPr>
          </w:p>
        </w:tc>
        <w:tc>
          <w:tcPr>
            <w:tcW w:w="1504" w:type="dxa"/>
            <w:vAlign w:val="center"/>
            <w:hideMark/>
          </w:tcPr>
          <w:p w:rsidR="00F01DDE" w:rsidRPr="004A02C3" w:rsidRDefault="00F01DDE" w:rsidP="009D2EE1">
            <w:pPr>
              <w:spacing w:line="360" w:lineRule="auto"/>
              <w:rPr>
                <w:rFonts w:ascii="Arial" w:hAnsi="Arial" w:cs="Arial"/>
                <w:sz w:val="24"/>
                <w:szCs w:val="24"/>
              </w:rPr>
            </w:pPr>
          </w:p>
        </w:tc>
        <w:tc>
          <w:tcPr>
            <w:tcW w:w="1119" w:type="dxa"/>
            <w:vAlign w:val="center"/>
            <w:hideMark/>
          </w:tcPr>
          <w:p w:rsidR="00F01DDE" w:rsidRPr="004A02C3" w:rsidRDefault="00F01DDE" w:rsidP="009D2EE1">
            <w:pPr>
              <w:spacing w:line="360" w:lineRule="auto"/>
              <w:rPr>
                <w:rFonts w:ascii="Arial" w:hAnsi="Arial" w:cs="Arial"/>
                <w:sz w:val="24"/>
                <w:szCs w:val="24"/>
              </w:rPr>
            </w:pPr>
          </w:p>
        </w:tc>
        <w:tc>
          <w:tcPr>
            <w:tcW w:w="1250" w:type="dxa"/>
            <w:vAlign w:val="center"/>
            <w:hideMark/>
          </w:tcPr>
          <w:p w:rsidR="00F01DDE" w:rsidRPr="004A02C3" w:rsidRDefault="00F01DDE" w:rsidP="009D2EE1">
            <w:pPr>
              <w:spacing w:line="360" w:lineRule="auto"/>
              <w:rPr>
                <w:rFonts w:ascii="Arial" w:hAnsi="Arial" w:cs="Arial"/>
                <w:b/>
                <w:sz w:val="24"/>
                <w:szCs w:val="24"/>
              </w:rPr>
            </w:pPr>
            <w:r w:rsidRPr="004A02C3">
              <w:rPr>
                <w:rFonts w:ascii="Arial" w:hAnsi="Arial" w:cs="Arial"/>
                <w:b/>
                <w:sz w:val="24"/>
                <w:szCs w:val="24"/>
              </w:rPr>
              <w:t>29.67 (0.000)</w:t>
            </w:r>
          </w:p>
        </w:tc>
        <w:tc>
          <w:tcPr>
            <w:tcW w:w="0" w:type="auto"/>
            <w:vAlign w:val="center"/>
            <w:hideMark/>
          </w:tcPr>
          <w:p w:rsidR="00F01DDE" w:rsidRPr="004A02C3" w:rsidRDefault="00F01DDE" w:rsidP="009D2EE1">
            <w:pPr>
              <w:spacing w:line="360" w:lineRule="auto"/>
              <w:rPr>
                <w:rFonts w:ascii="Arial" w:hAnsi="Arial" w:cs="Arial"/>
                <w:b/>
                <w:sz w:val="24"/>
                <w:szCs w:val="24"/>
              </w:rPr>
            </w:pPr>
            <w:r w:rsidRPr="004A02C3">
              <w:rPr>
                <w:rFonts w:ascii="Arial" w:hAnsi="Arial" w:cs="Arial"/>
                <w:b/>
                <w:sz w:val="24"/>
                <w:szCs w:val="24"/>
              </w:rPr>
              <w:t>34.46 (0.000)</w:t>
            </w: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Dairy products</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23 (28.8)</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3 (33.3)</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 (80)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Fish/eggs</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3 (3.8)</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(11.1)</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Fruits/vegetables</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52 (65.0)</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 (100)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(11.1)</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Porridge</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 (2.5)</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 (0)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 (44.4)</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(20)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Style w:val="Strong"/>
                <w:rFonts w:ascii="Arial" w:hAnsi="Arial" w:cs="Arial"/>
                <w:sz w:val="24"/>
                <w:szCs w:val="24"/>
              </w:rPr>
              <w:lastRenderedPageBreak/>
              <w:t>Frequency of meals per day</w:t>
            </w:r>
          </w:p>
        </w:tc>
        <w:tc>
          <w:tcPr>
            <w:tcW w:w="1098" w:type="dxa"/>
            <w:vAlign w:val="center"/>
            <w:hideMark/>
          </w:tcPr>
          <w:p w:rsidR="00F01DDE" w:rsidRPr="004A02C3" w:rsidRDefault="00F01DDE" w:rsidP="009D2EE1">
            <w:pPr>
              <w:spacing w:line="360" w:lineRule="auto"/>
              <w:rPr>
                <w:rFonts w:ascii="Arial" w:hAnsi="Arial" w:cs="Arial"/>
                <w:sz w:val="24"/>
                <w:szCs w:val="24"/>
              </w:rPr>
            </w:pPr>
          </w:p>
        </w:tc>
        <w:tc>
          <w:tcPr>
            <w:tcW w:w="1046" w:type="dxa"/>
            <w:vAlign w:val="center"/>
            <w:hideMark/>
          </w:tcPr>
          <w:p w:rsidR="00F01DDE" w:rsidRPr="004A02C3" w:rsidRDefault="00F01DDE" w:rsidP="009D2EE1">
            <w:pPr>
              <w:spacing w:line="360" w:lineRule="auto"/>
              <w:rPr>
                <w:rFonts w:ascii="Arial" w:hAnsi="Arial" w:cs="Arial"/>
                <w:sz w:val="24"/>
                <w:szCs w:val="24"/>
              </w:rPr>
            </w:pPr>
          </w:p>
        </w:tc>
        <w:tc>
          <w:tcPr>
            <w:tcW w:w="1504" w:type="dxa"/>
            <w:vAlign w:val="center"/>
            <w:hideMark/>
          </w:tcPr>
          <w:p w:rsidR="00F01DDE" w:rsidRPr="004A02C3" w:rsidRDefault="00F01DDE" w:rsidP="009D2EE1">
            <w:pPr>
              <w:spacing w:line="360" w:lineRule="auto"/>
              <w:rPr>
                <w:rFonts w:ascii="Arial" w:hAnsi="Arial" w:cs="Arial"/>
                <w:sz w:val="24"/>
                <w:szCs w:val="24"/>
              </w:rPr>
            </w:pPr>
          </w:p>
        </w:tc>
        <w:tc>
          <w:tcPr>
            <w:tcW w:w="1119" w:type="dxa"/>
            <w:vAlign w:val="center"/>
            <w:hideMark/>
          </w:tcPr>
          <w:p w:rsidR="00F01DDE" w:rsidRPr="004A02C3" w:rsidRDefault="00F01DDE" w:rsidP="009D2EE1">
            <w:pPr>
              <w:spacing w:line="360" w:lineRule="auto"/>
              <w:rPr>
                <w:rFonts w:ascii="Arial" w:hAnsi="Arial" w:cs="Arial"/>
                <w:sz w:val="24"/>
                <w:szCs w:val="24"/>
              </w:rPr>
            </w:pPr>
          </w:p>
        </w:tc>
        <w:tc>
          <w:tcPr>
            <w:tcW w:w="1250"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11.18 (0.513)</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17.67 (0.126)</w:t>
            </w: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No</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(1.3)</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(11.1)</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(20)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Once/day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 (2.5)</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Rarely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 (5.0)</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(50)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(11.1)</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Twice/day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 (2.5)</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(11.1)</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≥3 times/day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71 (88.7)</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(50)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6 (66.7)</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 (80)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Style w:val="Strong"/>
                <w:rFonts w:ascii="Arial" w:hAnsi="Arial" w:cs="Arial"/>
                <w:sz w:val="24"/>
                <w:szCs w:val="24"/>
              </w:rPr>
              <w:t>History of malnutrition diagnosis</w:t>
            </w:r>
          </w:p>
        </w:tc>
        <w:tc>
          <w:tcPr>
            <w:tcW w:w="1098" w:type="dxa"/>
            <w:vAlign w:val="center"/>
            <w:hideMark/>
          </w:tcPr>
          <w:p w:rsidR="00F01DDE" w:rsidRPr="004A02C3" w:rsidRDefault="00F01DDE" w:rsidP="009D2EE1">
            <w:pPr>
              <w:spacing w:line="360" w:lineRule="auto"/>
              <w:rPr>
                <w:rFonts w:ascii="Arial" w:hAnsi="Arial" w:cs="Arial"/>
                <w:sz w:val="24"/>
                <w:szCs w:val="24"/>
              </w:rPr>
            </w:pPr>
          </w:p>
        </w:tc>
        <w:tc>
          <w:tcPr>
            <w:tcW w:w="1046" w:type="dxa"/>
            <w:vAlign w:val="center"/>
            <w:hideMark/>
          </w:tcPr>
          <w:p w:rsidR="00F01DDE" w:rsidRPr="004A02C3" w:rsidRDefault="00F01DDE" w:rsidP="009D2EE1">
            <w:pPr>
              <w:spacing w:line="360" w:lineRule="auto"/>
              <w:rPr>
                <w:rFonts w:ascii="Arial" w:hAnsi="Arial" w:cs="Arial"/>
                <w:sz w:val="24"/>
                <w:szCs w:val="24"/>
              </w:rPr>
            </w:pPr>
          </w:p>
        </w:tc>
        <w:tc>
          <w:tcPr>
            <w:tcW w:w="1504" w:type="dxa"/>
            <w:vAlign w:val="center"/>
            <w:hideMark/>
          </w:tcPr>
          <w:p w:rsidR="00F01DDE" w:rsidRPr="004A02C3" w:rsidRDefault="00F01DDE" w:rsidP="009D2EE1">
            <w:pPr>
              <w:spacing w:line="360" w:lineRule="auto"/>
              <w:rPr>
                <w:rFonts w:ascii="Arial" w:hAnsi="Arial" w:cs="Arial"/>
                <w:sz w:val="24"/>
                <w:szCs w:val="24"/>
              </w:rPr>
            </w:pPr>
          </w:p>
        </w:tc>
        <w:tc>
          <w:tcPr>
            <w:tcW w:w="1119" w:type="dxa"/>
            <w:vAlign w:val="center"/>
            <w:hideMark/>
          </w:tcPr>
          <w:p w:rsidR="00F01DDE" w:rsidRPr="004A02C3" w:rsidRDefault="00F01DDE" w:rsidP="009D2EE1">
            <w:pPr>
              <w:spacing w:line="360" w:lineRule="auto"/>
              <w:rPr>
                <w:rFonts w:ascii="Arial" w:hAnsi="Arial" w:cs="Arial"/>
                <w:sz w:val="24"/>
                <w:szCs w:val="24"/>
              </w:rPr>
            </w:pPr>
          </w:p>
        </w:tc>
        <w:tc>
          <w:tcPr>
            <w:tcW w:w="1250" w:type="dxa"/>
            <w:vAlign w:val="center"/>
            <w:hideMark/>
          </w:tcPr>
          <w:p w:rsidR="00F01DDE" w:rsidRPr="004A02C3" w:rsidRDefault="00F01DDE" w:rsidP="009D2EE1">
            <w:pPr>
              <w:spacing w:line="360" w:lineRule="auto"/>
              <w:rPr>
                <w:rFonts w:ascii="Arial" w:hAnsi="Arial" w:cs="Arial"/>
                <w:b/>
                <w:sz w:val="24"/>
                <w:szCs w:val="24"/>
              </w:rPr>
            </w:pPr>
            <w:r w:rsidRPr="004A02C3">
              <w:rPr>
                <w:rFonts w:ascii="Arial" w:hAnsi="Arial" w:cs="Arial"/>
                <w:b/>
                <w:sz w:val="24"/>
                <w:szCs w:val="24"/>
              </w:rPr>
              <w:t>36.71 (0.000)</w:t>
            </w:r>
          </w:p>
        </w:tc>
        <w:tc>
          <w:tcPr>
            <w:tcW w:w="0" w:type="auto"/>
            <w:vAlign w:val="center"/>
            <w:hideMark/>
          </w:tcPr>
          <w:p w:rsidR="00F01DDE" w:rsidRPr="004A02C3" w:rsidRDefault="00F01DDE" w:rsidP="009D2EE1">
            <w:pPr>
              <w:spacing w:line="360" w:lineRule="auto"/>
              <w:rPr>
                <w:rFonts w:ascii="Arial" w:hAnsi="Arial" w:cs="Arial"/>
                <w:b/>
                <w:sz w:val="24"/>
                <w:szCs w:val="24"/>
              </w:rPr>
            </w:pPr>
            <w:r w:rsidRPr="004A02C3">
              <w:rPr>
                <w:rFonts w:ascii="Arial" w:hAnsi="Arial" w:cs="Arial"/>
                <w:b/>
                <w:sz w:val="24"/>
                <w:szCs w:val="24"/>
              </w:rPr>
              <w:t>42.91 (0.000)</w:t>
            </w: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No</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72 (90.0)</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 (100)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 (22.2)</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Yes</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8 (10.0)</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7 (77.8)</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 (100)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Style w:val="Strong"/>
                <w:rFonts w:ascii="Arial" w:hAnsi="Arial" w:cs="Arial"/>
                <w:sz w:val="24"/>
                <w:szCs w:val="24"/>
              </w:rPr>
              <w:t>Frequency of fever/infections</w:t>
            </w:r>
          </w:p>
        </w:tc>
        <w:tc>
          <w:tcPr>
            <w:tcW w:w="1098" w:type="dxa"/>
            <w:vAlign w:val="center"/>
            <w:hideMark/>
          </w:tcPr>
          <w:p w:rsidR="00F01DDE" w:rsidRPr="004A02C3" w:rsidRDefault="00F01DDE" w:rsidP="009D2EE1">
            <w:pPr>
              <w:spacing w:line="360" w:lineRule="auto"/>
              <w:rPr>
                <w:rFonts w:ascii="Arial" w:hAnsi="Arial" w:cs="Arial"/>
                <w:sz w:val="24"/>
                <w:szCs w:val="24"/>
              </w:rPr>
            </w:pPr>
          </w:p>
        </w:tc>
        <w:tc>
          <w:tcPr>
            <w:tcW w:w="1046" w:type="dxa"/>
            <w:vAlign w:val="center"/>
            <w:hideMark/>
          </w:tcPr>
          <w:p w:rsidR="00F01DDE" w:rsidRPr="004A02C3" w:rsidRDefault="00F01DDE" w:rsidP="009D2EE1">
            <w:pPr>
              <w:spacing w:line="360" w:lineRule="auto"/>
              <w:rPr>
                <w:rFonts w:ascii="Arial" w:hAnsi="Arial" w:cs="Arial"/>
                <w:sz w:val="24"/>
                <w:szCs w:val="24"/>
              </w:rPr>
            </w:pPr>
          </w:p>
        </w:tc>
        <w:tc>
          <w:tcPr>
            <w:tcW w:w="1504" w:type="dxa"/>
            <w:vAlign w:val="center"/>
            <w:hideMark/>
          </w:tcPr>
          <w:p w:rsidR="00F01DDE" w:rsidRPr="004A02C3" w:rsidRDefault="00F01DDE" w:rsidP="009D2EE1">
            <w:pPr>
              <w:spacing w:line="360" w:lineRule="auto"/>
              <w:rPr>
                <w:rFonts w:ascii="Arial" w:hAnsi="Arial" w:cs="Arial"/>
                <w:sz w:val="24"/>
                <w:szCs w:val="24"/>
              </w:rPr>
            </w:pPr>
          </w:p>
        </w:tc>
        <w:tc>
          <w:tcPr>
            <w:tcW w:w="1119" w:type="dxa"/>
            <w:vAlign w:val="center"/>
            <w:hideMark/>
          </w:tcPr>
          <w:p w:rsidR="00F01DDE" w:rsidRPr="004A02C3" w:rsidRDefault="00F01DDE" w:rsidP="009D2EE1">
            <w:pPr>
              <w:spacing w:line="360" w:lineRule="auto"/>
              <w:rPr>
                <w:rFonts w:ascii="Arial" w:hAnsi="Arial" w:cs="Arial"/>
                <w:sz w:val="24"/>
                <w:szCs w:val="24"/>
              </w:rPr>
            </w:pPr>
          </w:p>
        </w:tc>
        <w:tc>
          <w:tcPr>
            <w:tcW w:w="1250"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5.25 (0.513)</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4.67 (0.586)</w:t>
            </w: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Frequently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24 (30.0)</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(50)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 (55.6)</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3 (60)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Occasionally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10 (12.5)</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(11.1)</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Rarely</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46 (57.5)</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(50)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3 (33.3)</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 (40)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Style w:val="Strong"/>
                <w:rFonts w:ascii="Arial" w:hAnsi="Arial" w:cs="Arial"/>
                <w:sz w:val="24"/>
                <w:szCs w:val="24"/>
              </w:rPr>
              <w:lastRenderedPageBreak/>
              <w:t>Place of seeking medical help</w:t>
            </w:r>
          </w:p>
        </w:tc>
        <w:tc>
          <w:tcPr>
            <w:tcW w:w="1098" w:type="dxa"/>
            <w:vAlign w:val="center"/>
            <w:hideMark/>
          </w:tcPr>
          <w:p w:rsidR="00F01DDE" w:rsidRPr="004A02C3" w:rsidRDefault="00F01DDE" w:rsidP="009D2EE1">
            <w:pPr>
              <w:spacing w:line="360" w:lineRule="auto"/>
              <w:rPr>
                <w:rFonts w:ascii="Arial" w:hAnsi="Arial" w:cs="Arial"/>
                <w:sz w:val="24"/>
                <w:szCs w:val="24"/>
              </w:rPr>
            </w:pPr>
          </w:p>
        </w:tc>
        <w:tc>
          <w:tcPr>
            <w:tcW w:w="1046" w:type="dxa"/>
            <w:vAlign w:val="center"/>
            <w:hideMark/>
          </w:tcPr>
          <w:p w:rsidR="00F01DDE" w:rsidRPr="004A02C3" w:rsidRDefault="00F01DDE" w:rsidP="009D2EE1">
            <w:pPr>
              <w:spacing w:line="360" w:lineRule="auto"/>
              <w:rPr>
                <w:rFonts w:ascii="Arial" w:hAnsi="Arial" w:cs="Arial"/>
                <w:sz w:val="24"/>
                <w:szCs w:val="24"/>
              </w:rPr>
            </w:pPr>
          </w:p>
        </w:tc>
        <w:tc>
          <w:tcPr>
            <w:tcW w:w="1504" w:type="dxa"/>
            <w:vAlign w:val="center"/>
            <w:hideMark/>
          </w:tcPr>
          <w:p w:rsidR="00F01DDE" w:rsidRPr="004A02C3" w:rsidRDefault="00F01DDE" w:rsidP="009D2EE1">
            <w:pPr>
              <w:spacing w:line="360" w:lineRule="auto"/>
              <w:rPr>
                <w:rFonts w:ascii="Arial" w:hAnsi="Arial" w:cs="Arial"/>
                <w:sz w:val="24"/>
                <w:szCs w:val="24"/>
              </w:rPr>
            </w:pPr>
          </w:p>
        </w:tc>
        <w:tc>
          <w:tcPr>
            <w:tcW w:w="1119" w:type="dxa"/>
            <w:vAlign w:val="center"/>
            <w:hideMark/>
          </w:tcPr>
          <w:p w:rsidR="00F01DDE" w:rsidRPr="004A02C3" w:rsidRDefault="00F01DDE" w:rsidP="009D2EE1">
            <w:pPr>
              <w:spacing w:line="360" w:lineRule="auto"/>
              <w:rPr>
                <w:rFonts w:ascii="Arial" w:hAnsi="Arial" w:cs="Arial"/>
                <w:sz w:val="24"/>
                <w:szCs w:val="24"/>
              </w:rPr>
            </w:pPr>
          </w:p>
        </w:tc>
        <w:tc>
          <w:tcPr>
            <w:tcW w:w="1250"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0.37 (0.947)</w:t>
            </w:r>
          </w:p>
        </w:tc>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0.20 (0.977)</w:t>
            </w:r>
          </w:p>
        </w:tc>
      </w:tr>
      <w:tr w:rsidR="00F01DDE" w:rsidRPr="004A02C3" w:rsidTr="002A0A2C">
        <w:trPr>
          <w:tblCellSpacing w:w="15" w:type="dxa"/>
        </w:trPr>
        <w:tc>
          <w:tcPr>
            <w:tcW w:w="0" w:type="auto"/>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Hospital</w:t>
            </w:r>
          </w:p>
        </w:tc>
        <w:tc>
          <w:tcPr>
            <w:tcW w:w="1098"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79 (98.8)</w:t>
            </w:r>
          </w:p>
        </w:tc>
        <w:tc>
          <w:tcPr>
            <w:tcW w:w="1046"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2 (100)</w:t>
            </w:r>
          </w:p>
        </w:tc>
        <w:tc>
          <w:tcPr>
            <w:tcW w:w="1504"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9 (100)</w:t>
            </w:r>
          </w:p>
        </w:tc>
        <w:tc>
          <w:tcPr>
            <w:tcW w:w="1119" w:type="dxa"/>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5 (100)</w:t>
            </w:r>
          </w:p>
        </w:tc>
        <w:tc>
          <w:tcPr>
            <w:tcW w:w="1250" w:type="dxa"/>
            <w:vAlign w:val="center"/>
            <w:hideMark/>
          </w:tcPr>
          <w:p w:rsidR="00F01DDE" w:rsidRPr="004A02C3" w:rsidRDefault="00F01DDE" w:rsidP="009D2EE1">
            <w:pPr>
              <w:spacing w:line="360" w:lineRule="auto"/>
              <w:rPr>
                <w:rFonts w:ascii="Arial" w:hAnsi="Arial" w:cs="Arial"/>
                <w:sz w:val="24"/>
                <w:szCs w:val="24"/>
              </w:rPr>
            </w:pPr>
          </w:p>
        </w:tc>
        <w:tc>
          <w:tcPr>
            <w:tcW w:w="0" w:type="auto"/>
            <w:vAlign w:val="center"/>
            <w:hideMark/>
          </w:tcPr>
          <w:p w:rsidR="00F01DDE" w:rsidRPr="004A02C3" w:rsidRDefault="00F01DDE" w:rsidP="009D2EE1">
            <w:pPr>
              <w:spacing w:line="360" w:lineRule="auto"/>
              <w:rPr>
                <w:rFonts w:ascii="Arial" w:hAnsi="Arial" w:cs="Arial"/>
                <w:sz w:val="24"/>
                <w:szCs w:val="24"/>
              </w:rPr>
            </w:pPr>
          </w:p>
        </w:tc>
      </w:tr>
      <w:tr w:rsidR="00F01DDE" w:rsidRPr="004A02C3" w:rsidTr="008E4424">
        <w:trPr>
          <w:tblCellSpacing w:w="15" w:type="dxa"/>
        </w:trPr>
        <w:tc>
          <w:tcPr>
            <w:tcW w:w="0" w:type="auto"/>
            <w:tcBorders>
              <w:bottom w:val="thinThickSmallGap" w:sz="24" w:space="0" w:color="auto"/>
            </w:tcBorders>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Traditional healer</w:t>
            </w:r>
          </w:p>
        </w:tc>
        <w:tc>
          <w:tcPr>
            <w:tcW w:w="1098" w:type="dxa"/>
            <w:tcBorders>
              <w:bottom w:val="thinThickSmallGap" w:sz="24" w:space="0" w:color="auto"/>
            </w:tcBorders>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1 (1.3)</w:t>
            </w:r>
          </w:p>
        </w:tc>
        <w:tc>
          <w:tcPr>
            <w:tcW w:w="1046" w:type="dxa"/>
            <w:tcBorders>
              <w:bottom w:val="thinThickSmallGap" w:sz="24" w:space="0" w:color="auto"/>
            </w:tcBorders>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504" w:type="dxa"/>
            <w:tcBorders>
              <w:bottom w:val="thinThickSmallGap" w:sz="24" w:space="0" w:color="auto"/>
            </w:tcBorders>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119" w:type="dxa"/>
            <w:tcBorders>
              <w:bottom w:val="thinThickSmallGap" w:sz="24" w:space="0" w:color="auto"/>
            </w:tcBorders>
            <w:vAlign w:val="center"/>
            <w:hideMark/>
          </w:tcPr>
          <w:p w:rsidR="00F01DDE" w:rsidRPr="004A02C3" w:rsidRDefault="00F01DDE" w:rsidP="009D2EE1">
            <w:pPr>
              <w:spacing w:line="360" w:lineRule="auto"/>
              <w:rPr>
                <w:rFonts w:ascii="Arial" w:hAnsi="Arial" w:cs="Arial"/>
                <w:sz w:val="24"/>
                <w:szCs w:val="24"/>
              </w:rPr>
            </w:pPr>
            <w:r w:rsidRPr="004A02C3">
              <w:rPr>
                <w:rFonts w:ascii="Arial" w:hAnsi="Arial" w:cs="Arial"/>
                <w:sz w:val="24"/>
                <w:szCs w:val="24"/>
              </w:rPr>
              <w:t>0</w:t>
            </w:r>
          </w:p>
        </w:tc>
        <w:tc>
          <w:tcPr>
            <w:tcW w:w="1250" w:type="dxa"/>
            <w:tcBorders>
              <w:bottom w:val="thinThickSmallGap" w:sz="24" w:space="0" w:color="auto"/>
            </w:tcBorders>
            <w:vAlign w:val="center"/>
            <w:hideMark/>
          </w:tcPr>
          <w:p w:rsidR="00F01DDE" w:rsidRPr="004A02C3" w:rsidRDefault="00F01DDE" w:rsidP="009D2EE1">
            <w:pPr>
              <w:spacing w:line="360" w:lineRule="auto"/>
              <w:rPr>
                <w:rFonts w:ascii="Arial" w:hAnsi="Arial" w:cs="Arial"/>
                <w:sz w:val="24"/>
                <w:szCs w:val="24"/>
              </w:rPr>
            </w:pPr>
          </w:p>
        </w:tc>
        <w:tc>
          <w:tcPr>
            <w:tcW w:w="0" w:type="auto"/>
            <w:tcBorders>
              <w:bottom w:val="thinThickSmallGap" w:sz="24" w:space="0" w:color="auto"/>
            </w:tcBorders>
            <w:vAlign w:val="center"/>
            <w:hideMark/>
          </w:tcPr>
          <w:p w:rsidR="00F01DDE" w:rsidRPr="004A02C3" w:rsidRDefault="00F01DDE" w:rsidP="009D2EE1">
            <w:pPr>
              <w:spacing w:line="360" w:lineRule="auto"/>
              <w:rPr>
                <w:rFonts w:ascii="Arial" w:hAnsi="Arial" w:cs="Arial"/>
                <w:sz w:val="24"/>
                <w:szCs w:val="24"/>
              </w:rPr>
            </w:pPr>
          </w:p>
        </w:tc>
      </w:tr>
    </w:tbl>
    <w:p w:rsidR="00F01DDE" w:rsidRPr="004A02C3" w:rsidRDefault="00F01DDE" w:rsidP="00F01DDE">
      <w:pPr>
        <w:spacing w:line="360" w:lineRule="auto"/>
        <w:rPr>
          <w:rFonts w:ascii="Arial" w:hAnsi="Arial" w:cs="Arial"/>
          <w:color w:val="000000"/>
          <w:sz w:val="24"/>
          <w:szCs w:val="24"/>
        </w:rPr>
      </w:pPr>
      <w:bookmarkStart w:id="7" w:name="_Toc183254849"/>
      <w:bookmarkEnd w:id="7"/>
    </w:p>
    <w:p w:rsidR="00F01DDE" w:rsidRPr="004A02C3" w:rsidRDefault="00F01DDE" w:rsidP="00F01DDE">
      <w:pPr>
        <w:spacing w:line="360" w:lineRule="auto"/>
        <w:rPr>
          <w:rFonts w:ascii="Arial" w:hAnsi="Arial" w:cs="Arial"/>
          <w:color w:val="000000"/>
          <w:sz w:val="24"/>
          <w:szCs w:val="24"/>
        </w:rPr>
      </w:pPr>
    </w:p>
    <w:p w:rsidR="00F01DDE" w:rsidRPr="004A02C3" w:rsidRDefault="00F01DDE" w:rsidP="00F01DDE">
      <w:pPr>
        <w:pStyle w:val="Heading1"/>
        <w:spacing w:line="360" w:lineRule="auto"/>
        <w:rPr>
          <w:rFonts w:ascii="Arial" w:hAnsi="Arial" w:cs="Arial"/>
          <w:b/>
          <w:bCs/>
          <w:color w:val="000000"/>
          <w:sz w:val="24"/>
          <w:szCs w:val="24"/>
        </w:rPr>
      </w:pPr>
      <w:r w:rsidRPr="004A02C3">
        <w:rPr>
          <w:rFonts w:ascii="Arial" w:hAnsi="Arial" w:cs="Arial"/>
          <w:b/>
          <w:bCs/>
          <w:color w:val="000000"/>
          <w:sz w:val="24"/>
          <w:szCs w:val="24"/>
        </w:rPr>
        <w:t>DISCUSSION</w:t>
      </w:r>
    </w:p>
    <w:p w:rsidR="00F01DDE" w:rsidRPr="004A02C3" w:rsidRDefault="00F01DDE" w:rsidP="00F01DDE">
      <w:pPr>
        <w:rPr>
          <w:rFonts w:ascii="Arial" w:hAnsi="Arial" w:cs="Arial"/>
          <w:sz w:val="24"/>
          <w:szCs w:val="24"/>
        </w:rPr>
      </w:pPr>
    </w:p>
    <w:p w:rsidR="00F01DDE" w:rsidRPr="004A02C3" w:rsidRDefault="00F01DDE" w:rsidP="00F01DDE">
      <w:pPr>
        <w:spacing w:line="360" w:lineRule="auto"/>
        <w:jc w:val="both"/>
        <w:rPr>
          <w:rFonts w:ascii="Arial" w:eastAsia="Times New Roman" w:hAnsi="Arial" w:cs="Arial"/>
          <w:sz w:val="24"/>
          <w:szCs w:val="24"/>
        </w:rPr>
      </w:pPr>
      <w:r w:rsidRPr="004A02C3">
        <w:rPr>
          <w:rFonts w:ascii="Arial" w:eastAsia="Times New Roman" w:hAnsi="Arial" w:cs="Arial"/>
          <w:sz w:val="24"/>
          <w:szCs w:val="24"/>
        </w:rPr>
        <w:t xml:space="preserve">The caregiver population at </w:t>
      </w:r>
      <w:proofErr w:type="spellStart"/>
      <w:r w:rsidRPr="004A02C3">
        <w:rPr>
          <w:rFonts w:ascii="Arial" w:eastAsia="Times New Roman" w:hAnsi="Arial" w:cs="Arial"/>
          <w:sz w:val="24"/>
          <w:szCs w:val="24"/>
        </w:rPr>
        <w:t>Jitimai</w:t>
      </w:r>
      <w:proofErr w:type="spellEnd"/>
      <w:r w:rsidRPr="004A02C3">
        <w:rPr>
          <w:rFonts w:ascii="Arial" w:eastAsia="Times New Roman" w:hAnsi="Arial" w:cs="Arial"/>
          <w:sz w:val="24"/>
          <w:szCs w:val="24"/>
        </w:rPr>
        <w:t xml:space="preserve"> Hospital was predominantly female (64.6%) and married (94.8%), with a majority having completed secondary education (52.1%) but low participation in formal wage employment (5.2%). Compared with nationally representative data from the 2022 Tanzania DHS</w:t>
      </w:r>
      <w:r w:rsidR="00F61D00">
        <w:rPr>
          <w:rFonts w:ascii="Arial" w:eastAsia="Times New Roman" w:hAnsi="Arial" w:cs="Arial"/>
          <w:sz w:val="24"/>
          <w:szCs w:val="24"/>
        </w:rPr>
        <w:t>, in which roughly 31% of women report secondary education or higher,</w:t>
      </w:r>
      <w:r w:rsidRPr="004A02C3">
        <w:rPr>
          <w:rFonts w:ascii="Arial" w:eastAsia="Times New Roman" w:hAnsi="Arial" w:cs="Arial"/>
          <w:sz w:val="24"/>
          <w:szCs w:val="24"/>
        </w:rPr>
        <w:t xml:space="preserve"> our sample appears comparatively more educated, likely reflecting hospital-based sampling and urban referral patterns</w:t>
      </w:r>
      <w:r w:rsidR="001E42CC">
        <w:rPr>
          <w:rFonts w:ascii="Arial" w:eastAsia="Times New Roman" w:hAnsi="Arial" w:cs="Arial"/>
          <w:sz w:val="24"/>
          <w:szCs w:val="24"/>
        </w:rPr>
        <w:t xml:space="preserve"> </w:t>
      </w:r>
      <w:r w:rsidRPr="004A02C3">
        <w:rPr>
          <w:rFonts w:ascii="Arial" w:eastAsia="Times New Roman" w:hAnsi="Arial" w:cs="Arial"/>
          <w:sz w:val="24"/>
          <w:szCs w:val="24"/>
        </w:rPr>
        <w:fldChar w:fldCharType="begin" w:fldLock="1"/>
      </w:r>
      <w:r w:rsidR="0067184B">
        <w:rPr>
          <w:rFonts w:ascii="Arial" w:eastAsia="Times New Roman" w:hAnsi="Arial" w:cs="Arial"/>
          <w:sz w:val="24"/>
          <w:szCs w:val="24"/>
        </w:rPr>
        <w:instrText>ADDIN CSL_CITATION {"citationItems":[{"id":"ITEM-1","itemData":{"author":[{"dropping-particle":"","family":"Survey","given":"Health","non-dropping-particle":"","parse-names":false,"suffix":""},{"dropping-particle":"","family":"Survey","given":"Malaria Indicator","non-dropping-particle":"","parse-names":false,"suffix":""}],"id":"ITEM-1","issued":{"date-parts":[["2022"]]},"title":"Tanzania","type":"article-journal"},"uris":["http://www.mendeley.com/documents/?uuid=5d021e73-c72d-46ac-81b3-903c1b9eca56","http://www.mendeley.com/documents/?uuid=bdc2898e-6fe6-4a2f-9b27-ac11e82ee5d3"]}],"mendeley":{"formattedCitation":"[23]","plainTextFormattedCitation":"[23]","previouslyFormattedCitation":"[22]"},"properties":{"noteIndex":0},"schema":"https://github.com/citation-style-language/schema/raw/master/csl-citation.json"}</w:instrText>
      </w:r>
      <w:r w:rsidRPr="004A02C3">
        <w:rPr>
          <w:rFonts w:ascii="Arial" w:eastAsia="Times New Roman" w:hAnsi="Arial" w:cs="Arial"/>
          <w:sz w:val="24"/>
          <w:szCs w:val="24"/>
        </w:rPr>
        <w:fldChar w:fldCharType="separate"/>
      </w:r>
      <w:r w:rsidR="0067184B" w:rsidRPr="0067184B">
        <w:rPr>
          <w:rFonts w:ascii="Arial" w:eastAsia="Times New Roman" w:hAnsi="Arial" w:cs="Arial"/>
          <w:noProof/>
          <w:sz w:val="24"/>
          <w:szCs w:val="24"/>
        </w:rPr>
        <w:t>[23]</w:t>
      </w:r>
      <w:r w:rsidRPr="004A02C3">
        <w:rPr>
          <w:rFonts w:ascii="Arial" w:eastAsia="Times New Roman" w:hAnsi="Arial" w:cs="Arial"/>
          <w:sz w:val="24"/>
          <w:szCs w:val="24"/>
        </w:rPr>
        <w:fldChar w:fldCharType="end"/>
      </w:r>
      <w:r w:rsidRPr="004A02C3">
        <w:rPr>
          <w:rFonts w:ascii="Arial" w:eastAsia="Times New Roman" w:hAnsi="Arial" w:cs="Arial"/>
          <w:sz w:val="24"/>
          <w:szCs w:val="24"/>
        </w:rPr>
        <w:t>. Maternal education and household economic status are well-established predictors of child feeding practices and nutritional outcomes</w:t>
      </w:r>
      <w:r w:rsidR="001E42CC">
        <w:rPr>
          <w:rFonts w:ascii="Arial" w:eastAsia="Times New Roman" w:hAnsi="Arial" w:cs="Arial"/>
          <w:sz w:val="24"/>
          <w:szCs w:val="24"/>
        </w:rPr>
        <w:t xml:space="preserve"> </w:t>
      </w:r>
      <w:r w:rsidRPr="004A02C3">
        <w:rPr>
          <w:rFonts w:ascii="Arial" w:eastAsia="Times New Roman" w:hAnsi="Arial" w:cs="Arial"/>
          <w:sz w:val="24"/>
          <w:szCs w:val="24"/>
        </w:rPr>
        <w:fldChar w:fldCharType="begin" w:fldLock="1"/>
      </w:r>
      <w:r w:rsidR="0067184B">
        <w:rPr>
          <w:rFonts w:ascii="Arial" w:eastAsia="Times New Roman" w:hAnsi="Arial" w:cs="Arial"/>
          <w:sz w:val="24"/>
          <w:szCs w:val="24"/>
        </w:rPr>
        <w:instrText>ADDIN CSL_CITATION {"citationItems":[{"id":"ITEM-1","itemData":{"author":[{"dropping-particle":"","family":"Kauky","given":"Monica Sebastian","non-dropping-particle":"","parse-names":false,"suffix":""}],"id":"ITEM-1","issue":"September","issued":{"date-parts":[["2023"]]},"page":"203-218","title":"No Title","type":"article-journal","volume":"11"},"uris":["http://www.mendeley.com/documents/?uuid=08f03092-53a1-4737-9f67-dde0ed50f756","http://www.mendeley.com/documents/?uuid=f4c8de4f-7f3f-4e6c-921f-745452b42d60"]}],"mendeley":{"formattedCitation":"[24]","plainTextFormattedCitation":"[24]","previouslyFormattedCitation":"[23]"},"properties":{"noteIndex":0},"schema":"https://github.com/citation-style-language/schema/raw/master/csl-citation.json"}</w:instrText>
      </w:r>
      <w:r w:rsidRPr="004A02C3">
        <w:rPr>
          <w:rFonts w:ascii="Arial" w:eastAsia="Times New Roman" w:hAnsi="Arial" w:cs="Arial"/>
          <w:sz w:val="24"/>
          <w:szCs w:val="24"/>
        </w:rPr>
        <w:fldChar w:fldCharType="separate"/>
      </w:r>
      <w:r w:rsidR="0067184B" w:rsidRPr="0067184B">
        <w:rPr>
          <w:rFonts w:ascii="Arial" w:eastAsia="Times New Roman" w:hAnsi="Arial" w:cs="Arial"/>
          <w:noProof/>
          <w:sz w:val="24"/>
          <w:szCs w:val="24"/>
        </w:rPr>
        <w:t>[24]</w:t>
      </w:r>
      <w:r w:rsidRPr="004A02C3">
        <w:rPr>
          <w:rFonts w:ascii="Arial" w:eastAsia="Times New Roman" w:hAnsi="Arial" w:cs="Arial"/>
          <w:sz w:val="24"/>
          <w:szCs w:val="24"/>
        </w:rPr>
        <w:fldChar w:fldCharType="end"/>
      </w:r>
      <w:r w:rsidRPr="004A02C3">
        <w:rPr>
          <w:rFonts w:ascii="Arial" w:eastAsia="Times New Roman" w:hAnsi="Arial" w:cs="Arial"/>
          <w:sz w:val="24"/>
          <w:szCs w:val="24"/>
        </w:rPr>
        <w:fldChar w:fldCharType="begin" w:fldLock="1"/>
      </w:r>
      <w:r w:rsidR="0067184B">
        <w:rPr>
          <w:rFonts w:ascii="Arial" w:eastAsia="Times New Roman" w:hAnsi="Arial" w:cs="Arial"/>
          <w:sz w:val="24"/>
          <w:szCs w:val="24"/>
        </w:rPr>
        <w:instrText>ADDIN CSL_CITATION {"citationItems":[{"id":"ITEM-1","itemData":{"author":[{"dropping-particle":"","family":"Geda","given":"Nigatu Regassa","non-dropping-particle":"","parse-names":false,"suffix":""},{"dropping-particle":"","family":"Feng","given":"Cindy Xin","non-dropping-particle":"","parse-names":false,"suffix":""},{"dropping-particle":"","family":"Henry","given":"Carol J","non-dropping-particle":"","parse-names":false,"suffix":""},{"dropping-particle":"","family":"Lepnurm","given":"Rein","non-dropping-particle":"","parse-names":false,"suffix":""},{"dropping-particle":"","family":"Janzen","given":"Bonnie","non-dropping-particle":"","parse-names":false,"suffix":""},{"dropping-particle":"","family":"Whiting","given":"Susan J","non-dropping-particle":"","parse-names":false,"suffix":""}],"id":"ITEM-1","issued":{"date-parts":[["2021"]]},"page":"1-12","publisher":"BMC Pediatrics","title":"Multiple anthropometric and nutritional deficiencies in young children in Ethiopia : a multi-level analysis based on a nationally representative data","type":"article-journal"},"uris":["http://www.mendeley.com/documents/?uuid=07997ab2-1b3b-49af-9224-e8e8cf090a34","http://www.mendeley.com/documents/?uuid=0904dd5a-141c-438e-9251-2960d7e18c90"]}],"mendeley":{"formattedCitation":"[25]","plainTextFormattedCitation":"[25]","previouslyFormattedCitation":"[24]"},"properties":{"noteIndex":0},"schema":"https://github.com/citation-style-language/schema/raw/master/csl-citation.json"}</w:instrText>
      </w:r>
      <w:r w:rsidRPr="004A02C3">
        <w:rPr>
          <w:rFonts w:ascii="Arial" w:eastAsia="Times New Roman" w:hAnsi="Arial" w:cs="Arial"/>
          <w:sz w:val="24"/>
          <w:szCs w:val="24"/>
        </w:rPr>
        <w:fldChar w:fldCharType="separate"/>
      </w:r>
      <w:r w:rsidR="0067184B" w:rsidRPr="0067184B">
        <w:rPr>
          <w:rFonts w:ascii="Arial" w:eastAsia="Times New Roman" w:hAnsi="Arial" w:cs="Arial"/>
          <w:noProof/>
          <w:sz w:val="24"/>
          <w:szCs w:val="24"/>
        </w:rPr>
        <w:t>[25]</w:t>
      </w:r>
      <w:r w:rsidRPr="004A02C3">
        <w:rPr>
          <w:rFonts w:ascii="Arial" w:eastAsia="Times New Roman" w:hAnsi="Arial" w:cs="Arial"/>
          <w:sz w:val="24"/>
          <w:szCs w:val="24"/>
        </w:rPr>
        <w:fldChar w:fldCharType="end"/>
      </w:r>
      <w:r w:rsidRPr="004A02C3">
        <w:rPr>
          <w:rFonts w:ascii="Arial" w:eastAsia="Times New Roman" w:hAnsi="Arial" w:cs="Arial"/>
          <w:sz w:val="24"/>
          <w:szCs w:val="24"/>
        </w:rPr>
        <w:t>; recent Tanzanian studies similarly report that caregiver education is associated with improved dietary diversity and feeding adequacy, while widespread informality of women’s employment constrains both income and caregiving time. These sociodemographic features should therefore be considered when interpreting the burden and determinants of malnutrition in this cohort and when d</w:t>
      </w:r>
      <w:r w:rsidR="001E42CC">
        <w:rPr>
          <w:rFonts w:ascii="Arial" w:eastAsia="Times New Roman" w:hAnsi="Arial" w:cs="Arial"/>
          <w:sz w:val="24"/>
          <w:szCs w:val="24"/>
        </w:rPr>
        <w:t>esigning targeted interventions</w:t>
      </w:r>
      <w:r w:rsidRPr="004A02C3">
        <w:rPr>
          <w:rFonts w:ascii="Arial" w:eastAsia="Times New Roman" w:hAnsi="Arial" w:cs="Arial"/>
          <w:sz w:val="24"/>
          <w:szCs w:val="24"/>
        </w:rPr>
        <w:t xml:space="preserve"> </w:t>
      </w:r>
      <w:r w:rsidRPr="004A02C3">
        <w:rPr>
          <w:rFonts w:ascii="Arial" w:eastAsia="Times New Roman" w:hAnsi="Arial" w:cs="Arial"/>
          <w:sz w:val="24"/>
          <w:szCs w:val="24"/>
        </w:rPr>
        <w:fldChar w:fldCharType="begin" w:fldLock="1"/>
      </w:r>
      <w:r w:rsidR="0067184B">
        <w:rPr>
          <w:rFonts w:ascii="Arial" w:eastAsia="Times New Roman" w:hAnsi="Arial" w:cs="Arial"/>
          <w:sz w:val="24"/>
          <w:szCs w:val="24"/>
        </w:rPr>
        <w:instrText>ADDIN CSL_CITATION {"citationItems":[{"id":"ITEM-1","itemData":{"ISBN":"4079502400","author":[{"dropping-particle":"","family":"Heri","given":"Rashidi","non-dropping-particle":"","parse-names":false,"suffix":""},{"dropping-particle":"","family":"Malqvist","given":"Mats","non-dropping-particle":"","parse-names":false,"suffix":""},{"dropping-particle":"","family":"Yahya-malima","given":"Khadija I","non-dropping-particle":"","parse-names":false,"suffix":""},{"dropping-particle":"","family":"Mselle","given":"Lilian Teddy","non-dropping-particle":"","parse-names":false,"suffix":""}],"id":"ITEM-1","issued":{"date-parts":[["2024"]]},"page":"1-11","title":"Dietary diversity and associated factors among women attending antenatal clinics in the coast region of Tanzania","type":"article-journal"},"uris":["http://www.mendeley.com/documents/?uuid=ea331548-61e4-461e-a2cf-50c0c48c8ac2","http://www.mendeley.com/documents/?uuid=562d4b3f-5e97-47d2-baef-6a6ad46603a5"]}],"mendeley":{"formattedCitation":"[26]","plainTextFormattedCitation":"[26]","previouslyFormattedCitation":"[25]"},"properties":{"noteIndex":0},"schema":"https://github.com/citation-style-language/schema/raw/master/csl-citation.json"}</w:instrText>
      </w:r>
      <w:r w:rsidRPr="004A02C3">
        <w:rPr>
          <w:rFonts w:ascii="Arial" w:eastAsia="Times New Roman" w:hAnsi="Arial" w:cs="Arial"/>
          <w:sz w:val="24"/>
          <w:szCs w:val="24"/>
        </w:rPr>
        <w:fldChar w:fldCharType="separate"/>
      </w:r>
      <w:r w:rsidR="0067184B" w:rsidRPr="0067184B">
        <w:rPr>
          <w:rFonts w:ascii="Arial" w:eastAsia="Times New Roman" w:hAnsi="Arial" w:cs="Arial"/>
          <w:noProof/>
          <w:sz w:val="24"/>
          <w:szCs w:val="24"/>
        </w:rPr>
        <w:t>[26]</w:t>
      </w:r>
      <w:r w:rsidRPr="004A02C3">
        <w:rPr>
          <w:rFonts w:ascii="Arial" w:eastAsia="Times New Roman" w:hAnsi="Arial" w:cs="Arial"/>
          <w:sz w:val="24"/>
          <w:szCs w:val="24"/>
        </w:rPr>
        <w:fldChar w:fldCharType="end"/>
      </w:r>
      <w:r w:rsidR="001E42CC">
        <w:rPr>
          <w:rFonts w:ascii="Arial" w:eastAsia="Times New Roman" w:hAnsi="Arial" w:cs="Arial"/>
          <w:sz w:val="24"/>
          <w:szCs w:val="24"/>
        </w:rPr>
        <w:t xml:space="preserve">. </w:t>
      </w:r>
    </w:p>
    <w:p w:rsidR="00F01DDE" w:rsidRPr="004E49AC" w:rsidRDefault="00F01DDE" w:rsidP="00F01DDE">
      <w:pPr>
        <w:spacing w:before="100" w:beforeAutospacing="1" w:after="100" w:afterAutospacing="1" w:line="360" w:lineRule="auto"/>
        <w:rPr>
          <w:rFonts w:ascii="Arial" w:eastAsia="Times New Roman" w:hAnsi="Arial" w:cs="Arial"/>
          <w:sz w:val="24"/>
          <w:szCs w:val="24"/>
        </w:rPr>
      </w:pPr>
      <w:r w:rsidRPr="004A02C3">
        <w:rPr>
          <w:rFonts w:ascii="Arial" w:eastAsia="Times New Roman" w:hAnsi="Arial" w:cs="Arial"/>
          <w:sz w:val="24"/>
          <w:szCs w:val="24"/>
        </w:rPr>
        <w:t xml:space="preserve">In this hospital-based sample (N = 96) from </w:t>
      </w:r>
      <w:proofErr w:type="spellStart"/>
      <w:r w:rsidRPr="004A02C3">
        <w:rPr>
          <w:rFonts w:ascii="Arial" w:eastAsia="Times New Roman" w:hAnsi="Arial" w:cs="Arial"/>
          <w:sz w:val="24"/>
          <w:szCs w:val="24"/>
        </w:rPr>
        <w:t>Jitimai</w:t>
      </w:r>
      <w:proofErr w:type="spellEnd"/>
      <w:r w:rsidRPr="004A02C3">
        <w:rPr>
          <w:rFonts w:ascii="Arial" w:eastAsia="Times New Roman" w:hAnsi="Arial" w:cs="Arial"/>
          <w:sz w:val="24"/>
          <w:szCs w:val="24"/>
        </w:rPr>
        <w:t xml:space="preserve"> Distr</w:t>
      </w:r>
      <w:r>
        <w:rPr>
          <w:rFonts w:ascii="Arial" w:eastAsia="Times New Roman" w:hAnsi="Arial" w:cs="Arial"/>
          <w:sz w:val="24"/>
          <w:szCs w:val="24"/>
        </w:rPr>
        <w:t>ict Hospital</w:t>
      </w:r>
      <w:r w:rsidRPr="00B566AE">
        <w:rPr>
          <w:rFonts w:ascii="Arial" w:eastAsia="Times New Roman" w:hAnsi="Arial" w:cs="Arial"/>
          <w:color w:val="FF0000"/>
          <w:sz w:val="24"/>
          <w:szCs w:val="24"/>
          <w:highlight w:val="yellow"/>
        </w:rPr>
        <w:t>,</w:t>
      </w:r>
      <w:r w:rsidR="00B566AE" w:rsidRPr="00B566AE">
        <w:rPr>
          <w:rFonts w:ascii="Arial" w:eastAsia="Times New Roman" w:hAnsi="Arial" w:cs="Arial"/>
          <w:color w:val="FF0000"/>
          <w:sz w:val="24"/>
          <w:szCs w:val="24"/>
          <w:highlight w:val="yellow"/>
        </w:rPr>
        <w:t xml:space="preserve"> according to</w:t>
      </w:r>
      <w:r w:rsidR="00B566AE" w:rsidRPr="00B566AE">
        <w:rPr>
          <w:bCs/>
          <w:sz w:val="20"/>
          <w:szCs w:val="20"/>
          <w:highlight w:val="yellow"/>
        </w:rPr>
        <w:t xml:space="preserve"> </w:t>
      </w:r>
      <w:r w:rsidR="00B566AE" w:rsidRPr="00CC224A">
        <w:rPr>
          <w:bCs/>
          <w:sz w:val="24"/>
          <w:szCs w:val="24"/>
          <w:highlight w:val="yellow"/>
        </w:rPr>
        <w:t>caregiver's perception and recall of a past diagnosis</w:t>
      </w:r>
      <w:r w:rsidR="008A7DFC">
        <w:rPr>
          <w:rFonts w:ascii="Arial" w:eastAsia="Times New Roman" w:hAnsi="Arial" w:cs="Arial"/>
          <w:color w:val="FF0000"/>
          <w:sz w:val="24"/>
          <w:szCs w:val="24"/>
        </w:rPr>
        <w:t xml:space="preserve">, </w:t>
      </w:r>
      <w:r w:rsidRPr="001E42CC">
        <w:rPr>
          <w:rFonts w:ascii="Arial" w:eastAsia="Times New Roman" w:hAnsi="Arial" w:cs="Arial"/>
          <w:sz w:val="24"/>
          <w:szCs w:val="24"/>
        </w:rPr>
        <w:t xml:space="preserve">near to a fifth part, </w:t>
      </w:r>
      <w:r w:rsidR="001E42CC">
        <w:rPr>
          <w:rFonts w:ascii="Arial" w:eastAsia="Times New Roman" w:hAnsi="Arial" w:cs="Arial"/>
          <w:sz w:val="24"/>
          <w:szCs w:val="24"/>
        </w:rPr>
        <w:t>(</w:t>
      </w:r>
      <w:r>
        <w:rPr>
          <w:rFonts w:ascii="Arial" w:eastAsia="Times New Roman" w:hAnsi="Arial" w:cs="Arial"/>
          <w:sz w:val="24"/>
          <w:szCs w:val="24"/>
        </w:rPr>
        <w:t xml:space="preserve">16.7 </w:t>
      </w:r>
      <w:r w:rsidRPr="004A02C3">
        <w:rPr>
          <w:rFonts w:ascii="Arial" w:eastAsia="Times New Roman" w:hAnsi="Arial" w:cs="Arial"/>
          <w:sz w:val="24"/>
          <w:szCs w:val="24"/>
        </w:rPr>
        <w:t>%</w:t>
      </w:r>
      <w:r w:rsidR="001E42CC">
        <w:rPr>
          <w:rFonts w:ascii="Arial" w:eastAsia="Times New Roman" w:hAnsi="Arial" w:cs="Arial"/>
          <w:sz w:val="24"/>
          <w:szCs w:val="24"/>
        </w:rPr>
        <w:t>)</w:t>
      </w:r>
      <w:r w:rsidRPr="004A02C3">
        <w:rPr>
          <w:rFonts w:ascii="Arial" w:eastAsia="Times New Roman" w:hAnsi="Arial" w:cs="Arial"/>
          <w:sz w:val="24"/>
          <w:szCs w:val="24"/>
        </w:rPr>
        <w:t xml:space="preserve"> </w:t>
      </w:r>
      <w:r w:rsidR="008A7DFC" w:rsidRPr="008A7DFC">
        <w:rPr>
          <w:rFonts w:ascii="Arial" w:eastAsia="Times New Roman" w:hAnsi="Arial" w:cs="Arial"/>
          <w:sz w:val="24"/>
          <w:szCs w:val="24"/>
          <w:highlight w:val="yellow"/>
        </w:rPr>
        <w:t xml:space="preserve">of the </w:t>
      </w:r>
      <w:proofErr w:type="spellStart"/>
      <w:r w:rsidRPr="008A7DFC">
        <w:rPr>
          <w:rFonts w:ascii="Arial" w:eastAsia="Times New Roman" w:hAnsi="Arial" w:cs="Arial"/>
          <w:sz w:val="24"/>
          <w:szCs w:val="24"/>
          <w:highlight w:val="yellow"/>
        </w:rPr>
        <w:lastRenderedPageBreak/>
        <w:t>child</w:t>
      </w:r>
      <w:r w:rsidR="008A7DFC" w:rsidRPr="008A7DFC">
        <w:rPr>
          <w:rFonts w:ascii="Arial" w:eastAsia="Times New Roman" w:hAnsi="Arial" w:cs="Arial"/>
          <w:sz w:val="24"/>
          <w:szCs w:val="24"/>
          <w:highlight w:val="yellow"/>
        </w:rPr>
        <w:t>s</w:t>
      </w:r>
      <w:proofErr w:type="spellEnd"/>
      <w:r w:rsidRPr="008A7DFC">
        <w:rPr>
          <w:rFonts w:ascii="Arial" w:eastAsia="Times New Roman" w:hAnsi="Arial" w:cs="Arial"/>
          <w:sz w:val="24"/>
          <w:szCs w:val="24"/>
          <w:highlight w:val="yellow"/>
        </w:rPr>
        <w:t xml:space="preserve"> had experienced malnutrition</w:t>
      </w:r>
      <w:r w:rsidRPr="004A02C3">
        <w:rPr>
          <w:rFonts w:ascii="Arial" w:eastAsia="Times New Roman" w:hAnsi="Arial" w:cs="Arial"/>
          <w:sz w:val="24"/>
          <w:szCs w:val="24"/>
        </w:rPr>
        <w:t xml:space="preserve">; </w:t>
      </w:r>
      <w:r w:rsidRPr="004E49AC">
        <w:rPr>
          <w:rFonts w:ascii="Arial" w:eastAsia="Times New Roman" w:hAnsi="Arial" w:cs="Arial"/>
          <w:sz w:val="24"/>
          <w:szCs w:val="24"/>
          <w:highlight w:val="yellow"/>
        </w:rPr>
        <w:t>about the type of malnutrition</w:t>
      </w:r>
      <w:r w:rsidRPr="004A02C3">
        <w:rPr>
          <w:rFonts w:ascii="Arial" w:eastAsia="Times New Roman" w:hAnsi="Arial" w:cs="Arial"/>
          <w:sz w:val="24"/>
          <w:szCs w:val="24"/>
        </w:rPr>
        <w:t>, in the whole sample (83.3%, 80/96)</w:t>
      </w:r>
      <w:r w:rsidR="004E49AC">
        <w:rPr>
          <w:rFonts w:ascii="Arial" w:eastAsia="Times New Roman" w:hAnsi="Arial" w:cs="Arial"/>
          <w:sz w:val="24"/>
          <w:szCs w:val="24"/>
        </w:rPr>
        <w:t xml:space="preserve"> had not malnutrition</w:t>
      </w:r>
      <w:r w:rsidRPr="004A02C3">
        <w:rPr>
          <w:rFonts w:ascii="Arial" w:eastAsia="Times New Roman" w:hAnsi="Arial" w:cs="Arial"/>
          <w:sz w:val="24"/>
          <w:szCs w:val="24"/>
        </w:rPr>
        <w:t xml:space="preserve">, while 9.4% (9/96) reported underweight, 5.2% (5/95) reported wasting and 2.1% (2/96) reported stunting. </w:t>
      </w:r>
      <w:r w:rsidRPr="004E49AC">
        <w:rPr>
          <w:rFonts w:ascii="Arial" w:eastAsia="Times New Roman" w:hAnsi="Arial" w:cs="Arial"/>
          <w:sz w:val="24"/>
          <w:szCs w:val="24"/>
        </w:rPr>
        <w:t xml:space="preserve">These results should be interpreted as </w:t>
      </w:r>
      <w:r w:rsidRPr="004E49AC">
        <w:rPr>
          <w:rFonts w:ascii="Arial" w:eastAsia="Times New Roman" w:hAnsi="Arial" w:cs="Arial"/>
          <w:i/>
          <w:iCs/>
          <w:sz w:val="24"/>
          <w:szCs w:val="24"/>
        </w:rPr>
        <w:t>caregiver-reported</w:t>
      </w:r>
      <w:r w:rsidRPr="004E49AC">
        <w:rPr>
          <w:rFonts w:ascii="Arial" w:eastAsia="Times New Roman" w:hAnsi="Arial" w:cs="Arial"/>
          <w:sz w:val="24"/>
          <w:szCs w:val="24"/>
        </w:rPr>
        <w:t xml:space="preserve"> perceptions </w:t>
      </w:r>
      <w:r w:rsidRPr="004E49AC">
        <w:rPr>
          <w:rFonts w:ascii="Arial" w:eastAsia="Times New Roman" w:hAnsi="Arial" w:cs="Arial"/>
          <w:sz w:val="24"/>
          <w:szCs w:val="24"/>
          <w:highlight w:val="yellow"/>
        </w:rPr>
        <w:t>of malnutrition</w:t>
      </w:r>
      <w:r w:rsidR="004E49AC" w:rsidRPr="004E49AC">
        <w:rPr>
          <w:rFonts w:ascii="Arial" w:eastAsia="Times New Roman" w:hAnsi="Arial" w:cs="Arial"/>
          <w:sz w:val="24"/>
          <w:szCs w:val="24"/>
          <w:highlight w:val="yellow"/>
        </w:rPr>
        <w:t xml:space="preserve"> based on the pediatric assessment</w:t>
      </w:r>
      <w:r w:rsidRPr="004E49AC">
        <w:rPr>
          <w:rFonts w:ascii="Arial" w:eastAsia="Times New Roman" w:hAnsi="Arial" w:cs="Arial"/>
          <w:sz w:val="24"/>
          <w:szCs w:val="24"/>
        </w:rPr>
        <w:t>, and therefore are subject to recall bias and misclassification because caregiver knowledge of anthr</w:t>
      </w:r>
      <w:r w:rsidR="001E42CC" w:rsidRPr="004E49AC">
        <w:rPr>
          <w:rFonts w:ascii="Arial" w:eastAsia="Times New Roman" w:hAnsi="Arial" w:cs="Arial"/>
          <w:sz w:val="24"/>
          <w:szCs w:val="24"/>
        </w:rPr>
        <w:t xml:space="preserve">opometric categories is limited </w:t>
      </w:r>
      <w:r w:rsidRPr="004E49AC">
        <w:rPr>
          <w:rFonts w:ascii="Arial" w:eastAsia="Times New Roman" w:hAnsi="Arial" w:cs="Arial"/>
          <w:sz w:val="24"/>
          <w:szCs w:val="24"/>
        </w:rPr>
        <w:fldChar w:fldCharType="begin" w:fldLock="1"/>
      </w:r>
      <w:r w:rsidR="0067184B">
        <w:rPr>
          <w:rFonts w:ascii="Arial" w:eastAsia="Times New Roman" w:hAnsi="Arial" w:cs="Arial"/>
          <w:sz w:val="24"/>
          <w:szCs w:val="24"/>
        </w:rPr>
        <w:instrText>ADDIN CSL_CITATION {"citationItems":[{"id":"ITEM-1","itemData":{"DOI":"10.1186/s12887-024-05239-3","ISSN":"1471-2431","author":[{"dropping-particle":"","family":"Matee","given":"Novest","non-dropping-particle":"","parse-names":false,"suffix":""},{"dropping-particle":"","family":"Ageru","given":"Temesgen Anjulo","non-dropping-particle":"","parse-names":false,"suffix":""},{"dropping-particle":"","family":"Mangi","given":"Ezekiel","non-dropping-particle":"","parse-names":false,"suffix":""},{"dropping-particle":"","family":"Nguyen","given":"Hien Thi","non-dropping-particle":"","parse-names":false,"suffix":""},{"dropping-particle":"","family":"Walugembe","given":"Francis","non-dropping-particle":"","parse-names":false,"suffix":""}],"container-title":"BMC Pediatrics","id":"ITEM-1","issued":{"date-parts":[["2024"]]},"publisher":"BioMed Central","title":"Caregivers ’ perceptions of factors influencing undernutrition among under five in Ubungo , Dar es Salaam , Tanzania","type":"article-journal"},"uris":["http://www.mendeley.com/documents/?uuid=91478385-d157-470e-a8e4-a5a8e48d6ff5","http://www.mendeley.com/documents/?uuid=3242ea8b-35ce-42be-a0dd-e5c306906a3f"]}],"mendeley":{"formattedCitation":"[27]","plainTextFormattedCitation":"[27]","previouslyFormattedCitation":"[26]"},"properties":{"noteIndex":0},"schema":"https://github.com/citation-style-language/schema/raw/master/csl-citation.json"}</w:instrText>
      </w:r>
      <w:r w:rsidRPr="004E49AC">
        <w:rPr>
          <w:rFonts w:ascii="Arial" w:eastAsia="Times New Roman" w:hAnsi="Arial" w:cs="Arial"/>
          <w:sz w:val="24"/>
          <w:szCs w:val="24"/>
        </w:rPr>
        <w:fldChar w:fldCharType="separate"/>
      </w:r>
      <w:r w:rsidR="0067184B" w:rsidRPr="0067184B">
        <w:rPr>
          <w:rFonts w:ascii="Arial" w:eastAsia="Times New Roman" w:hAnsi="Arial" w:cs="Arial"/>
          <w:noProof/>
          <w:sz w:val="24"/>
          <w:szCs w:val="24"/>
        </w:rPr>
        <w:t>[27]</w:t>
      </w:r>
      <w:r w:rsidRPr="004E49AC">
        <w:rPr>
          <w:rFonts w:ascii="Arial" w:eastAsia="Times New Roman" w:hAnsi="Arial" w:cs="Arial"/>
          <w:sz w:val="24"/>
          <w:szCs w:val="24"/>
        </w:rPr>
        <w:fldChar w:fldCharType="end"/>
      </w:r>
      <w:r w:rsidR="001E42CC" w:rsidRPr="004E49AC">
        <w:rPr>
          <w:rFonts w:ascii="Arial" w:eastAsia="Times New Roman" w:hAnsi="Arial" w:cs="Arial"/>
          <w:sz w:val="24"/>
          <w:szCs w:val="24"/>
        </w:rPr>
        <w:t>.</w:t>
      </w:r>
    </w:p>
    <w:p w:rsidR="00F01DDE" w:rsidRPr="004A02C3" w:rsidRDefault="00F01DDE" w:rsidP="00F01DDE">
      <w:pPr>
        <w:spacing w:before="100" w:beforeAutospacing="1" w:after="100" w:afterAutospacing="1" w:line="360" w:lineRule="auto"/>
        <w:jc w:val="both"/>
        <w:rPr>
          <w:rFonts w:ascii="Arial" w:hAnsi="Arial" w:cs="Arial"/>
          <w:color w:val="1B1B1B"/>
          <w:sz w:val="24"/>
          <w:szCs w:val="24"/>
          <w:shd w:val="clear" w:color="auto" w:fill="FFFFFF"/>
        </w:rPr>
      </w:pPr>
      <w:r w:rsidRPr="004A02C3">
        <w:rPr>
          <w:rFonts w:ascii="Arial" w:eastAsia="Times New Roman" w:hAnsi="Arial" w:cs="Arial"/>
          <w:sz w:val="24"/>
          <w:szCs w:val="24"/>
        </w:rPr>
        <w:t>Compared with nationally representative data, caregiver-reported prevalence in our sample differs in both magnitude and pattern from measured estimates</w:t>
      </w:r>
      <w:r>
        <w:rPr>
          <w:rFonts w:ascii="Arial" w:eastAsia="Times New Roman" w:hAnsi="Arial" w:cs="Arial"/>
          <w:sz w:val="24"/>
          <w:szCs w:val="24"/>
        </w:rPr>
        <w:t xml:space="preserve"> </w:t>
      </w:r>
      <w:r w:rsidRPr="004A02C3">
        <w:rPr>
          <w:rFonts w:ascii="Arial" w:eastAsia="Times New Roman" w:hAnsi="Arial" w:cs="Arial"/>
          <w:sz w:val="24"/>
          <w:szCs w:val="24"/>
        </w:rPr>
        <w:t>this is not aligned with one study done in Tanzania mainland that reported the p</w:t>
      </w:r>
      <w:r w:rsidRPr="004A02C3">
        <w:rPr>
          <w:rFonts w:ascii="Arial" w:hAnsi="Arial" w:cs="Arial"/>
          <w:color w:val="202020"/>
          <w:sz w:val="24"/>
          <w:szCs w:val="24"/>
          <w:shd w:val="clear" w:color="auto" w:fill="FFFFFF"/>
        </w:rPr>
        <w:t>revalence of malnutrition was higher in boys (53.0%) than in girls (45.0%) (</w:t>
      </w:r>
      <w:r w:rsidRPr="004A02C3">
        <w:rPr>
          <w:rStyle w:val="Emphasis"/>
          <w:rFonts w:ascii="Arial" w:hAnsi="Arial" w:cs="Arial"/>
          <w:color w:val="202020"/>
          <w:sz w:val="24"/>
          <w:szCs w:val="24"/>
          <w:shd w:val="clear" w:color="auto" w:fill="FFFFFF"/>
        </w:rPr>
        <w:t>x</w:t>
      </w:r>
      <w:r w:rsidRPr="004A02C3">
        <w:rPr>
          <w:rFonts w:ascii="Arial" w:hAnsi="Arial" w:cs="Arial"/>
          <w:color w:val="202020"/>
          <w:sz w:val="24"/>
          <w:szCs w:val="24"/>
          <w:shd w:val="clear" w:color="auto" w:fill="FFFFFF"/>
        </w:rPr>
        <w:t>2 = 13.9, </w:t>
      </w:r>
      <w:r w:rsidRPr="004A02C3">
        <w:rPr>
          <w:rStyle w:val="Emphasis"/>
          <w:rFonts w:ascii="Arial" w:hAnsi="Arial" w:cs="Arial"/>
          <w:color w:val="202020"/>
          <w:sz w:val="24"/>
          <w:szCs w:val="24"/>
          <w:shd w:val="clear" w:color="auto" w:fill="FFFFFF"/>
        </w:rPr>
        <w:t>p</w:t>
      </w:r>
      <w:r w:rsidRPr="004A02C3">
        <w:rPr>
          <w:rFonts w:ascii="Arial" w:hAnsi="Arial" w:cs="Arial"/>
          <w:color w:val="202020"/>
          <w:sz w:val="24"/>
          <w:szCs w:val="24"/>
          <w:shd w:val="clear" w:color="auto" w:fill="FFFFFF"/>
        </w:rPr>
        <w:t xml:space="preserve"> &lt; 0.001). Stunting was the most prevalent component of undernutrition; it was slightly prevalent in </w:t>
      </w:r>
      <w:proofErr w:type="spellStart"/>
      <w:r w:rsidRPr="004A02C3">
        <w:rPr>
          <w:rFonts w:ascii="Arial" w:hAnsi="Arial" w:cs="Arial"/>
          <w:color w:val="202020"/>
          <w:sz w:val="24"/>
          <w:szCs w:val="24"/>
          <w:shd w:val="clear" w:color="auto" w:fill="FFFFFF"/>
        </w:rPr>
        <w:t>Nanyumbu</w:t>
      </w:r>
      <w:proofErr w:type="spellEnd"/>
      <w:r w:rsidRPr="004A02C3">
        <w:rPr>
          <w:rFonts w:ascii="Arial" w:hAnsi="Arial" w:cs="Arial"/>
          <w:color w:val="202020"/>
          <w:sz w:val="24"/>
          <w:szCs w:val="24"/>
          <w:shd w:val="clear" w:color="auto" w:fill="FFFFFF"/>
        </w:rPr>
        <w:t xml:space="preserve"> (46.5%) compared to </w:t>
      </w:r>
      <w:proofErr w:type="spellStart"/>
      <w:r w:rsidRPr="004A02C3">
        <w:rPr>
          <w:rFonts w:ascii="Arial" w:hAnsi="Arial" w:cs="Arial"/>
          <w:color w:val="202020"/>
          <w:sz w:val="24"/>
          <w:szCs w:val="24"/>
          <w:shd w:val="clear" w:color="auto" w:fill="FFFFFF"/>
        </w:rPr>
        <w:t>Masasi</w:t>
      </w:r>
      <w:proofErr w:type="spellEnd"/>
      <w:r w:rsidRPr="004A02C3">
        <w:rPr>
          <w:rFonts w:ascii="Arial" w:hAnsi="Arial" w:cs="Arial"/>
          <w:color w:val="202020"/>
          <w:sz w:val="24"/>
          <w:szCs w:val="24"/>
          <w:shd w:val="clear" w:color="auto" w:fill="FFFFFF"/>
        </w:rPr>
        <w:t xml:space="preserve"> (42.0%), (</w:t>
      </w:r>
      <w:r w:rsidRPr="004A02C3">
        <w:rPr>
          <w:rStyle w:val="Emphasis"/>
          <w:rFonts w:ascii="Arial" w:hAnsi="Arial" w:cs="Arial"/>
          <w:color w:val="202020"/>
          <w:sz w:val="24"/>
          <w:szCs w:val="24"/>
          <w:shd w:val="clear" w:color="auto" w:fill="FFFFFF"/>
        </w:rPr>
        <w:t>x</w:t>
      </w:r>
      <w:r w:rsidRPr="004A02C3">
        <w:rPr>
          <w:rFonts w:ascii="Arial" w:hAnsi="Arial" w:cs="Arial"/>
          <w:color w:val="202020"/>
          <w:sz w:val="24"/>
          <w:szCs w:val="24"/>
          <w:shd w:val="clear" w:color="auto" w:fill="FFFFFF"/>
        </w:rPr>
        <w:t>2 = 3.624, </w:t>
      </w:r>
      <w:r w:rsidRPr="004A02C3">
        <w:rPr>
          <w:rStyle w:val="Emphasis"/>
          <w:rFonts w:ascii="Arial" w:hAnsi="Arial" w:cs="Arial"/>
          <w:color w:val="202020"/>
          <w:sz w:val="24"/>
          <w:szCs w:val="24"/>
          <w:shd w:val="clear" w:color="auto" w:fill="FFFFFF"/>
        </w:rPr>
        <w:t>p</w:t>
      </w:r>
      <w:r w:rsidRPr="004A02C3">
        <w:rPr>
          <w:rFonts w:ascii="Arial" w:hAnsi="Arial" w:cs="Arial"/>
          <w:color w:val="202020"/>
          <w:sz w:val="24"/>
          <w:szCs w:val="24"/>
          <w:shd w:val="clear" w:color="auto" w:fill="FFFFFF"/>
        </w:rPr>
        <w:t> = 0.057) and in boys (48.2%) than in girls (39.1%), </w:t>
      </w:r>
      <w:r w:rsidRPr="004A02C3">
        <w:rPr>
          <w:rStyle w:val="Emphasis"/>
          <w:rFonts w:ascii="Arial" w:hAnsi="Arial" w:cs="Arial"/>
          <w:color w:val="202020"/>
          <w:sz w:val="24"/>
          <w:szCs w:val="24"/>
          <w:shd w:val="clear" w:color="auto" w:fill="FFFFFF"/>
        </w:rPr>
        <w:t>x</w:t>
      </w:r>
      <w:r w:rsidRPr="004A02C3">
        <w:rPr>
          <w:rFonts w:ascii="Arial" w:hAnsi="Arial" w:cs="Arial"/>
          <w:color w:val="202020"/>
          <w:sz w:val="24"/>
          <w:szCs w:val="24"/>
          <w:shd w:val="clear" w:color="auto" w:fill="FFFFFF"/>
        </w:rPr>
        <w:t>2 = 17.44, </w:t>
      </w:r>
      <w:r w:rsidRPr="004A02C3">
        <w:rPr>
          <w:rStyle w:val="Emphasis"/>
          <w:rFonts w:ascii="Arial" w:hAnsi="Arial" w:cs="Arial"/>
          <w:color w:val="202020"/>
          <w:sz w:val="24"/>
          <w:szCs w:val="24"/>
          <w:shd w:val="clear" w:color="auto" w:fill="FFFFFF"/>
        </w:rPr>
        <w:t>p</w:t>
      </w:r>
      <w:r w:rsidRPr="004A02C3">
        <w:rPr>
          <w:rFonts w:ascii="Arial" w:hAnsi="Arial" w:cs="Arial"/>
          <w:color w:val="202020"/>
          <w:sz w:val="24"/>
          <w:szCs w:val="24"/>
          <w:shd w:val="clear" w:color="auto" w:fill="FFFFFF"/>
        </w:rPr>
        <w:t>&lt;0.001</w:t>
      </w:r>
      <w:r w:rsidR="001E42CC">
        <w:rPr>
          <w:rFonts w:ascii="Arial" w:hAnsi="Arial" w:cs="Arial"/>
          <w:color w:val="202020"/>
          <w:sz w:val="24"/>
          <w:szCs w:val="24"/>
          <w:shd w:val="clear" w:color="auto" w:fill="FFFFFF"/>
        </w:rPr>
        <w:t xml:space="preserve"> </w:t>
      </w:r>
      <w:r w:rsidRPr="004A02C3">
        <w:rPr>
          <w:rFonts w:ascii="Arial" w:hAnsi="Arial" w:cs="Arial"/>
          <w:color w:val="202020"/>
          <w:sz w:val="24"/>
          <w:szCs w:val="24"/>
          <w:shd w:val="clear" w:color="auto" w:fill="FFFFFF"/>
        </w:rPr>
        <w:fldChar w:fldCharType="begin" w:fldLock="1"/>
      </w:r>
      <w:r w:rsidR="0067184B">
        <w:rPr>
          <w:rFonts w:ascii="Arial" w:hAnsi="Arial" w:cs="Arial"/>
          <w:color w:val="202020"/>
          <w:sz w:val="24"/>
          <w:szCs w:val="24"/>
          <w:shd w:val="clear" w:color="auto" w:fill="FFFFFF"/>
        </w:rPr>
        <w:instrText>ADDIN CSL_CITATION {"citationItems":[{"id":"ITEM-1","itemData":{"DOI":"10.1371/journal.pone.0267670","ISBN":"1111111111","author":[{"dropping-particle":"","family":"Id","given":"Bruno P Mmbando","non-dropping-particle":"","parse-names":false,"suffix":""},{"dropping-particle":"","family":"Mwaiswelo","given":"Richard O","non-dropping-particle":"","parse-names":false,"suffix":""},{"dropping-particle":"","family":"Chacky","given":"Frank","non-dropping-particle":"","parse-names":false,"suffix":""},{"dropping-particle":"","family":"Molteni","given":"Fabrizio","non-dropping-particle":"","parse-names":false,"suffix":""},{"dropping-particle":"","family":"Mohamed","given":"Ally","non-dropping-particle":"","parse-names":false,"suffix":""},{"dropping-particle":"","family":"Lazaro","given":"Samwel","non-dropping-particle":"","parse-names":false,"suffix":""},{"dropping-particle":"","family":"Ngasala","given":"Billy","non-dropping-particle":"","parse-names":false,"suffix":""}],"id":"ITEM-1","issued":{"date-parts":[["2022"]]},"page":"1-14","title":"Nutritional status of children under five years old involved in a seasonal malaria chemoprevention study in the Nanyumbu and Masasi districts in Tanzania","type":"article-journal"},"uris":["http://www.mendeley.com/documents/?uuid=d249dcd6-3d17-4993-b0fe-738c9eb6fdfb","http://www.mendeley.com/documents/?uuid=6883cfcf-05d1-4f5c-aa62-67f1731c0894"]}],"mendeley":{"formattedCitation":"[28]","plainTextFormattedCitation":"[28]","previouslyFormattedCitation":"[27]"},"properties":{"noteIndex":0},"schema":"https://github.com/citation-style-language/schema/raw/master/csl-citation.json"}</w:instrText>
      </w:r>
      <w:r w:rsidRPr="004A02C3">
        <w:rPr>
          <w:rFonts w:ascii="Arial" w:hAnsi="Arial" w:cs="Arial"/>
          <w:color w:val="202020"/>
          <w:sz w:val="24"/>
          <w:szCs w:val="24"/>
          <w:shd w:val="clear" w:color="auto" w:fill="FFFFFF"/>
        </w:rPr>
        <w:fldChar w:fldCharType="separate"/>
      </w:r>
      <w:r w:rsidR="0067184B" w:rsidRPr="0067184B">
        <w:rPr>
          <w:rFonts w:ascii="Arial" w:hAnsi="Arial" w:cs="Arial"/>
          <w:noProof/>
          <w:color w:val="202020"/>
          <w:sz w:val="24"/>
          <w:szCs w:val="24"/>
          <w:shd w:val="clear" w:color="auto" w:fill="FFFFFF"/>
        </w:rPr>
        <w:t>[28]</w:t>
      </w:r>
      <w:r w:rsidRPr="004A02C3">
        <w:rPr>
          <w:rFonts w:ascii="Arial" w:hAnsi="Arial" w:cs="Arial"/>
          <w:color w:val="202020"/>
          <w:sz w:val="24"/>
          <w:szCs w:val="24"/>
          <w:shd w:val="clear" w:color="auto" w:fill="FFFFFF"/>
        </w:rPr>
        <w:fldChar w:fldCharType="end"/>
      </w:r>
      <w:r w:rsidRPr="004A02C3">
        <w:rPr>
          <w:rFonts w:ascii="Arial" w:eastAsia="Times New Roman" w:hAnsi="Arial" w:cs="Arial"/>
          <w:sz w:val="24"/>
          <w:szCs w:val="24"/>
        </w:rPr>
        <w:t>, indicating that objectively measured stunting and underweight remain more common than caregiver reports of these conditions in our study. This mismatch most likely reflects</w:t>
      </w:r>
      <w:r w:rsidR="00F30213">
        <w:rPr>
          <w:rFonts w:ascii="Arial" w:eastAsia="Times New Roman" w:hAnsi="Arial" w:cs="Arial"/>
          <w:sz w:val="24"/>
          <w:szCs w:val="24"/>
        </w:rPr>
        <w:t xml:space="preserve"> differences</w:t>
      </w:r>
      <w:r w:rsidRPr="004A02C3">
        <w:rPr>
          <w:rFonts w:ascii="Arial" w:eastAsia="Times New Roman" w:hAnsi="Arial" w:cs="Arial"/>
          <w:sz w:val="24"/>
          <w:szCs w:val="24"/>
        </w:rPr>
        <w:t xml:space="preserve"> between measured anthropometry and caregiver recognition, the small hospital convenience sample, and </w:t>
      </w:r>
      <w:r w:rsidR="00F61D00">
        <w:rPr>
          <w:rFonts w:ascii="Arial" w:eastAsia="Times New Roman" w:hAnsi="Arial" w:cs="Arial"/>
          <w:sz w:val="24"/>
          <w:szCs w:val="24"/>
        </w:rPr>
        <w:t xml:space="preserve">the </w:t>
      </w:r>
      <w:r w:rsidRPr="004A02C3">
        <w:rPr>
          <w:rFonts w:ascii="Arial" w:eastAsia="Times New Roman" w:hAnsi="Arial" w:cs="Arial"/>
          <w:sz w:val="24"/>
          <w:szCs w:val="24"/>
        </w:rPr>
        <w:t xml:space="preserve">possible selection of caregivers seeking care for ill children.  Also ours </w:t>
      </w:r>
      <w:r w:rsidR="00CF108A">
        <w:rPr>
          <w:rFonts w:ascii="Arial" w:eastAsia="Times New Roman" w:hAnsi="Arial" w:cs="Arial"/>
          <w:sz w:val="24"/>
          <w:szCs w:val="24"/>
        </w:rPr>
        <w:t xml:space="preserve">result </w:t>
      </w:r>
      <w:r w:rsidRPr="004A02C3">
        <w:rPr>
          <w:rFonts w:ascii="Arial" w:eastAsia="Times New Roman" w:hAnsi="Arial" w:cs="Arial"/>
          <w:sz w:val="24"/>
          <w:szCs w:val="24"/>
        </w:rPr>
        <w:t>are no</w:t>
      </w:r>
      <w:r w:rsidR="001E42CC">
        <w:rPr>
          <w:rFonts w:ascii="Arial" w:eastAsia="Times New Roman" w:hAnsi="Arial" w:cs="Arial"/>
          <w:sz w:val="24"/>
          <w:szCs w:val="24"/>
        </w:rPr>
        <w:t xml:space="preserve">t </w:t>
      </w:r>
      <w:proofErr w:type="spellStart"/>
      <w:r w:rsidR="001E42CC">
        <w:rPr>
          <w:rFonts w:ascii="Arial" w:eastAsia="Times New Roman" w:hAnsi="Arial" w:cs="Arial"/>
          <w:sz w:val="24"/>
          <w:szCs w:val="24"/>
        </w:rPr>
        <w:t>alined</w:t>
      </w:r>
      <w:proofErr w:type="spellEnd"/>
      <w:r w:rsidR="001E42CC">
        <w:rPr>
          <w:rFonts w:ascii="Arial" w:eastAsia="Times New Roman" w:hAnsi="Arial" w:cs="Arial"/>
          <w:sz w:val="24"/>
          <w:szCs w:val="24"/>
        </w:rPr>
        <w:t xml:space="preserve"> with </w:t>
      </w:r>
      <w:proofErr w:type="spellStart"/>
      <w:r w:rsidR="001E42CC">
        <w:rPr>
          <w:rFonts w:ascii="Arial" w:eastAsia="Times New Roman" w:hAnsi="Arial" w:cs="Arial"/>
          <w:sz w:val="24"/>
          <w:szCs w:val="24"/>
        </w:rPr>
        <w:t>Tchuente</w:t>
      </w:r>
      <w:proofErr w:type="spellEnd"/>
      <w:r w:rsidR="001E42CC">
        <w:rPr>
          <w:rFonts w:ascii="Arial" w:eastAsia="Times New Roman" w:hAnsi="Arial" w:cs="Arial"/>
          <w:sz w:val="24"/>
          <w:szCs w:val="24"/>
        </w:rPr>
        <w:t xml:space="preserve"> in Cameroon</w:t>
      </w:r>
      <w:r w:rsidRPr="004A02C3">
        <w:rPr>
          <w:rFonts w:ascii="Arial" w:hAnsi="Arial" w:cs="Arial"/>
          <w:color w:val="1B1B1B"/>
          <w:sz w:val="24"/>
          <w:szCs w:val="24"/>
          <w:shd w:val="clear" w:color="auto" w:fill="FFFFFF"/>
        </w:rPr>
        <w:t xml:space="preserve"> who founded a </w:t>
      </w:r>
      <w:proofErr w:type="spellStart"/>
      <w:r w:rsidRPr="004A02C3">
        <w:rPr>
          <w:rFonts w:ascii="Arial" w:hAnsi="Arial" w:cs="Arial"/>
          <w:color w:val="1B1B1B"/>
          <w:sz w:val="24"/>
          <w:szCs w:val="24"/>
          <w:shd w:val="clear" w:color="auto" w:fill="FFFFFF"/>
        </w:rPr>
        <w:t>prevalences</w:t>
      </w:r>
      <w:proofErr w:type="spellEnd"/>
      <w:r w:rsidRPr="004A02C3">
        <w:rPr>
          <w:rFonts w:ascii="Arial" w:hAnsi="Arial" w:cs="Arial"/>
          <w:color w:val="1B1B1B"/>
          <w:sz w:val="24"/>
          <w:szCs w:val="24"/>
          <w:shd w:val="clear" w:color="auto" w:fill="FFFFFF"/>
        </w:rPr>
        <w:t xml:space="preserve"> of 4.20% for the coexistence of underweight with wasting, 7.8% for the coexistence of underweight with stunting and 14.8% for the coexistence of stunting with overweight</w:t>
      </w:r>
      <w:r w:rsidR="001E42CC">
        <w:rPr>
          <w:rFonts w:ascii="Arial" w:hAnsi="Arial" w:cs="Arial"/>
          <w:color w:val="1B1B1B"/>
          <w:sz w:val="24"/>
          <w:szCs w:val="24"/>
          <w:shd w:val="clear" w:color="auto" w:fill="FFFFFF"/>
        </w:rPr>
        <w:t xml:space="preserve"> </w:t>
      </w:r>
      <w:r w:rsidRPr="004A02C3">
        <w:rPr>
          <w:rFonts w:ascii="Arial" w:hAnsi="Arial" w:cs="Arial"/>
          <w:color w:val="1B1B1B"/>
          <w:sz w:val="24"/>
          <w:szCs w:val="24"/>
          <w:shd w:val="clear" w:color="auto" w:fill="FFFFFF"/>
        </w:rPr>
        <w:fldChar w:fldCharType="begin" w:fldLock="1"/>
      </w:r>
      <w:r w:rsidR="0067184B">
        <w:rPr>
          <w:rFonts w:ascii="Arial" w:hAnsi="Arial" w:cs="Arial"/>
          <w:color w:val="1B1B1B"/>
          <w:sz w:val="24"/>
          <w:szCs w:val="24"/>
          <w:shd w:val="clear" w:color="auto" w:fill="FFFFFF"/>
        </w:rPr>
        <w:instrText>ADDIN CSL_CITATION {"citationItems":[{"id":"ITEM-1","itemData":{"DOI":"10.1371/journal.pone.0303611","ISBN":"1111111111","author":[{"dropping-particle":"","family":"Ronald","given":"Boris","non-dropping-particle":"","parse-names":false,"suffix":""},{"dropping-particle":"","family":"Tchuente","given":"Tonou","non-dropping-particle":"","parse-names":false,"suffix":""},{"dropping-particle":"","family":"Wandji","given":"Maxwell","non-dropping-particle":"","parse-names":false,"suffix":""},{"dropping-particle":"","family":"Id","given":"Nguedjo","non-dropping-particle":"","parse-names":false,"suffix":""},{"dropping-particle":"","family":"Joe","given":"Dany","non-dropping-particle":"","parse-names":false,"suffix":""},{"dropping-particle":"","family":"Ngoumen","given":"Ngassa","non-dropping-particle":"","parse-names":false,"suffix":""},{"dropping-particle":"","family":"Cynthia","given":"Grace","non-dropping-particle":"","parse-names":false,"suffix":""},{"dropping-particle":"De","family":"Wandji","given":"Fandio","non-dropping-particle":"","parse-names":false,"suffix":""},{"dropping-particle":"","family":"Mouafo","given":"Hippolyte Tene","non-dropping-particle":"","parse-names":false,"suffix":""},{"dropping-particle":"","family":"Tambe","given":"Ayuk","non-dropping-particle":"","parse-names":false,"suffix":""},{"dropping-particle":"","family":"Medoua","given":"Gabriel Nama","non-dropping-particle":"","parse-names":false,"suffix":""},{"dropping-particle":"","family":"Tsamo","given":"Vigny Ndomo","non-dropping-particle":"","parse-names":false,"suffix":""}],"id":"ITEM-1","issued":{"date-parts":[["2024"]]},"page":"1-15","title":"Prevalence and associated factors of coexisting forms of malnutrition in children under 5 years age in a rural area of Cameroon","type":"article-journal"},"uris":["http://www.mendeley.com/documents/?uuid=794f94e7-bced-4763-b2b2-7b3620d9b010","http://www.mendeley.com/documents/?uuid=0be17236-b7ea-4b00-8759-ad9c2d7429cd"]}],"mendeley":{"formattedCitation":"[29]","plainTextFormattedCitation":"[29]","previouslyFormattedCitation":"[28]"},"properties":{"noteIndex":0},"schema":"https://github.com/citation-style-language/schema/raw/master/csl-citation.json"}</w:instrText>
      </w:r>
      <w:r w:rsidRPr="004A02C3">
        <w:rPr>
          <w:rFonts w:ascii="Arial" w:hAnsi="Arial" w:cs="Arial"/>
          <w:color w:val="1B1B1B"/>
          <w:sz w:val="24"/>
          <w:szCs w:val="24"/>
          <w:shd w:val="clear" w:color="auto" w:fill="FFFFFF"/>
        </w:rPr>
        <w:fldChar w:fldCharType="separate"/>
      </w:r>
      <w:r w:rsidR="0067184B" w:rsidRPr="0067184B">
        <w:rPr>
          <w:rFonts w:ascii="Arial" w:hAnsi="Arial" w:cs="Arial"/>
          <w:noProof/>
          <w:color w:val="1B1B1B"/>
          <w:sz w:val="24"/>
          <w:szCs w:val="24"/>
          <w:shd w:val="clear" w:color="auto" w:fill="FFFFFF"/>
        </w:rPr>
        <w:t>[29]</w:t>
      </w:r>
      <w:r w:rsidRPr="004A02C3">
        <w:rPr>
          <w:rFonts w:ascii="Arial" w:hAnsi="Arial" w:cs="Arial"/>
          <w:color w:val="1B1B1B"/>
          <w:sz w:val="24"/>
          <w:szCs w:val="24"/>
          <w:shd w:val="clear" w:color="auto" w:fill="FFFFFF"/>
        </w:rPr>
        <w:fldChar w:fldCharType="end"/>
      </w:r>
      <w:r w:rsidR="00F61D00">
        <w:rPr>
          <w:rFonts w:ascii="Arial" w:hAnsi="Arial" w:cs="Arial"/>
          <w:color w:val="1B1B1B"/>
          <w:sz w:val="24"/>
          <w:szCs w:val="24"/>
          <w:shd w:val="clear" w:color="auto" w:fill="FFFFFF"/>
        </w:rPr>
        <w:t xml:space="preserve">, </w:t>
      </w:r>
      <w:proofErr w:type="spellStart"/>
      <w:r w:rsidR="00F61D00">
        <w:rPr>
          <w:rFonts w:ascii="Arial" w:hAnsi="Arial" w:cs="Arial"/>
          <w:color w:val="1B1B1B"/>
          <w:sz w:val="24"/>
          <w:szCs w:val="24"/>
          <w:shd w:val="clear" w:color="auto" w:fill="FFFFFF"/>
        </w:rPr>
        <w:t>Rahi</w:t>
      </w:r>
      <w:proofErr w:type="spellEnd"/>
      <w:r w:rsidR="00F61D00">
        <w:rPr>
          <w:rFonts w:ascii="Arial" w:hAnsi="Arial" w:cs="Arial"/>
          <w:color w:val="1B1B1B"/>
          <w:sz w:val="24"/>
          <w:szCs w:val="24"/>
          <w:shd w:val="clear" w:color="auto" w:fill="FFFFFF"/>
        </w:rPr>
        <w:t xml:space="preserve"> in India reported t</w:t>
      </w:r>
      <w:r w:rsidRPr="004A02C3">
        <w:rPr>
          <w:rFonts w:ascii="Arial" w:hAnsi="Arial" w:cs="Arial"/>
          <w:color w:val="1B1B1B"/>
          <w:sz w:val="24"/>
          <w:szCs w:val="24"/>
          <w:shd w:val="clear" w:color="auto" w:fill="FFFFFF"/>
        </w:rPr>
        <w:t xml:space="preserve">he </w:t>
      </w:r>
      <w:proofErr w:type="spellStart"/>
      <w:r w:rsidRPr="004A02C3">
        <w:rPr>
          <w:rFonts w:ascii="Arial" w:hAnsi="Arial" w:cs="Arial"/>
          <w:color w:val="1B1B1B"/>
          <w:sz w:val="24"/>
          <w:szCs w:val="24"/>
          <w:shd w:val="clear" w:color="auto" w:fill="FFFFFF"/>
        </w:rPr>
        <w:t>prevalences</w:t>
      </w:r>
      <w:proofErr w:type="spellEnd"/>
      <w:r w:rsidRPr="004A02C3">
        <w:rPr>
          <w:rFonts w:ascii="Arial" w:hAnsi="Arial" w:cs="Arial"/>
          <w:color w:val="1B1B1B"/>
          <w:sz w:val="24"/>
          <w:szCs w:val="24"/>
          <w:shd w:val="clear" w:color="auto" w:fill="FFFFFF"/>
        </w:rPr>
        <w:t xml:space="preserve"> of underweight, stunting, and wasting in children under 5 years were 37%, 53%, and 21%, respectively</w:t>
      </w:r>
      <w:r w:rsidR="00F61D00">
        <w:rPr>
          <w:rFonts w:ascii="Arial" w:hAnsi="Arial" w:cs="Arial"/>
          <w:color w:val="1B1B1B"/>
          <w:sz w:val="24"/>
          <w:szCs w:val="24"/>
          <w:shd w:val="clear" w:color="auto" w:fill="FFFFFF"/>
        </w:rPr>
        <w:t xml:space="preserve"> </w:t>
      </w:r>
      <w:r w:rsidRPr="004A02C3">
        <w:rPr>
          <w:rFonts w:ascii="Arial" w:hAnsi="Arial" w:cs="Arial"/>
          <w:color w:val="1B1B1B"/>
          <w:sz w:val="24"/>
          <w:szCs w:val="24"/>
          <w:shd w:val="clear" w:color="auto" w:fill="FFFFFF"/>
        </w:rPr>
        <w:fldChar w:fldCharType="begin" w:fldLock="1"/>
      </w:r>
      <w:r w:rsidR="0067184B">
        <w:rPr>
          <w:rFonts w:ascii="Arial" w:hAnsi="Arial" w:cs="Arial"/>
          <w:color w:val="1B1B1B"/>
          <w:sz w:val="24"/>
          <w:szCs w:val="24"/>
          <w:shd w:val="clear" w:color="auto" w:fill="FFFFFF"/>
        </w:rPr>
        <w:instrText>ADDIN CSL_CITATION {"citationItems":[{"id":"ITEM-1","itemData":{"DOI":"10.4269/ajtmh.23-0487","author":[{"dropping-particle":"","family":"Rahi","given":"Manju","non-dropping-particle":"","parse-names":false,"suffix":""},{"dropping-particle":"","family":"Nazmeen","given":"Aarifa","non-dropping-particle":"","parse-names":false,"suffix":""},{"dropping-particle":"","family":"Yadav","given":"Chander Prakash","non-dropping-particle":"","parse-names":false,"suffix":""},{"dropping-particle":"","family":"Sirohi","given":"Preeti Rana","non-dropping-particle":"","parse-names":false,"suffix":""},{"dropping-particle":"","family":"Gupta","given":"Sanjeev","non-dropping-particle":"","parse-names":false,"suffix":""},{"dropping-particle":"","family":"Bhati","given":"Gaurav","non-dropping-particle":"","parse-names":false,"suffix":""},{"dropping-particle":"","family":"Baharia","given":"Rajendra","non-dropping-particle":"","parse-names":false,"suffix":""},{"dropping-particle":"","family":"Goel","given":"Pawan","non-dropping-particle":"","parse-names":false,"suffix":""},{"dropping-particle":"","family":"Sharma","given":"Amit","non-dropping-particle":"","parse-names":false,"suffix":""}],"id":"ITEM-1","issue":"3","issued":{"date-parts":[["2024"]]},"page":"588-595","title":"Prevalence and Correlates of Malnutrition in Nuh District , Haryana State , India","type":"article-journal","volume":"110"},"uris":["http://www.mendeley.com/documents/?uuid=c08ad9f2-c50d-4443-946d-b13e219e4f2a","http://www.mendeley.com/documents/?uuid=48421b32-9697-470d-b421-0f94d7990d16"]}],"mendeley":{"formattedCitation":"[30]","plainTextFormattedCitation":"[30]","previouslyFormattedCitation":"[29]"},"properties":{"noteIndex":0},"schema":"https://github.com/citation-style-language/schema/raw/master/csl-citation.json"}</w:instrText>
      </w:r>
      <w:r w:rsidRPr="004A02C3">
        <w:rPr>
          <w:rFonts w:ascii="Arial" w:hAnsi="Arial" w:cs="Arial"/>
          <w:color w:val="1B1B1B"/>
          <w:sz w:val="24"/>
          <w:szCs w:val="24"/>
          <w:shd w:val="clear" w:color="auto" w:fill="FFFFFF"/>
        </w:rPr>
        <w:fldChar w:fldCharType="separate"/>
      </w:r>
      <w:r w:rsidR="0067184B" w:rsidRPr="0067184B">
        <w:rPr>
          <w:rFonts w:ascii="Arial" w:hAnsi="Arial" w:cs="Arial"/>
          <w:noProof/>
          <w:color w:val="1B1B1B"/>
          <w:sz w:val="24"/>
          <w:szCs w:val="24"/>
          <w:shd w:val="clear" w:color="auto" w:fill="FFFFFF"/>
        </w:rPr>
        <w:t>[30]</w:t>
      </w:r>
      <w:r w:rsidRPr="004A02C3">
        <w:rPr>
          <w:rFonts w:ascii="Arial" w:hAnsi="Arial" w:cs="Arial"/>
          <w:color w:val="1B1B1B"/>
          <w:sz w:val="24"/>
          <w:szCs w:val="24"/>
          <w:shd w:val="clear" w:color="auto" w:fill="FFFFFF"/>
        </w:rPr>
        <w:fldChar w:fldCharType="end"/>
      </w:r>
      <w:r w:rsidR="00F61D00">
        <w:rPr>
          <w:rFonts w:ascii="Arial" w:hAnsi="Arial" w:cs="Arial"/>
          <w:color w:val="1B1B1B"/>
          <w:sz w:val="24"/>
          <w:szCs w:val="24"/>
          <w:shd w:val="clear" w:color="auto" w:fill="FFFFFF"/>
        </w:rPr>
        <w:t>.</w:t>
      </w:r>
      <w:r w:rsidRPr="004A02C3">
        <w:rPr>
          <w:rFonts w:ascii="Arial" w:hAnsi="Arial" w:cs="Arial"/>
          <w:color w:val="1B1B1B"/>
          <w:sz w:val="24"/>
          <w:szCs w:val="24"/>
          <w:shd w:val="clear" w:color="auto" w:fill="FFFFFF"/>
        </w:rPr>
        <w:t xml:space="preserve"> </w:t>
      </w:r>
    </w:p>
    <w:p w:rsidR="00F01DDE" w:rsidRPr="00320F50" w:rsidRDefault="00F01DDE" w:rsidP="00F01DDE">
      <w:pPr>
        <w:spacing w:before="100" w:beforeAutospacing="1" w:after="100" w:afterAutospacing="1" w:line="360" w:lineRule="auto"/>
        <w:jc w:val="both"/>
        <w:rPr>
          <w:rFonts w:ascii="Arial" w:eastAsia="Times New Roman" w:hAnsi="Arial" w:cs="Arial"/>
          <w:sz w:val="24"/>
          <w:szCs w:val="24"/>
        </w:rPr>
      </w:pPr>
      <w:r w:rsidRPr="00320F50">
        <w:rPr>
          <w:rFonts w:ascii="Arial" w:eastAsia="Times New Roman" w:hAnsi="Arial" w:cs="Arial"/>
          <w:sz w:val="24"/>
          <w:szCs w:val="24"/>
        </w:rPr>
        <w:t xml:space="preserve">Care-seeking </w:t>
      </w:r>
      <w:proofErr w:type="spellStart"/>
      <w:r w:rsidRPr="00320F50">
        <w:rPr>
          <w:rFonts w:ascii="Arial" w:eastAsia="Times New Roman" w:hAnsi="Arial" w:cs="Arial"/>
          <w:sz w:val="24"/>
          <w:szCs w:val="24"/>
        </w:rPr>
        <w:t>behaviour</w:t>
      </w:r>
      <w:proofErr w:type="spellEnd"/>
      <w:r w:rsidRPr="00320F50">
        <w:rPr>
          <w:rFonts w:ascii="Arial" w:eastAsia="Times New Roman" w:hAnsi="Arial" w:cs="Arial"/>
          <w:sz w:val="24"/>
          <w:szCs w:val="24"/>
        </w:rPr>
        <w:t xml:space="preserve"> in our cohort was almost exclusively biomedical: 99% of caregivers reported taking the child to the hospital when concerned about malnutrition, and only 1% sought traditional healers. This high reported use of formal health services is consistent with the sampling frame (caregivers recruited at a hospital) and contrasts with community studies that document a more mixed pattern of help-seeking (including traditional and community remedies) in some settings; it nevertheless suggests that facility-based platforms at </w:t>
      </w:r>
      <w:proofErr w:type="spellStart"/>
      <w:r w:rsidRPr="00320F50">
        <w:rPr>
          <w:rFonts w:ascii="Arial" w:eastAsia="Times New Roman" w:hAnsi="Arial" w:cs="Arial"/>
          <w:sz w:val="24"/>
          <w:szCs w:val="24"/>
        </w:rPr>
        <w:t>Jitimai</w:t>
      </w:r>
      <w:proofErr w:type="spellEnd"/>
      <w:r w:rsidRPr="00320F50">
        <w:rPr>
          <w:rFonts w:ascii="Arial" w:eastAsia="Times New Roman" w:hAnsi="Arial" w:cs="Arial"/>
          <w:sz w:val="24"/>
          <w:szCs w:val="24"/>
        </w:rPr>
        <w:t xml:space="preserve"> could be used to deliver targeted nutrition screening and caregi</w:t>
      </w:r>
      <w:r w:rsidR="00F61D00">
        <w:rPr>
          <w:rFonts w:ascii="Arial" w:eastAsia="Times New Roman" w:hAnsi="Arial" w:cs="Arial"/>
          <w:sz w:val="24"/>
          <w:szCs w:val="24"/>
        </w:rPr>
        <w:t xml:space="preserve">ver education </w:t>
      </w:r>
      <w:r w:rsidRPr="00320F50">
        <w:rPr>
          <w:rFonts w:ascii="Arial" w:eastAsia="Times New Roman" w:hAnsi="Arial" w:cs="Arial"/>
          <w:sz w:val="24"/>
          <w:szCs w:val="24"/>
        </w:rPr>
        <w:fldChar w:fldCharType="begin" w:fldLock="1"/>
      </w:r>
      <w:r w:rsidR="0067184B">
        <w:rPr>
          <w:rFonts w:ascii="Arial" w:eastAsia="Times New Roman" w:hAnsi="Arial" w:cs="Arial"/>
          <w:sz w:val="24"/>
          <w:szCs w:val="24"/>
        </w:rPr>
        <w:instrText>ADDIN CSL_CITATION {"citationItems":[{"id":"ITEM-1","itemData":{"author":[{"dropping-particle":"","family":"Lyimo","given":"Elizabeth J","non-dropping-particle":"","parse-names":false,"suffix":""},{"dropping-particle":"","family":"Msangi","given":"Maria","non-dropping-particle":"","parse-names":false,"suffix":""},{"dropping-particle":"","family":"Zangira","given":"Anna J","non-dropping-particle":"","parse-names":false,"suffix":""},{"dropping-particle":"V","family":"Msaki","given":"Rose","non-dropping-particle":"","parse-names":false,"suffix":""},{"dropping-particle":"","family":"Lekey","given":"Aika","non-dropping-particle":"","parse-names":false,"suffix":""},{"dropping-particle":"","family":"Rwenyagira","given":"Magreth","non-dropping-particle":"","parse-names":false,"suffix":""},{"dropping-particle":"","family":"Mwiru","given":"Ramadhan","non-dropping-particle":"","parse-names":false,"suffix":""}],"id":"ITEM-1","issued":{"date-parts":[["2024"]]},"page":"1-12","title":"Healthcare-seeking behaviours among mother ’ s having under-five children with severe wasting in Dodoma and Mbeya regions of Tanzania-A qualitative study","type":"article-journal"},"uris":["http://www.mendeley.com/documents/?uuid=6c6d0523-54c7-4adb-aa51-2eaa22c60f87","http://www.mendeley.com/documents/?uuid=34cc73b1-6f61-4fdb-a354-1de3cf87d912"]}],"mendeley":{"formattedCitation":"[31]","plainTextFormattedCitation":"[31]","previouslyFormattedCitation":"[30]"},"properties":{"noteIndex":0},"schema":"https://github.com/citation-style-language/schema/raw/master/csl-citation.json"}</w:instrText>
      </w:r>
      <w:r w:rsidRPr="00320F50">
        <w:rPr>
          <w:rFonts w:ascii="Arial" w:eastAsia="Times New Roman" w:hAnsi="Arial" w:cs="Arial"/>
          <w:sz w:val="24"/>
          <w:szCs w:val="24"/>
        </w:rPr>
        <w:fldChar w:fldCharType="separate"/>
      </w:r>
      <w:r w:rsidR="0067184B" w:rsidRPr="0067184B">
        <w:rPr>
          <w:rFonts w:ascii="Arial" w:eastAsia="Times New Roman" w:hAnsi="Arial" w:cs="Arial"/>
          <w:noProof/>
          <w:sz w:val="24"/>
          <w:szCs w:val="24"/>
        </w:rPr>
        <w:t>[31]</w:t>
      </w:r>
      <w:r w:rsidRPr="00320F50">
        <w:rPr>
          <w:rFonts w:ascii="Arial" w:eastAsia="Times New Roman" w:hAnsi="Arial" w:cs="Arial"/>
          <w:sz w:val="24"/>
          <w:szCs w:val="24"/>
        </w:rPr>
        <w:fldChar w:fldCharType="end"/>
      </w:r>
      <w:r w:rsidR="00F61D00">
        <w:rPr>
          <w:rFonts w:ascii="Arial" w:eastAsia="Times New Roman" w:hAnsi="Arial" w:cs="Arial"/>
          <w:sz w:val="24"/>
          <w:szCs w:val="24"/>
        </w:rPr>
        <w:t>.</w:t>
      </w:r>
    </w:p>
    <w:p w:rsidR="00F01DDE" w:rsidRPr="004A02C3" w:rsidRDefault="00F01DDE" w:rsidP="00F01DDE">
      <w:pPr>
        <w:spacing w:line="360" w:lineRule="auto"/>
        <w:jc w:val="both"/>
        <w:rPr>
          <w:rFonts w:ascii="Arial" w:hAnsi="Arial" w:cs="Arial"/>
          <w:sz w:val="24"/>
          <w:szCs w:val="24"/>
        </w:rPr>
      </w:pPr>
      <w:r w:rsidRPr="004A02C3">
        <w:rPr>
          <w:rFonts w:ascii="Arial" w:hAnsi="Arial" w:cs="Arial"/>
          <w:sz w:val="24"/>
          <w:szCs w:val="24"/>
        </w:rPr>
        <w:lastRenderedPageBreak/>
        <w:t>The findings from this study reveal both alignment and divergence with existing research on maternal knowledge and child malnutrition. Aligned findings include the observed gaps in maternal knowledge regarding nutrition education and feeding practices. Similar studies have reported that a substantial proportion of caregivers lack adequate nutrition education, which adversely affects child feeding behaviors and nutritional outcomes (e.g., inadequate knowledge of exclusive breastfeeding duration and complementary feeding timing)</w:t>
      </w:r>
      <w:r w:rsidR="00F61D00">
        <w:rPr>
          <w:rFonts w:ascii="Arial" w:hAnsi="Arial" w:cs="Arial"/>
          <w:sz w:val="24"/>
          <w:szCs w:val="24"/>
        </w:rPr>
        <w:t xml:space="preserve"> </w:t>
      </w:r>
      <w:r w:rsidRPr="004A02C3">
        <w:rPr>
          <w:rFonts w:ascii="Arial" w:hAnsi="Arial" w:cs="Arial"/>
          <w:sz w:val="24"/>
          <w:szCs w:val="24"/>
        </w:rPr>
        <w:fldChar w:fldCharType="begin" w:fldLock="1"/>
      </w:r>
      <w:r w:rsidR="0067184B">
        <w:rPr>
          <w:rFonts w:ascii="Arial" w:hAnsi="Arial" w:cs="Arial"/>
          <w:sz w:val="24"/>
          <w:szCs w:val="24"/>
        </w:rPr>
        <w:instrText>ADDIN CSL_CITATION {"citationItems":[{"id":"ITEM-1","itemData":{"DOI":"10.47679/jchs.2025128","author":[{"dropping-particle":"","family":"Wulandari","given":"Dewi Triloka","non-dropping-particle":"","parse-names":false,"suffix":""},{"dropping-particle":"","family":"Azizah","given":"Ninik","non-dropping-particle":"","parse-names":false,"suffix":""},{"dropping-particle":"","family":"Rahmawati","given":"Vivin Eka","non-dropping-particle":"","parse-names":false,"suffix":""},{"dropping-particle":"","family":"Annuchasari","given":"Helmi","non-dropping-particle":"","parse-names":false,"suffix":""}],"id":"ITEM-1","issue":"3","issued":{"date-parts":[["2025"]]},"page":"145-154","title":"Community-Based Insights on Maternal Nutrition Knowledge and Its Role in Preventing Stunting and Wasting in Rural Indonesian Children","type":"article-journal","volume":"5"},"uris":["http://www.mendeley.com/documents/?uuid=d52e3a03-b215-4fac-af2d-b5fa0469d39f","http://www.mendeley.com/documents/?uuid=ca14ab00-3853-45eb-8aeb-a724fbb0a00b"]}],"mendeley":{"formattedCitation":"[32]","plainTextFormattedCitation":"[32]","previouslyFormattedCitation":"[31]"},"properties":{"noteIndex":0},"schema":"https://github.com/citation-style-language/schema/raw/master/csl-citation.json"}</w:instrText>
      </w:r>
      <w:r w:rsidRPr="004A02C3">
        <w:rPr>
          <w:rFonts w:ascii="Arial" w:hAnsi="Arial" w:cs="Arial"/>
          <w:sz w:val="24"/>
          <w:szCs w:val="24"/>
        </w:rPr>
        <w:fldChar w:fldCharType="separate"/>
      </w:r>
      <w:r w:rsidR="0067184B" w:rsidRPr="0067184B">
        <w:rPr>
          <w:rFonts w:ascii="Arial" w:hAnsi="Arial" w:cs="Arial"/>
          <w:noProof/>
          <w:sz w:val="24"/>
          <w:szCs w:val="24"/>
        </w:rPr>
        <w:t>[32]</w:t>
      </w:r>
      <w:r w:rsidRPr="004A02C3">
        <w:rPr>
          <w:rFonts w:ascii="Arial" w:hAnsi="Arial" w:cs="Arial"/>
          <w:sz w:val="24"/>
          <w:szCs w:val="24"/>
        </w:rPr>
        <w:fldChar w:fldCharType="end"/>
      </w:r>
      <w:r w:rsidRPr="004A02C3">
        <w:rPr>
          <w:rFonts w:ascii="Arial" w:hAnsi="Arial" w:cs="Arial"/>
          <w:sz w:val="24"/>
          <w:szCs w:val="24"/>
        </w:rPr>
        <w:fldChar w:fldCharType="begin" w:fldLock="1"/>
      </w:r>
      <w:r w:rsidR="0067184B">
        <w:rPr>
          <w:rFonts w:ascii="Arial" w:hAnsi="Arial" w:cs="Arial"/>
          <w:sz w:val="24"/>
          <w:szCs w:val="24"/>
        </w:rPr>
        <w:instrText>ADDIN CSL_CITATION {"citationItems":[{"id":"ITEM-1","itemData":{"author":[{"dropping-particle":"","family":"Bakare","given":"A A","non-dropping-particle":"","parse-names":false,"suffix":""},{"dropping-particle":"","family":"Uchendu","given":"O C","non-dropping-particle":"","parse-names":false,"suffix":""},{"dropping-particle":"","family":"Omotayo","given":"O E","non-dropping-particle":"","parse-names":false,"suffix":""},{"dropping-particle":"","family":"King","given":"C","non-dropping-particle":"","parse-names":false,"suffix":""}],"id":"ITEM-1","issue":"1","issued":{"date-parts":[["2023"]]},"page":"50-62","title":"FEEDING PRACTICES AND NUTRITIONAL STATUS OF UNDER-FIVE CHILDREN IN A PERI-URBAN SETTING IN IBADAN , SOUTHWEST NIGERIA : A COMPARATIVE CROSS-SECTIONAL STUDY","type":"article-journal","volume":"21"},"uris":["http://www.mendeley.com/documents/?uuid=16e3200d-bf62-42c3-aa32-991f6bf98268","http://www.mendeley.com/documents/?uuid=2930c49b-fc3e-424d-8d26-b3671efcd4a1"]}],"mendeley":{"formattedCitation":"[33]","plainTextFormattedCitation":"[33]","previouslyFormattedCitation":"[32]"},"properties":{"noteIndex":0},"schema":"https://github.com/citation-style-language/schema/raw/master/csl-citation.json"}</w:instrText>
      </w:r>
      <w:r w:rsidRPr="004A02C3">
        <w:rPr>
          <w:rFonts w:ascii="Arial" w:hAnsi="Arial" w:cs="Arial"/>
          <w:sz w:val="24"/>
          <w:szCs w:val="24"/>
        </w:rPr>
        <w:fldChar w:fldCharType="separate"/>
      </w:r>
      <w:r w:rsidR="0067184B" w:rsidRPr="0067184B">
        <w:rPr>
          <w:rFonts w:ascii="Arial" w:hAnsi="Arial" w:cs="Arial"/>
          <w:noProof/>
          <w:sz w:val="24"/>
          <w:szCs w:val="24"/>
        </w:rPr>
        <w:t>[33]</w:t>
      </w:r>
      <w:r w:rsidRPr="004A02C3">
        <w:rPr>
          <w:rFonts w:ascii="Arial" w:hAnsi="Arial" w:cs="Arial"/>
          <w:sz w:val="24"/>
          <w:szCs w:val="24"/>
        </w:rPr>
        <w:fldChar w:fldCharType="end"/>
      </w:r>
      <w:r w:rsidRPr="004A02C3">
        <w:rPr>
          <w:rFonts w:ascii="Arial" w:hAnsi="Arial" w:cs="Arial"/>
          <w:sz w:val="24"/>
          <w:szCs w:val="24"/>
        </w:rPr>
        <w:t xml:space="preserve">, but it is not </w:t>
      </w:r>
      <w:r w:rsidR="00F61D00" w:rsidRPr="004A02C3">
        <w:rPr>
          <w:rFonts w:ascii="Arial" w:hAnsi="Arial" w:cs="Arial"/>
          <w:sz w:val="24"/>
          <w:szCs w:val="24"/>
        </w:rPr>
        <w:t>aligned</w:t>
      </w:r>
      <w:r w:rsidRPr="004A02C3">
        <w:rPr>
          <w:rFonts w:ascii="Arial" w:hAnsi="Arial" w:cs="Arial"/>
          <w:sz w:val="24"/>
          <w:szCs w:val="24"/>
        </w:rPr>
        <w:t xml:space="preserve"> with </w:t>
      </w:r>
      <w:proofErr w:type="spellStart"/>
      <w:r w:rsidRPr="004A02C3">
        <w:rPr>
          <w:rFonts w:ascii="Arial" w:hAnsi="Arial" w:cs="Arial"/>
          <w:sz w:val="24"/>
          <w:szCs w:val="24"/>
        </w:rPr>
        <w:t>Gemede</w:t>
      </w:r>
      <w:proofErr w:type="spellEnd"/>
      <w:r w:rsidRPr="004A02C3">
        <w:rPr>
          <w:rFonts w:ascii="Arial" w:hAnsi="Arial" w:cs="Arial"/>
          <w:sz w:val="24"/>
          <w:szCs w:val="24"/>
        </w:rPr>
        <w:t xml:space="preserve"> in Ethiopia that reported </w:t>
      </w:r>
      <w:r w:rsidRPr="004A02C3">
        <w:rPr>
          <w:rFonts w:ascii="Arial" w:hAnsi="Arial" w:cs="Arial"/>
          <w:sz w:val="24"/>
          <w:szCs w:val="24"/>
          <w:shd w:val="clear" w:color="auto" w:fill="FFFFFF"/>
        </w:rPr>
        <w:t>46.8% and 42.7% of the mothers were knowledgeable and had appropriate practices regarding their children's complementary feeding. Women's educational level (</w:t>
      </w:r>
      <w:r w:rsidRPr="004A02C3">
        <w:rPr>
          <w:rStyle w:val="Emphasis"/>
          <w:rFonts w:ascii="Arial" w:hAnsi="Arial" w:cs="Arial"/>
          <w:sz w:val="24"/>
          <w:szCs w:val="24"/>
          <w:shd w:val="clear" w:color="auto" w:fill="FFFFFF"/>
        </w:rPr>
        <w:t>p</w:t>
      </w:r>
      <w:r w:rsidRPr="004A02C3">
        <w:rPr>
          <w:rFonts w:ascii="Arial" w:hAnsi="Arial" w:cs="Arial"/>
          <w:sz w:val="24"/>
          <w:szCs w:val="24"/>
          <w:shd w:val="clear" w:color="auto" w:fill="FFFFFF"/>
        </w:rPr>
        <w:t> &lt; 0.01) was significantly associated with maternal knowledge of complementary feeding. Likewise, Women's education (</w:t>
      </w:r>
      <w:r w:rsidRPr="004A02C3">
        <w:rPr>
          <w:rStyle w:val="Emphasis"/>
          <w:rFonts w:ascii="Arial" w:hAnsi="Arial" w:cs="Arial"/>
          <w:sz w:val="24"/>
          <w:szCs w:val="24"/>
          <w:shd w:val="clear" w:color="auto" w:fill="FFFFFF"/>
        </w:rPr>
        <w:t>p</w:t>
      </w:r>
      <w:r w:rsidRPr="004A02C3">
        <w:rPr>
          <w:rFonts w:ascii="Arial" w:hAnsi="Arial" w:cs="Arial"/>
          <w:sz w:val="24"/>
          <w:szCs w:val="24"/>
          <w:shd w:val="clear" w:color="auto" w:fill="FFFFFF"/>
        </w:rPr>
        <w:t> &lt; 0.01),</w:t>
      </w:r>
      <w:r w:rsidRPr="004A02C3">
        <w:rPr>
          <w:rFonts w:ascii="Arial" w:hAnsi="Arial" w:cs="Arial"/>
          <w:sz w:val="24"/>
          <w:szCs w:val="24"/>
          <w:shd w:val="clear" w:color="auto" w:fill="FFFFFF"/>
        </w:rPr>
        <w:fldChar w:fldCharType="begin" w:fldLock="1"/>
      </w:r>
      <w:r w:rsidR="0067184B">
        <w:rPr>
          <w:rFonts w:ascii="Arial" w:hAnsi="Arial" w:cs="Arial"/>
          <w:sz w:val="24"/>
          <w:szCs w:val="24"/>
          <w:shd w:val="clear" w:color="auto" w:fill="FFFFFF"/>
        </w:rPr>
        <w:instrText>ADDIN CSL_CITATION {"citationItems":[{"id":"ITEM-1","itemData":{"DOI":"10.1002/fsn3.70286","author":[{"dropping-particle":"","family":"Fekadu","given":"Habtamu","non-dropping-particle":"","parse-names":false,"suffix":""},{"dropping-particle":"","family":"Kassahun","given":"Gemede","non-dropping-particle":"","parse-names":false,"suffix":""}],"id":"ITEM-1","issued":{"date-parts":[["2025"]]},"page":"1-10","title":"Maternal Knowledge and Practices on Complementary Feeding and Associated Factors in Sedal District , Western Ethiopia","type":"article-journal"},"uris":["http://www.mendeley.com/documents/?uuid=e0fb5caa-c319-474f-a12c-ee5a8d6f6e12","http://www.mendeley.com/documents/?uuid=a2126e28-6f7d-4a6c-9140-0ffea6bc2937"]}],"mendeley":{"formattedCitation":"[34]","plainTextFormattedCitation":"[34]","previouslyFormattedCitation":"[33]"},"properties":{"noteIndex":0},"schema":"https://github.com/citation-style-language/schema/raw/master/csl-citation.json"}</w:instrText>
      </w:r>
      <w:r w:rsidRPr="004A02C3">
        <w:rPr>
          <w:rFonts w:ascii="Arial" w:hAnsi="Arial" w:cs="Arial"/>
          <w:sz w:val="24"/>
          <w:szCs w:val="24"/>
          <w:shd w:val="clear" w:color="auto" w:fill="FFFFFF"/>
        </w:rPr>
        <w:fldChar w:fldCharType="separate"/>
      </w:r>
      <w:r w:rsidR="0067184B" w:rsidRPr="0067184B">
        <w:rPr>
          <w:rFonts w:ascii="Arial" w:hAnsi="Arial" w:cs="Arial"/>
          <w:noProof/>
          <w:sz w:val="24"/>
          <w:szCs w:val="24"/>
          <w:shd w:val="clear" w:color="auto" w:fill="FFFFFF"/>
        </w:rPr>
        <w:t>[34]</w:t>
      </w:r>
      <w:r w:rsidRPr="004A02C3">
        <w:rPr>
          <w:rFonts w:ascii="Arial" w:hAnsi="Arial" w:cs="Arial"/>
          <w:sz w:val="24"/>
          <w:szCs w:val="24"/>
          <w:shd w:val="clear" w:color="auto" w:fill="FFFFFF"/>
        </w:rPr>
        <w:fldChar w:fldCharType="end"/>
      </w:r>
      <w:r w:rsidRPr="004A02C3">
        <w:rPr>
          <w:rFonts w:ascii="Arial" w:hAnsi="Arial" w:cs="Arial"/>
          <w:sz w:val="24"/>
          <w:szCs w:val="24"/>
        </w:rPr>
        <w:t xml:space="preserve">. The significant association between maternal knowledge of exclusive breastfeeding duration and </w:t>
      </w:r>
      <w:r w:rsidR="00F30213">
        <w:rPr>
          <w:rFonts w:ascii="Arial" w:hAnsi="Arial" w:cs="Arial"/>
          <w:sz w:val="24"/>
          <w:szCs w:val="24"/>
        </w:rPr>
        <w:t>the type of malnutrition corroborates previous evidence emphasizing</w:t>
      </w:r>
      <w:r w:rsidRPr="004A02C3">
        <w:rPr>
          <w:rFonts w:ascii="Arial" w:hAnsi="Arial" w:cs="Arial"/>
          <w:sz w:val="24"/>
          <w:szCs w:val="24"/>
        </w:rPr>
        <w:t xml:space="preserve"> exclusive breastfeeding as a critical protective factor against malnutrition and infectious diseases in early childhood</w:t>
      </w:r>
      <w:r w:rsidR="00F61D00">
        <w:rPr>
          <w:rFonts w:ascii="Arial" w:hAnsi="Arial" w:cs="Arial"/>
          <w:sz w:val="24"/>
          <w:szCs w:val="24"/>
        </w:rPr>
        <w:t xml:space="preserve"> </w:t>
      </w:r>
      <w:r w:rsidRPr="004A02C3">
        <w:rPr>
          <w:rFonts w:ascii="Arial" w:hAnsi="Arial" w:cs="Arial"/>
          <w:sz w:val="24"/>
          <w:szCs w:val="24"/>
        </w:rPr>
        <w:fldChar w:fldCharType="begin" w:fldLock="1"/>
      </w:r>
      <w:r w:rsidR="0067184B">
        <w:rPr>
          <w:rFonts w:ascii="Arial" w:hAnsi="Arial" w:cs="Arial"/>
          <w:sz w:val="24"/>
          <w:szCs w:val="24"/>
        </w:rPr>
        <w:instrText>ADDIN CSL_CITATION {"citationItems":[{"id":"ITEM-1","itemData":{"author":[{"dropping-particle":"","family":"Info","given":"Article","non-dropping-particle":"","parse-names":false,"suffix":""}],"id":"ITEM-1","issue":"1","issued":{"date-parts":[["2025"]]},"page":"1-7","title":"Maternal Knowledge of Exclusive Breastfeeding and Nutritional Status of Children Under Two Years During the COVID-19 Pandemic","type":"article-journal","volume":"4"},"uris":["http://www.mendeley.com/documents/?uuid=7b5c3906-c0ea-4232-9985-2788a4cf6af6","http://www.mendeley.com/documents/?uuid=200ae08b-a49c-4846-8af2-09fafb5e2214"]}],"mendeley":{"formattedCitation":"[35]","plainTextFormattedCitation":"[35]","previouslyFormattedCitation":"[34]"},"properties":{"noteIndex":0},"schema":"https://github.com/citation-style-language/schema/raw/master/csl-citation.json"}</w:instrText>
      </w:r>
      <w:r w:rsidRPr="004A02C3">
        <w:rPr>
          <w:rFonts w:ascii="Arial" w:hAnsi="Arial" w:cs="Arial"/>
          <w:sz w:val="24"/>
          <w:szCs w:val="24"/>
        </w:rPr>
        <w:fldChar w:fldCharType="separate"/>
      </w:r>
      <w:r w:rsidR="0067184B" w:rsidRPr="0067184B">
        <w:rPr>
          <w:rFonts w:ascii="Arial" w:hAnsi="Arial" w:cs="Arial"/>
          <w:noProof/>
          <w:sz w:val="24"/>
          <w:szCs w:val="24"/>
        </w:rPr>
        <w:t>[35]</w:t>
      </w:r>
      <w:r w:rsidRPr="004A02C3">
        <w:rPr>
          <w:rFonts w:ascii="Arial" w:hAnsi="Arial" w:cs="Arial"/>
          <w:sz w:val="24"/>
          <w:szCs w:val="24"/>
        </w:rPr>
        <w:fldChar w:fldCharType="end"/>
      </w:r>
      <w:r w:rsidRPr="004A02C3">
        <w:rPr>
          <w:rFonts w:ascii="Arial" w:hAnsi="Arial" w:cs="Arial"/>
          <w:sz w:val="24"/>
          <w:szCs w:val="24"/>
        </w:rPr>
        <w:fldChar w:fldCharType="begin" w:fldLock="1"/>
      </w:r>
      <w:r w:rsidR="0067184B">
        <w:rPr>
          <w:rFonts w:ascii="Arial" w:hAnsi="Arial" w:cs="Arial"/>
          <w:sz w:val="24"/>
          <w:szCs w:val="24"/>
        </w:rPr>
        <w:instrText>ADDIN CSL_CITATION {"citationItems":[{"id":"ITEM-1","itemData":{"DOI":"10.1177/17455057241231478","author":[{"dropping-particle":"","family":"Ahmed","given":"Riyad","non-dropping-particle":"","parse-names":false,"suffix":""},{"dropping-particle":"","family":"Chibsa","given":"Samuel Ejeta","non-dropping-particle":"","parse-names":false,"suffix":""},{"dropping-particle":"","family":"Hussen","given":"Mustefa Adem","non-dropping-particle":"","parse-names":false,"suffix":""},{"dropping-particle":"","family":"Bayisa","given":"Kenbon","non-dropping-particle":"","parse-names":false,"suffix":""},{"dropping-particle":"","family":"Kefeni","given":"Bilisumamulifna Tefera","non-dropping-particle":"","parse-names":false,"suffix":""},{"dropping-particle":"","family":"Gezimu","given":"Wubishet","non-dropping-particle":"","parse-names":false,"suffix":""},{"dropping-particle":"","family":"Bidira","given":"Kebebe","non-dropping-particle":"","parse-names":false,"suffix":""}],"id":"ITEM-1","issued":{"date-parts":[["2024"]]},"title":"Undernutrition among exclusive breastfeeding mothers and its associated factors in Southwest Ethiopia : A community-based study","type":"article-journal"},"uris":["http://www.mendeley.com/documents/?uuid=928c92f4-0d04-41c9-bfdd-278a699a1037","http://www.mendeley.com/documents/?uuid=93bb167f-2278-4da3-87d4-b799ce00b740"]}],"mendeley":{"formattedCitation":"[36]","plainTextFormattedCitation":"[36]","previouslyFormattedCitation":"[35]"},"properties":{"noteIndex":0},"schema":"https://github.com/citation-style-language/schema/raw/master/csl-citation.json"}</w:instrText>
      </w:r>
      <w:r w:rsidRPr="004A02C3">
        <w:rPr>
          <w:rFonts w:ascii="Arial" w:hAnsi="Arial" w:cs="Arial"/>
          <w:sz w:val="24"/>
          <w:szCs w:val="24"/>
        </w:rPr>
        <w:fldChar w:fldCharType="separate"/>
      </w:r>
      <w:r w:rsidR="0067184B" w:rsidRPr="0067184B">
        <w:rPr>
          <w:rFonts w:ascii="Arial" w:hAnsi="Arial" w:cs="Arial"/>
          <w:noProof/>
          <w:sz w:val="24"/>
          <w:szCs w:val="24"/>
        </w:rPr>
        <w:t>[36]</w:t>
      </w:r>
      <w:r w:rsidRPr="004A02C3">
        <w:rPr>
          <w:rFonts w:ascii="Arial" w:hAnsi="Arial" w:cs="Arial"/>
          <w:sz w:val="24"/>
          <w:szCs w:val="24"/>
        </w:rPr>
        <w:fldChar w:fldCharType="end"/>
      </w:r>
      <w:r w:rsidRPr="004A02C3">
        <w:rPr>
          <w:rFonts w:ascii="Arial" w:hAnsi="Arial" w:cs="Arial"/>
          <w:sz w:val="24"/>
          <w:szCs w:val="24"/>
        </w:rPr>
        <w:t>. Additionally, the predominance of fruits and vegetables as complementary foods with limited protein-rich options aligns with reports from comparable low-resource settings, where dietary diversity remains insufficient to meet children's nutritional needs</w:t>
      </w:r>
      <w:r w:rsidR="00F61D00">
        <w:rPr>
          <w:rFonts w:ascii="Arial" w:hAnsi="Arial" w:cs="Arial"/>
          <w:sz w:val="24"/>
          <w:szCs w:val="24"/>
        </w:rPr>
        <w:t xml:space="preserve"> </w:t>
      </w:r>
      <w:r w:rsidRPr="004A02C3">
        <w:rPr>
          <w:rFonts w:ascii="Arial" w:hAnsi="Arial" w:cs="Arial"/>
          <w:sz w:val="24"/>
          <w:szCs w:val="24"/>
        </w:rPr>
        <w:fldChar w:fldCharType="begin" w:fldLock="1"/>
      </w:r>
      <w:r w:rsidR="0067184B">
        <w:rPr>
          <w:rFonts w:ascii="Arial" w:hAnsi="Arial" w:cs="Arial"/>
          <w:sz w:val="24"/>
          <w:szCs w:val="24"/>
        </w:rPr>
        <w:instrText>ADDIN CSL_CITATION {"citationItems":[{"id":"ITEM-1","itemData":{"author":[{"dropping-particle":"","family":"Mabukela","given":"Tlhompho","non-dropping-particle":"","parse-names":false,"suffix":""},{"dropping-particle":"","family":"Chelule","given":"Paul Kiprono","non-dropping-particle":"","parse-names":false,"suffix":""}],"id":"ITEM-1","issued":{"date-parts":[["2025"]]},"page":"1-18","title":"Nutrition and Development of Children in Foundational Learning Spaces in Johannesburg : A Cross-Sectional Study of Dietary Diversity and Nutritional Status","type":"article-journal"},"uris":["http://www.mendeley.com/documents/?uuid=ee704000-5a4b-4cba-8eb1-45c0832215fe","http://www.mendeley.com/documents/?uuid=fe407d6a-cc5e-4954-8c79-c56893e67300"]}],"mendeley":{"formattedCitation":"[37]","plainTextFormattedCitation":"[37]","previouslyFormattedCitation":"[36]"},"properties":{"noteIndex":0},"schema":"https://github.com/citation-style-language/schema/raw/master/csl-citation.json"}</w:instrText>
      </w:r>
      <w:r w:rsidRPr="004A02C3">
        <w:rPr>
          <w:rFonts w:ascii="Arial" w:hAnsi="Arial" w:cs="Arial"/>
          <w:sz w:val="24"/>
          <w:szCs w:val="24"/>
        </w:rPr>
        <w:fldChar w:fldCharType="separate"/>
      </w:r>
      <w:r w:rsidR="0067184B" w:rsidRPr="0067184B">
        <w:rPr>
          <w:rFonts w:ascii="Arial" w:hAnsi="Arial" w:cs="Arial"/>
          <w:noProof/>
          <w:sz w:val="24"/>
          <w:szCs w:val="24"/>
        </w:rPr>
        <w:t>[37]</w:t>
      </w:r>
      <w:r w:rsidRPr="004A02C3">
        <w:rPr>
          <w:rFonts w:ascii="Arial" w:hAnsi="Arial" w:cs="Arial"/>
          <w:sz w:val="24"/>
          <w:szCs w:val="24"/>
        </w:rPr>
        <w:fldChar w:fldCharType="end"/>
      </w:r>
      <w:r w:rsidRPr="004A02C3">
        <w:rPr>
          <w:rFonts w:ascii="Arial" w:hAnsi="Arial" w:cs="Arial"/>
          <w:sz w:val="24"/>
          <w:szCs w:val="24"/>
        </w:rPr>
        <w:fldChar w:fldCharType="begin" w:fldLock="1"/>
      </w:r>
      <w:r w:rsidR="0067184B">
        <w:rPr>
          <w:rFonts w:ascii="Arial" w:hAnsi="Arial" w:cs="Arial"/>
          <w:sz w:val="24"/>
          <w:szCs w:val="24"/>
        </w:rPr>
        <w:instrText>ADDIN CSL_CITATION {"citationItems":[{"id":"ITEM-1","itemData":{"DOI":"10.1016/j.cdnut.2023.100033","author":[{"dropping-particle":"De","family":"Bruyn","given":"Julia","non-dropping-particle":"","parse-names":false,"suffix":""},{"dropping-particle":"","family":"Wieringa","given":"Frank","non-dropping-particle":"","parse-names":false,"suffix":""}],"id":"ITEM-1","issue":"January","issued":{"date-parts":[["2023"]]},"title":"Exploring the Complementarity of Forti fi cation and Dietary Diversi fi cation to Combat Micronutrient De fi ciencies : A Scoping Review","type":"article-journal","volume":"7"},"uris":["http://www.mendeley.com/documents/?uuid=265eb549-769f-432a-9d80-0597956c93ca","http://www.mendeley.com/documents/?uuid=eaca698c-7e7a-4ee6-b7a8-451b5bfd06eb"]}],"mendeley":{"formattedCitation":"[38]","plainTextFormattedCitation":"[38]","previouslyFormattedCitation":"[37]"},"properties":{"noteIndex":0},"schema":"https://github.com/citation-style-language/schema/raw/master/csl-citation.json"}</w:instrText>
      </w:r>
      <w:r w:rsidRPr="004A02C3">
        <w:rPr>
          <w:rFonts w:ascii="Arial" w:hAnsi="Arial" w:cs="Arial"/>
          <w:sz w:val="24"/>
          <w:szCs w:val="24"/>
        </w:rPr>
        <w:fldChar w:fldCharType="separate"/>
      </w:r>
      <w:r w:rsidR="0067184B" w:rsidRPr="0067184B">
        <w:rPr>
          <w:rFonts w:ascii="Arial" w:hAnsi="Arial" w:cs="Arial"/>
          <w:noProof/>
          <w:sz w:val="24"/>
          <w:szCs w:val="24"/>
        </w:rPr>
        <w:t>[38]</w:t>
      </w:r>
      <w:r w:rsidRPr="004A02C3">
        <w:rPr>
          <w:rFonts w:ascii="Arial" w:hAnsi="Arial" w:cs="Arial"/>
          <w:sz w:val="24"/>
          <w:szCs w:val="24"/>
        </w:rPr>
        <w:fldChar w:fldCharType="end"/>
      </w:r>
      <w:r w:rsidR="00F61D00">
        <w:rPr>
          <w:rFonts w:ascii="Arial" w:hAnsi="Arial" w:cs="Arial"/>
          <w:sz w:val="24"/>
          <w:szCs w:val="24"/>
        </w:rPr>
        <w:t>.</w:t>
      </w:r>
      <w:r w:rsidRPr="004A02C3">
        <w:rPr>
          <w:rFonts w:ascii="Arial" w:hAnsi="Arial" w:cs="Arial"/>
          <w:sz w:val="24"/>
          <w:szCs w:val="24"/>
        </w:rPr>
        <w:t xml:space="preserve"> The persistence of malnutrition despite feeding frequency also echoes findings that nutrient quality and feeding practices are more influential than mere feeding frequency </w:t>
      </w:r>
      <w:r w:rsidRPr="004A02C3">
        <w:rPr>
          <w:rFonts w:ascii="Arial" w:hAnsi="Arial" w:cs="Arial"/>
          <w:sz w:val="24"/>
          <w:szCs w:val="24"/>
        </w:rPr>
        <w:fldChar w:fldCharType="begin" w:fldLock="1"/>
      </w:r>
      <w:r w:rsidR="0067184B">
        <w:rPr>
          <w:rFonts w:ascii="Arial" w:hAnsi="Arial" w:cs="Arial"/>
          <w:sz w:val="24"/>
          <w:szCs w:val="24"/>
        </w:rPr>
        <w:instrText>ADDIN CSL_CITATION {"citationItems":[{"id":"ITEM-1","itemData":{"DOI":"10.11648/j.jfns.20241201.11","author":[{"dropping-particle":"","family":"Muhimbula","given":"Happiness Samuel","non-dropping-particle":"","parse-names":false,"suffix":""}],"id":"ITEM-1","issue":"1","issued":{"date-parts":[["2024"]]},"page":"1-19","title":"Determinants of Child Undernutrition in Tanzania : Agriculture and Season Perspective : A Review","type":"article-journal","volume":"12"},"uris":["http://www.mendeley.com/documents/?uuid=929f0b9b-db2c-46a9-b9ff-71e8f7688e1b","http://www.mendeley.com/documents/?uuid=1afbb618-4127-4990-9d2a-eaef50c71569"]}],"mendeley":{"formattedCitation":"[39]","plainTextFormattedCitation":"[39]","previouslyFormattedCitation":"[38]"},"properties":{"noteIndex":0},"schema":"https://github.com/citation-style-language/schema/raw/master/csl-citation.json"}</w:instrText>
      </w:r>
      <w:r w:rsidRPr="004A02C3">
        <w:rPr>
          <w:rFonts w:ascii="Arial" w:hAnsi="Arial" w:cs="Arial"/>
          <w:sz w:val="24"/>
          <w:szCs w:val="24"/>
        </w:rPr>
        <w:fldChar w:fldCharType="separate"/>
      </w:r>
      <w:r w:rsidR="0067184B" w:rsidRPr="0067184B">
        <w:rPr>
          <w:rFonts w:ascii="Arial" w:hAnsi="Arial" w:cs="Arial"/>
          <w:noProof/>
          <w:sz w:val="24"/>
          <w:szCs w:val="24"/>
        </w:rPr>
        <w:t>[39]</w:t>
      </w:r>
      <w:r w:rsidRPr="004A02C3">
        <w:rPr>
          <w:rFonts w:ascii="Arial" w:hAnsi="Arial" w:cs="Arial"/>
          <w:sz w:val="24"/>
          <w:szCs w:val="24"/>
        </w:rPr>
        <w:fldChar w:fldCharType="end"/>
      </w:r>
      <w:r w:rsidRPr="004A02C3">
        <w:rPr>
          <w:rFonts w:ascii="Arial" w:hAnsi="Arial" w:cs="Arial"/>
          <w:sz w:val="24"/>
          <w:szCs w:val="24"/>
        </w:rPr>
        <w:t xml:space="preserve">.  </w:t>
      </w:r>
      <w:r w:rsidRPr="00F30213">
        <w:rPr>
          <w:rFonts w:ascii="Arial" w:hAnsi="Arial" w:cs="Arial"/>
          <w:sz w:val="24"/>
          <w:szCs w:val="24"/>
          <w:highlight w:val="yellow"/>
        </w:rPr>
        <w:t xml:space="preserve">This is not </w:t>
      </w:r>
      <w:r w:rsidR="00F61D00" w:rsidRPr="00F30213">
        <w:rPr>
          <w:rFonts w:ascii="Arial" w:hAnsi="Arial" w:cs="Arial"/>
          <w:sz w:val="24"/>
          <w:szCs w:val="24"/>
          <w:highlight w:val="yellow"/>
        </w:rPr>
        <w:t xml:space="preserve">aligned with one study </w:t>
      </w:r>
      <w:r w:rsidR="00F30213" w:rsidRPr="00F30213">
        <w:rPr>
          <w:rFonts w:ascii="Arial" w:hAnsi="Arial" w:cs="Arial"/>
          <w:sz w:val="24"/>
          <w:szCs w:val="24"/>
          <w:highlight w:val="yellow"/>
        </w:rPr>
        <w:t>conducted in Dar es Salaam that showed that exclusive breastfeeding, meal frequency, and dietary diversity were positively associated with nutrition status, while household size was negatively associated with nutrition status among under-five-year-olds</w:t>
      </w:r>
      <w:r w:rsidR="005D72DB">
        <w:rPr>
          <w:rFonts w:ascii="Arial" w:hAnsi="Arial" w:cs="Arial"/>
          <w:sz w:val="24"/>
          <w:szCs w:val="24"/>
        </w:rPr>
        <w:t xml:space="preserve"> </w:t>
      </w:r>
      <w:r w:rsidRPr="004A02C3">
        <w:rPr>
          <w:rFonts w:ascii="Arial" w:hAnsi="Arial" w:cs="Arial"/>
          <w:sz w:val="24"/>
          <w:szCs w:val="24"/>
        </w:rPr>
        <w:fldChar w:fldCharType="begin" w:fldLock="1"/>
      </w:r>
      <w:r w:rsidR="0067184B">
        <w:rPr>
          <w:rFonts w:ascii="Arial" w:hAnsi="Arial" w:cs="Arial"/>
          <w:sz w:val="24"/>
          <w:szCs w:val="24"/>
        </w:rPr>
        <w:instrText>ADDIN CSL_CITATION {"citationItems":[{"id":"ITEM-1","itemData":{"author":[{"dropping-particle":"","family":"Mbunda","given":"Kastory Abel","non-dropping-particle":"","parse-names":false,"suffix":""}],"id":"ITEM-1","issue":"1","issued":{"date-parts":[["2023"]]},"page":"1-5","title":"The influence of feeding practices on under five nutrition status in Mbinga district , Tanzania","type":"article-journal","volume":"10"},"uris":["http://www.mendeley.com/documents/?uuid=801a9e45-3510-4347-98fe-6d6afb96eb63","http://www.mendeley.com/documents/?uuid=54edbe98-0686-4165-8aaa-ffb27632ba43"]}],"mendeley":{"formattedCitation":"[40]","plainTextFormattedCitation":"[40]","previouslyFormattedCitation":"[39]"},"properties":{"noteIndex":0},"schema":"https://github.com/citation-style-language/schema/raw/master/csl-citation.json"}</w:instrText>
      </w:r>
      <w:r w:rsidRPr="004A02C3">
        <w:rPr>
          <w:rFonts w:ascii="Arial" w:hAnsi="Arial" w:cs="Arial"/>
          <w:sz w:val="24"/>
          <w:szCs w:val="24"/>
        </w:rPr>
        <w:fldChar w:fldCharType="separate"/>
      </w:r>
      <w:r w:rsidR="0067184B" w:rsidRPr="0067184B">
        <w:rPr>
          <w:rFonts w:ascii="Arial" w:hAnsi="Arial" w:cs="Arial"/>
          <w:noProof/>
          <w:sz w:val="24"/>
          <w:szCs w:val="24"/>
        </w:rPr>
        <w:t>[40]</w:t>
      </w:r>
      <w:r w:rsidRPr="004A02C3">
        <w:rPr>
          <w:rFonts w:ascii="Arial" w:hAnsi="Arial" w:cs="Arial"/>
          <w:sz w:val="24"/>
          <w:szCs w:val="24"/>
        </w:rPr>
        <w:fldChar w:fldCharType="end"/>
      </w:r>
      <w:r w:rsidR="005D72DB">
        <w:rPr>
          <w:rFonts w:ascii="Arial" w:hAnsi="Arial" w:cs="Arial"/>
          <w:sz w:val="24"/>
          <w:szCs w:val="24"/>
        </w:rPr>
        <w:t>.</w:t>
      </w:r>
    </w:p>
    <w:p w:rsidR="00F01DDE" w:rsidRPr="00320F50" w:rsidRDefault="00F01DDE" w:rsidP="00F01DDE">
      <w:pPr>
        <w:spacing w:line="360" w:lineRule="auto"/>
        <w:jc w:val="both"/>
        <w:rPr>
          <w:rFonts w:ascii="Arial" w:hAnsi="Arial" w:cs="Arial"/>
          <w:sz w:val="24"/>
          <w:szCs w:val="24"/>
        </w:rPr>
      </w:pPr>
      <w:r w:rsidRPr="00320F50">
        <w:rPr>
          <w:rFonts w:ascii="Arial" w:hAnsi="Arial" w:cs="Arial"/>
          <w:sz w:val="24"/>
          <w:szCs w:val="24"/>
        </w:rPr>
        <w:t xml:space="preserve">Conversely, the lack of significant association between receipt of nutrition education and malnutrition type contrasts with some studies that have demonstrated positive impacts of nutrition education interventions on reducing malnutrition prevalence, one study in Ghana in the </w:t>
      </w:r>
      <w:r w:rsidRPr="00320F50">
        <w:rPr>
          <w:rFonts w:ascii="Arial" w:hAnsi="Arial" w:cs="Arial"/>
          <w:sz w:val="24"/>
          <w:szCs w:val="24"/>
          <w:shd w:val="clear" w:color="auto" w:fill="FFFFFF"/>
        </w:rPr>
        <w:t>multivariable analysis, low maternal knowledge was associated with higher odds of malnutrition (AOR = 3.42; 95% CI: 1.88–6.21; p &lt; 0.001)</w:t>
      </w:r>
      <w:r w:rsidR="005D72DB">
        <w:rPr>
          <w:rFonts w:ascii="Arial" w:hAnsi="Arial" w:cs="Arial"/>
          <w:sz w:val="24"/>
          <w:szCs w:val="24"/>
          <w:shd w:val="clear" w:color="auto" w:fill="FFFFFF"/>
        </w:rPr>
        <w:t xml:space="preserve"> </w:t>
      </w:r>
      <w:r w:rsidRPr="00320F50">
        <w:rPr>
          <w:rFonts w:ascii="Arial" w:hAnsi="Arial" w:cs="Arial"/>
          <w:sz w:val="24"/>
          <w:szCs w:val="24"/>
          <w:shd w:val="clear" w:color="auto" w:fill="FFFFFF"/>
        </w:rPr>
        <w:fldChar w:fldCharType="begin" w:fldLock="1"/>
      </w:r>
      <w:r w:rsidR="0067184B">
        <w:rPr>
          <w:rFonts w:ascii="Arial" w:hAnsi="Arial" w:cs="Arial"/>
          <w:sz w:val="24"/>
          <w:szCs w:val="24"/>
          <w:shd w:val="clear" w:color="auto" w:fill="FFFFFF"/>
        </w:rPr>
        <w:instrText>ADDIN CSL_CITATION {"citationItems":[{"id":"ITEM-1","itemData":{"author":[{"dropping-particle":"","family":"Nyarko","given":"Rachael","non-dropping-particle":"","parse-names":false,"suffix":""},{"dropping-particle":"","family":"Kwabena","given":"Francis","non-dropping-particle":"","parse-names":false,"suffix":""},{"dropping-particle":"","family":"Patience","given":"Mary","non-dropping-particle":"","parse-names":false,"suffix":""},{"dropping-particle":"","family":"Peter","given":"Moses","non-dropping-particle":"","parse-names":false,"suffix":""},{"dropping-particle":"","family":"Ofoe","given":"Teye","non-dropping-particle":"","parse-names":false,"suffix":""},{"dropping-particle":"","family":"Ofori","given":"Selma","non-dropping-particle":"","parse-names":false,"suffix":""},{"dropping-particle":"","family":"Annan","given":"Vivian","non-dropping-particle":"","parse-names":false,"suffix":""},{"dropping-particle":"","family":"Munufie","given":"Esther","non-dropping-particle":"","parse-names":false,"suffix":""},{"dropping-particle":"","family":"Eduku","given":"Sabina","non-dropping-particle":"","parse-names":false,"suffix":""},{"dropping-particle":"","family":"Rashida","given":"Atrime","non-dropping-particle":"","parse-names":false,"suffix":""},{"dropping-particle":"","family":"Amponsah","given":"Mavis","non-dropping-particle":"","parse-names":false,"suffix":""},{"dropping-particle":"","family":"Gyamfi","given":"Stephanie","non-dropping-particle":"","parse-names":false,"suffix":""},{"dropping-particle":"","family":"Ibrahim","given":"Balanjima","non-dropping-particle":"","parse-names":false,"suffix":""},{"dropping-particle":"","family":"Abu","given":"Juliet","non-dropping-particle":"","parse-names":false,"suffix":""},{"dropping-particle":"","family":"Leticia","given":"Kyei","non-dropping-particle":"","parse-names":false,"suffix":""},{"dropping-particle":"","family":"Boahemaa","given":"Adu","non-dropping-particle":"","parse-names":false,"suffix":""},{"dropping-particle":"","family":"Mavis","given":"Ali","non-dropping-particle":"","parse-names":false,"suffix":""}],"id":"ITEM-1","issue":"1","issued":{"date-parts":[["2025"]]},"page":"311-322","title":"Relationship between Maternal Knowledge and Feeding Practices in Relation to Infant Malnutrition among Breastfeeding Women in Savannah Region of Ghana","type":"article-journal","volume":"8"},"uris":["http://www.mendeley.com/documents/?uuid=67f4198f-5544-41ac-a182-8d7d80472892","http://www.mendeley.com/documents/?uuid=912f04f6-bade-43b3-91a0-127e166d88ec"]}],"mendeley":{"formattedCitation":"[41]","plainTextFormattedCitation":"[41]","previouslyFormattedCitation":"[40]"},"properties":{"noteIndex":0},"schema":"https://github.com/citation-style-language/schema/raw/master/csl-citation.json"}</w:instrText>
      </w:r>
      <w:r w:rsidRPr="00320F50">
        <w:rPr>
          <w:rFonts w:ascii="Arial" w:hAnsi="Arial" w:cs="Arial"/>
          <w:sz w:val="24"/>
          <w:szCs w:val="24"/>
          <w:shd w:val="clear" w:color="auto" w:fill="FFFFFF"/>
        </w:rPr>
        <w:fldChar w:fldCharType="separate"/>
      </w:r>
      <w:r w:rsidR="0067184B" w:rsidRPr="0067184B">
        <w:rPr>
          <w:rFonts w:ascii="Arial" w:hAnsi="Arial" w:cs="Arial"/>
          <w:noProof/>
          <w:sz w:val="24"/>
          <w:szCs w:val="24"/>
          <w:shd w:val="clear" w:color="auto" w:fill="FFFFFF"/>
        </w:rPr>
        <w:t>[41]</w:t>
      </w:r>
      <w:r w:rsidRPr="00320F50">
        <w:rPr>
          <w:rFonts w:ascii="Arial" w:hAnsi="Arial" w:cs="Arial"/>
          <w:sz w:val="24"/>
          <w:szCs w:val="24"/>
          <w:shd w:val="clear" w:color="auto" w:fill="FFFFFF"/>
        </w:rPr>
        <w:fldChar w:fldCharType="end"/>
      </w:r>
      <w:r w:rsidRPr="00320F50">
        <w:rPr>
          <w:rFonts w:ascii="Arial" w:hAnsi="Arial" w:cs="Arial"/>
          <w:sz w:val="24"/>
          <w:szCs w:val="24"/>
        </w:rPr>
        <w:fldChar w:fldCharType="begin" w:fldLock="1"/>
      </w:r>
      <w:r w:rsidR="0067184B">
        <w:rPr>
          <w:rFonts w:ascii="Arial" w:hAnsi="Arial" w:cs="Arial"/>
          <w:sz w:val="24"/>
          <w:szCs w:val="24"/>
        </w:rPr>
        <w:instrText>ADDIN CSL_CITATION {"citationItems":[{"id":"ITEM-1","itemData":{"author":[{"dropping-particle":"","family":"Jard","given":"Cristina","non-dropping-particle":"","parse-names":false,"suffix":""},{"dropping-particle":"","family":"Casanova","given":"Byron David","non-dropping-particle":"","parse-names":false,"suffix":""},{"dropping-particle":"","family":"Arija","given":"Victoria","non-dropping-particle":"","parse-names":false,"suffix":""}],"id":"ITEM-1","issued":{"date-parts":[["2021"]]},"title":"Nutrition Education Programs Aimed at African Mothers of Infant Children : A Systematic Review","type":"article-journal"},"uris":["http://www.mendeley.com/documents/?uuid=4084a8ad-6e83-4ec5-a28b-885f4d87105a","http://www.mendeley.com/documents/?uuid=ef9d2f76-cabc-41ec-86aa-add9a3f007c6"]}],"mendeley":{"formattedCitation":"[42]","plainTextFormattedCitation":"[42]","previouslyFormattedCitation":"[41]"},"properties":{"noteIndex":0},"schema":"https://github.com/citation-style-language/schema/raw/master/csl-citation.json"}</w:instrText>
      </w:r>
      <w:r w:rsidRPr="00320F50">
        <w:rPr>
          <w:rFonts w:ascii="Arial" w:hAnsi="Arial" w:cs="Arial"/>
          <w:sz w:val="24"/>
          <w:szCs w:val="24"/>
        </w:rPr>
        <w:fldChar w:fldCharType="separate"/>
      </w:r>
      <w:r w:rsidR="0067184B" w:rsidRPr="0067184B">
        <w:rPr>
          <w:rFonts w:ascii="Arial" w:hAnsi="Arial" w:cs="Arial"/>
          <w:noProof/>
          <w:sz w:val="24"/>
          <w:szCs w:val="24"/>
        </w:rPr>
        <w:t>[42]</w:t>
      </w:r>
      <w:r w:rsidRPr="00320F50">
        <w:rPr>
          <w:rFonts w:ascii="Arial" w:hAnsi="Arial" w:cs="Arial"/>
          <w:sz w:val="24"/>
          <w:szCs w:val="24"/>
        </w:rPr>
        <w:fldChar w:fldCharType="end"/>
      </w:r>
      <w:r w:rsidRPr="00320F50">
        <w:rPr>
          <w:rFonts w:ascii="Arial" w:hAnsi="Arial" w:cs="Arial"/>
          <w:sz w:val="24"/>
          <w:szCs w:val="24"/>
        </w:rPr>
        <w:fldChar w:fldCharType="begin" w:fldLock="1"/>
      </w:r>
      <w:r w:rsidR="0067184B">
        <w:rPr>
          <w:rFonts w:ascii="Arial" w:hAnsi="Arial" w:cs="Arial"/>
          <w:sz w:val="24"/>
          <w:szCs w:val="24"/>
        </w:rPr>
        <w:instrText>ADDIN CSL_CITATION {"citationItems":[{"id":"ITEM-1","itemData":{"author":[{"dropping-particle":"","family":"Govender","given":"Indiran","non-dropping-particle":"","parse-names":false,"suffix":""},{"dropping-particle":"","family":"Rangiah","given":"Selvandran","non-dropping-particle":"","parse-names":false,"suffix":""},{"dropping-particle":"","family":"Kaswa","given":"Ramprakash","non-dropping-particle":"","parse-names":false,"suffix":""},{"dropping-particle":"","family":"Nzaumvila","given":"Doudou","non-dropping-particle":"","parse-names":false,"suffix":""},{"dropping-particle":"","family":"Makgatho","given":"Sefako","non-dropping-particle":"","parse-names":false,"suffix":""},{"dropping-particle":"","family":"Africa","given":"South","non-dropping-particle":"","parse-names":false,"suffix":""},{"dropping-particle":"","family":"Sisulu","given":"Walter","non-dropping-particle":"","parse-names":false,"suffix":""}],"id":"ITEM-1","issued":{"date-parts":[["2021"]]},"page":"1-6","title":"Malnutrition in children under the age of 5 years in a primary health care setting","type":"article-journal"},"uris":["http://www.mendeley.com/documents/?uuid=b16af0ef-c539-4004-8fbc-7a1787088e02","http://www.mendeley.com/documents/?uuid=304e921d-480f-4a51-a8c6-5f72f6cd52f8"]}],"mendeley":{"formattedCitation":"[43]","plainTextFormattedCitation":"[43]","previouslyFormattedCitation":"[42]"},"properties":{"noteIndex":0},"schema":"https://github.com/citation-style-language/schema/raw/master/csl-citation.json"}</w:instrText>
      </w:r>
      <w:r w:rsidRPr="00320F50">
        <w:rPr>
          <w:rFonts w:ascii="Arial" w:hAnsi="Arial" w:cs="Arial"/>
          <w:sz w:val="24"/>
          <w:szCs w:val="24"/>
        </w:rPr>
        <w:fldChar w:fldCharType="separate"/>
      </w:r>
      <w:r w:rsidR="0067184B" w:rsidRPr="0067184B">
        <w:rPr>
          <w:rFonts w:ascii="Arial" w:hAnsi="Arial" w:cs="Arial"/>
          <w:noProof/>
          <w:sz w:val="24"/>
          <w:szCs w:val="24"/>
        </w:rPr>
        <w:t>[43]</w:t>
      </w:r>
      <w:r w:rsidRPr="00320F50">
        <w:rPr>
          <w:rFonts w:ascii="Arial" w:hAnsi="Arial" w:cs="Arial"/>
          <w:sz w:val="24"/>
          <w:szCs w:val="24"/>
        </w:rPr>
        <w:fldChar w:fldCharType="end"/>
      </w:r>
      <w:r w:rsidRPr="00320F50">
        <w:rPr>
          <w:rFonts w:ascii="Arial" w:hAnsi="Arial" w:cs="Arial"/>
          <w:sz w:val="24"/>
          <w:szCs w:val="24"/>
        </w:rPr>
        <w:fldChar w:fldCharType="begin" w:fldLock="1"/>
      </w:r>
      <w:r w:rsidR="0067184B">
        <w:rPr>
          <w:rFonts w:ascii="Arial" w:hAnsi="Arial" w:cs="Arial"/>
          <w:sz w:val="24"/>
          <w:szCs w:val="24"/>
        </w:rPr>
        <w:instrText>ADDIN CSL_CITATION {"citationItems":[{"id":"ITEM-1","itemData":{"DOI":"10.4236/health.2022.147058","abstract":"Malnutrition is still a widespread public health problem worldwide. The ob-jective of this review is to identify the most effective nutrition programs used in the prevention and management of child malnutrition in children under five years. Also, it is to suggest courses of action to improve interventions in the fight against malnutrition. The promotion of exclusive breastfeeding and food diversification improves the mothers’ knowledge and contributes to prevention of malnutrition. Food supplementation increases the weight/height ratio of malnourished children. The two programs combined bring better results on mothers’ feeding practices and children’s anthropometric data. This review has highlighted the importance of food supplementation and nutritional education in the management and prevention of child malnutrition. In addition, the combination of several approaches to good dietary practices brings better results. Finally, primary prevention can protect children from the harmful consequences of malnutrition.","author":[{"dropping-particle":"","family":"Bougma","given":"Sibiri","non-dropping-particle":"","parse-names":false,"suffix":""},{"dropping-particle":"","family":"Hama-ba","given":"Fatoumata","non-dropping-particle":"","parse-names":false,"suffix":""},{"dropping-particle":"","family":"Garanet","given":"Franck","non-dropping-particle":"","parse-names":false,"suffix":""},{"dropping-particle":"","family":"Wendmintiri","given":"Arc","non-dropping-particle":"","parse-names":false,"suffix":""}],"id":"ITEM-1","issued":{"date-parts":[["2022"]]},"page":"810-831","title":"Impact of Health and Nutrition Interventions in the Prevention and Recovery of Child Malnutrition in Sub-Saharan Africa from 2010 to 2020 : Review Article","type":"article-journal"},"uris":["http://www.mendeley.com/documents/?uuid=28fbf75b-17cf-4f51-9cae-e5eacd992a41","http://www.mendeley.com/documents/?uuid=4e6244b0-145f-4b1d-bab0-150929cf714f"]}],"mendeley":{"formattedCitation":"[44]","plainTextFormattedCitation":"[44]","previouslyFormattedCitation":"[43]"},"properties":{"noteIndex":0},"schema":"https://github.com/citation-style-language/schema/raw/master/csl-citation.json"}</w:instrText>
      </w:r>
      <w:r w:rsidRPr="00320F50">
        <w:rPr>
          <w:rFonts w:ascii="Arial" w:hAnsi="Arial" w:cs="Arial"/>
          <w:sz w:val="24"/>
          <w:szCs w:val="24"/>
        </w:rPr>
        <w:fldChar w:fldCharType="separate"/>
      </w:r>
      <w:r w:rsidR="0067184B" w:rsidRPr="0067184B">
        <w:rPr>
          <w:rFonts w:ascii="Arial" w:hAnsi="Arial" w:cs="Arial"/>
          <w:noProof/>
          <w:sz w:val="24"/>
          <w:szCs w:val="24"/>
        </w:rPr>
        <w:t>[44]</w:t>
      </w:r>
      <w:r w:rsidRPr="00320F50">
        <w:rPr>
          <w:rFonts w:ascii="Arial" w:hAnsi="Arial" w:cs="Arial"/>
          <w:sz w:val="24"/>
          <w:szCs w:val="24"/>
        </w:rPr>
        <w:fldChar w:fldCharType="end"/>
      </w:r>
      <w:r w:rsidRPr="00320F50">
        <w:rPr>
          <w:rFonts w:ascii="Arial" w:hAnsi="Arial" w:cs="Arial"/>
          <w:sz w:val="24"/>
          <w:szCs w:val="24"/>
        </w:rPr>
        <w:t xml:space="preserve">. This discrepancy may reflect contextual differences in the content, delivery, or uptake of education programs, or limitations in caregiver recall and reporting. Similarly, the absence of significant relationships between malnutrition and infection </w:t>
      </w:r>
      <w:r w:rsidR="00F61D00">
        <w:rPr>
          <w:rFonts w:ascii="Arial" w:hAnsi="Arial" w:cs="Arial"/>
          <w:sz w:val="24"/>
          <w:szCs w:val="24"/>
        </w:rPr>
        <w:t xml:space="preserve">or breastfeeding frequency </w:t>
      </w:r>
      <w:r w:rsidR="00F61D00">
        <w:rPr>
          <w:rFonts w:ascii="Arial" w:hAnsi="Arial" w:cs="Arial"/>
          <w:sz w:val="24"/>
          <w:szCs w:val="24"/>
        </w:rPr>
        <w:lastRenderedPageBreak/>
        <w:t>diverges from findings that frequent infections and suboptimal breastfeeding patterns contribute to malnutrition risk</w:t>
      </w:r>
      <w:r w:rsidRPr="00320F50">
        <w:rPr>
          <w:rFonts w:ascii="Arial" w:hAnsi="Arial" w:cs="Arial"/>
          <w:sz w:val="24"/>
          <w:szCs w:val="24"/>
        </w:rPr>
        <w:t xml:space="preserve">.  </w:t>
      </w:r>
      <w:r w:rsidR="00F61D00">
        <w:rPr>
          <w:rFonts w:ascii="Arial" w:hAnsi="Arial" w:cs="Arial"/>
          <w:sz w:val="24"/>
          <w:szCs w:val="24"/>
        </w:rPr>
        <w:t>One</w:t>
      </w:r>
      <w:r w:rsidRPr="00320F50">
        <w:rPr>
          <w:rFonts w:ascii="Arial" w:hAnsi="Arial" w:cs="Arial"/>
          <w:sz w:val="24"/>
          <w:szCs w:val="24"/>
        </w:rPr>
        <w:t xml:space="preserve"> study done </w:t>
      </w:r>
      <w:r w:rsidR="00F61D00">
        <w:rPr>
          <w:rFonts w:ascii="Arial" w:hAnsi="Arial" w:cs="Arial"/>
          <w:sz w:val="24"/>
          <w:szCs w:val="24"/>
        </w:rPr>
        <w:t>in</w:t>
      </w:r>
      <w:r w:rsidRPr="00320F50">
        <w:rPr>
          <w:rFonts w:ascii="Arial" w:hAnsi="Arial" w:cs="Arial"/>
          <w:sz w:val="24"/>
          <w:szCs w:val="24"/>
        </w:rPr>
        <w:t xml:space="preserve"> Uganda that </w:t>
      </w:r>
      <w:r w:rsidR="005D72DB">
        <w:rPr>
          <w:rFonts w:ascii="Arial" w:hAnsi="Arial" w:cs="Arial"/>
          <w:sz w:val="24"/>
          <w:szCs w:val="24"/>
        </w:rPr>
        <w:t>included</w:t>
      </w:r>
      <w:r w:rsidRPr="00320F50">
        <w:rPr>
          <w:rFonts w:ascii="Arial" w:hAnsi="Arial" w:cs="Arial"/>
          <w:sz w:val="24"/>
          <w:szCs w:val="24"/>
        </w:rPr>
        <w:t xml:space="preserve"> </w:t>
      </w:r>
      <w:r w:rsidRPr="00320F50">
        <w:rPr>
          <w:rFonts w:ascii="Arial" w:hAnsi="Arial" w:cs="Arial"/>
          <w:sz w:val="24"/>
          <w:szCs w:val="24"/>
          <w:shd w:val="clear" w:color="auto" w:fill="FFFFFF"/>
        </w:rPr>
        <w:t>1850 children </w:t>
      </w:r>
      <w:r w:rsidR="00F61D00">
        <w:rPr>
          <w:rFonts w:ascii="Arial" w:hAnsi="Arial" w:cs="Arial"/>
          <w:sz w:val="24"/>
          <w:szCs w:val="24"/>
          <w:shd w:val="clear" w:color="auto" w:fill="FFFFFF"/>
        </w:rPr>
        <w:t>found</w:t>
      </w:r>
      <w:r w:rsidRPr="00320F50">
        <w:rPr>
          <w:rFonts w:ascii="Arial" w:hAnsi="Arial" w:cs="Arial"/>
          <w:sz w:val="24"/>
          <w:szCs w:val="24"/>
          <w:shd w:val="clear" w:color="auto" w:fill="FFFFFF"/>
        </w:rPr>
        <w:t xml:space="preserve"> increased odds of death in children with pneumonia, malaria, and diarrheal illness, respectively</w:t>
      </w:r>
      <w:r w:rsidR="00F61D00">
        <w:rPr>
          <w:rFonts w:ascii="Arial" w:hAnsi="Arial" w:cs="Arial"/>
          <w:sz w:val="24"/>
          <w:szCs w:val="24"/>
          <w:shd w:val="clear" w:color="auto" w:fill="FFFFFF"/>
        </w:rPr>
        <w:t>. They</w:t>
      </w:r>
      <w:r w:rsidRPr="00320F50">
        <w:rPr>
          <w:rFonts w:ascii="Arial" w:hAnsi="Arial" w:cs="Arial"/>
          <w:sz w:val="24"/>
          <w:szCs w:val="24"/>
          <w:shd w:val="clear" w:color="auto" w:fill="FFFFFF"/>
        </w:rPr>
        <w:t xml:space="preserve"> conclude that these data highlight systemic inflammation as a common pathway associated with malnutrition and infection </w:t>
      </w:r>
      <w:r w:rsidRPr="00320F50">
        <w:rPr>
          <w:rFonts w:ascii="Arial" w:hAnsi="Arial" w:cs="Arial"/>
          <w:sz w:val="24"/>
          <w:szCs w:val="24"/>
          <w:shd w:val="clear" w:color="auto" w:fill="FFFFFF"/>
        </w:rPr>
        <w:fldChar w:fldCharType="begin" w:fldLock="1"/>
      </w:r>
      <w:r w:rsidR="0067184B">
        <w:rPr>
          <w:rFonts w:ascii="Arial" w:hAnsi="Arial" w:cs="Arial"/>
          <w:sz w:val="24"/>
          <w:szCs w:val="24"/>
          <w:shd w:val="clear" w:color="auto" w:fill="FFFFFF"/>
        </w:rPr>
        <w:instrText>ADDIN CSL_CITATION {"citationItems":[{"id":"ITEM-1","itemData":{"DOI":"10.1016/j.ebiom.2023.104721","ISSN":"2352-3964","author":[{"dropping-particle":"","family":"Weckman","given":"Andrea M","non-dropping-particle":"","parse-names":false,"suffix":""},{"dropping-particle":"","family":"Mcdonald","given":"Chloe R","non-dropping-particle":"","parse-names":false,"suffix":""},{"dropping-particle":"","family":"Ngai","given":"Michelle","non-dropping-particle":"","parse-names":false,"suffix":""},{"dropping-particle":"","family":"Richard-greenblatt","given":"Melissa","non-dropping-particle":"","parse-names":false,"suffix":""},{"dropping-particle":"","family":"Leligdowicz","given":"Aleksandra","non-dropping-particle":"","parse-names":false,"suffix":""},{"dropping-particle":"","family":"Conroy","given":"Andrea L","non-dropping-particle":"","parse-names":false,"suffix":""}],"container-title":"eBioMedicine","id":"ITEM-1","issued":{"date-parts":[["2023"]]},"page":"104721","publisher":"The Authors","title":"Articles In fl ammatory pro fi les in febrile children with moderate and severe malnutrition presenting at-hospital in Uganda are associated with increased mortality","type":"article-journal","volume":"94"},"uris":["http://www.mendeley.com/documents/?uuid=1da44816-fcaf-4043-8cc0-3912f2e7fed2","http://www.mendeley.com/documents/?uuid=e5f5d5dd-42b1-48e4-8048-268919cec6dc"]}],"mendeley":{"formattedCitation":"[45]","plainTextFormattedCitation":"[45]","previouslyFormattedCitation":"[44]"},"properties":{"noteIndex":0},"schema":"https://github.com/citation-style-language/schema/raw/master/csl-citation.json"}</w:instrText>
      </w:r>
      <w:r w:rsidRPr="00320F50">
        <w:rPr>
          <w:rFonts w:ascii="Arial" w:hAnsi="Arial" w:cs="Arial"/>
          <w:sz w:val="24"/>
          <w:szCs w:val="24"/>
          <w:shd w:val="clear" w:color="auto" w:fill="FFFFFF"/>
        </w:rPr>
        <w:fldChar w:fldCharType="separate"/>
      </w:r>
      <w:r w:rsidR="0067184B" w:rsidRPr="0067184B">
        <w:rPr>
          <w:rFonts w:ascii="Arial" w:hAnsi="Arial" w:cs="Arial"/>
          <w:noProof/>
          <w:sz w:val="24"/>
          <w:szCs w:val="24"/>
          <w:shd w:val="clear" w:color="auto" w:fill="FFFFFF"/>
        </w:rPr>
        <w:t>[45]</w:t>
      </w:r>
      <w:r w:rsidRPr="00320F50">
        <w:rPr>
          <w:rFonts w:ascii="Arial" w:hAnsi="Arial" w:cs="Arial"/>
          <w:sz w:val="24"/>
          <w:szCs w:val="24"/>
          <w:shd w:val="clear" w:color="auto" w:fill="FFFFFF"/>
        </w:rPr>
        <w:fldChar w:fldCharType="end"/>
      </w:r>
      <w:r w:rsidR="00A62D47">
        <w:rPr>
          <w:rFonts w:ascii="Arial" w:hAnsi="Arial" w:cs="Arial"/>
          <w:sz w:val="24"/>
          <w:szCs w:val="24"/>
          <w:shd w:val="clear" w:color="auto" w:fill="FFFFFF"/>
        </w:rPr>
        <w:fldChar w:fldCharType="begin" w:fldLock="1"/>
      </w:r>
      <w:r w:rsidR="0067184B">
        <w:rPr>
          <w:rFonts w:ascii="Arial" w:hAnsi="Arial" w:cs="Arial"/>
          <w:sz w:val="24"/>
          <w:szCs w:val="24"/>
          <w:shd w:val="clear" w:color="auto" w:fill="FFFFFF"/>
        </w:rPr>
        <w:instrText>ADDIN CSL_CITATION {"citationItems":[{"id":"ITEM-1","itemData":{"DOI":"10.3390/nu17091479","ISSN":"20726643","PMID":"40362788","abstract":"Undernutrition affects thousands of children under five years old worldwide, and various factors are related to its onset, among which we highlight enteric infections and gastrointestinal barrier dysfunction. The cycle of intestinal infections and undernutrition has long-term consequences, such as cognitive deficits, poor growth, and metabolic diseases in adulthood. This review explores factors linked to childhood undernutrition, focusing on intestinal infections and markers of intestinal permeability that affect child development. This narrative review was conducted using Medline/PubMed, Web of Science, and Scopus, from July 2024 to March 2025. Studies involving children under five years old and addressing undernutrition, intestinal infections, or intestinal permeability markers were included. Exclusion criteria comprised studies without therapeutic focus, and books, case reports, or academic theses. No language restrictions were applied, and registration on global platforms was not required. Overall, the studies reported a close relationship between enteric pathogens, diarrheal and non-diarrheal stools, and undernutrition. Among the pathogens most frequently found in the feces of malnourished children were Shigella, enterotoxigenic Escherichia coli, enteroaggregative E. coli (EAEC), and Cryptosporidium. The studies also showed the relationship between gastrointestinal barrier function and undernutrition, with the deterioration of nutrient absorption and, consequently, repercussions on development, linear growth, and weight in children. Although the studies analyzed had different designs and heterogeneity in the age range of the studied children, it was possible to observe the relationship between the infection/undernutrition cycle. Future studies should optimize personalized nutrient-based therapies, assess long-term effects on gut health and growth, and explore the gut microbiome’s role in enteric infection susceptibility and undernutrition.","author":[{"dropping-particle":"","family":"Carvalho","given":"Maria Clara da Cruz","non-dropping-particle":"","parse-names":false,"suffix":""},{"dropping-particle":"","family":"Ribeiro","given":"Samilly Albuquerque","non-dropping-particle":"","parse-names":false,"suffix":""},{"dropping-particle":"","family":"Sousa","given":"Lélia Sales","non-dropping-particle":"de","parse-names":false,"suffix":""},{"dropping-particle":"","family":"Lima","given":"Aldo Ângelo Moreira","non-dropping-particle":"","parse-names":false,"suffix":""},{"dropping-particle":"","family":"Maciel","given":"Bruna Leal Lima","non-dropping-particle":"","parse-names":false,"suffix":""}],"container-title":"Nutrients ","id":"ITEM-1","issue":"9","issued":{"date-parts":[["2025"]]},"title":"Undernutrition and Intestinal Infections in Children: A Narrative Review","type":"article-journal","volume":"17"},"uris":["http://www.mendeley.com/documents/?uuid=680c699a-d19f-4d32-b422-4dd7c624cb28"]}],"mendeley":{"formattedCitation":"[46]","plainTextFormattedCitation":"[46]","previouslyFormattedCitation":"[45]"},"properties":{"noteIndex":0},"schema":"https://github.com/citation-style-language/schema/raw/master/csl-citation.json"}</w:instrText>
      </w:r>
      <w:r w:rsidR="00A62D47">
        <w:rPr>
          <w:rFonts w:ascii="Arial" w:hAnsi="Arial" w:cs="Arial"/>
          <w:sz w:val="24"/>
          <w:szCs w:val="24"/>
          <w:shd w:val="clear" w:color="auto" w:fill="FFFFFF"/>
        </w:rPr>
        <w:fldChar w:fldCharType="separate"/>
      </w:r>
      <w:r w:rsidR="0067184B" w:rsidRPr="0067184B">
        <w:rPr>
          <w:rFonts w:ascii="Arial" w:hAnsi="Arial" w:cs="Arial"/>
          <w:noProof/>
          <w:sz w:val="24"/>
          <w:szCs w:val="24"/>
          <w:shd w:val="clear" w:color="auto" w:fill="FFFFFF"/>
        </w:rPr>
        <w:t>[46]</w:t>
      </w:r>
      <w:r w:rsidR="00A62D47">
        <w:rPr>
          <w:rFonts w:ascii="Arial" w:hAnsi="Arial" w:cs="Arial"/>
          <w:sz w:val="24"/>
          <w:szCs w:val="24"/>
          <w:shd w:val="clear" w:color="auto" w:fill="FFFFFF"/>
        </w:rPr>
        <w:fldChar w:fldCharType="end"/>
      </w:r>
      <w:r w:rsidR="00F61D00">
        <w:rPr>
          <w:rFonts w:ascii="Arial" w:hAnsi="Arial" w:cs="Arial"/>
          <w:sz w:val="24"/>
          <w:szCs w:val="24"/>
          <w:shd w:val="clear" w:color="auto" w:fill="FFFFFF"/>
        </w:rPr>
        <w:t xml:space="preserve">. </w:t>
      </w:r>
      <w:r w:rsidRPr="00320F50">
        <w:rPr>
          <w:rFonts w:ascii="Arial" w:hAnsi="Arial" w:cs="Arial"/>
          <w:sz w:val="24"/>
          <w:szCs w:val="24"/>
        </w:rPr>
        <w:t>These differences may be attributable to sample size, measurement methods, or local epidemiological factors in Zanzibar.</w:t>
      </w:r>
    </w:p>
    <w:p w:rsidR="00F01DDE" w:rsidRPr="00320F50" w:rsidRDefault="00F01DDE" w:rsidP="00F01DDE">
      <w:pPr>
        <w:spacing w:line="360" w:lineRule="auto"/>
        <w:jc w:val="both"/>
        <w:rPr>
          <w:rFonts w:ascii="Arial" w:hAnsi="Arial" w:cs="Arial"/>
          <w:sz w:val="24"/>
          <w:szCs w:val="24"/>
        </w:rPr>
      </w:pPr>
      <w:r w:rsidRPr="00320F50">
        <w:rPr>
          <w:rFonts w:ascii="Arial" w:hAnsi="Arial" w:cs="Arial"/>
          <w:sz w:val="24"/>
          <w:szCs w:val="24"/>
        </w:rPr>
        <w:t xml:space="preserve">Overall, this study reinforces the importance of targeted nutrition education </w:t>
      </w:r>
      <w:r w:rsidR="00F61D00">
        <w:rPr>
          <w:rFonts w:ascii="Arial" w:hAnsi="Arial" w:cs="Arial"/>
          <w:sz w:val="24"/>
          <w:szCs w:val="24"/>
        </w:rPr>
        <w:t>focused on exclusive breastfeeding and the quality of complementary feeding</w:t>
      </w:r>
      <w:r w:rsidRPr="00320F50">
        <w:rPr>
          <w:rFonts w:ascii="Arial" w:hAnsi="Arial" w:cs="Arial"/>
          <w:sz w:val="24"/>
          <w:szCs w:val="24"/>
        </w:rPr>
        <w:t>, while highlighting the need to evaluate and enhance the effectiveness of existing educational interventions.</w:t>
      </w:r>
    </w:p>
    <w:p w:rsidR="00F01DDE" w:rsidRPr="00410C5A" w:rsidRDefault="00F01DDE" w:rsidP="00F01DDE">
      <w:pPr>
        <w:spacing w:line="360" w:lineRule="auto"/>
        <w:jc w:val="both"/>
        <w:rPr>
          <w:rFonts w:ascii="Arial" w:hAnsi="Arial" w:cs="Arial"/>
          <w:color w:val="FF0000"/>
          <w:sz w:val="24"/>
          <w:szCs w:val="24"/>
        </w:rPr>
      </w:pPr>
      <w:r w:rsidRPr="00DD17E5">
        <w:rPr>
          <w:rStyle w:val="Strong"/>
          <w:rFonts w:ascii="Arial" w:hAnsi="Arial" w:cs="Arial"/>
          <w:b w:val="0"/>
          <w:sz w:val="24"/>
          <w:szCs w:val="24"/>
        </w:rPr>
        <w:t>Limitations:</w:t>
      </w:r>
      <w:r w:rsidRPr="00410C5A">
        <w:rPr>
          <w:rFonts w:ascii="Arial" w:hAnsi="Arial" w:cs="Arial"/>
          <w:sz w:val="24"/>
          <w:szCs w:val="24"/>
        </w:rPr>
        <w:br/>
        <w:t xml:space="preserve">This study has several limitations that should be considered when interpreting the findings. First, its cross-sectional design limits the ability to establish causal relationships between caregiver knowledge, feeding practices, and child malnutrition outcomes. Second, the study relied on self-reported information, which may be subject to recall bias or social desirability bias, potentially affecting the accuracy of responses regarding feeding practices and past malnutrition diagnoses. Third, the sample size was relatively small and drawn </w:t>
      </w:r>
      <w:r w:rsidRPr="00F30213">
        <w:rPr>
          <w:rFonts w:ascii="Arial" w:hAnsi="Arial" w:cs="Arial"/>
          <w:sz w:val="24"/>
          <w:szCs w:val="24"/>
          <w:highlight w:val="yellow"/>
        </w:rPr>
        <w:t>from a single healthcare facility</w:t>
      </w:r>
      <w:r w:rsidR="00F30213" w:rsidRPr="00F30213">
        <w:rPr>
          <w:rFonts w:ascii="Arial" w:hAnsi="Arial" w:cs="Arial"/>
          <w:sz w:val="24"/>
          <w:szCs w:val="24"/>
          <w:highlight w:val="yellow"/>
        </w:rPr>
        <w:t xml:space="preserve"> rather than</w:t>
      </w:r>
      <w:r w:rsidR="00D5011F" w:rsidRPr="00F30213">
        <w:rPr>
          <w:rFonts w:ascii="Arial" w:hAnsi="Arial" w:cs="Arial"/>
          <w:sz w:val="24"/>
          <w:szCs w:val="24"/>
          <w:highlight w:val="yellow"/>
        </w:rPr>
        <w:t xml:space="preserve"> the </w:t>
      </w:r>
      <w:r w:rsidR="00D5011F" w:rsidRPr="00D5011F">
        <w:rPr>
          <w:rFonts w:ascii="Arial" w:hAnsi="Arial" w:cs="Arial"/>
          <w:sz w:val="24"/>
          <w:szCs w:val="24"/>
          <w:highlight w:val="yellow"/>
        </w:rPr>
        <w:t>community</w:t>
      </w:r>
      <w:r w:rsidR="00F30213">
        <w:rPr>
          <w:rFonts w:ascii="Arial" w:hAnsi="Arial" w:cs="Arial"/>
          <w:sz w:val="24"/>
          <w:szCs w:val="24"/>
          <w:highlight w:val="yellow"/>
        </w:rPr>
        <w:t xml:space="preserve">, </w:t>
      </w:r>
      <w:r w:rsidRPr="00D5011F">
        <w:rPr>
          <w:rFonts w:ascii="Arial" w:hAnsi="Arial" w:cs="Arial"/>
          <w:sz w:val="24"/>
          <w:szCs w:val="24"/>
          <w:highlight w:val="yellow"/>
        </w:rPr>
        <w:t>which may limit the generalizability of the results to broader populations or other settings</w:t>
      </w:r>
      <w:r w:rsidRPr="00410C5A">
        <w:rPr>
          <w:rFonts w:ascii="Arial" w:hAnsi="Arial" w:cs="Arial"/>
          <w:sz w:val="24"/>
          <w:szCs w:val="24"/>
        </w:rPr>
        <w:t>. Additionally, the study did not assess dietary intake quantitatively or account for other house</w:t>
      </w:r>
      <w:r>
        <w:rPr>
          <w:rFonts w:ascii="Arial" w:hAnsi="Arial" w:cs="Arial"/>
          <w:sz w:val="24"/>
          <w:szCs w:val="24"/>
        </w:rPr>
        <w:t xml:space="preserve">hold-level factors </w:t>
      </w:r>
      <w:r w:rsidRPr="00410C5A">
        <w:rPr>
          <w:rFonts w:ascii="Arial" w:hAnsi="Arial" w:cs="Arial"/>
          <w:sz w:val="24"/>
          <w:szCs w:val="24"/>
        </w:rPr>
        <w:t>such as food security, caregiving dyna</w:t>
      </w:r>
      <w:r>
        <w:rPr>
          <w:rFonts w:ascii="Arial" w:hAnsi="Arial" w:cs="Arial"/>
          <w:sz w:val="24"/>
          <w:szCs w:val="24"/>
        </w:rPr>
        <w:t xml:space="preserve">mics, or cultural feeding norms </w:t>
      </w:r>
      <w:r w:rsidRPr="00410C5A">
        <w:rPr>
          <w:rFonts w:ascii="Arial" w:hAnsi="Arial" w:cs="Arial"/>
          <w:sz w:val="24"/>
          <w:szCs w:val="24"/>
        </w:rPr>
        <w:t>that may influence child nutrition. Future research using larger, more diverse samples and longitudinal designs would help strengthen the evidence and provide a more comprehensive understanding of caregiver-related determinants of malnutrition</w:t>
      </w:r>
      <w:r>
        <w:rPr>
          <w:rFonts w:ascii="Arial" w:hAnsi="Arial" w:cs="Arial"/>
          <w:sz w:val="24"/>
          <w:szCs w:val="24"/>
        </w:rPr>
        <w:t>.</w:t>
      </w:r>
    </w:p>
    <w:p w:rsidR="00F01DDE" w:rsidRPr="00410C5A" w:rsidRDefault="00F01DDE" w:rsidP="00F01DDE">
      <w:pPr>
        <w:pStyle w:val="Heading2"/>
        <w:rPr>
          <w:rFonts w:ascii="Arial" w:hAnsi="Arial" w:cs="Arial"/>
          <w:color w:val="auto"/>
          <w:sz w:val="24"/>
          <w:szCs w:val="24"/>
          <w:lang w:eastAsia="en-US"/>
        </w:rPr>
      </w:pPr>
      <w:r w:rsidRPr="00410C5A">
        <w:rPr>
          <w:rStyle w:val="Strong"/>
          <w:rFonts w:ascii="Arial" w:hAnsi="Arial" w:cs="Arial"/>
          <w:b w:val="0"/>
          <w:bCs w:val="0"/>
          <w:color w:val="auto"/>
          <w:sz w:val="24"/>
          <w:szCs w:val="24"/>
        </w:rPr>
        <w:t>Conclusion</w:t>
      </w:r>
    </w:p>
    <w:p w:rsidR="00F01DDE" w:rsidRPr="004A02C3" w:rsidRDefault="00F01DDE" w:rsidP="00F01DDE">
      <w:pPr>
        <w:pStyle w:val="NormalWeb"/>
        <w:spacing w:line="360" w:lineRule="auto"/>
        <w:jc w:val="both"/>
        <w:rPr>
          <w:rFonts w:ascii="Arial" w:hAnsi="Arial" w:cs="Arial"/>
        </w:rPr>
      </w:pPr>
      <w:r w:rsidRPr="00F30213">
        <w:rPr>
          <w:rFonts w:ascii="Arial" w:hAnsi="Arial" w:cs="Arial"/>
          <w:highlight w:val="yellow"/>
        </w:rPr>
        <w:t xml:space="preserve">This study reveals that a substantial proportion of caregivers </w:t>
      </w:r>
      <w:r w:rsidR="00F30213" w:rsidRPr="00F30213">
        <w:rPr>
          <w:rFonts w:ascii="Arial" w:hAnsi="Arial" w:cs="Arial"/>
          <w:highlight w:val="yellow"/>
        </w:rPr>
        <w:t>have limited knowledge of optimal child-feeding practices</w:t>
      </w:r>
      <w:r w:rsidR="00F30213">
        <w:rPr>
          <w:rFonts w:ascii="Arial" w:hAnsi="Arial" w:cs="Arial"/>
        </w:rPr>
        <w:t xml:space="preserve">, and many are </w:t>
      </w:r>
      <w:r w:rsidRPr="004A02C3">
        <w:rPr>
          <w:rFonts w:ascii="Arial" w:hAnsi="Arial" w:cs="Arial"/>
        </w:rPr>
        <w:t xml:space="preserve">constrained by both informational and financial barriers. Although some caregivers demonstrated appropriate breastfeeding and complementary feeding </w:t>
      </w:r>
      <w:proofErr w:type="spellStart"/>
      <w:r w:rsidR="00F61D00">
        <w:rPr>
          <w:rFonts w:ascii="Arial" w:hAnsi="Arial" w:cs="Arial"/>
        </w:rPr>
        <w:t>behaviours</w:t>
      </w:r>
      <w:proofErr w:type="spellEnd"/>
      <w:r w:rsidR="00F61D00">
        <w:rPr>
          <w:rFonts w:ascii="Arial" w:hAnsi="Arial" w:cs="Arial"/>
        </w:rPr>
        <w:t xml:space="preserve">, notable gaps persist, </w:t>
      </w:r>
      <w:r w:rsidRPr="004A02C3">
        <w:rPr>
          <w:rFonts w:ascii="Arial" w:hAnsi="Arial" w:cs="Arial"/>
        </w:rPr>
        <w:t xml:space="preserve">particularly regarding the </w:t>
      </w:r>
      <w:r w:rsidRPr="004A02C3">
        <w:rPr>
          <w:rFonts w:ascii="Arial" w:hAnsi="Arial" w:cs="Arial"/>
        </w:rPr>
        <w:lastRenderedPageBreak/>
        <w:t>recommended timing, diversity, and nutritional value of complementary foods. Limited access to nutrition education further compounds these deficiencies and may contribute to the continued risk of malnutrition among children under five years.</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 xml:space="preserve">Despite these challenges, </w:t>
      </w:r>
      <w:r>
        <w:rPr>
          <w:rFonts w:ascii="Arial" w:hAnsi="Arial" w:cs="Arial"/>
        </w:rPr>
        <w:t xml:space="preserve">caregivers' strong willingness </w:t>
      </w:r>
      <w:r w:rsidRPr="004A02C3">
        <w:rPr>
          <w:rFonts w:ascii="Arial" w:hAnsi="Arial" w:cs="Arial"/>
        </w:rPr>
        <w:t>to engage in nutrition training offers a promising avenue for intervention. Strengthening targeted educational initiatives, alongside addressing structural and socioeconomic barriers, has the potential to significantly enhance child feeding practices. By closing these knowledge gaps and mitigating commonly faced obstacles, meaningful progress can be made toward reducing malnutrition and improving the overall health and well-being of young children in the community.</w:t>
      </w:r>
    </w:p>
    <w:p w:rsidR="00F01DDE" w:rsidRPr="004A02C3" w:rsidRDefault="00F01DDE" w:rsidP="00F01DDE">
      <w:pPr>
        <w:spacing w:line="360" w:lineRule="auto"/>
        <w:jc w:val="both"/>
        <w:rPr>
          <w:rFonts w:ascii="Arial" w:hAnsi="Arial" w:cs="Arial"/>
          <w:sz w:val="24"/>
          <w:szCs w:val="24"/>
        </w:rPr>
      </w:pPr>
    </w:p>
    <w:p w:rsidR="00F01DDE" w:rsidRPr="00410C5A" w:rsidRDefault="00F01DDE" w:rsidP="00F01DDE">
      <w:pPr>
        <w:pStyle w:val="Heading2"/>
        <w:spacing w:line="360" w:lineRule="auto"/>
        <w:jc w:val="both"/>
        <w:rPr>
          <w:rFonts w:ascii="Arial" w:hAnsi="Arial" w:cs="Arial"/>
          <w:color w:val="auto"/>
          <w:sz w:val="24"/>
          <w:szCs w:val="24"/>
        </w:rPr>
      </w:pPr>
      <w:r w:rsidRPr="00410C5A">
        <w:rPr>
          <w:rStyle w:val="Strong"/>
          <w:rFonts w:ascii="Arial" w:hAnsi="Arial" w:cs="Arial"/>
          <w:b w:val="0"/>
          <w:bCs w:val="0"/>
          <w:color w:val="auto"/>
          <w:sz w:val="24"/>
          <w:szCs w:val="24"/>
        </w:rPr>
        <w:t>Recommendations</w:t>
      </w:r>
    </w:p>
    <w:p w:rsidR="00F01DDE" w:rsidRPr="004A02C3" w:rsidRDefault="00F01DDE" w:rsidP="00F01DDE">
      <w:pPr>
        <w:pStyle w:val="NormalWeb"/>
        <w:spacing w:line="360" w:lineRule="auto"/>
        <w:jc w:val="both"/>
        <w:rPr>
          <w:rFonts w:ascii="Arial" w:hAnsi="Arial" w:cs="Arial"/>
        </w:rPr>
      </w:pPr>
      <w:r w:rsidRPr="004A02C3">
        <w:rPr>
          <w:rFonts w:ascii="Arial" w:hAnsi="Arial" w:cs="Arial"/>
        </w:rPr>
        <w:t>Health authorities and relevant stakeholders should implement sustained, structured nutrition education programs tailored to caregi</w:t>
      </w:r>
      <w:r w:rsidR="00F61D00">
        <w:rPr>
          <w:rFonts w:ascii="Arial" w:hAnsi="Arial" w:cs="Arial"/>
        </w:rPr>
        <w:t xml:space="preserve">vers, particularly mothers </w:t>
      </w:r>
      <w:r w:rsidRPr="004A02C3">
        <w:rPr>
          <w:rFonts w:ascii="Arial" w:hAnsi="Arial" w:cs="Arial"/>
        </w:rPr>
        <w:t>of children under five. These programs should emphasize correct breastfeeding practices, appropriate timing of complementary feeding, and the selection of diverse, nutrient-dense foods to support healthy child growth. Special attention should be given to caregivers with limited formal education or those who explicitly cite inadequate knowledge as a barrier.</w:t>
      </w:r>
    </w:p>
    <w:p w:rsidR="00F01DDE" w:rsidRDefault="00F01DDE" w:rsidP="00F01DDE">
      <w:pPr>
        <w:pStyle w:val="NormalWeb"/>
        <w:spacing w:line="360" w:lineRule="auto"/>
        <w:rPr>
          <w:rFonts w:ascii="Arial" w:hAnsi="Arial" w:cs="Arial"/>
        </w:rPr>
      </w:pPr>
      <w:r w:rsidRPr="004A02C3">
        <w:rPr>
          <w:rFonts w:ascii="Arial" w:hAnsi="Arial" w:cs="Arial"/>
        </w:rPr>
        <w:t>Addressing financial and accessibility constraints is equally essential. Com</w:t>
      </w:r>
      <w:r w:rsidR="00F61D00">
        <w:rPr>
          <w:rFonts w:ascii="Arial" w:hAnsi="Arial" w:cs="Arial"/>
        </w:rPr>
        <w:t xml:space="preserve">munity-based support mechanisms, such as local nutrition counselling hubs, caregiver support groups, and household-level assistance, </w:t>
      </w:r>
      <w:r w:rsidRPr="004A02C3">
        <w:rPr>
          <w:rFonts w:ascii="Arial" w:hAnsi="Arial" w:cs="Arial"/>
        </w:rPr>
        <w:t>can help mitigate these challenges. Policies aimed at subsidizing nutritious foods, strengthening food security, and improving access to child nutrition counselling within primary healthcare services would further empower caregivers. Reinforcing these areas is critical for reducing malnutrition risk among children under five and advancing child health outcomes at the community level.</w:t>
      </w:r>
    </w:p>
    <w:p w:rsidR="00181B00" w:rsidRPr="00EC0B50" w:rsidRDefault="00181B00" w:rsidP="00181B00">
      <w:pPr>
        <w:spacing w:before="100" w:beforeAutospacing="1" w:after="100" w:afterAutospacing="1"/>
        <w:outlineLvl w:val="4"/>
        <w:rPr>
          <w:rFonts w:ascii="Times New Roman" w:eastAsia="Times New Roman" w:hAnsi="Times New Roman"/>
          <w:b/>
          <w:bCs/>
          <w:sz w:val="24"/>
          <w:szCs w:val="24"/>
        </w:rPr>
      </w:pPr>
      <w:r w:rsidRPr="00EC0B50">
        <w:rPr>
          <w:rFonts w:ascii="Times New Roman" w:eastAsia="Times New Roman" w:hAnsi="Times New Roman"/>
          <w:b/>
          <w:bCs/>
          <w:sz w:val="24"/>
          <w:szCs w:val="24"/>
        </w:rPr>
        <w:t>Availability of Data and Materials</w:t>
      </w:r>
    </w:p>
    <w:p w:rsidR="00181B00" w:rsidRPr="00EC0B50" w:rsidRDefault="00181B00" w:rsidP="00181B00">
      <w:pPr>
        <w:spacing w:before="100" w:beforeAutospacing="1" w:after="100" w:afterAutospacing="1"/>
        <w:rPr>
          <w:rFonts w:ascii="Times New Roman" w:eastAsia="Times New Roman" w:hAnsi="Times New Roman"/>
          <w:sz w:val="24"/>
          <w:szCs w:val="24"/>
        </w:rPr>
      </w:pPr>
      <w:r>
        <w:rPr>
          <w:rFonts w:ascii="Times New Roman" w:eastAsia="Times New Roman" w:hAnsi="Times New Roman"/>
          <w:sz w:val="24"/>
          <w:szCs w:val="24"/>
        </w:rPr>
        <w:t>T</w:t>
      </w:r>
      <w:r>
        <w:rPr>
          <w:rFonts w:ascii="Arial" w:hAnsi="Arial" w:cs="Arial"/>
          <w:color w:val="1C1C1C"/>
          <w:sz w:val="21"/>
          <w:szCs w:val="21"/>
          <w:shd w:val="clear" w:color="auto" w:fill="FFFFFF"/>
        </w:rPr>
        <w:t>he data from this study can be obtained from the corresponding author upon a reasonable request</w:t>
      </w:r>
    </w:p>
    <w:p w:rsidR="00181B00" w:rsidRPr="00EC0B50" w:rsidRDefault="00701989" w:rsidP="00181B00">
      <w:pPr>
        <w:spacing w:before="100" w:beforeAutospacing="1" w:after="100" w:afterAutospacing="1"/>
        <w:outlineLvl w:val="4"/>
        <w:rPr>
          <w:rFonts w:ascii="Times New Roman" w:eastAsia="Times New Roman" w:hAnsi="Times New Roman"/>
          <w:b/>
          <w:bCs/>
          <w:sz w:val="24"/>
          <w:szCs w:val="24"/>
        </w:rPr>
      </w:pPr>
      <w:r w:rsidRPr="00EC0B50">
        <w:rPr>
          <w:rFonts w:ascii="Times New Roman" w:eastAsia="Times New Roman" w:hAnsi="Times New Roman"/>
          <w:b/>
          <w:bCs/>
          <w:sz w:val="24"/>
          <w:szCs w:val="24"/>
        </w:rPr>
        <w:lastRenderedPageBreak/>
        <w:t xml:space="preserve">Consent </w:t>
      </w:r>
      <w:r>
        <w:rPr>
          <w:rFonts w:ascii="Times New Roman" w:eastAsia="Times New Roman" w:hAnsi="Times New Roman"/>
          <w:b/>
          <w:bCs/>
          <w:sz w:val="24"/>
          <w:szCs w:val="24"/>
        </w:rPr>
        <w:t xml:space="preserve">and </w:t>
      </w:r>
      <w:r w:rsidR="00181B00" w:rsidRPr="00EC0B50">
        <w:rPr>
          <w:rFonts w:ascii="Times New Roman" w:eastAsia="Times New Roman" w:hAnsi="Times New Roman"/>
          <w:b/>
          <w:bCs/>
          <w:sz w:val="24"/>
          <w:szCs w:val="24"/>
        </w:rPr>
        <w:t xml:space="preserve">Ethics Approval and </w:t>
      </w:r>
    </w:p>
    <w:p w:rsidR="00181B00" w:rsidRPr="00EC0B50" w:rsidRDefault="00063B8A" w:rsidP="00181B00">
      <w:pPr>
        <w:pStyle w:val="NormalWeb"/>
        <w:spacing w:line="360" w:lineRule="auto"/>
        <w:jc w:val="both"/>
      </w:pPr>
      <w:r>
        <w:t>Ethical approval was obtained from the Zanzibar Health Research Institute (ZAHRI</w:t>
      </w:r>
      <w:r w:rsidR="00513C03">
        <w:t xml:space="preserve">; approval number ZAHREC/02/ST/FEB/2025/74), and written informed consent was </w:t>
      </w:r>
      <w:r w:rsidR="00513C03" w:rsidRPr="00513C03">
        <w:rPr>
          <w:highlight w:val="yellow"/>
        </w:rPr>
        <w:t>obtained</w:t>
      </w:r>
      <w:r w:rsidR="00181B00" w:rsidRPr="00EC0B50">
        <w:t xml:space="preserve"> from all participants. Confidentiality was ensured by </w:t>
      </w:r>
      <w:r w:rsidR="00513C03" w:rsidRPr="00513C03">
        <w:rPr>
          <w:highlight w:val="yellow"/>
        </w:rPr>
        <w:t>omitting</w:t>
      </w:r>
      <w:r w:rsidR="00181B00" w:rsidRPr="00EC0B50">
        <w:t xml:space="preserve"> personal identifiers</w:t>
      </w:r>
      <w:r>
        <w:t xml:space="preserve"> </w:t>
      </w:r>
    </w:p>
    <w:p w:rsidR="00181B00" w:rsidRPr="00EC0B50" w:rsidRDefault="00181B00" w:rsidP="00181B00">
      <w:pPr>
        <w:spacing w:before="100" w:beforeAutospacing="1" w:after="100" w:afterAutospacing="1"/>
        <w:outlineLvl w:val="4"/>
        <w:rPr>
          <w:rFonts w:ascii="Times New Roman" w:eastAsia="Times New Roman" w:hAnsi="Times New Roman"/>
          <w:b/>
          <w:bCs/>
          <w:sz w:val="24"/>
          <w:szCs w:val="24"/>
        </w:rPr>
      </w:pPr>
      <w:r w:rsidRPr="00EC0B50">
        <w:rPr>
          <w:rFonts w:ascii="Times New Roman" w:eastAsia="Times New Roman" w:hAnsi="Times New Roman"/>
          <w:b/>
          <w:bCs/>
          <w:sz w:val="24"/>
          <w:szCs w:val="24"/>
        </w:rPr>
        <w:t>Conflicts of Interest</w:t>
      </w:r>
    </w:p>
    <w:p w:rsidR="00181B00" w:rsidRDefault="00181B00" w:rsidP="00181B00">
      <w:pPr>
        <w:spacing w:before="100" w:beforeAutospacing="1" w:after="100" w:afterAutospacing="1"/>
        <w:rPr>
          <w:rFonts w:ascii="Times New Roman" w:eastAsia="Times New Roman" w:hAnsi="Times New Roman"/>
          <w:sz w:val="24"/>
          <w:szCs w:val="24"/>
        </w:rPr>
      </w:pPr>
      <w:r w:rsidRPr="00EC0B50">
        <w:rPr>
          <w:rFonts w:ascii="Times New Roman" w:eastAsia="Times New Roman" w:hAnsi="Times New Roman"/>
          <w:sz w:val="24"/>
          <w:szCs w:val="24"/>
        </w:rPr>
        <w:t>The author</w:t>
      </w:r>
      <w:r>
        <w:rPr>
          <w:rFonts w:ascii="Times New Roman" w:eastAsia="Times New Roman" w:hAnsi="Times New Roman"/>
          <w:sz w:val="24"/>
          <w:szCs w:val="24"/>
        </w:rPr>
        <w:t xml:space="preserve">s hereby declare no conflicts of </w:t>
      </w:r>
      <w:r w:rsidR="00063B8A">
        <w:rPr>
          <w:rFonts w:ascii="Times New Roman" w:eastAsia="Times New Roman" w:hAnsi="Times New Roman"/>
          <w:sz w:val="24"/>
          <w:szCs w:val="24"/>
        </w:rPr>
        <w:t>interest</w:t>
      </w:r>
      <w:r w:rsidRPr="00EC0B50">
        <w:rPr>
          <w:rFonts w:ascii="Times New Roman" w:eastAsia="Times New Roman" w:hAnsi="Times New Roman"/>
          <w:sz w:val="24"/>
          <w:szCs w:val="24"/>
        </w:rPr>
        <w:t>.</w:t>
      </w:r>
    </w:p>
    <w:p w:rsidR="00DD0200" w:rsidRDefault="00DD0200" w:rsidP="00181B00">
      <w:pPr>
        <w:spacing w:before="100" w:beforeAutospacing="1" w:after="100" w:afterAutospacing="1"/>
        <w:rPr>
          <w:rFonts w:ascii="Times New Roman" w:eastAsia="Times New Roman" w:hAnsi="Times New Roman"/>
          <w:sz w:val="24"/>
          <w:szCs w:val="24"/>
        </w:rPr>
      </w:pPr>
    </w:p>
    <w:p w:rsidR="00DD0200" w:rsidRDefault="00DD0200" w:rsidP="00DD0200">
      <w:pPr>
        <w:rPr>
          <w:rFonts w:eastAsia="Calibri"/>
          <w:kern w:val="2"/>
          <w:highlight w:val="yellow"/>
        </w:rPr>
      </w:pPr>
      <w:bookmarkStart w:id="8" w:name="_Hlk219469981"/>
      <w:bookmarkStart w:id="9" w:name="_Hlk219110679"/>
    </w:p>
    <w:p w:rsidR="00DD0200" w:rsidRPr="00005ED1" w:rsidRDefault="00DD0200" w:rsidP="00DD0200">
      <w:pPr>
        <w:pStyle w:val="NoSpacing"/>
        <w:rPr>
          <w:rFonts w:ascii="Arial" w:hAnsi="Arial" w:cs="Arial"/>
          <w:highlight w:val="yellow"/>
        </w:rPr>
      </w:pPr>
      <w:bookmarkStart w:id="10" w:name="_Hlk219284361"/>
      <w:bookmarkStart w:id="11" w:name="_Hlk198031404"/>
      <w:bookmarkStart w:id="12" w:name="_Hlk219128673"/>
      <w:r w:rsidRPr="00005ED1">
        <w:rPr>
          <w:rFonts w:ascii="Arial" w:hAnsi="Arial" w:cs="Arial"/>
          <w:highlight w:val="yellow"/>
        </w:rPr>
        <w:t>Disclaimer (Artificial intelligence)</w:t>
      </w:r>
    </w:p>
    <w:p w:rsidR="00DD0200" w:rsidRPr="00005ED1" w:rsidRDefault="00DD0200" w:rsidP="00DD0200">
      <w:pPr>
        <w:pStyle w:val="NoSpacing"/>
        <w:rPr>
          <w:rFonts w:ascii="Arial" w:hAnsi="Arial" w:cs="Arial"/>
          <w:highlight w:val="yellow"/>
        </w:rPr>
      </w:pPr>
    </w:p>
    <w:p w:rsidR="00DD0200" w:rsidRPr="00005ED1" w:rsidRDefault="00DD0200" w:rsidP="00DD0200">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0"/>
      <w:r w:rsidRPr="00005ED1">
        <w:rPr>
          <w:rFonts w:ascii="Arial" w:hAnsi="Arial" w:cs="Arial"/>
          <w:highlight w:val="yellow"/>
        </w:rPr>
        <w:t xml:space="preserve">. </w:t>
      </w:r>
    </w:p>
    <w:bookmarkEnd w:id="8"/>
    <w:bookmarkEnd w:id="11"/>
    <w:p w:rsidR="00DD0200" w:rsidRDefault="00DD0200" w:rsidP="00DD0200">
      <w:pPr>
        <w:pStyle w:val="NoSpacing"/>
        <w:rPr>
          <w:rFonts w:ascii="Arial" w:hAnsi="Arial" w:cs="Arial"/>
        </w:rPr>
      </w:pPr>
    </w:p>
    <w:bookmarkEnd w:id="9"/>
    <w:bookmarkEnd w:id="12"/>
    <w:p w:rsidR="00DD0200" w:rsidRPr="00EC0B50" w:rsidRDefault="00DD0200" w:rsidP="00181B00">
      <w:pPr>
        <w:spacing w:before="100" w:beforeAutospacing="1" w:after="100" w:afterAutospacing="1"/>
        <w:rPr>
          <w:rFonts w:ascii="Times New Roman" w:eastAsia="Times New Roman" w:hAnsi="Times New Roman"/>
          <w:sz w:val="24"/>
          <w:szCs w:val="24"/>
        </w:rPr>
      </w:pPr>
    </w:p>
    <w:p w:rsidR="00181B00" w:rsidRPr="004A02C3" w:rsidRDefault="00181B00" w:rsidP="00F01DDE">
      <w:pPr>
        <w:pStyle w:val="NormalWeb"/>
        <w:spacing w:line="360" w:lineRule="auto"/>
        <w:rPr>
          <w:rFonts w:ascii="Arial" w:hAnsi="Arial" w:cs="Arial"/>
        </w:rPr>
      </w:pPr>
    </w:p>
    <w:p w:rsidR="00F01DDE" w:rsidRPr="004A02C3" w:rsidRDefault="00F01DDE" w:rsidP="00F01DDE">
      <w:pPr>
        <w:pStyle w:val="Heading1"/>
        <w:spacing w:line="360" w:lineRule="auto"/>
        <w:rPr>
          <w:rFonts w:ascii="Arial" w:hAnsi="Arial" w:cs="Arial"/>
          <w:color w:val="000000"/>
          <w:sz w:val="24"/>
          <w:szCs w:val="24"/>
        </w:rPr>
      </w:pPr>
      <w:r w:rsidRPr="004A02C3">
        <w:rPr>
          <w:rFonts w:ascii="Arial" w:hAnsi="Arial" w:cs="Arial"/>
          <w:color w:val="000000"/>
          <w:sz w:val="24"/>
          <w:szCs w:val="24"/>
        </w:rPr>
        <w:t xml:space="preserve">REFERENCES </w:t>
      </w:r>
    </w:p>
    <w:p w:rsidR="0067184B" w:rsidRPr="0067184B" w:rsidRDefault="00F01DDE" w:rsidP="0067184B">
      <w:pPr>
        <w:widowControl w:val="0"/>
        <w:autoSpaceDE w:val="0"/>
        <w:autoSpaceDN w:val="0"/>
        <w:adjustRightInd w:val="0"/>
        <w:spacing w:line="360" w:lineRule="auto"/>
        <w:ind w:left="640" w:hanging="640"/>
        <w:rPr>
          <w:rFonts w:ascii="Arial" w:hAnsi="Arial" w:cs="Arial"/>
          <w:noProof/>
          <w:sz w:val="24"/>
          <w:szCs w:val="24"/>
        </w:rPr>
      </w:pPr>
      <w:r w:rsidRPr="004A02C3">
        <w:rPr>
          <w:rFonts w:ascii="Arial" w:eastAsia="Times New Roman" w:hAnsi="Arial" w:cs="Arial"/>
          <w:color w:val="000000"/>
          <w:sz w:val="24"/>
          <w:szCs w:val="24"/>
        </w:rPr>
        <w:fldChar w:fldCharType="begin" w:fldLock="1"/>
      </w:r>
      <w:r w:rsidRPr="004A02C3">
        <w:rPr>
          <w:rFonts w:ascii="Arial" w:eastAsia="Times New Roman" w:hAnsi="Arial" w:cs="Arial"/>
          <w:color w:val="000000"/>
          <w:sz w:val="24"/>
          <w:szCs w:val="24"/>
        </w:rPr>
        <w:instrText xml:space="preserve">ADDIN Mendeley Bibliography CSL_BIBLIOGRAPHY </w:instrText>
      </w:r>
      <w:r w:rsidRPr="004A02C3">
        <w:rPr>
          <w:rFonts w:ascii="Arial" w:eastAsia="Times New Roman" w:hAnsi="Arial" w:cs="Arial"/>
          <w:color w:val="000000"/>
          <w:sz w:val="24"/>
          <w:szCs w:val="24"/>
        </w:rPr>
        <w:fldChar w:fldCharType="separate"/>
      </w:r>
      <w:r w:rsidR="0067184B" w:rsidRPr="0067184B">
        <w:rPr>
          <w:rFonts w:ascii="Arial" w:hAnsi="Arial" w:cs="Arial"/>
          <w:noProof/>
          <w:sz w:val="24"/>
          <w:szCs w:val="24"/>
        </w:rPr>
        <w:t>[1]</w:t>
      </w:r>
      <w:r w:rsidR="0067184B" w:rsidRPr="0067184B">
        <w:rPr>
          <w:rFonts w:ascii="Arial" w:hAnsi="Arial" w:cs="Arial"/>
          <w:noProof/>
          <w:sz w:val="24"/>
          <w:szCs w:val="24"/>
        </w:rPr>
        <w:tab/>
        <w:t>L. A. S. M. Exposto, C. Pacheco, E. Pereira, E. B. Ximenes, M. Carvalho, and D. R. M. U. Fernandes, “The Impact of Malnutrition Problems on Children Under 5 Years Old and its Management Strategies : A Retrospective Analysis,” vol. 4, no. 6, pp. 251–260, 2025.</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[2]</w:t>
      </w:r>
      <w:r w:rsidRPr="0067184B">
        <w:rPr>
          <w:rFonts w:ascii="Arial" w:hAnsi="Arial" w:cs="Arial"/>
          <w:noProof/>
          <w:sz w:val="24"/>
          <w:szCs w:val="24"/>
        </w:rPr>
        <w:tab/>
        <w:t>M. M. Mathosi, L. P. Cele, and M. Mathibe, “Acute Malnutrition in Under-Five Children in KwaZulu-Natal , South Africa : Risk Factors and Implications for Dietary Quality,” pp. 1–21, 2025.</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[3]</w:t>
      </w:r>
      <w:r w:rsidRPr="0067184B">
        <w:rPr>
          <w:rFonts w:ascii="Arial" w:hAnsi="Arial" w:cs="Arial"/>
          <w:noProof/>
          <w:sz w:val="24"/>
          <w:szCs w:val="24"/>
        </w:rPr>
        <w:tab/>
        <w:t>F. Morales, S. M. Paz, M. J. Leon, and F. Rivero-pino, “Effects of Malnutrition on the Immune System and Infection and the Role of Nutritional Strategies Regarding Improvements in Children ’ s Health Status : A Literature Review,” pp. 1–16, 2024.</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lastRenderedPageBreak/>
        <w:t>[4]</w:t>
      </w:r>
      <w:r w:rsidRPr="0067184B">
        <w:rPr>
          <w:rFonts w:ascii="Arial" w:hAnsi="Arial" w:cs="Arial"/>
          <w:noProof/>
          <w:sz w:val="24"/>
          <w:szCs w:val="24"/>
        </w:rPr>
        <w:tab/>
        <w:t>M. V. Compte, N. R. Velázquez, H. Thi, M. Nguyen, and M. A. Mehta, “Impact of nutrition and health interventions on undernutrition : an overview of systematic reviews,” 2025.</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[5]</w:t>
      </w:r>
      <w:r w:rsidRPr="0067184B">
        <w:rPr>
          <w:rFonts w:ascii="Arial" w:hAnsi="Arial" w:cs="Arial"/>
          <w:noProof/>
          <w:sz w:val="24"/>
          <w:szCs w:val="24"/>
        </w:rPr>
        <w:tab/>
        <w:t>S. Moramarco, E. Buonomo, and A. Andreoli, “Tackling Global Malnutrition and Hunger in the Final Push Toward the 2030 Agenda,” pp. 1–22, 2025.</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[6]</w:t>
      </w:r>
      <w:r w:rsidRPr="0067184B">
        <w:rPr>
          <w:rFonts w:ascii="Arial" w:hAnsi="Arial" w:cs="Arial"/>
          <w:noProof/>
          <w:sz w:val="24"/>
          <w:szCs w:val="24"/>
        </w:rPr>
        <w:tab/>
        <w:t>B. B. Warssamo, D. B. Belay, and D. Chen, “Determinants of chronic malnutrition among under- five children in Ethiopia using simultaneous quantile regression,” pp. 1–13, 2025.</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[7]</w:t>
      </w:r>
      <w:r w:rsidRPr="0067184B">
        <w:rPr>
          <w:rFonts w:ascii="Arial" w:hAnsi="Arial" w:cs="Arial"/>
          <w:noProof/>
          <w:sz w:val="24"/>
          <w:szCs w:val="24"/>
        </w:rPr>
        <w:tab/>
        <w:t xml:space="preserve">W. D. Emera </w:t>
      </w:r>
      <w:r w:rsidRPr="0067184B">
        <w:rPr>
          <w:rFonts w:ascii="Arial" w:hAnsi="Arial" w:cs="Arial"/>
          <w:i/>
          <w:iCs/>
          <w:noProof/>
          <w:sz w:val="24"/>
          <w:szCs w:val="24"/>
        </w:rPr>
        <w:t>et al.</w:t>
      </w:r>
      <w:r w:rsidRPr="0067184B">
        <w:rPr>
          <w:rFonts w:ascii="Arial" w:hAnsi="Arial" w:cs="Arial"/>
          <w:noProof/>
          <w:sz w:val="24"/>
          <w:szCs w:val="24"/>
        </w:rPr>
        <w:t xml:space="preserve">, “Understanding the factors associated with child malnutrition in rural Burundi : experiences from the Muyinga and Ngozi provinces Understanding the factors associated with child malnutrition in rural Burundi : experiences from the Muyinga and Ngozi provinc,” </w:t>
      </w:r>
      <w:r w:rsidRPr="0067184B">
        <w:rPr>
          <w:rFonts w:ascii="Arial" w:hAnsi="Arial" w:cs="Arial"/>
          <w:i/>
          <w:iCs/>
          <w:noProof/>
          <w:sz w:val="24"/>
          <w:szCs w:val="24"/>
        </w:rPr>
        <w:t>South African J. Clin. Nutr.</w:t>
      </w:r>
      <w:r w:rsidRPr="0067184B">
        <w:rPr>
          <w:rFonts w:ascii="Arial" w:hAnsi="Arial" w:cs="Arial"/>
          <w:noProof/>
          <w:sz w:val="24"/>
          <w:szCs w:val="24"/>
        </w:rPr>
        <w:t>, vol. 38, no. 2, pp. 82–90, 2025, doi: 10.1080/16070658.2025.2477900.</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[8]</w:t>
      </w:r>
      <w:r w:rsidRPr="0067184B">
        <w:rPr>
          <w:rFonts w:ascii="Arial" w:hAnsi="Arial" w:cs="Arial"/>
          <w:noProof/>
          <w:sz w:val="24"/>
          <w:szCs w:val="24"/>
        </w:rPr>
        <w:tab/>
        <w:t xml:space="preserve">H. Li </w:t>
      </w:r>
      <w:r w:rsidRPr="0067184B">
        <w:rPr>
          <w:rFonts w:ascii="Arial" w:hAnsi="Arial" w:cs="Arial"/>
          <w:i/>
          <w:iCs/>
          <w:noProof/>
          <w:sz w:val="24"/>
          <w:szCs w:val="24"/>
        </w:rPr>
        <w:t>et al.</w:t>
      </w:r>
      <w:r w:rsidRPr="0067184B">
        <w:rPr>
          <w:rFonts w:ascii="Arial" w:hAnsi="Arial" w:cs="Arial"/>
          <w:noProof/>
          <w:sz w:val="24"/>
          <w:szCs w:val="24"/>
        </w:rPr>
        <w:t xml:space="preserve">, “Prevalence and associated factors for stunting , underweight and wasting among children under 6 years of age in rural Hunan Province , China : a community-based cross-sectional study,” </w:t>
      </w:r>
      <w:r w:rsidRPr="0067184B">
        <w:rPr>
          <w:rFonts w:ascii="Arial" w:hAnsi="Arial" w:cs="Arial"/>
          <w:i/>
          <w:iCs/>
          <w:noProof/>
          <w:sz w:val="24"/>
          <w:szCs w:val="24"/>
        </w:rPr>
        <w:t>BMC Public Health</w:t>
      </w:r>
      <w:r w:rsidRPr="0067184B">
        <w:rPr>
          <w:rFonts w:ascii="Arial" w:hAnsi="Arial" w:cs="Arial"/>
          <w:noProof/>
          <w:sz w:val="24"/>
          <w:szCs w:val="24"/>
        </w:rPr>
        <w:t>, pp. 1–12, 2022, doi: 10.1186/s12889-022-12875-w.</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[9]</w:t>
      </w:r>
      <w:r w:rsidRPr="0067184B">
        <w:rPr>
          <w:rFonts w:ascii="Arial" w:hAnsi="Arial" w:cs="Arial"/>
          <w:noProof/>
          <w:sz w:val="24"/>
          <w:szCs w:val="24"/>
        </w:rPr>
        <w:tab/>
        <w:t xml:space="preserve">A. Soliman </w:t>
      </w:r>
      <w:r w:rsidRPr="0067184B">
        <w:rPr>
          <w:rFonts w:ascii="Arial" w:hAnsi="Arial" w:cs="Arial"/>
          <w:i/>
          <w:iCs/>
          <w:noProof/>
          <w:sz w:val="24"/>
          <w:szCs w:val="24"/>
        </w:rPr>
        <w:t>et al.</w:t>
      </w:r>
      <w:r w:rsidRPr="0067184B">
        <w:rPr>
          <w:rFonts w:ascii="Arial" w:hAnsi="Arial" w:cs="Arial"/>
          <w:noProof/>
          <w:sz w:val="24"/>
          <w:szCs w:val="24"/>
        </w:rPr>
        <w:t>, “Early and Long-term Consequences of Nutritional Stunting : From Childhood to Adulthood,” vol. 92, no. 4, pp. 1–12, 2021, doi: 10.23750/abm.v92i1.11346.</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[10]</w:t>
      </w:r>
      <w:r w:rsidRPr="0067184B">
        <w:rPr>
          <w:rFonts w:ascii="Arial" w:hAnsi="Arial" w:cs="Arial"/>
          <w:noProof/>
          <w:sz w:val="24"/>
          <w:szCs w:val="24"/>
        </w:rPr>
        <w:tab/>
        <w:t xml:space="preserve">G. Rezaeizadeh, A. Mansournia, A. Keshtkar, Z. Farahani, F. Zarepour, and M. Sharafkhah, “Articles Maternal education and its in fl uence on child growth and nutritional status during the fi rst two years of life : a systematic review and meta-analysis,” </w:t>
      </w:r>
      <w:r w:rsidRPr="0067184B">
        <w:rPr>
          <w:rFonts w:ascii="Arial" w:hAnsi="Arial" w:cs="Arial"/>
          <w:i/>
          <w:iCs/>
          <w:noProof/>
          <w:sz w:val="24"/>
          <w:szCs w:val="24"/>
        </w:rPr>
        <w:t>eClinicalMedicine</w:t>
      </w:r>
      <w:r w:rsidRPr="0067184B">
        <w:rPr>
          <w:rFonts w:ascii="Arial" w:hAnsi="Arial" w:cs="Arial"/>
          <w:noProof/>
          <w:sz w:val="24"/>
          <w:szCs w:val="24"/>
        </w:rPr>
        <w:t>, vol. 71, p. 102574, 2024, doi: 10.1016/j.eclinm.2024.102574.</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[11]</w:t>
      </w:r>
      <w:r w:rsidRPr="0067184B">
        <w:rPr>
          <w:rFonts w:ascii="Arial" w:hAnsi="Arial" w:cs="Arial"/>
          <w:noProof/>
          <w:sz w:val="24"/>
          <w:szCs w:val="24"/>
        </w:rPr>
        <w:tab/>
        <w:t>M. Orczyk-pawiłowicz, “Breastfeeding Beyond Six Months : Evidence of Child Health Benefits,” 2024.</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lastRenderedPageBreak/>
        <w:t>[12]</w:t>
      </w:r>
      <w:r w:rsidRPr="0067184B">
        <w:rPr>
          <w:rFonts w:ascii="Arial" w:hAnsi="Arial" w:cs="Arial"/>
          <w:noProof/>
          <w:sz w:val="24"/>
          <w:szCs w:val="24"/>
        </w:rPr>
        <w:tab/>
        <w:t xml:space="preserve">S. Das, S. R. Dey, and K. T. Islam, “Breast feeding practice in a selected peri urban area of Bangladesh,” </w:t>
      </w:r>
      <w:r w:rsidRPr="0067184B">
        <w:rPr>
          <w:rFonts w:ascii="Arial" w:hAnsi="Arial" w:cs="Arial"/>
          <w:i/>
          <w:iCs/>
          <w:noProof/>
          <w:sz w:val="24"/>
          <w:szCs w:val="24"/>
        </w:rPr>
        <w:t>Bangladesh J. Med.</w:t>
      </w:r>
      <w:r w:rsidRPr="0067184B">
        <w:rPr>
          <w:rFonts w:ascii="Arial" w:hAnsi="Arial" w:cs="Arial"/>
          <w:noProof/>
          <w:sz w:val="24"/>
          <w:szCs w:val="24"/>
        </w:rPr>
        <w:t>, vol. 33, no. 3, pp. 274–279, 2022, doi: 10.3329/bjm.v33i3.61374.</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[13]</w:t>
      </w:r>
      <w:r w:rsidRPr="0067184B">
        <w:rPr>
          <w:rFonts w:ascii="Arial" w:hAnsi="Arial" w:cs="Arial"/>
          <w:noProof/>
          <w:sz w:val="24"/>
          <w:szCs w:val="24"/>
        </w:rPr>
        <w:tab/>
        <w:t xml:space="preserve">F. A. Said </w:t>
      </w:r>
      <w:r w:rsidRPr="0067184B">
        <w:rPr>
          <w:rFonts w:ascii="Arial" w:hAnsi="Arial" w:cs="Arial"/>
          <w:i/>
          <w:iCs/>
          <w:noProof/>
          <w:sz w:val="24"/>
          <w:szCs w:val="24"/>
        </w:rPr>
        <w:t>et al.</w:t>
      </w:r>
      <w:r w:rsidRPr="0067184B">
        <w:rPr>
          <w:rFonts w:ascii="Arial" w:hAnsi="Arial" w:cs="Arial"/>
          <w:noProof/>
          <w:sz w:val="24"/>
          <w:szCs w:val="24"/>
        </w:rPr>
        <w:t xml:space="preserve">, “Knowledge Levels and Practice Regarding Breastfeeding among Mothers with Children under 2 Years Admitted in the Pediatric Ward at Mnazi Mmoja Hospital, Zanzibar,” </w:t>
      </w:r>
      <w:r w:rsidRPr="0067184B">
        <w:rPr>
          <w:rFonts w:ascii="Arial" w:hAnsi="Arial" w:cs="Arial"/>
          <w:i/>
          <w:iCs/>
          <w:noProof/>
          <w:sz w:val="24"/>
          <w:szCs w:val="24"/>
        </w:rPr>
        <w:t>J. Adv. Med. Med. Res.</w:t>
      </w:r>
      <w:r w:rsidRPr="0067184B">
        <w:rPr>
          <w:rFonts w:ascii="Arial" w:hAnsi="Arial" w:cs="Arial"/>
          <w:noProof/>
          <w:sz w:val="24"/>
          <w:szCs w:val="24"/>
        </w:rPr>
        <w:t>, vol. 33, no. 13, pp. 124–133, 2021, doi: 10.9734/jammr/2021/v33i1330963.</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[14]</w:t>
      </w:r>
      <w:r w:rsidRPr="0067184B">
        <w:rPr>
          <w:rFonts w:ascii="Arial" w:hAnsi="Arial" w:cs="Arial"/>
          <w:noProof/>
          <w:sz w:val="24"/>
          <w:szCs w:val="24"/>
        </w:rPr>
        <w:tab/>
        <w:t>V. G. Majengo and A. G. Lumbe, “Complementary feeding practices and associated factors among mothers of children aged 6 to 23 months in Tanzania : A multilevel analysis of the 2022 Demographic and Health Survey,” 2022.</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[15]</w:t>
      </w:r>
      <w:r w:rsidRPr="0067184B">
        <w:rPr>
          <w:rFonts w:ascii="Arial" w:hAnsi="Arial" w:cs="Arial"/>
          <w:noProof/>
          <w:sz w:val="24"/>
          <w:szCs w:val="24"/>
        </w:rPr>
        <w:tab/>
        <w:t>N. Strategic, “NUTRITION STRATEGIC ACTION PLAN ( ZMNSAP ),” 2025.</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[16]</w:t>
      </w:r>
      <w:r w:rsidRPr="0067184B">
        <w:rPr>
          <w:rFonts w:ascii="Arial" w:hAnsi="Arial" w:cs="Arial"/>
          <w:noProof/>
          <w:sz w:val="24"/>
          <w:szCs w:val="24"/>
        </w:rPr>
        <w:tab/>
        <w:t xml:space="preserve">K. Stakeholders </w:t>
      </w:r>
      <w:r w:rsidRPr="0067184B">
        <w:rPr>
          <w:rFonts w:ascii="Arial" w:hAnsi="Arial" w:cs="Arial"/>
          <w:i/>
          <w:iCs/>
          <w:noProof/>
          <w:sz w:val="24"/>
          <w:szCs w:val="24"/>
        </w:rPr>
        <w:t>et al.</w:t>
      </w:r>
      <w:r w:rsidRPr="0067184B">
        <w:rPr>
          <w:rFonts w:ascii="Arial" w:hAnsi="Arial" w:cs="Arial"/>
          <w:noProof/>
          <w:sz w:val="24"/>
          <w:szCs w:val="24"/>
        </w:rPr>
        <w:t>, “A Systems Approach in the Prevention of Undernutrition among Children under Five in Tanzania : Perspectives from,” pp. 1–21, 2024.</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[17]</w:t>
      </w:r>
      <w:r w:rsidRPr="0067184B">
        <w:rPr>
          <w:rFonts w:ascii="Arial" w:hAnsi="Arial" w:cs="Arial"/>
          <w:noProof/>
          <w:sz w:val="24"/>
          <w:szCs w:val="24"/>
        </w:rPr>
        <w:tab/>
        <w:t>S. E. R. Ika, “The State of Zanzibar ’ s Children Evidence from the Zanzibar Household Budget Surveys ( 2010 – 2020 ),” 2020.</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[18]</w:t>
      </w:r>
      <w:r w:rsidRPr="0067184B">
        <w:rPr>
          <w:rFonts w:ascii="Arial" w:hAnsi="Arial" w:cs="Arial"/>
          <w:noProof/>
          <w:sz w:val="24"/>
          <w:szCs w:val="24"/>
        </w:rPr>
        <w:tab/>
      </w:r>
      <w:r w:rsidRPr="0067184B">
        <w:rPr>
          <w:rFonts w:ascii="Arial" w:hAnsi="Arial" w:cs="Arial"/>
          <w:noProof/>
          <w:sz w:val="24"/>
          <w:szCs w:val="24"/>
          <w:highlight w:val="yellow"/>
        </w:rPr>
        <w:t xml:space="preserve">A. J. Fakih </w:t>
      </w:r>
      <w:r w:rsidRPr="0067184B">
        <w:rPr>
          <w:rFonts w:ascii="Arial" w:hAnsi="Arial" w:cs="Arial"/>
          <w:i/>
          <w:iCs/>
          <w:noProof/>
          <w:sz w:val="24"/>
          <w:szCs w:val="24"/>
          <w:highlight w:val="yellow"/>
        </w:rPr>
        <w:t>et al.</w:t>
      </w:r>
      <w:r w:rsidRPr="0067184B">
        <w:rPr>
          <w:rFonts w:ascii="Arial" w:hAnsi="Arial" w:cs="Arial"/>
          <w:noProof/>
          <w:sz w:val="24"/>
          <w:szCs w:val="24"/>
          <w:highlight w:val="yellow"/>
        </w:rPr>
        <w:t xml:space="preserve">, “Evaluation of Risk Factors of Pneumonia in Children under Five Years Old at Mnazi Mmoja Hospital- Zanzibar,” </w:t>
      </w:r>
      <w:r w:rsidRPr="0067184B">
        <w:rPr>
          <w:rFonts w:ascii="Arial" w:hAnsi="Arial" w:cs="Arial"/>
          <w:i/>
          <w:iCs/>
          <w:noProof/>
          <w:sz w:val="24"/>
          <w:szCs w:val="24"/>
          <w:highlight w:val="yellow"/>
        </w:rPr>
        <w:t>Bull. Environ. Pharmacol. Life Sci.</w:t>
      </w:r>
      <w:r w:rsidRPr="0067184B">
        <w:rPr>
          <w:rFonts w:ascii="Arial" w:hAnsi="Arial" w:cs="Arial"/>
          <w:noProof/>
          <w:sz w:val="24"/>
          <w:szCs w:val="24"/>
          <w:highlight w:val="yellow"/>
        </w:rPr>
        <w:t>, vol. 10, no. February, pp. 69–75, 2021, [Online]. Available: url:http://www.bepls.com</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[19]</w:t>
      </w:r>
      <w:r w:rsidRPr="0067184B">
        <w:rPr>
          <w:rFonts w:ascii="Arial" w:hAnsi="Arial" w:cs="Arial"/>
          <w:noProof/>
          <w:sz w:val="24"/>
          <w:szCs w:val="24"/>
        </w:rPr>
        <w:tab/>
        <w:t>N. F. O. R. A. Healthy and W. Zanzibar, “ZANZIBAR MULTISECTORAL NUTRITION STRATEGIC ACTION PLAN ( ZMNSAP ),” 2025.</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[20]</w:t>
      </w:r>
      <w:r w:rsidRPr="0067184B">
        <w:rPr>
          <w:rFonts w:ascii="Arial" w:hAnsi="Arial" w:cs="Arial"/>
          <w:noProof/>
          <w:sz w:val="24"/>
          <w:szCs w:val="24"/>
        </w:rPr>
        <w:tab/>
        <w:t>U. Republic, “Survey 2018 Summary of Key Findings Nutrition,” no. June 2019, pp. 1–8, 2018.</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[21]</w:t>
      </w:r>
      <w:r w:rsidRPr="0067184B">
        <w:rPr>
          <w:rFonts w:ascii="Arial" w:hAnsi="Arial" w:cs="Arial"/>
          <w:noProof/>
          <w:sz w:val="24"/>
          <w:szCs w:val="24"/>
        </w:rPr>
        <w:tab/>
        <w:t xml:space="preserve">UNICEF, </w:t>
      </w:r>
      <w:r w:rsidRPr="0067184B">
        <w:rPr>
          <w:rFonts w:ascii="Arial" w:hAnsi="Arial" w:cs="Arial"/>
          <w:i/>
          <w:iCs/>
          <w:noProof/>
          <w:sz w:val="24"/>
          <w:szCs w:val="24"/>
        </w:rPr>
        <w:t>Indicators for Assessing Infant and Young Child Feeding Practices</w:t>
      </w:r>
      <w:r w:rsidRPr="0067184B">
        <w:rPr>
          <w:rFonts w:ascii="Arial" w:hAnsi="Arial" w:cs="Arial"/>
          <w:noProof/>
          <w:sz w:val="24"/>
          <w:szCs w:val="24"/>
        </w:rPr>
        <w:t>, vol. WHA55 A55/. 2010.</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[22]</w:t>
      </w:r>
      <w:r w:rsidRPr="0067184B">
        <w:rPr>
          <w:rFonts w:ascii="Arial" w:hAnsi="Arial" w:cs="Arial"/>
          <w:noProof/>
          <w:sz w:val="24"/>
          <w:szCs w:val="24"/>
        </w:rPr>
        <w:tab/>
        <w:t xml:space="preserve">A. M. Muyide and R. A. Sanusi, “Knowledge and Practice of Mothers on Child </w:t>
      </w:r>
      <w:r w:rsidRPr="0067184B">
        <w:rPr>
          <w:rFonts w:ascii="Arial" w:hAnsi="Arial" w:cs="Arial"/>
          <w:noProof/>
          <w:sz w:val="24"/>
          <w:szCs w:val="24"/>
        </w:rPr>
        <w:lastRenderedPageBreak/>
        <w:t xml:space="preserve">Feeding Practices and Child Survival Strategies in Ibadan,” </w:t>
      </w:r>
      <w:r w:rsidRPr="0067184B">
        <w:rPr>
          <w:rFonts w:ascii="Arial" w:hAnsi="Arial" w:cs="Arial"/>
          <w:i/>
          <w:iCs/>
          <w:noProof/>
          <w:sz w:val="24"/>
          <w:szCs w:val="24"/>
        </w:rPr>
        <w:t>Int. J. Heal. Sci. Res.</w:t>
      </w:r>
      <w:r w:rsidRPr="0067184B">
        <w:rPr>
          <w:rFonts w:ascii="Arial" w:hAnsi="Arial" w:cs="Arial"/>
          <w:noProof/>
          <w:sz w:val="24"/>
          <w:szCs w:val="24"/>
        </w:rPr>
        <w:t>, vol. 14, no. 9, pp. 293–304, 2024, doi: 10.52403/ijhsr.20240939.</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[23]</w:t>
      </w:r>
      <w:r w:rsidRPr="0067184B">
        <w:rPr>
          <w:rFonts w:ascii="Arial" w:hAnsi="Arial" w:cs="Arial"/>
          <w:noProof/>
          <w:sz w:val="24"/>
          <w:szCs w:val="24"/>
        </w:rPr>
        <w:tab/>
        <w:t>H. Survey and M. I. Survey, “Tanzania,” 2022.</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[24]</w:t>
      </w:r>
      <w:r w:rsidRPr="0067184B">
        <w:rPr>
          <w:rFonts w:ascii="Arial" w:hAnsi="Arial" w:cs="Arial"/>
          <w:noProof/>
          <w:sz w:val="24"/>
          <w:szCs w:val="24"/>
        </w:rPr>
        <w:tab/>
        <w:t>M. S. Kauky, “No Title,” vol. 11, no. September, pp. 203–218, 2023.</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[25]</w:t>
      </w:r>
      <w:r w:rsidRPr="0067184B">
        <w:rPr>
          <w:rFonts w:ascii="Arial" w:hAnsi="Arial" w:cs="Arial"/>
          <w:noProof/>
          <w:sz w:val="24"/>
          <w:szCs w:val="24"/>
        </w:rPr>
        <w:tab/>
        <w:t>N. R. Geda, C. X. Feng, C. J. Henry, R. Lepnurm, B. Janzen, and S. J. Whiting, “Multiple anthropometric and nutritional deficiencies in young children in Ethiopia : a multi-level analysis based on a nationally representative data,” pp. 1–12, 2021.</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[26]</w:t>
      </w:r>
      <w:r w:rsidRPr="0067184B">
        <w:rPr>
          <w:rFonts w:ascii="Arial" w:hAnsi="Arial" w:cs="Arial"/>
          <w:noProof/>
          <w:sz w:val="24"/>
          <w:szCs w:val="24"/>
        </w:rPr>
        <w:tab/>
        <w:t>R. Heri, M. Malqvist, K. I. Yahya-malima, and L. T. Mselle, “Dietary diversity and associated factors among women attending antenatal clinics in the coast region of Tanzania,” pp. 1–11, 2024.</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[27]</w:t>
      </w:r>
      <w:r w:rsidRPr="0067184B">
        <w:rPr>
          <w:rFonts w:ascii="Arial" w:hAnsi="Arial" w:cs="Arial"/>
          <w:noProof/>
          <w:sz w:val="24"/>
          <w:szCs w:val="24"/>
        </w:rPr>
        <w:tab/>
        <w:t xml:space="preserve">N. Matee, T. A. Ageru, E. Mangi, H. T. Nguyen, and F. Walugembe, “Caregivers ’ perceptions of factors influencing undernutrition among under five in Ubungo , Dar es Salaam , Tanzania,” </w:t>
      </w:r>
      <w:r w:rsidRPr="0067184B">
        <w:rPr>
          <w:rFonts w:ascii="Arial" w:hAnsi="Arial" w:cs="Arial"/>
          <w:i/>
          <w:iCs/>
          <w:noProof/>
          <w:sz w:val="24"/>
          <w:szCs w:val="24"/>
        </w:rPr>
        <w:t>BMC Pediatr.</w:t>
      </w:r>
      <w:r w:rsidRPr="0067184B">
        <w:rPr>
          <w:rFonts w:ascii="Arial" w:hAnsi="Arial" w:cs="Arial"/>
          <w:noProof/>
          <w:sz w:val="24"/>
          <w:szCs w:val="24"/>
        </w:rPr>
        <w:t>, 2024, doi: 10.1186/s12887-024-05239-3.</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[28]</w:t>
      </w:r>
      <w:r w:rsidRPr="0067184B">
        <w:rPr>
          <w:rFonts w:ascii="Arial" w:hAnsi="Arial" w:cs="Arial"/>
          <w:noProof/>
          <w:sz w:val="24"/>
          <w:szCs w:val="24"/>
        </w:rPr>
        <w:tab/>
        <w:t xml:space="preserve">B. P. M. Id </w:t>
      </w:r>
      <w:r w:rsidRPr="0067184B">
        <w:rPr>
          <w:rFonts w:ascii="Arial" w:hAnsi="Arial" w:cs="Arial"/>
          <w:i/>
          <w:iCs/>
          <w:noProof/>
          <w:sz w:val="24"/>
          <w:szCs w:val="24"/>
        </w:rPr>
        <w:t>et al.</w:t>
      </w:r>
      <w:r w:rsidRPr="0067184B">
        <w:rPr>
          <w:rFonts w:ascii="Arial" w:hAnsi="Arial" w:cs="Arial"/>
          <w:noProof/>
          <w:sz w:val="24"/>
          <w:szCs w:val="24"/>
        </w:rPr>
        <w:t>, “Nutritional status of children under five years old involved in a seasonal malaria chemoprevention study in the Nanyumbu and Masasi districts in Tanzania,” pp. 1–14, 2022, doi: 10.1371/journal.pone.0267670.</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[29]</w:t>
      </w:r>
      <w:r w:rsidRPr="0067184B">
        <w:rPr>
          <w:rFonts w:ascii="Arial" w:hAnsi="Arial" w:cs="Arial"/>
          <w:noProof/>
          <w:sz w:val="24"/>
          <w:szCs w:val="24"/>
        </w:rPr>
        <w:tab/>
        <w:t xml:space="preserve">B. Ronald </w:t>
      </w:r>
      <w:r w:rsidRPr="0067184B">
        <w:rPr>
          <w:rFonts w:ascii="Arial" w:hAnsi="Arial" w:cs="Arial"/>
          <w:i/>
          <w:iCs/>
          <w:noProof/>
          <w:sz w:val="24"/>
          <w:szCs w:val="24"/>
        </w:rPr>
        <w:t>et al.</w:t>
      </w:r>
      <w:r w:rsidRPr="0067184B">
        <w:rPr>
          <w:rFonts w:ascii="Arial" w:hAnsi="Arial" w:cs="Arial"/>
          <w:noProof/>
          <w:sz w:val="24"/>
          <w:szCs w:val="24"/>
        </w:rPr>
        <w:t>, “Prevalence and associated factors of coexisting forms of malnutrition in children under 5 years age in a rural area of Cameroon,” pp. 1–15, 2024, doi: 10.1371/journal.pone.0303611.</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[30]</w:t>
      </w:r>
      <w:r w:rsidRPr="0067184B">
        <w:rPr>
          <w:rFonts w:ascii="Arial" w:hAnsi="Arial" w:cs="Arial"/>
          <w:noProof/>
          <w:sz w:val="24"/>
          <w:szCs w:val="24"/>
        </w:rPr>
        <w:tab/>
        <w:t xml:space="preserve">M. Rahi </w:t>
      </w:r>
      <w:r w:rsidRPr="0067184B">
        <w:rPr>
          <w:rFonts w:ascii="Arial" w:hAnsi="Arial" w:cs="Arial"/>
          <w:i/>
          <w:iCs/>
          <w:noProof/>
          <w:sz w:val="24"/>
          <w:szCs w:val="24"/>
        </w:rPr>
        <w:t>et al.</w:t>
      </w:r>
      <w:r w:rsidRPr="0067184B">
        <w:rPr>
          <w:rFonts w:ascii="Arial" w:hAnsi="Arial" w:cs="Arial"/>
          <w:noProof/>
          <w:sz w:val="24"/>
          <w:szCs w:val="24"/>
        </w:rPr>
        <w:t>, “Prevalence and Correlates of Malnutrition in Nuh District , Haryana State , India,” vol. 110, no. 3, pp. 588–595, 2024, doi: 10.4269/ajtmh.23-0487.</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[31]</w:t>
      </w:r>
      <w:r w:rsidRPr="0067184B">
        <w:rPr>
          <w:rFonts w:ascii="Arial" w:hAnsi="Arial" w:cs="Arial"/>
          <w:noProof/>
          <w:sz w:val="24"/>
          <w:szCs w:val="24"/>
        </w:rPr>
        <w:tab/>
        <w:t xml:space="preserve">E. J. Lyimo </w:t>
      </w:r>
      <w:r w:rsidRPr="0067184B">
        <w:rPr>
          <w:rFonts w:ascii="Arial" w:hAnsi="Arial" w:cs="Arial"/>
          <w:i/>
          <w:iCs/>
          <w:noProof/>
          <w:sz w:val="24"/>
          <w:szCs w:val="24"/>
        </w:rPr>
        <w:t>et al.</w:t>
      </w:r>
      <w:r w:rsidRPr="0067184B">
        <w:rPr>
          <w:rFonts w:ascii="Arial" w:hAnsi="Arial" w:cs="Arial"/>
          <w:noProof/>
          <w:sz w:val="24"/>
          <w:szCs w:val="24"/>
        </w:rPr>
        <w:t>, “Healthcare-seeking behaviours among mother ’ s having under-five children with severe wasting in Dodoma and Mbeya regions of Tanzania-A qualitative study,” pp. 1–12, 2024.</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[32]</w:t>
      </w:r>
      <w:r w:rsidRPr="0067184B">
        <w:rPr>
          <w:rFonts w:ascii="Arial" w:hAnsi="Arial" w:cs="Arial"/>
          <w:noProof/>
          <w:sz w:val="24"/>
          <w:szCs w:val="24"/>
        </w:rPr>
        <w:tab/>
        <w:t xml:space="preserve">D. T. Wulandari, N. Azizah, V. E. Rahmawati, and H. Annuchasari, “Community-Based Insights on Maternal Nutrition Knowledge and Its Role in Preventing </w:t>
      </w:r>
      <w:r w:rsidRPr="0067184B">
        <w:rPr>
          <w:rFonts w:ascii="Arial" w:hAnsi="Arial" w:cs="Arial"/>
          <w:noProof/>
          <w:sz w:val="24"/>
          <w:szCs w:val="24"/>
        </w:rPr>
        <w:lastRenderedPageBreak/>
        <w:t>Stunting and Wasting in Rural Indonesian Children,” vol. 5, no. 3, pp. 145–154, 2025, doi: 10.47679/jchs.2025128.</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[33]</w:t>
      </w:r>
      <w:r w:rsidRPr="0067184B">
        <w:rPr>
          <w:rFonts w:ascii="Arial" w:hAnsi="Arial" w:cs="Arial"/>
          <w:noProof/>
          <w:sz w:val="24"/>
          <w:szCs w:val="24"/>
        </w:rPr>
        <w:tab/>
        <w:t>A. A. Bakare, O. C. Uchendu, O. E. Omotayo, and C. King, “FEEDING PRACTICES AND NUTRITIONAL STATUS OF UNDER-FIVE CHILDREN IN A PERI-URBAN SETTING IN IBADAN , SOUTHWEST NIGERIA : A COMPARATIVE CROSS-SECTIONAL STUDY,” vol. 21, no. 1, pp. 50–62, 2023.</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[34]</w:t>
      </w:r>
      <w:r w:rsidRPr="0067184B">
        <w:rPr>
          <w:rFonts w:ascii="Arial" w:hAnsi="Arial" w:cs="Arial"/>
          <w:noProof/>
          <w:sz w:val="24"/>
          <w:szCs w:val="24"/>
        </w:rPr>
        <w:tab/>
        <w:t>H. Fekadu and G. Kassahun, “Maternal Knowledge and Practices on Complementary Feeding and Associated Factors in Sedal District , Western Ethiopia,” pp. 1–10, 2025, doi: 10.1002/fsn3.70286.</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[35]</w:t>
      </w:r>
      <w:r w:rsidRPr="0067184B">
        <w:rPr>
          <w:rFonts w:ascii="Arial" w:hAnsi="Arial" w:cs="Arial"/>
          <w:noProof/>
          <w:sz w:val="24"/>
          <w:szCs w:val="24"/>
        </w:rPr>
        <w:tab/>
        <w:t>A. Info, “Maternal Knowledge of Exclusive Breastfeeding and Nutritional Status of Children Under Two Years During the COVID-19 Pandemic,” vol. 4, no. 1, pp. 1–7, 2025.</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[36]</w:t>
      </w:r>
      <w:r w:rsidRPr="0067184B">
        <w:rPr>
          <w:rFonts w:ascii="Arial" w:hAnsi="Arial" w:cs="Arial"/>
          <w:noProof/>
          <w:sz w:val="24"/>
          <w:szCs w:val="24"/>
        </w:rPr>
        <w:tab/>
        <w:t xml:space="preserve">R. Ahmed </w:t>
      </w:r>
      <w:r w:rsidRPr="0067184B">
        <w:rPr>
          <w:rFonts w:ascii="Arial" w:hAnsi="Arial" w:cs="Arial"/>
          <w:i/>
          <w:iCs/>
          <w:noProof/>
          <w:sz w:val="24"/>
          <w:szCs w:val="24"/>
        </w:rPr>
        <w:t>et al.</w:t>
      </w:r>
      <w:r w:rsidRPr="0067184B">
        <w:rPr>
          <w:rFonts w:ascii="Arial" w:hAnsi="Arial" w:cs="Arial"/>
          <w:noProof/>
          <w:sz w:val="24"/>
          <w:szCs w:val="24"/>
        </w:rPr>
        <w:t>, “Undernutrition among exclusive breastfeeding mothers and its associated factors in Southwest Ethiopia : A community-based study,” 2024, doi: 10.1177/17455057241231478.</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[37]</w:t>
      </w:r>
      <w:r w:rsidRPr="0067184B">
        <w:rPr>
          <w:rFonts w:ascii="Arial" w:hAnsi="Arial" w:cs="Arial"/>
          <w:noProof/>
          <w:sz w:val="24"/>
          <w:szCs w:val="24"/>
        </w:rPr>
        <w:tab/>
        <w:t>T. Mabukela and P. K. Chelule, “Nutrition and Development of Children in Foundational Learning Spaces in Johannesburg : A Cross-Sectional Study of Dietary Diversity and Nutritional Status,” pp. 1–18, 2025.</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[38]</w:t>
      </w:r>
      <w:r w:rsidRPr="0067184B">
        <w:rPr>
          <w:rFonts w:ascii="Arial" w:hAnsi="Arial" w:cs="Arial"/>
          <w:noProof/>
          <w:sz w:val="24"/>
          <w:szCs w:val="24"/>
        </w:rPr>
        <w:tab/>
        <w:t>J. De Bruyn and F. Wieringa, “Exploring the Complementarity of Forti fi cation and Dietary Diversi fi cation to Combat Micronutrient De fi ciencies : A Scoping Review,” vol. 7, no. January, 2023, doi: 10.1016/j.cdnut.2023.100033.</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[39]</w:t>
      </w:r>
      <w:r w:rsidRPr="0067184B">
        <w:rPr>
          <w:rFonts w:ascii="Arial" w:hAnsi="Arial" w:cs="Arial"/>
          <w:noProof/>
          <w:sz w:val="24"/>
          <w:szCs w:val="24"/>
        </w:rPr>
        <w:tab/>
        <w:t>H. S. Muhimbula, “Determinants of Child Undernutrition in Tanzania : Agriculture and Season Perspective : A Review,” vol. 12, no. 1, pp. 1–19, 2024, doi: 10.11648/j.jfns.20241201.11.</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[40]</w:t>
      </w:r>
      <w:r w:rsidRPr="0067184B">
        <w:rPr>
          <w:rFonts w:ascii="Arial" w:hAnsi="Arial" w:cs="Arial"/>
          <w:noProof/>
          <w:sz w:val="24"/>
          <w:szCs w:val="24"/>
        </w:rPr>
        <w:tab/>
        <w:t>K. A. Mbunda, “The influence of feeding practices on under five nutrition status in Mbinga district , Tanzania,” vol. 10, no. 1, pp. 1–5, 2023.</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[41]</w:t>
      </w:r>
      <w:r w:rsidRPr="0067184B">
        <w:rPr>
          <w:rFonts w:ascii="Arial" w:hAnsi="Arial" w:cs="Arial"/>
          <w:noProof/>
          <w:sz w:val="24"/>
          <w:szCs w:val="24"/>
        </w:rPr>
        <w:tab/>
        <w:t xml:space="preserve">R. Nyarko </w:t>
      </w:r>
      <w:r w:rsidRPr="0067184B">
        <w:rPr>
          <w:rFonts w:ascii="Arial" w:hAnsi="Arial" w:cs="Arial"/>
          <w:i/>
          <w:iCs/>
          <w:noProof/>
          <w:sz w:val="24"/>
          <w:szCs w:val="24"/>
        </w:rPr>
        <w:t>et al.</w:t>
      </w:r>
      <w:r w:rsidRPr="0067184B">
        <w:rPr>
          <w:rFonts w:ascii="Arial" w:hAnsi="Arial" w:cs="Arial"/>
          <w:noProof/>
          <w:sz w:val="24"/>
          <w:szCs w:val="24"/>
        </w:rPr>
        <w:t xml:space="preserve">, “Relationship between Maternal Knowledge and Feeding </w:t>
      </w:r>
      <w:r w:rsidRPr="0067184B">
        <w:rPr>
          <w:rFonts w:ascii="Arial" w:hAnsi="Arial" w:cs="Arial"/>
          <w:noProof/>
          <w:sz w:val="24"/>
          <w:szCs w:val="24"/>
        </w:rPr>
        <w:lastRenderedPageBreak/>
        <w:t>Practices in Relation to Infant Malnutrition among Breastfeeding Women in Savannah Region of Ghana,” vol. 8, no. 1, pp. 311–322, 2025.</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[42]</w:t>
      </w:r>
      <w:r w:rsidRPr="0067184B">
        <w:rPr>
          <w:rFonts w:ascii="Arial" w:hAnsi="Arial" w:cs="Arial"/>
          <w:noProof/>
          <w:sz w:val="24"/>
          <w:szCs w:val="24"/>
        </w:rPr>
        <w:tab/>
        <w:t>C. Jard, B. D. Casanova, and V. Arija, “Nutrition Education Programs Aimed at African Mothers of Infant Children : A Systematic Review,” 2021.</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[43]</w:t>
      </w:r>
      <w:r w:rsidRPr="0067184B">
        <w:rPr>
          <w:rFonts w:ascii="Arial" w:hAnsi="Arial" w:cs="Arial"/>
          <w:noProof/>
          <w:sz w:val="24"/>
          <w:szCs w:val="24"/>
        </w:rPr>
        <w:tab/>
        <w:t xml:space="preserve">I. Govender </w:t>
      </w:r>
      <w:r w:rsidRPr="0067184B">
        <w:rPr>
          <w:rFonts w:ascii="Arial" w:hAnsi="Arial" w:cs="Arial"/>
          <w:i/>
          <w:iCs/>
          <w:noProof/>
          <w:sz w:val="24"/>
          <w:szCs w:val="24"/>
        </w:rPr>
        <w:t>et al.</w:t>
      </w:r>
      <w:r w:rsidRPr="0067184B">
        <w:rPr>
          <w:rFonts w:ascii="Arial" w:hAnsi="Arial" w:cs="Arial"/>
          <w:noProof/>
          <w:sz w:val="24"/>
          <w:szCs w:val="24"/>
        </w:rPr>
        <w:t>, “Malnutrition in children under the age of 5 years in a primary health care setting,” pp. 1–6, 2021.</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[44]</w:t>
      </w:r>
      <w:r w:rsidRPr="0067184B">
        <w:rPr>
          <w:rFonts w:ascii="Arial" w:hAnsi="Arial" w:cs="Arial"/>
          <w:noProof/>
          <w:sz w:val="24"/>
          <w:szCs w:val="24"/>
        </w:rPr>
        <w:tab/>
        <w:t>S. Bougma, F. Hama-ba, F. Garanet, and A. Wendmintiri, “Impact of Health and Nutrition Interventions in the Prevention and Recovery of Child Malnutrition in Sub-Saharan Africa from 2010 to 2020 : Review Article,” pp. 810–831, 2022, doi: 10.4236/health.2022.147058.</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szCs w:val="24"/>
        </w:rPr>
      </w:pPr>
      <w:r w:rsidRPr="0067184B">
        <w:rPr>
          <w:rFonts w:ascii="Arial" w:hAnsi="Arial" w:cs="Arial"/>
          <w:noProof/>
          <w:sz w:val="24"/>
          <w:szCs w:val="24"/>
        </w:rPr>
        <w:t>[45]</w:t>
      </w:r>
      <w:r w:rsidRPr="0067184B">
        <w:rPr>
          <w:rFonts w:ascii="Arial" w:hAnsi="Arial" w:cs="Arial"/>
          <w:noProof/>
          <w:sz w:val="24"/>
          <w:szCs w:val="24"/>
        </w:rPr>
        <w:tab/>
        <w:t xml:space="preserve">A. M. Weckman, C. R. Mcdonald, M. Ngai, M. Richard-greenblatt, A. Leligdowicz, and A. L. Conroy, “Articles In fl ammatory pro fi les in febrile children with moderate and severe malnutrition presenting at-hospital in Uganda are associated with increased mortality,” </w:t>
      </w:r>
      <w:r w:rsidRPr="0067184B">
        <w:rPr>
          <w:rFonts w:ascii="Arial" w:hAnsi="Arial" w:cs="Arial"/>
          <w:i/>
          <w:iCs/>
          <w:noProof/>
          <w:sz w:val="24"/>
          <w:szCs w:val="24"/>
        </w:rPr>
        <w:t>eBioMedicine</w:t>
      </w:r>
      <w:r w:rsidRPr="0067184B">
        <w:rPr>
          <w:rFonts w:ascii="Arial" w:hAnsi="Arial" w:cs="Arial"/>
          <w:noProof/>
          <w:sz w:val="24"/>
          <w:szCs w:val="24"/>
        </w:rPr>
        <w:t>, vol. 94, p. 104721, 2023, doi: 10.1016/j.ebiom.2023.104721.</w:t>
      </w:r>
    </w:p>
    <w:p w:rsidR="0067184B" w:rsidRPr="0067184B" w:rsidRDefault="0067184B" w:rsidP="0067184B">
      <w:pPr>
        <w:widowControl w:val="0"/>
        <w:autoSpaceDE w:val="0"/>
        <w:autoSpaceDN w:val="0"/>
        <w:adjustRightInd w:val="0"/>
        <w:spacing w:line="360" w:lineRule="auto"/>
        <w:ind w:left="640" w:hanging="640"/>
        <w:rPr>
          <w:rFonts w:ascii="Arial" w:hAnsi="Arial" w:cs="Arial"/>
          <w:noProof/>
          <w:sz w:val="24"/>
        </w:rPr>
      </w:pPr>
      <w:r w:rsidRPr="0067184B">
        <w:rPr>
          <w:rFonts w:ascii="Arial" w:hAnsi="Arial" w:cs="Arial"/>
          <w:noProof/>
          <w:sz w:val="24"/>
          <w:szCs w:val="24"/>
        </w:rPr>
        <w:t>[46]</w:t>
      </w:r>
      <w:r w:rsidRPr="0067184B">
        <w:rPr>
          <w:rFonts w:ascii="Arial" w:hAnsi="Arial" w:cs="Arial"/>
          <w:noProof/>
          <w:sz w:val="24"/>
          <w:szCs w:val="24"/>
        </w:rPr>
        <w:tab/>
        <w:t xml:space="preserve">M. C. da C. Carvalho, S. A. Ribeiro, L. S. de Sousa, A. Â. M. Lima, and B. L. L. Maciel, “Undernutrition and Intestinal Infections in Children: A Narrative Review,” </w:t>
      </w:r>
      <w:r w:rsidRPr="0067184B">
        <w:rPr>
          <w:rFonts w:ascii="Arial" w:hAnsi="Arial" w:cs="Arial"/>
          <w:i/>
          <w:iCs/>
          <w:noProof/>
          <w:sz w:val="24"/>
          <w:szCs w:val="24"/>
        </w:rPr>
        <w:t xml:space="preserve">Nutr. </w:t>
      </w:r>
      <w:r w:rsidRPr="0067184B">
        <w:rPr>
          <w:rFonts w:ascii="Arial" w:hAnsi="Arial" w:cs="Arial"/>
          <w:noProof/>
          <w:sz w:val="24"/>
          <w:szCs w:val="24"/>
        </w:rPr>
        <w:t>, vol. 17, no. 9, 2025, doi: 10.3390/nu17091479.</w:t>
      </w:r>
    </w:p>
    <w:p w:rsidR="00F01DDE" w:rsidRPr="004A02C3" w:rsidRDefault="00F01DDE" w:rsidP="00F01DDE">
      <w:pPr>
        <w:spacing w:line="360" w:lineRule="auto"/>
        <w:jc w:val="both"/>
        <w:rPr>
          <w:rFonts w:ascii="Arial" w:eastAsia="Times New Roman" w:hAnsi="Arial" w:cs="Arial"/>
          <w:color w:val="000000"/>
          <w:sz w:val="24"/>
          <w:szCs w:val="24"/>
        </w:rPr>
      </w:pPr>
      <w:r w:rsidRPr="004A02C3">
        <w:rPr>
          <w:rFonts w:ascii="Arial" w:eastAsia="Times New Roman" w:hAnsi="Arial" w:cs="Arial"/>
          <w:color w:val="000000"/>
          <w:sz w:val="24"/>
          <w:szCs w:val="24"/>
        </w:rPr>
        <w:fldChar w:fldCharType="end"/>
      </w:r>
    </w:p>
    <w:p w:rsidR="00F01DDE" w:rsidRPr="004A02C3" w:rsidRDefault="00F01DDE" w:rsidP="00F01DDE">
      <w:pPr>
        <w:spacing w:line="360" w:lineRule="auto"/>
        <w:jc w:val="both"/>
        <w:rPr>
          <w:rFonts w:ascii="Arial" w:eastAsia="Times New Roman" w:hAnsi="Arial" w:cs="Arial"/>
          <w:color w:val="000000"/>
          <w:sz w:val="24"/>
          <w:szCs w:val="24"/>
        </w:rPr>
      </w:pPr>
    </w:p>
    <w:p w:rsidR="00F01DDE" w:rsidRPr="004A02C3" w:rsidRDefault="00F01DDE" w:rsidP="00F01DDE">
      <w:pPr>
        <w:spacing w:line="360" w:lineRule="auto"/>
        <w:jc w:val="both"/>
        <w:rPr>
          <w:rFonts w:ascii="Arial" w:eastAsia="Times New Roman" w:hAnsi="Arial" w:cs="Arial"/>
          <w:color w:val="000000"/>
          <w:sz w:val="24"/>
          <w:szCs w:val="24"/>
        </w:rPr>
      </w:pPr>
    </w:p>
    <w:p w:rsidR="00F01DDE" w:rsidRPr="004A02C3" w:rsidRDefault="00F01DDE" w:rsidP="00F01DDE">
      <w:pPr>
        <w:spacing w:line="360" w:lineRule="auto"/>
        <w:jc w:val="both"/>
        <w:rPr>
          <w:rFonts w:ascii="Arial" w:eastAsia="Times New Roman" w:hAnsi="Arial" w:cs="Arial"/>
          <w:color w:val="000000"/>
          <w:sz w:val="24"/>
          <w:szCs w:val="24"/>
        </w:rPr>
      </w:pPr>
    </w:p>
    <w:p w:rsidR="00F01DDE" w:rsidRPr="004A02C3" w:rsidRDefault="00F01DDE" w:rsidP="00F01DDE">
      <w:pPr>
        <w:spacing w:line="360" w:lineRule="auto"/>
        <w:jc w:val="both"/>
        <w:rPr>
          <w:rFonts w:ascii="Arial" w:eastAsia="Times New Roman" w:hAnsi="Arial" w:cs="Arial"/>
          <w:color w:val="000000"/>
          <w:sz w:val="24"/>
          <w:szCs w:val="24"/>
        </w:rPr>
      </w:pPr>
    </w:p>
    <w:p w:rsidR="00F01DDE" w:rsidRPr="004A02C3" w:rsidRDefault="00F01DDE" w:rsidP="00F01DDE">
      <w:pPr>
        <w:spacing w:line="360" w:lineRule="auto"/>
        <w:rPr>
          <w:rFonts w:ascii="Arial" w:hAnsi="Arial" w:cs="Arial"/>
          <w:sz w:val="24"/>
          <w:szCs w:val="24"/>
        </w:rPr>
      </w:pPr>
    </w:p>
    <w:p w:rsidR="00447235" w:rsidRPr="004A02C3" w:rsidRDefault="00447235" w:rsidP="00F01DDE">
      <w:pPr>
        <w:pStyle w:val="Heading1"/>
        <w:spacing w:line="360" w:lineRule="auto"/>
        <w:jc w:val="both"/>
        <w:rPr>
          <w:rFonts w:ascii="Arial" w:hAnsi="Arial" w:cs="Arial"/>
          <w:sz w:val="24"/>
          <w:szCs w:val="24"/>
        </w:rPr>
      </w:pPr>
    </w:p>
    <w:sectPr w:rsidR="00447235" w:rsidRPr="004A02C3">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BA6" w:rsidRDefault="00470BA6" w:rsidP="00F04DA8">
      <w:pPr>
        <w:spacing w:after="0" w:line="240" w:lineRule="auto"/>
      </w:pPr>
      <w:r>
        <w:separator/>
      </w:r>
    </w:p>
  </w:endnote>
  <w:endnote w:type="continuationSeparator" w:id="0">
    <w:p w:rsidR="00470BA6" w:rsidRDefault="00470BA6" w:rsidP="00F0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NanumGothic">
    <w:altName w:val="Malgun Gothic Semilight"/>
    <w:charset w:val="81"/>
    <w:family w:val="auto"/>
    <w:pitch w:val="variable"/>
    <w:sig w:usb0="80000003" w:usb1="09D7FCEB" w:usb2="00000010" w:usb3="00000000" w:csb0="00080001" w:csb1="00000000"/>
  </w:font>
  <w:font w:name="Times-Roman">
    <w:altName w:val="Times New Roman"/>
    <w:charset w:val="00"/>
    <w:family w:val="auto"/>
    <w:pitch w:val="default"/>
    <w:sig w:usb0="00000000" w:usb1="00000000" w:usb2="00000000" w:usb3="00000000" w:csb0="FFFFFFFF" w:csb1="00000000"/>
  </w:font>
  <w:font w:name="TimesNewRoman">
    <w:altName w:val="Microsoft YaHei"/>
    <w:charset w:val="00"/>
    <w:family w:val="auto"/>
    <w:pitch w:val="default"/>
    <w:sig w:usb0="00000000" w:usb1="00000000" w:usb2="00000000" w:usb3="00000000" w:csb0="FFFFFF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BA6" w:rsidRDefault="00470BA6" w:rsidP="00F04DA8">
      <w:pPr>
        <w:spacing w:after="0" w:line="240" w:lineRule="auto"/>
      </w:pPr>
      <w:r>
        <w:separator/>
      </w:r>
    </w:p>
  </w:footnote>
  <w:footnote w:type="continuationSeparator" w:id="0">
    <w:p w:rsidR="00470BA6" w:rsidRDefault="00470BA6" w:rsidP="00F04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BE8" w:rsidRDefault="00470B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65543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BE8" w:rsidRDefault="00470B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65543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0BE8" w:rsidRDefault="00470BA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65543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E56DF"/>
    <w:multiLevelType w:val="multilevel"/>
    <w:tmpl w:val="DE38B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773F6"/>
    <w:multiLevelType w:val="multilevel"/>
    <w:tmpl w:val="F9BEB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0C454A"/>
    <w:multiLevelType w:val="multilevel"/>
    <w:tmpl w:val="2A0C45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660CD0"/>
    <w:multiLevelType w:val="multilevel"/>
    <w:tmpl w:val="98D47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24121"/>
    <w:multiLevelType w:val="multilevel"/>
    <w:tmpl w:val="5F824121"/>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A3E689A"/>
    <w:multiLevelType w:val="multilevel"/>
    <w:tmpl w:val="43A2F7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24"/>
    <w:rsid w:val="000145C9"/>
    <w:rsid w:val="0002398B"/>
    <w:rsid w:val="00025D74"/>
    <w:rsid w:val="00040D8C"/>
    <w:rsid w:val="00063B8A"/>
    <w:rsid w:val="00072D38"/>
    <w:rsid w:val="000850BC"/>
    <w:rsid w:val="00096BD4"/>
    <w:rsid w:val="000B7D52"/>
    <w:rsid w:val="000F0BE5"/>
    <w:rsid w:val="001236EF"/>
    <w:rsid w:val="001560F2"/>
    <w:rsid w:val="00164506"/>
    <w:rsid w:val="00181B00"/>
    <w:rsid w:val="001A72AE"/>
    <w:rsid w:val="001A7E20"/>
    <w:rsid w:val="001C2EDB"/>
    <w:rsid w:val="001C4DF7"/>
    <w:rsid w:val="001E055E"/>
    <w:rsid w:val="001E42CC"/>
    <w:rsid w:val="001F66F6"/>
    <w:rsid w:val="00200CC0"/>
    <w:rsid w:val="002132E6"/>
    <w:rsid w:val="00213697"/>
    <w:rsid w:val="00236A66"/>
    <w:rsid w:val="00276B3B"/>
    <w:rsid w:val="002970C6"/>
    <w:rsid w:val="002A0A2C"/>
    <w:rsid w:val="002B4E2C"/>
    <w:rsid w:val="002C0335"/>
    <w:rsid w:val="002C75E3"/>
    <w:rsid w:val="0031224C"/>
    <w:rsid w:val="00320F50"/>
    <w:rsid w:val="00331340"/>
    <w:rsid w:val="003466CF"/>
    <w:rsid w:val="0039008B"/>
    <w:rsid w:val="00396AB2"/>
    <w:rsid w:val="003B7EDE"/>
    <w:rsid w:val="003E0BD6"/>
    <w:rsid w:val="003E6504"/>
    <w:rsid w:val="003F1BF3"/>
    <w:rsid w:val="003F6C26"/>
    <w:rsid w:val="00407282"/>
    <w:rsid w:val="00410BC9"/>
    <w:rsid w:val="00410C5A"/>
    <w:rsid w:val="00447235"/>
    <w:rsid w:val="00464B42"/>
    <w:rsid w:val="00470BA6"/>
    <w:rsid w:val="00490649"/>
    <w:rsid w:val="004A02C3"/>
    <w:rsid w:val="004E49AC"/>
    <w:rsid w:val="005023F4"/>
    <w:rsid w:val="00510BA0"/>
    <w:rsid w:val="00512A0D"/>
    <w:rsid w:val="00513C03"/>
    <w:rsid w:val="005167B0"/>
    <w:rsid w:val="005377BD"/>
    <w:rsid w:val="00542866"/>
    <w:rsid w:val="0055688C"/>
    <w:rsid w:val="00565186"/>
    <w:rsid w:val="00587765"/>
    <w:rsid w:val="005C36D6"/>
    <w:rsid w:val="005C455E"/>
    <w:rsid w:val="005C74BA"/>
    <w:rsid w:val="005D70AB"/>
    <w:rsid w:val="005D72DB"/>
    <w:rsid w:val="00603A1B"/>
    <w:rsid w:val="00625921"/>
    <w:rsid w:val="0067184B"/>
    <w:rsid w:val="0068032B"/>
    <w:rsid w:val="006942B9"/>
    <w:rsid w:val="00701989"/>
    <w:rsid w:val="00707553"/>
    <w:rsid w:val="00714D16"/>
    <w:rsid w:val="00722BF8"/>
    <w:rsid w:val="007344C6"/>
    <w:rsid w:val="007704E4"/>
    <w:rsid w:val="00774CCB"/>
    <w:rsid w:val="007B1896"/>
    <w:rsid w:val="007E2AA2"/>
    <w:rsid w:val="0081279D"/>
    <w:rsid w:val="008165D4"/>
    <w:rsid w:val="00821C0D"/>
    <w:rsid w:val="00827BB2"/>
    <w:rsid w:val="00853877"/>
    <w:rsid w:val="00893939"/>
    <w:rsid w:val="008A09A7"/>
    <w:rsid w:val="008A7DFC"/>
    <w:rsid w:val="008B49AA"/>
    <w:rsid w:val="008E4424"/>
    <w:rsid w:val="008F5AED"/>
    <w:rsid w:val="0095582E"/>
    <w:rsid w:val="00980941"/>
    <w:rsid w:val="00985724"/>
    <w:rsid w:val="009D2EE1"/>
    <w:rsid w:val="009F2517"/>
    <w:rsid w:val="00A003BE"/>
    <w:rsid w:val="00A427B2"/>
    <w:rsid w:val="00A62D47"/>
    <w:rsid w:val="00A66E2F"/>
    <w:rsid w:val="00A70C03"/>
    <w:rsid w:val="00A72214"/>
    <w:rsid w:val="00A85E79"/>
    <w:rsid w:val="00AA15D7"/>
    <w:rsid w:val="00AA773E"/>
    <w:rsid w:val="00B016AC"/>
    <w:rsid w:val="00B10BE8"/>
    <w:rsid w:val="00B566AE"/>
    <w:rsid w:val="00B57EFB"/>
    <w:rsid w:val="00B6745B"/>
    <w:rsid w:val="00B743A0"/>
    <w:rsid w:val="00B97A64"/>
    <w:rsid w:val="00BA1DF4"/>
    <w:rsid w:val="00BC7097"/>
    <w:rsid w:val="00BD3512"/>
    <w:rsid w:val="00C14F45"/>
    <w:rsid w:val="00C46343"/>
    <w:rsid w:val="00C524C6"/>
    <w:rsid w:val="00C72358"/>
    <w:rsid w:val="00C808AB"/>
    <w:rsid w:val="00C874CA"/>
    <w:rsid w:val="00CB3F54"/>
    <w:rsid w:val="00CC224A"/>
    <w:rsid w:val="00CC6BCA"/>
    <w:rsid w:val="00CF108A"/>
    <w:rsid w:val="00D2068B"/>
    <w:rsid w:val="00D23994"/>
    <w:rsid w:val="00D379CA"/>
    <w:rsid w:val="00D41C80"/>
    <w:rsid w:val="00D5011F"/>
    <w:rsid w:val="00D7083A"/>
    <w:rsid w:val="00D7500C"/>
    <w:rsid w:val="00DB5926"/>
    <w:rsid w:val="00DD0200"/>
    <w:rsid w:val="00DD17E5"/>
    <w:rsid w:val="00E10D05"/>
    <w:rsid w:val="00E26401"/>
    <w:rsid w:val="00E36F56"/>
    <w:rsid w:val="00E5160A"/>
    <w:rsid w:val="00E83CCC"/>
    <w:rsid w:val="00E85452"/>
    <w:rsid w:val="00E97C06"/>
    <w:rsid w:val="00EC3D63"/>
    <w:rsid w:val="00ED3676"/>
    <w:rsid w:val="00EE5F53"/>
    <w:rsid w:val="00F01DDE"/>
    <w:rsid w:val="00F02118"/>
    <w:rsid w:val="00F04DA8"/>
    <w:rsid w:val="00F21A41"/>
    <w:rsid w:val="00F21F8A"/>
    <w:rsid w:val="00F30213"/>
    <w:rsid w:val="00F61D00"/>
    <w:rsid w:val="00F668BF"/>
    <w:rsid w:val="00F70683"/>
    <w:rsid w:val="00F8152C"/>
    <w:rsid w:val="00F81986"/>
    <w:rsid w:val="00F97F79"/>
    <w:rsid w:val="00FC4238"/>
    <w:rsid w:val="00FC42FA"/>
    <w:rsid w:val="00FE689C"/>
    <w:rsid w:val="00FF38BC"/>
    <w:rsid w:val="00FF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8E2E1D"/>
  <w15:chartTrackingRefBased/>
  <w15:docId w15:val="{F4B816CE-316B-470D-B14D-23ECF39C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7235"/>
    <w:pPr>
      <w:spacing w:after="200" w:line="276" w:lineRule="auto"/>
    </w:pPr>
    <w:rPr>
      <w:rFonts w:eastAsia="SimSun"/>
      <w:sz w:val="22"/>
      <w:szCs w:val="22"/>
      <w:lang w:eastAsia="zh-CN"/>
    </w:rPr>
  </w:style>
  <w:style w:type="paragraph" w:styleId="Heading1">
    <w:name w:val="heading 1"/>
    <w:basedOn w:val="Normal"/>
    <w:next w:val="Normal"/>
    <w:link w:val="Heading1Char"/>
    <w:uiPriority w:val="9"/>
    <w:qFormat/>
    <w:rsid w:val="00447235"/>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E85452"/>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rsid w:val="00E85452"/>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E85452"/>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47235"/>
    <w:rPr>
      <w:rFonts w:ascii="Calibri Light" w:eastAsia="Times New Roman" w:hAnsi="Calibri Light" w:cs="Times New Roman"/>
      <w:color w:val="2E74B5"/>
      <w:sz w:val="32"/>
      <w:szCs w:val="32"/>
      <w:lang w:eastAsia="zh-CN"/>
    </w:rPr>
  </w:style>
  <w:style w:type="character" w:customStyle="1" w:styleId="Heading2Char">
    <w:name w:val="Heading 2 Char"/>
    <w:link w:val="Heading2"/>
    <w:uiPriority w:val="9"/>
    <w:rsid w:val="00E85452"/>
    <w:rPr>
      <w:rFonts w:ascii="Calibri Light" w:eastAsia="Times New Roman" w:hAnsi="Calibri Light" w:cs="Times New Roman"/>
      <w:color w:val="2E74B5"/>
      <w:sz w:val="26"/>
      <w:szCs w:val="26"/>
      <w:lang w:eastAsia="zh-CN"/>
    </w:rPr>
  </w:style>
  <w:style w:type="character" w:customStyle="1" w:styleId="SubtleEmphasis1">
    <w:name w:val="Subtle Emphasis1"/>
    <w:uiPriority w:val="19"/>
    <w:qFormat/>
    <w:rsid w:val="00E85452"/>
    <w:rPr>
      <w:i/>
      <w:iCs/>
      <w:color w:val="404040"/>
    </w:rPr>
  </w:style>
  <w:style w:type="character" w:customStyle="1" w:styleId="Heading3Char">
    <w:name w:val="Heading 3 Char"/>
    <w:link w:val="Heading3"/>
    <w:uiPriority w:val="9"/>
    <w:semiHidden/>
    <w:rsid w:val="00E85452"/>
    <w:rPr>
      <w:rFonts w:ascii="Calibri Light" w:eastAsia="Times New Roman" w:hAnsi="Calibri Light" w:cs="Times New Roman"/>
      <w:color w:val="1F4D78"/>
      <w:sz w:val="24"/>
      <w:szCs w:val="24"/>
      <w:lang w:eastAsia="zh-CN"/>
    </w:rPr>
  </w:style>
  <w:style w:type="paragraph" w:styleId="ListParagraph">
    <w:name w:val="List Paragraph"/>
    <w:basedOn w:val="Normal"/>
    <w:uiPriority w:val="26"/>
    <w:qFormat/>
    <w:rsid w:val="00E85452"/>
    <w:pPr>
      <w:spacing w:after="0" w:line="240" w:lineRule="auto"/>
      <w:ind w:left="720"/>
    </w:pPr>
    <w:rPr>
      <w:rFonts w:ascii="NanumGothic" w:eastAsia="Calibri" w:hAnsi="NanumGothic"/>
      <w:sz w:val="20"/>
      <w:szCs w:val="20"/>
      <w:lang w:eastAsia="en-US"/>
    </w:rPr>
  </w:style>
  <w:style w:type="character" w:customStyle="1" w:styleId="Heading4Char">
    <w:name w:val="Heading 4 Char"/>
    <w:link w:val="Heading4"/>
    <w:uiPriority w:val="9"/>
    <w:rsid w:val="00E85452"/>
    <w:rPr>
      <w:rFonts w:ascii="Calibri Light" w:eastAsia="Times New Roman" w:hAnsi="Calibri Light" w:cs="Times New Roman"/>
      <w:i/>
      <w:iCs/>
      <w:color w:val="2E74B5"/>
      <w:lang w:eastAsia="zh-CN"/>
    </w:rPr>
  </w:style>
  <w:style w:type="character" w:customStyle="1" w:styleId="fontstyle01">
    <w:name w:val="fontstyle01"/>
    <w:rsid w:val="00E85452"/>
    <w:rPr>
      <w:rFonts w:ascii="Times-Roman" w:eastAsia="Times-Roman" w:hAnsi="Times-Roman"/>
      <w:color w:val="000000"/>
      <w:w w:val="100"/>
      <w:sz w:val="24"/>
      <w:szCs w:val="24"/>
      <w:shd w:val="clear" w:color="auto" w:fill="auto"/>
    </w:rPr>
  </w:style>
  <w:style w:type="character" w:customStyle="1" w:styleId="fontstyle31">
    <w:name w:val="fontstyle31"/>
    <w:rsid w:val="00E85452"/>
    <w:rPr>
      <w:rFonts w:ascii="TimesNewRoman" w:eastAsia="TimesNewRoman" w:hAnsi="TimesNewRoman"/>
      <w:color w:val="000000"/>
      <w:w w:val="100"/>
      <w:sz w:val="24"/>
      <w:szCs w:val="24"/>
      <w:shd w:val="clear" w:color="auto" w:fill="auto"/>
    </w:rPr>
  </w:style>
  <w:style w:type="paragraph" w:styleId="NormalWeb">
    <w:name w:val="Normal (Web)"/>
    <w:basedOn w:val="Normal"/>
    <w:uiPriority w:val="99"/>
    <w:unhideWhenUsed/>
    <w:rsid w:val="00025D74"/>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sid w:val="00025D74"/>
    <w:rPr>
      <w:b/>
      <w:bCs/>
    </w:rPr>
  </w:style>
  <w:style w:type="character" w:styleId="Emphasis">
    <w:name w:val="Emphasis"/>
    <w:uiPriority w:val="20"/>
    <w:qFormat/>
    <w:rsid w:val="0095582E"/>
    <w:rPr>
      <w:i/>
      <w:iCs/>
    </w:rPr>
  </w:style>
  <w:style w:type="paragraph" w:styleId="EndnoteText">
    <w:name w:val="endnote text"/>
    <w:basedOn w:val="Normal"/>
    <w:link w:val="EndnoteTextChar"/>
    <w:uiPriority w:val="99"/>
    <w:semiHidden/>
    <w:unhideWhenUsed/>
    <w:rsid w:val="00F04DA8"/>
    <w:rPr>
      <w:sz w:val="20"/>
      <w:szCs w:val="20"/>
    </w:rPr>
  </w:style>
  <w:style w:type="character" w:customStyle="1" w:styleId="EndnoteTextChar">
    <w:name w:val="Endnote Text Char"/>
    <w:link w:val="EndnoteText"/>
    <w:uiPriority w:val="99"/>
    <w:semiHidden/>
    <w:rsid w:val="00F04DA8"/>
    <w:rPr>
      <w:rFonts w:eastAsia="SimSun"/>
      <w:lang w:eastAsia="zh-CN"/>
    </w:rPr>
  </w:style>
  <w:style w:type="character" w:styleId="EndnoteReference">
    <w:name w:val="endnote reference"/>
    <w:uiPriority w:val="99"/>
    <w:semiHidden/>
    <w:unhideWhenUsed/>
    <w:rsid w:val="00F04DA8"/>
    <w:rPr>
      <w:vertAlign w:val="superscript"/>
    </w:rPr>
  </w:style>
  <w:style w:type="table" w:styleId="TableGrid">
    <w:name w:val="Table Grid"/>
    <w:basedOn w:val="TableNormal"/>
    <w:uiPriority w:val="39"/>
    <w:rsid w:val="00510BA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D379CA"/>
    <w:pPr>
      <w:spacing w:after="120" w:line="480" w:lineRule="auto"/>
    </w:pPr>
    <w:rPr>
      <w:rFonts w:asciiTheme="minorHAnsi" w:eastAsiaTheme="minorHAnsi" w:hAnsiTheme="minorHAnsi" w:cstheme="minorBidi"/>
      <w:lang w:eastAsia="en-US"/>
    </w:rPr>
  </w:style>
  <w:style w:type="character" w:customStyle="1" w:styleId="BodyText2Char">
    <w:name w:val="Body Text 2 Char"/>
    <w:basedOn w:val="DefaultParagraphFont"/>
    <w:link w:val="BodyText2"/>
    <w:uiPriority w:val="99"/>
    <w:rsid w:val="00D379CA"/>
    <w:rPr>
      <w:rFonts w:asciiTheme="minorHAnsi" w:eastAsiaTheme="minorHAnsi" w:hAnsiTheme="minorHAnsi" w:cstheme="minorBidi"/>
      <w:sz w:val="22"/>
      <w:szCs w:val="22"/>
    </w:rPr>
  </w:style>
  <w:style w:type="character" w:styleId="Hyperlink">
    <w:name w:val="Hyperlink"/>
    <w:uiPriority w:val="99"/>
    <w:rsid w:val="00E97C06"/>
    <w:rPr>
      <w:color w:val="0000FF"/>
      <w:u w:val="single"/>
    </w:rPr>
  </w:style>
  <w:style w:type="paragraph" w:styleId="Header">
    <w:name w:val="header"/>
    <w:basedOn w:val="Normal"/>
    <w:link w:val="HeaderChar"/>
    <w:uiPriority w:val="99"/>
    <w:unhideWhenUsed/>
    <w:rsid w:val="00A66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E2F"/>
    <w:rPr>
      <w:rFonts w:eastAsia="SimSun"/>
      <w:sz w:val="22"/>
      <w:szCs w:val="22"/>
      <w:lang w:eastAsia="zh-CN"/>
    </w:rPr>
  </w:style>
  <w:style w:type="paragraph" w:styleId="Footer">
    <w:name w:val="footer"/>
    <w:basedOn w:val="Normal"/>
    <w:link w:val="FooterChar"/>
    <w:uiPriority w:val="99"/>
    <w:unhideWhenUsed/>
    <w:rsid w:val="00A66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E2F"/>
    <w:rPr>
      <w:rFonts w:eastAsia="SimSun"/>
      <w:sz w:val="22"/>
      <w:szCs w:val="22"/>
      <w:lang w:eastAsia="zh-CN"/>
    </w:rPr>
  </w:style>
  <w:style w:type="paragraph" w:styleId="NoSpacing">
    <w:name w:val="No Spacing"/>
    <w:uiPriority w:val="1"/>
    <w:qFormat/>
    <w:rsid w:val="00DD0200"/>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7996">
      <w:bodyDiv w:val="1"/>
      <w:marLeft w:val="0"/>
      <w:marRight w:val="0"/>
      <w:marTop w:val="0"/>
      <w:marBottom w:val="0"/>
      <w:divBdr>
        <w:top w:val="none" w:sz="0" w:space="0" w:color="auto"/>
        <w:left w:val="none" w:sz="0" w:space="0" w:color="auto"/>
        <w:bottom w:val="none" w:sz="0" w:space="0" w:color="auto"/>
        <w:right w:val="none" w:sz="0" w:space="0" w:color="auto"/>
      </w:divBdr>
    </w:div>
    <w:div w:id="627321504">
      <w:bodyDiv w:val="1"/>
      <w:marLeft w:val="0"/>
      <w:marRight w:val="0"/>
      <w:marTop w:val="0"/>
      <w:marBottom w:val="0"/>
      <w:divBdr>
        <w:top w:val="none" w:sz="0" w:space="0" w:color="auto"/>
        <w:left w:val="none" w:sz="0" w:space="0" w:color="auto"/>
        <w:bottom w:val="none" w:sz="0" w:space="0" w:color="auto"/>
        <w:right w:val="none" w:sz="0" w:space="0" w:color="auto"/>
      </w:divBdr>
    </w:div>
    <w:div w:id="743406480">
      <w:bodyDiv w:val="1"/>
      <w:marLeft w:val="0"/>
      <w:marRight w:val="0"/>
      <w:marTop w:val="0"/>
      <w:marBottom w:val="0"/>
      <w:divBdr>
        <w:top w:val="none" w:sz="0" w:space="0" w:color="auto"/>
        <w:left w:val="none" w:sz="0" w:space="0" w:color="auto"/>
        <w:bottom w:val="none" w:sz="0" w:space="0" w:color="auto"/>
        <w:right w:val="none" w:sz="0" w:space="0" w:color="auto"/>
      </w:divBdr>
    </w:div>
    <w:div w:id="1199509348">
      <w:bodyDiv w:val="1"/>
      <w:marLeft w:val="0"/>
      <w:marRight w:val="0"/>
      <w:marTop w:val="0"/>
      <w:marBottom w:val="0"/>
      <w:divBdr>
        <w:top w:val="none" w:sz="0" w:space="0" w:color="auto"/>
        <w:left w:val="none" w:sz="0" w:space="0" w:color="auto"/>
        <w:bottom w:val="none" w:sz="0" w:space="0" w:color="auto"/>
        <w:right w:val="none" w:sz="0" w:space="0" w:color="auto"/>
      </w:divBdr>
    </w:div>
    <w:div w:id="1246841749">
      <w:bodyDiv w:val="1"/>
      <w:marLeft w:val="0"/>
      <w:marRight w:val="0"/>
      <w:marTop w:val="0"/>
      <w:marBottom w:val="0"/>
      <w:divBdr>
        <w:top w:val="none" w:sz="0" w:space="0" w:color="auto"/>
        <w:left w:val="none" w:sz="0" w:space="0" w:color="auto"/>
        <w:bottom w:val="none" w:sz="0" w:space="0" w:color="auto"/>
        <w:right w:val="none" w:sz="0" w:space="0" w:color="auto"/>
      </w:divBdr>
    </w:div>
    <w:div w:id="1302348674">
      <w:bodyDiv w:val="1"/>
      <w:marLeft w:val="0"/>
      <w:marRight w:val="0"/>
      <w:marTop w:val="0"/>
      <w:marBottom w:val="0"/>
      <w:divBdr>
        <w:top w:val="none" w:sz="0" w:space="0" w:color="auto"/>
        <w:left w:val="none" w:sz="0" w:space="0" w:color="auto"/>
        <w:bottom w:val="none" w:sz="0" w:space="0" w:color="auto"/>
        <w:right w:val="none" w:sz="0" w:space="0" w:color="auto"/>
      </w:divBdr>
    </w:div>
    <w:div w:id="1474299547">
      <w:bodyDiv w:val="1"/>
      <w:marLeft w:val="0"/>
      <w:marRight w:val="0"/>
      <w:marTop w:val="0"/>
      <w:marBottom w:val="0"/>
      <w:divBdr>
        <w:top w:val="none" w:sz="0" w:space="0" w:color="auto"/>
        <w:left w:val="none" w:sz="0" w:space="0" w:color="auto"/>
        <w:bottom w:val="none" w:sz="0" w:space="0" w:color="auto"/>
        <w:right w:val="none" w:sz="0" w:space="0" w:color="auto"/>
      </w:divBdr>
    </w:div>
    <w:div w:id="156120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dLbl>
              <c:idx val="2"/>
              <c:tx>
                <c:rich>
                  <a:bodyPr/>
                  <a:lstStyle/>
                  <a:p>
                    <a:fld id="{EB47708A-7561-411E-9C80-5434A4C61B45}" type="VALUE">
                      <a:rPr lang="en-US" b="0"/>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ED3-4E59-A5C3-9C0F1C69A9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Sheet1!$C$7:$D$11</c:f>
              <c:multiLvlStrCache>
                <c:ptCount val="5"/>
                <c:lvl>
                  <c:pt idx="0">
                    <c:v>no</c:v>
                  </c:pt>
                  <c:pt idx="1">
                    <c:v>yes</c:v>
                  </c:pt>
                  <c:pt idx="2">
                    <c:v>stunting__low_height_for_age</c:v>
                  </c:pt>
                  <c:pt idx="3">
                    <c:v>underweight__low_weight_for_age</c:v>
                  </c:pt>
                  <c:pt idx="4">
                    <c:v>wasting__low_weight_for_height</c:v>
                  </c:pt>
                </c:lvl>
                <c:lvl>
                  <c:pt idx="0">
                    <c:v>Prevalence of malnutrition</c:v>
                  </c:pt>
                  <c:pt idx="2">
                    <c:v>Type of Malnutrition</c:v>
                  </c:pt>
                </c:lvl>
              </c:multiLvlStrCache>
            </c:multiLvlStrRef>
          </c:cat>
          <c:val>
            <c:numRef>
              <c:f>Sheet1!$E$7:$E$11</c:f>
              <c:numCache>
                <c:formatCode>0.00%</c:formatCode>
                <c:ptCount val="5"/>
                <c:pt idx="0">
                  <c:v>0.80300000000000005</c:v>
                </c:pt>
                <c:pt idx="1">
                  <c:v>0.16700000000000001</c:v>
                </c:pt>
                <c:pt idx="2">
                  <c:v>2.1000000000000001E-2</c:v>
                </c:pt>
                <c:pt idx="3">
                  <c:v>9.4E-2</c:v>
                </c:pt>
                <c:pt idx="4">
                  <c:v>5.1999999999999998E-2</c:v>
                </c:pt>
              </c:numCache>
            </c:numRef>
          </c:val>
          <c:extLst>
            <c:ext xmlns:c16="http://schemas.microsoft.com/office/drawing/2014/chart" uri="{C3380CC4-5D6E-409C-BE32-E72D297353CC}">
              <c16:uniqueId val="{00000001-DED3-4E59-A5C3-9C0F1C69A9F6}"/>
            </c:ext>
          </c:extLst>
        </c:ser>
        <c:dLbls>
          <c:showLegendKey val="0"/>
          <c:showVal val="1"/>
          <c:showCatName val="0"/>
          <c:showSerName val="0"/>
          <c:showPercent val="0"/>
          <c:showBubbleSize val="0"/>
        </c:dLbls>
        <c:gapWidth val="150"/>
        <c:shape val="box"/>
        <c:axId val="1171869184"/>
        <c:axId val="1171870816"/>
        <c:axId val="0"/>
      </c:bar3DChart>
      <c:catAx>
        <c:axId val="1171869184"/>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870816"/>
        <c:crosses val="autoZero"/>
        <c:auto val="1"/>
        <c:lblAlgn val="ctr"/>
        <c:lblOffset val="100"/>
        <c:noMultiLvlLbl val="0"/>
      </c:catAx>
      <c:valAx>
        <c:axId val="1171870816"/>
        <c:scaling>
          <c:orientation val="minMax"/>
        </c:scaling>
        <c:delete val="0"/>
        <c:axPos val="b"/>
        <c:majorGridlines>
          <c:spPr>
            <a:ln>
              <a:solidFill>
                <a:schemeClr val="tx1">
                  <a:lumMod val="15000"/>
                  <a:lumOff val="85000"/>
                </a:schemeClr>
              </a:solidFill>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18691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0F5807A-ED86-40A7-AC00-FB8487E3C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24</Pages>
  <Words>16498</Words>
  <Characters>94045</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110323</CharactersWithSpaces>
  <SharedDoc>false</SharedDoc>
  <HLinks>
    <vt:vector size="12" baseType="variant">
      <vt:variant>
        <vt:i4>6357079</vt:i4>
      </vt:variant>
      <vt:variant>
        <vt:i4>78</vt:i4>
      </vt:variant>
      <vt:variant>
        <vt:i4>0</vt:i4>
      </vt:variant>
      <vt:variant>
        <vt:i4>5</vt:i4>
      </vt:variant>
      <vt:variant>
        <vt:lpwstr>https://www.tfnc.go.tz/uploads/publications/sw1706172658-Healthcare-seeking behaviours among mother%E2%80%99s having under-five children with severe wasting in Dodoma and Mbeya regions of Tanzania.pdf?utm_source=chatgpt.com</vt:lpwstr>
      </vt:variant>
      <vt:variant>
        <vt:lpwstr/>
      </vt:variant>
      <vt:variant>
        <vt:i4>5898358</vt:i4>
      </vt:variant>
      <vt:variant>
        <vt:i4>75</vt:i4>
      </vt:variant>
      <vt:variant>
        <vt:i4>0</vt:i4>
      </vt:variant>
      <vt:variant>
        <vt:i4>5</vt:i4>
      </vt:variant>
      <vt:variant>
        <vt:lpwstr>https://journals.plos.org/plosone/article?id=10.1371%2Fjournal.pone.0267670&amp;utm_source=chatgpt.com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Awadh Salalimana</dc:creator>
  <cp:keywords/>
  <dc:description/>
  <cp:lastModifiedBy>SDI 1019</cp:lastModifiedBy>
  <cp:revision>11</cp:revision>
  <dcterms:created xsi:type="dcterms:W3CDTF">2026-01-17T08:20:00Z</dcterms:created>
  <dcterms:modified xsi:type="dcterms:W3CDTF">2026-01-20T10:35:00Z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04de3b45-844c-42be-897d-cc1e8aa730eb</vt:lpwstr>
  </property>
  <property fmtid="{D5CDD505-2E9C-101B-9397-08002B2CF9AE}" pid="3" name="Mendeley Recent Style Id 0_1">
    <vt:lpwstr>http://www.zotero.org/styles/american-chemical-society</vt:lpwstr>
  </property>
  <property fmtid="{D5CDD505-2E9C-101B-9397-08002B2CF9AE}" pid="4" name="Mendeley Recent Style Name 0_1">
    <vt:lpwstr>American Chemical Society</vt:lpwstr>
  </property>
  <property fmtid="{D5CDD505-2E9C-101B-9397-08002B2CF9AE}" pid="5" name="Mendeley Recent Style Id 1_1">
    <vt:lpwstr>http://www.zotero.org/styles/american-medical-association</vt:lpwstr>
  </property>
  <property fmtid="{D5CDD505-2E9C-101B-9397-08002B2CF9AE}" pid="6" name="Mendeley Recent Style Name 1_1">
    <vt:lpwstr>American Medical Association 11th edition</vt:lpwstr>
  </property>
  <property fmtid="{D5CDD505-2E9C-101B-9397-08002B2CF9AE}" pid="7" name="Mendeley Recent Style Id 2_1">
    <vt:lpwstr>http://www.zotero.org/styles/american-political-science-association</vt:lpwstr>
  </property>
  <property fmtid="{D5CDD505-2E9C-101B-9397-08002B2CF9AE}" pid="8" name="Mendeley Recent Style Name 2_1">
    <vt:lpwstr>American Political Science Association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17th edition (note)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cccce271-7dd1-3059-84fe-b8fbeaa9ff09</vt:lpwstr>
  </property>
  <property fmtid="{D5CDD505-2E9C-101B-9397-08002B2CF9AE}" pid="25" name="Mendeley Citation Style_1">
    <vt:lpwstr>http://www.zotero.org/styles/ieee</vt:lpwstr>
  </property>
</Properties>
</file>