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94CED" w14:textId="2CE55D40" w:rsidR="00017204" w:rsidRDefault="00017204" w:rsidP="00017204">
      <w:pPr>
        <w:pStyle w:val="NormalWeb"/>
        <w:spacing w:before="0" w:beforeAutospacing="0" w:after="0" w:afterAutospacing="0"/>
        <w:rPr>
          <w:rFonts w:asciiTheme="minorHAnsi" w:hAnsiTheme="minorHAnsi"/>
          <w:b/>
          <w:bCs/>
          <w:sz w:val="22"/>
          <w:szCs w:val="22"/>
        </w:rPr>
      </w:pPr>
      <w:r w:rsidRPr="00017204">
        <w:rPr>
          <w:rFonts w:asciiTheme="minorHAnsi" w:hAnsiTheme="minorHAnsi"/>
          <w:b/>
          <w:bCs/>
          <w:sz w:val="22"/>
          <w:szCs w:val="22"/>
        </w:rPr>
        <w:t>Comparison of the Quick-Wee Method and Standard Clean-Catch for Urine Collection and their diagnostic quality</w:t>
      </w:r>
      <w:r>
        <w:rPr>
          <w:rFonts w:asciiTheme="minorHAnsi" w:hAnsiTheme="minorHAnsi"/>
          <w:b/>
          <w:bCs/>
          <w:sz w:val="22"/>
          <w:szCs w:val="22"/>
        </w:rPr>
        <w:t xml:space="preserve"> in febrile infants</w:t>
      </w:r>
    </w:p>
    <w:p w14:paraId="6FEDEB70" w14:textId="77777777" w:rsidR="009E5206" w:rsidRDefault="009E5206" w:rsidP="00294ABB">
      <w:pPr>
        <w:rPr>
          <w:b/>
          <w:bCs/>
        </w:rPr>
      </w:pPr>
    </w:p>
    <w:p w14:paraId="4780BC54" w14:textId="348BBD67" w:rsidR="00294ABB" w:rsidRPr="00294ABB" w:rsidRDefault="00294ABB" w:rsidP="00294ABB">
      <w:pPr>
        <w:rPr>
          <w:b/>
          <w:bCs/>
        </w:rPr>
      </w:pPr>
      <w:r w:rsidRPr="00294ABB">
        <w:rPr>
          <w:b/>
          <w:bCs/>
        </w:rPr>
        <w:t>ABSTRACT</w:t>
      </w:r>
    </w:p>
    <w:p w14:paraId="30C5C7BF" w14:textId="41FAA9DF" w:rsidR="00294ABB" w:rsidRPr="00294ABB" w:rsidRDefault="00294ABB" w:rsidP="00294ABB">
      <w:r w:rsidRPr="00294ABB">
        <w:rPr>
          <w:b/>
          <w:bCs/>
        </w:rPr>
        <w:t xml:space="preserve">Background: </w:t>
      </w:r>
      <w:r w:rsidR="00AC375A">
        <w:t>A</w:t>
      </w:r>
      <w:r w:rsidRPr="00294ABB">
        <w:t xml:space="preserve">ccurate diagnosis </w:t>
      </w:r>
      <w:r w:rsidR="00AC375A">
        <w:t>of Ur</w:t>
      </w:r>
      <w:r w:rsidR="00530670">
        <w:t xml:space="preserve">inary tract infection </w:t>
      </w:r>
      <w:r w:rsidRPr="00294ABB">
        <w:t>depends on obtaining a reliable urine sample. However, urine collection in precontinent infants is challenging. The Quick-Wee method, which uses suprapubic cutaneous stimulation has emerged as a non-invasive alternative</w:t>
      </w:r>
      <w:r w:rsidR="00530670">
        <w:t>.</w:t>
      </w:r>
    </w:p>
    <w:p w14:paraId="2E8CAD13" w14:textId="67C3A2E6" w:rsidR="00294ABB" w:rsidRPr="00294ABB" w:rsidRDefault="00294ABB" w:rsidP="00294ABB">
      <w:r w:rsidRPr="00294ABB">
        <w:rPr>
          <w:b/>
          <w:bCs/>
        </w:rPr>
        <w:t xml:space="preserve">Aim: </w:t>
      </w:r>
      <w:r w:rsidRPr="00294ABB">
        <w:t>To evaluate the effectiveness of the Quick-Wee method and compare the diagnostic quality of urine samples collected using this method with standard clean-catch urine collection in febrile infants.</w:t>
      </w:r>
      <w:bookmarkStart w:id="0" w:name="_GoBack"/>
      <w:bookmarkEnd w:id="0"/>
    </w:p>
    <w:p w14:paraId="65D87EB4" w14:textId="2E2423D0" w:rsidR="00294ABB" w:rsidRPr="00294ABB" w:rsidRDefault="00294ABB" w:rsidP="00294ABB">
      <w:pPr>
        <w:rPr>
          <w:b/>
          <w:bCs/>
        </w:rPr>
      </w:pPr>
      <w:r w:rsidRPr="00294ABB">
        <w:rPr>
          <w:b/>
          <w:bCs/>
        </w:rPr>
        <w:t xml:space="preserve">Methods: </w:t>
      </w:r>
      <w:r w:rsidR="00263080">
        <w:t>C</w:t>
      </w:r>
      <w:r w:rsidRPr="00294ABB">
        <w:t xml:space="preserve">omparative observational randomized controlled trial at a tertiary care </w:t>
      </w:r>
      <w:r w:rsidR="006E2E1D" w:rsidRPr="00294ABB">
        <w:t>centre</w:t>
      </w:r>
      <w:r w:rsidRPr="00294ABB">
        <w:t>. Febrile infants were randomized to urine collection by either the Quick-Wee method or the standard clean-catch method. Only infants in whom urine was successfully collected within five minutes were included. Urine samples were evaluated using microscopy, dipstick analysis, and culture. Contamination was defined as mixed bacterial growth.</w:t>
      </w:r>
    </w:p>
    <w:p w14:paraId="3D81A033" w14:textId="77777777" w:rsidR="00294ABB" w:rsidRPr="00294ABB" w:rsidRDefault="00294ABB" w:rsidP="00294ABB">
      <w:r w:rsidRPr="00294ABB">
        <w:rPr>
          <w:b/>
          <w:bCs/>
        </w:rPr>
        <w:t xml:space="preserve">Results: </w:t>
      </w:r>
      <w:r w:rsidRPr="00294ABB">
        <w:t>A total of 182 infants were enrolled, of whom 40 had successful urine collection (29 Quick-Wee, 11 clean-catch). The success rate of urine collection was significantly higher in the Quick-Wee group (31.8%) compared with the clean-catch group (12.1%) (p = 0.009). Rates of pyuria, dipstick positivity, and culture positivity were comparable between the two groups. Contamination rates were 12.0% in the Quick-Wee group and 18.2% in the clean-catch group, with no statistically significant difference.</w:t>
      </w:r>
    </w:p>
    <w:p w14:paraId="30EB9214" w14:textId="27AA7223" w:rsidR="00294ABB" w:rsidRPr="00294ABB" w:rsidRDefault="00294ABB" w:rsidP="00294ABB">
      <w:pPr>
        <w:rPr>
          <w:b/>
          <w:bCs/>
        </w:rPr>
      </w:pPr>
      <w:r w:rsidRPr="00294ABB">
        <w:rPr>
          <w:b/>
          <w:bCs/>
        </w:rPr>
        <w:t xml:space="preserve">Conclusion: </w:t>
      </w:r>
      <w:r w:rsidRPr="00294ABB">
        <w:t xml:space="preserve">The Quick-Wee method provides urine samples of diagnostic quality comparable to standard clean-catch collection while offering a higher success rate. It is a reliable, non-invasive, and practical technique for urine collection </w:t>
      </w:r>
    </w:p>
    <w:p w14:paraId="0B390ECA" w14:textId="77777777" w:rsidR="00294ABB" w:rsidRPr="00294ABB" w:rsidRDefault="00294ABB" w:rsidP="00294ABB">
      <w:pPr>
        <w:rPr>
          <w:b/>
          <w:bCs/>
        </w:rPr>
      </w:pPr>
      <w:r w:rsidRPr="00294ABB">
        <w:rPr>
          <w:b/>
          <w:bCs/>
        </w:rPr>
        <w:t>Keywords</w:t>
      </w:r>
    </w:p>
    <w:p w14:paraId="26F91800" w14:textId="2490C951" w:rsidR="00294ABB" w:rsidRPr="00294ABB" w:rsidRDefault="00294ABB" w:rsidP="00294ABB">
      <w:r w:rsidRPr="00294ABB">
        <w:t>Quick-Wee method; urinary tract infection; febrile infants</w:t>
      </w:r>
    </w:p>
    <w:p w14:paraId="3D1A8FD1" w14:textId="6F8D4C17" w:rsidR="00294ABB" w:rsidRPr="00294ABB" w:rsidRDefault="00294ABB" w:rsidP="00294ABB"/>
    <w:p w14:paraId="78B8DC49" w14:textId="77777777" w:rsidR="00294ABB" w:rsidRDefault="00294ABB" w:rsidP="00294ABB">
      <w:pPr>
        <w:rPr>
          <w:b/>
          <w:bCs/>
        </w:rPr>
      </w:pPr>
    </w:p>
    <w:p w14:paraId="68A98FEA" w14:textId="77777777" w:rsidR="00294ABB" w:rsidRDefault="00294ABB" w:rsidP="00294ABB">
      <w:pPr>
        <w:rPr>
          <w:b/>
          <w:bCs/>
        </w:rPr>
      </w:pPr>
    </w:p>
    <w:p w14:paraId="27922226" w14:textId="77777777" w:rsidR="00294ABB" w:rsidRDefault="00294ABB" w:rsidP="00294ABB">
      <w:pPr>
        <w:rPr>
          <w:b/>
          <w:bCs/>
        </w:rPr>
      </w:pPr>
    </w:p>
    <w:p w14:paraId="021336DF" w14:textId="77777777" w:rsidR="00294ABB" w:rsidRDefault="00294ABB" w:rsidP="00294ABB">
      <w:pPr>
        <w:rPr>
          <w:b/>
          <w:bCs/>
        </w:rPr>
      </w:pPr>
    </w:p>
    <w:p w14:paraId="6C1A06A9" w14:textId="77777777" w:rsidR="00294ABB" w:rsidRDefault="00294ABB" w:rsidP="00294ABB">
      <w:pPr>
        <w:rPr>
          <w:b/>
          <w:bCs/>
        </w:rPr>
      </w:pPr>
    </w:p>
    <w:p w14:paraId="387B2520" w14:textId="77777777" w:rsidR="00294ABB" w:rsidRDefault="00294ABB" w:rsidP="00294ABB">
      <w:pPr>
        <w:rPr>
          <w:b/>
          <w:bCs/>
        </w:rPr>
      </w:pPr>
    </w:p>
    <w:p w14:paraId="6A0167B0" w14:textId="77777777" w:rsidR="00294ABB" w:rsidRDefault="00294ABB" w:rsidP="00294ABB">
      <w:pPr>
        <w:rPr>
          <w:b/>
          <w:bCs/>
        </w:rPr>
      </w:pPr>
    </w:p>
    <w:p w14:paraId="6D1B5D61" w14:textId="77777777" w:rsidR="00294ABB" w:rsidRDefault="00294ABB" w:rsidP="00294ABB">
      <w:pPr>
        <w:rPr>
          <w:b/>
          <w:bCs/>
        </w:rPr>
      </w:pPr>
    </w:p>
    <w:p w14:paraId="47B9D77D" w14:textId="77777777" w:rsidR="00294ABB" w:rsidRDefault="00294ABB" w:rsidP="00294ABB">
      <w:pPr>
        <w:rPr>
          <w:b/>
          <w:bCs/>
        </w:rPr>
      </w:pPr>
    </w:p>
    <w:p w14:paraId="1138858A" w14:textId="5B62F018" w:rsidR="00294ABB" w:rsidRPr="00294ABB" w:rsidRDefault="00294ABB" w:rsidP="00294ABB">
      <w:pPr>
        <w:rPr>
          <w:b/>
          <w:bCs/>
        </w:rPr>
      </w:pPr>
      <w:r w:rsidRPr="00294ABB">
        <w:rPr>
          <w:b/>
          <w:bCs/>
        </w:rPr>
        <w:t>INTRODUCTION</w:t>
      </w:r>
    </w:p>
    <w:p w14:paraId="0BFC6355" w14:textId="77777777" w:rsidR="00A073EF" w:rsidRPr="00A073EF" w:rsidRDefault="00A073EF" w:rsidP="00A073EF">
      <w:r w:rsidRPr="00A073EF">
        <w:lastRenderedPageBreak/>
        <w:t>Urinary tract infection (UTI) is one of the most common serious bacterial infections in infancy. Prompt and accurate diagnosis is essential to initiate appropriate treatment and prevent complications.¹,²</w:t>
      </w:r>
    </w:p>
    <w:p w14:paraId="6C7B6913" w14:textId="2AE8EC9F" w:rsidR="00A073EF" w:rsidRPr="00A073EF" w:rsidRDefault="00A073EF" w:rsidP="00A073EF">
      <w:r w:rsidRPr="00A073EF">
        <w:t>Urine collection in precontinent infants remains challenging. Invasive methods such as urethral catheterization and suprapubic aspiration provide high-quality samples but are painful, technically demanding, and distressing for both infants and caregivers. Clean-catch urine collection is widely recommended because it avoids invasive procedures and has lower contamination rates than urine collection bags. However, clean-catch sampling is often time-consuming, frequently unsuccessful, and may delay diagnosis.⁴,⁶ Recent paediatric and emergency medicine guidelines continue to emphasize non-invasive urine collection strategies, including clean-catch and stimulation-based techniques, particularly in clinically stable infants.¹⁵,¹⁶</w:t>
      </w:r>
    </w:p>
    <w:p w14:paraId="557AFCC1" w14:textId="77777777" w:rsidR="00A073EF" w:rsidRPr="00A073EF" w:rsidRDefault="00A073EF" w:rsidP="00A073EF">
      <w:r w:rsidRPr="00A073EF">
        <w:t>The Quick-Wee method, which involves suprapubic cutaneous stimulation using cold, wet gauze to trigger reflex voiding, is a simple and non-invasive technique to improve urine collection success in infants. Several studies have demonstrated improved efficiency with this method, but concerns remain regarding the diagnostic reliability of urine obtained through stimulation-based techniques. Potential risks include contamination from perineal flora and false-positive culture results, which may lead to unnecessary investigations or antibiotic use.⁵,⁷,⁹</w:t>
      </w:r>
    </w:p>
    <w:p w14:paraId="6A3F65E2" w14:textId="77777777" w:rsidR="00A073EF" w:rsidRPr="00A073EF" w:rsidRDefault="00A073EF" w:rsidP="00A073EF">
      <w:r w:rsidRPr="00A073EF">
        <w:t>Evidence evaluating the diagnostic quality of urine samples collected using the Quick-Wee method remains limited, particularly in low- and middle-income countries.⁷,⁹ Recent narrative reviews and implementation studies highlight evolving approaches to urine collection in febrile infants, emphasizing feasibility, caregiver acceptability, and clinical workflow integration.¹⁷</w:t>
      </w:r>
    </w:p>
    <w:p w14:paraId="1D346CEA" w14:textId="77777777" w:rsidR="00A073EF" w:rsidRPr="00A073EF" w:rsidRDefault="00A073EF" w:rsidP="00A073EF">
      <w:r w:rsidRPr="00A073EF">
        <w:t>The present study aimed to evaluate the effectiveness of the Quick-Wee method and to compare the diagnostic quality of urine samples collected using this technique with those obtained by standard clean-catch urine collection in febrile infants.</w:t>
      </w:r>
    </w:p>
    <w:p w14:paraId="15864BEF" w14:textId="043570E4" w:rsidR="00294ABB" w:rsidRPr="00294ABB" w:rsidRDefault="00294ABB" w:rsidP="00294ABB"/>
    <w:p w14:paraId="14AFD3C5" w14:textId="77777777" w:rsidR="00270893" w:rsidRPr="00270893" w:rsidRDefault="00270893" w:rsidP="00270893">
      <w:pPr>
        <w:rPr>
          <w:b/>
          <w:bCs/>
        </w:rPr>
      </w:pPr>
      <w:r w:rsidRPr="00270893">
        <w:rPr>
          <w:b/>
          <w:bCs/>
        </w:rPr>
        <w:t>MATERIALS AND METHODS</w:t>
      </w:r>
    </w:p>
    <w:p w14:paraId="385BE404" w14:textId="4C1784B2" w:rsidR="00270893" w:rsidRDefault="00270893" w:rsidP="00270893">
      <w:r w:rsidRPr="00270893">
        <w:t>This</w:t>
      </w:r>
      <w:r w:rsidR="00E37C79">
        <w:t xml:space="preserve"> </w:t>
      </w:r>
      <w:r w:rsidRPr="00270893">
        <w:t xml:space="preserve"> </w:t>
      </w:r>
      <w:r w:rsidR="00E37C79">
        <w:t xml:space="preserve">Randomised control trial </w:t>
      </w:r>
      <w:r w:rsidRPr="00270893">
        <w:t xml:space="preserve">was conducted </w:t>
      </w:r>
      <w:r w:rsidR="00E37C79">
        <w:t xml:space="preserve">at the </w:t>
      </w:r>
      <w:r w:rsidRPr="00270893">
        <w:t>Department of Paediatrics, Pragna Children’s Hospital, Hyderabad, India, over a 15-month period. Ethical approval was obtained from the Institutional Ethics Committee, and written informed consent was obtained from parents prior to enrolment. The trial was registered with the Clinical Trials Registry of India (CTRI/2025/05/106954).</w:t>
      </w:r>
    </w:p>
    <w:p w14:paraId="65F51107" w14:textId="603B393F" w:rsidR="00E37C79" w:rsidRPr="00E37C79" w:rsidRDefault="00E37C79" w:rsidP="00E37C79">
      <w:pPr>
        <w:pStyle w:val="Default"/>
        <w:spacing w:before="0" w:after="140" w:line="240" w:lineRule="auto"/>
        <w:rPr>
          <w:rFonts w:asciiTheme="minorHAnsi" w:eastAsia="Arial Unicode MS" w:hAnsiTheme="minorHAnsi" w:cs="Times New Roman"/>
          <w:sz w:val="22"/>
          <w:szCs w:val="22"/>
          <w:lang w:val="en-IN"/>
        </w:rPr>
      </w:pPr>
      <w:r w:rsidRPr="00E37C79">
        <w:rPr>
          <w:rFonts w:asciiTheme="minorHAnsi" w:eastAsia="Arial Unicode MS" w:hAnsiTheme="minorHAnsi" w:cs="Times New Roman"/>
          <w:sz w:val="22"/>
          <w:szCs w:val="22"/>
          <w:lang w:val="en-IN"/>
        </w:rPr>
        <w:t>A total sample size of 182 was determined using power analysis to achieve an 80% power (β = 0.20) and a significance level (α) of 0.05. Based on previous studies, an estimated success rate of 70% for the Quick Wee method and 50% for traditional methods was used to determine the minimum required participants per group.</w:t>
      </w:r>
    </w:p>
    <w:p w14:paraId="384730D1" w14:textId="53F742A6" w:rsidR="00270893" w:rsidRPr="00270893" w:rsidRDefault="00270893" w:rsidP="00270893">
      <w:r w:rsidRPr="00270893">
        <w:t xml:space="preserve">Febrile infants presenting to the emergency department or outpatient services and requiring urine evaluation were eligible for inclusion. Fever was defined as an axillary temperature ≥38°C or documented fever within the preceding 24 hours. Infants were included only if they had not voided within four hours prior to collection and if urine was successfully obtained within five minutes. Infants who were critically ill, hemodynamically unstable, had congenital urinary tract anomalies, neurogenic bladder, </w:t>
      </w:r>
      <w:r w:rsidR="00E37C79">
        <w:t xml:space="preserve">had history of recent antibiotic use </w:t>
      </w:r>
      <w:r w:rsidRPr="00270893">
        <w:t>or required invasive urine collection were excluded.</w:t>
      </w:r>
    </w:p>
    <w:p w14:paraId="1E2880B8" w14:textId="509041F7" w:rsidR="00270893" w:rsidRPr="00270893" w:rsidRDefault="00270893" w:rsidP="00270893">
      <w:r w:rsidRPr="00270893">
        <w:t xml:space="preserve">Participants were randomized to urine collection by either the Quick-Wee method or standard clean-catch technique using a computer-generated random sequence. All procedures were performed by </w:t>
      </w:r>
      <w:r w:rsidRPr="00270893">
        <w:lastRenderedPageBreak/>
        <w:t>trained healthcare personnel following a standardized protocol. The perineal area was cleaned using sterile water-soaked gauze. In the Quick-Wee group, suprapubic stimulation was performed using cold saline–soaked gauze (2–8°C) for up to five minutes. In the clean-</w:t>
      </w:r>
      <w:r w:rsidR="003A4A17" w:rsidRPr="00270893">
        <w:t>catc</w:t>
      </w:r>
      <w:r w:rsidR="003A4A17">
        <w:t>h</w:t>
      </w:r>
      <w:r w:rsidRPr="00270893">
        <w:t xml:space="preserve"> group, infants were observed for spontaneous voiding without stimulation. Midstream urine samples were collected into sterile containers.</w:t>
      </w:r>
    </w:p>
    <w:p w14:paraId="12DECE91" w14:textId="5A487B04" w:rsidR="00270893" w:rsidRPr="00270893" w:rsidRDefault="00270893" w:rsidP="00270893">
      <w:r w:rsidRPr="00270893">
        <w:t>A minimum of 1 mL of urine was required for analysis. Samples were promptly transported to the microbiology laboratory, where personnel were blinded to the collection method. Urine microscopy was performed on centrifuged samples, with pyuria defined as ≥5 white blood cells per high-power field. Dipstick testing assessed leukocyte esterase and nitrites. Urine cultures were processed using standard techniques</w:t>
      </w:r>
      <w:r w:rsidR="00B4798F">
        <w:t xml:space="preserve"> for</w:t>
      </w:r>
      <w:r w:rsidRPr="00270893">
        <w:t xml:space="preserve"> significant </w:t>
      </w:r>
      <w:r w:rsidR="006E2E1D" w:rsidRPr="00270893">
        <w:t>growth</w:t>
      </w:r>
      <w:r w:rsidR="006E2E1D">
        <w:t xml:space="preserve"> (</w:t>
      </w:r>
      <w:r w:rsidR="00B4798F">
        <w:t>&gt;10</w:t>
      </w:r>
      <w:r w:rsidR="00B4798F" w:rsidRPr="00B4798F">
        <w:rPr>
          <w:vertAlign w:val="superscript"/>
        </w:rPr>
        <w:t>5</w:t>
      </w:r>
      <w:r w:rsidR="00B4798F">
        <w:t xml:space="preserve"> colony counts) or contamination (</w:t>
      </w:r>
      <w:r w:rsidRPr="00270893">
        <w:t>mixed growth</w:t>
      </w:r>
      <w:r w:rsidR="00B4798F">
        <w:t>)</w:t>
      </w:r>
      <w:r w:rsidRPr="00270893">
        <w:t>.</w:t>
      </w:r>
    </w:p>
    <w:p w14:paraId="08A73B3D" w14:textId="04200687" w:rsidR="00270893" w:rsidRPr="00270893" w:rsidRDefault="00270893" w:rsidP="00270893">
      <w:r w:rsidRPr="00270893">
        <w:t xml:space="preserve">Data were </w:t>
      </w:r>
      <w:r w:rsidR="00B42911" w:rsidRPr="00270893">
        <w:t>analysed</w:t>
      </w:r>
      <w:r w:rsidRPr="00270893">
        <w:t xml:space="preserve"> using SPSS version 21. Categorical variables were expressed as frequencies and percentages and compared using chi-square or Fisher’s exact test. A p-value &lt;0.05 was considered statistically significant.</w:t>
      </w:r>
    </w:p>
    <w:p w14:paraId="1C7E92F3" w14:textId="77777777" w:rsidR="00270893" w:rsidRDefault="00270893" w:rsidP="00294ABB">
      <w:pPr>
        <w:rPr>
          <w:b/>
          <w:bCs/>
        </w:rPr>
      </w:pPr>
    </w:p>
    <w:p w14:paraId="75324256" w14:textId="202DEA34" w:rsidR="00294ABB" w:rsidRPr="00294ABB" w:rsidRDefault="00294ABB" w:rsidP="00294ABB">
      <w:pPr>
        <w:rPr>
          <w:b/>
          <w:bCs/>
        </w:rPr>
      </w:pPr>
      <w:r w:rsidRPr="00294ABB">
        <w:rPr>
          <w:b/>
          <w:bCs/>
        </w:rPr>
        <w:t>RESULTS</w:t>
      </w:r>
    </w:p>
    <w:p w14:paraId="7F51C2CC" w14:textId="5A7B388C" w:rsidR="006D2275" w:rsidRPr="006D2275" w:rsidRDefault="006D2275" w:rsidP="006D2275">
      <w:pPr>
        <w:rPr>
          <w:rFonts w:cs="Arial"/>
        </w:rPr>
      </w:pPr>
      <w:r w:rsidRPr="006D2275">
        <w:rPr>
          <w:rFonts w:cs="Arial"/>
        </w:rPr>
        <w:t>This study aimed to evaluate the effectiveness of Quick wee method in urine sample collection in febrile infants aged less than one year and to evaluate the diagnostic quality of urine samples collected with comparison to clean catch method. This study is a randomized controlled trial conducted at Pragna Hospital, Hyderabad, India over 15 months. Diagnostic performance was compared using microscopy, dipstick analysis, culture results, and contamination rates to assess the clinical reliability of the Quick-Wee technique.</w:t>
      </w:r>
    </w:p>
    <w:p w14:paraId="256A9290" w14:textId="6620AB0C" w:rsidR="00294ABB" w:rsidRPr="00294ABB" w:rsidRDefault="00294ABB" w:rsidP="00294ABB">
      <w:r w:rsidRPr="00294ABB">
        <w:t>A total of 182 febrile infants aged less than one year were enrolled in the study and randomized equally into two groups: the Quick-Wee group (n = 91) and the clean-catch group (n = 91). Successful urine collection within five minutes was achieved in 40 infants (22.0%). Of these, 29 samples (72.5%) were obtained using the Quick-Wee method and 11 samples (27.5%) using the standard clean-catch technique. Only these successfully collected samples were included in the diagnostic analysis.</w:t>
      </w:r>
    </w:p>
    <w:p w14:paraId="0DE6B2C9" w14:textId="77777777" w:rsidR="00294ABB" w:rsidRPr="00294ABB" w:rsidRDefault="00294ABB" w:rsidP="00294ABB">
      <w:pPr>
        <w:rPr>
          <w:b/>
          <w:bCs/>
        </w:rPr>
      </w:pPr>
      <w:r w:rsidRPr="00294ABB">
        <w:rPr>
          <w:b/>
          <w:bCs/>
        </w:rPr>
        <w:t>Success Rate of Urine Collection</w:t>
      </w:r>
    </w:p>
    <w:p w14:paraId="66657ED1" w14:textId="77777777" w:rsidR="00294ABB" w:rsidRPr="00294ABB" w:rsidRDefault="00294ABB" w:rsidP="00294ABB">
      <w:r w:rsidRPr="00294ABB">
        <w:t>The success rate of urine collection within five minutes was significantly higher in the Quick-Wee group compared to the clean-catch group. Successful collection occurred in 29 of 91 infants (31.8%) in the Quick-Wee group, compared with 11 of 91 infants (12.1%) in the clean-catch group. This difference was statistically significant (p = 0.009), demonstrating superior efficiency of the Quick-Wee method for rapid urine collection.</w:t>
      </w:r>
    </w:p>
    <w:p w14:paraId="397927F2" w14:textId="77777777" w:rsidR="00294ABB" w:rsidRPr="00294ABB" w:rsidRDefault="00294ABB" w:rsidP="00294ABB">
      <w:pPr>
        <w:rPr>
          <w:b/>
          <w:bCs/>
        </w:rPr>
      </w:pPr>
      <w:r w:rsidRPr="00294ABB">
        <w:rPr>
          <w:b/>
          <w:bCs/>
        </w:rPr>
        <w:t>Urine Microscopy Findings</w:t>
      </w:r>
    </w:p>
    <w:p w14:paraId="77FE50FE" w14:textId="21C6CC42" w:rsidR="00294ABB" w:rsidRPr="00294ABB" w:rsidRDefault="00294ABB" w:rsidP="00294ABB">
      <w:r w:rsidRPr="00294ABB">
        <w:t>Urine microscopy demonstrated comparable findings between the two urine collection methods. Pyuria (defined as ≥5 white blood cells per high-power field) was detected in 32.0% of samples collected using the Quick-Wee method and 27.3% of samples collected using the clean-catch method. This difference was not statistically significant (p = 0.78</w:t>
      </w:r>
      <w:r w:rsidR="00AC12F5">
        <w:t>).</w:t>
      </w:r>
    </w:p>
    <w:p w14:paraId="6794E65E" w14:textId="35E72DC3" w:rsidR="00294ABB" w:rsidRPr="00294ABB" w:rsidRDefault="00294ABB" w:rsidP="00294ABB">
      <w:r w:rsidRPr="00294ABB">
        <w:t>A detailed analysis of the severity of pyuria revealed similar distributions across both groups. Mild pyuria (8–15 WBC/HPF) was observed in 12.0% of Quick-Wee samples and 9.1% of clean-catch samples. Moderate pyuria (16–25 WBC/HPF) was present in 12.0% and 9.1%, respectively, while severe pyuria (&gt;50 WBC/HPF) occurred in 8.0% of Quick-Wee samples and 9.1% of clean-catch samples</w:t>
      </w:r>
      <w:r w:rsidR="00AC12F5">
        <w:t>.</w:t>
      </w:r>
    </w:p>
    <w:p w14:paraId="56568D92" w14:textId="77777777" w:rsidR="00294ABB" w:rsidRPr="00294ABB" w:rsidRDefault="00294ABB" w:rsidP="00294ABB">
      <w:pPr>
        <w:rPr>
          <w:b/>
          <w:bCs/>
        </w:rPr>
      </w:pPr>
      <w:r w:rsidRPr="00294ABB">
        <w:rPr>
          <w:b/>
          <w:bCs/>
        </w:rPr>
        <w:lastRenderedPageBreak/>
        <w:t>Urinalysis Dipstick Results</w:t>
      </w:r>
    </w:p>
    <w:p w14:paraId="518209AE" w14:textId="77777777" w:rsidR="00294ABB" w:rsidRPr="00294ABB" w:rsidRDefault="00294ABB" w:rsidP="00294ABB">
      <w:r w:rsidRPr="00294ABB">
        <w:t>Dipstick urinalysis showed comparable diagnostic performance between the two urine collection methods. Overall dipstick positivity was observed in 32.0% of samples collected using the Quick-Wee method and 27.3% of samples obtained through clean-catch collection (p = 0.78).</w:t>
      </w:r>
    </w:p>
    <w:p w14:paraId="75EB820E" w14:textId="77777777" w:rsidR="00294ABB" w:rsidRPr="00294ABB" w:rsidRDefault="00294ABB" w:rsidP="00294ABB">
      <w:pPr>
        <w:rPr>
          <w:b/>
          <w:bCs/>
        </w:rPr>
      </w:pPr>
      <w:r w:rsidRPr="00294ABB">
        <w:rPr>
          <w:b/>
          <w:bCs/>
        </w:rPr>
        <w:t>Urine Culture Results</w:t>
      </w:r>
    </w:p>
    <w:p w14:paraId="66E947C0" w14:textId="3C55B528" w:rsidR="00294ABB" w:rsidRPr="00294ABB" w:rsidRDefault="00294ABB" w:rsidP="00294ABB">
      <w:r w:rsidRPr="00294ABB">
        <w:t>Urine culture results were comparable between the two groups. Significant bacterial growth was detected in 3</w:t>
      </w:r>
      <w:r w:rsidR="00AC12F5">
        <w:t>7</w:t>
      </w:r>
      <w:r w:rsidRPr="00294ABB">
        <w:t>.</w:t>
      </w:r>
      <w:r w:rsidR="00AC12F5">
        <w:t>9</w:t>
      </w:r>
      <w:r w:rsidRPr="00294ABB">
        <w:t xml:space="preserve">% of samples collected using the Quick-Wee method and in </w:t>
      </w:r>
      <w:r w:rsidR="00AC12F5">
        <w:t>36</w:t>
      </w:r>
      <w:r w:rsidRPr="00294ABB">
        <w:t>.</w:t>
      </w:r>
      <w:r w:rsidR="00AC12F5">
        <w:t>4</w:t>
      </w:r>
      <w:r w:rsidRPr="00294ABB">
        <w:t>% of samples collected using the clean-catch method (p = 0.439).</w:t>
      </w:r>
    </w:p>
    <w:p w14:paraId="1E726F16" w14:textId="49E5233C" w:rsidR="00294ABB" w:rsidRPr="00294ABB" w:rsidRDefault="00294ABB" w:rsidP="00294ABB">
      <w:r w:rsidRPr="00294ABB">
        <w:t xml:space="preserve">Escherichia coli was the most frequently isolated organism in both groups, followed by Klebsiella and Enterococcus species. </w:t>
      </w:r>
    </w:p>
    <w:p w14:paraId="4F1C9FED" w14:textId="77777777" w:rsidR="00294ABB" w:rsidRPr="00294ABB" w:rsidRDefault="00294ABB" w:rsidP="00294ABB">
      <w:pPr>
        <w:rPr>
          <w:b/>
          <w:bCs/>
        </w:rPr>
      </w:pPr>
      <w:r w:rsidRPr="00294ABB">
        <w:rPr>
          <w:b/>
          <w:bCs/>
        </w:rPr>
        <w:t>Contamination Rates</w:t>
      </w:r>
    </w:p>
    <w:p w14:paraId="18301387" w14:textId="454FC143" w:rsidR="00294ABB" w:rsidRDefault="00294ABB" w:rsidP="00294ABB">
      <w:r w:rsidRPr="00294ABB">
        <w:t>Contaminated samples were identified in 12.0% of the Quick-Wee group and 18.2% of the clean-catch group. This difference was not statistically significant (p = 0.636). The relatively lower contamination rate observed in the Quick-Wee group supports the microbiological reliability of this method.</w:t>
      </w:r>
      <w:r w:rsidR="006D2275">
        <w:t xml:space="preserve"> (Table 1)</w:t>
      </w:r>
    </w:p>
    <w:p w14:paraId="3178432B" w14:textId="7D2F9993" w:rsidR="006D2275" w:rsidRPr="002A50BA" w:rsidRDefault="006D2275" w:rsidP="006D2275">
      <w:pPr>
        <w:rPr>
          <w:rFonts w:ascii="Arial" w:hAnsi="Arial" w:cs="Arial"/>
        </w:rPr>
      </w:pPr>
      <w:r w:rsidRPr="002A50BA">
        <w:rPr>
          <w:rFonts w:ascii="Arial" w:hAnsi="Arial" w:cs="Arial"/>
        </w:rPr>
        <w:t xml:space="preserve">Table </w:t>
      </w:r>
      <w:r>
        <w:rPr>
          <w:rFonts w:ascii="Arial" w:hAnsi="Arial" w:cs="Arial"/>
        </w:rPr>
        <w:t>1</w:t>
      </w:r>
      <w:r w:rsidRPr="002A50BA">
        <w:rPr>
          <w:rFonts w:ascii="Arial" w:hAnsi="Arial" w:cs="Arial"/>
        </w:rPr>
        <w:t>: Comparison of Contamination and Positive Culture Rates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7"/>
        <w:gridCol w:w="2051"/>
        <w:gridCol w:w="2177"/>
        <w:gridCol w:w="866"/>
      </w:tblGrid>
      <w:tr w:rsidR="006D2275" w:rsidRPr="002A50BA" w14:paraId="3B9A9263" w14:textId="77777777" w:rsidTr="00D4559E">
        <w:trPr>
          <w:tblHeader/>
          <w:tblCellSpacing w:w="15" w:type="dxa"/>
        </w:trPr>
        <w:tc>
          <w:tcPr>
            <w:tcW w:w="0" w:type="auto"/>
            <w:vAlign w:val="center"/>
            <w:hideMark/>
          </w:tcPr>
          <w:p w14:paraId="6DB58550" w14:textId="77777777" w:rsidR="006D2275" w:rsidRPr="002A50BA" w:rsidRDefault="006D2275" w:rsidP="00D4559E">
            <w:pPr>
              <w:rPr>
                <w:rFonts w:ascii="Arial" w:hAnsi="Arial" w:cs="Arial"/>
                <w:b/>
                <w:bCs/>
              </w:rPr>
            </w:pPr>
            <w:r w:rsidRPr="002A50BA">
              <w:rPr>
                <w:rFonts w:ascii="Arial" w:hAnsi="Arial" w:cs="Arial"/>
                <w:b/>
                <w:bCs/>
              </w:rPr>
              <w:t>Parameter</w:t>
            </w:r>
          </w:p>
        </w:tc>
        <w:tc>
          <w:tcPr>
            <w:tcW w:w="0" w:type="auto"/>
            <w:vAlign w:val="center"/>
            <w:hideMark/>
          </w:tcPr>
          <w:p w14:paraId="67C82CD8" w14:textId="77777777" w:rsidR="006D2275" w:rsidRPr="002A50BA" w:rsidRDefault="006D2275" w:rsidP="00D4559E">
            <w:pPr>
              <w:rPr>
                <w:rFonts w:ascii="Arial" w:hAnsi="Arial" w:cs="Arial"/>
                <w:b/>
                <w:bCs/>
              </w:rPr>
            </w:pPr>
            <w:r w:rsidRPr="002A50BA">
              <w:rPr>
                <w:rFonts w:ascii="Arial" w:hAnsi="Arial" w:cs="Arial"/>
                <w:b/>
                <w:bCs/>
              </w:rPr>
              <w:t>Quick-Wee (n = 25)</w:t>
            </w:r>
          </w:p>
        </w:tc>
        <w:tc>
          <w:tcPr>
            <w:tcW w:w="0" w:type="auto"/>
            <w:vAlign w:val="center"/>
            <w:hideMark/>
          </w:tcPr>
          <w:p w14:paraId="056D5222" w14:textId="77777777" w:rsidR="006D2275" w:rsidRPr="002A50BA" w:rsidRDefault="006D2275" w:rsidP="00D4559E">
            <w:pPr>
              <w:rPr>
                <w:rFonts w:ascii="Arial" w:hAnsi="Arial" w:cs="Arial"/>
                <w:b/>
                <w:bCs/>
              </w:rPr>
            </w:pPr>
            <w:r w:rsidRPr="002A50BA">
              <w:rPr>
                <w:rFonts w:ascii="Arial" w:hAnsi="Arial" w:cs="Arial"/>
                <w:b/>
                <w:bCs/>
              </w:rPr>
              <w:t>Clean Catch (n = 11)</w:t>
            </w:r>
          </w:p>
        </w:tc>
        <w:tc>
          <w:tcPr>
            <w:tcW w:w="0" w:type="auto"/>
            <w:vAlign w:val="center"/>
            <w:hideMark/>
          </w:tcPr>
          <w:p w14:paraId="4DF498E6" w14:textId="77777777" w:rsidR="006D2275" w:rsidRPr="002A50BA" w:rsidRDefault="006D2275" w:rsidP="00D4559E">
            <w:pPr>
              <w:rPr>
                <w:rFonts w:ascii="Arial" w:hAnsi="Arial" w:cs="Arial"/>
                <w:b/>
                <w:bCs/>
              </w:rPr>
            </w:pPr>
            <w:r w:rsidRPr="002A50BA">
              <w:rPr>
                <w:rFonts w:ascii="Arial" w:hAnsi="Arial" w:cs="Arial"/>
                <w:b/>
                <w:bCs/>
              </w:rPr>
              <w:t>p-value</w:t>
            </w:r>
          </w:p>
        </w:tc>
      </w:tr>
      <w:tr w:rsidR="006D2275" w:rsidRPr="002A50BA" w14:paraId="7FE8B047" w14:textId="77777777" w:rsidTr="00D4559E">
        <w:trPr>
          <w:tblCellSpacing w:w="15" w:type="dxa"/>
        </w:trPr>
        <w:tc>
          <w:tcPr>
            <w:tcW w:w="0" w:type="auto"/>
            <w:vAlign w:val="center"/>
            <w:hideMark/>
          </w:tcPr>
          <w:p w14:paraId="33EEA9D8" w14:textId="77777777" w:rsidR="006D2275" w:rsidRPr="002A50BA" w:rsidRDefault="006D2275" w:rsidP="00D4559E">
            <w:pPr>
              <w:rPr>
                <w:rFonts w:ascii="Arial" w:hAnsi="Arial" w:cs="Arial"/>
              </w:rPr>
            </w:pPr>
            <w:r w:rsidRPr="002A50BA">
              <w:rPr>
                <w:rFonts w:ascii="Arial" w:hAnsi="Arial" w:cs="Arial"/>
              </w:rPr>
              <w:t>Contamination rate</w:t>
            </w:r>
          </w:p>
        </w:tc>
        <w:tc>
          <w:tcPr>
            <w:tcW w:w="0" w:type="auto"/>
            <w:vAlign w:val="center"/>
            <w:hideMark/>
          </w:tcPr>
          <w:p w14:paraId="65F6A10D" w14:textId="77777777" w:rsidR="006D2275" w:rsidRPr="002A50BA" w:rsidRDefault="006D2275" w:rsidP="00D4559E">
            <w:pPr>
              <w:rPr>
                <w:rFonts w:ascii="Arial" w:hAnsi="Arial" w:cs="Arial"/>
              </w:rPr>
            </w:pPr>
            <w:r w:rsidRPr="002A50BA">
              <w:rPr>
                <w:rFonts w:ascii="Arial" w:hAnsi="Arial" w:cs="Arial"/>
              </w:rPr>
              <w:t>3 (12.0%)</w:t>
            </w:r>
          </w:p>
        </w:tc>
        <w:tc>
          <w:tcPr>
            <w:tcW w:w="0" w:type="auto"/>
            <w:vAlign w:val="center"/>
            <w:hideMark/>
          </w:tcPr>
          <w:p w14:paraId="418D6AE8" w14:textId="77777777" w:rsidR="006D2275" w:rsidRPr="002A50BA" w:rsidRDefault="006D2275" w:rsidP="00D4559E">
            <w:pPr>
              <w:rPr>
                <w:rFonts w:ascii="Arial" w:hAnsi="Arial" w:cs="Arial"/>
              </w:rPr>
            </w:pPr>
            <w:r w:rsidRPr="002A50BA">
              <w:rPr>
                <w:rFonts w:ascii="Arial" w:hAnsi="Arial" w:cs="Arial"/>
              </w:rPr>
              <w:t>2 (18.2%)</w:t>
            </w:r>
          </w:p>
        </w:tc>
        <w:tc>
          <w:tcPr>
            <w:tcW w:w="0" w:type="auto"/>
            <w:vAlign w:val="center"/>
            <w:hideMark/>
          </w:tcPr>
          <w:p w14:paraId="694B116F" w14:textId="77777777" w:rsidR="006D2275" w:rsidRPr="002A50BA" w:rsidRDefault="006D2275" w:rsidP="00D4559E">
            <w:pPr>
              <w:rPr>
                <w:rFonts w:ascii="Arial" w:hAnsi="Arial" w:cs="Arial"/>
              </w:rPr>
            </w:pPr>
            <w:r w:rsidRPr="002A50BA">
              <w:rPr>
                <w:rFonts w:ascii="Arial" w:hAnsi="Arial" w:cs="Arial"/>
              </w:rPr>
              <w:t>0.636</w:t>
            </w:r>
          </w:p>
        </w:tc>
      </w:tr>
      <w:tr w:rsidR="006D2275" w:rsidRPr="002A50BA" w14:paraId="29C68D34" w14:textId="77777777" w:rsidTr="00D4559E">
        <w:trPr>
          <w:tblCellSpacing w:w="15" w:type="dxa"/>
        </w:trPr>
        <w:tc>
          <w:tcPr>
            <w:tcW w:w="0" w:type="auto"/>
            <w:vAlign w:val="center"/>
            <w:hideMark/>
          </w:tcPr>
          <w:p w14:paraId="1CBF95A5" w14:textId="77777777" w:rsidR="006D2275" w:rsidRPr="002A50BA" w:rsidRDefault="006D2275" w:rsidP="00D4559E">
            <w:pPr>
              <w:rPr>
                <w:rFonts w:ascii="Arial" w:hAnsi="Arial" w:cs="Arial"/>
              </w:rPr>
            </w:pPr>
            <w:r w:rsidRPr="002A50BA">
              <w:rPr>
                <w:rFonts w:ascii="Arial" w:hAnsi="Arial" w:cs="Arial"/>
              </w:rPr>
              <w:t>Positive culture rate</w:t>
            </w:r>
          </w:p>
        </w:tc>
        <w:tc>
          <w:tcPr>
            <w:tcW w:w="0" w:type="auto"/>
            <w:vAlign w:val="center"/>
            <w:hideMark/>
          </w:tcPr>
          <w:p w14:paraId="7CDCAC89" w14:textId="77777777" w:rsidR="006D2275" w:rsidRPr="002A50BA" w:rsidRDefault="006D2275" w:rsidP="00D4559E">
            <w:pPr>
              <w:rPr>
                <w:rFonts w:ascii="Arial" w:hAnsi="Arial" w:cs="Arial"/>
              </w:rPr>
            </w:pPr>
            <w:r w:rsidRPr="002A50BA">
              <w:rPr>
                <w:rFonts w:ascii="Arial" w:hAnsi="Arial" w:cs="Arial"/>
              </w:rPr>
              <w:t>8 (32.0%)</w:t>
            </w:r>
          </w:p>
        </w:tc>
        <w:tc>
          <w:tcPr>
            <w:tcW w:w="0" w:type="auto"/>
            <w:vAlign w:val="center"/>
            <w:hideMark/>
          </w:tcPr>
          <w:p w14:paraId="38D3FC8E" w14:textId="77777777" w:rsidR="006D2275" w:rsidRPr="002A50BA" w:rsidRDefault="006D2275" w:rsidP="00D4559E">
            <w:pPr>
              <w:rPr>
                <w:rFonts w:ascii="Arial" w:hAnsi="Arial" w:cs="Arial"/>
              </w:rPr>
            </w:pPr>
            <w:r w:rsidRPr="002A50BA">
              <w:rPr>
                <w:rFonts w:ascii="Arial" w:hAnsi="Arial" w:cs="Arial"/>
              </w:rPr>
              <w:t>2 (18.2%)</w:t>
            </w:r>
          </w:p>
        </w:tc>
        <w:tc>
          <w:tcPr>
            <w:tcW w:w="0" w:type="auto"/>
            <w:vAlign w:val="center"/>
            <w:hideMark/>
          </w:tcPr>
          <w:p w14:paraId="378CA5EF" w14:textId="77777777" w:rsidR="006D2275" w:rsidRPr="002A50BA" w:rsidRDefault="006D2275" w:rsidP="00D4559E">
            <w:pPr>
              <w:rPr>
                <w:rFonts w:ascii="Arial" w:hAnsi="Arial" w:cs="Arial"/>
              </w:rPr>
            </w:pPr>
            <w:r w:rsidRPr="002A50BA">
              <w:rPr>
                <w:rFonts w:ascii="Arial" w:hAnsi="Arial" w:cs="Arial"/>
              </w:rPr>
              <w:t>0.439</w:t>
            </w:r>
          </w:p>
        </w:tc>
      </w:tr>
    </w:tbl>
    <w:p w14:paraId="4123D364" w14:textId="77777777" w:rsidR="006D2275" w:rsidRPr="002A50BA" w:rsidRDefault="006D2275" w:rsidP="006D2275">
      <w:pPr>
        <w:rPr>
          <w:rFonts w:ascii="Arial" w:hAnsi="Arial" w:cs="Arial"/>
        </w:rPr>
      </w:pPr>
      <w:r w:rsidRPr="002A50BA">
        <w:rPr>
          <w:rFonts w:ascii="Arial" w:hAnsi="Arial" w:cs="Arial"/>
          <w:i/>
          <w:iCs/>
        </w:rPr>
        <w:t>Fisher’s exact test applied</w:t>
      </w:r>
    </w:p>
    <w:p w14:paraId="07ADCC03" w14:textId="77777777" w:rsidR="006D2275" w:rsidRPr="00294ABB" w:rsidRDefault="006D2275" w:rsidP="00294ABB"/>
    <w:p w14:paraId="6A7D2AE2" w14:textId="77777777" w:rsidR="00AC12F5" w:rsidRDefault="00AC12F5" w:rsidP="00294ABB">
      <w:pPr>
        <w:rPr>
          <w:b/>
          <w:bCs/>
        </w:rPr>
      </w:pPr>
    </w:p>
    <w:p w14:paraId="559BB7CF" w14:textId="528777F9" w:rsidR="00294ABB" w:rsidRPr="00294ABB" w:rsidRDefault="00294ABB" w:rsidP="00294ABB">
      <w:pPr>
        <w:rPr>
          <w:b/>
          <w:bCs/>
        </w:rPr>
      </w:pPr>
      <w:r w:rsidRPr="00294ABB">
        <w:rPr>
          <w:b/>
          <w:bCs/>
        </w:rPr>
        <w:t>DISCUSSION</w:t>
      </w:r>
    </w:p>
    <w:p w14:paraId="3167A771" w14:textId="77777777" w:rsidR="00A073EF" w:rsidRPr="00A073EF" w:rsidRDefault="00A073EF" w:rsidP="00A073EF">
      <w:r w:rsidRPr="00A073EF">
        <w:t xml:space="preserve">Urinary tract infection (UTI) remains one of the most common causes of fever in infancy, and timely, accurate diagnosis is critical to prevent renal complications and inappropriate antibiotic </w:t>
      </w:r>
      <w:proofErr w:type="gramStart"/>
      <w:r w:rsidRPr="00A073EF">
        <w:t>use.¹</w:t>
      </w:r>
      <w:proofErr w:type="gramEnd"/>
      <w:r w:rsidRPr="00A073EF">
        <w:t>,² The present study evaluated the diagnostic reliability of the Quick-Wee method compared with standard clean-catch urine collection in febrile infants under one year of age.</w:t>
      </w:r>
    </w:p>
    <w:p w14:paraId="708F649A" w14:textId="34B9415B" w:rsidR="00A073EF" w:rsidRDefault="00A073EF" w:rsidP="00A073EF">
      <w:r w:rsidRPr="00A073EF">
        <w:t>In this study, the success rate of urine collection using the Quick-Wee method was significantly higher than that of the clean-catch technique (31.8% vs 12.1%, p = 0.009). Kaufman et al. reported a success rate of 30% with the Quick-Wee method compared with 9% using clean-catch collection, while Branagan et al. and Gómez-Manzano et al. reported success rates ranging between 25% and 31</w:t>
      </w:r>
      <w:proofErr w:type="gramStart"/>
      <w:r w:rsidRPr="00A073EF">
        <w:t>%.⁵</w:t>
      </w:r>
      <w:proofErr w:type="gramEnd"/>
      <w:r w:rsidRPr="00A073EF">
        <w:t>,⁷,⁹ The consistency of these findings across diverse healthcare settings supports the reproducibility and practicality of the Quick-Wee technique.</w:t>
      </w:r>
      <w:r w:rsidR="006D2275">
        <w:t xml:space="preserve"> (Table 2)</w:t>
      </w:r>
    </w:p>
    <w:p w14:paraId="150E49E6" w14:textId="2C95BB3A" w:rsidR="006D2275" w:rsidRPr="00275EAD" w:rsidRDefault="006D2275" w:rsidP="006D2275">
      <w:pPr>
        <w:rPr>
          <w:rFonts w:ascii="Arial" w:hAnsi="Arial" w:cs="Arial"/>
        </w:rPr>
      </w:pPr>
      <w:r w:rsidRPr="00275EAD">
        <w:rPr>
          <w:rFonts w:ascii="Arial" w:hAnsi="Arial" w:cs="Arial"/>
        </w:rPr>
        <w:t xml:space="preserve">Table </w:t>
      </w:r>
      <w:r>
        <w:rPr>
          <w:rFonts w:ascii="Arial" w:hAnsi="Arial" w:cs="Arial"/>
        </w:rPr>
        <w:t>2</w:t>
      </w:r>
      <w:r w:rsidRPr="00275EAD">
        <w:rPr>
          <w:rFonts w:ascii="Arial" w:hAnsi="Arial" w:cs="Arial"/>
        </w:rPr>
        <w:t xml:space="preserve">: Comparison of Success Rates of Urine Collection Using </w:t>
      </w:r>
      <w:r>
        <w:rPr>
          <w:rFonts w:ascii="Arial" w:hAnsi="Arial" w:cs="Arial"/>
        </w:rPr>
        <w:t xml:space="preserve">Quick Wee method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5"/>
        <w:gridCol w:w="2269"/>
        <w:gridCol w:w="2040"/>
      </w:tblGrid>
      <w:tr w:rsidR="006D2275" w:rsidRPr="00275EAD" w14:paraId="1E177BF1" w14:textId="77777777" w:rsidTr="00D4559E">
        <w:trPr>
          <w:tblHeader/>
          <w:tblCellSpacing w:w="15" w:type="dxa"/>
        </w:trPr>
        <w:tc>
          <w:tcPr>
            <w:tcW w:w="0" w:type="auto"/>
            <w:vAlign w:val="center"/>
            <w:hideMark/>
          </w:tcPr>
          <w:p w14:paraId="6035AA2F" w14:textId="77777777" w:rsidR="006D2275" w:rsidRPr="00275EAD" w:rsidRDefault="006D2275" w:rsidP="00D4559E">
            <w:pPr>
              <w:rPr>
                <w:rFonts w:ascii="Arial" w:hAnsi="Arial" w:cs="Arial"/>
                <w:b/>
                <w:bCs/>
              </w:rPr>
            </w:pPr>
            <w:r w:rsidRPr="00275EAD">
              <w:rPr>
                <w:rFonts w:ascii="Arial" w:hAnsi="Arial" w:cs="Arial"/>
                <w:b/>
                <w:bCs/>
              </w:rPr>
              <w:lastRenderedPageBreak/>
              <w:t>Study</w:t>
            </w:r>
          </w:p>
        </w:tc>
        <w:tc>
          <w:tcPr>
            <w:tcW w:w="0" w:type="auto"/>
            <w:vAlign w:val="center"/>
            <w:hideMark/>
          </w:tcPr>
          <w:p w14:paraId="05CEBEAB" w14:textId="77777777" w:rsidR="006D2275" w:rsidRPr="00275EAD" w:rsidRDefault="006D2275" w:rsidP="00D4559E">
            <w:pPr>
              <w:rPr>
                <w:rFonts w:ascii="Arial" w:hAnsi="Arial" w:cs="Arial"/>
                <w:b/>
                <w:bCs/>
              </w:rPr>
            </w:pPr>
            <w:r w:rsidRPr="00275EAD">
              <w:rPr>
                <w:rFonts w:ascii="Arial" w:hAnsi="Arial" w:cs="Arial"/>
                <w:b/>
                <w:bCs/>
              </w:rPr>
              <w:t>Intervention success</w:t>
            </w:r>
          </w:p>
        </w:tc>
        <w:tc>
          <w:tcPr>
            <w:tcW w:w="0" w:type="auto"/>
            <w:vAlign w:val="center"/>
            <w:hideMark/>
          </w:tcPr>
          <w:p w14:paraId="677567AE" w14:textId="77777777" w:rsidR="006D2275" w:rsidRPr="00275EAD" w:rsidRDefault="006D2275" w:rsidP="00D4559E">
            <w:pPr>
              <w:rPr>
                <w:rFonts w:ascii="Arial" w:hAnsi="Arial" w:cs="Arial"/>
                <w:b/>
                <w:bCs/>
              </w:rPr>
            </w:pPr>
            <w:r w:rsidRPr="00275EAD">
              <w:rPr>
                <w:rFonts w:ascii="Arial" w:hAnsi="Arial" w:cs="Arial"/>
                <w:b/>
                <w:bCs/>
              </w:rPr>
              <w:t>Control success</w:t>
            </w:r>
          </w:p>
        </w:tc>
      </w:tr>
      <w:tr w:rsidR="006D2275" w:rsidRPr="00275EAD" w14:paraId="3CE36623" w14:textId="77777777" w:rsidTr="00D4559E">
        <w:trPr>
          <w:tblCellSpacing w:w="15" w:type="dxa"/>
        </w:trPr>
        <w:tc>
          <w:tcPr>
            <w:tcW w:w="0" w:type="auto"/>
            <w:vAlign w:val="center"/>
            <w:hideMark/>
          </w:tcPr>
          <w:p w14:paraId="05FA9E74" w14:textId="77777777" w:rsidR="006D2275" w:rsidRPr="00275EAD" w:rsidRDefault="006D2275" w:rsidP="00D4559E">
            <w:pPr>
              <w:rPr>
                <w:rFonts w:ascii="Arial" w:hAnsi="Arial" w:cs="Arial"/>
              </w:rPr>
            </w:pPr>
            <w:r w:rsidRPr="00275EAD">
              <w:rPr>
                <w:rFonts w:ascii="Arial" w:hAnsi="Arial" w:cs="Arial"/>
              </w:rPr>
              <w:t>Kaufman et al. (2017)⁷</w:t>
            </w:r>
          </w:p>
        </w:tc>
        <w:tc>
          <w:tcPr>
            <w:tcW w:w="0" w:type="auto"/>
            <w:vAlign w:val="center"/>
            <w:hideMark/>
          </w:tcPr>
          <w:p w14:paraId="7A9D69B5" w14:textId="77777777" w:rsidR="006D2275" w:rsidRPr="00275EAD" w:rsidRDefault="006D2275" w:rsidP="00D4559E">
            <w:pPr>
              <w:rPr>
                <w:rFonts w:ascii="Arial" w:hAnsi="Arial" w:cs="Arial"/>
              </w:rPr>
            </w:pPr>
            <w:r w:rsidRPr="00275EAD">
              <w:rPr>
                <w:rFonts w:ascii="Arial" w:hAnsi="Arial" w:cs="Arial"/>
              </w:rPr>
              <w:t>30% (Quick-Wee)</w:t>
            </w:r>
          </w:p>
        </w:tc>
        <w:tc>
          <w:tcPr>
            <w:tcW w:w="0" w:type="auto"/>
            <w:vAlign w:val="center"/>
            <w:hideMark/>
          </w:tcPr>
          <w:p w14:paraId="03ED2CFC" w14:textId="77777777" w:rsidR="006D2275" w:rsidRPr="00275EAD" w:rsidRDefault="006D2275" w:rsidP="00D4559E">
            <w:pPr>
              <w:rPr>
                <w:rFonts w:ascii="Arial" w:hAnsi="Arial" w:cs="Arial"/>
              </w:rPr>
            </w:pPr>
            <w:r w:rsidRPr="00275EAD">
              <w:rPr>
                <w:rFonts w:ascii="Arial" w:hAnsi="Arial" w:cs="Arial"/>
              </w:rPr>
              <w:t>9% (clean catch)</w:t>
            </w:r>
          </w:p>
        </w:tc>
      </w:tr>
      <w:tr w:rsidR="006D2275" w:rsidRPr="00275EAD" w14:paraId="58FECD00" w14:textId="77777777" w:rsidTr="00D4559E">
        <w:trPr>
          <w:tblCellSpacing w:w="15" w:type="dxa"/>
        </w:trPr>
        <w:tc>
          <w:tcPr>
            <w:tcW w:w="0" w:type="auto"/>
            <w:vAlign w:val="center"/>
            <w:hideMark/>
          </w:tcPr>
          <w:p w14:paraId="7AD21518" w14:textId="77777777" w:rsidR="006D2275" w:rsidRPr="00275EAD" w:rsidRDefault="006D2275" w:rsidP="00D4559E">
            <w:pPr>
              <w:rPr>
                <w:rFonts w:ascii="Arial" w:hAnsi="Arial" w:cs="Arial"/>
              </w:rPr>
            </w:pPr>
            <w:r w:rsidRPr="00275EAD">
              <w:rPr>
                <w:rFonts w:ascii="Arial" w:hAnsi="Arial" w:cs="Arial"/>
              </w:rPr>
              <w:t>Branagan et al. (2021)⁹</w:t>
            </w:r>
          </w:p>
        </w:tc>
        <w:tc>
          <w:tcPr>
            <w:tcW w:w="0" w:type="auto"/>
            <w:vAlign w:val="center"/>
            <w:hideMark/>
          </w:tcPr>
          <w:p w14:paraId="68802563" w14:textId="77777777" w:rsidR="006D2275" w:rsidRPr="00275EAD" w:rsidRDefault="006D2275" w:rsidP="00D4559E">
            <w:pPr>
              <w:rPr>
                <w:rFonts w:ascii="Arial" w:hAnsi="Arial" w:cs="Arial"/>
              </w:rPr>
            </w:pPr>
            <w:r w:rsidRPr="00275EAD">
              <w:rPr>
                <w:rFonts w:ascii="Arial" w:hAnsi="Arial" w:cs="Arial"/>
              </w:rPr>
              <w:t>25% (Quick-Wee)</w:t>
            </w:r>
          </w:p>
        </w:tc>
        <w:tc>
          <w:tcPr>
            <w:tcW w:w="0" w:type="auto"/>
            <w:vAlign w:val="center"/>
            <w:hideMark/>
          </w:tcPr>
          <w:p w14:paraId="172747EB" w14:textId="77777777" w:rsidR="006D2275" w:rsidRPr="00275EAD" w:rsidRDefault="006D2275" w:rsidP="00D4559E">
            <w:pPr>
              <w:rPr>
                <w:rFonts w:ascii="Arial" w:hAnsi="Arial" w:cs="Arial"/>
              </w:rPr>
            </w:pPr>
            <w:r w:rsidRPr="00275EAD">
              <w:rPr>
                <w:rFonts w:ascii="Arial" w:hAnsi="Arial" w:cs="Arial"/>
              </w:rPr>
              <w:t>18% (clean catch)</w:t>
            </w:r>
          </w:p>
        </w:tc>
      </w:tr>
      <w:tr w:rsidR="006D2275" w:rsidRPr="00275EAD" w14:paraId="433508E1" w14:textId="77777777" w:rsidTr="00D4559E">
        <w:trPr>
          <w:tblCellSpacing w:w="15" w:type="dxa"/>
        </w:trPr>
        <w:tc>
          <w:tcPr>
            <w:tcW w:w="0" w:type="auto"/>
            <w:vAlign w:val="center"/>
            <w:hideMark/>
          </w:tcPr>
          <w:p w14:paraId="420B4F8B" w14:textId="77777777" w:rsidR="006D2275" w:rsidRPr="00275EAD" w:rsidRDefault="006D2275" w:rsidP="00D4559E">
            <w:pPr>
              <w:rPr>
                <w:rFonts w:ascii="Arial" w:hAnsi="Arial" w:cs="Arial"/>
              </w:rPr>
            </w:pPr>
            <w:r w:rsidRPr="00275EAD">
              <w:rPr>
                <w:rFonts w:ascii="Arial" w:hAnsi="Arial" w:cs="Arial"/>
              </w:rPr>
              <w:t>Gómez-Manzano et al. (2025)¹⁵</w:t>
            </w:r>
          </w:p>
        </w:tc>
        <w:tc>
          <w:tcPr>
            <w:tcW w:w="0" w:type="auto"/>
            <w:vAlign w:val="center"/>
            <w:hideMark/>
          </w:tcPr>
          <w:p w14:paraId="46F75978" w14:textId="77777777" w:rsidR="006D2275" w:rsidRPr="00275EAD" w:rsidRDefault="006D2275" w:rsidP="00D4559E">
            <w:pPr>
              <w:rPr>
                <w:rFonts w:ascii="Arial" w:hAnsi="Arial" w:cs="Arial"/>
              </w:rPr>
            </w:pPr>
            <w:r w:rsidRPr="00275EAD">
              <w:rPr>
                <w:rFonts w:ascii="Arial" w:hAnsi="Arial" w:cs="Arial"/>
              </w:rPr>
              <w:t>25–31% (Quick-Wee)</w:t>
            </w:r>
          </w:p>
        </w:tc>
        <w:tc>
          <w:tcPr>
            <w:tcW w:w="0" w:type="auto"/>
            <w:vAlign w:val="center"/>
            <w:hideMark/>
          </w:tcPr>
          <w:p w14:paraId="1A301F7F" w14:textId="77777777" w:rsidR="006D2275" w:rsidRPr="00275EAD" w:rsidRDefault="006D2275" w:rsidP="00D4559E">
            <w:pPr>
              <w:rPr>
                <w:rFonts w:ascii="Arial" w:hAnsi="Arial" w:cs="Arial"/>
              </w:rPr>
            </w:pPr>
            <w:r w:rsidRPr="00275EAD">
              <w:rPr>
                <w:rFonts w:ascii="Arial" w:hAnsi="Arial" w:cs="Arial"/>
              </w:rPr>
              <w:t>—</w:t>
            </w:r>
          </w:p>
        </w:tc>
      </w:tr>
      <w:tr w:rsidR="006D2275" w:rsidRPr="00275EAD" w14:paraId="373C996D" w14:textId="77777777" w:rsidTr="00D4559E">
        <w:trPr>
          <w:tblCellSpacing w:w="15" w:type="dxa"/>
        </w:trPr>
        <w:tc>
          <w:tcPr>
            <w:tcW w:w="0" w:type="auto"/>
            <w:vAlign w:val="center"/>
            <w:hideMark/>
          </w:tcPr>
          <w:p w14:paraId="64A26CFD" w14:textId="77777777" w:rsidR="006D2275" w:rsidRPr="00275EAD" w:rsidRDefault="006D2275" w:rsidP="00D4559E">
            <w:pPr>
              <w:rPr>
                <w:rFonts w:ascii="Arial" w:hAnsi="Arial" w:cs="Arial"/>
              </w:rPr>
            </w:pPr>
            <w:r w:rsidRPr="00275EAD">
              <w:rPr>
                <w:rFonts w:ascii="Arial" w:hAnsi="Arial" w:cs="Arial"/>
                <w:b/>
                <w:bCs/>
              </w:rPr>
              <w:t>Present study</w:t>
            </w:r>
          </w:p>
        </w:tc>
        <w:tc>
          <w:tcPr>
            <w:tcW w:w="0" w:type="auto"/>
            <w:vAlign w:val="center"/>
            <w:hideMark/>
          </w:tcPr>
          <w:p w14:paraId="463C0A2A" w14:textId="77777777" w:rsidR="006D2275" w:rsidRPr="00275EAD" w:rsidRDefault="006D2275" w:rsidP="00D4559E">
            <w:pPr>
              <w:rPr>
                <w:rFonts w:ascii="Arial" w:hAnsi="Arial" w:cs="Arial"/>
              </w:rPr>
            </w:pPr>
            <w:r w:rsidRPr="00275EAD">
              <w:rPr>
                <w:rFonts w:ascii="Arial" w:hAnsi="Arial" w:cs="Arial"/>
              </w:rPr>
              <w:t>31.8% (Quick-Wee)</w:t>
            </w:r>
          </w:p>
        </w:tc>
        <w:tc>
          <w:tcPr>
            <w:tcW w:w="0" w:type="auto"/>
            <w:vAlign w:val="center"/>
            <w:hideMark/>
          </w:tcPr>
          <w:p w14:paraId="085EC873" w14:textId="77777777" w:rsidR="006D2275" w:rsidRPr="00275EAD" w:rsidRDefault="006D2275" w:rsidP="00D4559E">
            <w:pPr>
              <w:rPr>
                <w:rFonts w:ascii="Arial" w:hAnsi="Arial" w:cs="Arial"/>
              </w:rPr>
            </w:pPr>
            <w:r w:rsidRPr="00275EAD">
              <w:rPr>
                <w:rFonts w:ascii="Arial" w:hAnsi="Arial" w:cs="Arial"/>
              </w:rPr>
              <w:t>12.1% (clean catch)</w:t>
            </w:r>
          </w:p>
        </w:tc>
      </w:tr>
    </w:tbl>
    <w:p w14:paraId="497E8056" w14:textId="77777777" w:rsidR="006D2275" w:rsidRPr="00A073EF" w:rsidRDefault="006D2275" w:rsidP="00A073EF"/>
    <w:p w14:paraId="48135DE2" w14:textId="77777777" w:rsidR="00A073EF" w:rsidRPr="00A073EF" w:rsidRDefault="00A073EF" w:rsidP="00A073EF">
      <w:r w:rsidRPr="00A073EF">
        <w:t>Importantly, improved success in urine collection did not compromise diagnostic quality. In the present study, rates of pyuria, dipstick positivity, and culture positivity were comparable between the Quick-Wee and clean-catch groups. Pyuria was observed in 32.0% of samples obtained using the Quick-Wee method and in 27.3% of clean-catch samples, with no statistically significant difference.</w:t>
      </w:r>
    </w:p>
    <w:p w14:paraId="2A057D58" w14:textId="77777777" w:rsidR="00A073EF" w:rsidRPr="00A073EF" w:rsidRDefault="00A073EF" w:rsidP="00A073EF">
      <w:r w:rsidRPr="00A073EF">
        <w:t>Previous studies evaluating urine microscopy across different collection techniques showed variable results. Altuntaş et al. reported no statistically significant difference in pyuria or bacteriuria detection between stimulation-based clean-catch specimens and catheterized urine samples.⁸</w:t>
      </w:r>
    </w:p>
    <w:p w14:paraId="2FA6756E" w14:textId="77777777" w:rsidR="00A073EF" w:rsidRPr="00A073EF" w:rsidRDefault="00A073EF" w:rsidP="00A073EF">
      <w:r w:rsidRPr="00A073EF">
        <w:t>Dipstick analysis also demonstrated equivalent diagnostic performance between the two methods. Leukocyte esterase positivity was the most frequent abnormality, while nitrite positivity remained low in both groups, consistent with known limitations of nitrite testing in young infants due to frequent voiding and short bladder dwell time.¹⁰,¹¹ In previous studies, Altuntaş et al. found no significant difference in nitrite or bacteriuria detection between stimulation-based clean-catch and catheter specimens.⁸ Branagan et al. similarly reported no statistically significant difference in dipstick positivity between Quick-Wee and clean-catch methods.⁷</w:t>
      </w:r>
    </w:p>
    <w:p w14:paraId="1FF3DC59" w14:textId="77777777" w:rsidR="00A073EF" w:rsidRPr="00A073EF" w:rsidRDefault="00A073EF" w:rsidP="00A073EF">
      <w:r w:rsidRPr="00A073EF">
        <w:t xml:space="preserve">Culture positivity rates were similar between groups, and </w:t>
      </w:r>
      <w:r w:rsidRPr="00A073EF">
        <w:rPr>
          <w:i/>
          <w:iCs/>
        </w:rPr>
        <w:t>Escherichia coli</w:t>
      </w:r>
      <w:r w:rsidRPr="00A073EF">
        <w:t xml:space="preserve"> remained the most frequently isolated organism. The contamination rate was 12.0% in the Quick-Wee group compared with 18.2% in the clean-catch group.</w:t>
      </w:r>
    </w:p>
    <w:p w14:paraId="6958FE92" w14:textId="77777777" w:rsidR="00A073EF" w:rsidRPr="00A073EF" w:rsidRDefault="00A073EF" w:rsidP="00A073EF">
      <w:r w:rsidRPr="00A073EF">
        <w:t>The results of this study align closely with prior evidence. Altuntaş et al. demonstrated comparable bacteriological outcomes between bladder stimulation and catheterization, while Herreros et al. and Gómez-Manzano et al. reported no significant increase in contamination with stimulation-based urine collection.⁸,¹⁴,⁹ Collectively, these findings reinforce the reliability of the Quick-Wee method as a non-invasive alternative for urine collection in infants.</w:t>
      </w:r>
    </w:p>
    <w:p w14:paraId="162B28BE" w14:textId="09375FED" w:rsidR="00A073EF" w:rsidRPr="00A073EF" w:rsidRDefault="00A073EF" w:rsidP="00A073EF">
      <w:r w:rsidRPr="00A073EF">
        <w:t>From a clinical perspective, the Quick-Wee method offers several advantages. It is simple, inexpensive, non-invasive, and well tolerated by infants and caregivers. By reducing the need for invasive procedures such as catheterization or suprapubic aspiration, the technique may improve patient comfort, caregiver satisfaction, and workflow efficiency in busy emergency and outpatient settings. Additionally, earlier successful urine collection may facilitate timely diagnosis and management of urinary tract infections, potentially reducing unnecessary antibiotic exposure and hospital resource utilization. These benefits are consistent with recent guideline recommendations and real-world implementation studies supporting non-invasive urine collection strategies in paediatric practice.</w:t>
      </w:r>
      <w:r w:rsidRPr="00A073EF">
        <w:rPr>
          <w:vertAlign w:val="superscript"/>
        </w:rPr>
        <w:t>15-17</w:t>
      </w:r>
    </w:p>
    <w:p w14:paraId="5C303DC7" w14:textId="77777777" w:rsidR="00294ABB" w:rsidRPr="00294ABB" w:rsidRDefault="00294ABB" w:rsidP="00294ABB">
      <w:pPr>
        <w:rPr>
          <w:b/>
          <w:bCs/>
        </w:rPr>
      </w:pPr>
      <w:r w:rsidRPr="00294ABB">
        <w:rPr>
          <w:b/>
          <w:bCs/>
        </w:rPr>
        <w:t>Strengths and Limitations</w:t>
      </w:r>
    </w:p>
    <w:p w14:paraId="5367BEA4" w14:textId="1BFD9CB2" w:rsidR="00B4798F" w:rsidRPr="00B4798F" w:rsidRDefault="00B4798F" w:rsidP="00B4798F">
      <w:r w:rsidRPr="00B4798F">
        <w:lastRenderedPageBreak/>
        <w:t xml:space="preserve">This study provides robust evidence supporting the </w:t>
      </w:r>
      <w:r w:rsidR="00996A9D">
        <w:t xml:space="preserve">feasibility and </w:t>
      </w:r>
      <w:r w:rsidRPr="00B4798F">
        <w:t>diagnostic reliability of the Quick-Wee method in febrile infants. A key strength is the comprehensive assessment of urine quality, including microscopy, dipstick analysis, culture results, and contamination rates, rather than focusing solely on collection success. Standardized collection protocols and blinding of laboratory personnel minimized procedural and observer bias, enhancing internal validity. Additionally, inclusion of data from a low- and middle-income setting enhances the clinical relevance of the findings.</w:t>
      </w:r>
    </w:p>
    <w:p w14:paraId="4E098793" w14:textId="24F800EB" w:rsidR="00B4798F" w:rsidRPr="00B4798F" w:rsidRDefault="00B4798F" w:rsidP="00B4798F">
      <w:r w:rsidRPr="00B4798F">
        <w:t>However, certain limitations should be acknowledged. The relatively small number of successfully collected urine samples may have limited the power to detect subtle differences between methods. The single-</w:t>
      </w:r>
      <w:r w:rsidR="0065399C" w:rsidRPr="00B4798F">
        <w:t>centre</w:t>
      </w:r>
      <w:r w:rsidRPr="00B4798F">
        <w:t xml:space="preserve"> design may restrict generalizability to other healthcare settings. Inclusion of only infants who voided within five minutes may introduce selection bias, limiting applicability to infants with delayed voiding. </w:t>
      </w:r>
      <w:r w:rsidR="00996A9D">
        <w:t xml:space="preserve"> </w:t>
      </w:r>
      <w:r w:rsidR="002C0C25">
        <w:t>Invasive M</w:t>
      </w:r>
      <w:r w:rsidR="00996A9D">
        <w:t>ethods</w:t>
      </w:r>
      <w:r w:rsidRPr="00B4798F">
        <w:t xml:space="preserve"> such as catheterization or suprapubic aspiration </w:t>
      </w:r>
      <w:r w:rsidR="00996A9D">
        <w:t>were not taken for comparison</w:t>
      </w:r>
      <w:r w:rsidRPr="00B4798F">
        <w:t xml:space="preserve">. Despite these limitations, the findings support the clinical utility of the Quick-Wee method in routine </w:t>
      </w:r>
      <w:r w:rsidR="00996A9D" w:rsidRPr="00B4798F">
        <w:t>paediatric</w:t>
      </w:r>
      <w:r w:rsidRPr="00B4798F">
        <w:t xml:space="preserve"> practice.</w:t>
      </w:r>
    </w:p>
    <w:p w14:paraId="7349800B" w14:textId="619CB20E" w:rsidR="00F63139" w:rsidRPr="00F63139" w:rsidRDefault="00F63139" w:rsidP="00F63139"/>
    <w:p w14:paraId="461FCE54" w14:textId="77777777" w:rsidR="00294ABB" w:rsidRPr="00294ABB" w:rsidRDefault="00294ABB" w:rsidP="00294ABB">
      <w:pPr>
        <w:rPr>
          <w:b/>
          <w:bCs/>
        </w:rPr>
      </w:pPr>
      <w:r w:rsidRPr="00294ABB">
        <w:rPr>
          <w:b/>
          <w:bCs/>
        </w:rPr>
        <w:t>CONCLUSION</w:t>
      </w:r>
    </w:p>
    <w:p w14:paraId="4D3B3977" w14:textId="65EEACCA" w:rsidR="00294ABB" w:rsidRDefault="00294ABB" w:rsidP="00294ABB">
      <w:r w:rsidRPr="00294ABB">
        <w:t>Urine samples collected using the Quick-Wee method demonstrate diagnostic quality comparable to standard clean-catch urine collection, without an increase in contamination rates. Given its higher success rate, non-invasive nature, and diagnostic reliability, the Quick-Wee method represents a practical and effective alternative for urine collection in febrile infants</w:t>
      </w:r>
      <w:r w:rsidR="00AC12F5">
        <w:t>.</w:t>
      </w:r>
    </w:p>
    <w:p w14:paraId="10679F0C" w14:textId="724D44C8" w:rsidR="000D4710" w:rsidRDefault="000D4710" w:rsidP="00294ABB"/>
    <w:p w14:paraId="5DA6C60E" w14:textId="77777777" w:rsidR="000D4710" w:rsidRDefault="000D4710" w:rsidP="000D4710">
      <w:pPr>
        <w:rPr>
          <w:rFonts w:ascii="Calibri" w:eastAsia="Calibri" w:hAnsi="Calibri" w:cs="Times New Roman"/>
          <w:lang w:val="en-US"/>
        </w:rPr>
      </w:pPr>
      <w:bookmarkStart w:id="1" w:name="_Hlk192511329"/>
      <w:bookmarkStart w:id="2" w:name="_Hlk187485061"/>
      <w:bookmarkStart w:id="3" w:name="_Hlk194655630"/>
      <w:bookmarkStart w:id="4" w:name="_Hlk209008097"/>
      <w:bookmarkStart w:id="5" w:name="_Hlk213163655"/>
    </w:p>
    <w:p w14:paraId="6208DF0D" w14:textId="77777777" w:rsidR="000D4710" w:rsidRPr="00B7724A" w:rsidRDefault="000D4710" w:rsidP="000D4710">
      <w:pPr>
        <w:rPr>
          <w:rFonts w:eastAsia="Calibri" w:cs="Times New Roman"/>
          <w:b/>
          <w:bCs/>
          <w:lang w:val="en-US"/>
        </w:rPr>
      </w:pPr>
      <w:bookmarkStart w:id="6" w:name="_Hlk204003461"/>
      <w:bookmarkStart w:id="7" w:name="_Hlk213070710"/>
      <w:bookmarkEnd w:id="1"/>
      <w:bookmarkEnd w:id="2"/>
      <w:bookmarkEnd w:id="3"/>
      <w:bookmarkEnd w:id="4"/>
      <w:r w:rsidRPr="00B7724A">
        <w:rPr>
          <w:rFonts w:eastAsia="Calibri" w:cs="Times New Roman"/>
          <w:b/>
          <w:bCs/>
          <w:lang w:val="en-US"/>
        </w:rPr>
        <w:t>Disclaimer (Artificial intelligence)</w:t>
      </w:r>
    </w:p>
    <w:p w14:paraId="09CEC8B1" w14:textId="77777777" w:rsidR="000D4710" w:rsidRPr="00B7724A" w:rsidRDefault="000D4710" w:rsidP="000D4710">
      <w:pPr>
        <w:rPr>
          <w:rFonts w:eastAsia="Calibri" w:cs="Times New Roman"/>
          <w:lang w:val="en-US"/>
        </w:rPr>
      </w:pPr>
      <w:r w:rsidRPr="00B7724A">
        <w:rPr>
          <w:rFonts w:eastAsia="Calibri"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02AA1060" w14:textId="77777777" w:rsidR="00421030" w:rsidRDefault="00421030" w:rsidP="00294ABB">
      <w:pPr>
        <w:rPr>
          <w:b/>
          <w:bCs/>
        </w:rPr>
      </w:pPr>
    </w:p>
    <w:p w14:paraId="3BA452BB" w14:textId="08B0D362" w:rsidR="00294ABB" w:rsidRPr="00294ABB" w:rsidRDefault="00294ABB" w:rsidP="00294ABB">
      <w:pPr>
        <w:rPr>
          <w:b/>
          <w:bCs/>
        </w:rPr>
      </w:pPr>
      <w:r w:rsidRPr="00294ABB">
        <w:rPr>
          <w:b/>
          <w:bCs/>
        </w:rPr>
        <w:t>REFERENCES</w:t>
      </w:r>
    </w:p>
    <w:p w14:paraId="57DB4279" w14:textId="27AA75E8" w:rsidR="00F96978" w:rsidRPr="00F96978" w:rsidRDefault="00F96978" w:rsidP="00F96978">
      <w:pPr>
        <w:pStyle w:val="ListParagraph"/>
        <w:numPr>
          <w:ilvl w:val="0"/>
          <w:numId w:val="8"/>
        </w:numPr>
      </w:pPr>
      <w:r w:rsidRPr="00F96978">
        <w:t xml:space="preserve">Shaikh N, Morone NE, Bost JE, Farrell MH. Prevalence of urinary tract infection in childhood: a meta-analysis. </w:t>
      </w:r>
      <w:proofErr w:type="spellStart"/>
      <w:r w:rsidRPr="00F96978">
        <w:rPr>
          <w:i/>
          <w:iCs/>
        </w:rPr>
        <w:t>Pediatr</w:t>
      </w:r>
      <w:proofErr w:type="spellEnd"/>
      <w:r w:rsidRPr="00F96978">
        <w:rPr>
          <w:i/>
          <w:iCs/>
        </w:rPr>
        <w:t xml:space="preserve"> Infect Dis J.</w:t>
      </w:r>
      <w:r w:rsidRPr="00F96978">
        <w:t xml:space="preserve"> 2008;27(4):302–308.</w:t>
      </w:r>
      <w:r>
        <w:t xml:space="preserve"> </w:t>
      </w:r>
      <w:r w:rsidRPr="00F96978">
        <w:t>doi:10.1097/INF.0b013e31815e4122</w:t>
      </w:r>
    </w:p>
    <w:p w14:paraId="119206CF" w14:textId="530910F4" w:rsidR="00F96978" w:rsidRPr="00F96978" w:rsidRDefault="00F96978" w:rsidP="00F96978">
      <w:pPr>
        <w:pStyle w:val="ListParagraph"/>
        <w:numPr>
          <w:ilvl w:val="0"/>
          <w:numId w:val="8"/>
        </w:numPr>
      </w:pPr>
      <w:r w:rsidRPr="00F96978">
        <w:t xml:space="preserve">Roberts KB. Urinary tract infection in infants and young children. </w:t>
      </w:r>
      <w:proofErr w:type="spellStart"/>
      <w:r w:rsidRPr="00F96978">
        <w:rPr>
          <w:i/>
          <w:iCs/>
        </w:rPr>
        <w:t>Pediatrics</w:t>
      </w:r>
      <w:proofErr w:type="spellEnd"/>
      <w:r w:rsidRPr="00F96978">
        <w:rPr>
          <w:i/>
          <w:iCs/>
        </w:rPr>
        <w:t>.</w:t>
      </w:r>
      <w:r w:rsidRPr="00F96978">
        <w:t xml:space="preserve"> 2011;128(3):595–610.</w:t>
      </w:r>
      <w:r>
        <w:t xml:space="preserve"> </w:t>
      </w:r>
      <w:r w:rsidRPr="00F96978">
        <w:t>doi:10.1542/peds.2011-1330</w:t>
      </w:r>
    </w:p>
    <w:p w14:paraId="2A1BE76D" w14:textId="255D4B1D" w:rsidR="00F96978" w:rsidRPr="00F96978" w:rsidRDefault="00F96978" w:rsidP="00F96978">
      <w:pPr>
        <w:pStyle w:val="ListParagraph"/>
        <w:numPr>
          <w:ilvl w:val="0"/>
          <w:numId w:val="8"/>
        </w:numPr>
      </w:pPr>
      <w:r w:rsidRPr="00F96978">
        <w:t xml:space="preserve">Subcommittee on Urinary Tract Infection, Steering Committee on Quality Improvement and Management. Urinary tract infection: clinical practice guideline for the diagnosis and management of the initial UTI in febrile infants and children 2–24 months. </w:t>
      </w:r>
      <w:proofErr w:type="spellStart"/>
      <w:r w:rsidRPr="00F96978">
        <w:rPr>
          <w:i/>
          <w:iCs/>
        </w:rPr>
        <w:t>Pediatrics</w:t>
      </w:r>
      <w:proofErr w:type="spellEnd"/>
      <w:r w:rsidRPr="00F96978">
        <w:rPr>
          <w:i/>
          <w:iCs/>
        </w:rPr>
        <w:t>.</w:t>
      </w:r>
      <w:r w:rsidRPr="00F96978">
        <w:t xml:space="preserve"> 2011;128(3):595–610.</w:t>
      </w:r>
      <w:r>
        <w:t xml:space="preserve"> </w:t>
      </w:r>
      <w:r w:rsidRPr="00F96978">
        <w:t>doi:10.1542/peds.2011-1330</w:t>
      </w:r>
    </w:p>
    <w:p w14:paraId="0B8A0B3B" w14:textId="5849B6E8" w:rsidR="00F96978" w:rsidRPr="00F96978" w:rsidRDefault="00F96978" w:rsidP="00F96978">
      <w:pPr>
        <w:pStyle w:val="ListParagraph"/>
        <w:numPr>
          <w:ilvl w:val="0"/>
          <w:numId w:val="8"/>
        </w:numPr>
      </w:pPr>
      <w:r w:rsidRPr="00F96978">
        <w:t>National Institute for Health and Care Excellence (NICE). Urinary tract infection in under 16s: diagnosis and management (CG54). London: NICE; 2007.</w:t>
      </w:r>
    </w:p>
    <w:p w14:paraId="49DD869D" w14:textId="78674F5C" w:rsidR="00F96978" w:rsidRPr="00F96978" w:rsidRDefault="00F96978" w:rsidP="00F96978">
      <w:pPr>
        <w:pStyle w:val="ListParagraph"/>
        <w:numPr>
          <w:ilvl w:val="0"/>
          <w:numId w:val="8"/>
        </w:numPr>
      </w:pPr>
      <w:r w:rsidRPr="00F96978">
        <w:t xml:space="preserve">Kaufman J, Fitzpatrick P, </w:t>
      </w:r>
      <w:proofErr w:type="spellStart"/>
      <w:r w:rsidRPr="00F96978">
        <w:t>Tosif</w:t>
      </w:r>
      <w:proofErr w:type="spellEnd"/>
      <w:r w:rsidRPr="00F96978">
        <w:t xml:space="preserve"> S, et al. Faster clean catch urine collection (Quick-Wee method) from infants: randomised controlled trial. </w:t>
      </w:r>
      <w:r w:rsidRPr="00F96978">
        <w:rPr>
          <w:i/>
          <w:iCs/>
        </w:rPr>
        <w:t>BMJ.</w:t>
      </w:r>
      <w:r w:rsidRPr="00F96978">
        <w:t xml:space="preserve"> 2017;357:j1341.</w:t>
      </w:r>
      <w:r w:rsidR="00EC52F6">
        <w:t xml:space="preserve"> </w:t>
      </w:r>
      <w:r w:rsidRPr="00F96978">
        <w:t>doi:10.1136/bmj.j1341</w:t>
      </w:r>
    </w:p>
    <w:p w14:paraId="52820702" w14:textId="2D9E9271" w:rsidR="00F96978" w:rsidRPr="00F96978" w:rsidRDefault="00F96978" w:rsidP="00F96978">
      <w:pPr>
        <w:pStyle w:val="ListParagraph"/>
        <w:numPr>
          <w:ilvl w:val="0"/>
          <w:numId w:val="8"/>
        </w:numPr>
      </w:pPr>
      <w:proofErr w:type="spellStart"/>
      <w:r w:rsidRPr="00F96978">
        <w:lastRenderedPageBreak/>
        <w:t>Tosif</w:t>
      </w:r>
      <w:proofErr w:type="spellEnd"/>
      <w:r w:rsidRPr="00F96978">
        <w:t xml:space="preserve"> S, Baker A, Oakley E, et al. Contamination rates of different urine collection methods for the diagnosis of urinary tract infections in young children: an observational cohort study. </w:t>
      </w:r>
      <w:r w:rsidRPr="00F96978">
        <w:rPr>
          <w:i/>
          <w:iCs/>
        </w:rPr>
        <w:t>J Paediatr Child Health.</w:t>
      </w:r>
      <w:r w:rsidRPr="00F96978">
        <w:t xml:space="preserve"> 2012;48(8):659–664.</w:t>
      </w:r>
      <w:r w:rsidR="00EC52F6">
        <w:t xml:space="preserve"> </w:t>
      </w:r>
      <w:r w:rsidRPr="00F96978">
        <w:t>doi:10.1111/j.1440-1754.2012.02449.x</w:t>
      </w:r>
    </w:p>
    <w:p w14:paraId="6153A6A0" w14:textId="30043D22" w:rsidR="00F96978" w:rsidRPr="00F96978" w:rsidRDefault="00F96978" w:rsidP="00F96978">
      <w:pPr>
        <w:pStyle w:val="ListParagraph"/>
        <w:numPr>
          <w:ilvl w:val="0"/>
          <w:numId w:val="8"/>
        </w:numPr>
      </w:pPr>
      <w:r w:rsidRPr="00F96978">
        <w:t xml:space="preserve">Branagan A, Canty N, O’Halloran E, et al. Evaluation of the Quick-Wee method for urine collection in infants. </w:t>
      </w:r>
      <w:r w:rsidRPr="00F96978">
        <w:rPr>
          <w:i/>
          <w:iCs/>
        </w:rPr>
        <w:t>World J Pediatr.</w:t>
      </w:r>
      <w:r w:rsidRPr="00F96978">
        <w:t xml:space="preserve"> 2022;18(1):45–51.</w:t>
      </w:r>
      <w:r w:rsidR="00EC52F6">
        <w:t xml:space="preserve"> </w:t>
      </w:r>
      <w:r w:rsidRPr="00F96978">
        <w:t>doi:10.1007/s12519-021-00483-4</w:t>
      </w:r>
    </w:p>
    <w:p w14:paraId="612C2C3A" w14:textId="77777777" w:rsidR="00F96978" w:rsidRPr="00F96978" w:rsidRDefault="00F96978" w:rsidP="00F96978">
      <w:pPr>
        <w:pStyle w:val="ListParagraph"/>
        <w:numPr>
          <w:ilvl w:val="0"/>
          <w:numId w:val="8"/>
        </w:numPr>
      </w:pPr>
      <w:r w:rsidRPr="00F96978">
        <w:t xml:space="preserve">Altuntaş N, Çelebi Tayfur A, Kocak M, et al. Midstream clean-catch urine collection in newborns: a randomized controlled study. </w:t>
      </w:r>
      <w:r w:rsidRPr="00F96978">
        <w:rPr>
          <w:i/>
          <w:iCs/>
        </w:rPr>
        <w:t xml:space="preserve">Eur J </w:t>
      </w:r>
      <w:proofErr w:type="spellStart"/>
      <w:r w:rsidRPr="00F96978">
        <w:rPr>
          <w:i/>
          <w:iCs/>
        </w:rPr>
        <w:t>Pediatr</w:t>
      </w:r>
      <w:proofErr w:type="spellEnd"/>
      <w:r w:rsidRPr="00F96978">
        <w:rPr>
          <w:i/>
          <w:iCs/>
        </w:rPr>
        <w:t>.</w:t>
      </w:r>
      <w:r w:rsidRPr="00F96978">
        <w:t xml:space="preserve"> 2015;174(5):577–582.</w:t>
      </w:r>
      <w:r w:rsidRPr="00F96978">
        <w:br/>
        <w:t>doi:10.1007/s00431-014-2434-z</w:t>
      </w:r>
    </w:p>
    <w:p w14:paraId="76A9A0AF" w14:textId="1D49857C" w:rsidR="00F96978" w:rsidRPr="00F96978" w:rsidRDefault="00F96978" w:rsidP="00F96978">
      <w:pPr>
        <w:pStyle w:val="ListParagraph"/>
        <w:numPr>
          <w:ilvl w:val="0"/>
          <w:numId w:val="8"/>
        </w:numPr>
      </w:pPr>
      <w:r w:rsidRPr="00F96978">
        <w:t>Gómez-Manzano FJ, Barroso-</w:t>
      </w:r>
      <w:proofErr w:type="spellStart"/>
      <w:r w:rsidRPr="00F96978">
        <w:t>Corroto</w:t>
      </w:r>
      <w:proofErr w:type="spellEnd"/>
      <w:r w:rsidRPr="00F96978">
        <w:t xml:space="preserve"> E, Laredo-Aguilera JA, et al. Urination stimulation techniques for clean-catch urine collection in infants: a systematic review. </w:t>
      </w:r>
      <w:r w:rsidRPr="00F96978">
        <w:rPr>
          <w:i/>
          <w:iCs/>
        </w:rPr>
        <w:t xml:space="preserve">Acta </w:t>
      </w:r>
      <w:proofErr w:type="spellStart"/>
      <w:r w:rsidRPr="00F96978">
        <w:rPr>
          <w:i/>
          <w:iCs/>
        </w:rPr>
        <w:t>Paediatr</w:t>
      </w:r>
      <w:proofErr w:type="spellEnd"/>
      <w:r w:rsidRPr="00F96978">
        <w:rPr>
          <w:i/>
          <w:iCs/>
        </w:rPr>
        <w:t>.</w:t>
      </w:r>
      <w:r w:rsidRPr="00F96978">
        <w:t xml:space="preserve"> 2025;114(2):231–239.</w:t>
      </w:r>
    </w:p>
    <w:p w14:paraId="64863DD4" w14:textId="1C2C6EF0" w:rsidR="00F96978" w:rsidRPr="00F96978" w:rsidRDefault="00F96978" w:rsidP="00F96978">
      <w:pPr>
        <w:pStyle w:val="ListParagraph"/>
        <w:numPr>
          <w:ilvl w:val="0"/>
          <w:numId w:val="8"/>
        </w:numPr>
      </w:pPr>
      <w:r w:rsidRPr="00F96978">
        <w:t xml:space="preserve">Schroeder AR, Chang PW, Shen MW, et al. Diagnostic accuracy of the urinalysis for urinary tract infection in infants less than 3 months of age. </w:t>
      </w:r>
      <w:proofErr w:type="spellStart"/>
      <w:r w:rsidRPr="00F96978">
        <w:rPr>
          <w:i/>
          <w:iCs/>
        </w:rPr>
        <w:t>Pediatrics</w:t>
      </w:r>
      <w:proofErr w:type="spellEnd"/>
      <w:r w:rsidRPr="00F96978">
        <w:rPr>
          <w:i/>
          <w:iCs/>
        </w:rPr>
        <w:t>.</w:t>
      </w:r>
      <w:r w:rsidRPr="00F96978">
        <w:t xml:space="preserve"> 2015;135(6):965–971.</w:t>
      </w:r>
      <w:r w:rsidR="00EC52F6">
        <w:t xml:space="preserve"> </w:t>
      </w:r>
      <w:r w:rsidRPr="00F96978">
        <w:t>doi:10.1542/peds.2015-0012</w:t>
      </w:r>
    </w:p>
    <w:p w14:paraId="0CFEC95B" w14:textId="370AFEAF" w:rsidR="00F96978" w:rsidRPr="00F96978" w:rsidRDefault="00F96978" w:rsidP="00F96978">
      <w:pPr>
        <w:pStyle w:val="ListParagraph"/>
        <w:numPr>
          <w:ilvl w:val="0"/>
          <w:numId w:val="8"/>
        </w:numPr>
      </w:pPr>
      <w:r w:rsidRPr="00F96978">
        <w:t xml:space="preserve">Williams GJ, Macaskill P, Chan SF, et al. Absolute and relative accuracy of rapid urine tests for urinary tract infection in children: a meta-analysis. </w:t>
      </w:r>
      <w:r w:rsidRPr="00F96978">
        <w:rPr>
          <w:i/>
          <w:iCs/>
        </w:rPr>
        <w:t>Lancet Infect Dis.</w:t>
      </w:r>
      <w:r w:rsidRPr="00F96978">
        <w:t xml:space="preserve"> 2010;10(4):240–250.</w:t>
      </w:r>
      <w:r w:rsidR="00EC52F6">
        <w:t xml:space="preserve"> </w:t>
      </w:r>
      <w:r w:rsidRPr="00F96978">
        <w:t>doi:10.1016/S1473-3099(10)70031-1</w:t>
      </w:r>
    </w:p>
    <w:p w14:paraId="257F6BA5" w14:textId="1B3F9515" w:rsidR="00F96978" w:rsidRPr="00F96978" w:rsidRDefault="00F96978" w:rsidP="00F96978">
      <w:pPr>
        <w:pStyle w:val="ListParagraph"/>
        <w:numPr>
          <w:ilvl w:val="0"/>
          <w:numId w:val="8"/>
        </w:numPr>
      </w:pPr>
      <w:r w:rsidRPr="00F96978">
        <w:t xml:space="preserve">Schulz KF, Altman DG, Moher D; CONSORT Group. CONSORT 2010 statement: updated guidelines for reporting parallel group randomized trials. </w:t>
      </w:r>
      <w:r w:rsidRPr="00F96978">
        <w:rPr>
          <w:i/>
          <w:iCs/>
        </w:rPr>
        <w:t>BMJ.</w:t>
      </w:r>
      <w:r w:rsidRPr="00F96978">
        <w:t xml:space="preserve"> 2010;340:c332.</w:t>
      </w:r>
      <w:r w:rsidR="00EC52F6">
        <w:t xml:space="preserve"> </w:t>
      </w:r>
      <w:r w:rsidRPr="00F96978">
        <w:t>doi:10.1136/bmj.c332</w:t>
      </w:r>
    </w:p>
    <w:p w14:paraId="24516CA3" w14:textId="4A37F804" w:rsidR="00F96978" w:rsidRPr="00F96978" w:rsidRDefault="00F96978" w:rsidP="00F96978">
      <w:pPr>
        <w:pStyle w:val="ListParagraph"/>
        <w:numPr>
          <w:ilvl w:val="0"/>
          <w:numId w:val="8"/>
        </w:numPr>
      </w:pPr>
      <w:r w:rsidRPr="00F96978">
        <w:t xml:space="preserve">Labrosse M, Levy A, </w:t>
      </w:r>
      <w:proofErr w:type="spellStart"/>
      <w:r w:rsidRPr="00F96978">
        <w:t>Autmizguine</w:t>
      </w:r>
      <w:proofErr w:type="spellEnd"/>
      <w:r w:rsidRPr="00F96978">
        <w:t xml:space="preserve"> J, Gravel J. Evaluation of a new strategy for clean-catch urine collection in infants. </w:t>
      </w:r>
      <w:proofErr w:type="spellStart"/>
      <w:r w:rsidRPr="00F96978">
        <w:rPr>
          <w:i/>
          <w:iCs/>
        </w:rPr>
        <w:t>Pediatrics</w:t>
      </w:r>
      <w:proofErr w:type="spellEnd"/>
      <w:r w:rsidRPr="00F96978">
        <w:rPr>
          <w:i/>
          <w:iCs/>
        </w:rPr>
        <w:t>.</w:t>
      </w:r>
      <w:r w:rsidRPr="00F96978">
        <w:t xml:space="preserve"> 2016;138(3):e20160573.</w:t>
      </w:r>
      <w:r w:rsidR="00EC52F6">
        <w:t xml:space="preserve"> </w:t>
      </w:r>
      <w:r w:rsidRPr="00F96978">
        <w:t>doi:10.1542/peds.2016-0573</w:t>
      </w:r>
    </w:p>
    <w:p w14:paraId="62C17EEE" w14:textId="0E8988C0" w:rsidR="00F96978" w:rsidRPr="00F96978" w:rsidRDefault="00F96978" w:rsidP="00F96978">
      <w:pPr>
        <w:pStyle w:val="ListParagraph"/>
        <w:numPr>
          <w:ilvl w:val="0"/>
          <w:numId w:val="8"/>
        </w:numPr>
      </w:pPr>
      <w:r w:rsidRPr="00F96978">
        <w:t xml:space="preserve">Herreros ML, González ML, </w:t>
      </w:r>
      <w:proofErr w:type="spellStart"/>
      <w:r w:rsidRPr="00F96978">
        <w:t>Tagarro</w:t>
      </w:r>
      <w:proofErr w:type="spellEnd"/>
      <w:r w:rsidRPr="00F96978">
        <w:t xml:space="preserve"> A, et al. A new technique for fast and safe collection of urine in newborns. </w:t>
      </w:r>
      <w:r w:rsidRPr="00F96978">
        <w:rPr>
          <w:i/>
          <w:iCs/>
        </w:rPr>
        <w:t>Arch Dis Child.</w:t>
      </w:r>
      <w:r w:rsidRPr="00F96978">
        <w:t xml:space="preserve"> 2013;98(1):27–29.</w:t>
      </w:r>
      <w:r w:rsidR="00EC52F6">
        <w:t xml:space="preserve"> </w:t>
      </w:r>
      <w:r w:rsidRPr="00F96978">
        <w:t>doi:10.1136/archdischild-2012-301872</w:t>
      </w:r>
    </w:p>
    <w:p w14:paraId="342F68DF" w14:textId="7F2498BF" w:rsidR="00F96978" w:rsidRPr="00F96978" w:rsidRDefault="00F96978" w:rsidP="00F96978">
      <w:pPr>
        <w:pStyle w:val="ListParagraph"/>
        <w:numPr>
          <w:ilvl w:val="0"/>
          <w:numId w:val="8"/>
        </w:numPr>
      </w:pPr>
      <w:r w:rsidRPr="00F96978">
        <w:t xml:space="preserve">Meena J, Hari P, Bagga A. Management of urinary tract infections and </w:t>
      </w:r>
      <w:proofErr w:type="spellStart"/>
      <w:r w:rsidRPr="00F96978">
        <w:t>vesicoureteric</w:t>
      </w:r>
      <w:proofErr w:type="spellEnd"/>
      <w:r w:rsidRPr="00F96978">
        <w:t xml:space="preserve"> reflux: updated guidelines. </w:t>
      </w:r>
      <w:r w:rsidRPr="00F96978">
        <w:rPr>
          <w:i/>
          <w:iCs/>
        </w:rPr>
        <w:t xml:space="preserve">Indian </w:t>
      </w:r>
      <w:proofErr w:type="spellStart"/>
      <w:r w:rsidRPr="00F96978">
        <w:rPr>
          <w:i/>
          <w:iCs/>
        </w:rPr>
        <w:t>Pediatr</w:t>
      </w:r>
      <w:proofErr w:type="spellEnd"/>
      <w:r w:rsidRPr="00F96978">
        <w:rPr>
          <w:i/>
          <w:iCs/>
        </w:rPr>
        <w:t>.</w:t>
      </w:r>
      <w:r w:rsidRPr="00F96978">
        <w:t xml:space="preserve"> 2024;61(3):245–256.</w:t>
      </w:r>
    </w:p>
    <w:p w14:paraId="19D708E2" w14:textId="3D2F8AF5" w:rsidR="00F96978" w:rsidRPr="00F96978" w:rsidRDefault="00F96978" w:rsidP="00F96978">
      <w:pPr>
        <w:pStyle w:val="ListParagraph"/>
        <w:numPr>
          <w:ilvl w:val="0"/>
          <w:numId w:val="8"/>
        </w:numPr>
      </w:pPr>
      <w:r w:rsidRPr="00F96978">
        <w:t>Royal Children’s Hospital Melbourne. Clinical practice guidelines: Urinary tract infection. Updated 2024.</w:t>
      </w:r>
    </w:p>
    <w:p w14:paraId="697C7FB8" w14:textId="6F84C87E" w:rsidR="00F96978" w:rsidRPr="00F96978" w:rsidRDefault="00F96978" w:rsidP="00F96978">
      <w:pPr>
        <w:pStyle w:val="ListParagraph"/>
        <w:numPr>
          <w:ilvl w:val="0"/>
          <w:numId w:val="8"/>
        </w:numPr>
      </w:pPr>
      <w:r w:rsidRPr="00F96978">
        <w:t xml:space="preserve">Armengol M, et al. Clinician and parent perspectives on urine collection in precontinent children: a qualitative study. </w:t>
      </w:r>
      <w:r w:rsidRPr="00F96978">
        <w:rPr>
          <w:i/>
          <w:iCs/>
        </w:rPr>
        <w:t>BMJ Open.</w:t>
      </w:r>
      <w:r w:rsidRPr="00F96978">
        <w:t xml:space="preserve"> 2024;14:e081306.</w:t>
      </w:r>
      <w:r w:rsidR="00EC52F6">
        <w:t xml:space="preserve"> </w:t>
      </w:r>
      <w:r w:rsidRPr="00F96978">
        <w:t>doi:10.1136/bmjopen-2024-081306</w:t>
      </w:r>
    </w:p>
    <w:p w14:paraId="7C03333A" w14:textId="77777777" w:rsidR="00A073EF" w:rsidRPr="00F96978" w:rsidRDefault="00A073EF" w:rsidP="00A073EF">
      <w:pPr>
        <w:pStyle w:val="ListParagraph"/>
      </w:pPr>
    </w:p>
    <w:p w14:paraId="24BE2A99" w14:textId="77777777" w:rsidR="00255470" w:rsidRDefault="00255470"/>
    <w:sectPr w:rsidR="002554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EF4FD" w14:textId="77777777" w:rsidR="002159BD" w:rsidRDefault="002159BD" w:rsidP="00421030">
      <w:pPr>
        <w:spacing w:after="0" w:line="240" w:lineRule="auto"/>
      </w:pPr>
      <w:r>
        <w:separator/>
      </w:r>
    </w:p>
  </w:endnote>
  <w:endnote w:type="continuationSeparator" w:id="0">
    <w:p w14:paraId="16F61F82" w14:textId="77777777" w:rsidR="002159BD" w:rsidRDefault="002159BD" w:rsidP="0042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40FAB" w14:textId="77777777" w:rsidR="00421030" w:rsidRDefault="0042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1F74" w14:textId="77777777" w:rsidR="00421030" w:rsidRDefault="00421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1037" w14:textId="77777777" w:rsidR="00421030" w:rsidRDefault="0042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B2F28" w14:textId="77777777" w:rsidR="002159BD" w:rsidRDefault="002159BD" w:rsidP="00421030">
      <w:pPr>
        <w:spacing w:after="0" w:line="240" w:lineRule="auto"/>
      </w:pPr>
      <w:r>
        <w:separator/>
      </w:r>
    </w:p>
  </w:footnote>
  <w:footnote w:type="continuationSeparator" w:id="0">
    <w:p w14:paraId="14EA3D8A" w14:textId="77777777" w:rsidR="002159BD" w:rsidRDefault="002159BD" w:rsidP="0042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A85C" w14:textId="2A4C9C73" w:rsidR="00421030" w:rsidRDefault="002159BD">
    <w:pPr>
      <w:pStyle w:val="Header"/>
    </w:pPr>
    <w:r>
      <w:rPr>
        <w:noProof/>
      </w:rPr>
      <w:pict w14:anchorId="2A160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4728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E43F" w14:textId="4769B472" w:rsidR="00421030" w:rsidRDefault="002159BD">
    <w:pPr>
      <w:pStyle w:val="Header"/>
    </w:pPr>
    <w:r>
      <w:rPr>
        <w:noProof/>
      </w:rPr>
      <w:pict w14:anchorId="07DD1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4728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A0BD" w14:textId="47BBB0F7" w:rsidR="00421030" w:rsidRDefault="002159BD">
    <w:pPr>
      <w:pStyle w:val="Header"/>
    </w:pPr>
    <w:r>
      <w:rPr>
        <w:noProof/>
      </w:rPr>
      <w:pict w14:anchorId="1ED76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4728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B0E0B"/>
    <w:multiLevelType w:val="multilevel"/>
    <w:tmpl w:val="DD5A7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1637"/>
    <w:multiLevelType w:val="hybridMultilevel"/>
    <w:tmpl w:val="CF20AC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0D7374"/>
    <w:multiLevelType w:val="multilevel"/>
    <w:tmpl w:val="0D4EB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F7D43"/>
    <w:multiLevelType w:val="multilevel"/>
    <w:tmpl w:val="90A6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7525E"/>
    <w:multiLevelType w:val="multilevel"/>
    <w:tmpl w:val="3EB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55864"/>
    <w:multiLevelType w:val="multilevel"/>
    <w:tmpl w:val="77F8E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D202E0"/>
    <w:multiLevelType w:val="hybridMultilevel"/>
    <w:tmpl w:val="341A5AC6"/>
    <w:lvl w:ilvl="0" w:tplc="5E3A511C">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0A034A"/>
    <w:multiLevelType w:val="multilevel"/>
    <w:tmpl w:val="CE727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3"/>
  </w:num>
  <w:num w:numId="4">
    <w:abstractNumId w:val="0"/>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B"/>
    <w:rsid w:val="00017204"/>
    <w:rsid w:val="0006028C"/>
    <w:rsid w:val="000815F5"/>
    <w:rsid w:val="000D4710"/>
    <w:rsid w:val="0013310B"/>
    <w:rsid w:val="00134219"/>
    <w:rsid w:val="002159BD"/>
    <w:rsid w:val="00255470"/>
    <w:rsid w:val="00263080"/>
    <w:rsid w:val="00270893"/>
    <w:rsid w:val="00294ABB"/>
    <w:rsid w:val="002C0C25"/>
    <w:rsid w:val="002C2B71"/>
    <w:rsid w:val="002D4F74"/>
    <w:rsid w:val="002E0EF8"/>
    <w:rsid w:val="002E50CE"/>
    <w:rsid w:val="00346829"/>
    <w:rsid w:val="003A4A17"/>
    <w:rsid w:val="003E31CF"/>
    <w:rsid w:val="00421030"/>
    <w:rsid w:val="004B6B3B"/>
    <w:rsid w:val="004D698B"/>
    <w:rsid w:val="00530670"/>
    <w:rsid w:val="005425D1"/>
    <w:rsid w:val="0065399C"/>
    <w:rsid w:val="006D2275"/>
    <w:rsid w:val="006E2E1D"/>
    <w:rsid w:val="007151CB"/>
    <w:rsid w:val="00717F96"/>
    <w:rsid w:val="007563C9"/>
    <w:rsid w:val="00791542"/>
    <w:rsid w:val="007D3FD2"/>
    <w:rsid w:val="00836900"/>
    <w:rsid w:val="008F3C88"/>
    <w:rsid w:val="00921B79"/>
    <w:rsid w:val="009336C8"/>
    <w:rsid w:val="00996A9D"/>
    <w:rsid w:val="009E5206"/>
    <w:rsid w:val="00A073EF"/>
    <w:rsid w:val="00AC12F5"/>
    <w:rsid w:val="00AC375A"/>
    <w:rsid w:val="00B42911"/>
    <w:rsid w:val="00B4798F"/>
    <w:rsid w:val="00B52939"/>
    <w:rsid w:val="00B7724A"/>
    <w:rsid w:val="00BE4FE9"/>
    <w:rsid w:val="00C327B4"/>
    <w:rsid w:val="00C45E7C"/>
    <w:rsid w:val="00CC443E"/>
    <w:rsid w:val="00DE0A4D"/>
    <w:rsid w:val="00E37C79"/>
    <w:rsid w:val="00E807CB"/>
    <w:rsid w:val="00EC52F6"/>
    <w:rsid w:val="00F42AD1"/>
    <w:rsid w:val="00F63139"/>
    <w:rsid w:val="00F96978"/>
    <w:rsid w:val="00FA2C7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551FD"/>
  <w15:chartTrackingRefBased/>
  <w15:docId w15:val="{805F7D3B-54D2-441A-B065-4381F8C6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ABB"/>
    <w:rPr>
      <w:rFonts w:eastAsiaTheme="majorEastAsia" w:cstheme="majorBidi"/>
      <w:color w:val="272727" w:themeColor="text1" w:themeTint="D8"/>
    </w:rPr>
  </w:style>
  <w:style w:type="paragraph" w:styleId="Title">
    <w:name w:val="Title"/>
    <w:basedOn w:val="Normal"/>
    <w:next w:val="Normal"/>
    <w:link w:val="TitleChar"/>
    <w:uiPriority w:val="10"/>
    <w:qFormat/>
    <w:rsid w:val="00294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ABB"/>
    <w:pPr>
      <w:spacing w:before="160"/>
      <w:jc w:val="center"/>
    </w:pPr>
    <w:rPr>
      <w:i/>
      <w:iCs/>
      <w:color w:val="404040" w:themeColor="text1" w:themeTint="BF"/>
    </w:rPr>
  </w:style>
  <w:style w:type="character" w:customStyle="1" w:styleId="QuoteChar">
    <w:name w:val="Quote Char"/>
    <w:basedOn w:val="DefaultParagraphFont"/>
    <w:link w:val="Quote"/>
    <w:uiPriority w:val="29"/>
    <w:rsid w:val="00294ABB"/>
    <w:rPr>
      <w:i/>
      <w:iCs/>
      <w:color w:val="404040" w:themeColor="text1" w:themeTint="BF"/>
    </w:rPr>
  </w:style>
  <w:style w:type="paragraph" w:styleId="ListParagraph">
    <w:name w:val="List Paragraph"/>
    <w:basedOn w:val="Normal"/>
    <w:uiPriority w:val="34"/>
    <w:qFormat/>
    <w:rsid w:val="00294ABB"/>
    <w:pPr>
      <w:ind w:left="720"/>
      <w:contextualSpacing/>
    </w:pPr>
  </w:style>
  <w:style w:type="character" w:styleId="IntenseEmphasis">
    <w:name w:val="Intense Emphasis"/>
    <w:basedOn w:val="DefaultParagraphFont"/>
    <w:uiPriority w:val="21"/>
    <w:qFormat/>
    <w:rsid w:val="00294ABB"/>
    <w:rPr>
      <w:i/>
      <w:iCs/>
      <w:color w:val="0F4761" w:themeColor="accent1" w:themeShade="BF"/>
    </w:rPr>
  </w:style>
  <w:style w:type="paragraph" w:styleId="IntenseQuote">
    <w:name w:val="Intense Quote"/>
    <w:basedOn w:val="Normal"/>
    <w:next w:val="Normal"/>
    <w:link w:val="IntenseQuoteChar"/>
    <w:uiPriority w:val="30"/>
    <w:qFormat/>
    <w:rsid w:val="00294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ABB"/>
    <w:rPr>
      <w:i/>
      <w:iCs/>
      <w:color w:val="0F4761" w:themeColor="accent1" w:themeShade="BF"/>
    </w:rPr>
  </w:style>
  <w:style w:type="character" w:styleId="IntenseReference">
    <w:name w:val="Intense Reference"/>
    <w:basedOn w:val="DefaultParagraphFont"/>
    <w:uiPriority w:val="32"/>
    <w:qFormat/>
    <w:rsid w:val="00294ABB"/>
    <w:rPr>
      <w:b/>
      <w:bCs/>
      <w:smallCaps/>
      <w:color w:val="0F4761" w:themeColor="accent1" w:themeShade="BF"/>
      <w:spacing w:val="5"/>
    </w:rPr>
  </w:style>
  <w:style w:type="character" w:styleId="Hyperlink">
    <w:name w:val="Hyperlink"/>
    <w:basedOn w:val="DefaultParagraphFont"/>
    <w:uiPriority w:val="99"/>
    <w:unhideWhenUsed/>
    <w:rsid w:val="00294ABB"/>
    <w:rPr>
      <w:color w:val="467886" w:themeColor="hyperlink"/>
      <w:u w:val="single"/>
    </w:rPr>
  </w:style>
  <w:style w:type="character" w:styleId="UnresolvedMention">
    <w:name w:val="Unresolved Mention"/>
    <w:basedOn w:val="DefaultParagraphFont"/>
    <w:uiPriority w:val="99"/>
    <w:semiHidden/>
    <w:unhideWhenUsed/>
    <w:rsid w:val="00294ABB"/>
    <w:rPr>
      <w:color w:val="605E5C"/>
      <w:shd w:val="clear" w:color="auto" w:fill="E1DFDD"/>
    </w:rPr>
  </w:style>
  <w:style w:type="paragraph" w:styleId="Header">
    <w:name w:val="header"/>
    <w:basedOn w:val="Normal"/>
    <w:link w:val="HeaderChar"/>
    <w:uiPriority w:val="99"/>
    <w:unhideWhenUsed/>
    <w:rsid w:val="00421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030"/>
  </w:style>
  <w:style w:type="paragraph" w:styleId="Footer">
    <w:name w:val="footer"/>
    <w:basedOn w:val="Normal"/>
    <w:link w:val="FooterChar"/>
    <w:uiPriority w:val="99"/>
    <w:unhideWhenUsed/>
    <w:rsid w:val="00421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030"/>
  </w:style>
  <w:style w:type="paragraph" w:customStyle="1" w:styleId="Default">
    <w:name w:val="Default"/>
    <w:rsid w:val="00E37C79"/>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u w:color="000000"/>
      <w:bdr w:val="nil"/>
      <w:lang w:val="en-US" w:bidi="te-IN"/>
      <w14:ligatures w14:val="none"/>
    </w:rPr>
  </w:style>
  <w:style w:type="paragraph" w:styleId="NormalWeb">
    <w:name w:val="Normal (Web)"/>
    <w:basedOn w:val="Normal"/>
    <w:unhideWhenUsed/>
    <w:rsid w:val="00A073E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A073EF"/>
    <w:rPr>
      <w:b/>
      <w:bCs/>
    </w:rPr>
  </w:style>
  <w:style w:type="character" w:styleId="Emphasis">
    <w:name w:val="Emphasis"/>
    <w:basedOn w:val="DefaultParagraphFont"/>
    <w:uiPriority w:val="20"/>
    <w:qFormat/>
    <w:rsid w:val="00A073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7</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Bansal</dc:creator>
  <cp:keywords/>
  <dc:description/>
  <cp:lastModifiedBy>Editor-11</cp:lastModifiedBy>
  <cp:revision>13</cp:revision>
  <dcterms:created xsi:type="dcterms:W3CDTF">2025-12-27T16:20:00Z</dcterms:created>
  <dcterms:modified xsi:type="dcterms:W3CDTF">2026-01-02T10:21:00Z</dcterms:modified>
</cp:coreProperties>
</file>