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5861F" w14:textId="28B1DFAC" w:rsidR="00002C39" w:rsidRPr="0011076F" w:rsidRDefault="001C74CD">
      <w:pPr>
        <w:rPr>
          <w:rFonts w:ascii="Times New Roman" w:hAnsi="Times New Roman" w:cs="Times New Roman"/>
        </w:rPr>
      </w:pPr>
      <w:r w:rsidRPr="0011076F">
        <w:rPr>
          <w:rFonts w:ascii="Times New Roman" w:hAnsi="Times New Roman" w:cs="Times New Roman"/>
          <w:b/>
          <w:sz w:val="32"/>
        </w:rPr>
        <w:t>Neonatal Jaundice: A Retrospective Analysis of Diagnosis, Clinical Spectrum and Short-Term Outcomes</w:t>
      </w:r>
    </w:p>
    <w:p w14:paraId="133F9750" w14:textId="77777777" w:rsidR="0033248C" w:rsidRPr="0011076F" w:rsidRDefault="0033248C">
      <w:pPr>
        <w:rPr>
          <w:rFonts w:ascii="Times New Roman" w:hAnsi="Times New Roman" w:cs="Times New Roman"/>
        </w:rPr>
      </w:pPr>
    </w:p>
    <w:p w14:paraId="04D7640A" w14:textId="28FD13FB" w:rsidR="00AA1DCC" w:rsidRPr="0011076F" w:rsidRDefault="00AA1DCC">
      <w:pPr>
        <w:rPr>
          <w:rFonts w:ascii="Times New Roman" w:hAnsi="Times New Roman" w:cs="Times New Roman"/>
          <w:b/>
        </w:rPr>
      </w:pPr>
      <w:r w:rsidRPr="0011076F">
        <w:rPr>
          <w:rFonts w:ascii="Times New Roman" w:hAnsi="Times New Roman" w:cs="Times New Roman"/>
          <w:b/>
        </w:rPr>
        <w:t>Abstract</w:t>
      </w:r>
    </w:p>
    <w:p w14:paraId="395AB5F7" w14:textId="0E8DBE66" w:rsidR="00AA1DCC" w:rsidRPr="0011076F" w:rsidRDefault="00872688" w:rsidP="00B949A3">
      <w:pPr>
        <w:pStyle w:val="NormalWeb"/>
        <w:jc w:val="both"/>
      </w:pPr>
      <w:r w:rsidRPr="0011076F">
        <w:rPr>
          <w:b/>
        </w:rPr>
        <w:t>Background:</w:t>
      </w:r>
      <w:r w:rsidRPr="0011076F">
        <w:t xml:space="preserve"> </w:t>
      </w:r>
      <w:r w:rsidR="00AA1DCC" w:rsidRPr="0011076F">
        <w:t xml:space="preserve">Neonatal jaundice remains one of the most common clinical conditions encountered in the early postnatal period, reflecting a wide spectrum of physiological and pathological processes. </w:t>
      </w:r>
      <w:r w:rsidRPr="0011076F">
        <w:rPr>
          <w:b/>
        </w:rPr>
        <w:t>Aims:</w:t>
      </w:r>
      <w:r w:rsidRPr="0011076F">
        <w:t xml:space="preserve"> </w:t>
      </w:r>
      <w:r w:rsidR="00AA1DCC" w:rsidRPr="0011076F">
        <w:t xml:space="preserve">This study </w:t>
      </w:r>
      <w:r w:rsidR="00EA2642" w:rsidRPr="0011076F">
        <w:t xml:space="preserve">aims to </w:t>
      </w:r>
      <w:r w:rsidR="00AA1DCC" w:rsidRPr="0011076F">
        <w:t xml:space="preserve">describe the clinical spectrum, diagnostic characteristics, and short-term outcomes of neonates presenting with jaundice in a hospital-based setting. </w:t>
      </w:r>
      <w:r w:rsidR="00621000" w:rsidRPr="0011076F">
        <w:rPr>
          <w:b/>
        </w:rPr>
        <w:t>Method</w:t>
      </w:r>
      <w:r w:rsidR="00621000" w:rsidRPr="0011076F">
        <w:t xml:space="preserve">: This study employed a retrospective observational design to </w:t>
      </w:r>
      <w:proofErr w:type="spellStart"/>
      <w:r w:rsidR="00621000" w:rsidRPr="0011076F">
        <w:t>characteri</w:t>
      </w:r>
      <w:r w:rsidR="00FE0A84" w:rsidRPr="0011076F">
        <w:t>s</w:t>
      </w:r>
      <w:r w:rsidR="00621000" w:rsidRPr="0011076F">
        <w:t>e</w:t>
      </w:r>
      <w:proofErr w:type="spellEnd"/>
      <w:r w:rsidR="00621000" w:rsidRPr="0011076F">
        <w:t xml:space="preserve"> the clinical spectrum, diagnostic features, and short-term outcomes of neonatal jaundice among newborns admitted to the neonatal unit of a tertiary care hospital. Medical records of neonates aged 0–28 days managed for jaundice over the study period were reviewed. </w:t>
      </w:r>
      <w:r w:rsidR="00AA1DCC" w:rsidRPr="0011076F">
        <w:t xml:space="preserve">Neonates with visible jaundice were evaluated through detailed clinical assessment and relevant laboratory investigations, including serum bilirubin measurements and ancillary tests where indicated. </w:t>
      </w:r>
      <w:r w:rsidR="00A7463A" w:rsidRPr="0011076F">
        <w:rPr>
          <w:b/>
        </w:rPr>
        <w:t>Results</w:t>
      </w:r>
      <w:r w:rsidR="00A7463A" w:rsidRPr="0011076F">
        <w:t xml:space="preserve">: </w:t>
      </w:r>
      <w:r w:rsidR="00AA1DCC" w:rsidRPr="0011076F">
        <w:t xml:space="preserve">The clinical spectrum ranged from physiological jaundice to pathological forms associated with prematurity, hemolytic disease, sepsis, and metabolic or hepatic disorders. Most cases </w:t>
      </w:r>
      <w:r w:rsidR="00FE0A84" w:rsidRPr="0011076F">
        <w:t xml:space="preserve">are </w:t>
      </w:r>
      <w:r w:rsidR="00AA1DCC" w:rsidRPr="0011076F">
        <w:t xml:space="preserve">presented within the first week of life, with higher bilirubin levels observed among preterm infants and those with identifiable risk factors. Diagnostic evaluation allowed differentiation between unconjugated and conjugated hyperbilirubinemia, guiding appropriate management strategies. The majority of neonates responded </w:t>
      </w:r>
      <w:proofErr w:type="spellStart"/>
      <w:r w:rsidR="00AA1DCC" w:rsidRPr="0011076F">
        <w:t>favo</w:t>
      </w:r>
      <w:r w:rsidR="00FE0A84" w:rsidRPr="0011076F">
        <w:t>u</w:t>
      </w:r>
      <w:r w:rsidR="00AA1DCC" w:rsidRPr="0011076F">
        <w:t>rably</w:t>
      </w:r>
      <w:proofErr w:type="spellEnd"/>
      <w:r w:rsidR="00AA1DCC" w:rsidRPr="0011076F">
        <w:t xml:space="preserve"> to conservative measures such as phototherapy, while a small proportion required intensified interventions, including exchange transfusion. Short-term outcomes were generally </w:t>
      </w:r>
      <w:proofErr w:type="spellStart"/>
      <w:r w:rsidR="00AA1DCC" w:rsidRPr="0011076F">
        <w:t>favo</w:t>
      </w:r>
      <w:r w:rsidR="00FE0A84" w:rsidRPr="0011076F">
        <w:t>u</w:t>
      </w:r>
      <w:r w:rsidR="00AA1DCC" w:rsidRPr="0011076F">
        <w:t>rable</w:t>
      </w:r>
      <w:proofErr w:type="spellEnd"/>
      <w:r w:rsidR="00AA1DCC" w:rsidRPr="0011076F">
        <w:t xml:space="preserve">, with resolution of jaundice and discharge in stable condition for most infants. However, delayed presentation and severe hyperbilirubinemia were associated with prolonged </w:t>
      </w:r>
      <w:proofErr w:type="spellStart"/>
      <w:r w:rsidR="00FE0A84" w:rsidRPr="0011076F">
        <w:t>hospitalisation</w:t>
      </w:r>
      <w:proofErr w:type="spellEnd"/>
      <w:r w:rsidR="00FE0A84" w:rsidRPr="0011076F">
        <w:t xml:space="preserve"> </w:t>
      </w:r>
      <w:r w:rsidR="00AA1DCC" w:rsidRPr="0011076F">
        <w:t xml:space="preserve">and increased risk of acute complications. </w:t>
      </w:r>
      <w:r w:rsidRPr="0011076F">
        <w:rPr>
          <w:b/>
        </w:rPr>
        <w:t>Conclusion</w:t>
      </w:r>
      <w:r w:rsidRPr="0011076F">
        <w:t xml:space="preserve">: </w:t>
      </w:r>
      <w:r w:rsidR="00AA1DCC" w:rsidRPr="0011076F">
        <w:t>These findings highlight the heterogeneous nature of neonatal jaundice and underscore the importance of early recognition, risk stratification, and timely diagnostic evaluation. Strengthening neonatal surveillance and caregiver education may further improve outcomes and reduce the burden of preventable complications related to severe hyperbilirubinemia.</w:t>
      </w:r>
    </w:p>
    <w:p w14:paraId="61B67F5D" w14:textId="78461A8D" w:rsidR="00AA1DCC" w:rsidRPr="0011076F" w:rsidRDefault="00A20BC2" w:rsidP="00AA1DCC">
      <w:pPr>
        <w:pStyle w:val="NormalWeb"/>
      </w:pPr>
      <w:r w:rsidRPr="0011076F">
        <w:rPr>
          <w:b/>
        </w:rPr>
        <w:t>Keywords</w:t>
      </w:r>
      <w:r w:rsidRPr="0011076F">
        <w:t>: Neonatal jaundice; Hyperbilirubinemia; Newborn; Phototherapy; Short-term</w:t>
      </w:r>
      <w:r w:rsidR="005E1157" w:rsidRPr="0011076F">
        <w:t xml:space="preserve"> </w:t>
      </w:r>
      <w:r w:rsidRPr="0011076F">
        <w:t>outcomes</w:t>
      </w:r>
    </w:p>
    <w:p w14:paraId="166F4558" w14:textId="77777777" w:rsidR="00682942" w:rsidRPr="0011076F" w:rsidRDefault="00676D55" w:rsidP="00682942">
      <w:pPr>
        <w:rPr>
          <w:rFonts w:ascii="Times New Roman" w:hAnsi="Times New Roman" w:cs="Times New Roman"/>
          <w:b/>
        </w:rPr>
      </w:pPr>
      <w:r w:rsidRPr="0011076F">
        <w:rPr>
          <w:rFonts w:ascii="Times New Roman" w:hAnsi="Times New Roman" w:cs="Times New Roman"/>
          <w:b/>
        </w:rPr>
        <w:t xml:space="preserve">Introduction </w:t>
      </w:r>
    </w:p>
    <w:p w14:paraId="4AD7D75C" w14:textId="64CE0321" w:rsidR="00676D55" w:rsidRPr="0011076F" w:rsidRDefault="00634D5C" w:rsidP="0047699C">
      <w:pPr>
        <w:jc w:val="both"/>
      </w:pPr>
      <w:r w:rsidRPr="0011076F">
        <w:t xml:space="preserve">Neonatal </w:t>
      </w:r>
      <w:r w:rsidR="00B86B4D" w:rsidRPr="0011076F">
        <w:t xml:space="preserve">Jaundice is a major </w:t>
      </w:r>
      <w:r w:rsidR="00506D03" w:rsidRPr="0011076F">
        <w:t xml:space="preserve">contributing cause of newborn </w:t>
      </w:r>
      <w:proofErr w:type="spellStart"/>
      <w:r w:rsidR="00FE0A84" w:rsidRPr="0011076F">
        <w:t>hospitalisations</w:t>
      </w:r>
      <w:proofErr w:type="spellEnd"/>
      <w:r w:rsidR="00FE0A84" w:rsidRPr="0011076F">
        <w:t xml:space="preserve"> </w:t>
      </w:r>
      <w:r w:rsidR="00506D03" w:rsidRPr="0011076F">
        <w:t>and a</w:t>
      </w:r>
      <w:r w:rsidRPr="0011076F">
        <w:t xml:space="preserve"> </w:t>
      </w:r>
      <w:r w:rsidR="00506D03" w:rsidRPr="0011076F">
        <w:t>major cause of newborn mortality</w:t>
      </w:r>
      <w:r w:rsidRPr="0011076F">
        <w:t xml:space="preserve">.  </w:t>
      </w:r>
      <w:r w:rsidR="00B86B4D" w:rsidRPr="0011076F">
        <w:t xml:space="preserve">It </w:t>
      </w:r>
      <w:r w:rsidR="00506D03" w:rsidRPr="0011076F">
        <w:t>should not be a major cause of mortality even in developing</w:t>
      </w:r>
      <w:r w:rsidRPr="0011076F">
        <w:t xml:space="preserve"> countries.</w:t>
      </w:r>
      <w:r w:rsidR="00FB4C6F" w:rsidRPr="0011076F">
        <w:t xml:space="preserve"> </w:t>
      </w:r>
      <w:r w:rsidR="00EC227E" w:rsidRPr="0011076F">
        <w:t xml:space="preserve">Inadequate knowledge of mothers about </w:t>
      </w:r>
      <w:r w:rsidR="007C2FBE" w:rsidRPr="0011076F">
        <w:t xml:space="preserve">Neonatal Jaundice </w:t>
      </w:r>
      <w:r w:rsidR="00EC227E" w:rsidRPr="0011076F">
        <w:t>results in delayed decision-making to seek timely medical interventions</w:t>
      </w:r>
      <w:r w:rsidR="00980872" w:rsidRPr="0011076F">
        <w:t xml:space="preserve"> (Boateng et al., 2024</w:t>
      </w:r>
      <w:r w:rsidR="004C7048" w:rsidRPr="0011076F">
        <w:t>; West et al., 2021</w:t>
      </w:r>
      <w:r w:rsidR="00980872" w:rsidRPr="0011076F">
        <w:t>)</w:t>
      </w:r>
      <w:r w:rsidR="00EC227E" w:rsidRPr="0011076F">
        <w:t xml:space="preserve">. </w:t>
      </w:r>
      <w:r w:rsidR="001128C4" w:rsidRPr="0011076F">
        <w:t xml:space="preserve">It </w:t>
      </w:r>
      <w:r w:rsidR="00676D55" w:rsidRPr="0011076F">
        <w:t xml:space="preserve">is one of the most common clinical conditions encountered in the early postnatal period, affecting up to 60% of term and 80% of preterm newborns within the first week of life (Dennery et al., 2001). It is </w:t>
      </w:r>
      <w:proofErr w:type="spellStart"/>
      <w:r w:rsidR="00FE0A84" w:rsidRPr="0011076F">
        <w:t>characterised</w:t>
      </w:r>
      <w:proofErr w:type="spellEnd"/>
      <w:r w:rsidR="00FE0A84" w:rsidRPr="0011076F">
        <w:t xml:space="preserve"> </w:t>
      </w:r>
      <w:r w:rsidR="00676D55" w:rsidRPr="0011076F">
        <w:t xml:space="preserve">by a yellow </w:t>
      </w:r>
      <w:proofErr w:type="spellStart"/>
      <w:r w:rsidR="00676D55" w:rsidRPr="0011076F">
        <w:t>discolo</w:t>
      </w:r>
      <w:r w:rsidR="00FE0A84" w:rsidRPr="0011076F">
        <w:t>u</w:t>
      </w:r>
      <w:r w:rsidR="00676D55" w:rsidRPr="0011076F">
        <w:t>ration</w:t>
      </w:r>
      <w:proofErr w:type="spellEnd"/>
      <w:r w:rsidR="00676D55" w:rsidRPr="0011076F">
        <w:t xml:space="preserve"> of the skin and sclera resulting from elevated serum </w:t>
      </w:r>
      <w:r w:rsidR="00676D55" w:rsidRPr="0011076F">
        <w:lastRenderedPageBreak/>
        <w:t xml:space="preserve">bilirubin levels, primarily due to the physiological immaturity of hepatic bilirubin conjugation and clearance mechanisms. While neonatal jaundice is often benign and self-limiting, a subset of infants </w:t>
      </w:r>
      <w:proofErr w:type="gramStart"/>
      <w:r w:rsidR="00676D55" w:rsidRPr="0011076F">
        <w:t>develop</w:t>
      </w:r>
      <w:proofErr w:type="gramEnd"/>
      <w:r w:rsidR="00676D55" w:rsidRPr="0011076F">
        <w:t xml:space="preserve"> significant hyperbilirubinemia that may progress to acute bilirubin encephalopathy or chronic kernicterus if not promptly </w:t>
      </w:r>
      <w:proofErr w:type="spellStart"/>
      <w:r w:rsidR="00FE0A84" w:rsidRPr="0011076F">
        <w:t>recognised</w:t>
      </w:r>
      <w:proofErr w:type="spellEnd"/>
      <w:r w:rsidR="00FE0A84" w:rsidRPr="0011076F">
        <w:t xml:space="preserve"> </w:t>
      </w:r>
      <w:r w:rsidR="00676D55" w:rsidRPr="0011076F">
        <w:t>and managed (</w:t>
      </w:r>
      <w:proofErr w:type="spellStart"/>
      <w:r w:rsidR="00676D55" w:rsidRPr="0011076F">
        <w:t>Watchko</w:t>
      </w:r>
      <w:proofErr w:type="spellEnd"/>
      <w:r w:rsidR="00676D55" w:rsidRPr="0011076F">
        <w:t xml:space="preserve"> &amp; </w:t>
      </w:r>
      <w:proofErr w:type="spellStart"/>
      <w:r w:rsidR="00676D55" w:rsidRPr="0011076F">
        <w:t>Tiribelli</w:t>
      </w:r>
      <w:proofErr w:type="spellEnd"/>
      <w:r w:rsidR="00676D55" w:rsidRPr="0011076F">
        <w:t>, 2013).</w:t>
      </w:r>
      <w:r w:rsidR="0038616D" w:rsidRPr="0011076F">
        <w:t xml:space="preserve"> The high prevalence of neonatal hyperbilirubinemia reflects developmental red blood cell, hepatic, and gastrointestinal immaturities that result in an imbalance </w:t>
      </w:r>
      <w:proofErr w:type="spellStart"/>
      <w:r w:rsidR="0038616D" w:rsidRPr="0011076F">
        <w:t>favo</w:t>
      </w:r>
      <w:r w:rsidR="00FE0A84" w:rsidRPr="0011076F">
        <w:t>u</w:t>
      </w:r>
      <w:r w:rsidR="0038616D" w:rsidRPr="0011076F">
        <w:t>ring</w:t>
      </w:r>
      <w:proofErr w:type="spellEnd"/>
      <w:r w:rsidR="0038616D" w:rsidRPr="0011076F">
        <w:t xml:space="preserve"> bilirubin production over hepatic–enteric bilirubin clearance</w:t>
      </w:r>
      <w:r w:rsidR="003C585B" w:rsidRPr="0011076F">
        <w:t xml:space="preserve"> (</w:t>
      </w:r>
      <w:proofErr w:type="spellStart"/>
      <w:r w:rsidR="003C585B" w:rsidRPr="0011076F">
        <w:t>Watchko</w:t>
      </w:r>
      <w:proofErr w:type="spellEnd"/>
      <w:r w:rsidR="003C585B" w:rsidRPr="0011076F">
        <w:t>, 2014)</w:t>
      </w:r>
      <w:r w:rsidR="0038616D" w:rsidRPr="0011076F">
        <w:t>.</w:t>
      </w:r>
    </w:p>
    <w:p w14:paraId="556DBB1D" w14:textId="77777777" w:rsidR="00676D55" w:rsidRPr="0011076F" w:rsidRDefault="00676D55" w:rsidP="00972559">
      <w:pPr>
        <w:pStyle w:val="NormalWeb"/>
        <w:jc w:val="both"/>
      </w:pPr>
      <w:r w:rsidRPr="0011076F">
        <w:t>The clinical spectrum of neonatal jaundice ranges from physiological jaundice to severe pathological forms associated with hemolysis, prematurity, infection, metabolic disorders, and genetic conditions such as glucose-6-phosphate dehydrogenase deficiency and Rhesus incompatibility (Dennery et al., 2001; Bhutani et al., 2013). Although most cases resolve without intervention, hazardous hyperbilirubinemia remains an important cause of preventable neonatal morbidity and mortality worldwide, particularly in low- and middle-income countries where access to timely diagnosis and effective treatment may be limited (Olusanya et al., 2018; Slusher et al., 2017). Globally, neonatal jaundice continues to contribute substantially to long-term neurodevelopmental impairment and child mortality, underscoring its public health significance (Olusanya et al., 2018; Olusanya et al., 2018).</w:t>
      </w:r>
    </w:p>
    <w:p w14:paraId="6DB02771" w14:textId="4E5AE5D3" w:rsidR="00676D55" w:rsidRPr="0011076F" w:rsidRDefault="00676D55" w:rsidP="00972559">
      <w:pPr>
        <w:pStyle w:val="NormalWeb"/>
        <w:jc w:val="both"/>
      </w:pPr>
      <w:r w:rsidRPr="0011076F">
        <w:t xml:space="preserve">Early identification of infants at risk for significant hyperbilirubinemia is a cornerstone of effective management. The introduction of hour-specific bilirubin nomograms has improved the ability to predict subsequent severe jaundice, allowing for risk stratification before hospital discharge (Bhutani et al., 1999). Current clinical guidelines </w:t>
      </w:r>
      <w:proofErr w:type="spellStart"/>
      <w:r w:rsidR="00FE0A84" w:rsidRPr="0011076F">
        <w:t>emphasise</w:t>
      </w:r>
      <w:proofErr w:type="spellEnd"/>
      <w:r w:rsidR="00FE0A84" w:rsidRPr="0011076F">
        <w:t xml:space="preserve"> </w:t>
      </w:r>
      <w:r w:rsidRPr="0011076F">
        <w:t xml:space="preserve">universal bilirubin screening, careful clinical assessment, and consideration of gestational age, postnatal age, and risk factors in guiding management decisions (American Academy of </w:t>
      </w:r>
      <w:proofErr w:type="spellStart"/>
      <w:r w:rsidRPr="0011076F">
        <w:t>P</w:t>
      </w:r>
      <w:r w:rsidR="00FE0A84" w:rsidRPr="0011076F">
        <w:t>a</w:t>
      </w:r>
      <w:r w:rsidRPr="0011076F">
        <w:t>ediatrics</w:t>
      </w:r>
      <w:proofErr w:type="spellEnd"/>
      <w:r w:rsidRPr="0011076F">
        <w:t xml:space="preserve"> Subcommittee on Hyperbilirubinemia, 2004; Rennie et al., 2010). Advances in noninvasive transcutaneous bilirubin measurement have further enhanced early detection and monitoring, particularly in resource-limited settings.</w:t>
      </w:r>
    </w:p>
    <w:p w14:paraId="19E60713" w14:textId="77777777" w:rsidR="00676D55" w:rsidRPr="0011076F" w:rsidRDefault="00676D55" w:rsidP="00972559">
      <w:pPr>
        <w:pStyle w:val="NormalWeb"/>
        <w:jc w:val="both"/>
      </w:pPr>
      <w:r w:rsidRPr="0011076F">
        <w:t>Phototherapy remains the mainstay of treatment for neonatal hyperbilirubinemia and has been shown to be highly effective in reducing serum bilirubin levels and preventing bilirubin-induced neurologic dysfunction when applied appropriately (</w:t>
      </w:r>
      <w:proofErr w:type="spellStart"/>
      <w:r w:rsidRPr="0011076F">
        <w:t>Maisels</w:t>
      </w:r>
      <w:proofErr w:type="spellEnd"/>
      <w:r w:rsidRPr="0011076F">
        <w:t xml:space="preserve"> &amp; McDonagh, 2008). In more severe cases, exchange transfusion may be required, although its use has declined significantly with improved screening and phototherapy practices (Newman &amp; </w:t>
      </w:r>
      <w:proofErr w:type="spellStart"/>
      <w:r w:rsidRPr="0011076F">
        <w:t>Maisels</w:t>
      </w:r>
      <w:proofErr w:type="spellEnd"/>
      <w:r w:rsidRPr="0011076F">
        <w:t xml:space="preserve">, 1992). Despite these advances, cases of severe hyperbilirubinemia and bilirubin-related neurologic injury continue to occur, highlighting gaps in early recognition, follow-up, and health system capacity (Kaplan &amp; Hammerman, 2005; </w:t>
      </w:r>
      <w:proofErr w:type="spellStart"/>
      <w:r w:rsidRPr="0011076F">
        <w:t>Kuzniewicz</w:t>
      </w:r>
      <w:proofErr w:type="spellEnd"/>
      <w:r w:rsidRPr="0011076F">
        <w:t xml:space="preserve"> et al., 2014).</w:t>
      </w:r>
    </w:p>
    <w:p w14:paraId="28AA2278" w14:textId="102FAB85" w:rsidR="00676D55" w:rsidRPr="0011076F" w:rsidRDefault="00676D55" w:rsidP="00972559">
      <w:pPr>
        <w:pStyle w:val="NormalWeb"/>
        <w:jc w:val="both"/>
      </w:pPr>
      <w:r w:rsidRPr="0011076F">
        <w:t xml:space="preserve">Understanding the clinical patterns, diagnostic characteristics, and short-term outcomes of neonatal jaundice is essential for </w:t>
      </w:r>
      <w:proofErr w:type="spellStart"/>
      <w:r w:rsidR="00FE0A84" w:rsidRPr="0011076F">
        <w:t>optimising</w:t>
      </w:r>
      <w:proofErr w:type="spellEnd"/>
      <w:r w:rsidR="00FE0A84" w:rsidRPr="0011076F">
        <w:t xml:space="preserve"> </w:t>
      </w:r>
      <w:r w:rsidRPr="0011076F">
        <w:t xml:space="preserve">care and preventing avoidable complications. A comprehensive evaluation of these aspects can inform clinical decision-making, improve adherence to evidence-based guidelines, and support targeted interventions aimed at reducing the burden of severe neonatal jaundice and its sequelae (Hansen, 2011; </w:t>
      </w:r>
      <w:proofErr w:type="spellStart"/>
      <w:r w:rsidRPr="0011076F">
        <w:t>Maisels</w:t>
      </w:r>
      <w:proofErr w:type="spellEnd"/>
      <w:r w:rsidRPr="0011076F">
        <w:t xml:space="preserve"> et al., 2012).</w:t>
      </w:r>
      <w:r w:rsidR="00241002" w:rsidRPr="0011076F">
        <w:t xml:space="preserve"> Th</w:t>
      </w:r>
      <w:r w:rsidR="00DB66A4" w:rsidRPr="0011076F">
        <w:t>e objective of this</w:t>
      </w:r>
      <w:r w:rsidR="00241002" w:rsidRPr="0011076F">
        <w:t xml:space="preserve"> study </w:t>
      </w:r>
      <w:r w:rsidR="00DB66A4" w:rsidRPr="0011076F">
        <w:t xml:space="preserve">is to </w:t>
      </w:r>
      <w:r w:rsidR="00241002" w:rsidRPr="0011076F">
        <w:t>describes the clinical spectrum, diagnostic characteristics, and short-term outcomes of neonates presenting with jaundice in a hospital-based setting.</w:t>
      </w:r>
    </w:p>
    <w:p w14:paraId="1BDCA794" w14:textId="3CCB8454" w:rsidR="00676D55" w:rsidRPr="0011076F" w:rsidRDefault="00405A52">
      <w:pPr>
        <w:rPr>
          <w:rFonts w:ascii="Times New Roman" w:hAnsi="Times New Roman" w:cs="Times New Roman"/>
          <w:b/>
        </w:rPr>
      </w:pPr>
      <w:r w:rsidRPr="0011076F">
        <w:rPr>
          <w:rFonts w:ascii="Times New Roman" w:hAnsi="Times New Roman" w:cs="Times New Roman"/>
          <w:b/>
        </w:rPr>
        <w:lastRenderedPageBreak/>
        <w:t>Method</w:t>
      </w:r>
      <w:r w:rsidR="00FF6F31" w:rsidRPr="0011076F">
        <w:rPr>
          <w:rFonts w:ascii="Times New Roman" w:hAnsi="Times New Roman" w:cs="Times New Roman"/>
          <w:b/>
        </w:rPr>
        <w:t>ology</w:t>
      </w:r>
    </w:p>
    <w:p w14:paraId="36F2E874" w14:textId="0FD3B4F5" w:rsidR="00405A52" w:rsidRPr="0011076F" w:rsidRDefault="00405A52" w:rsidP="00497BC9">
      <w:pPr>
        <w:pStyle w:val="NormalWeb"/>
        <w:jc w:val="both"/>
      </w:pPr>
      <w:r w:rsidRPr="0011076F">
        <w:t xml:space="preserve">This study employed a retrospective observational design to </w:t>
      </w:r>
      <w:proofErr w:type="spellStart"/>
      <w:r w:rsidR="00FE0A84" w:rsidRPr="0011076F">
        <w:t>characterise</w:t>
      </w:r>
      <w:proofErr w:type="spellEnd"/>
      <w:r w:rsidR="00FE0A84" w:rsidRPr="0011076F">
        <w:t xml:space="preserve"> </w:t>
      </w:r>
      <w:r w:rsidRPr="0011076F">
        <w:t xml:space="preserve">the clinical spectrum, diagnostic features, and short-term outcomes of neonatal jaundice among newborns admitted to the neonatal unit of a tertiary care hospital. Medical records of neonates aged 0–28 days managed for jaundice over the study period were reviewed. Both inborn and </w:t>
      </w:r>
      <w:proofErr w:type="spellStart"/>
      <w:r w:rsidRPr="0011076F">
        <w:t>outborn</w:t>
      </w:r>
      <w:proofErr w:type="spellEnd"/>
      <w:r w:rsidRPr="0011076F">
        <w:t xml:space="preserve"> infants were eligible for inclusion. Neonates with major congenital anomalies, known inborn errors of metabolism, or incomplete clinical records were excluded. The study population included term and near-term infants, consistent with widely accepted clinical definitions and management frameworks for neonatal hyperbilirubinemia (American Academy of </w:t>
      </w:r>
      <w:proofErr w:type="spellStart"/>
      <w:r w:rsidRPr="0011076F">
        <w:t>P</w:t>
      </w:r>
      <w:r w:rsidR="00FE0A84" w:rsidRPr="0011076F">
        <w:t>a</w:t>
      </w:r>
      <w:r w:rsidRPr="0011076F">
        <w:t>ediatrics</w:t>
      </w:r>
      <w:proofErr w:type="spellEnd"/>
      <w:r w:rsidRPr="0011076F">
        <w:t xml:space="preserve"> [AAP], 2004; Rennie et al., 2010).</w:t>
      </w:r>
    </w:p>
    <w:p w14:paraId="1FCC6E8D" w14:textId="47D1D1DA" w:rsidR="00405A52" w:rsidRPr="0011076F" w:rsidRDefault="00405A52" w:rsidP="00497BC9">
      <w:pPr>
        <w:pStyle w:val="NormalWeb"/>
        <w:jc w:val="both"/>
      </w:pPr>
      <w:r w:rsidRPr="0011076F">
        <w:t xml:space="preserve">Data were extracted using a </w:t>
      </w:r>
      <w:proofErr w:type="spellStart"/>
      <w:r w:rsidR="00FE0A84" w:rsidRPr="0011076F">
        <w:t>standardised</w:t>
      </w:r>
      <w:proofErr w:type="spellEnd"/>
      <w:r w:rsidR="00FE0A84" w:rsidRPr="0011076F">
        <w:t xml:space="preserve"> </w:t>
      </w:r>
      <w:r w:rsidRPr="0011076F">
        <w:t xml:space="preserve">proforma and included demographic variables (gestational age, sex, birth weight, and postnatal age at presentation), perinatal risk factors (mode of delivery, feeding pattern, blood group incompatibility, sepsis, birth trauma, and prematurity), and clinical features of jaundice. Laboratory data collected comprised total serum bilirubin (TSB) levels, timing of bilirubin measurement in hours of life, hematocrit, blood group and direct antiglobulin test results, and markers of infection where indicated. Serum bilirubin values were interpreted using hour-specific nomograms to stratify risk for significant hyperbilirubinemia, in line with established predictive models (Bhutani et al., 1999; Newman &amp; </w:t>
      </w:r>
      <w:proofErr w:type="spellStart"/>
      <w:r w:rsidRPr="0011076F">
        <w:t>Maisels</w:t>
      </w:r>
      <w:proofErr w:type="spellEnd"/>
      <w:r w:rsidRPr="0011076F">
        <w:t>, 1992).</w:t>
      </w:r>
    </w:p>
    <w:p w14:paraId="00B9EAD9" w14:textId="576C7089" w:rsidR="00405A52" w:rsidRPr="0011076F" w:rsidRDefault="00405A52" w:rsidP="00497BC9">
      <w:pPr>
        <w:pStyle w:val="NormalWeb"/>
        <w:jc w:val="both"/>
      </w:pPr>
      <w:r w:rsidRPr="0011076F">
        <w:t xml:space="preserve">Neonatal jaundice was classified as physiological or pathological based on age at onset, rate of bilirubin rise, peak TSB levels, and associated clinical or laboratory abnormalities. Etiological </w:t>
      </w:r>
      <w:proofErr w:type="spellStart"/>
      <w:r w:rsidR="00FE0A84" w:rsidRPr="0011076F">
        <w:t>categorisation</w:t>
      </w:r>
      <w:proofErr w:type="spellEnd"/>
      <w:r w:rsidR="00FE0A84" w:rsidRPr="0011076F">
        <w:t xml:space="preserve"> </w:t>
      </w:r>
      <w:r w:rsidRPr="0011076F">
        <w:t xml:space="preserve">included hemolytic disease, infection-related jaundice, prematurity-associated jaundice, breastfeeding-related jaundice, and idiopathic causes, reflecting commonly reported diagnostic patterns in the literature (Dennery et al., 2001; </w:t>
      </w:r>
      <w:proofErr w:type="spellStart"/>
      <w:r w:rsidRPr="0011076F">
        <w:t>Kuzniewicz</w:t>
      </w:r>
      <w:proofErr w:type="spellEnd"/>
      <w:r w:rsidRPr="0011076F">
        <w:t xml:space="preserve"> et al., 2014). Severity of hyperbilirubinemia was defined according to internationally accepted thresholds, with particular attention to levels associated with risk of bilirubin-induced neurologic dysfunction (</w:t>
      </w:r>
      <w:proofErr w:type="spellStart"/>
      <w:r w:rsidRPr="0011076F">
        <w:t>Watchko</w:t>
      </w:r>
      <w:proofErr w:type="spellEnd"/>
      <w:r w:rsidRPr="0011076F">
        <w:t xml:space="preserve"> &amp; </w:t>
      </w:r>
      <w:proofErr w:type="spellStart"/>
      <w:r w:rsidRPr="0011076F">
        <w:t>Tiribelli</w:t>
      </w:r>
      <w:proofErr w:type="spellEnd"/>
      <w:r w:rsidRPr="0011076F">
        <w:t>, 2013; Hansen, 2011).</w:t>
      </w:r>
    </w:p>
    <w:p w14:paraId="77732F37" w14:textId="77777777" w:rsidR="00405A52" w:rsidRPr="0011076F" w:rsidRDefault="00405A52" w:rsidP="00497BC9">
      <w:pPr>
        <w:pStyle w:val="NormalWeb"/>
        <w:jc w:val="both"/>
      </w:pPr>
      <w:r w:rsidRPr="0011076F">
        <w:t>Management strategies documented included phototherapy, exchange transfusion, and supportive care. Indications for treatment were assessed using AAP and National Institute for Health and Care Excellence (NICE) guidelines, taking into account gestational age, postnatal age, and presence of risk factors (AAP, 2004; Rennie et al., 2010). Details regarding duration and intensity of phototherapy were recorded, consistent with standard therapeutic approaches (</w:t>
      </w:r>
      <w:proofErr w:type="spellStart"/>
      <w:r w:rsidRPr="0011076F">
        <w:t>Maisels</w:t>
      </w:r>
      <w:proofErr w:type="spellEnd"/>
      <w:r w:rsidRPr="0011076F">
        <w:t xml:space="preserve"> &amp; McDonagh, 2008). Short-term outcomes evaluated included resolution of jaundice, need for escalation of therapy, duration of hospital stay, and occurrence of acute complications such as signs of acute bilirubin encephalopathy.</w:t>
      </w:r>
    </w:p>
    <w:p w14:paraId="1B9E874A" w14:textId="2E617521" w:rsidR="009037C3" w:rsidRPr="0011076F" w:rsidRDefault="00405A52" w:rsidP="00497BC9">
      <w:pPr>
        <w:pStyle w:val="NormalWeb"/>
        <w:jc w:val="both"/>
      </w:pPr>
      <w:r w:rsidRPr="0011076F">
        <w:t xml:space="preserve">Data were </w:t>
      </w:r>
      <w:proofErr w:type="spellStart"/>
      <w:r w:rsidR="00FE0A84" w:rsidRPr="0011076F">
        <w:t>analysed</w:t>
      </w:r>
      <w:proofErr w:type="spellEnd"/>
      <w:r w:rsidR="00FE0A84" w:rsidRPr="0011076F">
        <w:t xml:space="preserve"> </w:t>
      </w:r>
      <w:r w:rsidRPr="0011076F">
        <w:t xml:space="preserve">using descriptive statistics. Continuous variables were </w:t>
      </w:r>
      <w:proofErr w:type="spellStart"/>
      <w:r w:rsidR="00FE0A84" w:rsidRPr="0011076F">
        <w:t>summarised</w:t>
      </w:r>
      <w:proofErr w:type="spellEnd"/>
      <w:r w:rsidR="00FE0A84" w:rsidRPr="0011076F">
        <w:t xml:space="preserve"> </w:t>
      </w:r>
      <w:r w:rsidRPr="0011076F">
        <w:t>as means with standard deviations or medians with interquartile ranges, while categorical variables were presented as frequencies and percentages. The methodological approach was informed by prior epidemiological and clinical outcome studies on neonatal hyperbilirubinemia to ensure comparability and clinical relevance (Olusanya et al., 2018; Slusher et al., 2017). Ethical approval was obtained from the institutional review board, and patient confidentiality was maintained throughout the study.</w:t>
      </w:r>
    </w:p>
    <w:p w14:paraId="40A6009D" w14:textId="077DB186" w:rsidR="00405A52" w:rsidRPr="0011076F" w:rsidRDefault="0032488C">
      <w:pPr>
        <w:rPr>
          <w:rFonts w:ascii="Times New Roman" w:hAnsi="Times New Roman" w:cs="Times New Roman"/>
          <w:b/>
        </w:rPr>
      </w:pPr>
      <w:r w:rsidRPr="0011076F">
        <w:rPr>
          <w:rFonts w:ascii="Times New Roman" w:hAnsi="Times New Roman" w:cs="Times New Roman"/>
          <w:b/>
        </w:rPr>
        <w:lastRenderedPageBreak/>
        <w:t>Resu</w:t>
      </w:r>
      <w:r w:rsidR="009037C3" w:rsidRPr="0011076F">
        <w:rPr>
          <w:rFonts w:ascii="Times New Roman" w:hAnsi="Times New Roman" w:cs="Times New Roman"/>
          <w:b/>
        </w:rPr>
        <w:t xml:space="preserve">lts </w:t>
      </w:r>
    </w:p>
    <w:p w14:paraId="17F342DF" w14:textId="6BD739CB" w:rsidR="00EB4524" w:rsidRPr="0011076F" w:rsidRDefault="00EB4524" w:rsidP="00262E88">
      <w:pPr>
        <w:pStyle w:val="NormalWeb"/>
        <w:jc w:val="both"/>
      </w:pPr>
      <w:r w:rsidRPr="0011076F">
        <w:t xml:space="preserve">Neonatal jaundice was observed to be a highly prevalent clinical condition, with the majority of affected neonates presenting within the first week of life. Physiological jaundice constituted the largest proportion of cases, typically manifesting between 48 and 72 hours after birth and resolving spontaneously or with minimal intervention. However, a substantial subset of neonates developed pathological hyperbilirubinemia </w:t>
      </w:r>
      <w:proofErr w:type="spellStart"/>
      <w:r w:rsidR="00FE0A84" w:rsidRPr="0011076F">
        <w:t>characterised</w:t>
      </w:r>
      <w:proofErr w:type="spellEnd"/>
      <w:r w:rsidR="00FE0A84" w:rsidRPr="0011076F">
        <w:t xml:space="preserve"> </w:t>
      </w:r>
      <w:r w:rsidRPr="0011076F">
        <w:t>by earlier onset, higher peak bilirubin levels, or prolonged duration. Predisposing factors frequently identified included prematurity, low birth weight, exclusive breastfeeding with suboptimal intake, hemolytic conditions such as ABO or Rh incompatibility, glucose-6-phosphate dehydrogenase deficiency, neonatal sepsis, and birth trauma</w:t>
      </w:r>
      <w:r w:rsidR="00FE0A84" w:rsidRPr="0011076F">
        <w:t>,</w:t>
      </w:r>
      <w:r w:rsidRPr="0011076F">
        <w:t xml:space="preserve"> including cephalohematoma (</w:t>
      </w:r>
      <w:proofErr w:type="spellStart"/>
      <w:r w:rsidRPr="0011076F">
        <w:t>Dennery</w:t>
      </w:r>
      <w:proofErr w:type="spellEnd"/>
      <w:r w:rsidRPr="0011076F">
        <w:t xml:space="preserve"> et al., 2001; Kaplan &amp; Hammerman, 2005). As shown in Table 1, unconjugated hyperbilirubinemia predominated, whereas conjugated hyperbilirubinemia was relatively uncommon and often associated with underlying systemic or hepatobiliary disease.</w:t>
      </w:r>
    </w:p>
    <w:p w14:paraId="6CCE9C5E" w14:textId="01E7531A" w:rsidR="00EB4524" w:rsidRPr="0011076F" w:rsidRDefault="00EB4524" w:rsidP="00262E88">
      <w:pPr>
        <w:pStyle w:val="NormalWeb"/>
        <w:jc w:val="both"/>
      </w:pPr>
      <w:r w:rsidRPr="0011076F">
        <w:t xml:space="preserve">Serum total bilirubin levels demonstrated a wide distribution, with most neonates exhibiting mild to moderate elevations that fell below treatment thresholds. Nevertheless, a clinically important fraction progressed to significant or hazardous hyperbilirubinemia, defined by bilirubin levels approaching or exceeding exchange transfusion thresholds. Hour-specific bilirubin measurements plotted on </w:t>
      </w:r>
      <w:proofErr w:type="spellStart"/>
      <w:r w:rsidR="00FE0A84" w:rsidRPr="0011076F">
        <w:t>standardised</w:t>
      </w:r>
      <w:proofErr w:type="spellEnd"/>
      <w:r w:rsidR="00FE0A84" w:rsidRPr="0011076F">
        <w:t xml:space="preserve"> </w:t>
      </w:r>
      <w:r w:rsidRPr="0011076F">
        <w:t xml:space="preserve">nomograms showed strong predictive value for identifying neonates at risk of subsequent severe hyperbilirubinemia. The distribution of bilirubin severity and predischarge risk stratification is </w:t>
      </w:r>
      <w:proofErr w:type="spellStart"/>
      <w:r w:rsidR="00FE0A84" w:rsidRPr="0011076F">
        <w:t>summarised</w:t>
      </w:r>
      <w:proofErr w:type="spellEnd"/>
      <w:r w:rsidR="00FE0A84" w:rsidRPr="0011076F">
        <w:t xml:space="preserve"> </w:t>
      </w:r>
      <w:r w:rsidRPr="0011076F">
        <w:t>in Table 2 (Bhutani et al., 1999). Transcutaneous bilirubin screening proved useful as an initial assessment tool, although confirmatory serum measurements remained essential for diagnostic accuracy and treatment decisions (Rennie et al., 2010).</w:t>
      </w:r>
    </w:p>
    <w:p w14:paraId="4A933878" w14:textId="179C9361" w:rsidR="009037C3" w:rsidRPr="0011076F" w:rsidRDefault="009037C3" w:rsidP="00262E88">
      <w:pPr>
        <w:pStyle w:val="NormalWeb"/>
        <w:jc w:val="both"/>
      </w:pPr>
      <w:r w:rsidRPr="0011076F">
        <w:t>Diagnostic evaluation revealed that unconjugated hyperbilirubinemia predominated, while conjugated hyperbilirubinemia was relatively uncommon and often associated with underlying hepatobiliary disease or systemic infection. Hemolysis-related jaundice accounted for a notable proportion of severe cases, especially in settings with limited access to routine antenatal blood group screening and postnatal monitoring. In these infants, bilirubin levels rose rapidly and were more likely to necessitate aggressive intervention (</w:t>
      </w:r>
      <w:proofErr w:type="spellStart"/>
      <w:r w:rsidRPr="0011076F">
        <w:t>Kuzniewicz</w:t>
      </w:r>
      <w:proofErr w:type="spellEnd"/>
      <w:r w:rsidRPr="0011076F">
        <w:t xml:space="preserve"> et al., 2014; Bhutani et al., 2013).</w:t>
      </w:r>
    </w:p>
    <w:p w14:paraId="0CEA27E4" w14:textId="3C0408A3" w:rsidR="009037C3" w:rsidRPr="0011076F" w:rsidRDefault="009037C3" w:rsidP="00262E88">
      <w:pPr>
        <w:pStyle w:val="NormalWeb"/>
        <w:jc w:val="both"/>
      </w:pPr>
      <w:r w:rsidRPr="0011076F">
        <w:t xml:space="preserve">Phototherapy was the primary treatment modality employed and was effective in achieving significant bilirubin reduction in most treated neonates. The response to phototherapy was generally rapid, with declining bilirubin levels observed within 24–48 hours. Exchange transfusion was required in a small but critical proportion of cases, predominantly among infants with hemolytic disease or delayed presentation. Short-term outcomes were </w:t>
      </w:r>
      <w:proofErr w:type="spellStart"/>
      <w:r w:rsidRPr="0011076F">
        <w:t>favo</w:t>
      </w:r>
      <w:r w:rsidR="00FE0A84" w:rsidRPr="0011076F">
        <w:t>u</w:t>
      </w:r>
      <w:r w:rsidRPr="0011076F">
        <w:t>rable</w:t>
      </w:r>
      <w:proofErr w:type="spellEnd"/>
      <w:r w:rsidRPr="0011076F">
        <w:t xml:space="preserve"> in the majority of neonates who received timely treatment, with resolution of jaundice and no immediate complications (</w:t>
      </w:r>
      <w:proofErr w:type="spellStart"/>
      <w:r w:rsidRPr="0011076F">
        <w:t>Maisels</w:t>
      </w:r>
      <w:proofErr w:type="spellEnd"/>
      <w:r w:rsidRPr="0011076F">
        <w:t xml:space="preserve"> &amp; McDonagh, 2008; American Academy of </w:t>
      </w:r>
      <w:proofErr w:type="spellStart"/>
      <w:r w:rsidRPr="0011076F">
        <w:t>P</w:t>
      </w:r>
      <w:r w:rsidR="00FE0A84" w:rsidRPr="0011076F">
        <w:t>a</w:t>
      </w:r>
      <w:r w:rsidRPr="0011076F">
        <w:t>ediatrics</w:t>
      </w:r>
      <w:proofErr w:type="spellEnd"/>
      <w:r w:rsidRPr="0011076F">
        <w:t xml:space="preserve"> Subcommittee on Hyperbilirubinemia, 2004).</w:t>
      </w:r>
    </w:p>
    <w:p w14:paraId="0E091692" w14:textId="77777777" w:rsidR="009037C3" w:rsidRPr="0011076F" w:rsidRDefault="009037C3" w:rsidP="00262E88">
      <w:pPr>
        <w:pStyle w:val="NormalWeb"/>
        <w:jc w:val="both"/>
      </w:pPr>
      <w:r w:rsidRPr="0011076F">
        <w:t>Despite overall positive short-term outcomes, cases of acute bilirubin encephalopathy were documented, particularly among neonates with severe hyperbilirubinemia and delayed access to care. These infants exhibited neurological signs such as lethargy, hypotonia, poor feeding, or high-pitched crying. Although progression to kernicterus was rare in well-resourced settings, it remained a significant risk in low- and middle-income regions, underscoring disparities in early detection and management (</w:t>
      </w:r>
      <w:proofErr w:type="spellStart"/>
      <w:r w:rsidRPr="0011076F">
        <w:t>Watchko</w:t>
      </w:r>
      <w:proofErr w:type="spellEnd"/>
      <w:r w:rsidRPr="0011076F">
        <w:t xml:space="preserve"> &amp; </w:t>
      </w:r>
      <w:proofErr w:type="spellStart"/>
      <w:r w:rsidRPr="0011076F">
        <w:t>Tiribelli</w:t>
      </w:r>
      <w:proofErr w:type="spellEnd"/>
      <w:r w:rsidRPr="0011076F">
        <w:t xml:space="preserve">, 2013; Slusher et al., 2017). Collectively, the </w:t>
      </w:r>
      <w:r w:rsidRPr="0011076F">
        <w:lastRenderedPageBreak/>
        <w:t>findings highlight neonatal jaundice as a condition with a broad clinical spectrum, where early diagnosis and prompt intervention are critical determinants of short-term outcomes and neurological safety (Olusanya et al., 2018; Hansen, 2011).</w:t>
      </w:r>
    </w:p>
    <w:p w14:paraId="6D8A21C5" w14:textId="77777777" w:rsidR="002F3055" w:rsidRPr="0011076F" w:rsidRDefault="002F3055" w:rsidP="002F3055">
      <w:pPr>
        <w:keepNext/>
        <w:keepLines/>
        <w:spacing w:before="160" w:after="80"/>
        <w:outlineLvl w:val="2"/>
        <w:rPr>
          <w:rFonts w:ascii="Times New Roman" w:eastAsia="Times New Roman" w:hAnsi="Times New Roman" w:cs="Times New Roman"/>
          <w:color w:val="36363D"/>
          <w:kern w:val="0"/>
          <w14:ligatures w14:val="none"/>
        </w:rPr>
      </w:pPr>
      <w:r w:rsidRPr="0011076F">
        <w:rPr>
          <w:rFonts w:ascii="Times New Roman" w:eastAsia="Times New Roman" w:hAnsi="Times New Roman" w:cs="Times New Roman"/>
          <w:b/>
          <w:bCs/>
          <w:color w:val="36363D"/>
        </w:rPr>
        <w:t>Table 1. Baseline Clinical and Demographic Characteristics of Neonates with Jaundice</w:t>
      </w:r>
    </w:p>
    <w:tbl>
      <w:tblPr>
        <w:tblStyle w:val="MediumGrid3"/>
        <w:tblW w:w="0" w:type="auto"/>
        <w:tblCellSpacing w:w="15" w:type="dxa"/>
        <w:tblLook w:val="0600" w:firstRow="0" w:lastRow="0" w:firstColumn="0" w:lastColumn="0" w:noHBand="1" w:noVBand="1"/>
      </w:tblPr>
      <w:tblGrid>
        <w:gridCol w:w="4840"/>
        <w:gridCol w:w="2325"/>
        <w:gridCol w:w="1870"/>
      </w:tblGrid>
      <w:tr w:rsidR="002F3055" w:rsidRPr="0011076F" w14:paraId="4AF1E113" w14:textId="77777777" w:rsidTr="002B34CF">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73E7205" w14:textId="77777777" w:rsidR="002F3055" w:rsidRPr="0011076F" w:rsidRDefault="002F3055" w:rsidP="002F3055">
            <w:pPr>
              <w:jc w:val="center"/>
              <w:rPr>
                <w:rFonts w:ascii="Times New Roman" w:eastAsia="Times New Roman" w:hAnsi="Times New Roman" w:cs="Times New Roman"/>
                <w:b/>
                <w:bCs/>
              </w:rPr>
            </w:pPr>
            <w:r w:rsidRPr="0011076F">
              <w:rPr>
                <w:rFonts w:ascii="Times New Roman" w:eastAsia="Times New Roman" w:hAnsi="Times New Roman" w:cs="Times New Roman"/>
                <w:b/>
                <w:bCs/>
              </w:rPr>
              <w:t>Characteristic</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A91E2E" w14:textId="77777777" w:rsidR="002F3055" w:rsidRPr="0011076F" w:rsidRDefault="002F3055" w:rsidP="002F3055">
            <w:pPr>
              <w:jc w:val="center"/>
              <w:rPr>
                <w:rFonts w:ascii="Times New Roman" w:eastAsia="Times New Roman" w:hAnsi="Times New Roman" w:cs="Times New Roman"/>
                <w:b/>
                <w:bCs/>
              </w:rPr>
            </w:pPr>
            <w:r w:rsidRPr="0011076F">
              <w:rPr>
                <w:rFonts w:ascii="Times New Roman" w:eastAsia="Times New Roman" w:hAnsi="Times New Roman" w:cs="Times New Roman"/>
                <w:b/>
                <w:bCs/>
              </w:rPr>
              <w:t>Frequency (n = 200)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F7A7EC" w14:textId="77777777" w:rsidR="002F3055" w:rsidRPr="0011076F" w:rsidRDefault="002F3055" w:rsidP="002F3055">
            <w:pPr>
              <w:jc w:val="center"/>
              <w:rPr>
                <w:rFonts w:ascii="Times New Roman" w:eastAsia="Times New Roman" w:hAnsi="Times New Roman" w:cs="Times New Roman"/>
                <w:b/>
                <w:bCs/>
              </w:rPr>
            </w:pPr>
            <w:r w:rsidRPr="0011076F">
              <w:rPr>
                <w:rFonts w:ascii="Times New Roman" w:eastAsia="Times New Roman" w:hAnsi="Times New Roman" w:cs="Times New Roman"/>
                <w:b/>
                <w:bCs/>
              </w:rPr>
              <w:t>Percentage (%)</w:t>
            </w:r>
          </w:p>
        </w:tc>
      </w:tr>
      <w:tr w:rsidR="002F3055" w:rsidRPr="0011076F" w14:paraId="01469A55"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C5475A9"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b/>
                <w:bCs/>
              </w:rPr>
              <w:t>Sex</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32B37B" w14:textId="77777777" w:rsidR="002F3055" w:rsidRPr="0011076F"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1C3C6B" w14:textId="77777777" w:rsidR="002F3055" w:rsidRPr="0011076F" w:rsidRDefault="002F3055" w:rsidP="002F3055">
            <w:pPr>
              <w:rPr>
                <w:rFonts w:ascii="Times New Roman" w:eastAsia="Times New Roman" w:hAnsi="Times New Roman" w:cs="Times New Roman"/>
              </w:rPr>
            </w:pPr>
          </w:p>
        </w:tc>
      </w:tr>
      <w:tr w:rsidR="002F3055" w:rsidRPr="0011076F" w14:paraId="53E89307"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C9B70F8"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Male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499583"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BF9A982"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56.0</w:t>
            </w:r>
          </w:p>
        </w:tc>
      </w:tr>
      <w:tr w:rsidR="002F3055" w:rsidRPr="0011076F" w14:paraId="297ABE55"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C5D533B"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Female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4EB030"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88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CC9EC4B"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44.0</w:t>
            </w:r>
          </w:p>
        </w:tc>
      </w:tr>
      <w:tr w:rsidR="002F3055" w:rsidRPr="0011076F" w14:paraId="3A3F7473"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4E4887C"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b/>
                <w:bCs/>
              </w:rPr>
              <w:t>Gestational age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54F36F" w14:textId="77777777" w:rsidR="002F3055" w:rsidRPr="0011076F"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0BC2DE" w14:textId="77777777" w:rsidR="002F3055" w:rsidRPr="0011076F" w:rsidRDefault="002F3055" w:rsidP="002F3055">
            <w:pPr>
              <w:rPr>
                <w:rFonts w:ascii="Times New Roman" w:eastAsia="Times New Roman" w:hAnsi="Times New Roman" w:cs="Times New Roman"/>
              </w:rPr>
            </w:pPr>
          </w:p>
        </w:tc>
      </w:tr>
      <w:tr w:rsidR="002F3055" w:rsidRPr="0011076F" w14:paraId="56856F43"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F63234A"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Term (≥37 weeks)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4D9A9D"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146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312C84"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73.0</w:t>
            </w:r>
          </w:p>
        </w:tc>
      </w:tr>
      <w:tr w:rsidR="002F3055" w:rsidRPr="0011076F" w14:paraId="00B1A78F"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80A36BB"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Preterm (&lt;37 weeks)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E27DA0"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54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FA26DB"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27.0</w:t>
            </w:r>
          </w:p>
        </w:tc>
      </w:tr>
      <w:tr w:rsidR="002F3055" w:rsidRPr="0011076F" w14:paraId="00DACCB1"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A75C023"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b/>
                <w:bCs/>
              </w:rPr>
              <w:t>Birth weight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58D87B" w14:textId="77777777" w:rsidR="002F3055" w:rsidRPr="0011076F"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75BCDA" w14:textId="77777777" w:rsidR="002F3055" w:rsidRPr="0011076F" w:rsidRDefault="002F3055" w:rsidP="002F3055">
            <w:pPr>
              <w:rPr>
                <w:rFonts w:ascii="Times New Roman" w:eastAsia="Times New Roman" w:hAnsi="Times New Roman" w:cs="Times New Roman"/>
              </w:rPr>
            </w:pPr>
          </w:p>
        </w:tc>
      </w:tr>
      <w:tr w:rsidR="002F3055" w:rsidRPr="0011076F" w14:paraId="5BFA96D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4EB5F71"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≥2500 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B95449"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138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E3387B"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69.0</w:t>
            </w:r>
          </w:p>
        </w:tc>
      </w:tr>
      <w:tr w:rsidR="002F3055" w:rsidRPr="0011076F" w14:paraId="1B3ABF8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77A3709"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&lt;2500 g (low birth weight)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9E2830"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62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78A40F"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31.0</w:t>
            </w:r>
          </w:p>
        </w:tc>
      </w:tr>
      <w:tr w:rsidR="002F3055" w:rsidRPr="0011076F" w14:paraId="7FE0FCD9"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7D14221"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b/>
                <w:bCs/>
              </w:rPr>
              <w:t>Age at presentation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E2C167" w14:textId="77777777" w:rsidR="002F3055" w:rsidRPr="0011076F"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228F52" w14:textId="77777777" w:rsidR="002F3055" w:rsidRPr="0011076F" w:rsidRDefault="002F3055" w:rsidP="002F3055">
            <w:pPr>
              <w:rPr>
                <w:rFonts w:ascii="Times New Roman" w:eastAsia="Times New Roman" w:hAnsi="Times New Roman" w:cs="Times New Roman"/>
              </w:rPr>
            </w:pPr>
          </w:p>
        </w:tc>
      </w:tr>
      <w:tr w:rsidR="002F3055" w:rsidRPr="0011076F" w14:paraId="4840DBD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5511CA5"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≤3 days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C4E40C"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94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36D6ECE"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47.0</w:t>
            </w:r>
          </w:p>
        </w:tc>
      </w:tr>
      <w:tr w:rsidR="002F3055" w:rsidRPr="0011076F" w14:paraId="2B043097"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B3F46AF"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4–7 days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879784"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78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CC8B2D"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39.0</w:t>
            </w:r>
          </w:p>
        </w:tc>
      </w:tr>
      <w:tr w:rsidR="002F3055" w:rsidRPr="0011076F" w14:paraId="2F955F62"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AC8D26B"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&gt;7 days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3D2A3C"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28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8A380E"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14.0</w:t>
            </w:r>
          </w:p>
        </w:tc>
      </w:tr>
      <w:tr w:rsidR="002F3055" w:rsidRPr="0011076F" w14:paraId="280180EC"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78F477"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b/>
                <w:bCs/>
              </w:rPr>
              <w:t>Type of jaundice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47461C" w14:textId="77777777" w:rsidR="002F3055" w:rsidRPr="0011076F"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596196" w14:textId="77777777" w:rsidR="002F3055" w:rsidRPr="0011076F" w:rsidRDefault="002F3055" w:rsidP="002F3055">
            <w:pPr>
              <w:rPr>
                <w:rFonts w:ascii="Times New Roman" w:eastAsia="Times New Roman" w:hAnsi="Times New Roman" w:cs="Times New Roman"/>
              </w:rPr>
            </w:pPr>
          </w:p>
        </w:tc>
      </w:tr>
      <w:tr w:rsidR="002F3055" w:rsidRPr="0011076F" w14:paraId="0C9CEA49"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CBBB7DF"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Physiological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89D38F"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85DDDB"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61.0</w:t>
            </w:r>
          </w:p>
        </w:tc>
      </w:tr>
      <w:tr w:rsidR="002F3055" w:rsidRPr="0011076F" w14:paraId="63C10CE5"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AD4B02F"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Pathological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77E7B8"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78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01665F"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39.0</w:t>
            </w:r>
          </w:p>
        </w:tc>
      </w:tr>
      <w:tr w:rsidR="002F3055" w:rsidRPr="0011076F" w14:paraId="543BED51"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018AADA"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b/>
                <w:bCs/>
              </w:rPr>
              <w:t>Identified risk factors</w:t>
            </w:r>
            <w:r w:rsidRPr="0011076F">
              <w:rPr>
                <w:rFonts w:ascii="Times New Roman" w:eastAsia="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5F11C3" w14:textId="77777777" w:rsidR="002F3055" w:rsidRPr="0011076F"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33931E5" w14:textId="77777777" w:rsidR="002F3055" w:rsidRPr="0011076F" w:rsidRDefault="002F3055" w:rsidP="002F3055">
            <w:pPr>
              <w:rPr>
                <w:rFonts w:ascii="Times New Roman" w:eastAsia="Times New Roman" w:hAnsi="Times New Roman" w:cs="Times New Roman"/>
              </w:rPr>
            </w:pPr>
          </w:p>
        </w:tc>
      </w:tr>
      <w:tr w:rsidR="002F3055" w:rsidRPr="0011076F" w14:paraId="173CB777"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A0C0F13"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Prematurity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AB0CCA"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54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1686C3"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27.0</w:t>
            </w:r>
          </w:p>
        </w:tc>
      </w:tr>
      <w:tr w:rsidR="002F3055" w:rsidRPr="0011076F" w14:paraId="17EC245E"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F5714CB"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Exclusive breastfeeding with suboptimal intake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C56AF1"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66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A4660F"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33.0</w:t>
            </w:r>
          </w:p>
        </w:tc>
      </w:tr>
      <w:tr w:rsidR="002F3055" w:rsidRPr="0011076F" w14:paraId="27AE58CC"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93BF899"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ABO or Rh incompatibility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CBCE63D"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32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D99824"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16.0</w:t>
            </w:r>
          </w:p>
        </w:tc>
      </w:tr>
      <w:tr w:rsidR="002F3055" w:rsidRPr="0011076F" w14:paraId="29E9BF5E"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6915B08"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lastRenderedPageBreak/>
              <w:t>G6PD deficiency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5E2256"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28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5834AE"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14.0</w:t>
            </w:r>
          </w:p>
        </w:tc>
      </w:tr>
      <w:tr w:rsidR="002F3055" w:rsidRPr="0011076F" w14:paraId="2F2DAA3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75F4FEB"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Neonatal sepsis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89AAE2"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26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6D8901"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13.0</w:t>
            </w:r>
          </w:p>
        </w:tc>
      </w:tr>
      <w:tr w:rsidR="002F3055" w:rsidRPr="0011076F" w14:paraId="5D5B5D5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5E85C20"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Birth trauma (cephalohematoma/bruising)</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22DE10"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ADEC9E"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9.0</w:t>
            </w:r>
          </w:p>
        </w:tc>
      </w:tr>
      <w:tr w:rsidR="002F3055" w:rsidRPr="0011076F" w14:paraId="50A882E9"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5179FD4"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b/>
                <w:bCs/>
              </w:rPr>
              <w:t>Type of hyperbilirubinemia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5B52B8" w14:textId="77777777" w:rsidR="002F3055" w:rsidRPr="0011076F"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813A5B" w14:textId="77777777" w:rsidR="002F3055" w:rsidRPr="0011076F" w:rsidRDefault="002F3055" w:rsidP="002F3055">
            <w:pPr>
              <w:rPr>
                <w:rFonts w:ascii="Times New Roman" w:eastAsia="Times New Roman" w:hAnsi="Times New Roman" w:cs="Times New Roman"/>
              </w:rPr>
            </w:pPr>
          </w:p>
        </w:tc>
      </w:tr>
      <w:tr w:rsidR="002F3055" w:rsidRPr="0011076F" w14:paraId="06ABC74E"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BB2F3EB"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Unconjugated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445EF4"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174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FB95BA"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87.0</w:t>
            </w:r>
          </w:p>
        </w:tc>
      </w:tr>
      <w:tr w:rsidR="002F3055" w:rsidRPr="0011076F" w14:paraId="76EB5653"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709C0CC"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Conjugated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361433"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26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B1A3F2"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13.0</w:t>
            </w:r>
          </w:p>
        </w:tc>
      </w:tr>
      <w:tr w:rsidR="002F3055" w:rsidRPr="0011076F" w14:paraId="6FA63C0D"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D5B9F12"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b/>
                <w:bCs/>
              </w:rPr>
              <w:t>Peak total serum bilirubin (TSB)</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F2452F" w14:textId="77777777" w:rsidR="002F3055" w:rsidRPr="0011076F"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551F80" w14:textId="77777777" w:rsidR="002F3055" w:rsidRPr="0011076F" w:rsidRDefault="002F3055" w:rsidP="002F3055">
            <w:pPr>
              <w:rPr>
                <w:rFonts w:ascii="Times New Roman" w:eastAsia="Times New Roman" w:hAnsi="Times New Roman" w:cs="Times New Roman"/>
              </w:rPr>
            </w:pPr>
          </w:p>
        </w:tc>
      </w:tr>
      <w:tr w:rsidR="002F3055" w:rsidRPr="0011076F" w14:paraId="0229063C"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75AB4A9"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&lt;12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D18DA3"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96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B3382AC"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48.0</w:t>
            </w:r>
          </w:p>
        </w:tc>
      </w:tr>
      <w:tr w:rsidR="002F3055" w:rsidRPr="0011076F" w14:paraId="4254981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AE0E81C"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12–17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3582D8"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68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E96F03"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34.0</w:t>
            </w:r>
          </w:p>
        </w:tc>
      </w:tr>
      <w:tr w:rsidR="002F3055" w:rsidRPr="0011076F" w14:paraId="608B4C42"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25A6CB6"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≥18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096639"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36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A365F5"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18.0</w:t>
            </w:r>
          </w:p>
        </w:tc>
      </w:tr>
      <w:tr w:rsidR="002F3055" w:rsidRPr="0011076F" w14:paraId="79D7E854"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AF95B2A"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b/>
                <w:bCs/>
              </w:rPr>
              <w:t>Management received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2B3645" w14:textId="77777777" w:rsidR="002F3055" w:rsidRPr="0011076F"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CDD101" w14:textId="77777777" w:rsidR="002F3055" w:rsidRPr="0011076F" w:rsidRDefault="002F3055" w:rsidP="002F3055">
            <w:pPr>
              <w:rPr>
                <w:rFonts w:ascii="Times New Roman" w:eastAsia="Times New Roman" w:hAnsi="Times New Roman" w:cs="Times New Roman"/>
              </w:rPr>
            </w:pPr>
          </w:p>
        </w:tc>
      </w:tr>
      <w:tr w:rsidR="002F3055" w:rsidRPr="0011076F" w14:paraId="59FF7CED"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F8DDF7"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Observation only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684BE2"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82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4340063"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41.0</w:t>
            </w:r>
          </w:p>
        </w:tc>
      </w:tr>
      <w:tr w:rsidR="002F3055" w:rsidRPr="0011076F" w14:paraId="15F37C68"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687B52"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Phototherapy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4FCFDA"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E5E0F2"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52.0</w:t>
            </w:r>
          </w:p>
        </w:tc>
      </w:tr>
      <w:tr w:rsidR="002F3055" w:rsidRPr="0011076F" w14:paraId="3D077B9F"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8F8691D"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Exchange transfusion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E55461"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E2D4B8"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7.0</w:t>
            </w:r>
          </w:p>
        </w:tc>
      </w:tr>
      <w:tr w:rsidR="002F3055" w:rsidRPr="0011076F" w14:paraId="1224DAA6"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1E6870"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b/>
                <w:bCs/>
              </w:rPr>
              <w:t>Short-term outcome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997D30" w14:textId="77777777" w:rsidR="002F3055" w:rsidRPr="0011076F"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B644E83" w14:textId="77777777" w:rsidR="002F3055" w:rsidRPr="0011076F" w:rsidRDefault="002F3055" w:rsidP="002F3055">
            <w:pPr>
              <w:rPr>
                <w:rFonts w:ascii="Times New Roman" w:eastAsia="Times New Roman" w:hAnsi="Times New Roman" w:cs="Times New Roman"/>
              </w:rPr>
            </w:pPr>
          </w:p>
        </w:tc>
      </w:tr>
      <w:tr w:rsidR="002F3055" w:rsidRPr="0011076F" w14:paraId="24AE05E4"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AE4CABA"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Complete resolution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64212CB"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186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D7CBB0"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93.0</w:t>
            </w:r>
          </w:p>
        </w:tc>
      </w:tr>
      <w:tr w:rsidR="002F3055" w:rsidRPr="0011076F" w14:paraId="3DC7B3D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324C555"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Acute bilirubin encephalopathy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B32EFC"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1E62F9"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7.0</w:t>
            </w:r>
          </w:p>
        </w:tc>
      </w:tr>
    </w:tbl>
    <w:p w14:paraId="314A05BC" w14:textId="77777777" w:rsidR="002F3055" w:rsidRPr="0011076F" w:rsidRDefault="002F3055" w:rsidP="002F3055">
      <w:pPr>
        <w:spacing w:before="100" w:beforeAutospacing="1" w:after="100" w:afterAutospacing="1" w:line="240" w:lineRule="auto"/>
        <w:rPr>
          <w:rFonts w:ascii="Times New Roman" w:eastAsia="SimSun" w:hAnsi="Times New Roman" w:cs="Times New Roman"/>
          <w:kern w:val="0"/>
          <w14:ligatures w14:val="none"/>
        </w:rPr>
      </w:pPr>
      <w:r w:rsidRPr="0011076F">
        <w:rPr>
          <w:rFonts w:ascii="Times New Roman" w:eastAsia="SimSun" w:hAnsi="Times New Roman" w:cs="Times New Roman"/>
          <w:kern w:val="0"/>
          <w14:ligatures w14:val="none"/>
        </w:rPr>
        <w:t>*Multiple risk factors may be present in a single neonate.</w:t>
      </w:r>
    </w:p>
    <w:p w14:paraId="7FCAC899" w14:textId="77777777" w:rsidR="002F3055" w:rsidRPr="0011076F" w:rsidRDefault="002F3055" w:rsidP="002F3055">
      <w:pPr>
        <w:spacing w:before="100" w:beforeAutospacing="1" w:after="100" w:afterAutospacing="1" w:line="240" w:lineRule="auto"/>
        <w:rPr>
          <w:rFonts w:ascii="Times New Roman" w:eastAsia="SimSun" w:hAnsi="Times New Roman" w:cs="Times New Roman"/>
          <w:kern w:val="0"/>
          <w14:ligatures w14:val="none"/>
        </w:rPr>
      </w:pPr>
    </w:p>
    <w:p w14:paraId="217E847A" w14:textId="77777777" w:rsidR="002F3055" w:rsidRPr="0011076F" w:rsidRDefault="002F3055" w:rsidP="002F3055">
      <w:pPr>
        <w:keepNext/>
        <w:keepLines/>
        <w:spacing w:before="160" w:after="80"/>
        <w:outlineLvl w:val="2"/>
        <w:rPr>
          <w:rFonts w:ascii="Times New Roman" w:eastAsia="Times New Roman" w:hAnsi="Times New Roman" w:cs="Times New Roman"/>
          <w:color w:val="36363D"/>
          <w:kern w:val="0"/>
          <w14:ligatures w14:val="none"/>
        </w:rPr>
      </w:pPr>
      <w:r w:rsidRPr="0011076F">
        <w:rPr>
          <w:rFonts w:ascii="Times New Roman" w:eastAsia="Times New Roman" w:hAnsi="Times New Roman" w:cs="Times New Roman"/>
          <w:b/>
          <w:bCs/>
          <w:color w:val="36363D"/>
        </w:rPr>
        <w:t>Table 2. Severity of Hyperbilirubinemia, Management Strategies, and Short-Term Outcomes</w:t>
      </w:r>
    </w:p>
    <w:tbl>
      <w:tblPr>
        <w:tblStyle w:val="MediumGrid3"/>
        <w:tblW w:w="0" w:type="auto"/>
        <w:tblCellSpacing w:w="15" w:type="dxa"/>
        <w:tblLook w:val="0600" w:firstRow="0" w:lastRow="0" w:firstColumn="0" w:lastColumn="0" w:noHBand="1" w:noVBand="1"/>
      </w:tblPr>
      <w:tblGrid>
        <w:gridCol w:w="5380"/>
        <w:gridCol w:w="626"/>
        <w:gridCol w:w="1870"/>
      </w:tblGrid>
      <w:tr w:rsidR="002F3055" w:rsidRPr="0011076F" w14:paraId="616E208E" w14:textId="77777777" w:rsidTr="002B34CF">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DAD0F92" w14:textId="77777777" w:rsidR="002F3055" w:rsidRPr="0011076F" w:rsidRDefault="002F3055" w:rsidP="002F3055">
            <w:pPr>
              <w:jc w:val="center"/>
              <w:rPr>
                <w:rFonts w:ascii="Times New Roman" w:eastAsia="Times New Roman" w:hAnsi="Times New Roman" w:cs="Times New Roman"/>
                <w:b/>
                <w:bCs/>
              </w:rPr>
            </w:pPr>
            <w:r w:rsidRPr="0011076F">
              <w:rPr>
                <w:rFonts w:ascii="Times New Roman" w:eastAsia="Times New Roman" w:hAnsi="Times New Roman" w:cs="Times New Roman"/>
                <w:b/>
                <w:bCs/>
              </w:rPr>
              <w:t>Clinical Parameter</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3AFFF2" w14:textId="77777777" w:rsidR="002F3055" w:rsidRPr="0011076F" w:rsidRDefault="002F3055" w:rsidP="002F3055">
            <w:pPr>
              <w:jc w:val="center"/>
              <w:rPr>
                <w:rFonts w:ascii="Times New Roman" w:eastAsia="Times New Roman" w:hAnsi="Times New Roman" w:cs="Times New Roman"/>
                <w:b/>
                <w:bCs/>
              </w:rPr>
            </w:pPr>
            <w:r w:rsidRPr="0011076F">
              <w:rPr>
                <w:rFonts w:ascii="Times New Roman" w:eastAsia="Times New Roman" w:hAnsi="Times New Roman" w:cs="Times New Roman"/>
                <w:b/>
                <w:bCs/>
              </w:rPr>
              <w:t>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79D1B0" w14:textId="77777777" w:rsidR="002F3055" w:rsidRPr="0011076F" w:rsidRDefault="002F3055" w:rsidP="002F3055">
            <w:pPr>
              <w:jc w:val="center"/>
              <w:rPr>
                <w:rFonts w:ascii="Times New Roman" w:eastAsia="Times New Roman" w:hAnsi="Times New Roman" w:cs="Times New Roman"/>
                <w:b/>
                <w:bCs/>
              </w:rPr>
            </w:pPr>
            <w:r w:rsidRPr="0011076F">
              <w:rPr>
                <w:rFonts w:ascii="Times New Roman" w:eastAsia="Times New Roman" w:hAnsi="Times New Roman" w:cs="Times New Roman"/>
                <w:b/>
                <w:bCs/>
              </w:rPr>
              <w:t>Percentage (%)</w:t>
            </w:r>
          </w:p>
        </w:tc>
      </w:tr>
      <w:tr w:rsidR="002F3055" w:rsidRPr="0011076F" w14:paraId="3B163489"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8E3DCB3"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b/>
                <w:bCs/>
              </w:rPr>
              <w:t>Severity of hyperbilirubinemia (by peak TSB)</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8969532" w14:textId="77777777" w:rsidR="002F3055" w:rsidRPr="0011076F"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E674A9" w14:textId="77777777" w:rsidR="002F3055" w:rsidRPr="0011076F" w:rsidRDefault="002F3055" w:rsidP="002F3055">
            <w:pPr>
              <w:rPr>
                <w:rFonts w:ascii="Times New Roman" w:eastAsia="Times New Roman" w:hAnsi="Times New Roman" w:cs="Times New Roman"/>
              </w:rPr>
            </w:pPr>
          </w:p>
        </w:tc>
      </w:tr>
      <w:tr w:rsidR="002F3055" w:rsidRPr="0011076F" w14:paraId="53198E5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DEA4E00"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lastRenderedPageBreak/>
              <w:t>Mild (&lt;12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BF34DD"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96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5BB41D"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48.0</w:t>
            </w:r>
          </w:p>
        </w:tc>
      </w:tr>
      <w:tr w:rsidR="002F3055" w:rsidRPr="0011076F" w14:paraId="731A9DC3"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6772BDA"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Moderate (12–17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4DA0828"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68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77EF0C"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34.0</w:t>
            </w:r>
          </w:p>
        </w:tc>
      </w:tr>
      <w:tr w:rsidR="002F3055" w:rsidRPr="0011076F" w14:paraId="5BC20C7F"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F232C29"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Severe (≥18 mg/dL)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621781"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36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2C9E4F"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18.0</w:t>
            </w:r>
          </w:p>
        </w:tc>
      </w:tr>
      <w:tr w:rsidR="002F3055" w:rsidRPr="0011076F" w14:paraId="2EE98011"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E664F22"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b/>
                <w:bCs/>
              </w:rPr>
              <w:t>Bhutani nomogram risk zone (predischarge)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5F6B3E0" w14:textId="77777777" w:rsidR="002F3055" w:rsidRPr="0011076F"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5F8121" w14:textId="77777777" w:rsidR="002F3055" w:rsidRPr="0011076F" w:rsidRDefault="002F3055" w:rsidP="002F3055">
            <w:pPr>
              <w:rPr>
                <w:rFonts w:ascii="Times New Roman" w:eastAsia="Times New Roman" w:hAnsi="Times New Roman" w:cs="Times New Roman"/>
              </w:rPr>
            </w:pPr>
          </w:p>
        </w:tc>
      </w:tr>
      <w:tr w:rsidR="002F3055" w:rsidRPr="0011076F" w14:paraId="3EBAC70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EE2E50A"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Low / Low-intermediate risk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799ACE"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108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134B96F"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54.0</w:t>
            </w:r>
          </w:p>
        </w:tc>
      </w:tr>
      <w:tr w:rsidR="002F3055" w:rsidRPr="0011076F" w14:paraId="2DBC7FBC"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E72C42B"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High-intermediate risk</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3DC70ED"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56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E4FCA1"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28.0</w:t>
            </w:r>
          </w:p>
        </w:tc>
      </w:tr>
      <w:tr w:rsidR="002F3055" w:rsidRPr="0011076F" w14:paraId="5E7FBCCE"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37D2192"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High-risk zone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7DA272"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36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CDE967"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18.0</w:t>
            </w:r>
          </w:p>
        </w:tc>
      </w:tr>
      <w:tr w:rsidR="002F3055" w:rsidRPr="0011076F" w14:paraId="4237210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57B0100"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b/>
                <w:bCs/>
              </w:rPr>
              <w:t>Primary management approach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E258DB" w14:textId="77777777" w:rsidR="002F3055" w:rsidRPr="0011076F"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77AD11" w14:textId="77777777" w:rsidR="002F3055" w:rsidRPr="0011076F" w:rsidRDefault="002F3055" w:rsidP="002F3055">
            <w:pPr>
              <w:rPr>
                <w:rFonts w:ascii="Times New Roman" w:eastAsia="Times New Roman" w:hAnsi="Times New Roman" w:cs="Times New Roman"/>
              </w:rPr>
            </w:pPr>
          </w:p>
        </w:tc>
      </w:tr>
      <w:tr w:rsidR="002F3055" w:rsidRPr="0011076F" w14:paraId="50F8D95D"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7FB81DB"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Observation only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B186BF"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82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38B4592"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41.0</w:t>
            </w:r>
          </w:p>
        </w:tc>
      </w:tr>
      <w:tr w:rsidR="002F3055" w:rsidRPr="0011076F" w14:paraId="033496AF"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5B7B121"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Phototherapy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31331DB"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6C6392"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52.0</w:t>
            </w:r>
          </w:p>
        </w:tc>
      </w:tr>
      <w:tr w:rsidR="002F3055" w:rsidRPr="0011076F" w14:paraId="53EC23BD"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385655C"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Exchange transfusion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8E2D39"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C69DA66"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7.0</w:t>
            </w:r>
          </w:p>
        </w:tc>
      </w:tr>
      <w:tr w:rsidR="002F3055" w:rsidRPr="0011076F" w14:paraId="4565DE98"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523FBB4"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b/>
                <w:bCs/>
              </w:rPr>
              <w:t>Response to phototherapy (n = 104)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07BED66" w14:textId="77777777" w:rsidR="002F3055" w:rsidRPr="0011076F"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4F470E" w14:textId="77777777" w:rsidR="002F3055" w:rsidRPr="0011076F" w:rsidRDefault="002F3055" w:rsidP="002F3055">
            <w:pPr>
              <w:rPr>
                <w:rFonts w:ascii="Times New Roman" w:eastAsia="Times New Roman" w:hAnsi="Times New Roman" w:cs="Times New Roman"/>
              </w:rPr>
            </w:pPr>
          </w:p>
        </w:tc>
      </w:tr>
      <w:tr w:rsidR="002F3055" w:rsidRPr="0011076F" w14:paraId="6DE064F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0194661"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Effective bilirubin decline within 48 hours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ADFD4A"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94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DAB1B5"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90.4</w:t>
            </w:r>
          </w:p>
        </w:tc>
      </w:tr>
      <w:tr w:rsidR="002F3055" w:rsidRPr="0011076F" w14:paraId="5A903B2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48D3283"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Suboptimal response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D7B803"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BB1E90"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9.6</w:t>
            </w:r>
          </w:p>
        </w:tc>
      </w:tr>
      <w:tr w:rsidR="002F3055" w:rsidRPr="0011076F" w14:paraId="3C8BB64B"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391908"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b/>
                <w:bCs/>
              </w:rPr>
              <w:t>Neurological complications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824304" w14:textId="77777777" w:rsidR="002F3055" w:rsidRPr="0011076F"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51B4A3" w14:textId="77777777" w:rsidR="002F3055" w:rsidRPr="0011076F" w:rsidRDefault="002F3055" w:rsidP="002F3055">
            <w:pPr>
              <w:rPr>
                <w:rFonts w:ascii="Times New Roman" w:eastAsia="Times New Roman" w:hAnsi="Times New Roman" w:cs="Times New Roman"/>
              </w:rPr>
            </w:pPr>
          </w:p>
        </w:tc>
      </w:tr>
      <w:tr w:rsidR="002F3055" w:rsidRPr="0011076F" w14:paraId="5B2BC8A0"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6DD365C"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Acute bilirubin encephalopathy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F7B3C76"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CB814A"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7.0</w:t>
            </w:r>
          </w:p>
        </w:tc>
      </w:tr>
      <w:tr w:rsidR="002F3055" w:rsidRPr="0011076F" w14:paraId="57C37CA4"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9BC8CAC"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No neurological complications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16D8791"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186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F67A6D"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93.0</w:t>
            </w:r>
          </w:p>
        </w:tc>
      </w:tr>
      <w:tr w:rsidR="002F3055" w:rsidRPr="0011076F" w14:paraId="2DCF3EFC"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1917FA4"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b/>
                <w:bCs/>
              </w:rPr>
              <w:t>Overall short-term outcome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DA64CF" w14:textId="77777777" w:rsidR="002F3055" w:rsidRPr="0011076F" w:rsidRDefault="002F3055" w:rsidP="002F3055">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5A35CF" w14:textId="77777777" w:rsidR="002F3055" w:rsidRPr="0011076F" w:rsidRDefault="002F3055" w:rsidP="002F3055">
            <w:pPr>
              <w:rPr>
                <w:rFonts w:ascii="Times New Roman" w:eastAsia="Times New Roman" w:hAnsi="Times New Roman" w:cs="Times New Roman"/>
              </w:rPr>
            </w:pPr>
          </w:p>
        </w:tc>
      </w:tr>
      <w:tr w:rsidR="002F3055" w:rsidRPr="0011076F" w14:paraId="040D0744"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2B01BE6"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Complete clinical resolution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2AEB92"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186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9C0F8A"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93.0</w:t>
            </w:r>
          </w:p>
        </w:tc>
      </w:tr>
      <w:tr w:rsidR="002F3055" w:rsidRPr="0011076F" w14:paraId="1A917281" w14:textId="77777777" w:rsidTr="002B34CF">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2DC5EEC"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Required intensive intervention or had complications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324572"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9F0BB8" w14:textId="77777777" w:rsidR="002F3055" w:rsidRPr="0011076F" w:rsidRDefault="002F3055" w:rsidP="002F3055">
            <w:pPr>
              <w:rPr>
                <w:rFonts w:ascii="Times New Roman" w:eastAsia="Times New Roman" w:hAnsi="Times New Roman" w:cs="Times New Roman"/>
              </w:rPr>
            </w:pPr>
            <w:r w:rsidRPr="0011076F">
              <w:rPr>
                <w:rFonts w:ascii="Times New Roman" w:eastAsia="Times New Roman" w:hAnsi="Times New Roman" w:cs="Times New Roman"/>
              </w:rPr>
              <w:t>7.0</w:t>
            </w:r>
          </w:p>
        </w:tc>
      </w:tr>
    </w:tbl>
    <w:p w14:paraId="58E27E7A" w14:textId="77777777" w:rsidR="002F3055" w:rsidRPr="0011076F" w:rsidRDefault="002F3055" w:rsidP="002F3055">
      <w:pPr>
        <w:spacing w:before="100" w:beforeAutospacing="1" w:after="100" w:afterAutospacing="1" w:line="240" w:lineRule="auto"/>
        <w:rPr>
          <w:rFonts w:ascii="Times New Roman" w:eastAsia="SimSun" w:hAnsi="Times New Roman" w:cs="Times New Roman"/>
          <w:kern w:val="0"/>
          <w14:ligatures w14:val="none"/>
        </w:rPr>
      </w:pPr>
    </w:p>
    <w:p w14:paraId="66C4761B" w14:textId="77777777" w:rsidR="002F3055" w:rsidRPr="0011076F" w:rsidRDefault="002F3055">
      <w:pPr>
        <w:pStyle w:val="NormalWeb"/>
      </w:pPr>
    </w:p>
    <w:p w14:paraId="24B550E9" w14:textId="6FE69743" w:rsidR="009037C3" w:rsidRPr="0011076F" w:rsidRDefault="009037C3">
      <w:pPr>
        <w:pStyle w:val="NormalWeb"/>
      </w:pPr>
    </w:p>
    <w:p w14:paraId="29DFEDB8" w14:textId="77777777" w:rsidR="00CC07C7" w:rsidRPr="0011076F" w:rsidRDefault="009037C3" w:rsidP="003A4DEA">
      <w:pPr>
        <w:pStyle w:val="NormalWeb"/>
        <w:jc w:val="both"/>
        <w:rPr>
          <w:b/>
        </w:rPr>
      </w:pPr>
      <w:r w:rsidRPr="0011076F">
        <w:rPr>
          <w:b/>
        </w:rPr>
        <w:lastRenderedPageBreak/>
        <w:t xml:space="preserve">Discussion </w:t>
      </w:r>
    </w:p>
    <w:p w14:paraId="68C83D22" w14:textId="226BC83D" w:rsidR="00A90C7D" w:rsidRPr="0011076F" w:rsidRDefault="00A90C7D" w:rsidP="003A4DEA">
      <w:pPr>
        <w:pStyle w:val="NormalWeb"/>
        <w:jc w:val="both"/>
      </w:pPr>
      <w:r w:rsidRPr="0011076F">
        <w:t xml:space="preserve">Neonatal jaundice remains one of the most common clinical conditions encountered in the early neonatal period, reflecting a complex interplay between physiological adaptation and pathological processes. The findings of this study on the clinical spectrum, diagnostic characteristics, and short-term outcomes of neonatal jaundice align with existing literature that </w:t>
      </w:r>
      <w:proofErr w:type="spellStart"/>
      <w:r w:rsidR="00FE0A84" w:rsidRPr="0011076F">
        <w:t>recognises</w:t>
      </w:r>
      <w:proofErr w:type="spellEnd"/>
      <w:r w:rsidR="00FE0A84" w:rsidRPr="0011076F">
        <w:t xml:space="preserve"> </w:t>
      </w:r>
      <w:r w:rsidRPr="0011076F">
        <w:t>hyperbilirubinemia as both a frequent and potentially hazardous condition when not promptly identified and appropriately managed. While most cases are benign and self-limited, a significant minority progress to severe hyperbilirubinemia with attendant risks of acute bilirubin encephalopathy and kernicterus, underscoring the importance of early risk stratification and vigilant follow-up.</w:t>
      </w:r>
    </w:p>
    <w:p w14:paraId="64DE2574" w14:textId="1BEDA40E" w:rsidR="00A90C7D" w:rsidRPr="0011076F" w:rsidRDefault="00A90C7D" w:rsidP="003A4DEA">
      <w:pPr>
        <w:pStyle w:val="NormalWeb"/>
        <w:jc w:val="both"/>
      </w:pPr>
      <w:r w:rsidRPr="0011076F">
        <w:t xml:space="preserve">The predominance of physiological jaundice within the clinical spectrum observed is consistent with the well-described transitional increase in bilirubin production after birth, driven by increased red blood cell turnover and immature hepatic conjugation pathways (Dennery et al., 2001). However, the coexistence of pathological contributors—such as hemolytic disease, prematurity, sepsis, and breastfeeding-related jaundice—highlights the heterogeneity of neonatal jaundice presentations. Previous studies have </w:t>
      </w:r>
      <w:proofErr w:type="spellStart"/>
      <w:r w:rsidR="00FE0A84" w:rsidRPr="0011076F">
        <w:t>emphasised</w:t>
      </w:r>
      <w:proofErr w:type="spellEnd"/>
      <w:r w:rsidR="00FE0A84" w:rsidRPr="0011076F">
        <w:t xml:space="preserve"> </w:t>
      </w:r>
      <w:r w:rsidRPr="0011076F">
        <w:t>that while physiological jaundice accounts for the majority of cases, pathological jaundice disproportionately contributes to severe outcomes, particularly in resource-limited settings (Kaplan &amp; Hammerman, 2005; Olusanya et al., 2018). This reinforces the need for clinicians to distinguish between benign and high-risk forms early in the clinical course.</w:t>
      </w:r>
    </w:p>
    <w:p w14:paraId="394FC6C1" w14:textId="4E13793F" w:rsidR="00A90C7D" w:rsidRPr="0011076F" w:rsidRDefault="00A90C7D" w:rsidP="003A4DEA">
      <w:pPr>
        <w:pStyle w:val="NormalWeb"/>
        <w:jc w:val="both"/>
      </w:pPr>
      <w:r w:rsidRPr="0011076F">
        <w:t xml:space="preserve">Diagnostic evaluation remains central to effective management. The use of total serum bilirubin (TSB) measurements, interpreted in relation to postnatal age in hours, represents a cornerstone of modern neonatal jaundice assessment. The predictive utility of predischarge bilirubin screening, as originally described by Bhutani et al. (1999), has transformed clinical practice by enabling early identification of infants at risk of developing significant hyperbilirubinemia after discharge. The alignment of this study’s diagnostic approach with hour-specific bilirubin nomograms supports their continued relevance in contemporary neonatal care. Moreover, incorporation of gestational age, birth weight, and clinical risk factors further refines risk stratification, consistent with recommendations from the American Academy of </w:t>
      </w:r>
      <w:proofErr w:type="spellStart"/>
      <w:r w:rsidRPr="0011076F">
        <w:t>P</w:t>
      </w:r>
      <w:r w:rsidR="00FE0A84" w:rsidRPr="0011076F">
        <w:t>a</w:t>
      </w:r>
      <w:r w:rsidRPr="0011076F">
        <w:t>ediatrics</w:t>
      </w:r>
      <w:proofErr w:type="spellEnd"/>
      <w:r w:rsidRPr="0011076F">
        <w:t xml:space="preserve"> (AAP) and the National Institute for Health and Care Excellence (NICE) (American Academy of Pediatrics Subcommittee on Hyperbilirubinemia, 2004; Rennie et al., 2010).</w:t>
      </w:r>
    </w:p>
    <w:p w14:paraId="4488BE5E" w14:textId="5C1F53E1" w:rsidR="00A90C7D" w:rsidRPr="0011076F" w:rsidRDefault="00A90C7D" w:rsidP="003A4DEA">
      <w:pPr>
        <w:pStyle w:val="NormalWeb"/>
        <w:jc w:val="both"/>
      </w:pPr>
      <w:r w:rsidRPr="0011076F">
        <w:t xml:space="preserve">Short-term outcomes observed in this study, particularly the </w:t>
      </w:r>
      <w:proofErr w:type="spellStart"/>
      <w:r w:rsidRPr="0011076F">
        <w:t>favo</w:t>
      </w:r>
      <w:r w:rsidR="00FE0A84" w:rsidRPr="0011076F">
        <w:t>u</w:t>
      </w:r>
      <w:r w:rsidRPr="0011076F">
        <w:t>rable</w:t>
      </w:r>
      <w:proofErr w:type="spellEnd"/>
      <w:r w:rsidRPr="0011076F">
        <w:t xml:space="preserve"> response to phototherapy in most cases, echo robust evidence supporting phototherapy as an effective, noninvasive treatment modality. Phototherapy works by converting unconjugated bilirubin into water-soluble isomers that can be excreted without hepatic conjugation, thereby rapidly reducing serum bilirubin levels (</w:t>
      </w:r>
      <w:proofErr w:type="spellStart"/>
      <w:r w:rsidRPr="0011076F">
        <w:t>Maisels</w:t>
      </w:r>
      <w:proofErr w:type="spellEnd"/>
      <w:r w:rsidRPr="0011076F">
        <w:t xml:space="preserve"> &amp; McDonagh, 2008). The low incidence of treatment failure and minimal need for exchange transfusion are encouraging and reflect adherence to evidence-based treatment thresholds. Historically, exchange transfusion carried significant risks, including electrolyte imbalance, infection, and mortality, and its declining use represents a major advance in neonatal care (Newman &amp; </w:t>
      </w:r>
      <w:proofErr w:type="spellStart"/>
      <w:r w:rsidRPr="0011076F">
        <w:t>Maisels</w:t>
      </w:r>
      <w:proofErr w:type="spellEnd"/>
      <w:r w:rsidRPr="0011076F">
        <w:t>, 1992).</w:t>
      </w:r>
    </w:p>
    <w:p w14:paraId="4CFBF756" w14:textId="463250C3" w:rsidR="00A90C7D" w:rsidRPr="0011076F" w:rsidRDefault="00A90C7D" w:rsidP="003A4DEA">
      <w:pPr>
        <w:pStyle w:val="NormalWeb"/>
        <w:jc w:val="both"/>
      </w:pPr>
      <w:r w:rsidRPr="0011076F">
        <w:lastRenderedPageBreak/>
        <w:t xml:space="preserve">Nevertheless, the occurrence of severe hyperbilirubinemia in a subset of neonates underscores persistent gaps in prevention and early detection. Studies from high-income countries report relatively low incidences of hazardous hyperbilirubinemia, yet even in these settings, cases continue to occur, often linked to delayed follow-up, inadequate breastfeeding support, or </w:t>
      </w:r>
      <w:proofErr w:type="spellStart"/>
      <w:r w:rsidR="00FE0A84" w:rsidRPr="0011076F">
        <w:t>unrecognised</w:t>
      </w:r>
      <w:proofErr w:type="spellEnd"/>
      <w:r w:rsidR="00FE0A84" w:rsidRPr="0011076F">
        <w:t xml:space="preserve"> </w:t>
      </w:r>
      <w:r w:rsidRPr="0011076F">
        <w:t>hemolysis (</w:t>
      </w:r>
      <w:proofErr w:type="spellStart"/>
      <w:r w:rsidRPr="0011076F">
        <w:t>Kuzniewicz</w:t>
      </w:r>
      <w:proofErr w:type="spellEnd"/>
      <w:r w:rsidRPr="0011076F">
        <w:t xml:space="preserve"> et al., 2014). In contrast, the burden is substantially higher in low- and middle-income countries, where limited access to screening, timely treatment, and follow-up care amplifies the risk of adverse outcomes (Slusher et al., 2017; Olusanya et al., 2018). These disparities </w:t>
      </w:r>
      <w:proofErr w:type="spellStart"/>
      <w:r w:rsidR="00FE0A84" w:rsidRPr="0011076F">
        <w:t>contextualise</w:t>
      </w:r>
      <w:proofErr w:type="spellEnd"/>
      <w:r w:rsidR="00FE0A84" w:rsidRPr="0011076F">
        <w:t xml:space="preserve"> </w:t>
      </w:r>
      <w:r w:rsidRPr="0011076F">
        <w:t xml:space="preserve">the findings of this study within a broader global health framework, </w:t>
      </w:r>
      <w:proofErr w:type="spellStart"/>
      <w:r w:rsidR="00FE0A84" w:rsidRPr="0011076F">
        <w:t>emphasising</w:t>
      </w:r>
      <w:proofErr w:type="spellEnd"/>
      <w:r w:rsidR="00FE0A84" w:rsidRPr="0011076F">
        <w:t xml:space="preserve"> </w:t>
      </w:r>
      <w:r w:rsidRPr="0011076F">
        <w:t>that neonatal jaundice is not merely a clinical issue but also a systems-level challenge.</w:t>
      </w:r>
    </w:p>
    <w:p w14:paraId="794C7A40" w14:textId="2AC61DB8" w:rsidR="00A90C7D" w:rsidRPr="0011076F" w:rsidRDefault="00A90C7D" w:rsidP="003A4DEA">
      <w:pPr>
        <w:pStyle w:val="NormalWeb"/>
        <w:jc w:val="both"/>
      </w:pPr>
      <w:r w:rsidRPr="0011076F">
        <w:t>The neurological implications of uncontrolled hyperbilirubinemia warrant particular attention. Bilirubin-induced neurologic dysfunction results from the deposition of unconjugated bilirubin in vulnerable brain regions, leading to both acute and chronic sequelae (</w:t>
      </w:r>
      <w:proofErr w:type="spellStart"/>
      <w:r w:rsidRPr="0011076F">
        <w:t>Watchko</w:t>
      </w:r>
      <w:proofErr w:type="spellEnd"/>
      <w:r w:rsidRPr="0011076F">
        <w:t xml:space="preserve"> &amp; </w:t>
      </w:r>
      <w:proofErr w:type="spellStart"/>
      <w:r w:rsidRPr="0011076F">
        <w:t>Tiribelli</w:t>
      </w:r>
      <w:proofErr w:type="spellEnd"/>
      <w:r w:rsidRPr="0011076F">
        <w:t xml:space="preserve">, 2013). Although this study focused on short-term outcomes, the absence or rarity of acute bilirubin encephalopathy among managed cases suggests effective early intervention. However, even transient or moderate elevations in bilirubin have been associated with subtle neurodevelopmental effects, prompting ongoing debate regarding “safe” bilirubin thresholds (Hansen, 2011). This underscores the importance of a cautious and </w:t>
      </w:r>
      <w:proofErr w:type="spellStart"/>
      <w:r w:rsidR="00FE0A84" w:rsidRPr="0011076F">
        <w:t>individualised</w:t>
      </w:r>
      <w:proofErr w:type="spellEnd"/>
      <w:r w:rsidR="00FE0A84" w:rsidRPr="0011076F">
        <w:t xml:space="preserve"> </w:t>
      </w:r>
      <w:r w:rsidRPr="0011076F">
        <w:t>approach to management, especially in preterm or clinically unstable infants.</w:t>
      </w:r>
    </w:p>
    <w:p w14:paraId="05FAEB8E" w14:textId="77777777" w:rsidR="00A90C7D" w:rsidRPr="0011076F" w:rsidRDefault="00A90C7D" w:rsidP="003A4DEA">
      <w:pPr>
        <w:pStyle w:val="NormalWeb"/>
        <w:jc w:val="both"/>
      </w:pPr>
      <w:r w:rsidRPr="0011076F">
        <w:t>Prematurity represents a particularly vulnerable subgroup, as immature blood–brain barrier function and reduced albumin-binding capacity increase susceptibility to bilirubin neurotoxicity at lower TSB levels (</w:t>
      </w:r>
      <w:proofErr w:type="spellStart"/>
      <w:r w:rsidRPr="0011076F">
        <w:t>Maisels</w:t>
      </w:r>
      <w:proofErr w:type="spellEnd"/>
      <w:r w:rsidRPr="0011076F">
        <w:t xml:space="preserve"> et al., 2012). Although term and near-term infants may tolerate higher bilirubin concentrations, uniform application of treatment thresholds without consideration of gestational age and comorbidities may underestimate risk in preterm populations. The diagnostic and management strategies observed in this study appear consistent with tailored approaches recommended for different gestational age groups, reinforcing best practice standards.</w:t>
      </w:r>
    </w:p>
    <w:p w14:paraId="062B5545" w14:textId="0D6EF683" w:rsidR="00A90C7D" w:rsidRPr="0011076F" w:rsidRDefault="00A90C7D" w:rsidP="003A4DEA">
      <w:pPr>
        <w:pStyle w:val="NormalWeb"/>
        <w:jc w:val="both"/>
      </w:pPr>
      <w:r w:rsidRPr="0011076F">
        <w:t xml:space="preserve">Breastfeeding-associated jaundice remains a clinically important entity within the spectrum observed. While breastfeeding jaundice in the first week of life is often related to suboptimal intake and dehydration, breast milk jaundice later in the neonatal period reflects altered bilirubin metabolism and enterohepatic circulation (Dennery et al., 2001). Importantly, breastfeeding itself should be supported rather than discouraged, with emphasis on </w:t>
      </w:r>
      <w:proofErr w:type="spellStart"/>
      <w:r w:rsidR="00FE0A84" w:rsidRPr="0011076F">
        <w:t>optimising</w:t>
      </w:r>
      <w:proofErr w:type="spellEnd"/>
      <w:r w:rsidR="00FE0A84" w:rsidRPr="0011076F">
        <w:t xml:space="preserve"> </w:t>
      </w:r>
      <w:r w:rsidRPr="0011076F">
        <w:t xml:space="preserve">feeding techniques and monitoring bilirubin levels. Evidence-based guidance consistently advocates for continued breastfeeding alongside appropriate treatment, given its well-established benefits for infant health (American Academy of </w:t>
      </w:r>
      <w:proofErr w:type="spellStart"/>
      <w:r w:rsidRPr="0011076F">
        <w:t>P</w:t>
      </w:r>
      <w:r w:rsidR="00FE0A84" w:rsidRPr="0011076F">
        <w:t>a</w:t>
      </w:r>
      <w:r w:rsidRPr="0011076F">
        <w:t>ediatrics</w:t>
      </w:r>
      <w:proofErr w:type="spellEnd"/>
      <w:r w:rsidRPr="0011076F">
        <w:t xml:space="preserve"> Subcommittee on Hyperbilirubinemia, 2004).</w:t>
      </w:r>
    </w:p>
    <w:p w14:paraId="4772F1C3" w14:textId="74F3AAD2" w:rsidR="00A90C7D" w:rsidRPr="0011076F" w:rsidRDefault="00A90C7D" w:rsidP="003A4DEA">
      <w:pPr>
        <w:pStyle w:val="NormalWeb"/>
        <w:jc w:val="both"/>
      </w:pPr>
      <w:r w:rsidRPr="0011076F">
        <w:t xml:space="preserve">From a public health perspective, the findings of this study resonate with global estimates highlighting neonatal jaundice as a contributor to neonatal morbidity and mortality. Analyses from the Global Burden of Disease Study have identified severe neonatal jaundice as a preventable cause of death and long-term disability, particularly in settings lacking universal screening and treatment infrastructure (Bhutani et al., 2013; Olusanya et al., 2018). The short-term outcomes reported here suggest that when evidence-based diagnostic and therapeutic strategies are implemented, outcomes are largely </w:t>
      </w:r>
      <w:proofErr w:type="spellStart"/>
      <w:r w:rsidRPr="0011076F">
        <w:t>favo</w:t>
      </w:r>
      <w:r w:rsidR="00FE0A84" w:rsidRPr="0011076F">
        <w:t>u</w:t>
      </w:r>
      <w:r w:rsidRPr="0011076F">
        <w:t>rable</w:t>
      </w:r>
      <w:proofErr w:type="spellEnd"/>
      <w:r w:rsidRPr="0011076F">
        <w:t xml:space="preserve">. This reinforces calls for scaling up simple, cost-effective interventions—such as universal bilirubin screening, </w:t>
      </w:r>
      <w:proofErr w:type="spellStart"/>
      <w:r w:rsidR="00FE0A84" w:rsidRPr="0011076F">
        <w:t>standardised</w:t>
      </w:r>
      <w:proofErr w:type="spellEnd"/>
      <w:r w:rsidR="00FE0A84" w:rsidRPr="0011076F">
        <w:t xml:space="preserve"> </w:t>
      </w:r>
      <w:r w:rsidRPr="0011076F">
        <w:t>treatment protocols, and caregiver education—to reduce preventable harm.</w:t>
      </w:r>
    </w:p>
    <w:p w14:paraId="1FB19A70" w14:textId="42ED3313" w:rsidR="00A90C7D" w:rsidRPr="0011076F" w:rsidRDefault="00A90C7D" w:rsidP="003A4DEA">
      <w:pPr>
        <w:pStyle w:val="NormalWeb"/>
        <w:jc w:val="both"/>
      </w:pPr>
      <w:r w:rsidRPr="0011076F">
        <w:lastRenderedPageBreak/>
        <w:t xml:space="preserve">The diagnostic characteristics highlighted in this study also </w:t>
      </w:r>
      <w:proofErr w:type="spellStart"/>
      <w:r w:rsidR="00FE0A84" w:rsidRPr="0011076F">
        <w:t>emphasise</w:t>
      </w:r>
      <w:proofErr w:type="spellEnd"/>
      <w:r w:rsidR="00FE0A84" w:rsidRPr="0011076F">
        <w:t xml:space="preserve"> </w:t>
      </w:r>
      <w:r w:rsidRPr="0011076F">
        <w:t>the role of clinical vigilance. Visual assessment alone is insufficient for accurately estimating bilirubin levels, particularly in infants with darker skin tones, a limitation well-documented in prior research (Rennie et al., 2010). Reliance on objective measurements, whether serum or transcutaneous bilirubin, is therefore essential. Integration of these tools into routine neonatal care pathways can mitigate the risk of missed or underestimated hyperbilirubinemia, particularly in early discharge settings.</w:t>
      </w:r>
    </w:p>
    <w:p w14:paraId="7B7E70EF" w14:textId="77777777" w:rsidR="00A90C7D" w:rsidRPr="0011076F" w:rsidRDefault="00A90C7D" w:rsidP="003A4DEA">
      <w:pPr>
        <w:pStyle w:val="NormalWeb"/>
        <w:jc w:val="both"/>
      </w:pPr>
      <w:r w:rsidRPr="0011076F">
        <w:t>Despite its strengths, interpretation of the short-term outcomes must be tempered by recognition that long-term neurodevelopmental follow-up was beyond the scope of this analysis. While immediate resolution of jaundice and avoidance of acute complications are critical, subtle cognitive or auditory sequelae may only become apparent later in childhood (Hansen, 2011). Future studies incorporating longitudinal follow-up would provide a more comprehensive understanding of the true burden of neonatal jaundice and the effectiveness of current management strategies.</w:t>
      </w:r>
    </w:p>
    <w:p w14:paraId="22A4AB1B" w14:textId="77777777" w:rsidR="00CC07C7" w:rsidRPr="0011076F" w:rsidRDefault="00CC07C7">
      <w:pPr>
        <w:pStyle w:val="NormalWeb"/>
      </w:pPr>
    </w:p>
    <w:p w14:paraId="410DB68C" w14:textId="679E8D77" w:rsidR="00CC07C7" w:rsidRPr="0011076F" w:rsidRDefault="00CC07C7" w:rsidP="003A4DEA">
      <w:pPr>
        <w:pStyle w:val="NormalWeb"/>
        <w:jc w:val="both"/>
        <w:rPr>
          <w:b/>
        </w:rPr>
      </w:pPr>
      <w:r w:rsidRPr="0011076F">
        <w:rPr>
          <w:b/>
        </w:rPr>
        <w:t>Conclusion</w:t>
      </w:r>
    </w:p>
    <w:p w14:paraId="3CBF6E25" w14:textId="11097FD3" w:rsidR="00A90C7D" w:rsidRPr="0011076F" w:rsidRDefault="00CC07C7" w:rsidP="003A4DEA">
      <w:pPr>
        <w:pStyle w:val="NormalWeb"/>
        <w:jc w:val="both"/>
      </w:pPr>
      <w:r w:rsidRPr="0011076F">
        <w:t>Th</w:t>
      </w:r>
      <w:r w:rsidR="00A90C7D" w:rsidRPr="0011076F">
        <w:t xml:space="preserve">is study reinforces neonatal jaundice as a condition with a broad clinical spectrum, ranging from benign physiological elevations in bilirubin to potentially devastating neurological injury. The diagnostic characteristics observed support the continued use of hour-specific bilirubin assessment combined with clinical risk evaluation, in line with international guidelines. </w:t>
      </w:r>
      <w:proofErr w:type="spellStart"/>
      <w:r w:rsidR="00A90C7D" w:rsidRPr="0011076F">
        <w:t>Favo</w:t>
      </w:r>
      <w:r w:rsidR="00FE0A84" w:rsidRPr="0011076F">
        <w:t>u</w:t>
      </w:r>
      <w:r w:rsidR="00A90C7D" w:rsidRPr="0011076F">
        <w:t>rable</w:t>
      </w:r>
      <w:proofErr w:type="spellEnd"/>
      <w:r w:rsidR="00A90C7D" w:rsidRPr="0011076F">
        <w:t xml:space="preserve"> short-term outcomes in most cases highlight the effectiveness of timely phototherapy and structured management protocols. However, the persistence of severe cases underscores ongoing challenges in early detection, follow-up, and health system capacity, particularly in low-resource settings. Addressing these gaps through universal screening, caregiver education, and equitable access to treatment remains essential to reducing the global burden of neonatal jaundice and improving neonatal outcomes.</w:t>
      </w:r>
    </w:p>
    <w:p w14:paraId="6A346386" w14:textId="77777777" w:rsidR="00E27486" w:rsidRPr="0011076F" w:rsidRDefault="00E27486" w:rsidP="00E27486">
      <w:pPr>
        <w:spacing w:after="200" w:line="276" w:lineRule="auto"/>
        <w:jc w:val="both"/>
        <w:outlineLvl w:val="0"/>
        <w:rPr>
          <w:rFonts w:ascii="Arial" w:eastAsia="Times New Roman" w:hAnsi="Arial" w:cs="Arial"/>
          <w:kern w:val="0"/>
          <w:sz w:val="22"/>
          <w:szCs w:val="22"/>
          <w:lang w:val="en-GB" w:eastAsia="en-GB"/>
          <w14:ligatures w14:val="none"/>
        </w:rPr>
      </w:pPr>
      <w:r w:rsidRPr="0011076F">
        <w:rPr>
          <w:rFonts w:ascii="Arial" w:eastAsia="Times New Roman" w:hAnsi="Arial" w:cs="Arial"/>
          <w:b/>
          <w:bCs/>
          <w:kern w:val="0"/>
          <w:sz w:val="22"/>
          <w:szCs w:val="22"/>
          <w:lang w:val="en-GB" w:eastAsia="en-GB"/>
          <w14:ligatures w14:val="none"/>
        </w:rPr>
        <w:t>COMPETING INTERESTS DISCLAIMER:</w:t>
      </w:r>
    </w:p>
    <w:p w14:paraId="76DB0D3A" w14:textId="77777777" w:rsidR="00E27486" w:rsidRPr="0011076F" w:rsidRDefault="00E27486" w:rsidP="00E27486">
      <w:pPr>
        <w:spacing w:after="200" w:line="276" w:lineRule="auto"/>
        <w:rPr>
          <w:rFonts w:ascii="Calibri" w:eastAsia="Times New Roman" w:hAnsi="Calibri" w:cs="Times New Roman"/>
          <w:kern w:val="0"/>
          <w:sz w:val="22"/>
          <w:szCs w:val="22"/>
          <w:lang w:val="en-GB" w:eastAsia="en-GB"/>
          <w14:ligatures w14:val="none"/>
        </w:rPr>
      </w:pPr>
      <w:r w:rsidRPr="0011076F">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B4FEDB3" w14:textId="77777777" w:rsidR="00CE2518" w:rsidRPr="0011076F" w:rsidRDefault="00CE2518" w:rsidP="00CE2518">
      <w:pPr>
        <w:spacing w:after="200" w:line="276" w:lineRule="auto"/>
        <w:rPr>
          <w:rFonts w:ascii="Calibri" w:eastAsia="Calibri" w:hAnsi="Calibri" w:cs="Times New Roman"/>
          <w:b/>
          <w:sz w:val="22"/>
          <w:szCs w:val="22"/>
          <w14:ligatures w14:val="none"/>
        </w:rPr>
      </w:pPr>
      <w:bookmarkStart w:id="0" w:name="_Hlk204003461"/>
      <w:r w:rsidRPr="0011076F">
        <w:rPr>
          <w:rFonts w:ascii="Calibri" w:eastAsia="Calibri" w:hAnsi="Calibri" w:cs="Times New Roman"/>
          <w:b/>
          <w:sz w:val="22"/>
          <w:szCs w:val="22"/>
          <w14:ligatures w14:val="none"/>
        </w:rPr>
        <w:t>Disclaimer (Artificial intelligence)</w:t>
      </w:r>
    </w:p>
    <w:p w14:paraId="3FE5A955" w14:textId="77777777" w:rsidR="00CE2518" w:rsidRPr="0011076F" w:rsidRDefault="00CE2518" w:rsidP="00CE2518">
      <w:pPr>
        <w:spacing w:after="200" w:line="276" w:lineRule="auto"/>
        <w:rPr>
          <w:rFonts w:ascii="Calibri" w:eastAsia="Calibri" w:hAnsi="Calibri" w:cs="Times New Roman"/>
          <w:sz w:val="22"/>
          <w:szCs w:val="22"/>
          <w14:ligatures w14:val="none"/>
        </w:rPr>
      </w:pPr>
      <w:r w:rsidRPr="0011076F">
        <w:rPr>
          <w:rFonts w:ascii="Calibri" w:eastAsia="Calibri" w:hAnsi="Calibri" w:cs="Times New Roman"/>
          <w:sz w:val="22"/>
          <w:szCs w:val="22"/>
          <w14:ligatures w14:val="none"/>
        </w:rPr>
        <w:t>Author(s) hereby declare that NO generative AI technologies such as Large Language Models (</w:t>
      </w:r>
      <w:proofErr w:type="spellStart"/>
      <w:r w:rsidRPr="0011076F">
        <w:rPr>
          <w:rFonts w:ascii="Calibri" w:eastAsia="Calibri" w:hAnsi="Calibri" w:cs="Times New Roman"/>
          <w:sz w:val="22"/>
          <w:szCs w:val="22"/>
          <w14:ligatures w14:val="none"/>
        </w:rPr>
        <w:t>ChatGPT</w:t>
      </w:r>
      <w:proofErr w:type="spellEnd"/>
      <w:r w:rsidRPr="0011076F">
        <w:rPr>
          <w:rFonts w:ascii="Calibri" w:eastAsia="Calibri" w:hAnsi="Calibri" w:cs="Times New Roman"/>
          <w:sz w:val="22"/>
          <w:szCs w:val="22"/>
          <w14:ligatures w14:val="none"/>
        </w:rPr>
        <w:t xml:space="preserve">, COPILOT, etc.) and text-to-image generators have been used during the writing or editing of this manuscript. </w:t>
      </w:r>
    </w:p>
    <w:bookmarkEnd w:id="0"/>
    <w:p w14:paraId="0F50E3DA" w14:textId="00F36E08" w:rsidR="00CE2518" w:rsidRDefault="00CE2518" w:rsidP="00CE2518">
      <w:pPr>
        <w:spacing w:after="200" w:line="276" w:lineRule="auto"/>
        <w:rPr>
          <w:rFonts w:ascii="Calibri" w:eastAsia="Calibri" w:hAnsi="Calibri" w:cs="Times New Roman"/>
          <w:sz w:val="22"/>
          <w:szCs w:val="22"/>
          <w14:ligatures w14:val="none"/>
        </w:rPr>
      </w:pPr>
    </w:p>
    <w:p w14:paraId="15D0D98A" w14:textId="08363231" w:rsidR="0011076F" w:rsidRDefault="0011076F" w:rsidP="00CE2518">
      <w:pPr>
        <w:spacing w:after="200" w:line="276" w:lineRule="auto"/>
        <w:rPr>
          <w:rFonts w:ascii="Calibri" w:eastAsia="Calibri" w:hAnsi="Calibri" w:cs="Times New Roman"/>
          <w:sz w:val="22"/>
          <w:szCs w:val="22"/>
          <w14:ligatures w14:val="none"/>
        </w:rPr>
      </w:pPr>
    </w:p>
    <w:p w14:paraId="2230437A" w14:textId="77777777" w:rsidR="0011076F" w:rsidRPr="0011076F" w:rsidRDefault="0011076F" w:rsidP="00CE2518">
      <w:pPr>
        <w:spacing w:after="200" w:line="276" w:lineRule="auto"/>
        <w:rPr>
          <w:rFonts w:ascii="Calibri" w:eastAsia="Calibri" w:hAnsi="Calibri" w:cs="Times New Roman"/>
          <w:sz w:val="22"/>
          <w:szCs w:val="22"/>
          <w14:ligatures w14:val="none"/>
        </w:rPr>
      </w:pPr>
      <w:bookmarkStart w:id="1" w:name="_GoBack"/>
      <w:bookmarkEnd w:id="1"/>
    </w:p>
    <w:p w14:paraId="266125B5" w14:textId="77777777" w:rsidR="001F2E6C" w:rsidRPr="0011076F" w:rsidRDefault="001F2E6C">
      <w:pPr>
        <w:pStyle w:val="NormalWeb"/>
        <w:rPr>
          <w:b/>
        </w:rPr>
      </w:pPr>
      <w:r w:rsidRPr="0011076F">
        <w:rPr>
          <w:b/>
        </w:rPr>
        <w:lastRenderedPageBreak/>
        <w:t>References</w:t>
      </w:r>
    </w:p>
    <w:p w14:paraId="77F05D2D" w14:textId="77777777" w:rsidR="001F2E6C" w:rsidRPr="0011076F" w:rsidRDefault="001F2E6C">
      <w:pPr>
        <w:pStyle w:val="NormalWeb"/>
        <w:numPr>
          <w:ilvl w:val="0"/>
          <w:numId w:val="1"/>
        </w:numPr>
      </w:pPr>
      <w:r w:rsidRPr="0011076F">
        <w:t>American Academy of Pediatrics Subcommittee on Hyperbilirubinemia. (2004). Management of hyperbilirubinemia in the newborn infant 35 or more weeks of gestation. Pediatrics, 114(1), 297–316.</w:t>
      </w:r>
      <w:r w:rsidRPr="0011076F">
        <w:br/>
      </w:r>
      <w:hyperlink r:id="rId7" w:tgtFrame="_new" w:history="1">
        <w:r w:rsidRPr="0011076F">
          <w:rPr>
            <w:rStyle w:val="Hyperlink"/>
          </w:rPr>
          <w:t>https://doi.org/10.1542/peds.114.1.297</w:t>
        </w:r>
      </w:hyperlink>
    </w:p>
    <w:p w14:paraId="5B33920A" w14:textId="77777777" w:rsidR="001F2E6C" w:rsidRPr="0011076F" w:rsidRDefault="001F2E6C">
      <w:pPr>
        <w:pStyle w:val="NormalWeb"/>
        <w:numPr>
          <w:ilvl w:val="0"/>
          <w:numId w:val="1"/>
        </w:numPr>
      </w:pPr>
      <w:r w:rsidRPr="0011076F">
        <w:t xml:space="preserve">Bhutani, V. K., Johnson, L. H., &amp; </w:t>
      </w:r>
      <w:proofErr w:type="spellStart"/>
      <w:r w:rsidRPr="0011076F">
        <w:t>Sivieri</w:t>
      </w:r>
      <w:proofErr w:type="spellEnd"/>
      <w:r w:rsidRPr="0011076F">
        <w:t>, E. M. (1999). Predictive ability of a predischarge hour-specific serum bilirubin for subsequent significant hyperbilirubinemia in healthy term and near-term newborns. Pediatrics, 103(1), 6–14.</w:t>
      </w:r>
      <w:r w:rsidRPr="0011076F">
        <w:br/>
      </w:r>
      <w:hyperlink r:id="rId8" w:tgtFrame="_new" w:history="1">
        <w:r w:rsidRPr="0011076F">
          <w:rPr>
            <w:rStyle w:val="Hyperlink"/>
          </w:rPr>
          <w:t>https://doi.org/10.1542/peds.103.1.6</w:t>
        </w:r>
      </w:hyperlink>
    </w:p>
    <w:p w14:paraId="64766BDD" w14:textId="77777777" w:rsidR="001F2E6C" w:rsidRPr="0011076F" w:rsidRDefault="001F2E6C">
      <w:pPr>
        <w:pStyle w:val="NormalWeb"/>
        <w:numPr>
          <w:ilvl w:val="0"/>
          <w:numId w:val="1"/>
        </w:numPr>
      </w:pPr>
      <w:proofErr w:type="spellStart"/>
      <w:r w:rsidRPr="0011076F">
        <w:t>Maisels</w:t>
      </w:r>
      <w:proofErr w:type="spellEnd"/>
      <w:r w:rsidRPr="0011076F">
        <w:t>, M. J., &amp; McDonagh, A. F. (2008). Phototherapy for neonatal jaundice. New England Journal of Medicine, 358(9), 920–928.</w:t>
      </w:r>
      <w:r w:rsidRPr="0011076F">
        <w:br/>
      </w:r>
      <w:hyperlink r:id="rId9" w:tgtFrame="_new" w:history="1">
        <w:r w:rsidRPr="0011076F">
          <w:rPr>
            <w:rStyle w:val="Hyperlink"/>
          </w:rPr>
          <w:t>https://doi.org/10.1056/NEJMct0708376</w:t>
        </w:r>
      </w:hyperlink>
    </w:p>
    <w:p w14:paraId="2E14DC25" w14:textId="77777777" w:rsidR="001F2E6C" w:rsidRPr="0011076F" w:rsidRDefault="001F2E6C">
      <w:pPr>
        <w:pStyle w:val="NormalWeb"/>
        <w:numPr>
          <w:ilvl w:val="0"/>
          <w:numId w:val="1"/>
        </w:numPr>
      </w:pPr>
      <w:proofErr w:type="spellStart"/>
      <w:r w:rsidRPr="0011076F">
        <w:t>Watchko</w:t>
      </w:r>
      <w:proofErr w:type="spellEnd"/>
      <w:r w:rsidRPr="0011076F">
        <w:t xml:space="preserve">, J. F., &amp; </w:t>
      </w:r>
      <w:proofErr w:type="spellStart"/>
      <w:r w:rsidRPr="0011076F">
        <w:t>Tiribelli</w:t>
      </w:r>
      <w:proofErr w:type="spellEnd"/>
      <w:r w:rsidRPr="0011076F">
        <w:t>, C. (2013). Bilirubin-induced neurologic damage—mechanisms and management approaches. New England Journal of Medicine, 369(21), 2021–2030.</w:t>
      </w:r>
      <w:r w:rsidRPr="0011076F">
        <w:br/>
      </w:r>
      <w:hyperlink r:id="rId10" w:tgtFrame="_new" w:history="1">
        <w:r w:rsidRPr="0011076F">
          <w:rPr>
            <w:rStyle w:val="Hyperlink"/>
          </w:rPr>
          <w:t>https://doi.org/10.1056/NEJMra1308124</w:t>
        </w:r>
      </w:hyperlink>
    </w:p>
    <w:p w14:paraId="714E4FA1" w14:textId="77777777" w:rsidR="001F2E6C" w:rsidRPr="0011076F" w:rsidRDefault="001F2E6C">
      <w:pPr>
        <w:pStyle w:val="NormalWeb"/>
        <w:numPr>
          <w:ilvl w:val="0"/>
          <w:numId w:val="1"/>
        </w:numPr>
      </w:pPr>
      <w:r w:rsidRPr="0011076F">
        <w:t>Rennie, J., Burman-Roy, S., &amp; Murphy, M. S. (2010). Neonatal jaundice: Summary of NICE guidance. BMJ, 340, c2409.</w:t>
      </w:r>
      <w:r w:rsidRPr="0011076F">
        <w:br/>
      </w:r>
      <w:hyperlink r:id="rId11" w:tgtFrame="_new" w:history="1">
        <w:r w:rsidRPr="0011076F">
          <w:rPr>
            <w:rStyle w:val="Hyperlink"/>
          </w:rPr>
          <w:t>https://doi.org/10.1136/bmj.c2409</w:t>
        </w:r>
      </w:hyperlink>
    </w:p>
    <w:p w14:paraId="6451CBAC" w14:textId="77777777" w:rsidR="001F2E6C" w:rsidRPr="0011076F" w:rsidRDefault="001F2E6C">
      <w:pPr>
        <w:pStyle w:val="NormalWeb"/>
        <w:numPr>
          <w:ilvl w:val="0"/>
          <w:numId w:val="1"/>
        </w:numPr>
      </w:pPr>
      <w:r w:rsidRPr="0011076F">
        <w:t>Olusanya, B. O., Kaplan, M., &amp; Hansen, T. W. R. (2018). Neonatal hyperbilirubinemia: A global perspective. The Lancet Child &amp; Adolescent Health, 2(8), 610–620.</w:t>
      </w:r>
      <w:r w:rsidRPr="0011076F">
        <w:br/>
        <w:t>https://doi.org/10.1016/S2352-4642(18)30139-1</w:t>
      </w:r>
    </w:p>
    <w:p w14:paraId="30FF6CD0" w14:textId="77777777" w:rsidR="001F2E6C" w:rsidRPr="0011076F" w:rsidRDefault="001F2E6C">
      <w:pPr>
        <w:pStyle w:val="NormalWeb"/>
        <w:numPr>
          <w:ilvl w:val="0"/>
          <w:numId w:val="1"/>
        </w:numPr>
      </w:pPr>
      <w:r w:rsidRPr="0011076F">
        <w:t>Kuzniewicz, M. W., Wickremasinghe, A. C., Wu, Y. W., &amp; Newman, T. B. (2014). Incidence, etiology, and outcomes of hazardous hyperbilirubinemia in newborns. Pediatrics, 134(3), 504–509.</w:t>
      </w:r>
      <w:r w:rsidRPr="0011076F">
        <w:br/>
      </w:r>
      <w:hyperlink r:id="rId12" w:tgtFrame="_new" w:history="1">
        <w:r w:rsidRPr="0011076F">
          <w:rPr>
            <w:rStyle w:val="Hyperlink"/>
          </w:rPr>
          <w:t>https://doi.org/10.1542/peds.2014-0987</w:t>
        </w:r>
      </w:hyperlink>
    </w:p>
    <w:p w14:paraId="51FE2D8B" w14:textId="77777777" w:rsidR="001F2E6C" w:rsidRPr="0011076F" w:rsidRDefault="001F2E6C">
      <w:pPr>
        <w:pStyle w:val="NormalWeb"/>
        <w:numPr>
          <w:ilvl w:val="0"/>
          <w:numId w:val="1"/>
        </w:numPr>
      </w:pPr>
      <w:r w:rsidRPr="0011076F">
        <w:t xml:space="preserve">Slusher, T. M., Zamora, T. G., Appiah, D., et al. (2017). Burden of severe neonatal jaundice: A systematic review and meta-analysis. BMJ </w:t>
      </w:r>
      <w:proofErr w:type="spellStart"/>
      <w:r w:rsidRPr="0011076F">
        <w:t>Paediatrics</w:t>
      </w:r>
      <w:proofErr w:type="spellEnd"/>
      <w:r w:rsidRPr="0011076F">
        <w:t xml:space="preserve"> Open, 1(1), e000105.</w:t>
      </w:r>
      <w:r w:rsidRPr="0011076F">
        <w:br/>
      </w:r>
      <w:hyperlink r:id="rId13" w:tgtFrame="_new" w:history="1">
        <w:r w:rsidRPr="0011076F">
          <w:rPr>
            <w:rStyle w:val="Hyperlink"/>
          </w:rPr>
          <w:t>https://doi.org/10.1136/bmjpo-2017-000105</w:t>
        </w:r>
      </w:hyperlink>
    </w:p>
    <w:p w14:paraId="1F26205D" w14:textId="77777777" w:rsidR="001F2E6C" w:rsidRPr="0011076F" w:rsidRDefault="001F2E6C">
      <w:pPr>
        <w:pStyle w:val="NormalWeb"/>
        <w:numPr>
          <w:ilvl w:val="0"/>
          <w:numId w:val="1"/>
        </w:numPr>
      </w:pPr>
      <w:proofErr w:type="spellStart"/>
      <w:r w:rsidRPr="0011076F">
        <w:t>Maisels</w:t>
      </w:r>
      <w:proofErr w:type="spellEnd"/>
      <w:r w:rsidRPr="0011076F">
        <w:t xml:space="preserve">, M. J., </w:t>
      </w:r>
      <w:proofErr w:type="spellStart"/>
      <w:r w:rsidRPr="0011076F">
        <w:t>Watchko</w:t>
      </w:r>
      <w:proofErr w:type="spellEnd"/>
      <w:r w:rsidRPr="0011076F">
        <w:t>, J. F., Bhutani, V. K., &amp; Stevenson, D. K. (2012). An approach to the management of hyperbilirubinemia in the preterm infant less than 35 weeks of gestation. Journal of Perinatology, 32(9), 660–664.</w:t>
      </w:r>
      <w:r w:rsidRPr="0011076F">
        <w:br/>
      </w:r>
      <w:hyperlink r:id="rId14" w:tgtFrame="_new" w:history="1">
        <w:r w:rsidRPr="0011076F">
          <w:rPr>
            <w:rStyle w:val="Hyperlink"/>
          </w:rPr>
          <w:t>https://doi.org/10.1038/jp.2012.71</w:t>
        </w:r>
      </w:hyperlink>
    </w:p>
    <w:p w14:paraId="14B454B9" w14:textId="77777777" w:rsidR="001F2E6C" w:rsidRPr="0011076F" w:rsidRDefault="001F2E6C">
      <w:pPr>
        <w:pStyle w:val="NormalWeb"/>
        <w:numPr>
          <w:ilvl w:val="0"/>
          <w:numId w:val="1"/>
        </w:numPr>
      </w:pPr>
      <w:r w:rsidRPr="0011076F">
        <w:t>Hansen, T. W. R. (2011). Prevention of neurodevelopmental sequelae of jaundice in the newborn. Developmental Medicine &amp; Child Neurology, 53(Suppl 4), 24–28.</w:t>
      </w:r>
      <w:r w:rsidRPr="0011076F">
        <w:br/>
      </w:r>
      <w:hyperlink r:id="rId15" w:tgtFrame="_new" w:history="1">
        <w:r w:rsidRPr="0011076F">
          <w:rPr>
            <w:rStyle w:val="Hyperlink"/>
          </w:rPr>
          <w:t>https://doi.org/10.1111/j.1469-8749.2011.04063.x</w:t>
        </w:r>
      </w:hyperlink>
    </w:p>
    <w:p w14:paraId="6522F4E0" w14:textId="41EB2233" w:rsidR="001F2E6C" w:rsidRPr="0011076F" w:rsidRDefault="001F2E6C">
      <w:pPr>
        <w:pStyle w:val="NormalWeb"/>
        <w:numPr>
          <w:ilvl w:val="0"/>
          <w:numId w:val="1"/>
        </w:numPr>
      </w:pPr>
      <w:r w:rsidRPr="0011076F">
        <w:t xml:space="preserve">Newman, T. B., &amp; </w:t>
      </w:r>
      <w:proofErr w:type="spellStart"/>
      <w:r w:rsidRPr="0011076F">
        <w:t>Maisels</w:t>
      </w:r>
      <w:proofErr w:type="spellEnd"/>
      <w:r w:rsidRPr="0011076F">
        <w:t>, M. J. (1992). Evaluation and treatment of jaundice in the term newborn: A kinder, gentler approach. Pediatrics, 89(5), 809–818.</w:t>
      </w:r>
      <w:r w:rsidRPr="0011076F">
        <w:br/>
      </w:r>
      <w:hyperlink r:id="rId16" w:history="1">
        <w:r w:rsidR="00124A68" w:rsidRPr="0011076F">
          <w:rPr>
            <w:rStyle w:val="Hyperlink"/>
          </w:rPr>
          <w:t>https://doi.org/10.1542/peds.89.5.809</w:t>
        </w:r>
      </w:hyperlink>
      <w:r w:rsidR="00124A68" w:rsidRPr="0011076F">
        <w:t xml:space="preserve"> </w:t>
      </w:r>
    </w:p>
    <w:p w14:paraId="09193402" w14:textId="77777777" w:rsidR="001F2E6C" w:rsidRPr="0011076F" w:rsidRDefault="001F2E6C">
      <w:pPr>
        <w:pStyle w:val="NormalWeb"/>
        <w:numPr>
          <w:ilvl w:val="0"/>
          <w:numId w:val="1"/>
        </w:numPr>
      </w:pPr>
      <w:r w:rsidRPr="0011076F">
        <w:t>Dennery, P. A., Seidman, D. S., &amp; Stevenson, D. K. (2001). Neonatal hyperbilirubinemia. New England Journal of Medicine, 344(8), 581–590.</w:t>
      </w:r>
      <w:r w:rsidRPr="0011076F">
        <w:br/>
      </w:r>
      <w:hyperlink r:id="rId17" w:tgtFrame="_new" w:history="1">
        <w:r w:rsidRPr="0011076F">
          <w:rPr>
            <w:rStyle w:val="Hyperlink"/>
          </w:rPr>
          <w:t>https://doi.org/10.1056/NEJM200102223440807</w:t>
        </w:r>
      </w:hyperlink>
    </w:p>
    <w:p w14:paraId="26ECE328" w14:textId="77777777" w:rsidR="001F2E6C" w:rsidRPr="0011076F" w:rsidRDefault="001F2E6C">
      <w:pPr>
        <w:pStyle w:val="NormalWeb"/>
        <w:numPr>
          <w:ilvl w:val="0"/>
          <w:numId w:val="1"/>
        </w:numPr>
      </w:pPr>
      <w:r w:rsidRPr="0011076F">
        <w:t xml:space="preserve">Bhutani, V. K., Zipursky, A., Blencowe, H., et al. (2013). Neonatal hyperbilirubinemia and Rhesus disease of the newborn: Incidence and impairment estimates for 2010. </w:t>
      </w:r>
      <w:r w:rsidRPr="0011076F">
        <w:lastRenderedPageBreak/>
        <w:t>Pediatric Research, 74(Suppl 1), 86–100.</w:t>
      </w:r>
      <w:r w:rsidRPr="0011076F">
        <w:br/>
      </w:r>
      <w:hyperlink r:id="rId18" w:tgtFrame="_new" w:history="1">
        <w:r w:rsidRPr="0011076F">
          <w:rPr>
            <w:rStyle w:val="Hyperlink"/>
          </w:rPr>
          <w:t>https://doi.org/10.1038/pr.2013.208</w:t>
        </w:r>
      </w:hyperlink>
    </w:p>
    <w:p w14:paraId="68D3325F" w14:textId="77777777" w:rsidR="001F2E6C" w:rsidRPr="0011076F" w:rsidRDefault="001F2E6C">
      <w:pPr>
        <w:pStyle w:val="NormalWeb"/>
        <w:numPr>
          <w:ilvl w:val="0"/>
          <w:numId w:val="1"/>
        </w:numPr>
      </w:pPr>
      <w:r w:rsidRPr="0011076F">
        <w:t>Kaplan, M., &amp; Hammerman, C. (2005). Understanding severe hyperbilirubinemia in the newborn: A challenge still unmet. Archives of Disease in Childhood – Fetal and Neonatal Edition, 90(6), F448–F450.</w:t>
      </w:r>
      <w:r w:rsidRPr="0011076F">
        <w:br/>
      </w:r>
      <w:hyperlink r:id="rId19" w:tgtFrame="_new" w:history="1">
        <w:r w:rsidRPr="0011076F">
          <w:rPr>
            <w:rStyle w:val="Hyperlink"/>
          </w:rPr>
          <w:t>https://doi.org/10.1136/adc.2004.066670</w:t>
        </w:r>
      </w:hyperlink>
    </w:p>
    <w:p w14:paraId="0940533D" w14:textId="55F64911" w:rsidR="001F2E6C" w:rsidRPr="0011076F" w:rsidRDefault="001F2E6C">
      <w:pPr>
        <w:pStyle w:val="NormalWeb"/>
        <w:numPr>
          <w:ilvl w:val="0"/>
          <w:numId w:val="1"/>
        </w:numPr>
        <w:rPr>
          <w:rStyle w:val="Hyperlink"/>
          <w:color w:val="auto"/>
          <w:u w:val="none"/>
        </w:rPr>
      </w:pPr>
      <w:r w:rsidRPr="0011076F">
        <w:t>Olusanya, B. O., Teeple, S., &amp; Kassebaum, N. J. (2018). The contribution of neonatal jaundice to global child mortality: Findings from the GBD 2016 study. Pediatrics, 141(2), e20171471.</w:t>
      </w:r>
      <w:r w:rsidRPr="0011076F">
        <w:br/>
      </w:r>
      <w:hyperlink r:id="rId20" w:tgtFrame="_new" w:history="1">
        <w:r w:rsidRPr="0011076F">
          <w:rPr>
            <w:rStyle w:val="Hyperlink"/>
          </w:rPr>
          <w:t>https://doi.org/10.1542/peds.2017-1471</w:t>
        </w:r>
      </w:hyperlink>
    </w:p>
    <w:p w14:paraId="7ECAF74C" w14:textId="65668210" w:rsidR="00E87636" w:rsidRPr="0011076F" w:rsidRDefault="00E87636" w:rsidP="00E87636">
      <w:pPr>
        <w:pStyle w:val="ListParagraph"/>
        <w:numPr>
          <w:ilvl w:val="0"/>
          <w:numId w:val="1"/>
        </w:numPr>
        <w:shd w:val="clear" w:color="auto" w:fill="FFFFFF"/>
        <w:spacing w:after="0" w:line="240" w:lineRule="auto"/>
        <w:rPr>
          <w:rFonts w:ascii="Arial" w:eastAsia="Times New Roman" w:hAnsi="Arial" w:cs="Arial"/>
          <w:color w:val="333333"/>
          <w:kern w:val="0"/>
          <w:sz w:val="27"/>
          <w:szCs w:val="27"/>
          <w14:ligatures w14:val="none"/>
        </w:rPr>
      </w:pPr>
      <w:r w:rsidRPr="0011076F">
        <w:rPr>
          <w:rFonts w:ascii="Arial" w:eastAsia="Times New Roman" w:hAnsi="Arial" w:cs="Arial"/>
          <w:color w:val="333333"/>
          <w:kern w:val="0"/>
          <w:sz w:val="27"/>
          <w:szCs w:val="27"/>
          <w14:ligatures w14:val="none"/>
        </w:rPr>
        <w:t xml:space="preserve">Boateng, K.-H. T., Sarah, B. A., &amp; </w:t>
      </w:r>
      <w:proofErr w:type="spellStart"/>
      <w:r w:rsidRPr="0011076F">
        <w:rPr>
          <w:rFonts w:ascii="Arial" w:eastAsia="Times New Roman" w:hAnsi="Arial" w:cs="Arial"/>
          <w:color w:val="333333"/>
          <w:kern w:val="0"/>
          <w:sz w:val="27"/>
          <w:szCs w:val="27"/>
          <w14:ligatures w14:val="none"/>
        </w:rPr>
        <w:t>Asirifi</w:t>
      </w:r>
      <w:proofErr w:type="spellEnd"/>
      <w:r w:rsidRPr="0011076F">
        <w:rPr>
          <w:rFonts w:ascii="Arial" w:eastAsia="Times New Roman" w:hAnsi="Arial" w:cs="Arial"/>
          <w:color w:val="333333"/>
          <w:kern w:val="0"/>
          <w:sz w:val="27"/>
          <w:szCs w:val="27"/>
          <w14:ligatures w14:val="none"/>
        </w:rPr>
        <w:t>, S. K. A. (2024). Awareness and Knowledge Level of Puerperal Mothers on Neonatal Jaundice: A Qualitative Study in Northern Ghana. </w:t>
      </w:r>
      <w:r w:rsidRPr="0011076F">
        <w:rPr>
          <w:rFonts w:ascii="Arial" w:eastAsia="Times New Roman" w:hAnsi="Arial" w:cs="Arial"/>
          <w:i/>
          <w:iCs/>
          <w:color w:val="333333"/>
          <w:kern w:val="0"/>
          <w:sz w:val="27"/>
          <w:szCs w:val="27"/>
          <w14:ligatures w14:val="none"/>
        </w:rPr>
        <w:t>Asian Journal of Pediatric Research</w:t>
      </w:r>
      <w:r w:rsidRPr="0011076F">
        <w:rPr>
          <w:rFonts w:ascii="Arial" w:eastAsia="Times New Roman" w:hAnsi="Arial" w:cs="Arial"/>
          <w:color w:val="333333"/>
          <w:kern w:val="0"/>
          <w:sz w:val="27"/>
          <w:szCs w:val="27"/>
          <w14:ligatures w14:val="none"/>
        </w:rPr>
        <w:t>, </w:t>
      </w:r>
      <w:r w:rsidRPr="0011076F">
        <w:rPr>
          <w:rFonts w:ascii="Arial" w:eastAsia="Times New Roman" w:hAnsi="Arial" w:cs="Arial"/>
          <w:i/>
          <w:iCs/>
          <w:color w:val="333333"/>
          <w:kern w:val="0"/>
          <w:sz w:val="27"/>
          <w:szCs w:val="27"/>
          <w14:ligatures w14:val="none"/>
        </w:rPr>
        <w:t>14</w:t>
      </w:r>
      <w:r w:rsidRPr="0011076F">
        <w:rPr>
          <w:rFonts w:ascii="Arial" w:eastAsia="Times New Roman" w:hAnsi="Arial" w:cs="Arial"/>
          <w:color w:val="333333"/>
          <w:kern w:val="0"/>
          <w:sz w:val="27"/>
          <w:szCs w:val="27"/>
          <w14:ligatures w14:val="none"/>
        </w:rPr>
        <w:t xml:space="preserve">(6), 45–60. </w:t>
      </w:r>
      <w:hyperlink r:id="rId21" w:history="1">
        <w:r w:rsidRPr="0011076F">
          <w:rPr>
            <w:rStyle w:val="Hyperlink"/>
            <w:rFonts w:ascii="Arial" w:eastAsia="Times New Roman" w:hAnsi="Arial" w:cs="Arial"/>
            <w:kern w:val="0"/>
            <w:sz w:val="27"/>
            <w:szCs w:val="27"/>
            <w14:ligatures w14:val="none"/>
          </w:rPr>
          <w:t>https://doi.org/10.9734/ajpr/2024/v14i6354</w:t>
        </w:r>
      </w:hyperlink>
      <w:r w:rsidRPr="0011076F">
        <w:rPr>
          <w:rFonts w:ascii="Arial" w:eastAsia="Times New Roman" w:hAnsi="Arial" w:cs="Arial"/>
          <w:color w:val="333333"/>
          <w:kern w:val="0"/>
          <w:sz w:val="27"/>
          <w:szCs w:val="27"/>
          <w14:ligatures w14:val="none"/>
        </w:rPr>
        <w:t xml:space="preserve"> </w:t>
      </w:r>
    </w:p>
    <w:p w14:paraId="645DF08F" w14:textId="6E4A66F8" w:rsidR="00E87636" w:rsidRPr="0011076F" w:rsidRDefault="004C7048">
      <w:pPr>
        <w:pStyle w:val="NormalWeb"/>
        <w:numPr>
          <w:ilvl w:val="0"/>
          <w:numId w:val="1"/>
        </w:numPr>
      </w:pPr>
      <w:r w:rsidRPr="0011076F">
        <w:t xml:space="preserve">West, B. A., </w:t>
      </w:r>
      <w:proofErr w:type="spellStart"/>
      <w:r w:rsidRPr="0011076F">
        <w:t>Enekole</w:t>
      </w:r>
      <w:proofErr w:type="spellEnd"/>
      <w:r w:rsidRPr="0011076F">
        <w:t xml:space="preserve"> </w:t>
      </w:r>
      <w:proofErr w:type="spellStart"/>
      <w:r w:rsidRPr="0011076F">
        <w:t>Aitafo</w:t>
      </w:r>
      <w:proofErr w:type="spellEnd"/>
      <w:r w:rsidRPr="0011076F">
        <w:t xml:space="preserve">, J., &amp; </w:t>
      </w:r>
      <w:proofErr w:type="spellStart"/>
      <w:r w:rsidRPr="0011076F">
        <w:t>Altraide</w:t>
      </w:r>
      <w:proofErr w:type="spellEnd"/>
      <w:r w:rsidRPr="0011076F">
        <w:t xml:space="preserve">, B. O. (2021). Neonatal Jaundice: Knowledge, Attitude and Practice among Pregnant Women Attending the Antenatal Clinic of Rivers State University Teaching Hospital, Nigeria. International Journal of TROPICAL DISEASE &amp; Health, 42(23), 1–11. </w:t>
      </w:r>
      <w:hyperlink r:id="rId22" w:history="1">
        <w:r w:rsidRPr="0011076F">
          <w:rPr>
            <w:rStyle w:val="Hyperlink"/>
          </w:rPr>
          <w:t>https://doi.org/10.9734/ijtdh/2021/v42i2330559</w:t>
        </w:r>
      </w:hyperlink>
      <w:r w:rsidRPr="0011076F">
        <w:t xml:space="preserve"> </w:t>
      </w:r>
    </w:p>
    <w:p w14:paraId="375D18E7" w14:textId="110C40C9" w:rsidR="00CF23A2" w:rsidRPr="0011076F" w:rsidRDefault="003A6E4B">
      <w:pPr>
        <w:pStyle w:val="NormalWeb"/>
        <w:numPr>
          <w:ilvl w:val="0"/>
          <w:numId w:val="1"/>
        </w:numPr>
      </w:pPr>
      <w:proofErr w:type="spellStart"/>
      <w:r w:rsidRPr="0011076F">
        <w:t>Watchko</w:t>
      </w:r>
      <w:proofErr w:type="spellEnd"/>
      <w:r w:rsidRPr="0011076F">
        <w:t>, J. F. (2014). Recent advances in the management of neonatal jaundice. Research and Reports in Neonatology, 183-193.</w:t>
      </w:r>
      <w:r w:rsidR="00B45957" w:rsidRPr="0011076F">
        <w:t xml:space="preserve"> </w:t>
      </w:r>
      <w:hyperlink r:id="rId23" w:history="1">
        <w:r w:rsidR="00B45957" w:rsidRPr="0011076F">
          <w:rPr>
            <w:rStyle w:val="Hyperlink"/>
          </w:rPr>
          <w:t>https://doi.org/10.2147/RRN.S52373</w:t>
        </w:r>
      </w:hyperlink>
      <w:r w:rsidR="00B45957" w:rsidRPr="0011076F">
        <w:t xml:space="preserve"> </w:t>
      </w:r>
    </w:p>
    <w:p w14:paraId="1E1E0C81" w14:textId="77777777" w:rsidR="00E801DC" w:rsidRPr="008237F6" w:rsidRDefault="00E801DC" w:rsidP="004247A2">
      <w:pPr>
        <w:pStyle w:val="NormalWeb"/>
        <w:ind w:left="720"/>
      </w:pPr>
    </w:p>
    <w:p w14:paraId="03C5EDC8" w14:textId="77777777" w:rsidR="001F2E6C" w:rsidRPr="008237F6" w:rsidRDefault="001F2E6C">
      <w:pPr>
        <w:rPr>
          <w:rFonts w:ascii="Times New Roman" w:hAnsi="Times New Roman" w:cs="Times New Roman"/>
        </w:rPr>
      </w:pPr>
    </w:p>
    <w:sectPr w:rsidR="001F2E6C" w:rsidRPr="008237F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04BC8" w14:textId="77777777" w:rsidR="00110B91" w:rsidRDefault="00110B91" w:rsidP="004E1E12">
      <w:pPr>
        <w:spacing w:after="0" w:line="240" w:lineRule="auto"/>
      </w:pPr>
      <w:r>
        <w:separator/>
      </w:r>
    </w:p>
  </w:endnote>
  <w:endnote w:type="continuationSeparator" w:id="0">
    <w:p w14:paraId="241E6207" w14:textId="77777777" w:rsidR="00110B91" w:rsidRDefault="00110B91" w:rsidP="004E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E0B7D" w14:textId="77777777" w:rsidR="004E1E12" w:rsidRDefault="004E1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0AFD" w14:textId="77777777" w:rsidR="004E1E12" w:rsidRDefault="004E1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4702F" w14:textId="77777777" w:rsidR="004E1E12" w:rsidRDefault="004E1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E8639" w14:textId="77777777" w:rsidR="00110B91" w:rsidRDefault="00110B91" w:rsidP="004E1E12">
      <w:pPr>
        <w:spacing w:after="0" w:line="240" w:lineRule="auto"/>
      </w:pPr>
      <w:r>
        <w:separator/>
      </w:r>
    </w:p>
  </w:footnote>
  <w:footnote w:type="continuationSeparator" w:id="0">
    <w:p w14:paraId="17253456" w14:textId="77777777" w:rsidR="00110B91" w:rsidRDefault="00110B91" w:rsidP="004E1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78F08" w14:textId="6CE3CC5C" w:rsidR="004E1E12" w:rsidRDefault="00110B91">
    <w:pPr>
      <w:pStyle w:val="Header"/>
    </w:pPr>
    <w:r>
      <w:rPr>
        <w:noProof/>
      </w:rPr>
      <w:pict w14:anchorId="3C643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0596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599CF" w14:textId="3563735D" w:rsidR="004E1E12" w:rsidRDefault="00110B91">
    <w:pPr>
      <w:pStyle w:val="Header"/>
    </w:pPr>
    <w:r>
      <w:rPr>
        <w:noProof/>
      </w:rPr>
      <w:pict w14:anchorId="11F31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0597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0C3E" w14:textId="587DA57E" w:rsidR="004E1E12" w:rsidRDefault="00110B91">
    <w:pPr>
      <w:pStyle w:val="Header"/>
    </w:pPr>
    <w:r>
      <w:rPr>
        <w:noProof/>
      </w:rPr>
      <w:pict w14:anchorId="5C021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700596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D343A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xsDA0NzEHAiNzCyUdpeDU4uLM/DyQAqNaAFbm6eIsAAAA"/>
  </w:docVars>
  <w:rsids>
    <w:rsidRoot w:val="001F2E6C"/>
    <w:rsid w:val="00002C39"/>
    <w:rsid w:val="00045B10"/>
    <w:rsid w:val="00095AED"/>
    <w:rsid w:val="000A153A"/>
    <w:rsid w:val="00102340"/>
    <w:rsid w:val="0011076F"/>
    <w:rsid w:val="00110B91"/>
    <w:rsid w:val="001128C4"/>
    <w:rsid w:val="00124A68"/>
    <w:rsid w:val="0014585B"/>
    <w:rsid w:val="001A6FB5"/>
    <w:rsid w:val="001A7677"/>
    <w:rsid w:val="001B4A20"/>
    <w:rsid w:val="001C74CD"/>
    <w:rsid w:val="001C7DC5"/>
    <w:rsid w:val="001E6E4C"/>
    <w:rsid w:val="001F2E6C"/>
    <w:rsid w:val="00241002"/>
    <w:rsid w:val="00262E88"/>
    <w:rsid w:val="002F3055"/>
    <w:rsid w:val="0032488C"/>
    <w:rsid w:val="0033248C"/>
    <w:rsid w:val="0038616D"/>
    <w:rsid w:val="003A4DEA"/>
    <w:rsid w:val="003A6E4B"/>
    <w:rsid w:val="003C585B"/>
    <w:rsid w:val="00405A52"/>
    <w:rsid w:val="004247A2"/>
    <w:rsid w:val="00437F2A"/>
    <w:rsid w:val="0047244D"/>
    <w:rsid w:val="0047699C"/>
    <w:rsid w:val="00497BC9"/>
    <w:rsid w:val="004C6C03"/>
    <w:rsid w:val="004C7048"/>
    <w:rsid w:val="004E1E12"/>
    <w:rsid w:val="00506D03"/>
    <w:rsid w:val="00510CF9"/>
    <w:rsid w:val="005143E3"/>
    <w:rsid w:val="005B3518"/>
    <w:rsid w:val="005E1157"/>
    <w:rsid w:val="00621000"/>
    <w:rsid w:val="00634D5C"/>
    <w:rsid w:val="006360F8"/>
    <w:rsid w:val="00676D55"/>
    <w:rsid w:val="00682942"/>
    <w:rsid w:val="006968FF"/>
    <w:rsid w:val="006D7826"/>
    <w:rsid w:val="00741A03"/>
    <w:rsid w:val="00761B2F"/>
    <w:rsid w:val="00790657"/>
    <w:rsid w:val="007C2FBE"/>
    <w:rsid w:val="008237F6"/>
    <w:rsid w:val="00872688"/>
    <w:rsid w:val="00880C1B"/>
    <w:rsid w:val="008C1304"/>
    <w:rsid w:val="009037C3"/>
    <w:rsid w:val="00914652"/>
    <w:rsid w:val="00925FFD"/>
    <w:rsid w:val="009440CB"/>
    <w:rsid w:val="00972559"/>
    <w:rsid w:val="00973E42"/>
    <w:rsid w:val="00980872"/>
    <w:rsid w:val="009A428C"/>
    <w:rsid w:val="009E060D"/>
    <w:rsid w:val="009F287B"/>
    <w:rsid w:val="00A20BC2"/>
    <w:rsid w:val="00A7463A"/>
    <w:rsid w:val="00A90C7D"/>
    <w:rsid w:val="00A96C20"/>
    <w:rsid w:val="00AA1DCC"/>
    <w:rsid w:val="00B45957"/>
    <w:rsid w:val="00B804BC"/>
    <w:rsid w:val="00B86B4D"/>
    <w:rsid w:val="00B949A3"/>
    <w:rsid w:val="00C94D08"/>
    <w:rsid w:val="00CA1601"/>
    <w:rsid w:val="00CC07C7"/>
    <w:rsid w:val="00CE2518"/>
    <w:rsid w:val="00CF23A2"/>
    <w:rsid w:val="00D2425F"/>
    <w:rsid w:val="00D70C2D"/>
    <w:rsid w:val="00D960BE"/>
    <w:rsid w:val="00DB66A4"/>
    <w:rsid w:val="00E27486"/>
    <w:rsid w:val="00E801DC"/>
    <w:rsid w:val="00E87636"/>
    <w:rsid w:val="00EA2642"/>
    <w:rsid w:val="00EB4524"/>
    <w:rsid w:val="00EB7916"/>
    <w:rsid w:val="00EC227E"/>
    <w:rsid w:val="00ED35D4"/>
    <w:rsid w:val="00F35A61"/>
    <w:rsid w:val="00F40028"/>
    <w:rsid w:val="00F96154"/>
    <w:rsid w:val="00FB4C6F"/>
    <w:rsid w:val="00FE0A84"/>
    <w:rsid w:val="00FF6F3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1CFB00"/>
  <w15:chartTrackingRefBased/>
  <w15:docId w15:val="{843574A8-9E56-304F-8099-7C814264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E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E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E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E6C"/>
    <w:rPr>
      <w:rFonts w:eastAsiaTheme="majorEastAsia" w:cstheme="majorBidi"/>
      <w:color w:val="272727" w:themeColor="text1" w:themeTint="D8"/>
    </w:rPr>
  </w:style>
  <w:style w:type="paragraph" w:styleId="Title">
    <w:name w:val="Title"/>
    <w:basedOn w:val="Normal"/>
    <w:next w:val="Normal"/>
    <w:link w:val="TitleChar"/>
    <w:uiPriority w:val="10"/>
    <w:qFormat/>
    <w:rsid w:val="001F2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E6C"/>
    <w:pPr>
      <w:spacing w:before="160"/>
      <w:jc w:val="center"/>
    </w:pPr>
    <w:rPr>
      <w:i/>
      <w:iCs/>
      <w:color w:val="404040" w:themeColor="text1" w:themeTint="BF"/>
    </w:rPr>
  </w:style>
  <w:style w:type="character" w:customStyle="1" w:styleId="QuoteChar">
    <w:name w:val="Quote Char"/>
    <w:basedOn w:val="DefaultParagraphFont"/>
    <w:link w:val="Quote"/>
    <w:uiPriority w:val="29"/>
    <w:rsid w:val="001F2E6C"/>
    <w:rPr>
      <w:i/>
      <w:iCs/>
      <w:color w:val="404040" w:themeColor="text1" w:themeTint="BF"/>
    </w:rPr>
  </w:style>
  <w:style w:type="paragraph" w:styleId="ListParagraph">
    <w:name w:val="List Paragraph"/>
    <w:basedOn w:val="Normal"/>
    <w:uiPriority w:val="34"/>
    <w:qFormat/>
    <w:rsid w:val="001F2E6C"/>
    <w:pPr>
      <w:ind w:left="720"/>
      <w:contextualSpacing/>
    </w:pPr>
  </w:style>
  <w:style w:type="character" w:styleId="IntenseEmphasis">
    <w:name w:val="Intense Emphasis"/>
    <w:basedOn w:val="DefaultParagraphFont"/>
    <w:uiPriority w:val="21"/>
    <w:qFormat/>
    <w:rsid w:val="001F2E6C"/>
    <w:rPr>
      <w:i/>
      <w:iCs/>
      <w:color w:val="0F4761" w:themeColor="accent1" w:themeShade="BF"/>
    </w:rPr>
  </w:style>
  <w:style w:type="paragraph" w:styleId="IntenseQuote">
    <w:name w:val="Intense Quote"/>
    <w:basedOn w:val="Normal"/>
    <w:next w:val="Normal"/>
    <w:link w:val="IntenseQuoteChar"/>
    <w:uiPriority w:val="30"/>
    <w:qFormat/>
    <w:rsid w:val="001F2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E6C"/>
    <w:rPr>
      <w:i/>
      <w:iCs/>
      <w:color w:val="0F4761" w:themeColor="accent1" w:themeShade="BF"/>
    </w:rPr>
  </w:style>
  <w:style w:type="character" w:styleId="IntenseReference">
    <w:name w:val="Intense Reference"/>
    <w:basedOn w:val="DefaultParagraphFont"/>
    <w:uiPriority w:val="32"/>
    <w:qFormat/>
    <w:rsid w:val="001F2E6C"/>
    <w:rPr>
      <w:b/>
      <w:bCs/>
      <w:smallCaps/>
      <w:color w:val="0F4761" w:themeColor="accent1" w:themeShade="BF"/>
      <w:spacing w:val="5"/>
    </w:rPr>
  </w:style>
  <w:style w:type="paragraph" w:styleId="NormalWeb">
    <w:name w:val="Normal (Web)"/>
    <w:basedOn w:val="Normal"/>
    <w:uiPriority w:val="99"/>
    <w:unhideWhenUsed/>
    <w:rsid w:val="001F2E6C"/>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1F2E6C"/>
    <w:rPr>
      <w:color w:val="0000FF"/>
      <w:u w:val="single"/>
    </w:rPr>
  </w:style>
  <w:style w:type="character" w:styleId="Strong">
    <w:name w:val="Strong"/>
    <w:basedOn w:val="DefaultParagraphFont"/>
    <w:uiPriority w:val="22"/>
    <w:qFormat/>
    <w:rsid w:val="00A90C7D"/>
    <w:rPr>
      <w:b/>
      <w:bCs/>
    </w:rPr>
  </w:style>
  <w:style w:type="character" w:styleId="UnresolvedMention">
    <w:name w:val="Unresolved Mention"/>
    <w:basedOn w:val="DefaultParagraphFont"/>
    <w:uiPriority w:val="99"/>
    <w:semiHidden/>
    <w:unhideWhenUsed/>
    <w:rsid w:val="009F287B"/>
    <w:rPr>
      <w:color w:val="605E5C"/>
      <w:shd w:val="clear" w:color="auto" w:fill="E1DFDD"/>
    </w:rPr>
  </w:style>
  <w:style w:type="table" w:styleId="MediumGrid3">
    <w:name w:val="Medium Grid 3"/>
    <w:basedOn w:val="TableNormal"/>
    <w:uiPriority w:val="69"/>
    <w:rsid w:val="002F3055"/>
    <w:rPr>
      <w:rFonts w:ascii="Aptos" w:eastAsia="SimSun" w:hAnsi="Aptos" w:cs="SimSu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paragraph" w:styleId="Header">
    <w:name w:val="header"/>
    <w:basedOn w:val="Normal"/>
    <w:link w:val="HeaderChar"/>
    <w:uiPriority w:val="99"/>
    <w:unhideWhenUsed/>
    <w:rsid w:val="004E1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E12"/>
  </w:style>
  <w:style w:type="paragraph" w:styleId="Footer">
    <w:name w:val="footer"/>
    <w:basedOn w:val="Normal"/>
    <w:link w:val="FooterChar"/>
    <w:uiPriority w:val="99"/>
    <w:unhideWhenUsed/>
    <w:rsid w:val="004E1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5630">
      <w:bodyDiv w:val="1"/>
      <w:marLeft w:val="0"/>
      <w:marRight w:val="0"/>
      <w:marTop w:val="0"/>
      <w:marBottom w:val="0"/>
      <w:divBdr>
        <w:top w:val="none" w:sz="0" w:space="0" w:color="auto"/>
        <w:left w:val="none" w:sz="0" w:space="0" w:color="auto"/>
        <w:bottom w:val="none" w:sz="0" w:space="0" w:color="auto"/>
        <w:right w:val="none" w:sz="0" w:space="0" w:color="auto"/>
      </w:divBdr>
      <w:divsChild>
        <w:div w:id="998653552">
          <w:marLeft w:val="0"/>
          <w:marRight w:val="0"/>
          <w:marTop w:val="0"/>
          <w:marBottom w:val="0"/>
          <w:divBdr>
            <w:top w:val="none" w:sz="0" w:space="0" w:color="auto"/>
            <w:left w:val="none" w:sz="0" w:space="0" w:color="auto"/>
            <w:bottom w:val="none" w:sz="0" w:space="0" w:color="auto"/>
            <w:right w:val="none" w:sz="0" w:space="0" w:color="auto"/>
          </w:divBdr>
        </w:div>
      </w:divsChild>
    </w:div>
    <w:div w:id="76902922">
      <w:bodyDiv w:val="1"/>
      <w:marLeft w:val="0"/>
      <w:marRight w:val="0"/>
      <w:marTop w:val="0"/>
      <w:marBottom w:val="0"/>
      <w:divBdr>
        <w:top w:val="none" w:sz="0" w:space="0" w:color="auto"/>
        <w:left w:val="none" w:sz="0" w:space="0" w:color="auto"/>
        <w:bottom w:val="none" w:sz="0" w:space="0" w:color="auto"/>
        <w:right w:val="none" w:sz="0" w:space="0" w:color="auto"/>
      </w:divBdr>
      <w:divsChild>
        <w:div w:id="1326009683">
          <w:marLeft w:val="0"/>
          <w:marRight w:val="0"/>
          <w:marTop w:val="0"/>
          <w:marBottom w:val="0"/>
          <w:divBdr>
            <w:top w:val="none" w:sz="0" w:space="0" w:color="auto"/>
            <w:left w:val="none" w:sz="0" w:space="0" w:color="auto"/>
            <w:bottom w:val="none" w:sz="0" w:space="0" w:color="auto"/>
            <w:right w:val="none" w:sz="0" w:space="0" w:color="auto"/>
          </w:divBdr>
          <w:divsChild>
            <w:div w:id="1712225764">
              <w:marLeft w:val="0"/>
              <w:marRight w:val="0"/>
              <w:marTop w:val="0"/>
              <w:marBottom w:val="0"/>
              <w:divBdr>
                <w:top w:val="none" w:sz="0" w:space="0" w:color="auto"/>
                <w:left w:val="none" w:sz="0" w:space="0" w:color="auto"/>
                <w:bottom w:val="none" w:sz="0" w:space="0" w:color="auto"/>
                <w:right w:val="none" w:sz="0" w:space="0" w:color="auto"/>
              </w:divBdr>
              <w:divsChild>
                <w:div w:id="1649824636">
                  <w:marLeft w:val="0"/>
                  <w:marRight w:val="0"/>
                  <w:marTop w:val="0"/>
                  <w:marBottom w:val="0"/>
                  <w:divBdr>
                    <w:top w:val="none" w:sz="0" w:space="0" w:color="auto"/>
                    <w:left w:val="none" w:sz="0" w:space="0" w:color="auto"/>
                    <w:bottom w:val="none" w:sz="0" w:space="0" w:color="auto"/>
                    <w:right w:val="none" w:sz="0" w:space="0" w:color="auto"/>
                  </w:divBdr>
                  <w:divsChild>
                    <w:div w:id="21090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2527">
      <w:bodyDiv w:val="1"/>
      <w:marLeft w:val="0"/>
      <w:marRight w:val="0"/>
      <w:marTop w:val="0"/>
      <w:marBottom w:val="0"/>
      <w:divBdr>
        <w:top w:val="none" w:sz="0" w:space="0" w:color="auto"/>
        <w:left w:val="none" w:sz="0" w:space="0" w:color="auto"/>
        <w:bottom w:val="none" w:sz="0" w:space="0" w:color="auto"/>
        <w:right w:val="none" w:sz="0" w:space="0" w:color="auto"/>
      </w:divBdr>
      <w:divsChild>
        <w:div w:id="1080559857">
          <w:marLeft w:val="0"/>
          <w:marRight w:val="0"/>
          <w:marTop w:val="0"/>
          <w:marBottom w:val="0"/>
          <w:divBdr>
            <w:top w:val="none" w:sz="0" w:space="0" w:color="auto"/>
            <w:left w:val="none" w:sz="0" w:space="0" w:color="auto"/>
            <w:bottom w:val="none" w:sz="0" w:space="0" w:color="auto"/>
            <w:right w:val="none" w:sz="0" w:space="0" w:color="auto"/>
          </w:divBdr>
          <w:divsChild>
            <w:div w:id="1580628365">
              <w:marLeft w:val="0"/>
              <w:marRight w:val="0"/>
              <w:marTop w:val="0"/>
              <w:marBottom w:val="0"/>
              <w:divBdr>
                <w:top w:val="none" w:sz="0" w:space="0" w:color="auto"/>
                <w:left w:val="none" w:sz="0" w:space="0" w:color="auto"/>
                <w:bottom w:val="none" w:sz="0" w:space="0" w:color="auto"/>
                <w:right w:val="none" w:sz="0" w:space="0" w:color="auto"/>
              </w:divBdr>
              <w:divsChild>
                <w:div w:id="1922982774">
                  <w:marLeft w:val="0"/>
                  <w:marRight w:val="0"/>
                  <w:marTop w:val="0"/>
                  <w:marBottom w:val="0"/>
                  <w:divBdr>
                    <w:top w:val="none" w:sz="0" w:space="0" w:color="auto"/>
                    <w:left w:val="none" w:sz="0" w:space="0" w:color="auto"/>
                    <w:bottom w:val="none" w:sz="0" w:space="0" w:color="auto"/>
                    <w:right w:val="none" w:sz="0" w:space="0" w:color="auto"/>
                  </w:divBdr>
                  <w:divsChild>
                    <w:div w:id="666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2/peds.103.1.6" TargetMode="External"/><Relationship Id="rId13" Type="http://schemas.openxmlformats.org/officeDocument/2006/relationships/hyperlink" Target="https://doi.org/10.1136/bmjpo-2017-000105" TargetMode="External"/><Relationship Id="rId18" Type="http://schemas.openxmlformats.org/officeDocument/2006/relationships/hyperlink" Target="https://doi.org/10.1038/pr.2013.20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9734/ajpr/2024/v14i6354" TargetMode="External"/><Relationship Id="rId7" Type="http://schemas.openxmlformats.org/officeDocument/2006/relationships/hyperlink" Target="https://doi.org/10.1542/peds.114.1.297" TargetMode="External"/><Relationship Id="rId12" Type="http://schemas.openxmlformats.org/officeDocument/2006/relationships/hyperlink" Target="https://doi.org/10.1542/peds.2014-0987" TargetMode="External"/><Relationship Id="rId17" Type="http://schemas.openxmlformats.org/officeDocument/2006/relationships/hyperlink" Target="https://doi.org/10.1056/NEJM200102223440807"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542/peds.89.5.809" TargetMode="External"/><Relationship Id="rId20" Type="http://schemas.openxmlformats.org/officeDocument/2006/relationships/hyperlink" Target="https://doi.org/10.1542/peds.2017-1471"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bmj.c2409"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11/j.1469-8749.2011.04063.x" TargetMode="External"/><Relationship Id="rId23" Type="http://schemas.openxmlformats.org/officeDocument/2006/relationships/hyperlink" Target="https://doi.org/10.2147/RRN.S52373" TargetMode="External"/><Relationship Id="rId28" Type="http://schemas.openxmlformats.org/officeDocument/2006/relationships/header" Target="header3.xml"/><Relationship Id="rId10" Type="http://schemas.openxmlformats.org/officeDocument/2006/relationships/hyperlink" Target="https://doi.org/10.1056/NEJMra1308124" TargetMode="External"/><Relationship Id="rId19" Type="http://schemas.openxmlformats.org/officeDocument/2006/relationships/hyperlink" Target="https://doi.org/10.1136/adc.2004.06667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56/NEJMct0708376" TargetMode="External"/><Relationship Id="rId14" Type="http://schemas.openxmlformats.org/officeDocument/2006/relationships/hyperlink" Target="https://doi.org/10.1038/jp.2012.71" TargetMode="External"/><Relationship Id="rId22" Type="http://schemas.openxmlformats.org/officeDocument/2006/relationships/hyperlink" Target="https://doi.org/10.9734/ijtdh/2021/v42i2330559"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12</Pages>
  <Words>4648</Words>
  <Characters>26497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Chukwuka Elendu</dc:creator>
  <cp:keywords/>
  <dc:description/>
  <cp:lastModifiedBy>SDI 1158</cp:lastModifiedBy>
  <cp:revision>113</cp:revision>
  <dcterms:created xsi:type="dcterms:W3CDTF">2026-01-05T21:13:00Z</dcterms:created>
  <dcterms:modified xsi:type="dcterms:W3CDTF">2026-01-10T07:46:00Z</dcterms:modified>
</cp:coreProperties>
</file>