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74614" w14:textId="129C04D9" w:rsidR="00B33127" w:rsidRDefault="00B33127" w:rsidP="00AF547E">
      <w:pPr>
        <w:jc w:val="center"/>
        <w:rPr>
          <w:b/>
          <w:sz w:val="22"/>
        </w:rPr>
      </w:pPr>
      <w:r w:rsidRPr="009C3B43">
        <w:rPr>
          <w:b/>
          <w:sz w:val="22"/>
          <w:highlight w:val="yellow"/>
        </w:rPr>
        <w:t>A 3-YEAR RETROSPECTIVE STUDY ON THE INCIDENCE AND PATTERN OF KIDNEY STONES: A SINGLE CENTER EXPERIENCE</w:t>
      </w:r>
    </w:p>
    <w:p w14:paraId="2ECE4D3D" w14:textId="77777777" w:rsidR="009B61FA" w:rsidRDefault="009B61FA" w:rsidP="00F2032D">
      <w:pPr>
        <w:rPr>
          <w:b/>
          <w:bCs/>
        </w:rPr>
      </w:pPr>
    </w:p>
    <w:p w14:paraId="6DF03D6C" w14:textId="2DD3BB89" w:rsidR="00F2032D" w:rsidRPr="002F2D90" w:rsidRDefault="00F2032D" w:rsidP="00F2032D">
      <w:pPr>
        <w:rPr>
          <w:b/>
          <w:bCs/>
        </w:rPr>
      </w:pPr>
      <w:r w:rsidRPr="002F2D90">
        <w:rPr>
          <w:b/>
          <w:bCs/>
        </w:rPr>
        <w:t>ABSTRACT</w:t>
      </w:r>
    </w:p>
    <w:p w14:paraId="34714628" w14:textId="381B263F" w:rsidR="00AD04D6" w:rsidRPr="00AD04D6" w:rsidRDefault="00D212D4" w:rsidP="00AD04D6">
      <w:pPr>
        <w:spacing w:line="240" w:lineRule="auto"/>
        <w:rPr>
          <w:bCs/>
        </w:rPr>
      </w:pPr>
      <w:r w:rsidRPr="0020325F">
        <w:rPr>
          <w:b/>
          <w:bCs/>
          <w:highlight w:val="yellow"/>
        </w:rPr>
        <w:t>Background:</w:t>
      </w:r>
      <w:r w:rsidRPr="0020325F">
        <w:rPr>
          <w:bCs/>
          <w:highlight w:val="yellow"/>
        </w:rPr>
        <w:t xml:space="preserve"> </w:t>
      </w:r>
      <w:r w:rsidR="00AD04D6" w:rsidRPr="00AD04D6">
        <w:rPr>
          <w:bCs/>
        </w:rPr>
        <w:t xml:space="preserve">Kidney stones (nephrolithiasis) are a common urological condition causing significant morbidity worldwide. The prevalence and patterns of kidney stone occurrence are influenced by demographic and clinical factors, yet data on their distribution in specific populations, such as in Port Harcourt, Nigeria, remain </w:t>
      </w:r>
      <w:r w:rsidR="00AD04D6" w:rsidRPr="0020325F">
        <w:rPr>
          <w:bCs/>
          <w:highlight w:val="yellow"/>
        </w:rPr>
        <w:t xml:space="preserve">limited. </w:t>
      </w:r>
      <w:r w:rsidRPr="0020325F">
        <w:rPr>
          <w:b/>
          <w:bCs/>
          <w:highlight w:val="yellow"/>
        </w:rPr>
        <w:t>Aims</w:t>
      </w:r>
      <w:r w:rsidRPr="0020325F">
        <w:rPr>
          <w:bCs/>
          <w:highlight w:val="yellow"/>
        </w:rPr>
        <w:t xml:space="preserve">: </w:t>
      </w:r>
      <w:r w:rsidR="00AD04D6" w:rsidRPr="0020325F">
        <w:rPr>
          <w:bCs/>
          <w:highlight w:val="yellow"/>
        </w:rPr>
        <w:t>This</w:t>
      </w:r>
      <w:r w:rsidR="00AD04D6" w:rsidRPr="00AD04D6">
        <w:rPr>
          <w:bCs/>
        </w:rPr>
        <w:t xml:space="preserve"> study </w:t>
      </w:r>
      <w:r w:rsidR="00AD04D6" w:rsidRPr="006B3304">
        <w:rPr>
          <w:bCs/>
          <w:highlight w:val="yellow"/>
        </w:rPr>
        <w:t xml:space="preserve">aimed to </w:t>
      </w:r>
      <w:proofErr w:type="spellStart"/>
      <w:r w:rsidR="00811CED" w:rsidRPr="006B3304">
        <w:rPr>
          <w:bCs/>
          <w:highlight w:val="yellow"/>
        </w:rPr>
        <w:t>analyse</w:t>
      </w:r>
      <w:proofErr w:type="spellEnd"/>
      <w:r w:rsidR="00811CED" w:rsidRPr="006B3304">
        <w:rPr>
          <w:bCs/>
          <w:highlight w:val="yellow"/>
        </w:rPr>
        <w:t xml:space="preserve"> </w:t>
      </w:r>
      <w:r w:rsidR="00AD04D6" w:rsidRPr="006B3304">
        <w:rPr>
          <w:bCs/>
          <w:highlight w:val="yellow"/>
        </w:rPr>
        <w:t>the demographic and clinical patterns of kidney stone occurrence among patients at</w:t>
      </w:r>
      <w:r w:rsidR="00AD04D6" w:rsidRPr="00AD04D6">
        <w:rPr>
          <w:bCs/>
        </w:rPr>
        <w:t xml:space="preserve"> </w:t>
      </w:r>
      <w:proofErr w:type="spellStart"/>
      <w:r w:rsidR="00AD04D6" w:rsidRPr="00AD04D6">
        <w:rPr>
          <w:bCs/>
        </w:rPr>
        <w:t>SaveALife</w:t>
      </w:r>
      <w:proofErr w:type="spellEnd"/>
      <w:r w:rsidR="00AD04D6" w:rsidRPr="00AD04D6">
        <w:rPr>
          <w:bCs/>
        </w:rPr>
        <w:t xml:space="preserve"> Mission Hospital, Port Harcourt, over a three-year </w:t>
      </w:r>
      <w:r w:rsidR="00AD04D6" w:rsidRPr="0020325F">
        <w:rPr>
          <w:bCs/>
          <w:highlight w:val="yellow"/>
        </w:rPr>
        <w:t xml:space="preserve">period. </w:t>
      </w:r>
      <w:r w:rsidRPr="0020325F">
        <w:rPr>
          <w:b/>
          <w:bCs/>
          <w:highlight w:val="yellow"/>
        </w:rPr>
        <w:t>Method</w:t>
      </w:r>
      <w:r w:rsidRPr="0020325F">
        <w:rPr>
          <w:bCs/>
          <w:highlight w:val="yellow"/>
        </w:rPr>
        <w:t xml:space="preserve">: </w:t>
      </w:r>
      <w:r w:rsidR="00AD04D6" w:rsidRPr="0020325F">
        <w:rPr>
          <w:bCs/>
          <w:highlight w:val="yellow"/>
        </w:rPr>
        <w:t>A</w:t>
      </w:r>
      <w:r w:rsidR="00AD04D6" w:rsidRPr="00AD04D6">
        <w:rPr>
          <w:bCs/>
        </w:rPr>
        <w:t xml:space="preserve"> retrospective cohort study was conducted by </w:t>
      </w:r>
      <w:r w:rsidR="00AD04D6" w:rsidRPr="006B3304">
        <w:rPr>
          <w:bCs/>
          <w:highlight w:val="yellow"/>
        </w:rPr>
        <w:t xml:space="preserve">reviewing </w:t>
      </w:r>
      <w:r w:rsidR="00811CED" w:rsidRPr="006B3304">
        <w:rPr>
          <w:bCs/>
          <w:highlight w:val="yellow"/>
        </w:rPr>
        <w:t xml:space="preserve">the </w:t>
      </w:r>
      <w:r w:rsidR="00AD04D6" w:rsidRPr="006B3304">
        <w:rPr>
          <w:bCs/>
          <w:highlight w:val="yellow"/>
        </w:rPr>
        <w:t>m</w:t>
      </w:r>
      <w:r w:rsidR="00AD04D6" w:rsidRPr="00AD04D6">
        <w:rPr>
          <w:bCs/>
        </w:rPr>
        <w:t xml:space="preserve">edical records of 384 patients diagnosed with kidney stones </w:t>
      </w:r>
      <w:bookmarkStart w:id="0" w:name="_GoBack"/>
      <w:bookmarkEnd w:id="0"/>
      <w:r w:rsidR="00AD04D6" w:rsidRPr="00AD04D6">
        <w:rPr>
          <w:bCs/>
        </w:rPr>
        <w:t xml:space="preserve">between January 2021 and December 2023. Data on age, sex, number of stones, and side of occurrence were extracted from clinical and imaging records, including ultrasonography and computed tomography scans. Data </w:t>
      </w:r>
      <w:r w:rsidR="00AD04D6" w:rsidRPr="006B3304">
        <w:rPr>
          <w:bCs/>
          <w:highlight w:val="yellow"/>
        </w:rPr>
        <w:t xml:space="preserve">were </w:t>
      </w:r>
      <w:proofErr w:type="spellStart"/>
      <w:r w:rsidR="00811CED" w:rsidRPr="006B3304">
        <w:rPr>
          <w:bCs/>
          <w:highlight w:val="yellow"/>
        </w:rPr>
        <w:t>anonymised</w:t>
      </w:r>
      <w:proofErr w:type="spellEnd"/>
      <w:r w:rsidR="00811CED" w:rsidRPr="006B3304">
        <w:rPr>
          <w:bCs/>
          <w:highlight w:val="yellow"/>
        </w:rPr>
        <w:t xml:space="preserve"> </w:t>
      </w:r>
      <w:r w:rsidR="00AD04D6" w:rsidRPr="006B3304">
        <w:rPr>
          <w:bCs/>
          <w:highlight w:val="yellow"/>
        </w:rPr>
        <w:t xml:space="preserve">and </w:t>
      </w:r>
      <w:proofErr w:type="spellStart"/>
      <w:r w:rsidR="00811CED" w:rsidRPr="006B3304">
        <w:rPr>
          <w:bCs/>
          <w:highlight w:val="yellow"/>
        </w:rPr>
        <w:t>analysed</w:t>
      </w:r>
      <w:proofErr w:type="spellEnd"/>
      <w:r w:rsidR="00811CED" w:rsidRPr="006B3304">
        <w:rPr>
          <w:bCs/>
          <w:highlight w:val="yellow"/>
        </w:rPr>
        <w:t xml:space="preserve"> </w:t>
      </w:r>
      <w:r w:rsidR="00AD04D6" w:rsidRPr="006B3304">
        <w:rPr>
          <w:bCs/>
          <w:highlight w:val="yellow"/>
        </w:rPr>
        <w:t>using</w:t>
      </w:r>
      <w:r w:rsidR="00AD04D6" w:rsidRPr="00AD04D6">
        <w:rPr>
          <w:bCs/>
        </w:rPr>
        <w:t xml:space="preserve"> chi-square tests to assess associations between sex, age, and stone characteristics</w:t>
      </w:r>
      <w:r w:rsidR="00AD04D6" w:rsidRPr="0020325F">
        <w:rPr>
          <w:bCs/>
          <w:highlight w:val="yellow"/>
        </w:rPr>
        <w:t xml:space="preserve">. </w:t>
      </w:r>
      <w:r w:rsidR="005D6753" w:rsidRPr="0020325F">
        <w:rPr>
          <w:b/>
          <w:bCs/>
          <w:highlight w:val="yellow"/>
        </w:rPr>
        <w:t>Results</w:t>
      </w:r>
      <w:r w:rsidR="005D6753" w:rsidRPr="0020325F">
        <w:rPr>
          <w:bCs/>
          <w:highlight w:val="yellow"/>
        </w:rPr>
        <w:t xml:space="preserve">: </w:t>
      </w:r>
      <w:r w:rsidR="00AD04D6" w:rsidRPr="0020325F">
        <w:rPr>
          <w:bCs/>
          <w:highlight w:val="yellow"/>
        </w:rPr>
        <w:t>Fem</w:t>
      </w:r>
      <w:r w:rsidR="00AD04D6" w:rsidRPr="00AD04D6">
        <w:rPr>
          <w:bCs/>
        </w:rPr>
        <w:t>ales accounted for 62% of cases, while males comprised 38%. Most females presented with two stones, whereas most males had a single stone. Right-sided stones were the most prevalent (41%), followed by left-sided (35%) and bilateral stones (24%). The age group 20–39 years showed the highest prevalence (44%), with the lowest in children ≤12 years (2%). Chi-square analyses revealed no statistically significant associations between sex and number of stones (χ² = 2.99, p &gt; 0.05), sex and side of stones (χ² = 2.64, p &gt; 0.05), age group and number of stones (χ² = 6.16, p &gt; 0.05), or age group and side of stones (χ² = 3.06, p &gt; 0.</w:t>
      </w:r>
      <w:r w:rsidR="00AD04D6" w:rsidRPr="0020325F">
        <w:rPr>
          <w:bCs/>
          <w:highlight w:val="yellow"/>
        </w:rPr>
        <w:t xml:space="preserve">05). </w:t>
      </w:r>
      <w:r w:rsidR="005D6753" w:rsidRPr="0020325F">
        <w:rPr>
          <w:b/>
          <w:bCs/>
          <w:highlight w:val="yellow"/>
        </w:rPr>
        <w:t>Conclusion</w:t>
      </w:r>
      <w:r w:rsidR="005D6753" w:rsidRPr="0020325F">
        <w:rPr>
          <w:bCs/>
          <w:highlight w:val="yellow"/>
        </w:rPr>
        <w:t xml:space="preserve">: </w:t>
      </w:r>
      <w:r w:rsidR="00CF7CA3" w:rsidRPr="0020325F">
        <w:rPr>
          <w:bCs/>
          <w:highlight w:val="yellow"/>
        </w:rPr>
        <w:t>The s</w:t>
      </w:r>
      <w:r w:rsidR="00CF7CA3" w:rsidRPr="00CF7CA3">
        <w:rPr>
          <w:bCs/>
          <w:highlight w:val="yellow"/>
        </w:rPr>
        <w:t>tudy revealed that kidney stones were more prevalent in females (62%) than in males (38%), with females more frequently presenting with multiple stones, whereas males predominantly had a single stone.</w:t>
      </w:r>
      <w:r w:rsidR="00CF7CA3" w:rsidRPr="00CF7CA3">
        <w:rPr>
          <w:bCs/>
        </w:rPr>
        <w:t xml:space="preserve"> </w:t>
      </w:r>
      <w:r w:rsidR="00811CED" w:rsidRPr="006B3304">
        <w:rPr>
          <w:bCs/>
          <w:highlight w:val="yellow"/>
        </w:rPr>
        <w:t xml:space="preserve">While </w:t>
      </w:r>
      <w:r w:rsidR="00AD04D6" w:rsidRPr="006B3304">
        <w:rPr>
          <w:bCs/>
          <w:highlight w:val="yellow"/>
        </w:rPr>
        <w:t>females</w:t>
      </w:r>
      <w:r w:rsidR="00AD04D6" w:rsidRPr="00AD04D6">
        <w:rPr>
          <w:bCs/>
        </w:rPr>
        <w:t xml:space="preserve"> and young adults exhibited higher rates of kidney stones, the distribution by number and side was independent of sex and age. These findings highlight the need to explore additional clinical and environmental factors influencing kidney stone development in this population.</w:t>
      </w:r>
    </w:p>
    <w:p w14:paraId="789D31FD" w14:textId="77777777" w:rsidR="00AD04D6" w:rsidRDefault="00AD04D6" w:rsidP="00AD04D6">
      <w:pPr>
        <w:rPr>
          <w:b/>
          <w:bCs/>
        </w:rPr>
      </w:pPr>
    </w:p>
    <w:p w14:paraId="41939F5C" w14:textId="77777777" w:rsidR="00AD04D6" w:rsidRPr="00AD04D6" w:rsidRDefault="00AD04D6" w:rsidP="00AD04D6">
      <w:pPr>
        <w:rPr>
          <w:bCs/>
        </w:rPr>
      </w:pPr>
      <w:r>
        <w:rPr>
          <w:b/>
          <w:bCs/>
        </w:rPr>
        <w:t xml:space="preserve">Keywords: </w:t>
      </w:r>
      <w:r w:rsidRPr="00AD04D6">
        <w:rPr>
          <w:bCs/>
        </w:rPr>
        <w:t>Kidney stone, Urolithiasis Patterns, Port Harcourt.</w:t>
      </w:r>
    </w:p>
    <w:p w14:paraId="57556E5A" w14:textId="77777777" w:rsidR="00AD04D6" w:rsidRDefault="00AD04D6" w:rsidP="00F2032D">
      <w:pPr>
        <w:rPr>
          <w:b/>
          <w:bCs/>
        </w:rPr>
      </w:pPr>
    </w:p>
    <w:p w14:paraId="03775C0C" w14:textId="77777777" w:rsidR="00F2032D" w:rsidRDefault="00F2032D" w:rsidP="00F2032D">
      <w:pPr>
        <w:rPr>
          <w:b/>
          <w:bCs/>
        </w:rPr>
      </w:pPr>
    </w:p>
    <w:p w14:paraId="1512FAAD" w14:textId="77777777" w:rsidR="00AD04D6" w:rsidRDefault="00AD04D6" w:rsidP="00F2032D">
      <w:pPr>
        <w:rPr>
          <w:b/>
          <w:bCs/>
        </w:rPr>
      </w:pPr>
    </w:p>
    <w:p w14:paraId="142768CF" w14:textId="77777777" w:rsidR="00AD04D6" w:rsidRDefault="00AD04D6" w:rsidP="00F2032D">
      <w:pPr>
        <w:rPr>
          <w:b/>
          <w:bCs/>
        </w:rPr>
      </w:pPr>
    </w:p>
    <w:p w14:paraId="46EC9C40" w14:textId="77777777" w:rsidR="00AD04D6" w:rsidRDefault="00AD04D6" w:rsidP="00F2032D">
      <w:pPr>
        <w:rPr>
          <w:b/>
          <w:bCs/>
        </w:rPr>
      </w:pPr>
    </w:p>
    <w:p w14:paraId="7E330EED" w14:textId="77777777" w:rsidR="00AD04D6" w:rsidRDefault="00AD04D6" w:rsidP="00F2032D">
      <w:pPr>
        <w:rPr>
          <w:b/>
          <w:bCs/>
        </w:rPr>
      </w:pPr>
    </w:p>
    <w:p w14:paraId="07D08579" w14:textId="77777777" w:rsidR="00F2032D" w:rsidRPr="002F2D90" w:rsidRDefault="00F2032D" w:rsidP="005049D9">
      <w:pPr>
        <w:rPr>
          <w:b/>
          <w:bCs/>
        </w:rPr>
      </w:pPr>
      <w:r w:rsidRPr="002F2D90">
        <w:rPr>
          <w:b/>
          <w:bCs/>
        </w:rPr>
        <w:t>INTRODUCTION</w:t>
      </w:r>
    </w:p>
    <w:p w14:paraId="16CA5D7D" w14:textId="4EB48C06" w:rsidR="006A7A8E" w:rsidRDefault="005049D9" w:rsidP="005049D9">
      <w:r w:rsidRPr="005049D9">
        <w:t>Kidney stones, medically referred to as nephrolithiasis or urolithiasis, are crystalline aggregates that form within the urinary system, representing one of the most common and painful urological conditions worldwide. They cause severe pain, hematuria, and, in some cases, urinary obstruction or kidney damage (Moe, 2006). These stones arise from the supersaturation of urinary solutes such as calcium, oxalate, or uric acid, which precipitate to form solid masses (Lieske et al., 2014). The global prevalence of kidney stones has steadily increased, driven by modern dietary habits, sedentary lifestyles, and climate-related factors (Scales et al., 2012).</w:t>
      </w:r>
      <w:r w:rsidR="001B086F">
        <w:t xml:space="preserve"> </w:t>
      </w:r>
      <w:r w:rsidR="0086311A" w:rsidRPr="0086311A">
        <w:rPr>
          <w:highlight w:val="yellow"/>
        </w:rPr>
        <w:t xml:space="preserve">The epidemiology of </w:t>
      </w:r>
      <w:r w:rsidR="00796A3C" w:rsidRPr="00796A3C">
        <w:t>Kidney stones</w:t>
      </w:r>
      <w:r w:rsidR="0086311A" w:rsidRPr="0086311A">
        <w:rPr>
          <w:highlight w:val="yellow"/>
        </w:rPr>
        <w:t xml:space="preserve"> presents with global variations that depend on geographic, socio-economic, and climate factors. Moreover, age, sex, race, and diet affect the prevalence and incidence of the disease</w:t>
      </w:r>
      <w:r w:rsidR="00335E39">
        <w:rPr>
          <w:highlight w:val="yellow"/>
        </w:rPr>
        <w:t xml:space="preserve"> (</w:t>
      </w:r>
      <w:proofErr w:type="spellStart"/>
      <w:r w:rsidR="00335E39" w:rsidRPr="00335E39">
        <w:t>Stamatelou</w:t>
      </w:r>
      <w:proofErr w:type="spellEnd"/>
      <w:r w:rsidR="00335E39">
        <w:t xml:space="preserve"> </w:t>
      </w:r>
      <w:r w:rsidR="00335E39" w:rsidRPr="00335E39">
        <w:t xml:space="preserve">&amp; Goldfarb, </w:t>
      </w:r>
      <w:r w:rsidR="00335E39">
        <w:t>2023</w:t>
      </w:r>
      <w:r w:rsidR="00176D30">
        <w:t xml:space="preserve">; </w:t>
      </w:r>
      <w:proofErr w:type="spellStart"/>
      <w:r w:rsidR="00176D30" w:rsidRPr="00176D30">
        <w:t>Bargagli</w:t>
      </w:r>
      <w:proofErr w:type="spellEnd"/>
      <w:r w:rsidR="00176D30">
        <w:t xml:space="preserve"> et al., 2025</w:t>
      </w:r>
      <w:r w:rsidR="00335E39">
        <w:t>)</w:t>
      </w:r>
      <w:r w:rsidR="0086311A" w:rsidRPr="0086311A">
        <w:rPr>
          <w:highlight w:val="yellow"/>
        </w:rPr>
        <w:t xml:space="preserve">. </w:t>
      </w:r>
      <w:r w:rsidR="001B086F" w:rsidRPr="001A076F">
        <w:rPr>
          <w:highlight w:val="yellow"/>
        </w:rPr>
        <w:t>Among the</w:t>
      </w:r>
      <w:r w:rsidR="001A076F">
        <w:rPr>
          <w:highlight w:val="yellow"/>
        </w:rPr>
        <w:t xml:space="preserve"> </w:t>
      </w:r>
      <w:r w:rsidR="001B086F" w:rsidRPr="001A076F">
        <w:rPr>
          <w:highlight w:val="yellow"/>
        </w:rPr>
        <w:t>people, men are more prone to kidney stones than</w:t>
      </w:r>
      <w:r w:rsidR="001A076F">
        <w:rPr>
          <w:highlight w:val="yellow"/>
        </w:rPr>
        <w:t xml:space="preserve"> </w:t>
      </w:r>
      <w:r w:rsidR="001B086F" w:rsidRPr="001A076F">
        <w:rPr>
          <w:highlight w:val="yellow"/>
        </w:rPr>
        <w:t>women.</w:t>
      </w:r>
      <w:r w:rsidR="006A7A8E">
        <w:rPr>
          <w:highlight w:val="yellow"/>
        </w:rPr>
        <w:t xml:space="preserve"> </w:t>
      </w:r>
      <w:r w:rsidR="006A7A8E" w:rsidRPr="001751C7">
        <w:rPr>
          <w:highlight w:val="yellow"/>
        </w:rPr>
        <w:t xml:space="preserve">Geographical factors like climate, increased rates of hypertension, diabetes, obesity, gender, </w:t>
      </w:r>
      <w:r w:rsidR="00811CED">
        <w:rPr>
          <w:highlight w:val="yellow"/>
        </w:rPr>
        <w:t xml:space="preserve">and </w:t>
      </w:r>
      <w:r w:rsidR="006A7A8E" w:rsidRPr="001751C7">
        <w:rPr>
          <w:highlight w:val="yellow"/>
        </w:rPr>
        <w:t>diet habits</w:t>
      </w:r>
      <w:r w:rsidR="001751C7">
        <w:rPr>
          <w:highlight w:val="yellow"/>
        </w:rPr>
        <w:t xml:space="preserve"> </w:t>
      </w:r>
      <w:r w:rsidR="000B08F0" w:rsidRPr="001751C7">
        <w:rPr>
          <w:highlight w:val="yellow"/>
        </w:rPr>
        <w:t>increase</w:t>
      </w:r>
      <w:r w:rsidR="006A7A8E" w:rsidRPr="001751C7">
        <w:rPr>
          <w:highlight w:val="yellow"/>
        </w:rPr>
        <w:t xml:space="preserve"> the risk of nephrolithiasis and </w:t>
      </w:r>
      <w:r w:rsidR="00811CED">
        <w:rPr>
          <w:highlight w:val="yellow"/>
        </w:rPr>
        <w:t xml:space="preserve">are </w:t>
      </w:r>
      <w:r w:rsidR="006A7A8E" w:rsidRPr="001751C7">
        <w:rPr>
          <w:highlight w:val="yellow"/>
        </w:rPr>
        <w:t>also linked to increased stone formation</w:t>
      </w:r>
      <w:r w:rsidR="00106CE8">
        <w:rPr>
          <w:highlight w:val="yellow"/>
        </w:rPr>
        <w:t xml:space="preserve"> (</w:t>
      </w:r>
      <w:r w:rsidR="00106CE8" w:rsidRPr="00106CE8">
        <w:t>Sunitha</w:t>
      </w:r>
      <w:r w:rsidR="00106CE8">
        <w:t xml:space="preserve"> et al., 2018</w:t>
      </w:r>
      <w:r w:rsidR="0006269E">
        <w:t xml:space="preserve">; </w:t>
      </w:r>
      <w:r w:rsidR="0006269E" w:rsidRPr="0006269E">
        <w:t>Anwar</w:t>
      </w:r>
      <w:r w:rsidR="0006269E">
        <w:t>, 2024</w:t>
      </w:r>
      <w:r w:rsidR="00106CE8">
        <w:t>)</w:t>
      </w:r>
      <w:r w:rsidR="006A7A8E" w:rsidRPr="001751C7">
        <w:rPr>
          <w:highlight w:val="yellow"/>
        </w:rPr>
        <w:t>.</w:t>
      </w:r>
      <w:r w:rsidR="00001C94" w:rsidRPr="00001C94">
        <w:t xml:space="preserve"> </w:t>
      </w:r>
    </w:p>
    <w:p w14:paraId="538D1568" w14:textId="5E5782DE" w:rsidR="0094782C" w:rsidRDefault="00874865" w:rsidP="005049D9">
      <w:r w:rsidRPr="00ED3E04">
        <w:rPr>
          <w:highlight w:val="yellow"/>
        </w:rPr>
        <w:t>There are mainly five types of kidney stones according to the mineralogical composition, including calcium oxalate (</w:t>
      </w:r>
      <w:proofErr w:type="spellStart"/>
      <w:r w:rsidRPr="00ED3E04">
        <w:rPr>
          <w:highlight w:val="yellow"/>
        </w:rPr>
        <w:t>CaOx</w:t>
      </w:r>
      <w:proofErr w:type="spellEnd"/>
      <w:r w:rsidRPr="00ED3E04">
        <w:rPr>
          <w:highlight w:val="yellow"/>
        </w:rPr>
        <w:t xml:space="preserve">; 65.9%), </w:t>
      </w:r>
      <w:proofErr w:type="spellStart"/>
      <w:r w:rsidRPr="00ED3E04">
        <w:rPr>
          <w:highlight w:val="yellow"/>
        </w:rPr>
        <w:t>carbapatite</w:t>
      </w:r>
      <w:proofErr w:type="spellEnd"/>
      <w:r w:rsidRPr="00ED3E04">
        <w:rPr>
          <w:highlight w:val="yellow"/>
        </w:rPr>
        <w:t xml:space="preserve"> (15.6%), urate (12.4%), struvite [(magnesium ammonium phosphate), 2.7%], brushite (1.7%) </w:t>
      </w:r>
      <w:r w:rsidR="00E67D50">
        <w:rPr>
          <w:highlight w:val="yellow"/>
        </w:rPr>
        <w:t>(</w:t>
      </w:r>
      <w:r w:rsidR="00E67D50" w:rsidRPr="00E67D50">
        <w:t>Ye</w:t>
      </w:r>
      <w:r w:rsidR="00E67D50">
        <w:t xml:space="preserve"> et al., 2020</w:t>
      </w:r>
      <w:r w:rsidR="001F1691">
        <w:t xml:space="preserve">; </w:t>
      </w:r>
      <w:r w:rsidR="001F1691" w:rsidRPr="001F1691">
        <w:t>Shastri</w:t>
      </w:r>
      <w:r w:rsidR="001F1691">
        <w:t xml:space="preserve"> et al., 2023</w:t>
      </w:r>
      <w:r w:rsidR="00E67D50">
        <w:t>)</w:t>
      </w:r>
      <w:r w:rsidRPr="00ED3E04">
        <w:rPr>
          <w:highlight w:val="yellow"/>
        </w:rPr>
        <w:t xml:space="preserve">. </w:t>
      </w:r>
      <w:r w:rsidR="00ED3E04" w:rsidRPr="00ED3E04">
        <w:rPr>
          <w:highlight w:val="yellow"/>
        </w:rPr>
        <w:t xml:space="preserve"> Kidney stones can be broadly categorized into calcareous (calcium containing) stones and non-calcareous stones</w:t>
      </w:r>
      <w:r w:rsidR="00F667DC">
        <w:rPr>
          <w:highlight w:val="yellow"/>
        </w:rPr>
        <w:t xml:space="preserve"> (</w:t>
      </w:r>
      <w:r w:rsidR="00F667DC" w:rsidRPr="00F667DC">
        <w:t>Wang</w:t>
      </w:r>
      <w:r w:rsidR="00F667DC">
        <w:t xml:space="preserve"> et al., 2021)</w:t>
      </w:r>
      <w:r w:rsidR="00ED3E04" w:rsidRPr="00ED3E04">
        <w:rPr>
          <w:highlight w:val="yellow"/>
        </w:rPr>
        <w:t>.</w:t>
      </w:r>
      <w:r w:rsidR="00ED3E04" w:rsidRPr="00ED3E04">
        <w:t xml:space="preserve"> </w:t>
      </w:r>
    </w:p>
    <w:p w14:paraId="5A876E99" w14:textId="77D578ED" w:rsidR="005049D9" w:rsidRPr="005049D9" w:rsidRDefault="005049D9" w:rsidP="005049D9">
      <w:r w:rsidRPr="005049D9">
        <w:t xml:space="preserve">The impact of kidney stones extends beyond individual suffering, imposing substantial economic and healthcare burdens. In the United States, for instance, kidney stones affect approximately 1 in </w:t>
      </w:r>
      <w:r w:rsidRPr="005049D9">
        <w:lastRenderedPageBreak/>
        <w:t>11 people, with annual costs for diagnosis and treatment exceeding $5 billion (Pearle et al., 2014). Developing countries, including Nigeria, face similar challenges, compounded by limited healthcare resources and rising prevalence linked to dietary shifts toward processed foods, inadequate hydration, and hot climates (Tasian &amp; Ross, 2017).</w:t>
      </w:r>
    </w:p>
    <w:p w14:paraId="18AAB8A1" w14:textId="0FA26576" w:rsidR="005049D9" w:rsidRPr="005049D9" w:rsidRDefault="005049D9" w:rsidP="005049D9">
      <w:r w:rsidRPr="005049D9">
        <w:t xml:space="preserve">Historically, kidney stones were considered rare in Africa, particularly Nigeria, due to diets rich in </w:t>
      </w:r>
      <w:proofErr w:type="spellStart"/>
      <w:r w:rsidR="00811CED" w:rsidRPr="006B3304">
        <w:rPr>
          <w:highlight w:val="yellow"/>
        </w:rPr>
        <w:t>fibre</w:t>
      </w:r>
      <w:proofErr w:type="spellEnd"/>
      <w:r w:rsidR="00811CED" w:rsidRPr="006B3304">
        <w:rPr>
          <w:highlight w:val="yellow"/>
        </w:rPr>
        <w:t xml:space="preserve"> </w:t>
      </w:r>
      <w:r w:rsidRPr="006B3304">
        <w:rPr>
          <w:highlight w:val="yellow"/>
        </w:rPr>
        <w:t xml:space="preserve">and low in animal protein and sodium. Recent studies, however, indicate a rising incidence associated with </w:t>
      </w:r>
      <w:proofErr w:type="spellStart"/>
      <w:r w:rsidR="00811CED" w:rsidRPr="006B3304">
        <w:rPr>
          <w:highlight w:val="yellow"/>
        </w:rPr>
        <w:t>urbanisation</w:t>
      </w:r>
      <w:proofErr w:type="spellEnd"/>
      <w:r w:rsidRPr="006B3304">
        <w:rPr>
          <w:highlight w:val="yellow"/>
        </w:rPr>
        <w:t xml:space="preserve">, lifestyle changes, and dietary </w:t>
      </w:r>
      <w:proofErr w:type="spellStart"/>
      <w:r w:rsidR="00811CED" w:rsidRPr="006B3304">
        <w:rPr>
          <w:highlight w:val="yellow"/>
        </w:rPr>
        <w:t>westernisation</w:t>
      </w:r>
      <w:proofErr w:type="spellEnd"/>
      <w:r w:rsidR="00811CED" w:rsidRPr="006B3304">
        <w:rPr>
          <w:highlight w:val="yellow"/>
        </w:rPr>
        <w:t xml:space="preserve"> </w:t>
      </w:r>
      <w:r w:rsidRPr="006B3304">
        <w:rPr>
          <w:highlight w:val="yellow"/>
        </w:rPr>
        <w:t>(</w:t>
      </w:r>
      <w:proofErr w:type="spellStart"/>
      <w:r w:rsidRPr="006B3304">
        <w:rPr>
          <w:highlight w:val="yellow"/>
        </w:rPr>
        <w:t>Olufunmilade</w:t>
      </w:r>
      <w:proofErr w:type="spellEnd"/>
      <w:r w:rsidRPr="006B3304">
        <w:rPr>
          <w:highlight w:val="yellow"/>
        </w:rPr>
        <w:t xml:space="preserve"> et al., 2019). Port Harcourt, a densely populated southern Nigerian city with access to tertiary healthcare facilities, offers a relevant setting to investigate</w:t>
      </w:r>
      <w:r w:rsidRPr="005049D9">
        <w:t xml:space="preserve"> contemporary trends in kidney stone disease.</w:t>
      </w:r>
    </w:p>
    <w:p w14:paraId="6879B22E" w14:textId="641B1CDB" w:rsidR="005049D9" w:rsidRPr="005049D9" w:rsidRDefault="005049D9" w:rsidP="005049D9">
      <w:r w:rsidRPr="005049D9">
        <w:t>Given the significant morbidities associated w</w:t>
      </w:r>
      <w:r>
        <w:t xml:space="preserve">ith kidney stones, </w:t>
      </w:r>
      <w:r w:rsidRPr="005049D9">
        <w:t>including colicky flank pain, hematuria, urinary tract</w:t>
      </w:r>
      <w:r>
        <w:t xml:space="preserve"> infections, and kidney failure </w:t>
      </w:r>
      <w:r w:rsidRPr="005049D9">
        <w:t xml:space="preserve">and the limited data on their prevalence in </w:t>
      </w:r>
      <w:r w:rsidRPr="006B3304">
        <w:rPr>
          <w:highlight w:val="yellow"/>
        </w:rPr>
        <w:t xml:space="preserve">specific populations, this study seeks to fill this knowledge gap. Specifically, it aims to </w:t>
      </w:r>
      <w:proofErr w:type="spellStart"/>
      <w:r w:rsidR="00811CED" w:rsidRPr="006B3304">
        <w:rPr>
          <w:highlight w:val="yellow"/>
        </w:rPr>
        <w:t>analyse</w:t>
      </w:r>
      <w:proofErr w:type="spellEnd"/>
      <w:r w:rsidR="00811CED" w:rsidRPr="006B3304">
        <w:rPr>
          <w:highlight w:val="yellow"/>
        </w:rPr>
        <w:t xml:space="preserve"> </w:t>
      </w:r>
      <w:r w:rsidRPr="006B3304">
        <w:rPr>
          <w:highlight w:val="yellow"/>
        </w:rPr>
        <w:t>the incidence and patterns of kidney stone occu</w:t>
      </w:r>
      <w:r w:rsidRPr="005049D9">
        <w:t xml:space="preserve">rrence over three years at </w:t>
      </w:r>
      <w:proofErr w:type="spellStart"/>
      <w:r w:rsidRPr="005049D9">
        <w:t>S</w:t>
      </w:r>
      <w:r w:rsidRPr="006B3304">
        <w:rPr>
          <w:highlight w:val="yellow"/>
        </w:rPr>
        <w:t>aveALife</w:t>
      </w:r>
      <w:proofErr w:type="spellEnd"/>
      <w:r w:rsidRPr="005049D9">
        <w:t xml:space="preserve"> Mission Hospital, Port Harcourt.</w:t>
      </w:r>
    </w:p>
    <w:p w14:paraId="1FB589AC" w14:textId="77777777" w:rsidR="00F2032D" w:rsidRPr="002F2D90" w:rsidRDefault="00F2032D" w:rsidP="005049D9">
      <w:pPr>
        <w:rPr>
          <w:b/>
          <w:bCs/>
        </w:rPr>
      </w:pPr>
      <w:r w:rsidRPr="002F2D90">
        <w:rPr>
          <w:b/>
          <w:bCs/>
        </w:rPr>
        <w:t>MATERIALS AND METHODS</w:t>
      </w:r>
    </w:p>
    <w:p w14:paraId="126F41BC" w14:textId="77777777" w:rsidR="00F2032D" w:rsidRPr="002F2D90" w:rsidRDefault="00F2032D" w:rsidP="00F2032D">
      <w:pPr>
        <w:rPr>
          <w:b/>
          <w:bCs/>
        </w:rPr>
      </w:pPr>
      <w:r w:rsidRPr="002F2D90">
        <w:rPr>
          <w:b/>
          <w:bCs/>
        </w:rPr>
        <w:t>Study Design</w:t>
      </w:r>
    </w:p>
    <w:p w14:paraId="51399041" w14:textId="7F2EF836" w:rsidR="005049D9" w:rsidRDefault="005049D9" w:rsidP="00F2032D">
      <w:r w:rsidRPr="005049D9">
        <w:t xml:space="preserve">This study employed a retrospective cohort design to review medical records of patients diagnosed with kidney stones at </w:t>
      </w:r>
      <w:proofErr w:type="spellStart"/>
      <w:r w:rsidRPr="005049D9">
        <w:t>SaveALife</w:t>
      </w:r>
      <w:proofErr w:type="spellEnd"/>
      <w:r w:rsidRPr="005049D9">
        <w:t xml:space="preserve"> Mission Hospital, Port Harcourt. This approach enabled the assessment of kidney stone trends over a three-year period (January 2021 to December 2023) and facilitated </w:t>
      </w:r>
      <w:r w:rsidRPr="006B3304">
        <w:rPr>
          <w:highlight w:val="yellow"/>
        </w:rPr>
        <w:t xml:space="preserve">the </w:t>
      </w:r>
      <w:proofErr w:type="spellStart"/>
      <w:r w:rsidR="00811CED" w:rsidRPr="006B3304">
        <w:rPr>
          <w:highlight w:val="yellow"/>
        </w:rPr>
        <w:t>characterisation</w:t>
      </w:r>
      <w:proofErr w:type="spellEnd"/>
      <w:r w:rsidR="00811CED" w:rsidRPr="006B3304">
        <w:rPr>
          <w:highlight w:val="yellow"/>
        </w:rPr>
        <w:t xml:space="preserve"> </w:t>
      </w:r>
      <w:r w:rsidRPr="006B3304">
        <w:rPr>
          <w:highlight w:val="yellow"/>
        </w:rPr>
        <w:t>of associated</w:t>
      </w:r>
      <w:r w:rsidRPr="005049D9">
        <w:t xml:space="preserve"> demographic and clinical patterns.</w:t>
      </w:r>
    </w:p>
    <w:p w14:paraId="285FE7FB" w14:textId="77777777" w:rsidR="00F2032D" w:rsidRPr="002F2D90" w:rsidRDefault="00F2032D" w:rsidP="00F2032D">
      <w:pPr>
        <w:rPr>
          <w:b/>
          <w:bCs/>
        </w:rPr>
      </w:pPr>
      <w:r w:rsidRPr="002F2D90">
        <w:rPr>
          <w:b/>
          <w:bCs/>
        </w:rPr>
        <w:t>Study Area</w:t>
      </w:r>
      <w:r w:rsidR="005049D9">
        <w:rPr>
          <w:b/>
          <w:bCs/>
        </w:rPr>
        <w:t xml:space="preserve"> and Population</w:t>
      </w:r>
    </w:p>
    <w:p w14:paraId="02533DE9" w14:textId="26352612" w:rsidR="005049D9" w:rsidRPr="005049D9" w:rsidRDefault="005049D9" w:rsidP="005049D9">
      <w:proofErr w:type="spellStart"/>
      <w:r w:rsidRPr="005049D9">
        <w:lastRenderedPageBreak/>
        <w:t>SaveALife</w:t>
      </w:r>
      <w:proofErr w:type="spellEnd"/>
      <w:r w:rsidRPr="005049D9">
        <w:t xml:space="preserve"> Mission Hospital, a tertiary healthcare institution in Port Harcourt, Rivers State, Nigeria, provides comprehensive diagnostic and therapeutic services for urological disorders, including nephrolithiasis. The </w:t>
      </w:r>
      <w:proofErr w:type="spellStart"/>
      <w:r w:rsidR="00811CED" w:rsidRPr="006B3304">
        <w:rPr>
          <w:highlight w:val="yellow"/>
        </w:rPr>
        <w:t>urbanisation</w:t>
      </w:r>
      <w:proofErr w:type="spellEnd"/>
      <w:r w:rsidR="00811CED" w:rsidRPr="006B3304">
        <w:rPr>
          <w:highlight w:val="yellow"/>
        </w:rPr>
        <w:t xml:space="preserve"> </w:t>
      </w:r>
      <w:r w:rsidRPr="006B3304">
        <w:rPr>
          <w:highlight w:val="yellow"/>
        </w:rPr>
        <w:t>and industri</w:t>
      </w:r>
      <w:r w:rsidRPr="005049D9">
        <w:t xml:space="preserve">al growth of Port Harcourt create a pertinent context for investigating the impact of lifestyle and environmental factors on kidney stone prevalence. This study </w:t>
      </w:r>
      <w:r w:rsidRPr="006B3304">
        <w:rPr>
          <w:highlight w:val="yellow"/>
        </w:rPr>
        <w:t xml:space="preserve">retrospectively </w:t>
      </w:r>
      <w:proofErr w:type="spellStart"/>
      <w:r w:rsidR="00811CED" w:rsidRPr="006B3304">
        <w:rPr>
          <w:highlight w:val="yellow"/>
        </w:rPr>
        <w:t>analysed</w:t>
      </w:r>
      <w:proofErr w:type="spellEnd"/>
      <w:r w:rsidR="00811CED" w:rsidRPr="006B3304">
        <w:rPr>
          <w:highlight w:val="yellow"/>
        </w:rPr>
        <w:t xml:space="preserve"> </w:t>
      </w:r>
      <w:r w:rsidRPr="006B3304">
        <w:rPr>
          <w:highlight w:val="yellow"/>
        </w:rPr>
        <w:t>records o</w:t>
      </w:r>
      <w:r w:rsidRPr="005049D9">
        <w:t>f 386 patients diagnosed with kidney stones between January 2021 and December 2023. Diagnoses were established through clinical assessment</w:t>
      </w:r>
      <w:r w:rsidR="00811CED">
        <w:t>,</w:t>
      </w:r>
      <w:r w:rsidRPr="005049D9">
        <w:t xml:space="preserve"> corroborated by imaging studies, including ultrasonography and computed tomography (CT) scans.</w:t>
      </w:r>
    </w:p>
    <w:p w14:paraId="4E7AD030" w14:textId="77777777" w:rsidR="00F2032D" w:rsidRPr="002F2D90" w:rsidRDefault="00643FCF" w:rsidP="00F2032D">
      <w:pPr>
        <w:rPr>
          <w:b/>
          <w:bCs/>
        </w:rPr>
      </w:pPr>
      <w:r>
        <w:rPr>
          <w:b/>
          <w:bCs/>
        </w:rPr>
        <w:t>Selection</w:t>
      </w:r>
      <w:r w:rsidR="00F2032D" w:rsidRPr="002F2D90">
        <w:rPr>
          <w:b/>
          <w:bCs/>
        </w:rPr>
        <w:t xml:space="preserve"> Criteria</w:t>
      </w:r>
    </w:p>
    <w:p w14:paraId="58919249" w14:textId="77777777" w:rsidR="00643FCF" w:rsidRPr="00643FCF" w:rsidRDefault="00643FCF" w:rsidP="00F2032D">
      <w:pPr>
        <w:rPr>
          <w:bCs/>
        </w:rPr>
      </w:pPr>
      <w:r w:rsidRPr="00643FCF">
        <w:rPr>
          <w:bCs/>
        </w:rPr>
        <w:t>Patients included in the study were those with a confirmed diagnosis of kidney stones during the study period and with complete medical records encompassing demographic and clinical information. Patients with incomplete or missing records, as well as those diagnosed with other urinary tract conditions without kidney stones, were excluded.</w:t>
      </w:r>
    </w:p>
    <w:p w14:paraId="63A5EAFC" w14:textId="77777777" w:rsidR="00F2032D" w:rsidRPr="002F2D90" w:rsidRDefault="00F2032D" w:rsidP="00F2032D">
      <w:pPr>
        <w:rPr>
          <w:b/>
          <w:bCs/>
        </w:rPr>
      </w:pPr>
      <w:r w:rsidRPr="002F2D90">
        <w:rPr>
          <w:b/>
          <w:bCs/>
        </w:rPr>
        <w:t>Data Collection</w:t>
      </w:r>
    </w:p>
    <w:p w14:paraId="6F34B809" w14:textId="60025967" w:rsidR="00677463" w:rsidRDefault="00677463" w:rsidP="00F2032D">
      <w:r w:rsidRPr="00677463">
        <w:t xml:space="preserve">Data were extracted from hospital medical records and included demographic variables (age and sex), clinical characteristics (number of stones and side of occurrence: left, right, or bilateral), and diagnostic findings from imaging studies, including stone size and location. All data were </w:t>
      </w:r>
      <w:proofErr w:type="spellStart"/>
      <w:r w:rsidR="00811CED" w:rsidRPr="006B3304">
        <w:rPr>
          <w:highlight w:val="yellow"/>
        </w:rPr>
        <w:t>anonymised</w:t>
      </w:r>
      <w:proofErr w:type="spellEnd"/>
      <w:r w:rsidR="00811CED" w:rsidRPr="006B3304">
        <w:rPr>
          <w:highlight w:val="yellow"/>
        </w:rPr>
        <w:t xml:space="preserve"> </w:t>
      </w:r>
      <w:r w:rsidRPr="006B3304">
        <w:rPr>
          <w:highlight w:val="yellow"/>
        </w:rPr>
        <w:t>to ensure patient confi</w:t>
      </w:r>
      <w:r w:rsidRPr="00677463">
        <w:t>dentiality and coded for subsequent statistical analysis.</w:t>
      </w:r>
    </w:p>
    <w:p w14:paraId="54852016" w14:textId="77777777" w:rsidR="00F2032D" w:rsidRPr="00AD04D6" w:rsidRDefault="00F2032D" w:rsidP="00F2032D">
      <w:pPr>
        <w:rPr>
          <w:b/>
          <w:bCs/>
        </w:rPr>
      </w:pPr>
      <w:r w:rsidRPr="00AD04D6">
        <w:rPr>
          <w:b/>
          <w:bCs/>
        </w:rPr>
        <w:t>Statistical Analysis</w:t>
      </w:r>
    </w:p>
    <w:p w14:paraId="122CDEB6" w14:textId="6BE7B4DB" w:rsidR="00AD04D6" w:rsidRPr="00AD04D6" w:rsidRDefault="00AD04D6" w:rsidP="00E72502">
      <w:r w:rsidRPr="00AD04D6">
        <w:t xml:space="preserve">The extracted data were </w:t>
      </w:r>
      <w:r w:rsidRPr="006B3304">
        <w:rPr>
          <w:highlight w:val="yellow"/>
        </w:rPr>
        <w:t xml:space="preserve">entered and </w:t>
      </w:r>
      <w:proofErr w:type="spellStart"/>
      <w:r w:rsidR="00811CED" w:rsidRPr="006B3304">
        <w:rPr>
          <w:highlight w:val="yellow"/>
        </w:rPr>
        <w:t>analysed</w:t>
      </w:r>
      <w:proofErr w:type="spellEnd"/>
      <w:r w:rsidR="00811CED" w:rsidRPr="006B3304">
        <w:rPr>
          <w:highlight w:val="yellow"/>
        </w:rPr>
        <w:t xml:space="preserve"> </w:t>
      </w:r>
      <w:r w:rsidRPr="006B3304">
        <w:rPr>
          <w:highlight w:val="yellow"/>
        </w:rPr>
        <w:t xml:space="preserve">using </w:t>
      </w:r>
      <w:r w:rsidRPr="006B3304">
        <w:rPr>
          <w:bCs/>
          <w:highlight w:val="yellow"/>
        </w:rPr>
        <w:t>Statist</w:t>
      </w:r>
      <w:r w:rsidRPr="00AD04D6">
        <w:rPr>
          <w:bCs/>
        </w:rPr>
        <w:t>ical Package for the Social Sciences (SPSS) version 25.0</w:t>
      </w:r>
      <w:r w:rsidRPr="00AD04D6">
        <w:t xml:space="preserve">. Descriptive statistics, including frequencies and percentages, were </w:t>
      </w:r>
      <w:r w:rsidRPr="006B3304">
        <w:rPr>
          <w:highlight w:val="yellow"/>
        </w:rPr>
        <w:t xml:space="preserve">calculated to </w:t>
      </w:r>
      <w:proofErr w:type="spellStart"/>
      <w:r w:rsidR="00811CED" w:rsidRPr="006B3304">
        <w:rPr>
          <w:highlight w:val="yellow"/>
        </w:rPr>
        <w:t>summarise</w:t>
      </w:r>
      <w:proofErr w:type="spellEnd"/>
      <w:r w:rsidR="00811CED" w:rsidRPr="00AD04D6">
        <w:t xml:space="preserve"> </w:t>
      </w:r>
      <w:r w:rsidRPr="00AD04D6">
        <w:t xml:space="preserve">categorical variables such as sex, age group, number of stones, and side of occurrence. </w:t>
      </w:r>
      <w:r w:rsidRPr="00AD04D6">
        <w:rPr>
          <w:bCs/>
        </w:rPr>
        <w:t>Chi-square (χ²) tests of independence</w:t>
      </w:r>
      <w:r w:rsidRPr="00AD04D6">
        <w:t xml:space="preserve"> were performed to evaluate potential </w:t>
      </w:r>
      <w:r w:rsidRPr="00AD04D6">
        <w:lastRenderedPageBreak/>
        <w:t xml:space="preserve">associations between sex and number of kidney stones, sex and side of occurrence, and age group and number or side of stones. Statistical significance was determined at a </w:t>
      </w:r>
      <w:r w:rsidRPr="00AD04D6">
        <w:rPr>
          <w:bCs/>
        </w:rPr>
        <w:t>p-value of less than 0.05 (p &lt; 0.05)</w:t>
      </w:r>
      <w:r w:rsidRPr="00AD04D6">
        <w:t xml:space="preserve">. </w:t>
      </w:r>
    </w:p>
    <w:p w14:paraId="5E68A31D" w14:textId="1A4385B7" w:rsidR="00F2032D" w:rsidRPr="002F2D90" w:rsidRDefault="00F2032D" w:rsidP="00E72502">
      <w:pPr>
        <w:rPr>
          <w:b/>
          <w:bCs/>
        </w:rPr>
      </w:pPr>
      <w:r w:rsidRPr="00EE0ECF">
        <w:rPr>
          <w:b/>
          <w:bCs/>
          <w:highlight w:val="yellow"/>
        </w:rPr>
        <w:t>RESULTS</w:t>
      </w:r>
      <w:r w:rsidR="00EE0ECF" w:rsidRPr="00EE0ECF">
        <w:rPr>
          <w:b/>
          <w:bCs/>
          <w:highlight w:val="yellow"/>
        </w:rPr>
        <w:t xml:space="preserve"> AND DISCUSSION</w:t>
      </w:r>
    </w:p>
    <w:p w14:paraId="6F4675CF" w14:textId="77777777" w:rsidR="00E42CF5" w:rsidRDefault="00F2032D" w:rsidP="00F2032D">
      <w:r w:rsidRPr="002F2D90">
        <w:t>Out of the 384 patients, females accounted for a higher percentage of kidney stone cases (62%) compared to males (38%). The majority of females presented with two stones, while most mal</w:t>
      </w:r>
      <w:r w:rsidR="004C58DA">
        <w:t xml:space="preserve">es had a single stone. </w:t>
      </w:r>
    </w:p>
    <w:p w14:paraId="7D228413" w14:textId="77777777" w:rsidR="00F2032D" w:rsidRPr="002F2D90" w:rsidRDefault="00F2032D" w:rsidP="00F2032D">
      <w:r w:rsidRPr="002F2D90">
        <w:rPr>
          <w:b/>
          <w:bCs/>
        </w:rPr>
        <w:t xml:space="preserve">Table 1: </w:t>
      </w:r>
      <w:r w:rsidR="00CA6E62" w:rsidRPr="00CA6E62">
        <w:rPr>
          <w:bCs/>
        </w:rPr>
        <w:t>Chi-square test of independence between s</w:t>
      </w:r>
      <w:r w:rsidRPr="00CA6E62">
        <w:rPr>
          <w:bCs/>
        </w:rPr>
        <w:t xml:space="preserve">ex and </w:t>
      </w:r>
      <w:r w:rsidR="00CA6E62" w:rsidRPr="00CA6E62">
        <w:rPr>
          <w:bCs/>
        </w:rPr>
        <w:t>n</w:t>
      </w:r>
      <w:r w:rsidRPr="00CA6E62">
        <w:rPr>
          <w:bCs/>
        </w:rPr>
        <w:t>umber</w:t>
      </w:r>
      <w:r w:rsidR="00CA6E62" w:rsidRPr="00CA6E62">
        <w:rPr>
          <w:bCs/>
        </w:rPr>
        <w:t xml:space="preserve"> of stones.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787"/>
        <w:gridCol w:w="810"/>
        <w:gridCol w:w="1080"/>
        <w:gridCol w:w="540"/>
        <w:gridCol w:w="1350"/>
        <w:gridCol w:w="1260"/>
        <w:gridCol w:w="2610"/>
      </w:tblGrid>
      <w:tr w:rsidR="00F94255" w:rsidRPr="003A78DD" w14:paraId="7B78E341" w14:textId="77777777" w:rsidTr="00F94255">
        <w:trPr>
          <w:trHeight w:val="300"/>
        </w:trPr>
        <w:tc>
          <w:tcPr>
            <w:tcW w:w="923" w:type="dxa"/>
            <w:vMerge w:val="restart"/>
            <w:noWrap/>
            <w:vAlign w:val="bottom"/>
            <w:hideMark/>
          </w:tcPr>
          <w:p w14:paraId="3031D31A" w14:textId="77777777" w:rsidR="00F2032D" w:rsidRPr="00F94255" w:rsidRDefault="00CA6E62" w:rsidP="00CA6E62">
            <w:pPr>
              <w:jc w:val="center"/>
              <w:rPr>
                <w:b/>
                <w:bCs/>
              </w:rPr>
            </w:pPr>
            <w:r w:rsidRPr="00F94255">
              <w:rPr>
                <w:b/>
                <w:bCs/>
              </w:rPr>
              <w:t>Sex</w:t>
            </w:r>
          </w:p>
        </w:tc>
        <w:tc>
          <w:tcPr>
            <w:tcW w:w="2677" w:type="dxa"/>
            <w:gridSpan w:val="3"/>
            <w:noWrap/>
            <w:vAlign w:val="bottom"/>
            <w:hideMark/>
          </w:tcPr>
          <w:p w14:paraId="027C4C37" w14:textId="77777777" w:rsidR="00F2032D" w:rsidRPr="00F94255" w:rsidRDefault="00CA6E62" w:rsidP="00CA6E62">
            <w:pPr>
              <w:jc w:val="center"/>
              <w:rPr>
                <w:b/>
                <w:bCs/>
              </w:rPr>
            </w:pPr>
            <w:r w:rsidRPr="00F94255">
              <w:rPr>
                <w:b/>
                <w:bCs/>
              </w:rPr>
              <w:t xml:space="preserve">Number of Stones </w:t>
            </w:r>
            <w:r w:rsidR="00F2032D" w:rsidRPr="00F94255">
              <w:rPr>
                <w:b/>
                <w:bCs/>
              </w:rPr>
              <w:t>(%)</w:t>
            </w:r>
          </w:p>
        </w:tc>
        <w:tc>
          <w:tcPr>
            <w:tcW w:w="540" w:type="dxa"/>
            <w:vMerge w:val="restart"/>
            <w:noWrap/>
            <w:vAlign w:val="bottom"/>
            <w:hideMark/>
          </w:tcPr>
          <w:p w14:paraId="75847D32" w14:textId="77777777" w:rsidR="00F2032D" w:rsidRPr="00F94255" w:rsidRDefault="00F2032D" w:rsidP="00CA6E62">
            <w:pPr>
              <w:jc w:val="center"/>
              <w:rPr>
                <w:b/>
                <w:bCs/>
              </w:rPr>
            </w:pPr>
            <w:r w:rsidRPr="00F94255">
              <w:rPr>
                <w:b/>
                <w:bCs/>
              </w:rPr>
              <w:t>df</w:t>
            </w:r>
          </w:p>
        </w:tc>
        <w:tc>
          <w:tcPr>
            <w:tcW w:w="2610" w:type="dxa"/>
            <w:gridSpan w:val="2"/>
            <w:noWrap/>
            <w:vAlign w:val="bottom"/>
            <w:hideMark/>
          </w:tcPr>
          <w:p w14:paraId="76C3CF3D" w14:textId="77777777" w:rsidR="00F2032D" w:rsidRPr="00F94255" w:rsidRDefault="00F2032D" w:rsidP="00CA6E62">
            <w:pPr>
              <w:jc w:val="center"/>
              <w:rPr>
                <w:b/>
                <w:bCs/>
              </w:rPr>
            </w:pPr>
            <w:r w:rsidRPr="00F94255">
              <w:rPr>
                <w:b/>
                <w:bCs/>
              </w:rPr>
              <w:t>ꭕ2</w:t>
            </w:r>
          </w:p>
        </w:tc>
        <w:tc>
          <w:tcPr>
            <w:tcW w:w="2610" w:type="dxa"/>
            <w:vMerge w:val="restart"/>
            <w:noWrap/>
            <w:vAlign w:val="bottom"/>
            <w:hideMark/>
          </w:tcPr>
          <w:p w14:paraId="50F25377" w14:textId="77777777" w:rsidR="00F2032D" w:rsidRPr="00F94255" w:rsidRDefault="00F2032D" w:rsidP="00CA6E62">
            <w:pPr>
              <w:jc w:val="center"/>
              <w:rPr>
                <w:b/>
                <w:bCs/>
              </w:rPr>
            </w:pPr>
            <w:r w:rsidRPr="00F94255">
              <w:rPr>
                <w:b/>
                <w:bCs/>
              </w:rPr>
              <w:t>Inference</w:t>
            </w:r>
          </w:p>
        </w:tc>
      </w:tr>
      <w:tr w:rsidR="00CA6E62" w:rsidRPr="003A78DD" w14:paraId="36BB78FC" w14:textId="77777777" w:rsidTr="00F94255">
        <w:trPr>
          <w:trHeight w:val="315"/>
        </w:trPr>
        <w:tc>
          <w:tcPr>
            <w:tcW w:w="923" w:type="dxa"/>
            <w:vMerge/>
            <w:vAlign w:val="bottom"/>
            <w:hideMark/>
          </w:tcPr>
          <w:p w14:paraId="67B32B73" w14:textId="77777777" w:rsidR="00F2032D" w:rsidRPr="00F94255" w:rsidRDefault="00F2032D" w:rsidP="00CA6E62">
            <w:pPr>
              <w:jc w:val="center"/>
              <w:rPr>
                <w:b/>
                <w:bCs/>
              </w:rPr>
            </w:pPr>
          </w:p>
        </w:tc>
        <w:tc>
          <w:tcPr>
            <w:tcW w:w="787" w:type="dxa"/>
            <w:noWrap/>
            <w:vAlign w:val="bottom"/>
            <w:hideMark/>
          </w:tcPr>
          <w:p w14:paraId="5F96B7E9" w14:textId="77777777" w:rsidR="00F2032D" w:rsidRPr="00F94255" w:rsidRDefault="00F2032D" w:rsidP="00CA6E62">
            <w:pPr>
              <w:jc w:val="center"/>
              <w:rPr>
                <w:b/>
                <w:bCs/>
              </w:rPr>
            </w:pPr>
            <w:r w:rsidRPr="00F94255">
              <w:rPr>
                <w:b/>
                <w:bCs/>
              </w:rPr>
              <w:t>1</w:t>
            </w:r>
          </w:p>
        </w:tc>
        <w:tc>
          <w:tcPr>
            <w:tcW w:w="810" w:type="dxa"/>
            <w:noWrap/>
            <w:vAlign w:val="bottom"/>
            <w:hideMark/>
          </w:tcPr>
          <w:p w14:paraId="341A5D62" w14:textId="77777777" w:rsidR="00F2032D" w:rsidRPr="00F94255" w:rsidRDefault="00F2032D" w:rsidP="00CA6E62">
            <w:pPr>
              <w:jc w:val="center"/>
              <w:rPr>
                <w:b/>
                <w:bCs/>
              </w:rPr>
            </w:pPr>
            <w:r w:rsidRPr="00F94255">
              <w:rPr>
                <w:b/>
                <w:bCs/>
              </w:rPr>
              <w:t>2</w:t>
            </w:r>
          </w:p>
        </w:tc>
        <w:tc>
          <w:tcPr>
            <w:tcW w:w="1080" w:type="dxa"/>
            <w:noWrap/>
            <w:vAlign w:val="bottom"/>
            <w:hideMark/>
          </w:tcPr>
          <w:p w14:paraId="727D361D" w14:textId="77777777" w:rsidR="00F2032D" w:rsidRPr="00F94255" w:rsidRDefault="00F2032D" w:rsidP="00CA6E62">
            <w:pPr>
              <w:jc w:val="center"/>
              <w:rPr>
                <w:b/>
                <w:bCs/>
              </w:rPr>
            </w:pPr>
            <w:r w:rsidRPr="00F94255">
              <w:rPr>
                <w:b/>
                <w:bCs/>
              </w:rPr>
              <w:t>3</w:t>
            </w:r>
          </w:p>
        </w:tc>
        <w:tc>
          <w:tcPr>
            <w:tcW w:w="540" w:type="dxa"/>
            <w:vMerge/>
            <w:vAlign w:val="bottom"/>
            <w:hideMark/>
          </w:tcPr>
          <w:p w14:paraId="4891FB9C" w14:textId="77777777" w:rsidR="00F2032D" w:rsidRPr="00F94255" w:rsidRDefault="00F2032D" w:rsidP="00CA6E62">
            <w:pPr>
              <w:jc w:val="center"/>
              <w:rPr>
                <w:b/>
                <w:bCs/>
              </w:rPr>
            </w:pPr>
          </w:p>
        </w:tc>
        <w:tc>
          <w:tcPr>
            <w:tcW w:w="1350" w:type="dxa"/>
            <w:noWrap/>
            <w:vAlign w:val="bottom"/>
            <w:hideMark/>
          </w:tcPr>
          <w:p w14:paraId="236E59EE" w14:textId="77777777" w:rsidR="00F2032D" w:rsidRPr="00F94255" w:rsidRDefault="00F2032D" w:rsidP="00CA6E62">
            <w:pPr>
              <w:jc w:val="center"/>
              <w:rPr>
                <w:b/>
                <w:bCs/>
              </w:rPr>
            </w:pPr>
            <w:r w:rsidRPr="00F94255">
              <w:rPr>
                <w:b/>
                <w:bCs/>
              </w:rPr>
              <w:t>cal</w:t>
            </w:r>
            <w:r w:rsidR="00CA6E62" w:rsidRPr="00F94255">
              <w:rPr>
                <w:b/>
                <w:bCs/>
              </w:rPr>
              <w:t>culated</w:t>
            </w:r>
          </w:p>
        </w:tc>
        <w:tc>
          <w:tcPr>
            <w:tcW w:w="1260" w:type="dxa"/>
            <w:noWrap/>
            <w:vAlign w:val="bottom"/>
            <w:hideMark/>
          </w:tcPr>
          <w:p w14:paraId="5B7CB329" w14:textId="77777777" w:rsidR="00F2032D" w:rsidRPr="00F94255" w:rsidRDefault="00CA6E62" w:rsidP="00CA6E62">
            <w:pPr>
              <w:jc w:val="center"/>
              <w:rPr>
                <w:b/>
                <w:bCs/>
              </w:rPr>
            </w:pPr>
            <w:r w:rsidRPr="00F94255">
              <w:rPr>
                <w:rFonts w:cs="Times New Roman"/>
                <w:b/>
                <w:bCs/>
              </w:rPr>
              <w:t>At α=</w:t>
            </w:r>
            <w:r w:rsidR="00F2032D" w:rsidRPr="00F94255">
              <w:rPr>
                <w:b/>
                <w:bCs/>
              </w:rPr>
              <w:t>0.05</w:t>
            </w:r>
          </w:p>
        </w:tc>
        <w:tc>
          <w:tcPr>
            <w:tcW w:w="2610" w:type="dxa"/>
            <w:vMerge/>
            <w:vAlign w:val="bottom"/>
            <w:hideMark/>
          </w:tcPr>
          <w:p w14:paraId="59F21278" w14:textId="77777777" w:rsidR="00F2032D" w:rsidRPr="003A78DD" w:rsidRDefault="00F2032D" w:rsidP="00CA6E62">
            <w:pPr>
              <w:jc w:val="center"/>
              <w:rPr>
                <w:bCs/>
              </w:rPr>
            </w:pPr>
          </w:p>
        </w:tc>
      </w:tr>
      <w:tr w:rsidR="00CA6E62" w:rsidRPr="003A78DD" w14:paraId="501233FD" w14:textId="77777777" w:rsidTr="00F94255">
        <w:trPr>
          <w:trHeight w:val="315"/>
        </w:trPr>
        <w:tc>
          <w:tcPr>
            <w:tcW w:w="923" w:type="dxa"/>
            <w:noWrap/>
            <w:vAlign w:val="bottom"/>
            <w:hideMark/>
          </w:tcPr>
          <w:p w14:paraId="511D2AE5" w14:textId="77777777" w:rsidR="00F2032D" w:rsidRPr="003A78DD" w:rsidRDefault="00CA6E62" w:rsidP="00CA6E62">
            <w:pPr>
              <w:jc w:val="center"/>
              <w:rPr>
                <w:bCs/>
              </w:rPr>
            </w:pPr>
            <w:r w:rsidRPr="003A78DD">
              <w:rPr>
                <w:bCs/>
              </w:rPr>
              <w:t>Female</w:t>
            </w:r>
          </w:p>
        </w:tc>
        <w:tc>
          <w:tcPr>
            <w:tcW w:w="787" w:type="dxa"/>
            <w:noWrap/>
            <w:vAlign w:val="bottom"/>
            <w:hideMark/>
          </w:tcPr>
          <w:p w14:paraId="67037ABE" w14:textId="77777777" w:rsidR="00F2032D" w:rsidRPr="003A78DD" w:rsidRDefault="00F2032D" w:rsidP="00CA6E62">
            <w:pPr>
              <w:jc w:val="center"/>
              <w:rPr>
                <w:bCs/>
              </w:rPr>
            </w:pPr>
            <w:r w:rsidRPr="003A78DD">
              <w:rPr>
                <w:bCs/>
              </w:rPr>
              <w:t>91</w:t>
            </w:r>
          </w:p>
        </w:tc>
        <w:tc>
          <w:tcPr>
            <w:tcW w:w="810" w:type="dxa"/>
            <w:noWrap/>
            <w:vAlign w:val="bottom"/>
            <w:hideMark/>
          </w:tcPr>
          <w:p w14:paraId="0B88A5EA" w14:textId="77777777" w:rsidR="00F2032D" w:rsidRPr="003A78DD" w:rsidRDefault="00F2032D" w:rsidP="00CA6E62">
            <w:pPr>
              <w:jc w:val="center"/>
              <w:rPr>
                <w:bCs/>
              </w:rPr>
            </w:pPr>
            <w:r w:rsidRPr="003A78DD">
              <w:rPr>
                <w:bCs/>
              </w:rPr>
              <w:t>134</w:t>
            </w:r>
          </w:p>
        </w:tc>
        <w:tc>
          <w:tcPr>
            <w:tcW w:w="1080" w:type="dxa"/>
            <w:noWrap/>
            <w:vAlign w:val="bottom"/>
            <w:hideMark/>
          </w:tcPr>
          <w:p w14:paraId="1451C226" w14:textId="77777777" w:rsidR="00F2032D" w:rsidRPr="003A78DD" w:rsidRDefault="00F2032D" w:rsidP="00CA6E62">
            <w:pPr>
              <w:jc w:val="center"/>
              <w:rPr>
                <w:bCs/>
              </w:rPr>
            </w:pPr>
            <w:r w:rsidRPr="003A78DD">
              <w:rPr>
                <w:bCs/>
              </w:rPr>
              <w:t>20</w:t>
            </w:r>
          </w:p>
        </w:tc>
        <w:tc>
          <w:tcPr>
            <w:tcW w:w="540" w:type="dxa"/>
            <w:vMerge w:val="restart"/>
            <w:noWrap/>
            <w:vAlign w:val="bottom"/>
            <w:hideMark/>
          </w:tcPr>
          <w:p w14:paraId="1F91F1DD" w14:textId="77777777" w:rsidR="00F2032D" w:rsidRPr="003A78DD" w:rsidRDefault="00F2032D" w:rsidP="00CA6E62">
            <w:pPr>
              <w:jc w:val="center"/>
            </w:pPr>
            <w:r w:rsidRPr="003A78DD">
              <w:t>2</w:t>
            </w:r>
          </w:p>
        </w:tc>
        <w:tc>
          <w:tcPr>
            <w:tcW w:w="1350" w:type="dxa"/>
            <w:vMerge w:val="restart"/>
            <w:noWrap/>
            <w:vAlign w:val="bottom"/>
            <w:hideMark/>
          </w:tcPr>
          <w:p w14:paraId="3CF87EC1" w14:textId="77777777" w:rsidR="00F2032D" w:rsidRPr="003A78DD" w:rsidRDefault="00F2032D" w:rsidP="00CA6E62">
            <w:pPr>
              <w:jc w:val="center"/>
            </w:pPr>
            <w:r w:rsidRPr="003A78DD">
              <w:t>2.99</w:t>
            </w:r>
          </w:p>
        </w:tc>
        <w:tc>
          <w:tcPr>
            <w:tcW w:w="1260" w:type="dxa"/>
            <w:vMerge w:val="restart"/>
            <w:noWrap/>
            <w:vAlign w:val="bottom"/>
            <w:hideMark/>
          </w:tcPr>
          <w:p w14:paraId="2423994B" w14:textId="77777777" w:rsidR="00F2032D" w:rsidRPr="003A78DD" w:rsidRDefault="00F2032D" w:rsidP="00CA6E62">
            <w:pPr>
              <w:jc w:val="center"/>
            </w:pPr>
            <w:r w:rsidRPr="003A78DD">
              <w:t>5.99</w:t>
            </w:r>
          </w:p>
        </w:tc>
        <w:tc>
          <w:tcPr>
            <w:tcW w:w="2610" w:type="dxa"/>
            <w:vMerge w:val="restart"/>
            <w:noWrap/>
            <w:vAlign w:val="bottom"/>
            <w:hideMark/>
          </w:tcPr>
          <w:p w14:paraId="04BC8A4C" w14:textId="77777777" w:rsidR="00F2032D" w:rsidRPr="003A78DD" w:rsidRDefault="00F2032D" w:rsidP="00CA6E62">
            <w:pPr>
              <w:jc w:val="center"/>
              <w:rPr>
                <w:bCs/>
              </w:rPr>
            </w:pPr>
            <w:r w:rsidRPr="003A78DD">
              <w:rPr>
                <w:bCs/>
              </w:rPr>
              <w:t>No Significant Association</w:t>
            </w:r>
          </w:p>
        </w:tc>
      </w:tr>
      <w:tr w:rsidR="00CA6E62" w:rsidRPr="003A78DD" w14:paraId="3CF8F417" w14:textId="77777777" w:rsidTr="00F94255">
        <w:trPr>
          <w:trHeight w:val="315"/>
        </w:trPr>
        <w:tc>
          <w:tcPr>
            <w:tcW w:w="923" w:type="dxa"/>
            <w:noWrap/>
            <w:vAlign w:val="bottom"/>
            <w:hideMark/>
          </w:tcPr>
          <w:p w14:paraId="65615B75" w14:textId="77777777" w:rsidR="00F2032D" w:rsidRPr="003A78DD" w:rsidRDefault="00CA6E62" w:rsidP="00CA6E62">
            <w:pPr>
              <w:jc w:val="center"/>
              <w:rPr>
                <w:bCs/>
              </w:rPr>
            </w:pPr>
            <w:r w:rsidRPr="003A78DD">
              <w:rPr>
                <w:bCs/>
              </w:rPr>
              <w:t>Male</w:t>
            </w:r>
          </w:p>
        </w:tc>
        <w:tc>
          <w:tcPr>
            <w:tcW w:w="787" w:type="dxa"/>
            <w:noWrap/>
            <w:vAlign w:val="bottom"/>
            <w:hideMark/>
          </w:tcPr>
          <w:p w14:paraId="62FE7C95" w14:textId="77777777" w:rsidR="00F2032D" w:rsidRPr="003A78DD" w:rsidRDefault="00F2032D" w:rsidP="00CA6E62">
            <w:pPr>
              <w:jc w:val="center"/>
              <w:rPr>
                <w:bCs/>
              </w:rPr>
            </w:pPr>
            <w:r w:rsidRPr="003A78DD">
              <w:rPr>
                <w:bCs/>
              </w:rPr>
              <w:t>44</w:t>
            </w:r>
          </w:p>
        </w:tc>
        <w:tc>
          <w:tcPr>
            <w:tcW w:w="810" w:type="dxa"/>
            <w:noWrap/>
            <w:vAlign w:val="bottom"/>
            <w:hideMark/>
          </w:tcPr>
          <w:p w14:paraId="57FE3B3E" w14:textId="77777777" w:rsidR="00F2032D" w:rsidRPr="003A78DD" w:rsidRDefault="00F2032D" w:rsidP="00CA6E62">
            <w:pPr>
              <w:jc w:val="center"/>
              <w:rPr>
                <w:bCs/>
              </w:rPr>
            </w:pPr>
            <w:r w:rsidRPr="003A78DD">
              <w:rPr>
                <w:bCs/>
              </w:rPr>
              <w:t>89</w:t>
            </w:r>
          </w:p>
        </w:tc>
        <w:tc>
          <w:tcPr>
            <w:tcW w:w="1080" w:type="dxa"/>
            <w:noWrap/>
            <w:vAlign w:val="bottom"/>
            <w:hideMark/>
          </w:tcPr>
          <w:p w14:paraId="4F338E91" w14:textId="77777777" w:rsidR="00F2032D" w:rsidRPr="003A78DD" w:rsidRDefault="00F2032D" w:rsidP="00CA6E62">
            <w:pPr>
              <w:jc w:val="center"/>
              <w:rPr>
                <w:bCs/>
              </w:rPr>
            </w:pPr>
            <w:r w:rsidRPr="003A78DD">
              <w:rPr>
                <w:bCs/>
              </w:rPr>
              <w:t>8</w:t>
            </w:r>
          </w:p>
        </w:tc>
        <w:tc>
          <w:tcPr>
            <w:tcW w:w="540" w:type="dxa"/>
            <w:vMerge/>
            <w:vAlign w:val="bottom"/>
            <w:hideMark/>
          </w:tcPr>
          <w:p w14:paraId="07F130BD" w14:textId="77777777" w:rsidR="00F2032D" w:rsidRPr="003A78DD" w:rsidRDefault="00F2032D" w:rsidP="00CA6E62">
            <w:pPr>
              <w:jc w:val="center"/>
            </w:pPr>
          </w:p>
        </w:tc>
        <w:tc>
          <w:tcPr>
            <w:tcW w:w="1350" w:type="dxa"/>
            <w:vMerge/>
            <w:vAlign w:val="bottom"/>
            <w:hideMark/>
          </w:tcPr>
          <w:p w14:paraId="4AE770E4" w14:textId="77777777" w:rsidR="00F2032D" w:rsidRPr="003A78DD" w:rsidRDefault="00F2032D" w:rsidP="00CA6E62">
            <w:pPr>
              <w:jc w:val="center"/>
            </w:pPr>
          </w:p>
        </w:tc>
        <w:tc>
          <w:tcPr>
            <w:tcW w:w="1260" w:type="dxa"/>
            <w:vMerge/>
            <w:vAlign w:val="bottom"/>
            <w:hideMark/>
          </w:tcPr>
          <w:p w14:paraId="2BE2B771" w14:textId="77777777" w:rsidR="00F2032D" w:rsidRPr="003A78DD" w:rsidRDefault="00F2032D" w:rsidP="00CA6E62">
            <w:pPr>
              <w:jc w:val="center"/>
            </w:pPr>
          </w:p>
        </w:tc>
        <w:tc>
          <w:tcPr>
            <w:tcW w:w="2610" w:type="dxa"/>
            <w:vMerge/>
            <w:vAlign w:val="bottom"/>
            <w:hideMark/>
          </w:tcPr>
          <w:p w14:paraId="33A43102" w14:textId="77777777" w:rsidR="00F2032D" w:rsidRPr="003A78DD" w:rsidRDefault="00F2032D" w:rsidP="00CA6E62">
            <w:pPr>
              <w:jc w:val="center"/>
              <w:rPr>
                <w:bCs/>
              </w:rPr>
            </w:pPr>
          </w:p>
        </w:tc>
      </w:tr>
    </w:tbl>
    <w:p w14:paraId="35B8F271" w14:textId="77777777" w:rsidR="004C58DA" w:rsidRDefault="004C58DA" w:rsidP="004C58DA"/>
    <w:p w14:paraId="1339BBF6" w14:textId="77777777" w:rsidR="004C58DA" w:rsidRPr="002F2D90" w:rsidRDefault="004C58DA" w:rsidP="004C58DA">
      <w:r>
        <w:t>T</w:t>
      </w:r>
      <w:r w:rsidRPr="002F2D90">
        <w:t>he chi-square analysis showed no statistically significant association between sex and the number of kidney stones (χ² = 2.99, df = 2, p &gt; 0.05)</w:t>
      </w:r>
      <w:r>
        <w:t>, Table 1</w:t>
      </w:r>
      <w:r w:rsidRPr="002F2D90">
        <w:t>.</w:t>
      </w:r>
    </w:p>
    <w:p w14:paraId="28EC76DA" w14:textId="77777777" w:rsidR="00F2032D" w:rsidRPr="002F2D90" w:rsidRDefault="00F2032D" w:rsidP="00F2032D">
      <w:r w:rsidRPr="002F2D90">
        <w:rPr>
          <w:b/>
          <w:bCs/>
        </w:rPr>
        <w:t xml:space="preserve">Table 2: </w:t>
      </w:r>
      <w:r w:rsidR="004F1AC6" w:rsidRPr="00CA6E62">
        <w:rPr>
          <w:bCs/>
        </w:rPr>
        <w:t xml:space="preserve">Chi-square test of independence between sex and </w:t>
      </w:r>
      <w:r w:rsidR="007B2967">
        <w:rPr>
          <w:bCs/>
        </w:rPr>
        <w:t>side of occurrence of</w:t>
      </w:r>
      <w:r w:rsidR="004F1AC6" w:rsidRPr="00CA6E62">
        <w:rPr>
          <w:bCs/>
        </w:rPr>
        <w:t xml:space="preserve"> stones.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110"/>
        <w:gridCol w:w="810"/>
        <w:gridCol w:w="990"/>
        <w:gridCol w:w="1080"/>
        <w:gridCol w:w="1350"/>
        <w:gridCol w:w="1260"/>
        <w:gridCol w:w="1890"/>
      </w:tblGrid>
      <w:tr w:rsidR="00F2032D" w:rsidRPr="00F94255" w14:paraId="2C48F1CE" w14:textId="77777777" w:rsidTr="004C58DA">
        <w:trPr>
          <w:trHeight w:val="474"/>
        </w:trPr>
        <w:tc>
          <w:tcPr>
            <w:tcW w:w="923" w:type="dxa"/>
            <w:vMerge w:val="restart"/>
            <w:noWrap/>
            <w:vAlign w:val="bottom"/>
            <w:hideMark/>
          </w:tcPr>
          <w:p w14:paraId="129862AA" w14:textId="77777777" w:rsidR="00F2032D" w:rsidRPr="00F94255" w:rsidRDefault="004C58DA" w:rsidP="004C58DA">
            <w:pPr>
              <w:jc w:val="left"/>
              <w:rPr>
                <w:b/>
                <w:bCs/>
              </w:rPr>
            </w:pPr>
            <w:r w:rsidRPr="00F94255">
              <w:rPr>
                <w:b/>
                <w:bCs/>
              </w:rPr>
              <w:t>Sex</w:t>
            </w:r>
          </w:p>
        </w:tc>
        <w:tc>
          <w:tcPr>
            <w:tcW w:w="2857" w:type="dxa"/>
            <w:gridSpan w:val="3"/>
            <w:noWrap/>
            <w:vAlign w:val="bottom"/>
            <w:hideMark/>
          </w:tcPr>
          <w:p w14:paraId="7B0DC296" w14:textId="77777777" w:rsidR="00F2032D" w:rsidRPr="00F94255" w:rsidRDefault="004C58DA" w:rsidP="004C58DA">
            <w:pPr>
              <w:jc w:val="center"/>
              <w:rPr>
                <w:b/>
                <w:bCs/>
              </w:rPr>
            </w:pPr>
            <w:r w:rsidRPr="00F94255">
              <w:rPr>
                <w:b/>
                <w:bCs/>
              </w:rPr>
              <w:t>Side of Occurrence (%)</w:t>
            </w:r>
          </w:p>
        </w:tc>
        <w:tc>
          <w:tcPr>
            <w:tcW w:w="1080" w:type="dxa"/>
            <w:vMerge w:val="restart"/>
            <w:noWrap/>
            <w:vAlign w:val="bottom"/>
            <w:hideMark/>
          </w:tcPr>
          <w:p w14:paraId="59EEE27C" w14:textId="77777777" w:rsidR="00F2032D" w:rsidRPr="00F94255" w:rsidRDefault="004C58DA" w:rsidP="004C58DA">
            <w:pPr>
              <w:jc w:val="center"/>
              <w:rPr>
                <w:b/>
                <w:bCs/>
              </w:rPr>
            </w:pPr>
            <w:r w:rsidRPr="00F94255">
              <w:rPr>
                <w:b/>
                <w:bCs/>
              </w:rPr>
              <w:t>df</w:t>
            </w:r>
          </w:p>
        </w:tc>
        <w:tc>
          <w:tcPr>
            <w:tcW w:w="2610" w:type="dxa"/>
            <w:gridSpan w:val="2"/>
            <w:noWrap/>
            <w:vAlign w:val="bottom"/>
            <w:hideMark/>
          </w:tcPr>
          <w:p w14:paraId="3C73A1C3" w14:textId="77777777" w:rsidR="00F2032D" w:rsidRPr="00F94255" w:rsidRDefault="004C58DA" w:rsidP="004C58DA">
            <w:pPr>
              <w:jc w:val="center"/>
              <w:rPr>
                <w:b/>
                <w:bCs/>
              </w:rPr>
            </w:pPr>
            <w:r w:rsidRPr="00F94255">
              <w:rPr>
                <w:b/>
                <w:bCs/>
              </w:rPr>
              <w:t>ꭕ2</w:t>
            </w:r>
          </w:p>
        </w:tc>
        <w:tc>
          <w:tcPr>
            <w:tcW w:w="1890" w:type="dxa"/>
            <w:vMerge w:val="restart"/>
            <w:noWrap/>
            <w:vAlign w:val="bottom"/>
            <w:hideMark/>
          </w:tcPr>
          <w:p w14:paraId="3B119333" w14:textId="77777777" w:rsidR="00F2032D" w:rsidRPr="00F94255" w:rsidRDefault="004C58DA" w:rsidP="004C58DA">
            <w:pPr>
              <w:jc w:val="center"/>
              <w:rPr>
                <w:b/>
                <w:bCs/>
              </w:rPr>
            </w:pPr>
            <w:r w:rsidRPr="00F94255">
              <w:rPr>
                <w:b/>
                <w:bCs/>
              </w:rPr>
              <w:t>Inference</w:t>
            </w:r>
          </w:p>
        </w:tc>
      </w:tr>
      <w:tr w:rsidR="00F2032D" w:rsidRPr="00F94255" w14:paraId="25F6BA7F" w14:textId="77777777" w:rsidTr="004C58DA">
        <w:trPr>
          <w:trHeight w:val="498"/>
        </w:trPr>
        <w:tc>
          <w:tcPr>
            <w:tcW w:w="923" w:type="dxa"/>
            <w:vMerge/>
            <w:vAlign w:val="bottom"/>
            <w:hideMark/>
          </w:tcPr>
          <w:p w14:paraId="0571435B" w14:textId="77777777" w:rsidR="00F2032D" w:rsidRPr="00F94255" w:rsidRDefault="00F2032D" w:rsidP="004C58DA">
            <w:pPr>
              <w:jc w:val="left"/>
              <w:rPr>
                <w:b/>
                <w:bCs/>
              </w:rPr>
            </w:pPr>
          </w:p>
        </w:tc>
        <w:tc>
          <w:tcPr>
            <w:tcW w:w="1057" w:type="dxa"/>
            <w:noWrap/>
            <w:vAlign w:val="bottom"/>
            <w:hideMark/>
          </w:tcPr>
          <w:p w14:paraId="6531B387" w14:textId="77777777" w:rsidR="00F2032D" w:rsidRPr="00F94255" w:rsidRDefault="004C58DA" w:rsidP="004C58DA">
            <w:pPr>
              <w:jc w:val="center"/>
              <w:rPr>
                <w:b/>
                <w:bCs/>
              </w:rPr>
            </w:pPr>
            <w:r w:rsidRPr="00F94255">
              <w:rPr>
                <w:b/>
                <w:bCs/>
              </w:rPr>
              <w:t>Bilateral</w:t>
            </w:r>
          </w:p>
        </w:tc>
        <w:tc>
          <w:tcPr>
            <w:tcW w:w="810" w:type="dxa"/>
            <w:noWrap/>
            <w:vAlign w:val="bottom"/>
            <w:hideMark/>
          </w:tcPr>
          <w:p w14:paraId="3EC12818" w14:textId="77777777" w:rsidR="00F2032D" w:rsidRPr="00F94255" w:rsidRDefault="004C58DA" w:rsidP="004C58DA">
            <w:pPr>
              <w:jc w:val="center"/>
              <w:rPr>
                <w:b/>
                <w:bCs/>
              </w:rPr>
            </w:pPr>
            <w:r w:rsidRPr="00F94255">
              <w:rPr>
                <w:b/>
                <w:bCs/>
              </w:rPr>
              <w:t>Left</w:t>
            </w:r>
          </w:p>
        </w:tc>
        <w:tc>
          <w:tcPr>
            <w:tcW w:w="990" w:type="dxa"/>
            <w:noWrap/>
            <w:vAlign w:val="bottom"/>
            <w:hideMark/>
          </w:tcPr>
          <w:p w14:paraId="132C09B2" w14:textId="77777777" w:rsidR="00F2032D" w:rsidRPr="00F94255" w:rsidRDefault="004C58DA" w:rsidP="004C58DA">
            <w:pPr>
              <w:jc w:val="center"/>
              <w:rPr>
                <w:b/>
                <w:bCs/>
              </w:rPr>
            </w:pPr>
            <w:r w:rsidRPr="00F94255">
              <w:rPr>
                <w:b/>
                <w:bCs/>
              </w:rPr>
              <w:t>Right</w:t>
            </w:r>
          </w:p>
        </w:tc>
        <w:tc>
          <w:tcPr>
            <w:tcW w:w="1080" w:type="dxa"/>
            <w:vMerge/>
            <w:vAlign w:val="bottom"/>
            <w:hideMark/>
          </w:tcPr>
          <w:p w14:paraId="1B7CB780" w14:textId="77777777" w:rsidR="00F2032D" w:rsidRPr="00F94255" w:rsidRDefault="00F2032D" w:rsidP="004C58DA">
            <w:pPr>
              <w:jc w:val="center"/>
              <w:rPr>
                <w:b/>
                <w:bCs/>
              </w:rPr>
            </w:pPr>
          </w:p>
        </w:tc>
        <w:tc>
          <w:tcPr>
            <w:tcW w:w="1350" w:type="dxa"/>
            <w:noWrap/>
            <w:vAlign w:val="bottom"/>
            <w:hideMark/>
          </w:tcPr>
          <w:p w14:paraId="1A986811" w14:textId="77777777" w:rsidR="00F2032D" w:rsidRPr="00F94255" w:rsidRDefault="004C58DA" w:rsidP="004C58DA">
            <w:pPr>
              <w:jc w:val="center"/>
              <w:rPr>
                <w:b/>
                <w:bCs/>
              </w:rPr>
            </w:pPr>
            <w:r w:rsidRPr="00F94255">
              <w:rPr>
                <w:b/>
                <w:bCs/>
              </w:rPr>
              <w:t>Calculated</w:t>
            </w:r>
          </w:p>
        </w:tc>
        <w:tc>
          <w:tcPr>
            <w:tcW w:w="1260" w:type="dxa"/>
            <w:noWrap/>
            <w:vAlign w:val="bottom"/>
            <w:hideMark/>
          </w:tcPr>
          <w:p w14:paraId="63DD215A" w14:textId="77777777" w:rsidR="00F2032D" w:rsidRPr="00F94255" w:rsidRDefault="004C58DA" w:rsidP="004C58DA">
            <w:pPr>
              <w:jc w:val="center"/>
              <w:rPr>
                <w:b/>
                <w:bCs/>
              </w:rPr>
            </w:pPr>
            <w:r w:rsidRPr="00F94255">
              <w:rPr>
                <w:rFonts w:cs="Times New Roman"/>
                <w:b/>
                <w:bCs/>
              </w:rPr>
              <w:t>At α=</w:t>
            </w:r>
            <w:r w:rsidRPr="00F94255">
              <w:rPr>
                <w:b/>
                <w:bCs/>
              </w:rPr>
              <w:t>0.05</w:t>
            </w:r>
          </w:p>
        </w:tc>
        <w:tc>
          <w:tcPr>
            <w:tcW w:w="1890" w:type="dxa"/>
            <w:vMerge/>
            <w:vAlign w:val="bottom"/>
            <w:hideMark/>
          </w:tcPr>
          <w:p w14:paraId="355556FB" w14:textId="77777777" w:rsidR="00F2032D" w:rsidRPr="00F94255" w:rsidRDefault="00F2032D" w:rsidP="004C58DA">
            <w:pPr>
              <w:jc w:val="center"/>
              <w:rPr>
                <w:b/>
                <w:bCs/>
              </w:rPr>
            </w:pPr>
          </w:p>
        </w:tc>
      </w:tr>
      <w:tr w:rsidR="00F2032D" w:rsidRPr="00F94255" w14:paraId="51CBE796" w14:textId="77777777" w:rsidTr="004C58DA">
        <w:trPr>
          <w:trHeight w:val="498"/>
        </w:trPr>
        <w:tc>
          <w:tcPr>
            <w:tcW w:w="923" w:type="dxa"/>
            <w:noWrap/>
            <w:vAlign w:val="bottom"/>
            <w:hideMark/>
          </w:tcPr>
          <w:p w14:paraId="055D4F6A" w14:textId="77777777" w:rsidR="00F2032D" w:rsidRPr="00F94255" w:rsidRDefault="004C58DA" w:rsidP="004C58DA">
            <w:pPr>
              <w:jc w:val="left"/>
              <w:rPr>
                <w:bCs/>
              </w:rPr>
            </w:pPr>
            <w:r w:rsidRPr="00F94255">
              <w:rPr>
                <w:bCs/>
              </w:rPr>
              <w:t>Female</w:t>
            </w:r>
          </w:p>
        </w:tc>
        <w:tc>
          <w:tcPr>
            <w:tcW w:w="1057" w:type="dxa"/>
            <w:noWrap/>
            <w:vAlign w:val="bottom"/>
            <w:hideMark/>
          </w:tcPr>
          <w:p w14:paraId="67BC4E9A" w14:textId="77777777" w:rsidR="00F2032D" w:rsidRPr="00F94255" w:rsidRDefault="004C58DA" w:rsidP="004C58DA">
            <w:pPr>
              <w:jc w:val="center"/>
              <w:rPr>
                <w:bCs/>
              </w:rPr>
            </w:pPr>
            <w:r w:rsidRPr="00F94255">
              <w:rPr>
                <w:bCs/>
              </w:rPr>
              <w:t>54</w:t>
            </w:r>
          </w:p>
        </w:tc>
        <w:tc>
          <w:tcPr>
            <w:tcW w:w="810" w:type="dxa"/>
            <w:noWrap/>
            <w:vAlign w:val="bottom"/>
            <w:hideMark/>
          </w:tcPr>
          <w:p w14:paraId="3E205385" w14:textId="77777777" w:rsidR="00F2032D" w:rsidRPr="00F94255" w:rsidRDefault="004C58DA" w:rsidP="004C58DA">
            <w:pPr>
              <w:jc w:val="center"/>
              <w:rPr>
                <w:bCs/>
              </w:rPr>
            </w:pPr>
            <w:r w:rsidRPr="00F94255">
              <w:rPr>
                <w:bCs/>
              </w:rPr>
              <w:t>86</w:t>
            </w:r>
          </w:p>
        </w:tc>
        <w:tc>
          <w:tcPr>
            <w:tcW w:w="990" w:type="dxa"/>
            <w:noWrap/>
            <w:vAlign w:val="bottom"/>
            <w:hideMark/>
          </w:tcPr>
          <w:p w14:paraId="7930EC88" w14:textId="77777777" w:rsidR="00F2032D" w:rsidRPr="00F94255" w:rsidRDefault="004C58DA" w:rsidP="004C58DA">
            <w:pPr>
              <w:jc w:val="center"/>
              <w:rPr>
                <w:bCs/>
              </w:rPr>
            </w:pPr>
            <w:r w:rsidRPr="00F94255">
              <w:rPr>
                <w:bCs/>
              </w:rPr>
              <w:t>105</w:t>
            </w:r>
          </w:p>
        </w:tc>
        <w:tc>
          <w:tcPr>
            <w:tcW w:w="1080" w:type="dxa"/>
            <w:vMerge w:val="restart"/>
            <w:noWrap/>
            <w:vAlign w:val="bottom"/>
            <w:hideMark/>
          </w:tcPr>
          <w:p w14:paraId="64EF07BA" w14:textId="77777777" w:rsidR="00F2032D" w:rsidRPr="00F94255" w:rsidRDefault="004C58DA" w:rsidP="004C58DA">
            <w:pPr>
              <w:jc w:val="center"/>
            </w:pPr>
            <w:r w:rsidRPr="00F94255">
              <w:t>2</w:t>
            </w:r>
          </w:p>
        </w:tc>
        <w:tc>
          <w:tcPr>
            <w:tcW w:w="1350" w:type="dxa"/>
            <w:vMerge w:val="restart"/>
            <w:noWrap/>
            <w:vAlign w:val="bottom"/>
            <w:hideMark/>
          </w:tcPr>
          <w:p w14:paraId="4108612F" w14:textId="77777777" w:rsidR="00F2032D" w:rsidRPr="00F94255" w:rsidRDefault="004C58DA" w:rsidP="004C58DA">
            <w:pPr>
              <w:jc w:val="center"/>
            </w:pPr>
            <w:r w:rsidRPr="00F94255">
              <w:t>2.64</w:t>
            </w:r>
          </w:p>
        </w:tc>
        <w:tc>
          <w:tcPr>
            <w:tcW w:w="1260" w:type="dxa"/>
            <w:vMerge w:val="restart"/>
            <w:noWrap/>
            <w:vAlign w:val="bottom"/>
            <w:hideMark/>
          </w:tcPr>
          <w:p w14:paraId="79851027" w14:textId="77777777" w:rsidR="00F2032D" w:rsidRPr="00F94255" w:rsidRDefault="004C58DA" w:rsidP="004C58DA">
            <w:pPr>
              <w:jc w:val="center"/>
            </w:pPr>
            <w:r w:rsidRPr="00F94255">
              <w:t>5.99</w:t>
            </w:r>
          </w:p>
        </w:tc>
        <w:tc>
          <w:tcPr>
            <w:tcW w:w="1890" w:type="dxa"/>
            <w:vMerge w:val="restart"/>
            <w:noWrap/>
            <w:vAlign w:val="bottom"/>
            <w:hideMark/>
          </w:tcPr>
          <w:p w14:paraId="00C99E56" w14:textId="77777777" w:rsidR="00F2032D" w:rsidRPr="00F94255" w:rsidRDefault="004C58DA" w:rsidP="004C58DA">
            <w:pPr>
              <w:jc w:val="center"/>
              <w:rPr>
                <w:bCs/>
              </w:rPr>
            </w:pPr>
            <w:r w:rsidRPr="00F94255">
              <w:rPr>
                <w:bCs/>
              </w:rPr>
              <w:t>No Significant Association</w:t>
            </w:r>
          </w:p>
        </w:tc>
      </w:tr>
      <w:tr w:rsidR="00F2032D" w:rsidRPr="00F94255" w14:paraId="76ED15D6" w14:textId="77777777" w:rsidTr="004C58DA">
        <w:trPr>
          <w:trHeight w:val="498"/>
        </w:trPr>
        <w:tc>
          <w:tcPr>
            <w:tcW w:w="923" w:type="dxa"/>
            <w:noWrap/>
            <w:vAlign w:val="bottom"/>
            <w:hideMark/>
          </w:tcPr>
          <w:p w14:paraId="168054FD" w14:textId="77777777" w:rsidR="00F2032D" w:rsidRPr="00F94255" w:rsidRDefault="004C58DA" w:rsidP="004C58DA">
            <w:pPr>
              <w:jc w:val="left"/>
              <w:rPr>
                <w:bCs/>
              </w:rPr>
            </w:pPr>
            <w:r w:rsidRPr="00F94255">
              <w:rPr>
                <w:bCs/>
              </w:rPr>
              <w:lastRenderedPageBreak/>
              <w:t>Male</w:t>
            </w:r>
          </w:p>
        </w:tc>
        <w:tc>
          <w:tcPr>
            <w:tcW w:w="1057" w:type="dxa"/>
            <w:noWrap/>
            <w:vAlign w:val="bottom"/>
            <w:hideMark/>
          </w:tcPr>
          <w:p w14:paraId="544937A4" w14:textId="77777777" w:rsidR="00F2032D" w:rsidRPr="00F94255" w:rsidRDefault="004C58DA" w:rsidP="004C58DA">
            <w:pPr>
              <w:jc w:val="center"/>
              <w:rPr>
                <w:bCs/>
              </w:rPr>
            </w:pPr>
            <w:r w:rsidRPr="00F94255">
              <w:rPr>
                <w:bCs/>
              </w:rPr>
              <w:t>40</w:t>
            </w:r>
          </w:p>
        </w:tc>
        <w:tc>
          <w:tcPr>
            <w:tcW w:w="810" w:type="dxa"/>
            <w:noWrap/>
            <w:vAlign w:val="bottom"/>
            <w:hideMark/>
          </w:tcPr>
          <w:p w14:paraId="17E85E3B" w14:textId="77777777" w:rsidR="00F2032D" w:rsidRPr="00F94255" w:rsidRDefault="004C58DA" w:rsidP="004C58DA">
            <w:pPr>
              <w:jc w:val="center"/>
              <w:rPr>
                <w:bCs/>
              </w:rPr>
            </w:pPr>
            <w:r w:rsidRPr="00F94255">
              <w:rPr>
                <w:bCs/>
              </w:rPr>
              <w:t>49</w:t>
            </w:r>
          </w:p>
        </w:tc>
        <w:tc>
          <w:tcPr>
            <w:tcW w:w="990" w:type="dxa"/>
            <w:noWrap/>
            <w:vAlign w:val="bottom"/>
            <w:hideMark/>
          </w:tcPr>
          <w:p w14:paraId="4873B422" w14:textId="77777777" w:rsidR="00F2032D" w:rsidRPr="00F94255" w:rsidRDefault="004C58DA" w:rsidP="004C58DA">
            <w:pPr>
              <w:jc w:val="center"/>
              <w:rPr>
                <w:bCs/>
              </w:rPr>
            </w:pPr>
            <w:r w:rsidRPr="00F94255">
              <w:rPr>
                <w:bCs/>
              </w:rPr>
              <w:t>52</w:t>
            </w:r>
          </w:p>
        </w:tc>
        <w:tc>
          <w:tcPr>
            <w:tcW w:w="1080" w:type="dxa"/>
            <w:vMerge/>
            <w:vAlign w:val="bottom"/>
            <w:hideMark/>
          </w:tcPr>
          <w:p w14:paraId="19D246C2" w14:textId="77777777" w:rsidR="00F2032D" w:rsidRPr="00F94255" w:rsidRDefault="00F2032D" w:rsidP="004C58DA">
            <w:pPr>
              <w:jc w:val="center"/>
            </w:pPr>
          </w:p>
        </w:tc>
        <w:tc>
          <w:tcPr>
            <w:tcW w:w="1350" w:type="dxa"/>
            <w:vMerge/>
            <w:vAlign w:val="bottom"/>
            <w:hideMark/>
          </w:tcPr>
          <w:p w14:paraId="32F1421D" w14:textId="77777777" w:rsidR="00F2032D" w:rsidRPr="00F94255" w:rsidRDefault="00F2032D" w:rsidP="004C58DA">
            <w:pPr>
              <w:jc w:val="center"/>
            </w:pPr>
          </w:p>
        </w:tc>
        <w:tc>
          <w:tcPr>
            <w:tcW w:w="1260" w:type="dxa"/>
            <w:vMerge/>
            <w:vAlign w:val="bottom"/>
            <w:hideMark/>
          </w:tcPr>
          <w:p w14:paraId="6C8230DE" w14:textId="77777777" w:rsidR="00F2032D" w:rsidRPr="00F94255" w:rsidRDefault="00F2032D" w:rsidP="004C58DA">
            <w:pPr>
              <w:jc w:val="center"/>
            </w:pPr>
          </w:p>
        </w:tc>
        <w:tc>
          <w:tcPr>
            <w:tcW w:w="1890" w:type="dxa"/>
            <w:vMerge/>
            <w:vAlign w:val="bottom"/>
            <w:hideMark/>
          </w:tcPr>
          <w:p w14:paraId="5999A8C9" w14:textId="77777777" w:rsidR="00F2032D" w:rsidRPr="00F94255" w:rsidRDefault="00F2032D" w:rsidP="004C58DA">
            <w:pPr>
              <w:jc w:val="center"/>
              <w:rPr>
                <w:bCs/>
              </w:rPr>
            </w:pPr>
          </w:p>
        </w:tc>
      </w:tr>
    </w:tbl>
    <w:p w14:paraId="006BA563" w14:textId="77777777" w:rsidR="00F2032D" w:rsidRDefault="00F2032D" w:rsidP="00F2032D"/>
    <w:p w14:paraId="3CB47725" w14:textId="77777777" w:rsidR="004C58DA" w:rsidRPr="002F2D90" w:rsidRDefault="004C58DA" w:rsidP="004C58DA">
      <w:r w:rsidRPr="002F2D90">
        <w:t>The majority of kidney stones were located on the right side (41%), followed by the left side (35%), and bilateral cases (24%). Among females, right-sided stones were the most common, while males showed a relatively even distribution between left and right sides. No significant association was found between sex and the side of occurrence (χ² = 2.64, df = 2, p &gt; 0.05)</w:t>
      </w:r>
      <w:r w:rsidR="00E42CF5">
        <w:t>, Ta</w:t>
      </w:r>
      <w:r>
        <w:t>ble 2</w:t>
      </w:r>
      <w:r w:rsidRPr="002F2D90">
        <w:t>.</w:t>
      </w:r>
    </w:p>
    <w:p w14:paraId="724B9869" w14:textId="77777777" w:rsidR="00F2032D" w:rsidRDefault="00F2032D" w:rsidP="00F2032D">
      <w:r w:rsidRPr="002F2D90">
        <w:t>The age group 20–39 years had the highest prevalence of kidney stones (44%), followed by 40–59 years (35%). The least affected age group was ≤12 years, accounting for only 2% of cases. Despite the observed trends, statistical analysis revealed no significant association between age group and the number of stones (χ² = 6.16, df = 8, p &gt; 0.05)</w:t>
      </w:r>
      <w:r w:rsidR="00E42CF5">
        <w:t>, Table 3</w:t>
      </w:r>
      <w:r w:rsidRPr="002F2D90">
        <w:t>.</w:t>
      </w:r>
    </w:p>
    <w:p w14:paraId="5922F4DF" w14:textId="77777777" w:rsidR="007B2967" w:rsidRDefault="007B2967" w:rsidP="00F2032D"/>
    <w:p w14:paraId="2D18EB40" w14:textId="77777777" w:rsidR="007B2967" w:rsidRDefault="007B2967" w:rsidP="00F2032D"/>
    <w:p w14:paraId="3005C0BB" w14:textId="77777777" w:rsidR="007B2967" w:rsidRPr="002F2D90" w:rsidRDefault="007B2967" w:rsidP="00F2032D"/>
    <w:p w14:paraId="67BF8E89" w14:textId="77777777" w:rsidR="00F2032D" w:rsidRPr="002F2D90" w:rsidRDefault="00F2032D" w:rsidP="00F2032D">
      <w:r w:rsidRPr="002F2D90">
        <w:rPr>
          <w:b/>
          <w:bCs/>
        </w:rPr>
        <w:t xml:space="preserve">Table 3: </w:t>
      </w:r>
      <w:r w:rsidR="007B2967">
        <w:rPr>
          <w:bCs/>
        </w:rPr>
        <w:t>T</w:t>
      </w:r>
      <w:r w:rsidR="007B2967" w:rsidRPr="00CA6E62">
        <w:rPr>
          <w:bCs/>
        </w:rPr>
        <w:t xml:space="preserve">est of </w:t>
      </w:r>
      <w:r w:rsidR="007B2967">
        <w:rPr>
          <w:bCs/>
        </w:rPr>
        <w:t xml:space="preserve">association </w:t>
      </w:r>
      <w:r w:rsidR="007B2967" w:rsidRPr="00CA6E62">
        <w:rPr>
          <w:bCs/>
        </w:rPr>
        <w:t xml:space="preserve">between </w:t>
      </w:r>
      <w:r w:rsidR="007B2967">
        <w:rPr>
          <w:bCs/>
        </w:rPr>
        <w:t xml:space="preserve">age groups </w:t>
      </w:r>
      <w:r w:rsidR="007B2967" w:rsidRPr="00CA6E62">
        <w:rPr>
          <w:bCs/>
        </w:rPr>
        <w:t>and number of stones.</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900"/>
        <w:gridCol w:w="810"/>
        <w:gridCol w:w="990"/>
        <w:gridCol w:w="630"/>
        <w:gridCol w:w="1350"/>
        <w:gridCol w:w="1260"/>
        <w:gridCol w:w="1800"/>
      </w:tblGrid>
      <w:tr w:rsidR="007B2967" w:rsidRPr="00F94255" w14:paraId="3493DF0F" w14:textId="77777777" w:rsidTr="007B2967">
        <w:trPr>
          <w:trHeight w:val="300"/>
        </w:trPr>
        <w:tc>
          <w:tcPr>
            <w:tcW w:w="1440" w:type="dxa"/>
            <w:vMerge w:val="restart"/>
            <w:noWrap/>
            <w:vAlign w:val="center"/>
            <w:hideMark/>
          </w:tcPr>
          <w:p w14:paraId="3ACC1E59" w14:textId="77777777" w:rsidR="00F2032D" w:rsidRPr="00F94255" w:rsidRDefault="007B2967" w:rsidP="00972CF9">
            <w:pPr>
              <w:rPr>
                <w:b/>
                <w:bCs/>
              </w:rPr>
            </w:pPr>
            <w:r w:rsidRPr="00F94255">
              <w:rPr>
                <w:b/>
                <w:bCs/>
              </w:rPr>
              <w:t>Age Group</w:t>
            </w:r>
          </w:p>
        </w:tc>
        <w:tc>
          <w:tcPr>
            <w:tcW w:w="2700" w:type="dxa"/>
            <w:gridSpan w:val="3"/>
            <w:noWrap/>
            <w:vAlign w:val="center"/>
            <w:hideMark/>
          </w:tcPr>
          <w:p w14:paraId="43B50A7B" w14:textId="77777777" w:rsidR="00F2032D" w:rsidRPr="00F94255" w:rsidRDefault="007B2967" w:rsidP="00972CF9">
            <w:pPr>
              <w:rPr>
                <w:b/>
                <w:bCs/>
              </w:rPr>
            </w:pPr>
            <w:r w:rsidRPr="00F94255">
              <w:rPr>
                <w:b/>
                <w:bCs/>
              </w:rPr>
              <w:t>Number of Sto</w:t>
            </w:r>
            <w:r w:rsidR="00F94255">
              <w:rPr>
                <w:b/>
                <w:bCs/>
              </w:rPr>
              <w:t>nes</w:t>
            </w:r>
          </w:p>
        </w:tc>
        <w:tc>
          <w:tcPr>
            <w:tcW w:w="630" w:type="dxa"/>
            <w:vMerge w:val="restart"/>
            <w:noWrap/>
            <w:vAlign w:val="center"/>
            <w:hideMark/>
          </w:tcPr>
          <w:p w14:paraId="135FFBD6" w14:textId="77777777" w:rsidR="00F2032D" w:rsidRPr="00F94255" w:rsidRDefault="007B2967" w:rsidP="00972CF9">
            <w:pPr>
              <w:rPr>
                <w:b/>
                <w:bCs/>
              </w:rPr>
            </w:pPr>
            <w:r w:rsidRPr="00F94255">
              <w:rPr>
                <w:b/>
                <w:bCs/>
              </w:rPr>
              <w:t>df</w:t>
            </w:r>
          </w:p>
        </w:tc>
        <w:tc>
          <w:tcPr>
            <w:tcW w:w="2610" w:type="dxa"/>
            <w:gridSpan w:val="2"/>
            <w:noWrap/>
            <w:vAlign w:val="center"/>
            <w:hideMark/>
          </w:tcPr>
          <w:p w14:paraId="644CEA7A" w14:textId="77777777" w:rsidR="00F2032D" w:rsidRPr="00F94255" w:rsidRDefault="007B2967" w:rsidP="00972CF9">
            <w:pPr>
              <w:rPr>
                <w:b/>
                <w:bCs/>
              </w:rPr>
            </w:pPr>
            <w:r w:rsidRPr="00F94255">
              <w:rPr>
                <w:b/>
                <w:bCs/>
              </w:rPr>
              <w:t>ꭕ2</w:t>
            </w:r>
          </w:p>
        </w:tc>
        <w:tc>
          <w:tcPr>
            <w:tcW w:w="1800" w:type="dxa"/>
            <w:vMerge w:val="restart"/>
            <w:noWrap/>
            <w:vAlign w:val="center"/>
            <w:hideMark/>
          </w:tcPr>
          <w:p w14:paraId="75CC2AD3" w14:textId="77777777" w:rsidR="00F2032D" w:rsidRPr="00F94255" w:rsidRDefault="007B2967" w:rsidP="00972CF9">
            <w:pPr>
              <w:rPr>
                <w:b/>
                <w:bCs/>
              </w:rPr>
            </w:pPr>
            <w:r w:rsidRPr="00F94255">
              <w:rPr>
                <w:b/>
                <w:bCs/>
              </w:rPr>
              <w:t>Inference</w:t>
            </w:r>
          </w:p>
        </w:tc>
      </w:tr>
      <w:tr w:rsidR="007B2967" w:rsidRPr="00F94255" w14:paraId="24BE4E0C" w14:textId="77777777" w:rsidTr="007B2967">
        <w:trPr>
          <w:trHeight w:val="315"/>
        </w:trPr>
        <w:tc>
          <w:tcPr>
            <w:tcW w:w="1440" w:type="dxa"/>
            <w:vMerge/>
            <w:vAlign w:val="center"/>
            <w:hideMark/>
          </w:tcPr>
          <w:p w14:paraId="27E10669" w14:textId="77777777" w:rsidR="00F2032D" w:rsidRPr="00F94255" w:rsidRDefault="00F2032D" w:rsidP="00972CF9">
            <w:pPr>
              <w:rPr>
                <w:b/>
                <w:bCs/>
              </w:rPr>
            </w:pPr>
          </w:p>
        </w:tc>
        <w:tc>
          <w:tcPr>
            <w:tcW w:w="900" w:type="dxa"/>
            <w:noWrap/>
            <w:vAlign w:val="center"/>
            <w:hideMark/>
          </w:tcPr>
          <w:p w14:paraId="7EBFBA50" w14:textId="77777777" w:rsidR="00F2032D" w:rsidRPr="00F94255" w:rsidRDefault="007B2967" w:rsidP="00972CF9">
            <w:pPr>
              <w:rPr>
                <w:b/>
                <w:bCs/>
              </w:rPr>
            </w:pPr>
            <w:r w:rsidRPr="00F94255">
              <w:rPr>
                <w:b/>
                <w:bCs/>
              </w:rPr>
              <w:t>1</w:t>
            </w:r>
          </w:p>
        </w:tc>
        <w:tc>
          <w:tcPr>
            <w:tcW w:w="810" w:type="dxa"/>
            <w:noWrap/>
            <w:vAlign w:val="center"/>
            <w:hideMark/>
          </w:tcPr>
          <w:p w14:paraId="1C5B9CE7" w14:textId="77777777" w:rsidR="00F2032D" w:rsidRPr="00F94255" w:rsidRDefault="007B2967" w:rsidP="00972CF9">
            <w:pPr>
              <w:rPr>
                <w:b/>
                <w:bCs/>
              </w:rPr>
            </w:pPr>
            <w:r w:rsidRPr="00F94255">
              <w:rPr>
                <w:b/>
                <w:bCs/>
              </w:rPr>
              <w:t>2</w:t>
            </w:r>
          </w:p>
        </w:tc>
        <w:tc>
          <w:tcPr>
            <w:tcW w:w="990" w:type="dxa"/>
            <w:noWrap/>
            <w:vAlign w:val="center"/>
            <w:hideMark/>
          </w:tcPr>
          <w:p w14:paraId="019F1DEB" w14:textId="77777777" w:rsidR="00F2032D" w:rsidRPr="00F94255" w:rsidRDefault="007B2967" w:rsidP="00972CF9">
            <w:pPr>
              <w:rPr>
                <w:b/>
                <w:bCs/>
              </w:rPr>
            </w:pPr>
            <w:r w:rsidRPr="00F94255">
              <w:rPr>
                <w:b/>
                <w:bCs/>
              </w:rPr>
              <w:t>3</w:t>
            </w:r>
          </w:p>
        </w:tc>
        <w:tc>
          <w:tcPr>
            <w:tcW w:w="630" w:type="dxa"/>
            <w:vMerge/>
            <w:vAlign w:val="center"/>
            <w:hideMark/>
          </w:tcPr>
          <w:p w14:paraId="504B653C" w14:textId="77777777" w:rsidR="00F2032D" w:rsidRPr="00F94255" w:rsidRDefault="00F2032D" w:rsidP="00972CF9">
            <w:pPr>
              <w:rPr>
                <w:b/>
                <w:bCs/>
              </w:rPr>
            </w:pPr>
          </w:p>
        </w:tc>
        <w:tc>
          <w:tcPr>
            <w:tcW w:w="1350" w:type="dxa"/>
            <w:noWrap/>
            <w:vAlign w:val="center"/>
            <w:hideMark/>
          </w:tcPr>
          <w:p w14:paraId="777796B8" w14:textId="77777777" w:rsidR="00F2032D" w:rsidRPr="00F94255" w:rsidRDefault="007B2967" w:rsidP="00972CF9">
            <w:pPr>
              <w:rPr>
                <w:b/>
                <w:bCs/>
              </w:rPr>
            </w:pPr>
            <w:r w:rsidRPr="00F94255">
              <w:rPr>
                <w:b/>
                <w:bCs/>
              </w:rPr>
              <w:t>Calculated</w:t>
            </w:r>
          </w:p>
        </w:tc>
        <w:tc>
          <w:tcPr>
            <w:tcW w:w="1260" w:type="dxa"/>
            <w:noWrap/>
            <w:vAlign w:val="center"/>
            <w:hideMark/>
          </w:tcPr>
          <w:p w14:paraId="41DE1A0A" w14:textId="77777777" w:rsidR="00F2032D" w:rsidRPr="00F94255" w:rsidRDefault="007B2967" w:rsidP="00972CF9">
            <w:pPr>
              <w:rPr>
                <w:b/>
                <w:bCs/>
              </w:rPr>
            </w:pPr>
            <w:r w:rsidRPr="00F94255">
              <w:rPr>
                <w:rFonts w:cs="Times New Roman"/>
                <w:b/>
                <w:bCs/>
              </w:rPr>
              <w:t>At α=</w:t>
            </w:r>
            <w:r w:rsidRPr="00F94255">
              <w:rPr>
                <w:b/>
                <w:bCs/>
              </w:rPr>
              <w:t>0.05</w:t>
            </w:r>
          </w:p>
        </w:tc>
        <w:tc>
          <w:tcPr>
            <w:tcW w:w="1800" w:type="dxa"/>
            <w:vMerge/>
            <w:vAlign w:val="center"/>
            <w:hideMark/>
          </w:tcPr>
          <w:p w14:paraId="0099BB97" w14:textId="77777777" w:rsidR="00F2032D" w:rsidRPr="00F94255" w:rsidRDefault="00F2032D" w:rsidP="00972CF9">
            <w:pPr>
              <w:rPr>
                <w:b/>
                <w:bCs/>
              </w:rPr>
            </w:pPr>
          </w:p>
        </w:tc>
      </w:tr>
      <w:tr w:rsidR="007B2967" w:rsidRPr="00F94255" w14:paraId="321584CC" w14:textId="77777777" w:rsidTr="007B2967">
        <w:trPr>
          <w:trHeight w:val="300"/>
        </w:trPr>
        <w:tc>
          <w:tcPr>
            <w:tcW w:w="1440" w:type="dxa"/>
            <w:noWrap/>
            <w:vAlign w:val="center"/>
            <w:hideMark/>
          </w:tcPr>
          <w:p w14:paraId="33C4F30F" w14:textId="77777777" w:rsidR="00F2032D" w:rsidRPr="00F94255" w:rsidRDefault="007B2967" w:rsidP="00972CF9">
            <w:pPr>
              <w:rPr>
                <w:bCs/>
              </w:rPr>
            </w:pPr>
            <w:r w:rsidRPr="00F94255">
              <w:rPr>
                <w:bCs/>
              </w:rPr>
              <w:t>≤ 12</w:t>
            </w:r>
          </w:p>
        </w:tc>
        <w:tc>
          <w:tcPr>
            <w:tcW w:w="900" w:type="dxa"/>
            <w:noWrap/>
            <w:vAlign w:val="center"/>
            <w:hideMark/>
          </w:tcPr>
          <w:p w14:paraId="25AD5D7B" w14:textId="77777777" w:rsidR="00F2032D" w:rsidRPr="00F94255" w:rsidRDefault="007B2967" w:rsidP="00972CF9">
            <w:r w:rsidRPr="00F94255">
              <w:t>4</w:t>
            </w:r>
          </w:p>
        </w:tc>
        <w:tc>
          <w:tcPr>
            <w:tcW w:w="810" w:type="dxa"/>
            <w:noWrap/>
            <w:vAlign w:val="center"/>
            <w:hideMark/>
          </w:tcPr>
          <w:p w14:paraId="06E7FD68" w14:textId="77777777" w:rsidR="00F2032D" w:rsidRPr="00F94255" w:rsidRDefault="007B2967" w:rsidP="00972CF9">
            <w:r w:rsidRPr="00F94255">
              <w:t>4</w:t>
            </w:r>
          </w:p>
        </w:tc>
        <w:tc>
          <w:tcPr>
            <w:tcW w:w="990" w:type="dxa"/>
            <w:noWrap/>
            <w:vAlign w:val="center"/>
            <w:hideMark/>
          </w:tcPr>
          <w:p w14:paraId="0CF14614" w14:textId="77777777" w:rsidR="00F2032D" w:rsidRPr="00F94255" w:rsidRDefault="007B2967" w:rsidP="00972CF9">
            <w:r w:rsidRPr="00F94255">
              <w:t>0</w:t>
            </w:r>
          </w:p>
        </w:tc>
        <w:tc>
          <w:tcPr>
            <w:tcW w:w="630" w:type="dxa"/>
            <w:vMerge w:val="restart"/>
            <w:noWrap/>
            <w:vAlign w:val="center"/>
            <w:hideMark/>
          </w:tcPr>
          <w:p w14:paraId="1F1A2D72" w14:textId="77777777" w:rsidR="00F2032D" w:rsidRPr="00F94255" w:rsidRDefault="007B2967" w:rsidP="00972CF9">
            <w:r w:rsidRPr="00F94255">
              <w:t>8</w:t>
            </w:r>
          </w:p>
        </w:tc>
        <w:tc>
          <w:tcPr>
            <w:tcW w:w="1350" w:type="dxa"/>
            <w:vMerge w:val="restart"/>
            <w:noWrap/>
            <w:vAlign w:val="center"/>
            <w:hideMark/>
          </w:tcPr>
          <w:p w14:paraId="4A4E24C6" w14:textId="77777777" w:rsidR="00F2032D" w:rsidRPr="00F94255" w:rsidRDefault="007B2967" w:rsidP="00972CF9">
            <w:r w:rsidRPr="00F94255">
              <w:t>6.16</w:t>
            </w:r>
          </w:p>
        </w:tc>
        <w:tc>
          <w:tcPr>
            <w:tcW w:w="1260" w:type="dxa"/>
            <w:vMerge w:val="restart"/>
            <w:noWrap/>
            <w:vAlign w:val="center"/>
            <w:hideMark/>
          </w:tcPr>
          <w:p w14:paraId="32E5A486" w14:textId="77777777" w:rsidR="00F2032D" w:rsidRPr="00F94255" w:rsidRDefault="007B2967" w:rsidP="00972CF9">
            <w:r w:rsidRPr="00F94255">
              <w:t>15.51</w:t>
            </w:r>
          </w:p>
        </w:tc>
        <w:tc>
          <w:tcPr>
            <w:tcW w:w="1800" w:type="dxa"/>
            <w:vMerge w:val="restart"/>
            <w:noWrap/>
            <w:vAlign w:val="center"/>
            <w:hideMark/>
          </w:tcPr>
          <w:p w14:paraId="2EE569B8" w14:textId="77777777" w:rsidR="00F2032D" w:rsidRPr="00F94255" w:rsidRDefault="007B2967" w:rsidP="00972CF9">
            <w:pPr>
              <w:rPr>
                <w:bCs/>
              </w:rPr>
            </w:pPr>
            <w:r w:rsidRPr="00F94255">
              <w:rPr>
                <w:bCs/>
              </w:rPr>
              <w:t>No Significant Association</w:t>
            </w:r>
          </w:p>
        </w:tc>
      </w:tr>
      <w:tr w:rsidR="007B2967" w:rsidRPr="00F94255" w14:paraId="5152BD82" w14:textId="77777777" w:rsidTr="007B2967">
        <w:trPr>
          <w:trHeight w:val="300"/>
        </w:trPr>
        <w:tc>
          <w:tcPr>
            <w:tcW w:w="1440" w:type="dxa"/>
            <w:noWrap/>
            <w:vAlign w:val="center"/>
            <w:hideMark/>
          </w:tcPr>
          <w:p w14:paraId="7E944E7D" w14:textId="77777777" w:rsidR="00F2032D" w:rsidRPr="00F94255" w:rsidRDefault="007B2967" w:rsidP="00972CF9">
            <w:pPr>
              <w:rPr>
                <w:bCs/>
              </w:rPr>
            </w:pPr>
            <w:r w:rsidRPr="00F94255">
              <w:rPr>
                <w:bCs/>
              </w:rPr>
              <w:t>13 - 19</w:t>
            </w:r>
          </w:p>
        </w:tc>
        <w:tc>
          <w:tcPr>
            <w:tcW w:w="900" w:type="dxa"/>
            <w:noWrap/>
            <w:vAlign w:val="center"/>
            <w:hideMark/>
          </w:tcPr>
          <w:p w14:paraId="1A93FD16" w14:textId="77777777" w:rsidR="00F2032D" w:rsidRPr="00F94255" w:rsidRDefault="007B2967" w:rsidP="00972CF9">
            <w:r w:rsidRPr="00F94255">
              <w:t>3</w:t>
            </w:r>
          </w:p>
        </w:tc>
        <w:tc>
          <w:tcPr>
            <w:tcW w:w="810" w:type="dxa"/>
            <w:noWrap/>
            <w:vAlign w:val="center"/>
            <w:hideMark/>
          </w:tcPr>
          <w:p w14:paraId="3A60E938" w14:textId="77777777" w:rsidR="00F2032D" w:rsidRPr="00F94255" w:rsidRDefault="007B2967" w:rsidP="00972CF9">
            <w:r w:rsidRPr="00F94255">
              <w:t>9</w:t>
            </w:r>
          </w:p>
        </w:tc>
        <w:tc>
          <w:tcPr>
            <w:tcW w:w="990" w:type="dxa"/>
            <w:noWrap/>
            <w:vAlign w:val="center"/>
            <w:hideMark/>
          </w:tcPr>
          <w:p w14:paraId="32DFD3F9" w14:textId="77777777" w:rsidR="00F2032D" w:rsidRPr="00F94255" w:rsidRDefault="007B2967" w:rsidP="00972CF9">
            <w:r w:rsidRPr="00F94255">
              <w:t>0</w:t>
            </w:r>
          </w:p>
        </w:tc>
        <w:tc>
          <w:tcPr>
            <w:tcW w:w="630" w:type="dxa"/>
            <w:vMerge/>
            <w:vAlign w:val="center"/>
            <w:hideMark/>
          </w:tcPr>
          <w:p w14:paraId="4FD3CE00" w14:textId="77777777" w:rsidR="00F2032D" w:rsidRPr="00F94255" w:rsidRDefault="00F2032D" w:rsidP="00972CF9"/>
        </w:tc>
        <w:tc>
          <w:tcPr>
            <w:tcW w:w="1350" w:type="dxa"/>
            <w:vMerge/>
            <w:vAlign w:val="center"/>
            <w:hideMark/>
          </w:tcPr>
          <w:p w14:paraId="0B92A7FA" w14:textId="77777777" w:rsidR="00F2032D" w:rsidRPr="00F94255" w:rsidRDefault="00F2032D" w:rsidP="00972CF9"/>
        </w:tc>
        <w:tc>
          <w:tcPr>
            <w:tcW w:w="1260" w:type="dxa"/>
            <w:vMerge/>
            <w:vAlign w:val="center"/>
            <w:hideMark/>
          </w:tcPr>
          <w:p w14:paraId="1442CA5C" w14:textId="77777777" w:rsidR="00F2032D" w:rsidRPr="00F94255" w:rsidRDefault="00F2032D" w:rsidP="00972CF9"/>
        </w:tc>
        <w:tc>
          <w:tcPr>
            <w:tcW w:w="1800" w:type="dxa"/>
            <w:vMerge/>
            <w:vAlign w:val="center"/>
            <w:hideMark/>
          </w:tcPr>
          <w:p w14:paraId="6159E929" w14:textId="77777777" w:rsidR="00F2032D" w:rsidRPr="00F94255" w:rsidRDefault="00F2032D" w:rsidP="00972CF9">
            <w:pPr>
              <w:rPr>
                <w:bCs/>
              </w:rPr>
            </w:pPr>
          </w:p>
        </w:tc>
      </w:tr>
      <w:tr w:rsidR="007B2967" w:rsidRPr="00F94255" w14:paraId="51336B2B" w14:textId="77777777" w:rsidTr="007B2967">
        <w:trPr>
          <w:trHeight w:val="300"/>
        </w:trPr>
        <w:tc>
          <w:tcPr>
            <w:tcW w:w="1440" w:type="dxa"/>
            <w:noWrap/>
            <w:vAlign w:val="center"/>
            <w:hideMark/>
          </w:tcPr>
          <w:p w14:paraId="6E3D087A" w14:textId="77777777" w:rsidR="00F2032D" w:rsidRPr="00F94255" w:rsidRDefault="007B2967" w:rsidP="00972CF9">
            <w:pPr>
              <w:rPr>
                <w:bCs/>
              </w:rPr>
            </w:pPr>
            <w:r w:rsidRPr="00F94255">
              <w:rPr>
                <w:bCs/>
              </w:rPr>
              <w:t>20- 39</w:t>
            </w:r>
          </w:p>
        </w:tc>
        <w:tc>
          <w:tcPr>
            <w:tcW w:w="900" w:type="dxa"/>
            <w:noWrap/>
            <w:vAlign w:val="center"/>
            <w:hideMark/>
          </w:tcPr>
          <w:p w14:paraId="367B31DF" w14:textId="77777777" w:rsidR="00F2032D" w:rsidRPr="00F94255" w:rsidRDefault="007B2967" w:rsidP="00972CF9">
            <w:r w:rsidRPr="00F94255">
              <w:t>56</w:t>
            </w:r>
          </w:p>
        </w:tc>
        <w:tc>
          <w:tcPr>
            <w:tcW w:w="810" w:type="dxa"/>
            <w:noWrap/>
            <w:vAlign w:val="center"/>
            <w:hideMark/>
          </w:tcPr>
          <w:p w14:paraId="2F35141A" w14:textId="77777777" w:rsidR="00F2032D" w:rsidRPr="00F94255" w:rsidRDefault="007B2967" w:rsidP="00972CF9">
            <w:r w:rsidRPr="00F94255">
              <w:t>99</w:t>
            </w:r>
          </w:p>
        </w:tc>
        <w:tc>
          <w:tcPr>
            <w:tcW w:w="990" w:type="dxa"/>
            <w:noWrap/>
            <w:vAlign w:val="center"/>
            <w:hideMark/>
          </w:tcPr>
          <w:p w14:paraId="2250E5FD" w14:textId="77777777" w:rsidR="00F2032D" w:rsidRPr="00F94255" w:rsidRDefault="007B2967" w:rsidP="00972CF9">
            <w:r w:rsidRPr="00F94255">
              <w:t>14</w:t>
            </w:r>
          </w:p>
        </w:tc>
        <w:tc>
          <w:tcPr>
            <w:tcW w:w="630" w:type="dxa"/>
            <w:vMerge/>
            <w:vAlign w:val="center"/>
            <w:hideMark/>
          </w:tcPr>
          <w:p w14:paraId="1493EBC3" w14:textId="77777777" w:rsidR="00F2032D" w:rsidRPr="00F94255" w:rsidRDefault="00F2032D" w:rsidP="00972CF9"/>
        </w:tc>
        <w:tc>
          <w:tcPr>
            <w:tcW w:w="1350" w:type="dxa"/>
            <w:vMerge/>
            <w:vAlign w:val="center"/>
            <w:hideMark/>
          </w:tcPr>
          <w:p w14:paraId="09C84AF2" w14:textId="77777777" w:rsidR="00F2032D" w:rsidRPr="00F94255" w:rsidRDefault="00F2032D" w:rsidP="00972CF9"/>
        </w:tc>
        <w:tc>
          <w:tcPr>
            <w:tcW w:w="1260" w:type="dxa"/>
            <w:vMerge/>
            <w:vAlign w:val="center"/>
            <w:hideMark/>
          </w:tcPr>
          <w:p w14:paraId="63EFD4BE" w14:textId="77777777" w:rsidR="00F2032D" w:rsidRPr="00F94255" w:rsidRDefault="00F2032D" w:rsidP="00972CF9"/>
        </w:tc>
        <w:tc>
          <w:tcPr>
            <w:tcW w:w="1800" w:type="dxa"/>
            <w:vMerge/>
            <w:vAlign w:val="center"/>
            <w:hideMark/>
          </w:tcPr>
          <w:p w14:paraId="02C16B06" w14:textId="77777777" w:rsidR="00F2032D" w:rsidRPr="00F94255" w:rsidRDefault="00F2032D" w:rsidP="00972CF9">
            <w:pPr>
              <w:rPr>
                <w:bCs/>
              </w:rPr>
            </w:pPr>
          </w:p>
        </w:tc>
      </w:tr>
      <w:tr w:rsidR="007B2967" w:rsidRPr="00F94255" w14:paraId="465C9887" w14:textId="77777777" w:rsidTr="007B2967">
        <w:trPr>
          <w:trHeight w:val="300"/>
        </w:trPr>
        <w:tc>
          <w:tcPr>
            <w:tcW w:w="1440" w:type="dxa"/>
            <w:noWrap/>
            <w:vAlign w:val="center"/>
            <w:hideMark/>
          </w:tcPr>
          <w:p w14:paraId="3CA32DFC" w14:textId="77777777" w:rsidR="00F2032D" w:rsidRPr="00F94255" w:rsidRDefault="007B2967" w:rsidP="00972CF9">
            <w:pPr>
              <w:rPr>
                <w:bCs/>
              </w:rPr>
            </w:pPr>
            <w:r w:rsidRPr="00F94255">
              <w:rPr>
                <w:bCs/>
              </w:rPr>
              <w:lastRenderedPageBreak/>
              <w:t>40 - 59</w:t>
            </w:r>
          </w:p>
        </w:tc>
        <w:tc>
          <w:tcPr>
            <w:tcW w:w="900" w:type="dxa"/>
            <w:noWrap/>
            <w:vAlign w:val="center"/>
            <w:hideMark/>
          </w:tcPr>
          <w:p w14:paraId="5B27F376" w14:textId="77777777" w:rsidR="00F2032D" w:rsidRPr="00F94255" w:rsidRDefault="007B2967" w:rsidP="00972CF9">
            <w:r w:rsidRPr="00F94255">
              <w:t>61</w:t>
            </w:r>
          </w:p>
        </w:tc>
        <w:tc>
          <w:tcPr>
            <w:tcW w:w="810" w:type="dxa"/>
            <w:noWrap/>
            <w:vAlign w:val="center"/>
            <w:hideMark/>
          </w:tcPr>
          <w:p w14:paraId="26B3EAAF" w14:textId="77777777" w:rsidR="00F2032D" w:rsidRPr="00F94255" w:rsidRDefault="007B2967" w:rsidP="00972CF9">
            <w:r w:rsidRPr="00F94255">
              <w:t>86</w:t>
            </w:r>
          </w:p>
        </w:tc>
        <w:tc>
          <w:tcPr>
            <w:tcW w:w="990" w:type="dxa"/>
            <w:noWrap/>
            <w:vAlign w:val="center"/>
            <w:hideMark/>
          </w:tcPr>
          <w:p w14:paraId="5F3EF5DE" w14:textId="77777777" w:rsidR="00F2032D" w:rsidRPr="00F94255" w:rsidRDefault="007B2967" w:rsidP="00972CF9">
            <w:r w:rsidRPr="00F94255">
              <w:t>13</w:t>
            </w:r>
          </w:p>
        </w:tc>
        <w:tc>
          <w:tcPr>
            <w:tcW w:w="630" w:type="dxa"/>
            <w:vMerge/>
            <w:vAlign w:val="center"/>
            <w:hideMark/>
          </w:tcPr>
          <w:p w14:paraId="0D6B2BA1" w14:textId="77777777" w:rsidR="00F2032D" w:rsidRPr="00F94255" w:rsidRDefault="00F2032D" w:rsidP="00972CF9"/>
        </w:tc>
        <w:tc>
          <w:tcPr>
            <w:tcW w:w="1350" w:type="dxa"/>
            <w:vMerge/>
            <w:vAlign w:val="center"/>
            <w:hideMark/>
          </w:tcPr>
          <w:p w14:paraId="63757B21" w14:textId="77777777" w:rsidR="00F2032D" w:rsidRPr="00F94255" w:rsidRDefault="00F2032D" w:rsidP="00972CF9"/>
        </w:tc>
        <w:tc>
          <w:tcPr>
            <w:tcW w:w="1260" w:type="dxa"/>
            <w:vMerge/>
            <w:vAlign w:val="center"/>
            <w:hideMark/>
          </w:tcPr>
          <w:p w14:paraId="2D01914F" w14:textId="77777777" w:rsidR="00F2032D" w:rsidRPr="00F94255" w:rsidRDefault="00F2032D" w:rsidP="00972CF9"/>
        </w:tc>
        <w:tc>
          <w:tcPr>
            <w:tcW w:w="1800" w:type="dxa"/>
            <w:vMerge/>
            <w:vAlign w:val="center"/>
            <w:hideMark/>
          </w:tcPr>
          <w:p w14:paraId="303041E4" w14:textId="77777777" w:rsidR="00F2032D" w:rsidRPr="00F94255" w:rsidRDefault="00F2032D" w:rsidP="00972CF9">
            <w:pPr>
              <w:rPr>
                <w:bCs/>
              </w:rPr>
            </w:pPr>
          </w:p>
        </w:tc>
      </w:tr>
      <w:tr w:rsidR="007B2967" w:rsidRPr="00F94255" w14:paraId="38305B2C" w14:textId="77777777" w:rsidTr="007B2967">
        <w:trPr>
          <w:trHeight w:val="315"/>
        </w:trPr>
        <w:tc>
          <w:tcPr>
            <w:tcW w:w="1440" w:type="dxa"/>
            <w:noWrap/>
            <w:vAlign w:val="center"/>
            <w:hideMark/>
          </w:tcPr>
          <w:p w14:paraId="69543E92" w14:textId="77777777" w:rsidR="00F2032D" w:rsidRPr="00F94255" w:rsidRDefault="007B2967" w:rsidP="00972CF9">
            <w:pPr>
              <w:rPr>
                <w:bCs/>
              </w:rPr>
            </w:pPr>
            <w:r w:rsidRPr="00F94255">
              <w:rPr>
                <w:bCs/>
              </w:rPr>
              <w:t>≥ 60</w:t>
            </w:r>
          </w:p>
        </w:tc>
        <w:tc>
          <w:tcPr>
            <w:tcW w:w="900" w:type="dxa"/>
            <w:noWrap/>
            <w:vAlign w:val="center"/>
            <w:hideMark/>
          </w:tcPr>
          <w:p w14:paraId="5FF14479" w14:textId="77777777" w:rsidR="00F2032D" w:rsidRPr="00F94255" w:rsidRDefault="007B2967" w:rsidP="00972CF9">
            <w:r w:rsidRPr="00F94255">
              <w:t>11</w:t>
            </w:r>
          </w:p>
        </w:tc>
        <w:tc>
          <w:tcPr>
            <w:tcW w:w="810" w:type="dxa"/>
            <w:noWrap/>
            <w:vAlign w:val="center"/>
            <w:hideMark/>
          </w:tcPr>
          <w:p w14:paraId="45DCC334" w14:textId="77777777" w:rsidR="00F2032D" w:rsidRPr="00F94255" w:rsidRDefault="007B2967" w:rsidP="00972CF9">
            <w:r w:rsidRPr="00F94255">
              <w:t>25</w:t>
            </w:r>
          </w:p>
        </w:tc>
        <w:tc>
          <w:tcPr>
            <w:tcW w:w="990" w:type="dxa"/>
            <w:noWrap/>
            <w:vAlign w:val="center"/>
            <w:hideMark/>
          </w:tcPr>
          <w:p w14:paraId="41397549" w14:textId="77777777" w:rsidR="00F2032D" w:rsidRPr="00F94255" w:rsidRDefault="007B2967" w:rsidP="00972CF9">
            <w:r w:rsidRPr="00F94255">
              <w:t>1</w:t>
            </w:r>
          </w:p>
        </w:tc>
        <w:tc>
          <w:tcPr>
            <w:tcW w:w="630" w:type="dxa"/>
            <w:vMerge/>
            <w:vAlign w:val="center"/>
            <w:hideMark/>
          </w:tcPr>
          <w:p w14:paraId="545551BA" w14:textId="77777777" w:rsidR="00F2032D" w:rsidRPr="00F94255" w:rsidRDefault="00F2032D" w:rsidP="00972CF9"/>
        </w:tc>
        <w:tc>
          <w:tcPr>
            <w:tcW w:w="1350" w:type="dxa"/>
            <w:vMerge/>
            <w:vAlign w:val="center"/>
            <w:hideMark/>
          </w:tcPr>
          <w:p w14:paraId="682D2F19" w14:textId="77777777" w:rsidR="00F2032D" w:rsidRPr="00F94255" w:rsidRDefault="00F2032D" w:rsidP="00972CF9"/>
        </w:tc>
        <w:tc>
          <w:tcPr>
            <w:tcW w:w="1260" w:type="dxa"/>
            <w:vMerge/>
            <w:vAlign w:val="center"/>
            <w:hideMark/>
          </w:tcPr>
          <w:p w14:paraId="2874CCD1" w14:textId="77777777" w:rsidR="00F2032D" w:rsidRPr="00F94255" w:rsidRDefault="00F2032D" w:rsidP="00972CF9"/>
        </w:tc>
        <w:tc>
          <w:tcPr>
            <w:tcW w:w="1800" w:type="dxa"/>
            <w:vMerge/>
            <w:vAlign w:val="center"/>
            <w:hideMark/>
          </w:tcPr>
          <w:p w14:paraId="23E235A2" w14:textId="77777777" w:rsidR="00F2032D" w:rsidRPr="00F94255" w:rsidRDefault="00F2032D" w:rsidP="00972CF9">
            <w:pPr>
              <w:rPr>
                <w:bCs/>
              </w:rPr>
            </w:pPr>
          </w:p>
        </w:tc>
      </w:tr>
    </w:tbl>
    <w:p w14:paraId="3226803A" w14:textId="77777777" w:rsidR="00F2032D" w:rsidRDefault="00F2032D" w:rsidP="00F2032D">
      <w:pPr>
        <w:rPr>
          <w:b/>
          <w:bCs/>
        </w:rPr>
      </w:pPr>
    </w:p>
    <w:p w14:paraId="0A11F15D" w14:textId="77777777" w:rsidR="00F2032D" w:rsidRPr="002F2D90" w:rsidRDefault="00F2032D" w:rsidP="00F2032D">
      <w:r w:rsidRPr="002F2D90">
        <w:t>The analysis of age groups and the side of occurrence showed that right-sided stones were predominant across all age groups. Bilateral stones were most common in the 20–39 age group. The chi-square test showed no significant association between age group and the side of occurrence (χ² = 3.06, df = 8, p &gt; 0.05).</w:t>
      </w:r>
    </w:p>
    <w:p w14:paraId="6D652A6A" w14:textId="77777777" w:rsidR="00F2032D" w:rsidRPr="002F2D90" w:rsidRDefault="00F2032D" w:rsidP="00F2032D">
      <w:r w:rsidRPr="002F2D90">
        <w:rPr>
          <w:b/>
          <w:bCs/>
        </w:rPr>
        <w:t xml:space="preserve">Table 4: </w:t>
      </w:r>
      <w:r w:rsidR="007B2967">
        <w:rPr>
          <w:bCs/>
        </w:rPr>
        <w:t>T</w:t>
      </w:r>
      <w:r w:rsidR="007B2967" w:rsidRPr="00CA6E62">
        <w:rPr>
          <w:bCs/>
        </w:rPr>
        <w:t xml:space="preserve">est of </w:t>
      </w:r>
      <w:r w:rsidR="007B2967">
        <w:rPr>
          <w:bCs/>
        </w:rPr>
        <w:t xml:space="preserve">association </w:t>
      </w:r>
      <w:r w:rsidR="007B2967" w:rsidRPr="00CA6E62">
        <w:rPr>
          <w:bCs/>
        </w:rPr>
        <w:t xml:space="preserve">between </w:t>
      </w:r>
      <w:r w:rsidR="007B2967">
        <w:rPr>
          <w:bCs/>
        </w:rPr>
        <w:t xml:space="preserve">age groups </w:t>
      </w:r>
      <w:r w:rsidR="007B2967" w:rsidRPr="00CA6E62">
        <w:rPr>
          <w:bCs/>
        </w:rPr>
        <w:t xml:space="preserve">and </w:t>
      </w:r>
      <w:r w:rsidR="007B2967">
        <w:rPr>
          <w:bCs/>
        </w:rPr>
        <w:t>side of occurrence of</w:t>
      </w:r>
      <w:r w:rsidR="007B2967" w:rsidRPr="00CA6E62">
        <w:rPr>
          <w:bCs/>
        </w:rPr>
        <w:t xml:space="preserve"> stones.</w:t>
      </w:r>
    </w:p>
    <w:tbl>
      <w:tblPr>
        <w:tblW w:w="960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174"/>
        <w:gridCol w:w="1056"/>
        <w:gridCol w:w="1051"/>
        <w:gridCol w:w="622"/>
        <w:gridCol w:w="1361"/>
        <w:gridCol w:w="1397"/>
        <w:gridCol w:w="1508"/>
      </w:tblGrid>
      <w:tr w:rsidR="00481785" w:rsidRPr="003D43C5" w14:paraId="086A829E" w14:textId="77777777" w:rsidTr="003D43C5">
        <w:trPr>
          <w:trHeight w:val="224"/>
        </w:trPr>
        <w:tc>
          <w:tcPr>
            <w:tcW w:w="1431" w:type="dxa"/>
            <w:vMerge w:val="restart"/>
            <w:noWrap/>
            <w:vAlign w:val="center"/>
            <w:hideMark/>
          </w:tcPr>
          <w:p w14:paraId="5D191619" w14:textId="77777777" w:rsidR="00F2032D" w:rsidRPr="003D43C5" w:rsidRDefault="007B2967" w:rsidP="00972CF9">
            <w:pPr>
              <w:rPr>
                <w:b/>
                <w:bCs/>
              </w:rPr>
            </w:pPr>
            <w:r w:rsidRPr="003D43C5">
              <w:rPr>
                <w:b/>
                <w:bCs/>
              </w:rPr>
              <w:t>Age Group</w:t>
            </w:r>
          </w:p>
        </w:tc>
        <w:tc>
          <w:tcPr>
            <w:tcW w:w="3281" w:type="dxa"/>
            <w:gridSpan w:val="3"/>
            <w:noWrap/>
            <w:vAlign w:val="bottom"/>
            <w:hideMark/>
          </w:tcPr>
          <w:p w14:paraId="2671A502" w14:textId="77777777" w:rsidR="00F2032D" w:rsidRPr="003D43C5" w:rsidRDefault="007B2967" w:rsidP="00481785">
            <w:pPr>
              <w:jc w:val="center"/>
              <w:rPr>
                <w:b/>
                <w:bCs/>
              </w:rPr>
            </w:pPr>
            <w:r w:rsidRPr="003D43C5">
              <w:rPr>
                <w:b/>
                <w:bCs/>
              </w:rPr>
              <w:t>Side of Occurrence</w:t>
            </w:r>
          </w:p>
        </w:tc>
        <w:tc>
          <w:tcPr>
            <w:tcW w:w="622" w:type="dxa"/>
            <w:vMerge w:val="restart"/>
            <w:noWrap/>
            <w:vAlign w:val="bottom"/>
            <w:hideMark/>
          </w:tcPr>
          <w:p w14:paraId="70D41517" w14:textId="77777777" w:rsidR="00F2032D" w:rsidRPr="003D43C5" w:rsidRDefault="00481785" w:rsidP="00481785">
            <w:pPr>
              <w:jc w:val="center"/>
              <w:rPr>
                <w:b/>
                <w:bCs/>
              </w:rPr>
            </w:pPr>
            <w:r w:rsidRPr="003D43C5">
              <w:rPr>
                <w:b/>
                <w:bCs/>
              </w:rPr>
              <w:t>d</w:t>
            </w:r>
            <w:r w:rsidR="007B2967" w:rsidRPr="003D43C5">
              <w:rPr>
                <w:b/>
                <w:bCs/>
              </w:rPr>
              <w:t>f</w:t>
            </w:r>
          </w:p>
        </w:tc>
        <w:tc>
          <w:tcPr>
            <w:tcW w:w="2758" w:type="dxa"/>
            <w:gridSpan w:val="2"/>
            <w:noWrap/>
            <w:vAlign w:val="bottom"/>
            <w:hideMark/>
          </w:tcPr>
          <w:p w14:paraId="133A0B9E" w14:textId="77777777" w:rsidR="00F2032D" w:rsidRPr="003D43C5" w:rsidRDefault="007B2967" w:rsidP="00481785">
            <w:pPr>
              <w:jc w:val="center"/>
              <w:rPr>
                <w:b/>
                <w:bCs/>
              </w:rPr>
            </w:pPr>
            <w:r w:rsidRPr="003D43C5">
              <w:rPr>
                <w:b/>
                <w:bCs/>
              </w:rPr>
              <w:t>ꭕ2</w:t>
            </w:r>
          </w:p>
        </w:tc>
        <w:tc>
          <w:tcPr>
            <w:tcW w:w="1508" w:type="dxa"/>
            <w:vMerge w:val="restart"/>
            <w:noWrap/>
            <w:vAlign w:val="bottom"/>
            <w:hideMark/>
          </w:tcPr>
          <w:p w14:paraId="34DC7468" w14:textId="77777777" w:rsidR="00F2032D" w:rsidRPr="003D43C5" w:rsidRDefault="007B2967" w:rsidP="00481785">
            <w:pPr>
              <w:jc w:val="center"/>
              <w:rPr>
                <w:b/>
                <w:bCs/>
              </w:rPr>
            </w:pPr>
            <w:r w:rsidRPr="003D43C5">
              <w:rPr>
                <w:b/>
                <w:bCs/>
              </w:rPr>
              <w:t>Inference</w:t>
            </w:r>
          </w:p>
        </w:tc>
      </w:tr>
      <w:tr w:rsidR="003D43C5" w:rsidRPr="003D43C5" w14:paraId="3F68B071" w14:textId="77777777" w:rsidTr="003D43C5">
        <w:trPr>
          <w:trHeight w:val="215"/>
        </w:trPr>
        <w:tc>
          <w:tcPr>
            <w:tcW w:w="1431" w:type="dxa"/>
            <w:vMerge/>
            <w:vAlign w:val="center"/>
            <w:hideMark/>
          </w:tcPr>
          <w:p w14:paraId="792189CA" w14:textId="77777777" w:rsidR="00F2032D" w:rsidRPr="003D43C5" w:rsidRDefault="00F2032D" w:rsidP="00972CF9">
            <w:pPr>
              <w:rPr>
                <w:b/>
                <w:bCs/>
              </w:rPr>
            </w:pPr>
          </w:p>
        </w:tc>
        <w:tc>
          <w:tcPr>
            <w:tcW w:w="1174" w:type="dxa"/>
            <w:noWrap/>
            <w:vAlign w:val="bottom"/>
            <w:hideMark/>
          </w:tcPr>
          <w:p w14:paraId="16AFF289" w14:textId="77777777" w:rsidR="00F2032D" w:rsidRPr="003D43C5" w:rsidRDefault="00481785" w:rsidP="00481785">
            <w:pPr>
              <w:jc w:val="center"/>
              <w:rPr>
                <w:b/>
                <w:bCs/>
              </w:rPr>
            </w:pPr>
            <w:r w:rsidRPr="003D43C5">
              <w:rPr>
                <w:b/>
                <w:bCs/>
              </w:rPr>
              <w:t>Bilateral</w:t>
            </w:r>
          </w:p>
        </w:tc>
        <w:tc>
          <w:tcPr>
            <w:tcW w:w="1056" w:type="dxa"/>
            <w:noWrap/>
            <w:vAlign w:val="bottom"/>
            <w:hideMark/>
          </w:tcPr>
          <w:p w14:paraId="76F837D3" w14:textId="77777777" w:rsidR="00F2032D" w:rsidRPr="003D43C5" w:rsidRDefault="00481785" w:rsidP="00481785">
            <w:pPr>
              <w:jc w:val="center"/>
              <w:rPr>
                <w:b/>
                <w:bCs/>
              </w:rPr>
            </w:pPr>
            <w:r w:rsidRPr="003D43C5">
              <w:rPr>
                <w:b/>
                <w:bCs/>
              </w:rPr>
              <w:t>Left</w:t>
            </w:r>
          </w:p>
        </w:tc>
        <w:tc>
          <w:tcPr>
            <w:tcW w:w="1051" w:type="dxa"/>
            <w:noWrap/>
            <w:vAlign w:val="bottom"/>
            <w:hideMark/>
          </w:tcPr>
          <w:p w14:paraId="2B82937D" w14:textId="77777777" w:rsidR="00F2032D" w:rsidRPr="003D43C5" w:rsidRDefault="00481785" w:rsidP="00481785">
            <w:pPr>
              <w:jc w:val="center"/>
              <w:rPr>
                <w:b/>
                <w:bCs/>
              </w:rPr>
            </w:pPr>
            <w:r w:rsidRPr="003D43C5">
              <w:rPr>
                <w:b/>
                <w:bCs/>
              </w:rPr>
              <w:t>Right</w:t>
            </w:r>
          </w:p>
        </w:tc>
        <w:tc>
          <w:tcPr>
            <w:tcW w:w="622" w:type="dxa"/>
            <w:vMerge/>
            <w:vAlign w:val="bottom"/>
            <w:hideMark/>
          </w:tcPr>
          <w:p w14:paraId="4B60E35F" w14:textId="77777777" w:rsidR="00F2032D" w:rsidRPr="003D43C5" w:rsidRDefault="00F2032D" w:rsidP="00481785">
            <w:pPr>
              <w:jc w:val="center"/>
              <w:rPr>
                <w:b/>
                <w:bCs/>
              </w:rPr>
            </w:pPr>
          </w:p>
        </w:tc>
        <w:tc>
          <w:tcPr>
            <w:tcW w:w="1361" w:type="dxa"/>
            <w:noWrap/>
            <w:vAlign w:val="bottom"/>
            <w:hideMark/>
          </w:tcPr>
          <w:p w14:paraId="5EFF9FDB" w14:textId="77777777" w:rsidR="00F2032D" w:rsidRPr="003D43C5" w:rsidRDefault="007B2967" w:rsidP="00481785">
            <w:pPr>
              <w:jc w:val="center"/>
              <w:rPr>
                <w:b/>
                <w:bCs/>
              </w:rPr>
            </w:pPr>
            <w:r w:rsidRPr="003D43C5">
              <w:rPr>
                <w:b/>
                <w:bCs/>
              </w:rPr>
              <w:t>Cal</w:t>
            </w:r>
            <w:r w:rsidR="00481785" w:rsidRPr="003D43C5">
              <w:rPr>
                <w:b/>
                <w:bCs/>
              </w:rPr>
              <w:t>culated</w:t>
            </w:r>
          </w:p>
        </w:tc>
        <w:tc>
          <w:tcPr>
            <w:tcW w:w="1397" w:type="dxa"/>
            <w:noWrap/>
            <w:vAlign w:val="bottom"/>
            <w:hideMark/>
          </w:tcPr>
          <w:p w14:paraId="0FA4876D" w14:textId="77777777" w:rsidR="00F2032D" w:rsidRPr="003D43C5" w:rsidRDefault="00481785" w:rsidP="00481785">
            <w:pPr>
              <w:jc w:val="center"/>
              <w:rPr>
                <w:b/>
                <w:bCs/>
              </w:rPr>
            </w:pPr>
            <w:r w:rsidRPr="003D43C5">
              <w:rPr>
                <w:rFonts w:cs="Times New Roman"/>
                <w:b/>
                <w:bCs/>
              </w:rPr>
              <w:t>At α=</w:t>
            </w:r>
            <w:r w:rsidRPr="003D43C5">
              <w:rPr>
                <w:b/>
                <w:bCs/>
              </w:rPr>
              <w:t>0.05</w:t>
            </w:r>
          </w:p>
        </w:tc>
        <w:tc>
          <w:tcPr>
            <w:tcW w:w="1508" w:type="dxa"/>
            <w:vMerge/>
            <w:vAlign w:val="bottom"/>
            <w:hideMark/>
          </w:tcPr>
          <w:p w14:paraId="35EC2588" w14:textId="77777777" w:rsidR="00F2032D" w:rsidRPr="003D43C5" w:rsidRDefault="00F2032D" w:rsidP="00481785">
            <w:pPr>
              <w:jc w:val="center"/>
              <w:rPr>
                <w:b/>
                <w:bCs/>
              </w:rPr>
            </w:pPr>
          </w:p>
        </w:tc>
      </w:tr>
      <w:tr w:rsidR="003D43C5" w:rsidRPr="003D43C5" w14:paraId="462A696E" w14:textId="77777777" w:rsidTr="003D43C5">
        <w:trPr>
          <w:trHeight w:val="300"/>
        </w:trPr>
        <w:tc>
          <w:tcPr>
            <w:tcW w:w="1431" w:type="dxa"/>
            <w:noWrap/>
            <w:vAlign w:val="center"/>
            <w:hideMark/>
          </w:tcPr>
          <w:p w14:paraId="2E45B751" w14:textId="77777777" w:rsidR="00F2032D" w:rsidRPr="003D43C5" w:rsidRDefault="007B2967" w:rsidP="00972CF9">
            <w:pPr>
              <w:rPr>
                <w:bCs/>
              </w:rPr>
            </w:pPr>
            <w:r w:rsidRPr="003D43C5">
              <w:rPr>
                <w:bCs/>
              </w:rPr>
              <w:t>≤ 12</w:t>
            </w:r>
          </w:p>
        </w:tc>
        <w:tc>
          <w:tcPr>
            <w:tcW w:w="1174" w:type="dxa"/>
            <w:noWrap/>
            <w:vAlign w:val="bottom"/>
            <w:hideMark/>
          </w:tcPr>
          <w:p w14:paraId="43967737" w14:textId="77777777" w:rsidR="00F2032D" w:rsidRPr="003D43C5" w:rsidRDefault="007B2967" w:rsidP="00481785">
            <w:pPr>
              <w:jc w:val="center"/>
            </w:pPr>
            <w:r w:rsidRPr="003D43C5">
              <w:t>2</w:t>
            </w:r>
          </w:p>
        </w:tc>
        <w:tc>
          <w:tcPr>
            <w:tcW w:w="1056" w:type="dxa"/>
            <w:noWrap/>
            <w:vAlign w:val="bottom"/>
            <w:hideMark/>
          </w:tcPr>
          <w:p w14:paraId="7E685C2F" w14:textId="77777777" w:rsidR="00F2032D" w:rsidRPr="003D43C5" w:rsidRDefault="007B2967" w:rsidP="00481785">
            <w:pPr>
              <w:jc w:val="center"/>
            </w:pPr>
            <w:r w:rsidRPr="003D43C5">
              <w:t>3</w:t>
            </w:r>
          </w:p>
        </w:tc>
        <w:tc>
          <w:tcPr>
            <w:tcW w:w="1051" w:type="dxa"/>
            <w:noWrap/>
            <w:vAlign w:val="bottom"/>
            <w:hideMark/>
          </w:tcPr>
          <w:p w14:paraId="04A563CD" w14:textId="77777777" w:rsidR="00F2032D" w:rsidRPr="003D43C5" w:rsidRDefault="007B2967" w:rsidP="00481785">
            <w:pPr>
              <w:jc w:val="center"/>
            </w:pPr>
            <w:r w:rsidRPr="003D43C5">
              <w:t>3</w:t>
            </w:r>
          </w:p>
        </w:tc>
        <w:tc>
          <w:tcPr>
            <w:tcW w:w="622" w:type="dxa"/>
            <w:vMerge w:val="restart"/>
            <w:noWrap/>
            <w:vAlign w:val="bottom"/>
            <w:hideMark/>
          </w:tcPr>
          <w:p w14:paraId="57F2522A" w14:textId="77777777" w:rsidR="00F2032D" w:rsidRPr="003D43C5" w:rsidRDefault="007B2967" w:rsidP="00481785">
            <w:pPr>
              <w:jc w:val="center"/>
            </w:pPr>
            <w:r w:rsidRPr="003D43C5">
              <w:t>8</w:t>
            </w:r>
          </w:p>
        </w:tc>
        <w:tc>
          <w:tcPr>
            <w:tcW w:w="1361" w:type="dxa"/>
            <w:vMerge w:val="restart"/>
            <w:noWrap/>
            <w:vAlign w:val="bottom"/>
            <w:hideMark/>
          </w:tcPr>
          <w:p w14:paraId="0646F2EC" w14:textId="77777777" w:rsidR="00F2032D" w:rsidRPr="003D43C5" w:rsidRDefault="007B2967" w:rsidP="00481785">
            <w:pPr>
              <w:jc w:val="center"/>
            </w:pPr>
            <w:r w:rsidRPr="003D43C5">
              <w:t>3.06</w:t>
            </w:r>
          </w:p>
        </w:tc>
        <w:tc>
          <w:tcPr>
            <w:tcW w:w="1397" w:type="dxa"/>
            <w:vMerge w:val="restart"/>
            <w:noWrap/>
            <w:vAlign w:val="bottom"/>
            <w:hideMark/>
          </w:tcPr>
          <w:p w14:paraId="6AE1FD28" w14:textId="77777777" w:rsidR="00F2032D" w:rsidRPr="003D43C5" w:rsidRDefault="007B2967" w:rsidP="00481785">
            <w:pPr>
              <w:jc w:val="center"/>
            </w:pPr>
            <w:r w:rsidRPr="003D43C5">
              <w:t>15.51</w:t>
            </w:r>
          </w:p>
        </w:tc>
        <w:tc>
          <w:tcPr>
            <w:tcW w:w="1508" w:type="dxa"/>
            <w:vMerge w:val="restart"/>
            <w:noWrap/>
            <w:vAlign w:val="bottom"/>
            <w:hideMark/>
          </w:tcPr>
          <w:p w14:paraId="7AB9D4EC" w14:textId="77777777" w:rsidR="00F2032D" w:rsidRPr="003D43C5" w:rsidRDefault="007B2967" w:rsidP="00481785">
            <w:pPr>
              <w:jc w:val="center"/>
              <w:rPr>
                <w:bCs/>
              </w:rPr>
            </w:pPr>
            <w:r w:rsidRPr="003D43C5">
              <w:rPr>
                <w:bCs/>
              </w:rPr>
              <w:t>No Significant Association</w:t>
            </w:r>
          </w:p>
        </w:tc>
      </w:tr>
      <w:tr w:rsidR="003D43C5" w:rsidRPr="003D43C5" w14:paraId="43039A74" w14:textId="77777777" w:rsidTr="003D43C5">
        <w:trPr>
          <w:trHeight w:val="300"/>
        </w:trPr>
        <w:tc>
          <w:tcPr>
            <w:tcW w:w="1431" w:type="dxa"/>
            <w:noWrap/>
            <w:vAlign w:val="center"/>
            <w:hideMark/>
          </w:tcPr>
          <w:p w14:paraId="641B7900" w14:textId="77777777" w:rsidR="00F2032D" w:rsidRPr="003D43C5" w:rsidRDefault="007B2967" w:rsidP="00972CF9">
            <w:pPr>
              <w:rPr>
                <w:bCs/>
              </w:rPr>
            </w:pPr>
            <w:r w:rsidRPr="003D43C5">
              <w:rPr>
                <w:bCs/>
              </w:rPr>
              <w:t>13 - 19</w:t>
            </w:r>
          </w:p>
        </w:tc>
        <w:tc>
          <w:tcPr>
            <w:tcW w:w="1174" w:type="dxa"/>
            <w:noWrap/>
            <w:vAlign w:val="bottom"/>
            <w:hideMark/>
          </w:tcPr>
          <w:p w14:paraId="0CFDDF40" w14:textId="77777777" w:rsidR="00F2032D" w:rsidRPr="003D43C5" w:rsidRDefault="007B2967" w:rsidP="00481785">
            <w:pPr>
              <w:jc w:val="center"/>
            </w:pPr>
            <w:r w:rsidRPr="003D43C5">
              <w:t>3</w:t>
            </w:r>
          </w:p>
        </w:tc>
        <w:tc>
          <w:tcPr>
            <w:tcW w:w="1056" w:type="dxa"/>
            <w:noWrap/>
            <w:vAlign w:val="bottom"/>
            <w:hideMark/>
          </w:tcPr>
          <w:p w14:paraId="026A6376" w14:textId="77777777" w:rsidR="00F2032D" w:rsidRPr="003D43C5" w:rsidRDefault="007B2967" w:rsidP="00481785">
            <w:pPr>
              <w:jc w:val="center"/>
            </w:pPr>
            <w:r w:rsidRPr="003D43C5">
              <w:t>3</w:t>
            </w:r>
          </w:p>
        </w:tc>
        <w:tc>
          <w:tcPr>
            <w:tcW w:w="1051" w:type="dxa"/>
            <w:noWrap/>
            <w:vAlign w:val="bottom"/>
            <w:hideMark/>
          </w:tcPr>
          <w:p w14:paraId="467644BD" w14:textId="77777777" w:rsidR="00F2032D" w:rsidRPr="003D43C5" w:rsidRDefault="007B2967" w:rsidP="00481785">
            <w:pPr>
              <w:jc w:val="center"/>
            </w:pPr>
            <w:r w:rsidRPr="003D43C5">
              <w:t>6</w:t>
            </w:r>
          </w:p>
        </w:tc>
        <w:tc>
          <w:tcPr>
            <w:tcW w:w="622" w:type="dxa"/>
            <w:vMerge/>
            <w:vAlign w:val="bottom"/>
            <w:hideMark/>
          </w:tcPr>
          <w:p w14:paraId="4237DA35" w14:textId="77777777" w:rsidR="00F2032D" w:rsidRPr="003D43C5" w:rsidRDefault="00F2032D" w:rsidP="00481785">
            <w:pPr>
              <w:jc w:val="center"/>
            </w:pPr>
          </w:p>
        </w:tc>
        <w:tc>
          <w:tcPr>
            <w:tcW w:w="1361" w:type="dxa"/>
            <w:vMerge/>
            <w:vAlign w:val="bottom"/>
            <w:hideMark/>
          </w:tcPr>
          <w:p w14:paraId="73BB0209" w14:textId="77777777" w:rsidR="00F2032D" w:rsidRPr="003D43C5" w:rsidRDefault="00F2032D" w:rsidP="00481785">
            <w:pPr>
              <w:jc w:val="center"/>
            </w:pPr>
          </w:p>
        </w:tc>
        <w:tc>
          <w:tcPr>
            <w:tcW w:w="1397" w:type="dxa"/>
            <w:vMerge/>
            <w:vAlign w:val="bottom"/>
            <w:hideMark/>
          </w:tcPr>
          <w:p w14:paraId="684A0ADA" w14:textId="77777777" w:rsidR="00F2032D" w:rsidRPr="003D43C5" w:rsidRDefault="00F2032D" w:rsidP="00481785">
            <w:pPr>
              <w:jc w:val="center"/>
            </w:pPr>
          </w:p>
        </w:tc>
        <w:tc>
          <w:tcPr>
            <w:tcW w:w="1508" w:type="dxa"/>
            <w:vMerge/>
            <w:vAlign w:val="bottom"/>
            <w:hideMark/>
          </w:tcPr>
          <w:p w14:paraId="7B8F497F" w14:textId="77777777" w:rsidR="00F2032D" w:rsidRPr="003D43C5" w:rsidRDefault="00F2032D" w:rsidP="00481785">
            <w:pPr>
              <w:jc w:val="center"/>
              <w:rPr>
                <w:bCs/>
              </w:rPr>
            </w:pPr>
          </w:p>
        </w:tc>
      </w:tr>
      <w:tr w:rsidR="003D43C5" w:rsidRPr="003D43C5" w14:paraId="1FE71343" w14:textId="77777777" w:rsidTr="003D43C5">
        <w:trPr>
          <w:trHeight w:val="300"/>
        </w:trPr>
        <w:tc>
          <w:tcPr>
            <w:tcW w:w="1431" w:type="dxa"/>
            <w:noWrap/>
            <w:vAlign w:val="center"/>
            <w:hideMark/>
          </w:tcPr>
          <w:p w14:paraId="7C491DCB" w14:textId="77777777" w:rsidR="00F2032D" w:rsidRPr="003D43C5" w:rsidRDefault="007B2967" w:rsidP="00972CF9">
            <w:pPr>
              <w:rPr>
                <w:bCs/>
              </w:rPr>
            </w:pPr>
            <w:r w:rsidRPr="003D43C5">
              <w:rPr>
                <w:bCs/>
              </w:rPr>
              <w:t>20- 39</w:t>
            </w:r>
          </w:p>
        </w:tc>
        <w:tc>
          <w:tcPr>
            <w:tcW w:w="1174" w:type="dxa"/>
            <w:noWrap/>
            <w:vAlign w:val="bottom"/>
            <w:hideMark/>
          </w:tcPr>
          <w:p w14:paraId="1C08E3CB" w14:textId="77777777" w:rsidR="00F2032D" w:rsidRPr="003D43C5" w:rsidRDefault="007B2967" w:rsidP="00481785">
            <w:pPr>
              <w:jc w:val="center"/>
            </w:pPr>
            <w:r w:rsidRPr="003D43C5">
              <w:t>44</w:t>
            </w:r>
          </w:p>
        </w:tc>
        <w:tc>
          <w:tcPr>
            <w:tcW w:w="1056" w:type="dxa"/>
            <w:noWrap/>
            <w:vAlign w:val="bottom"/>
            <w:hideMark/>
          </w:tcPr>
          <w:p w14:paraId="1C179DB8" w14:textId="77777777" w:rsidR="00F2032D" w:rsidRPr="003D43C5" w:rsidRDefault="007B2967" w:rsidP="00481785">
            <w:pPr>
              <w:jc w:val="center"/>
            </w:pPr>
            <w:r w:rsidRPr="003D43C5">
              <w:t>62</w:t>
            </w:r>
          </w:p>
        </w:tc>
        <w:tc>
          <w:tcPr>
            <w:tcW w:w="1051" w:type="dxa"/>
            <w:noWrap/>
            <w:vAlign w:val="bottom"/>
            <w:hideMark/>
          </w:tcPr>
          <w:p w14:paraId="510A4D72" w14:textId="77777777" w:rsidR="00F2032D" w:rsidRPr="003D43C5" w:rsidRDefault="007B2967" w:rsidP="00481785">
            <w:pPr>
              <w:jc w:val="center"/>
            </w:pPr>
            <w:r w:rsidRPr="003D43C5">
              <w:t>63</w:t>
            </w:r>
          </w:p>
        </w:tc>
        <w:tc>
          <w:tcPr>
            <w:tcW w:w="622" w:type="dxa"/>
            <w:vMerge/>
            <w:vAlign w:val="bottom"/>
            <w:hideMark/>
          </w:tcPr>
          <w:p w14:paraId="1349F1B2" w14:textId="77777777" w:rsidR="00F2032D" w:rsidRPr="003D43C5" w:rsidRDefault="00F2032D" w:rsidP="00481785">
            <w:pPr>
              <w:jc w:val="center"/>
            </w:pPr>
          </w:p>
        </w:tc>
        <w:tc>
          <w:tcPr>
            <w:tcW w:w="1361" w:type="dxa"/>
            <w:vMerge/>
            <w:vAlign w:val="bottom"/>
            <w:hideMark/>
          </w:tcPr>
          <w:p w14:paraId="16CA06FE" w14:textId="77777777" w:rsidR="00F2032D" w:rsidRPr="003D43C5" w:rsidRDefault="00F2032D" w:rsidP="00481785">
            <w:pPr>
              <w:jc w:val="center"/>
            </w:pPr>
          </w:p>
        </w:tc>
        <w:tc>
          <w:tcPr>
            <w:tcW w:w="1397" w:type="dxa"/>
            <w:vMerge/>
            <w:vAlign w:val="bottom"/>
            <w:hideMark/>
          </w:tcPr>
          <w:p w14:paraId="5F7B0322" w14:textId="77777777" w:rsidR="00F2032D" w:rsidRPr="003D43C5" w:rsidRDefault="00F2032D" w:rsidP="00481785">
            <w:pPr>
              <w:jc w:val="center"/>
            </w:pPr>
          </w:p>
        </w:tc>
        <w:tc>
          <w:tcPr>
            <w:tcW w:w="1508" w:type="dxa"/>
            <w:vMerge/>
            <w:vAlign w:val="bottom"/>
            <w:hideMark/>
          </w:tcPr>
          <w:p w14:paraId="0D34066C" w14:textId="77777777" w:rsidR="00F2032D" w:rsidRPr="003D43C5" w:rsidRDefault="00F2032D" w:rsidP="00481785">
            <w:pPr>
              <w:jc w:val="center"/>
              <w:rPr>
                <w:bCs/>
              </w:rPr>
            </w:pPr>
          </w:p>
        </w:tc>
      </w:tr>
      <w:tr w:rsidR="003D43C5" w:rsidRPr="003D43C5" w14:paraId="787575DC" w14:textId="77777777" w:rsidTr="003D43C5">
        <w:trPr>
          <w:trHeight w:val="300"/>
        </w:trPr>
        <w:tc>
          <w:tcPr>
            <w:tcW w:w="1431" w:type="dxa"/>
            <w:noWrap/>
            <w:vAlign w:val="center"/>
            <w:hideMark/>
          </w:tcPr>
          <w:p w14:paraId="7EDAA363" w14:textId="77777777" w:rsidR="00F2032D" w:rsidRPr="003D43C5" w:rsidRDefault="007B2967" w:rsidP="00972CF9">
            <w:pPr>
              <w:rPr>
                <w:bCs/>
              </w:rPr>
            </w:pPr>
            <w:r w:rsidRPr="003D43C5">
              <w:rPr>
                <w:bCs/>
              </w:rPr>
              <w:t>40 - 59</w:t>
            </w:r>
          </w:p>
        </w:tc>
        <w:tc>
          <w:tcPr>
            <w:tcW w:w="1174" w:type="dxa"/>
            <w:noWrap/>
            <w:vAlign w:val="bottom"/>
            <w:hideMark/>
          </w:tcPr>
          <w:p w14:paraId="24BB1A0F" w14:textId="77777777" w:rsidR="00F2032D" w:rsidRPr="003D43C5" w:rsidRDefault="007B2967" w:rsidP="00481785">
            <w:pPr>
              <w:jc w:val="center"/>
            </w:pPr>
            <w:r w:rsidRPr="003D43C5">
              <w:t>35</w:t>
            </w:r>
          </w:p>
        </w:tc>
        <w:tc>
          <w:tcPr>
            <w:tcW w:w="1056" w:type="dxa"/>
            <w:noWrap/>
            <w:vAlign w:val="bottom"/>
            <w:hideMark/>
          </w:tcPr>
          <w:p w14:paraId="38E36620" w14:textId="77777777" w:rsidR="00F2032D" w:rsidRPr="003D43C5" w:rsidRDefault="007B2967" w:rsidP="00481785">
            <w:pPr>
              <w:jc w:val="center"/>
            </w:pPr>
            <w:r w:rsidRPr="003D43C5">
              <w:t>54</w:t>
            </w:r>
          </w:p>
        </w:tc>
        <w:tc>
          <w:tcPr>
            <w:tcW w:w="1051" w:type="dxa"/>
            <w:noWrap/>
            <w:vAlign w:val="bottom"/>
            <w:hideMark/>
          </w:tcPr>
          <w:p w14:paraId="06D1A7B4" w14:textId="77777777" w:rsidR="00F2032D" w:rsidRPr="003D43C5" w:rsidRDefault="007B2967" w:rsidP="00481785">
            <w:pPr>
              <w:jc w:val="center"/>
            </w:pPr>
            <w:r w:rsidRPr="003D43C5">
              <w:t>71</w:t>
            </w:r>
          </w:p>
        </w:tc>
        <w:tc>
          <w:tcPr>
            <w:tcW w:w="622" w:type="dxa"/>
            <w:vMerge/>
            <w:vAlign w:val="bottom"/>
            <w:hideMark/>
          </w:tcPr>
          <w:p w14:paraId="341B6235" w14:textId="77777777" w:rsidR="00F2032D" w:rsidRPr="003D43C5" w:rsidRDefault="00F2032D" w:rsidP="00481785">
            <w:pPr>
              <w:jc w:val="center"/>
            </w:pPr>
          </w:p>
        </w:tc>
        <w:tc>
          <w:tcPr>
            <w:tcW w:w="1361" w:type="dxa"/>
            <w:vMerge/>
            <w:vAlign w:val="bottom"/>
            <w:hideMark/>
          </w:tcPr>
          <w:p w14:paraId="19935F7A" w14:textId="77777777" w:rsidR="00F2032D" w:rsidRPr="003D43C5" w:rsidRDefault="00F2032D" w:rsidP="00481785">
            <w:pPr>
              <w:jc w:val="center"/>
            </w:pPr>
          </w:p>
        </w:tc>
        <w:tc>
          <w:tcPr>
            <w:tcW w:w="1397" w:type="dxa"/>
            <w:vMerge/>
            <w:vAlign w:val="bottom"/>
            <w:hideMark/>
          </w:tcPr>
          <w:p w14:paraId="45C28517" w14:textId="77777777" w:rsidR="00F2032D" w:rsidRPr="003D43C5" w:rsidRDefault="00F2032D" w:rsidP="00481785">
            <w:pPr>
              <w:jc w:val="center"/>
            </w:pPr>
          </w:p>
        </w:tc>
        <w:tc>
          <w:tcPr>
            <w:tcW w:w="1508" w:type="dxa"/>
            <w:vMerge/>
            <w:vAlign w:val="bottom"/>
            <w:hideMark/>
          </w:tcPr>
          <w:p w14:paraId="52789EEB" w14:textId="77777777" w:rsidR="00F2032D" w:rsidRPr="003D43C5" w:rsidRDefault="00F2032D" w:rsidP="00481785">
            <w:pPr>
              <w:jc w:val="center"/>
              <w:rPr>
                <w:bCs/>
              </w:rPr>
            </w:pPr>
          </w:p>
        </w:tc>
      </w:tr>
      <w:tr w:rsidR="003D43C5" w:rsidRPr="003D43C5" w14:paraId="469F398F" w14:textId="77777777" w:rsidTr="003D43C5">
        <w:trPr>
          <w:trHeight w:val="315"/>
        </w:trPr>
        <w:tc>
          <w:tcPr>
            <w:tcW w:w="1431" w:type="dxa"/>
            <w:noWrap/>
            <w:vAlign w:val="center"/>
            <w:hideMark/>
          </w:tcPr>
          <w:p w14:paraId="4D37669E" w14:textId="77777777" w:rsidR="00F2032D" w:rsidRPr="003D43C5" w:rsidRDefault="007B2967" w:rsidP="00972CF9">
            <w:pPr>
              <w:rPr>
                <w:bCs/>
              </w:rPr>
            </w:pPr>
            <w:r w:rsidRPr="003D43C5">
              <w:rPr>
                <w:bCs/>
              </w:rPr>
              <w:t>≥ 60</w:t>
            </w:r>
          </w:p>
        </w:tc>
        <w:tc>
          <w:tcPr>
            <w:tcW w:w="1174" w:type="dxa"/>
            <w:noWrap/>
            <w:vAlign w:val="bottom"/>
            <w:hideMark/>
          </w:tcPr>
          <w:p w14:paraId="6168923D" w14:textId="77777777" w:rsidR="00F2032D" w:rsidRPr="003D43C5" w:rsidRDefault="007B2967" w:rsidP="00481785">
            <w:pPr>
              <w:jc w:val="center"/>
            </w:pPr>
            <w:r w:rsidRPr="003D43C5">
              <w:t>10</w:t>
            </w:r>
          </w:p>
        </w:tc>
        <w:tc>
          <w:tcPr>
            <w:tcW w:w="1056" w:type="dxa"/>
            <w:noWrap/>
            <w:vAlign w:val="bottom"/>
            <w:hideMark/>
          </w:tcPr>
          <w:p w14:paraId="03BF1C02" w14:textId="77777777" w:rsidR="00F2032D" w:rsidRPr="003D43C5" w:rsidRDefault="007B2967" w:rsidP="00481785">
            <w:pPr>
              <w:jc w:val="center"/>
            </w:pPr>
            <w:r w:rsidRPr="003D43C5">
              <w:t>13</w:t>
            </w:r>
          </w:p>
        </w:tc>
        <w:tc>
          <w:tcPr>
            <w:tcW w:w="1051" w:type="dxa"/>
            <w:noWrap/>
            <w:vAlign w:val="bottom"/>
            <w:hideMark/>
          </w:tcPr>
          <w:p w14:paraId="55A23724" w14:textId="77777777" w:rsidR="00F2032D" w:rsidRPr="003D43C5" w:rsidRDefault="007B2967" w:rsidP="00481785">
            <w:pPr>
              <w:jc w:val="center"/>
            </w:pPr>
            <w:r w:rsidRPr="003D43C5">
              <w:t>14</w:t>
            </w:r>
          </w:p>
        </w:tc>
        <w:tc>
          <w:tcPr>
            <w:tcW w:w="622" w:type="dxa"/>
            <w:vMerge/>
            <w:vAlign w:val="bottom"/>
            <w:hideMark/>
          </w:tcPr>
          <w:p w14:paraId="4B2A45AE" w14:textId="77777777" w:rsidR="00F2032D" w:rsidRPr="003D43C5" w:rsidRDefault="00F2032D" w:rsidP="00481785">
            <w:pPr>
              <w:jc w:val="center"/>
            </w:pPr>
          </w:p>
        </w:tc>
        <w:tc>
          <w:tcPr>
            <w:tcW w:w="1361" w:type="dxa"/>
            <w:vMerge/>
            <w:vAlign w:val="bottom"/>
            <w:hideMark/>
          </w:tcPr>
          <w:p w14:paraId="2FC009BD" w14:textId="77777777" w:rsidR="00F2032D" w:rsidRPr="003D43C5" w:rsidRDefault="00F2032D" w:rsidP="00481785">
            <w:pPr>
              <w:jc w:val="center"/>
            </w:pPr>
          </w:p>
        </w:tc>
        <w:tc>
          <w:tcPr>
            <w:tcW w:w="1397" w:type="dxa"/>
            <w:vMerge/>
            <w:vAlign w:val="bottom"/>
            <w:hideMark/>
          </w:tcPr>
          <w:p w14:paraId="75427637" w14:textId="77777777" w:rsidR="00F2032D" w:rsidRPr="003D43C5" w:rsidRDefault="00F2032D" w:rsidP="00481785">
            <w:pPr>
              <w:jc w:val="center"/>
            </w:pPr>
          </w:p>
        </w:tc>
        <w:tc>
          <w:tcPr>
            <w:tcW w:w="1508" w:type="dxa"/>
            <w:vMerge/>
            <w:vAlign w:val="bottom"/>
            <w:hideMark/>
          </w:tcPr>
          <w:p w14:paraId="11BE2507" w14:textId="77777777" w:rsidR="00F2032D" w:rsidRPr="003D43C5" w:rsidRDefault="00F2032D" w:rsidP="00481785">
            <w:pPr>
              <w:jc w:val="center"/>
              <w:rPr>
                <w:bCs/>
              </w:rPr>
            </w:pPr>
          </w:p>
        </w:tc>
      </w:tr>
    </w:tbl>
    <w:p w14:paraId="65700FBE" w14:textId="77777777" w:rsidR="00F2032D" w:rsidRDefault="00F2032D" w:rsidP="00F2032D"/>
    <w:p w14:paraId="1718E257" w14:textId="77777777" w:rsidR="00481785" w:rsidRPr="002F2D90" w:rsidRDefault="00481785" w:rsidP="00481785">
      <w:r w:rsidRPr="002F2D90">
        <w:t>The analysis of age groups and the side of occurrence showed that right-sided stones were predominant across all age groups. Bilateral stones were most common in the 20–39 age group. The chi-square test showed no significant association between age group and the side of occurrenc</w:t>
      </w:r>
      <w:r>
        <w:t xml:space="preserve">e (χ² = </w:t>
      </w:r>
      <w:r w:rsidR="00A210BF">
        <w:t>3.06, df = 8, p &gt; 0.05), Table 4</w:t>
      </w:r>
      <w:r>
        <w:t>.</w:t>
      </w:r>
    </w:p>
    <w:p w14:paraId="63C43ED8" w14:textId="33122F18" w:rsidR="00F2032D" w:rsidRDefault="00F2032D" w:rsidP="00F2032D">
      <w:r w:rsidRPr="00816D50">
        <w:lastRenderedPageBreak/>
        <w:t xml:space="preserve">The findings of this study provide valuable insights into the demographic and clinical patterns of kidney stone occurrence among patients at </w:t>
      </w:r>
      <w:proofErr w:type="spellStart"/>
      <w:r w:rsidRPr="00816D50">
        <w:t>SaveALife</w:t>
      </w:r>
      <w:proofErr w:type="spellEnd"/>
      <w:r w:rsidRPr="00816D50">
        <w:t xml:space="preserve"> Mission Hospital in Port Harcourt, Nigeria, over a three-yea</w:t>
      </w:r>
      <w:r>
        <w:t xml:space="preserve">r period. The </w:t>
      </w:r>
      <w:r w:rsidRPr="006B3304">
        <w:rPr>
          <w:highlight w:val="yellow"/>
        </w:rPr>
        <w:t xml:space="preserve">study </w:t>
      </w:r>
      <w:proofErr w:type="spellStart"/>
      <w:r w:rsidR="00811CED" w:rsidRPr="006B3304">
        <w:rPr>
          <w:highlight w:val="yellow"/>
        </w:rPr>
        <w:t>analysed</w:t>
      </w:r>
      <w:proofErr w:type="spellEnd"/>
      <w:r w:rsidR="00811CED" w:rsidRPr="006B3304">
        <w:rPr>
          <w:highlight w:val="yellow"/>
        </w:rPr>
        <w:t xml:space="preserve"> </w:t>
      </w:r>
      <w:r w:rsidRPr="006B3304">
        <w:rPr>
          <w:highlight w:val="yellow"/>
        </w:rPr>
        <w:t>386 kidney sto</w:t>
      </w:r>
      <w:r w:rsidRPr="00816D50">
        <w:t>ne cases, focusing on the distribution by sex, age group, and side of occurrence. </w:t>
      </w:r>
    </w:p>
    <w:p w14:paraId="7AABCDF7" w14:textId="77777777" w:rsidR="00F2032D" w:rsidRPr="00816D50" w:rsidRDefault="00F2032D" w:rsidP="00F2032D">
      <w:pPr>
        <w:rPr>
          <w:b/>
          <w:bCs/>
        </w:rPr>
      </w:pPr>
      <w:r w:rsidRPr="00816D50">
        <w:rPr>
          <w:b/>
          <w:bCs/>
        </w:rPr>
        <w:t>Prevalence among Females</w:t>
      </w:r>
    </w:p>
    <w:p w14:paraId="2C097358" w14:textId="77777777" w:rsidR="00F2032D" w:rsidRPr="00816D50" w:rsidRDefault="00F2032D" w:rsidP="00F2032D">
      <w:pPr>
        <w:rPr>
          <w:bCs/>
        </w:rPr>
      </w:pPr>
      <w:r w:rsidRPr="00816D50">
        <w:rPr>
          <w:bCs/>
        </w:rPr>
        <w:t>The results revealed that females accounted for 62% (245 cases) of kidney stone cases, while males accounted for 38% (141 cases). Among females, 91 (23%) had one stone, 134 (34%) had two stones, and 20 (5%) had three stones. For males, 44 (12%) had one stone, 89 (23%) had two stones, and 8 (2%) had three stones. While the chi-square analysis indicated no statistically significant association between sex and the number of stones (p &gt; 0.05), the higher proportion of cases among females aligns with some regional studies.</w:t>
      </w:r>
    </w:p>
    <w:p w14:paraId="019ABF21" w14:textId="5BA5772C" w:rsidR="00F2032D" w:rsidRPr="00816D50" w:rsidRDefault="00F2032D" w:rsidP="00F2032D">
      <w:pPr>
        <w:rPr>
          <w:bCs/>
        </w:rPr>
      </w:pPr>
      <w:r w:rsidRPr="00816D50">
        <w:rPr>
          <w:bCs/>
        </w:rPr>
        <w:t xml:space="preserve">Hormonal factors, such as the role of estrogen, may explain the slightly higher prevalence in females, as estrogen has been suggested to reduce the formation of calcium oxalate stones (Pearle et al., 2014). However, global studies report that kidney stones are typically more prevalent in males, particularly in </w:t>
      </w:r>
      <w:proofErr w:type="spellStart"/>
      <w:r w:rsidR="00811CED" w:rsidRPr="006B3304">
        <w:rPr>
          <w:bCs/>
          <w:highlight w:val="yellow"/>
        </w:rPr>
        <w:t>industrialised</w:t>
      </w:r>
      <w:proofErr w:type="spellEnd"/>
      <w:r w:rsidR="00811CED" w:rsidRPr="006B3304">
        <w:rPr>
          <w:bCs/>
          <w:highlight w:val="yellow"/>
        </w:rPr>
        <w:t xml:space="preserve"> </w:t>
      </w:r>
      <w:r w:rsidRPr="006B3304">
        <w:rPr>
          <w:bCs/>
          <w:highlight w:val="yellow"/>
        </w:rPr>
        <w:t>countries, whe</w:t>
      </w:r>
      <w:r w:rsidRPr="00816D50">
        <w:rPr>
          <w:bCs/>
        </w:rPr>
        <w:t>re dietary patterns and occupational dehydration risks are more prominent (Scales et al., 2012). The divergence in this study may reflect local dietary and healthcare factors specific to the Port Harcourt population.</w:t>
      </w:r>
    </w:p>
    <w:p w14:paraId="28A30565" w14:textId="77777777" w:rsidR="00F2032D" w:rsidRPr="00816D50" w:rsidRDefault="00F2032D" w:rsidP="00F2032D">
      <w:pPr>
        <w:rPr>
          <w:b/>
          <w:bCs/>
        </w:rPr>
      </w:pPr>
      <w:r w:rsidRPr="00816D50">
        <w:rPr>
          <w:b/>
          <w:bCs/>
        </w:rPr>
        <w:t>Age Group Trends</w:t>
      </w:r>
    </w:p>
    <w:p w14:paraId="1112B436" w14:textId="75D9A973" w:rsidR="00F2032D" w:rsidRPr="00816D50" w:rsidRDefault="00F2032D" w:rsidP="00F2032D">
      <w:pPr>
        <w:rPr>
          <w:bCs/>
        </w:rPr>
      </w:pPr>
      <w:r w:rsidRPr="00816D50">
        <w:rPr>
          <w:bCs/>
        </w:rPr>
        <w:t>The study found that the 20–39</w:t>
      </w:r>
      <w:r w:rsidR="00811CED">
        <w:rPr>
          <w:bCs/>
        </w:rPr>
        <w:t>-year</w:t>
      </w:r>
      <w:r w:rsidRPr="00816D50">
        <w:rPr>
          <w:bCs/>
        </w:rPr>
        <w:t xml:space="preserve"> age group accounted for 42% (169 cases) of kidney stone occurrences, the highest among all age groups. Within this group, 56 individuals (14%) had one stone, 99 (25%) had two stones, and 14 (4%) had three stones. The prevalence decreased in the older age groups, with the 40–59 years group accounting for 33% (133 cases) and the 60 years and above group accounting for 25% (84 cases).</w:t>
      </w:r>
    </w:p>
    <w:p w14:paraId="1598234B" w14:textId="4061688A" w:rsidR="00F2032D" w:rsidRPr="00816D50" w:rsidRDefault="00F2032D" w:rsidP="00F2032D">
      <w:pPr>
        <w:rPr>
          <w:bCs/>
        </w:rPr>
      </w:pPr>
      <w:r w:rsidRPr="00816D50">
        <w:rPr>
          <w:bCs/>
        </w:rPr>
        <w:lastRenderedPageBreak/>
        <w:t>This trend aligns with global studies that report a peak in kidney stone cases during the productive years of life, typically between 20 and 50 years (</w:t>
      </w:r>
      <w:proofErr w:type="spellStart"/>
      <w:r w:rsidRPr="00816D50">
        <w:rPr>
          <w:bCs/>
        </w:rPr>
        <w:t>Kokoricha</w:t>
      </w:r>
      <w:proofErr w:type="spellEnd"/>
      <w:r w:rsidRPr="00816D50">
        <w:rPr>
          <w:bCs/>
        </w:rPr>
        <w:t xml:space="preserve"> et al., 2020). The high prevalence among younger adults may result from lifestyle factors such as high consumption of sodium-rich and oxalate-rich diets, sugary beverages, and insufficient hydration—patterns commonly observed in </w:t>
      </w:r>
      <w:proofErr w:type="spellStart"/>
      <w:r w:rsidR="00811CED" w:rsidRPr="006B3304">
        <w:rPr>
          <w:bCs/>
          <w:highlight w:val="yellow"/>
        </w:rPr>
        <w:t>urbanised</w:t>
      </w:r>
      <w:proofErr w:type="spellEnd"/>
      <w:r w:rsidR="00811CED" w:rsidRPr="006B3304">
        <w:rPr>
          <w:bCs/>
          <w:highlight w:val="yellow"/>
        </w:rPr>
        <w:t xml:space="preserve"> </w:t>
      </w:r>
      <w:r w:rsidRPr="006B3304">
        <w:rPr>
          <w:bCs/>
          <w:highlight w:val="yellow"/>
        </w:rPr>
        <w:t xml:space="preserve">environments like Port Harcourt. These findings </w:t>
      </w:r>
      <w:proofErr w:type="spellStart"/>
      <w:r w:rsidR="00811CED" w:rsidRPr="006B3304">
        <w:rPr>
          <w:bCs/>
          <w:highlight w:val="yellow"/>
        </w:rPr>
        <w:t>emphasise</w:t>
      </w:r>
      <w:proofErr w:type="spellEnd"/>
      <w:r w:rsidR="00811CED" w:rsidRPr="006B3304">
        <w:rPr>
          <w:bCs/>
          <w:highlight w:val="yellow"/>
        </w:rPr>
        <w:t xml:space="preserve"> </w:t>
      </w:r>
      <w:r w:rsidRPr="006B3304">
        <w:rPr>
          <w:bCs/>
          <w:highlight w:val="yellow"/>
        </w:rPr>
        <w:t>the</w:t>
      </w:r>
      <w:r w:rsidRPr="00816D50">
        <w:rPr>
          <w:bCs/>
        </w:rPr>
        <w:t xml:space="preserve"> need for targeted educational and preventive measures for younger adults to reduce the burden of kidney stones.</w:t>
      </w:r>
    </w:p>
    <w:p w14:paraId="088EC1C3" w14:textId="77777777" w:rsidR="00F2032D" w:rsidRPr="00816D50" w:rsidRDefault="00F2032D" w:rsidP="00F2032D">
      <w:pPr>
        <w:rPr>
          <w:b/>
          <w:bCs/>
        </w:rPr>
      </w:pPr>
      <w:r w:rsidRPr="00816D50">
        <w:rPr>
          <w:b/>
          <w:bCs/>
        </w:rPr>
        <w:t>Right-Sided Predominance</w:t>
      </w:r>
    </w:p>
    <w:p w14:paraId="67AC18F0" w14:textId="77777777" w:rsidR="00F2032D" w:rsidRPr="00816D50" w:rsidRDefault="00F2032D" w:rsidP="00F2032D">
      <w:pPr>
        <w:rPr>
          <w:bCs/>
        </w:rPr>
      </w:pPr>
      <w:r w:rsidRPr="00816D50">
        <w:rPr>
          <w:bCs/>
        </w:rPr>
        <w:t>Kidney stones were more frequently located on the right side (41%, 165 cases) compared to the left side (35%, 141 cases) or bilaterally (24%, 96 cases). Among females, 105 cases (26%) were right-sided, 88 (22%) were left-sided, and 52 (13%) were bilateral. Among males, 52 cases (13%) were right-sided, 53 (13%) were left-sided, and 44 (11%) were bilateral.</w:t>
      </w:r>
    </w:p>
    <w:p w14:paraId="50458F22" w14:textId="73F43A77" w:rsidR="00F2032D" w:rsidRDefault="00F2032D" w:rsidP="00F2032D">
      <w:pPr>
        <w:rPr>
          <w:bCs/>
        </w:rPr>
      </w:pPr>
      <w:r w:rsidRPr="00816D50">
        <w:rPr>
          <w:bCs/>
        </w:rPr>
        <w:t xml:space="preserve">The predominance of right-sided kidney stones aligns with studies suggesting that anatomical asymmetries in renal function and urine drainage pathways may predispose the right kidney to stone formation (Turk et al., 2016). However, the absence of significant associations between side of occurrence and sex or age group suggests that other factors, such as genetics or subtle physiological differences, may also contribute </w:t>
      </w:r>
      <w:r w:rsidRPr="006B3304">
        <w:rPr>
          <w:bCs/>
          <w:highlight w:val="yellow"/>
        </w:rPr>
        <w:t xml:space="preserve">to </w:t>
      </w:r>
      <w:proofErr w:type="spellStart"/>
      <w:r w:rsidR="00811CED" w:rsidRPr="006B3304">
        <w:rPr>
          <w:bCs/>
          <w:highlight w:val="yellow"/>
        </w:rPr>
        <w:t>lateralisation</w:t>
      </w:r>
      <w:proofErr w:type="spellEnd"/>
      <w:r w:rsidRPr="006B3304">
        <w:rPr>
          <w:bCs/>
          <w:highlight w:val="yellow"/>
        </w:rPr>
        <w:t>.</w:t>
      </w:r>
    </w:p>
    <w:p w14:paraId="1790E8B7" w14:textId="77777777" w:rsidR="00592872" w:rsidRPr="00592872" w:rsidRDefault="00592872" w:rsidP="00F2032D">
      <w:pPr>
        <w:rPr>
          <w:b/>
          <w:bCs/>
        </w:rPr>
      </w:pPr>
      <w:r w:rsidRPr="00592872">
        <w:rPr>
          <w:b/>
          <w:bCs/>
        </w:rPr>
        <w:t>CONCLUSION</w:t>
      </w:r>
    </w:p>
    <w:p w14:paraId="2D3C7465" w14:textId="507404A6" w:rsidR="00592872" w:rsidRDefault="00EF43E0" w:rsidP="00F2032D">
      <w:pPr>
        <w:rPr>
          <w:bCs/>
        </w:rPr>
      </w:pPr>
      <w:r w:rsidRPr="00EF43E0">
        <w:rPr>
          <w:bCs/>
        </w:rPr>
        <w:t xml:space="preserve">The study revealed that kidney stones were more prevalent in females (62%) than in males (38%), with females more frequently presenting with multiple stones, whereas males predominantly had a single stone. Right-sided stones were the most common overall, followed by left-sided and bilateral occurrences, and the 20–39-year age group exhibited the highest prevalence. Despite these observed patterns, statistical analyses showed no significant associations between sex or age group and either the number or side of kidney stones. These findings suggest that while </w:t>
      </w:r>
      <w:r w:rsidRPr="00EF43E0">
        <w:rPr>
          <w:bCs/>
        </w:rPr>
        <w:lastRenderedPageBreak/>
        <w:t>demographic trends in kidney stone presentation exist, the distribution of stones by number and laterality appears independent of sex and age in this population, highlighting the need to consider other clinical, metabolic, or environmental factors in the risk and development of kidney stones.</w:t>
      </w:r>
    </w:p>
    <w:p w14:paraId="0A6112B1" w14:textId="77777777" w:rsidR="00BF5392" w:rsidRPr="00CA49A4" w:rsidRDefault="00BF5392" w:rsidP="00BF5392">
      <w:pPr>
        <w:rPr>
          <w:b/>
          <w:highlight w:val="yellow"/>
        </w:rPr>
      </w:pPr>
      <w:r w:rsidRPr="00CA49A4">
        <w:rPr>
          <w:b/>
          <w:highlight w:val="yellow"/>
        </w:rPr>
        <w:t>Disclaimer (Artificial intelligence)</w:t>
      </w:r>
    </w:p>
    <w:p w14:paraId="4916CB0B" w14:textId="77777777" w:rsidR="00BF5392" w:rsidRPr="00740879" w:rsidRDefault="00BF5392" w:rsidP="00BF5392">
      <w:pPr>
        <w:rPr>
          <w:highlight w:val="yellow"/>
        </w:rPr>
      </w:pPr>
      <w:r w:rsidRPr="00740879">
        <w:rPr>
          <w:highlight w:val="yellow"/>
        </w:rPr>
        <w:t xml:space="preserve">Option 1: </w:t>
      </w:r>
    </w:p>
    <w:p w14:paraId="0A784E6C" w14:textId="77777777" w:rsidR="00BF5392" w:rsidRPr="00740879" w:rsidRDefault="00BF5392" w:rsidP="00BF5392">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44654E84" w14:textId="77777777" w:rsidR="00BF5392" w:rsidRPr="00740879" w:rsidRDefault="00BF5392" w:rsidP="00BF5392">
      <w:pPr>
        <w:rPr>
          <w:highlight w:val="yellow"/>
        </w:rPr>
      </w:pPr>
      <w:r w:rsidRPr="00740879">
        <w:rPr>
          <w:highlight w:val="yellow"/>
        </w:rPr>
        <w:t xml:space="preserve">Option 2: </w:t>
      </w:r>
    </w:p>
    <w:p w14:paraId="7D81EA27" w14:textId="2FDA524C" w:rsidR="00BF5392" w:rsidRPr="00740879" w:rsidRDefault="00BF5392" w:rsidP="00BF5392">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r w:rsidR="00811CED">
        <w:rPr>
          <w:highlight w:val="yellow"/>
        </w:rPr>
        <w:t>.</w:t>
      </w:r>
    </w:p>
    <w:p w14:paraId="7C00CFF4" w14:textId="77777777" w:rsidR="00BF5392" w:rsidRPr="00740879" w:rsidRDefault="00BF5392" w:rsidP="00BF5392">
      <w:pPr>
        <w:rPr>
          <w:highlight w:val="yellow"/>
        </w:rPr>
      </w:pPr>
      <w:r w:rsidRPr="00740879">
        <w:rPr>
          <w:highlight w:val="yellow"/>
        </w:rPr>
        <w:t>Details of the AI usage are given below:</w:t>
      </w:r>
    </w:p>
    <w:p w14:paraId="4636B229" w14:textId="77777777" w:rsidR="00BF5392" w:rsidRPr="00740879" w:rsidRDefault="00BF5392" w:rsidP="00BF5392">
      <w:pPr>
        <w:rPr>
          <w:highlight w:val="yellow"/>
        </w:rPr>
      </w:pPr>
      <w:r w:rsidRPr="00740879">
        <w:rPr>
          <w:highlight w:val="yellow"/>
        </w:rPr>
        <w:t>1.</w:t>
      </w:r>
    </w:p>
    <w:p w14:paraId="3B5DA5BD" w14:textId="77777777" w:rsidR="00BF5392" w:rsidRPr="00740879" w:rsidRDefault="00BF5392" w:rsidP="00BF5392">
      <w:pPr>
        <w:rPr>
          <w:highlight w:val="yellow"/>
        </w:rPr>
      </w:pPr>
      <w:r w:rsidRPr="00740879">
        <w:rPr>
          <w:highlight w:val="yellow"/>
        </w:rPr>
        <w:t>2.</w:t>
      </w:r>
    </w:p>
    <w:p w14:paraId="12AC0B25" w14:textId="77777777" w:rsidR="00BF5392" w:rsidRPr="00D047BB" w:rsidRDefault="00BF5392" w:rsidP="00BF5392">
      <w:r w:rsidRPr="00740879">
        <w:rPr>
          <w:highlight w:val="yellow"/>
        </w:rPr>
        <w:t>3.</w:t>
      </w:r>
    </w:p>
    <w:p w14:paraId="0DE33D0F" w14:textId="77777777" w:rsidR="00BF5392" w:rsidRPr="00816D50" w:rsidRDefault="00BF5392" w:rsidP="00F2032D">
      <w:pPr>
        <w:rPr>
          <w:bCs/>
        </w:rPr>
      </w:pPr>
    </w:p>
    <w:p w14:paraId="034A1E36" w14:textId="77777777" w:rsidR="00F2032D" w:rsidRDefault="00F2032D" w:rsidP="00AD04D6">
      <w:pPr>
        <w:rPr>
          <w:b/>
          <w:bCs/>
        </w:rPr>
      </w:pPr>
      <w:r w:rsidRPr="00937144">
        <w:rPr>
          <w:b/>
          <w:bCs/>
        </w:rPr>
        <w:t>REFERENCES</w:t>
      </w:r>
    </w:p>
    <w:p w14:paraId="4D75B716" w14:textId="79EBF26B" w:rsidR="00F2032D" w:rsidRPr="00F23750" w:rsidRDefault="00CE1D9C" w:rsidP="00F23750">
      <w:pPr>
        <w:pStyle w:val="ListParagraph"/>
        <w:numPr>
          <w:ilvl w:val="0"/>
          <w:numId w:val="8"/>
        </w:numPr>
        <w:rPr>
          <w:rFonts w:cs="Times New Roman"/>
          <w:szCs w:val="28"/>
        </w:rPr>
      </w:pPr>
      <w:proofErr w:type="spellStart"/>
      <w:r w:rsidRPr="00CE1D9C">
        <w:t>Kassaw</w:t>
      </w:r>
      <w:proofErr w:type="spellEnd"/>
      <w:r w:rsidRPr="00CE1D9C">
        <w:t xml:space="preserve">, N. A., </w:t>
      </w:r>
      <w:proofErr w:type="spellStart"/>
      <w:r w:rsidRPr="00CE1D9C">
        <w:t>Tsegaye</w:t>
      </w:r>
      <w:proofErr w:type="spellEnd"/>
      <w:r w:rsidRPr="00CE1D9C">
        <w:t xml:space="preserve">, A. T., &amp; </w:t>
      </w:r>
      <w:proofErr w:type="spellStart"/>
      <w:r w:rsidRPr="00CE1D9C">
        <w:t>Gebrie</w:t>
      </w:r>
      <w:proofErr w:type="spellEnd"/>
      <w:r w:rsidRPr="00CE1D9C">
        <w:t xml:space="preserve">, M. H. (2024). Prevalence and clinical patterns of urolithiasis in </w:t>
      </w:r>
      <w:proofErr w:type="spellStart"/>
      <w:r w:rsidRPr="00CE1D9C">
        <w:t>sub-saharan</w:t>
      </w:r>
      <w:proofErr w:type="spellEnd"/>
      <w:r w:rsidRPr="00CE1D9C">
        <w:t xml:space="preserve"> Africa: a systematic review and meta-analysis of </w:t>
      </w:r>
      <w:r w:rsidRPr="00CE1D9C">
        <w:lastRenderedPageBreak/>
        <w:t xml:space="preserve">observational studies. BMC Nephrology, 25(1), 334. </w:t>
      </w:r>
      <w:hyperlink r:id="rId7" w:history="1">
        <w:r w:rsidRPr="002F1C71">
          <w:rPr>
            <w:rStyle w:val="Hyperlink"/>
          </w:rPr>
          <w:t>https://doi.org/10.1186/s12882-024-03780-y</w:t>
        </w:r>
      </w:hyperlink>
      <w:r>
        <w:t xml:space="preserve"> </w:t>
      </w:r>
      <w:r w:rsidR="00F2032D" w:rsidRPr="00937144">
        <w:t> </w:t>
      </w:r>
    </w:p>
    <w:p w14:paraId="37FDAD0C" w14:textId="1CB07074" w:rsidR="00F2032D" w:rsidRPr="00F23750" w:rsidRDefault="009E0A8C" w:rsidP="00F23750">
      <w:pPr>
        <w:pStyle w:val="ListParagraph"/>
        <w:numPr>
          <w:ilvl w:val="0"/>
          <w:numId w:val="8"/>
        </w:numPr>
        <w:rPr>
          <w:rFonts w:cs="Times New Roman"/>
          <w:szCs w:val="28"/>
        </w:rPr>
      </w:pPr>
      <w:r w:rsidRPr="009E0A8C">
        <w:t xml:space="preserve">Lieske, J. C., Rule, A. D., </w:t>
      </w:r>
      <w:proofErr w:type="spellStart"/>
      <w:r w:rsidRPr="009E0A8C">
        <w:t>Krambeck</w:t>
      </w:r>
      <w:proofErr w:type="spellEnd"/>
      <w:r w:rsidRPr="009E0A8C">
        <w:t xml:space="preserve">, A. E., Williams, J. C., </w:t>
      </w:r>
      <w:proofErr w:type="spellStart"/>
      <w:r w:rsidRPr="009E0A8C">
        <w:t>Bergstralh</w:t>
      </w:r>
      <w:proofErr w:type="spellEnd"/>
      <w:r w:rsidRPr="009E0A8C">
        <w:t xml:space="preserve">, E. J., Mehta, R. A., &amp; Moyer, T. P. (2014). Stone composition as a function of age and sex. Clinical Journal of the American Society of Nephrology, 9(12), 2141–2146. </w:t>
      </w:r>
      <w:hyperlink r:id="rId8" w:history="1">
        <w:r w:rsidRPr="002F1C71">
          <w:rPr>
            <w:rStyle w:val="Hyperlink"/>
          </w:rPr>
          <w:t>https://doi.org/10.2215/CJN.05660614</w:t>
        </w:r>
      </w:hyperlink>
      <w:r>
        <w:t xml:space="preserve"> </w:t>
      </w:r>
    </w:p>
    <w:p w14:paraId="19E47EFA" w14:textId="4E32243D" w:rsidR="00F2032D" w:rsidRPr="00F23750" w:rsidRDefault="005257AC" w:rsidP="00F23750">
      <w:pPr>
        <w:pStyle w:val="ListParagraph"/>
        <w:numPr>
          <w:ilvl w:val="0"/>
          <w:numId w:val="8"/>
        </w:numPr>
        <w:rPr>
          <w:rFonts w:cs="Times New Roman"/>
          <w:szCs w:val="28"/>
        </w:rPr>
      </w:pPr>
      <w:r w:rsidRPr="00F23750">
        <w:rPr>
          <w:rFonts w:cs="Times New Roman"/>
          <w:szCs w:val="28"/>
        </w:rPr>
        <w:t xml:space="preserve">Moe, O. W. (2006). Kidney stones: Pathophysiology and medical management. The Lancet, 367(9507), 333–344. </w:t>
      </w:r>
      <w:hyperlink r:id="rId9" w:history="1">
        <w:r w:rsidRPr="00F23750">
          <w:rPr>
            <w:rStyle w:val="Hyperlink"/>
            <w:rFonts w:cs="Times New Roman"/>
            <w:szCs w:val="28"/>
          </w:rPr>
          <w:t>https://doi.org/10.1016/S0140-6736(06)68071-9</w:t>
        </w:r>
      </w:hyperlink>
      <w:r w:rsidRPr="00F23750">
        <w:rPr>
          <w:rFonts w:cs="Times New Roman"/>
          <w:szCs w:val="28"/>
        </w:rPr>
        <w:t xml:space="preserve"> </w:t>
      </w:r>
    </w:p>
    <w:p w14:paraId="6DE7F996" w14:textId="6045128F" w:rsidR="00F2032D" w:rsidRPr="00F23750" w:rsidRDefault="009866B4" w:rsidP="00F23750">
      <w:pPr>
        <w:pStyle w:val="ListParagraph"/>
        <w:numPr>
          <w:ilvl w:val="0"/>
          <w:numId w:val="8"/>
        </w:numPr>
        <w:rPr>
          <w:rFonts w:cs="Times New Roman"/>
          <w:szCs w:val="28"/>
        </w:rPr>
      </w:pPr>
      <w:proofErr w:type="spellStart"/>
      <w:r w:rsidRPr="009866B4">
        <w:t>Olufunmilade</w:t>
      </w:r>
      <w:proofErr w:type="spellEnd"/>
      <w:r w:rsidRPr="009866B4">
        <w:t xml:space="preserve">, O., </w:t>
      </w:r>
      <w:proofErr w:type="spellStart"/>
      <w:r w:rsidRPr="009866B4">
        <w:t>Bioku</w:t>
      </w:r>
      <w:proofErr w:type="spellEnd"/>
      <w:r w:rsidRPr="009866B4">
        <w:t xml:space="preserve">, M., Williams, O., Akinola, O., Balogun, F., &amp; </w:t>
      </w:r>
      <w:proofErr w:type="spellStart"/>
      <w:r w:rsidRPr="009866B4">
        <w:t>Ikuerowo</w:t>
      </w:r>
      <w:proofErr w:type="spellEnd"/>
      <w:r w:rsidRPr="009866B4">
        <w:t xml:space="preserve">, S. (2019). A 5-Year Review of the Presentation and Management of Urolithiasis in a Nigerian Teaching Hospital. Journal of Surgery. </w:t>
      </w:r>
      <w:hyperlink r:id="rId10" w:history="1">
        <w:r w:rsidRPr="002F1C71">
          <w:rPr>
            <w:rStyle w:val="Hyperlink"/>
          </w:rPr>
          <w:t>https://doi.org/10.11648/j.js.20190705.16</w:t>
        </w:r>
      </w:hyperlink>
      <w:r>
        <w:t xml:space="preserve"> </w:t>
      </w:r>
      <w:r w:rsidR="00F2032D" w:rsidRPr="00937144">
        <w:t> </w:t>
      </w:r>
    </w:p>
    <w:p w14:paraId="775ED53E" w14:textId="53FCF95F" w:rsidR="00F2032D" w:rsidRPr="00F23750" w:rsidRDefault="005D33C4" w:rsidP="00F23750">
      <w:pPr>
        <w:pStyle w:val="ListParagraph"/>
        <w:numPr>
          <w:ilvl w:val="0"/>
          <w:numId w:val="8"/>
        </w:numPr>
        <w:rPr>
          <w:rFonts w:cs="Times New Roman"/>
          <w:szCs w:val="28"/>
        </w:rPr>
      </w:pPr>
      <w:r w:rsidRPr="005D33C4">
        <w:t xml:space="preserve">Pearle, M. S., Calhoun, E. A., &amp; </w:t>
      </w:r>
      <w:proofErr w:type="spellStart"/>
      <w:r w:rsidRPr="005D33C4">
        <w:t>Curhan</w:t>
      </w:r>
      <w:proofErr w:type="spellEnd"/>
      <w:r w:rsidRPr="005D33C4">
        <w:t xml:space="preserve">, G. C. (2005). Urologic diseases in America project: urolithiasis. The Journal of Urology, 173(3), 848–857. </w:t>
      </w:r>
      <w:hyperlink r:id="rId11" w:history="1">
        <w:r w:rsidRPr="002F1C71">
          <w:rPr>
            <w:rStyle w:val="Hyperlink"/>
          </w:rPr>
          <w:t>https://doi.org/10.1097/01.ju.0000152082.14384.d7</w:t>
        </w:r>
      </w:hyperlink>
      <w:r>
        <w:t xml:space="preserve"> </w:t>
      </w:r>
    </w:p>
    <w:p w14:paraId="0C279F24" w14:textId="7A22F19A" w:rsidR="00F2032D" w:rsidRPr="00F23750" w:rsidRDefault="00123E9C" w:rsidP="00F23750">
      <w:pPr>
        <w:pStyle w:val="ListParagraph"/>
        <w:numPr>
          <w:ilvl w:val="0"/>
          <w:numId w:val="8"/>
        </w:numPr>
        <w:rPr>
          <w:rFonts w:cs="Times New Roman"/>
          <w:szCs w:val="28"/>
        </w:rPr>
      </w:pPr>
      <w:r w:rsidRPr="00F23750">
        <w:rPr>
          <w:rFonts w:cs="Times New Roman"/>
          <w:szCs w:val="28"/>
        </w:rPr>
        <w:t xml:space="preserve">Scales, C. D., Jr., Smith, A. C., Hanley, J. M., </w:t>
      </w:r>
      <w:proofErr w:type="spellStart"/>
      <w:r w:rsidRPr="00F23750">
        <w:rPr>
          <w:rFonts w:cs="Times New Roman"/>
          <w:szCs w:val="28"/>
        </w:rPr>
        <w:t>Saigal</w:t>
      </w:r>
      <w:proofErr w:type="spellEnd"/>
      <w:r w:rsidRPr="00F23750">
        <w:rPr>
          <w:rFonts w:cs="Times New Roman"/>
          <w:szCs w:val="28"/>
        </w:rPr>
        <w:t xml:space="preserve">, C. S., &amp; Urologic Diseases in America Project. (2012). Prevalence of kidney stones in the United States. European Urology, 62(1), 160–165. </w:t>
      </w:r>
      <w:hyperlink r:id="rId12" w:history="1">
        <w:r w:rsidRPr="00F23750">
          <w:rPr>
            <w:rStyle w:val="Hyperlink"/>
            <w:rFonts w:cs="Times New Roman"/>
            <w:szCs w:val="28"/>
          </w:rPr>
          <w:t>https://doi.org/10.1016/j.eururo.2012.03.052</w:t>
        </w:r>
      </w:hyperlink>
      <w:r w:rsidRPr="00F23750">
        <w:rPr>
          <w:rFonts w:cs="Times New Roman"/>
          <w:szCs w:val="28"/>
        </w:rPr>
        <w:t xml:space="preserve"> </w:t>
      </w:r>
    </w:p>
    <w:p w14:paraId="6710E60B" w14:textId="77777777" w:rsidR="00F2032D" w:rsidRPr="00F23750" w:rsidRDefault="00F2032D" w:rsidP="00F23750">
      <w:pPr>
        <w:pStyle w:val="ListParagraph"/>
        <w:numPr>
          <w:ilvl w:val="0"/>
          <w:numId w:val="8"/>
        </w:numPr>
        <w:rPr>
          <w:rFonts w:cs="Times New Roman"/>
          <w:szCs w:val="28"/>
        </w:rPr>
      </w:pPr>
      <w:r w:rsidRPr="00937144">
        <w:t>Tasian, G. E., &amp; Ross, M. E. (2017). Climate change and nephrolithiasis risk. </w:t>
      </w:r>
      <w:r w:rsidRPr="00F23750">
        <w:rPr>
          <w:i/>
          <w:iCs/>
        </w:rPr>
        <w:t>Current Opinion in Nephrology and Hypertension</w:t>
      </w:r>
      <w:r w:rsidRPr="00937144">
        <w:t>, 26(4), 300–305.</w:t>
      </w:r>
    </w:p>
    <w:p w14:paraId="0E561628" w14:textId="7B168612" w:rsidR="00F2032D" w:rsidRDefault="00BA315C" w:rsidP="00F23750">
      <w:pPr>
        <w:pStyle w:val="ListParagraph"/>
        <w:numPr>
          <w:ilvl w:val="0"/>
          <w:numId w:val="8"/>
        </w:numPr>
      </w:pPr>
      <w:proofErr w:type="spellStart"/>
      <w:r w:rsidRPr="00BA315C">
        <w:t>Türk</w:t>
      </w:r>
      <w:proofErr w:type="spellEnd"/>
      <w:r w:rsidRPr="00BA315C">
        <w:t xml:space="preserve">, C., </w:t>
      </w:r>
      <w:proofErr w:type="spellStart"/>
      <w:r w:rsidRPr="00BA315C">
        <w:t>Petřík</w:t>
      </w:r>
      <w:proofErr w:type="spellEnd"/>
      <w:r w:rsidRPr="00BA315C">
        <w:t xml:space="preserve">, A., </w:t>
      </w:r>
      <w:proofErr w:type="spellStart"/>
      <w:r w:rsidRPr="00BA315C">
        <w:t>Sarica</w:t>
      </w:r>
      <w:proofErr w:type="spellEnd"/>
      <w:r w:rsidRPr="00BA315C">
        <w:t xml:space="preserve">, K., Seitz, C., </w:t>
      </w:r>
      <w:proofErr w:type="spellStart"/>
      <w:r w:rsidRPr="00BA315C">
        <w:t>Skolarikos</w:t>
      </w:r>
      <w:proofErr w:type="spellEnd"/>
      <w:r w:rsidRPr="00BA315C">
        <w:t xml:space="preserve">, A., Straub, M., &amp; Knoll, T. (2016). EAU Guidelines on Interventional Treatment for Urolithiasis. European Urology, 69(3), 475–482. </w:t>
      </w:r>
      <w:hyperlink r:id="rId13" w:history="1">
        <w:r w:rsidRPr="002F1C71">
          <w:rPr>
            <w:rStyle w:val="Hyperlink"/>
          </w:rPr>
          <w:t>https://doi.org/10.1016/j.eururo.2015.07.041</w:t>
        </w:r>
      </w:hyperlink>
      <w:r>
        <w:t xml:space="preserve"> </w:t>
      </w:r>
    </w:p>
    <w:p w14:paraId="2A226C82" w14:textId="0946FBF1" w:rsidR="00412141" w:rsidRPr="00F23750" w:rsidRDefault="00412141" w:rsidP="00F23750">
      <w:pPr>
        <w:pStyle w:val="ListParagraph"/>
        <w:numPr>
          <w:ilvl w:val="0"/>
          <w:numId w:val="8"/>
        </w:numPr>
        <w:rPr>
          <w:rFonts w:cs="Times New Roman"/>
          <w:szCs w:val="28"/>
          <w:highlight w:val="yellow"/>
        </w:rPr>
      </w:pPr>
      <w:r w:rsidRPr="00F23750">
        <w:rPr>
          <w:rFonts w:cs="Times New Roman"/>
          <w:szCs w:val="28"/>
          <w:highlight w:val="yellow"/>
        </w:rPr>
        <w:lastRenderedPageBreak/>
        <w:t xml:space="preserve">Sunitha, J., </w:t>
      </w:r>
      <w:proofErr w:type="spellStart"/>
      <w:r w:rsidRPr="00F23750">
        <w:rPr>
          <w:rFonts w:cs="Times New Roman"/>
          <w:szCs w:val="28"/>
          <w:highlight w:val="yellow"/>
        </w:rPr>
        <w:t>Thirunavukkarasu</w:t>
      </w:r>
      <w:proofErr w:type="spellEnd"/>
      <w:r w:rsidRPr="00F23750">
        <w:rPr>
          <w:rFonts w:cs="Times New Roman"/>
          <w:szCs w:val="28"/>
          <w:highlight w:val="yellow"/>
        </w:rPr>
        <w:t>, P., &amp; Asha, S. (2018). A retrospective study on prevalence and risk factors associated with kidney stone in Vellore district, Tamil Nadu. Int J Pharm Sci Rev Res, 48(1), 54-7.</w:t>
      </w:r>
      <w:r w:rsidR="00643D83" w:rsidRPr="00F23750">
        <w:rPr>
          <w:highlight w:val="yellow"/>
        </w:rPr>
        <w:t xml:space="preserve"> </w:t>
      </w:r>
      <w:hyperlink r:id="rId14" w:history="1">
        <w:r w:rsidR="00643D83" w:rsidRPr="00F23750">
          <w:rPr>
            <w:rStyle w:val="Hyperlink"/>
            <w:rFonts w:cs="Times New Roman"/>
            <w:szCs w:val="28"/>
            <w:highlight w:val="yellow"/>
          </w:rPr>
          <w:t>https://globalresearchonline.net/journalcontents/v48-1/13.pdf</w:t>
        </w:r>
      </w:hyperlink>
      <w:r w:rsidR="00643D83" w:rsidRPr="00F23750">
        <w:rPr>
          <w:rFonts w:cs="Times New Roman"/>
          <w:szCs w:val="28"/>
          <w:highlight w:val="yellow"/>
        </w:rPr>
        <w:t xml:space="preserve"> </w:t>
      </w:r>
    </w:p>
    <w:p w14:paraId="033BF671" w14:textId="7CBDA2D6" w:rsidR="007A4C96" w:rsidRPr="00F23750" w:rsidRDefault="007A4C96" w:rsidP="00F23750">
      <w:pPr>
        <w:pStyle w:val="ListParagraph"/>
        <w:numPr>
          <w:ilvl w:val="0"/>
          <w:numId w:val="8"/>
        </w:numPr>
        <w:rPr>
          <w:rFonts w:cs="Times New Roman"/>
          <w:szCs w:val="28"/>
          <w:highlight w:val="yellow"/>
        </w:rPr>
      </w:pPr>
      <w:r w:rsidRPr="00F23750">
        <w:rPr>
          <w:rFonts w:cs="Times New Roman"/>
          <w:szCs w:val="28"/>
          <w:highlight w:val="yellow"/>
        </w:rPr>
        <w:t xml:space="preserve">Anwar </w:t>
      </w:r>
      <w:proofErr w:type="spellStart"/>
      <w:r w:rsidRPr="00F23750">
        <w:rPr>
          <w:rFonts w:cs="Times New Roman"/>
          <w:szCs w:val="28"/>
          <w:highlight w:val="yellow"/>
        </w:rPr>
        <w:t>Rashed</w:t>
      </w:r>
      <w:proofErr w:type="spellEnd"/>
      <w:r w:rsidRPr="00F23750">
        <w:rPr>
          <w:rFonts w:cs="Times New Roman"/>
          <w:szCs w:val="28"/>
          <w:highlight w:val="yellow"/>
        </w:rPr>
        <w:t xml:space="preserve"> Ahmed </w:t>
      </w:r>
      <w:proofErr w:type="spellStart"/>
      <w:r w:rsidRPr="00F23750">
        <w:rPr>
          <w:rFonts w:cs="Times New Roman"/>
          <w:szCs w:val="28"/>
          <w:highlight w:val="yellow"/>
        </w:rPr>
        <w:t>Ahmed</w:t>
      </w:r>
      <w:proofErr w:type="spellEnd"/>
      <w:r w:rsidRPr="00F23750">
        <w:rPr>
          <w:rFonts w:cs="Times New Roman"/>
          <w:szCs w:val="28"/>
          <w:highlight w:val="yellow"/>
        </w:rPr>
        <w:t xml:space="preserve">. (2024). Assessing the Impact of Urinary Calculi on Patients’ Quality of Life (Including Physical Symptoms, Psychosocial Distress, Healthcare Utilization, and Economic Burden). Asian Journal of Research and Reports in Urology, 7(1), 35–40. </w:t>
      </w:r>
      <w:hyperlink r:id="rId15" w:history="1">
        <w:r w:rsidRPr="00F23750">
          <w:rPr>
            <w:rStyle w:val="Hyperlink"/>
            <w:rFonts w:cs="Times New Roman"/>
            <w:szCs w:val="28"/>
            <w:highlight w:val="yellow"/>
          </w:rPr>
          <w:t>https://doi.org/10.9734/ajrru/2024/v7i1116</w:t>
        </w:r>
      </w:hyperlink>
      <w:r w:rsidRPr="00F23750">
        <w:rPr>
          <w:rFonts w:cs="Times New Roman"/>
          <w:szCs w:val="28"/>
          <w:highlight w:val="yellow"/>
        </w:rPr>
        <w:t xml:space="preserve"> </w:t>
      </w:r>
    </w:p>
    <w:p w14:paraId="121CE774" w14:textId="2D385D5A" w:rsidR="00727FBB" w:rsidRPr="00F23750" w:rsidRDefault="00727FBB" w:rsidP="00F23750">
      <w:pPr>
        <w:pStyle w:val="ListParagraph"/>
        <w:numPr>
          <w:ilvl w:val="0"/>
          <w:numId w:val="8"/>
        </w:numPr>
        <w:rPr>
          <w:rFonts w:cs="Times New Roman"/>
          <w:szCs w:val="28"/>
        </w:rPr>
      </w:pPr>
      <w:proofErr w:type="spellStart"/>
      <w:r w:rsidRPr="00F23750">
        <w:rPr>
          <w:rFonts w:cs="Times New Roman"/>
          <w:szCs w:val="28"/>
          <w:highlight w:val="yellow"/>
        </w:rPr>
        <w:t>Stamatelou</w:t>
      </w:r>
      <w:proofErr w:type="spellEnd"/>
      <w:r w:rsidRPr="00F23750">
        <w:rPr>
          <w:rFonts w:cs="Times New Roman"/>
          <w:szCs w:val="28"/>
          <w:highlight w:val="yellow"/>
        </w:rPr>
        <w:t xml:space="preserve">, K., &amp; Goldfarb, D. S. (2023, February). Epidemiology of kidney stones. In Healthcare (Vol. 11, No. 3, p. 424). MDPI. </w:t>
      </w:r>
      <w:hyperlink r:id="rId16" w:history="1">
        <w:r w:rsidRPr="00F23750">
          <w:rPr>
            <w:rStyle w:val="Hyperlink"/>
            <w:rFonts w:cs="Times New Roman"/>
            <w:szCs w:val="28"/>
            <w:highlight w:val="yellow"/>
          </w:rPr>
          <w:t>https://doi.org/10.3390/healthcare11030424</w:t>
        </w:r>
      </w:hyperlink>
      <w:r w:rsidRPr="00F23750">
        <w:rPr>
          <w:rFonts w:cs="Times New Roman"/>
          <w:szCs w:val="28"/>
        </w:rPr>
        <w:t xml:space="preserve"> </w:t>
      </w:r>
    </w:p>
    <w:p w14:paraId="331879B8" w14:textId="41F2C5FB" w:rsidR="002329DE" w:rsidRPr="00F23750" w:rsidRDefault="00ED6FE0" w:rsidP="00F23750">
      <w:pPr>
        <w:pStyle w:val="ListParagraph"/>
        <w:numPr>
          <w:ilvl w:val="0"/>
          <w:numId w:val="8"/>
        </w:numPr>
        <w:rPr>
          <w:rFonts w:cs="Times New Roman"/>
          <w:szCs w:val="28"/>
          <w:highlight w:val="yellow"/>
        </w:rPr>
      </w:pPr>
      <w:proofErr w:type="spellStart"/>
      <w:r w:rsidRPr="00F23750">
        <w:rPr>
          <w:rFonts w:cs="Times New Roman"/>
          <w:szCs w:val="28"/>
          <w:highlight w:val="yellow"/>
        </w:rPr>
        <w:t>Bargagli</w:t>
      </w:r>
      <w:proofErr w:type="spellEnd"/>
      <w:r w:rsidRPr="00F23750">
        <w:rPr>
          <w:rFonts w:cs="Times New Roman"/>
          <w:szCs w:val="28"/>
          <w:highlight w:val="yellow"/>
        </w:rPr>
        <w:t xml:space="preserve">, M., </w:t>
      </w:r>
      <w:proofErr w:type="spellStart"/>
      <w:r w:rsidRPr="00F23750">
        <w:rPr>
          <w:rFonts w:cs="Times New Roman"/>
          <w:szCs w:val="28"/>
          <w:highlight w:val="yellow"/>
        </w:rPr>
        <w:t>Scoglio</w:t>
      </w:r>
      <w:proofErr w:type="spellEnd"/>
      <w:r w:rsidRPr="00F23750">
        <w:rPr>
          <w:rFonts w:cs="Times New Roman"/>
          <w:szCs w:val="28"/>
          <w:highlight w:val="yellow"/>
        </w:rPr>
        <w:t xml:space="preserve">, M., </w:t>
      </w:r>
      <w:proofErr w:type="spellStart"/>
      <w:r w:rsidRPr="00F23750">
        <w:rPr>
          <w:rFonts w:cs="Times New Roman"/>
          <w:szCs w:val="28"/>
          <w:highlight w:val="yellow"/>
        </w:rPr>
        <w:t>Howles</w:t>
      </w:r>
      <w:proofErr w:type="spellEnd"/>
      <w:r w:rsidRPr="00F23750">
        <w:rPr>
          <w:rFonts w:cs="Times New Roman"/>
          <w:szCs w:val="28"/>
          <w:highlight w:val="yellow"/>
        </w:rPr>
        <w:t xml:space="preserve">, S. A., &amp; </w:t>
      </w:r>
      <w:proofErr w:type="spellStart"/>
      <w:r w:rsidRPr="00F23750">
        <w:rPr>
          <w:rFonts w:cs="Times New Roman"/>
          <w:szCs w:val="28"/>
          <w:highlight w:val="yellow"/>
        </w:rPr>
        <w:t>Fuster</w:t>
      </w:r>
      <w:proofErr w:type="spellEnd"/>
      <w:r w:rsidRPr="00F23750">
        <w:rPr>
          <w:rFonts w:cs="Times New Roman"/>
          <w:szCs w:val="28"/>
          <w:highlight w:val="yellow"/>
        </w:rPr>
        <w:t xml:space="preserve">, D. G. (2025). Kidney stone disease: risk factors, pathophysiology and management. Nature Reviews Nephrology, 21(11), 794-808. </w:t>
      </w:r>
      <w:hyperlink r:id="rId17" w:history="1">
        <w:r w:rsidR="002B6161" w:rsidRPr="00F23750">
          <w:rPr>
            <w:rStyle w:val="Hyperlink"/>
            <w:rFonts w:cs="Times New Roman"/>
            <w:szCs w:val="28"/>
            <w:highlight w:val="yellow"/>
          </w:rPr>
          <w:t>https://doi.org/10.1038/s41581-025-00990-x</w:t>
        </w:r>
      </w:hyperlink>
    </w:p>
    <w:p w14:paraId="19A1F4C5" w14:textId="0576B9F1" w:rsidR="00011A4A" w:rsidRPr="00F23750" w:rsidRDefault="00011A4A" w:rsidP="00F23750">
      <w:pPr>
        <w:pStyle w:val="ListParagraph"/>
        <w:numPr>
          <w:ilvl w:val="0"/>
          <w:numId w:val="8"/>
        </w:numPr>
        <w:rPr>
          <w:rFonts w:cs="Times New Roman"/>
          <w:szCs w:val="28"/>
          <w:highlight w:val="yellow"/>
        </w:rPr>
      </w:pPr>
      <w:r w:rsidRPr="00F23750">
        <w:rPr>
          <w:rFonts w:cs="Times New Roman"/>
          <w:szCs w:val="28"/>
          <w:highlight w:val="yellow"/>
        </w:rPr>
        <w:t xml:space="preserve">Wang, Z., Zhang, Y., Zhang, J., Deng, Q., &amp; Liang, H. (2021). Recent advances on the mechanisms of kidney stone formation. International journal of molecular medicine, 48(2), 149. </w:t>
      </w:r>
      <w:hyperlink r:id="rId18" w:history="1">
        <w:r w:rsidR="00DD29B7" w:rsidRPr="00F23750">
          <w:rPr>
            <w:rStyle w:val="Hyperlink"/>
            <w:rFonts w:cs="Times New Roman"/>
            <w:szCs w:val="28"/>
            <w:highlight w:val="yellow"/>
          </w:rPr>
          <w:t>https://doi.org/10.3892/ijmm.2021.4982</w:t>
        </w:r>
      </w:hyperlink>
      <w:r w:rsidR="00DD29B7" w:rsidRPr="00F23750">
        <w:rPr>
          <w:rFonts w:cs="Times New Roman"/>
          <w:szCs w:val="28"/>
          <w:highlight w:val="yellow"/>
        </w:rPr>
        <w:t xml:space="preserve">  </w:t>
      </w:r>
    </w:p>
    <w:p w14:paraId="36C811F1" w14:textId="2B99C4F9" w:rsidR="00EC1EAA" w:rsidRPr="00F23750" w:rsidRDefault="00EC1EAA" w:rsidP="00F23750">
      <w:pPr>
        <w:pStyle w:val="ListParagraph"/>
        <w:numPr>
          <w:ilvl w:val="0"/>
          <w:numId w:val="8"/>
        </w:numPr>
        <w:rPr>
          <w:rFonts w:cs="Times New Roman"/>
          <w:szCs w:val="28"/>
        </w:rPr>
      </w:pPr>
      <w:r w:rsidRPr="00F23750">
        <w:rPr>
          <w:rFonts w:cs="Times New Roman"/>
          <w:szCs w:val="28"/>
          <w:highlight w:val="yellow"/>
        </w:rPr>
        <w:t xml:space="preserve">Ye, Z., Zeng, G., Yang, H., Li, J., Tang, K., Wang, G., ... &amp; Xu, H. (2020). The status and characteristics of urinary stone composition in China. BJU international, 125(6), 801-809. </w:t>
      </w:r>
      <w:hyperlink r:id="rId19" w:history="1">
        <w:r w:rsidRPr="00F23750">
          <w:rPr>
            <w:rStyle w:val="Hyperlink"/>
            <w:rFonts w:cs="Times New Roman"/>
            <w:szCs w:val="28"/>
            <w:highlight w:val="yellow"/>
          </w:rPr>
          <w:t>https://doi.org/10.1111/bju.14765</w:t>
        </w:r>
      </w:hyperlink>
      <w:r w:rsidRPr="00F23750">
        <w:rPr>
          <w:rFonts w:cs="Times New Roman"/>
          <w:szCs w:val="28"/>
        </w:rPr>
        <w:t xml:space="preserve"> </w:t>
      </w:r>
    </w:p>
    <w:p w14:paraId="4526608B" w14:textId="4D54D97E" w:rsidR="00694480" w:rsidRPr="00F23750" w:rsidRDefault="00694480" w:rsidP="00F23750">
      <w:pPr>
        <w:pStyle w:val="ListParagraph"/>
        <w:numPr>
          <w:ilvl w:val="0"/>
          <w:numId w:val="8"/>
        </w:numPr>
        <w:rPr>
          <w:rFonts w:cs="Times New Roman"/>
          <w:szCs w:val="28"/>
          <w:highlight w:val="yellow"/>
        </w:rPr>
      </w:pPr>
      <w:r w:rsidRPr="00F23750">
        <w:rPr>
          <w:rFonts w:cs="Times New Roman"/>
          <w:szCs w:val="28"/>
          <w:highlight w:val="yellow"/>
        </w:rPr>
        <w:t xml:space="preserve">Shastri, S., Patel, J., </w:t>
      </w:r>
      <w:proofErr w:type="spellStart"/>
      <w:r w:rsidRPr="00F23750">
        <w:rPr>
          <w:rFonts w:cs="Times New Roman"/>
          <w:szCs w:val="28"/>
          <w:highlight w:val="yellow"/>
        </w:rPr>
        <w:t>Sambandam</w:t>
      </w:r>
      <w:proofErr w:type="spellEnd"/>
      <w:r w:rsidRPr="00F23750">
        <w:rPr>
          <w:rFonts w:cs="Times New Roman"/>
          <w:szCs w:val="28"/>
          <w:highlight w:val="yellow"/>
        </w:rPr>
        <w:t xml:space="preserve">, K. K., &amp; Lederer, E. D. (2023). Kidney stone pathophysiology, evaluation and management: core curriculum 2023. American journal of kidney diseases, 82(5), 617-634. </w:t>
      </w:r>
      <w:hyperlink r:id="rId20" w:history="1">
        <w:r w:rsidR="00171F41" w:rsidRPr="00F23750">
          <w:rPr>
            <w:rStyle w:val="Hyperlink"/>
            <w:rFonts w:cs="Times New Roman"/>
            <w:szCs w:val="28"/>
            <w:highlight w:val="yellow"/>
          </w:rPr>
          <w:t>https://doi.org/10.1053/j.ajkd.2023.03.017</w:t>
        </w:r>
      </w:hyperlink>
      <w:r w:rsidR="00171F41" w:rsidRPr="00F23750">
        <w:rPr>
          <w:rFonts w:cs="Times New Roman"/>
          <w:szCs w:val="28"/>
          <w:highlight w:val="yellow"/>
        </w:rPr>
        <w:t xml:space="preserve"> </w:t>
      </w:r>
    </w:p>
    <w:p w14:paraId="56ED16FA" w14:textId="77777777" w:rsidR="002B6161" w:rsidRPr="002329DE" w:rsidRDefault="002B6161" w:rsidP="002329DE">
      <w:pPr>
        <w:rPr>
          <w:rFonts w:cs="Times New Roman"/>
          <w:szCs w:val="28"/>
        </w:rPr>
      </w:pPr>
    </w:p>
    <w:p w14:paraId="666203F5" w14:textId="4D024EA7" w:rsidR="00ED6FE0" w:rsidRPr="005B15E9" w:rsidRDefault="002329DE" w:rsidP="005B15E9">
      <w:pPr>
        <w:ind w:left="-90"/>
        <w:rPr>
          <w:rFonts w:cs="Times New Roman"/>
          <w:szCs w:val="28"/>
        </w:rPr>
      </w:pPr>
      <w:r>
        <w:rPr>
          <w:rFonts w:cs="Times New Roman"/>
          <w:szCs w:val="28"/>
        </w:rPr>
        <w:t xml:space="preserve"> </w:t>
      </w:r>
    </w:p>
    <w:p w14:paraId="179CAE10" w14:textId="77777777" w:rsidR="00F2032D" w:rsidRPr="00937144" w:rsidRDefault="00F2032D" w:rsidP="00F2032D">
      <w:pPr>
        <w:rPr>
          <w:b/>
        </w:rPr>
      </w:pPr>
    </w:p>
    <w:p w14:paraId="70CE51C2" w14:textId="77777777" w:rsidR="000F77AD" w:rsidRDefault="000F77AD"/>
    <w:sectPr w:rsidR="000F77AD" w:rsidSect="002511F6">
      <w:headerReference w:type="even" r:id="rId21"/>
      <w:headerReference w:type="default" r:id="rId22"/>
      <w:footerReference w:type="even" r:id="rId23"/>
      <w:footerReference w:type="default" r:id="rId24"/>
      <w:headerReference w:type="first" r:id="rId25"/>
      <w:footerReference w:type="first" r:id="rId26"/>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866FC" w14:textId="77777777" w:rsidR="00355173" w:rsidRDefault="00355173" w:rsidP="009B61FA">
      <w:pPr>
        <w:spacing w:after="0" w:line="240" w:lineRule="auto"/>
      </w:pPr>
      <w:r>
        <w:separator/>
      </w:r>
    </w:p>
  </w:endnote>
  <w:endnote w:type="continuationSeparator" w:id="0">
    <w:p w14:paraId="42A6548C" w14:textId="77777777" w:rsidR="00355173" w:rsidRDefault="00355173" w:rsidP="009B6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D6B05" w14:textId="77777777" w:rsidR="009B61FA" w:rsidRDefault="009B6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5892" w14:textId="77777777" w:rsidR="009B61FA" w:rsidRDefault="009B61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CEDBC" w14:textId="77777777" w:rsidR="009B61FA" w:rsidRDefault="009B6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CA503" w14:textId="77777777" w:rsidR="00355173" w:rsidRDefault="00355173" w:rsidP="009B61FA">
      <w:pPr>
        <w:spacing w:after="0" w:line="240" w:lineRule="auto"/>
      </w:pPr>
      <w:r>
        <w:separator/>
      </w:r>
    </w:p>
  </w:footnote>
  <w:footnote w:type="continuationSeparator" w:id="0">
    <w:p w14:paraId="0C9562DD" w14:textId="77777777" w:rsidR="00355173" w:rsidRDefault="00355173" w:rsidP="009B6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E12FA" w14:textId="07C73659" w:rsidR="009B61FA" w:rsidRDefault="00355173">
    <w:pPr>
      <w:pStyle w:val="Header"/>
    </w:pPr>
    <w:r>
      <w:rPr>
        <w:noProof/>
      </w:rPr>
      <w:pict w14:anchorId="7CF96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355235"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F82B0" w14:textId="6D4F3FFD" w:rsidR="009B61FA" w:rsidRDefault="00355173">
    <w:pPr>
      <w:pStyle w:val="Header"/>
    </w:pPr>
    <w:r>
      <w:rPr>
        <w:noProof/>
      </w:rPr>
      <w:pict w14:anchorId="24946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355236"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D621" w14:textId="4C0435B8" w:rsidR="009B61FA" w:rsidRDefault="00355173">
    <w:pPr>
      <w:pStyle w:val="Header"/>
    </w:pPr>
    <w:r>
      <w:rPr>
        <w:noProof/>
      </w:rPr>
      <w:pict w14:anchorId="2478D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355234"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56933"/>
    <w:multiLevelType w:val="hybridMultilevel"/>
    <w:tmpl w:val="28E438A6"/>
    <w:lvl w:ilvl="0" w:tplc="4009000F">
      <w:start w:val="1"/>
      <w:numFmt w:val="decimal"/>
      <w:lvlText w:val="%1."/>
      <w:lvlJc w:val="left"/>
      <w:pPr>
        <w:ind w:left="270" w:hanging="360"/>
      </w:pPr>
    </w:lvl>
    <w:lvl w:ilvl="1" w:tplc="40090019" w:tentative="1">
      <w:start w:val="1"/>
      <w:numFmt w:val="lowerLetter"/>
      <w:lvlText w:val="%2."/>
      <w:lvlJc w:val="left"/>
      <w:pPr>
        <w:ind w:left="990" w:hanging="360"/>
      </w:pPr>
    </w:lvl>
    <w:lvl w:ilvl="2" w:tplc="4009001B" w:tentative="1">
      <w:start w:val="1"/>
      <w:numFmt w:val="lowerRoman"/>
      <w:lvlText w:val="%3."/>
      <w:lvlJc w:val="right"/>
      <w:pPr>
        <w:ind w:left="1710" w:hanging="180"/>
      </w:pPr>
    </w:lvl>
    <w:lvl w:ilvl="3" w:tplc="4009000F" w:tentative="1">
      <w:start w:val="1"/>
      <w:numFmt w:val="decimal"/>
      <w:lvlText w:val="%4."/>
      <w:lvlJc w:val="left"/>
      <w:pPr>
        <w:ind w:left="2430" w:hanging="360"/>
      </w:pPr>
    </w:lvl>
    <w:lvl w:ilvl="4" w:tplc="40090019" w:tentative="1">
      <w:start w:val="1"/>
      <w:numFmt w:val="lowerLetter"/>
      <w:lvlText w:val="%5."/>
      <w:lvlJc w:val="left"/>
      <w:pPr>
        <w:ind w:left="3150" w:hanging="360"/>
      </w:pPr>
    </w:lvl>
    <w:lvl w:ilvl="5" w:tplc="4009001B" w:tentative="1">
      <w:start w:val="1"/>
      <w:numFmt w:val="lowerRoman"/>
      <w:lvlText w:val="%6."/>
      <w:lvlJc w:val="right"/>
      <w:pPr>
        <w:ind w:left="3870" w:hanging="180"/>
      </w:pPr>
    </w:lvl>
    <w:lvl w:ilvl="6" w:tplc="4009000F" w:tentative="1">
      <w:start w:val="1"/>
      <w:numFmt w:val="decimal"/>
      <w:lvlText w:val="%7."/>
      <w:lvlJc w:val="left"/>
      <w:pPr>
        <w:ind w:left="4590" w:hanging="360"/>
      </w:pPr>
    </w:lvl>
    <w:lvl w:ilvl="7" w:tplc="40090019" w:tentative="1">
      <w:start w:val="1"/>
      <w:numFmt w:val="lowerLetter"/>
      <w:lvlText w:val="%8."/>
      <w:lvlJc w:val="left"/>
      <w:pPr>
        <w:ind w:left="5310" w:hanging="360"/>
      </w:pPr>
    </w:lvl>
    <w:lvl w:ilvl="8" w:tplc="4009001B" w:tentative="1">
      <w:start w:val="1"/>
      <w:numFmt w:val="lowerRoman"/>
      <w:lvlText w:val="%9."/>
      <w:lvlJc w:val="right"/>
      <w:pPr>
        <w:ind w:left="6030" w:hanging="180"/>
      </w:pPr>
    </w:lvl>
  </w:abstractNum>
  <w:abstractNum w:abstractNumId="1" w15:restartNumberingAfterBreak="0">
    <w:nsid w:val="0F780FDE"/>
    <w:multiLevelType w:val="multilevel"/>
    <w:tmpl w:val="EF14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3F5F45"/>
    <w:multiLevelType w:val="multilevel"/>
    <w:tmpl w:val="2D5C6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AE25AC"/>
    <w:multiLevelType w:val="multilevel"/>
    <w:tmpl w:val="F726F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AC04A2"/>
    <w:multiLevelType w:val="hybridMultilevel"/>
    <w:tmpl w:val="F086D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9A1E70"/>
    <w:multiLevelType w:val="multilevel"/>
    <w:tmpl w:val="E98C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62602A"/>
    <w:multiLevelType w:val="multilevel"/>
    <w:tmpl w:val="D6D4F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7C7CE3"/>
    <w:multiLevelType w:val="multilevel"/>
    <w:tmpl w:val="E3D03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5"/>
  </w:num>
  <w:num w:numId="4">
    <w:abstractNumId w:val="1"/>
  </w:num>
  <w:num w:numId="5">
    <w:abstractNumId w:val="2"/>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1MzUyMgeSZhaWZko6SsGpxcWZ+XkgBca1ALdh2b4sAAAA"/>
  </w:docVars>
  <w:rsids>
    <w:rsidRoot w:val="00F2032D"/>
    <w:rsid w:val="00001C94"/>
    <w:rsid w:val="00011A4A"/>
    <w:rsid w:val="0006269E"/>
    <w:rsid w:val="000853F8"/>
    <w:rsid w:val="000B08F0"/>
    <w:rsid w:val="000D6B5E"/>
    <w:rsid w:val="000F77AD"/>
    <w:rsid w:val="00106CE8"/>
    <w:rsid w:val="00123E9C"/>
    <w:rsid w:val="00131DD6"/>
    <w:rsid w:val="00165354"/>
    <w:rsid w:val="00171F41"/>
    <w:rsid w:val="001751C7"/>
    <w:rsid w:val="00176D30"/>
    <w:rsid w:val="001A076F"/>
    <w:rsid w:val="001B086F"/>
    <w:rsid w:val="001D7181"/>
    <w:rsid w:val="001F1691"/>
    <w:rsid w:val="0020325F"/>
    <w:rsid w:val="00224981"/>
    <w:rsid w:val="002329DE"/>
    <w:rsid w:val="00277F49"/>
    <w:rsid w:val="00285AD1"/>
    <w:rsid w:val="002B6161"/>
    <w:rsid w:val="002D01DC"/>
    <w:rsid w:val="002D49C6"/>
    <w:rsid w:val="00335E39"/>
    <w:rsid w:val="00355173"/>
    <w:rsid w:val="003D43C5"/>
    <w:rsid w:val="00410D7B"/>
    <w:rsid w:val="00412141"/>
    <w:rsid w:val="00481785"/>
    <w:rsid w:val="00497F59"/>
    <w:rsid w:val="004C58DA"/>
    <w:rsid w:val="004F1AC6"/>
    <w:rsid w:val="005049D9"/>
    <w:rsid w:val="00521344"/>
    <w:rsid w:val="005257AC"/>
    <w:rsid w:val="00592872"/>
    <w:rsid w:val="005B15E9"/>
    <w:rsid w:val="005D33C4"/>
    <w:rsid w:val="005D6753"/>
    <w:rsid w:val="00643D83"/>
    <w:rsid w:val="00643FCF"/>
    <w:rsid w:val="00653EB0"/>
    <w:rsid w:val="00677463"/>
    <w:rsid w:val="00694480"/>
    <w:rsid w:val="006A7A8E"/>
    <w:rsid w:val="006B3304"/>
    <w:rsid w:val="006D4ABA"/>
    <w:rsid w:val="00722688"/>
    <w:rsid w:val="00727FBB"/>
    <w:rsid w:val="00740BE2"/>
    <w:rsid w:val="00770651"/>
    <w:rsid w:val="00796A3C"/>
    <w:rsid w:val="007A4C96"/>
    <w:rsid w:val="007B2967"/>
    <w:rsid w:val="007E5F3D"/>
    <w:rsid w:val="00811CED"/>
    <w:rsid w:val="0086311A"/>
    <w:rsid w:val="00874865"/>
    <w:rsid w:val="0094782C"/>
    <w:rsid w:val="009866B4"/>
    <w:rsid w:val="009A5BD3"/>
    <w:rsid w:val="009B0540"/>
    <w:rsid w:val="009B61FA"/>
    <w:rsid w:val="009C3B43"/>
    <w:rsid w:val="009D05B9"/>
    <w:rsid w:val="009E0A8C"/>
    <w:rsid w:val="00A210BF"/>
    <w:rsid w:val="00AD04D6"/>
    <w:rsid w:val="00AD7F85"/>
    <w:rsid w:val="00AF547E"/>
    <w:rsid w:val="00B33127"/>
    <w:rsid w:val="00B90119"/>
    <w:rsid w:val="00BA315C"/>
    <w:rsid w:val="00BE3BF2"/>
    <w:rsid w:val="00BF5392"/>
    <w:rsid w:val="00C532E7"/>
    <w:rsid w:val="00CA49A4"/>
    <w:rsid w:val="00CA6E62"/>
    <w:rsid w:val="00CE1D9C"/>
    <w:rsid w:val="00CF7CA3"/>
    <w:rsid w:val="00D212D4"/>
    <w:rsid w:val="00D50EFB"/>
    <w:rsid w:val="00D87C56"/>
    <w:rsid w:val="00DD29B7"/>
    <w:rsid w:val="00E42CF5"/>
    <w:rsid w:val="00E47F67"/>
    <w:rsid w:val="00E67D50"/>
    <w:rsid w:val="00E72502"/>
    <w:rsid w:val="00E82CD7"/>
    <w:rsid w:val="00EC1EAA"/>
    <w:rsid w:val="00ED3E04"/>
    <w:rsid w:val="00ED6FE0"/>
    <w:rsid w:val="00EE0ECF"/>
    <w:rsid w:val="00EF43E0"/>
    <w:rsid w:val="00F2032D"/>
    <w:rsid w:val="00F23750"/>
    <w:rsid w:val="00F269CC"/>
    <w:rsid w:val="00F667DC"/>
    <w:rsid w:val="00F94255"/>
    <w:rsid w:val="00FE6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EBFD2F"/>
  <w15:chartTrackingRefBased/>
  <w15:docId w15:val="{972578A0-A00C-4348-8D64-9D81B39A6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785"/>
    <w:pPr>
      <w:spacing w:line="48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49C6"/>
    <w:rPr>
      <w:color w:val="0563C1" w:themeColor="hyperlink"/>
      <w:u w:val="single"/>
    </w:rPr>
  </w:style>
  <w:style w:type="character" w:styleId="UnresolvedMention">
    <w:name w:val="Unresolved Mention"/>
    <w:basedOn w:val="DefaultParagraphFont"/>
    <w:uiPriority w:val="99"/>
    <w:semiHidden/>
    <w:unhideWhenUsed/>
    <w:rsid w:val="002D49C6"/>
    <w:rPr>
      <w:color w:val="605E5C"/>
      <w:shd w:val="clear" w:color="auto" w:fill="E1DFDD"/>
    </w:rPr>
  </w:style>
  <w:style w:type="paragraph" w:styleId="ListParagraph">
    <w:name w:val="List Paragraph"/>
    <w:basedOn w:val="Normal"/>
    <w:uiPriority w:val="34"/>
    <w:qFormat/>
    <w:rsid w:val="00CE1D9C"/>
    <w:pPr>
      <w:ind w:left="720"/>
      <w:contextualSpacing/>
    </w:pPr>
  </w:style>
  <w:style w:type="paragraph" w:styleId="Header">
    <w:name w:val="header"/>
    <w:basedOn w:val="Normal"/>
    <w:link w:val="HeaderChar"/>
    <w:uiPriority w:val="99"/>
    <w:unhideWhenUsed/>
    <w:rsid w:val="009B6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1FA"/>
    <w:rPr>
      <w:rFonts w:ascii="Times New Roman" w:hAnsi="Times New Roman"/>
      <w:sz w:val="24"/>
    </w:rPr>
  </w:style>
  <w:style w:type="paragraph" w:styleId="Footer">
    <w:name w:val="footer"/>
    <w:basedOn w:val="Normal"/>
    <w:link w:val="FooterChar"/>
    <w:uiPriority w:val="99"/>
    <w:unhideWhenUsed/>
    <w:rsid w:val="009B6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1F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408576">
      <w:bodyDiv w:val="1"/>
      <w:marLeft w:val="0"/>
      <w:marRight w:val="0"/>
      <w:marTop w:val="0"/>
      <w:marBottom w:val="0"/>
      <w:divBdr>
        <w:top w:val="none" w:sz="0" w:space="0" w:color="auto"/>
        <w:left w:val="none" w:sz="0" w:space="0" w:color="auto"/>
        <w:bottom w:val="none" w:sz="0" w:space="0" w:color="auto"/>
        <w:right w:val="none" w:sz="0" w:space="0" w:color="auto"/>
      </w:divBdr>
    </w:div>
    <w:div w:id="1123117973">
      <w:bodyDiv w:val="1"/>
      <w:marLeft w:val="0"/>
      <w:marRight w:val="0"/>
      <w:marTop w:val="0"/>
      <w:marBottom w:val="0"/>
      <w:divBdr>
        <w:top w:val="none" w:sz="0" w:space="0" w:color="auto"/>
        <w:left w:val="none" w:sz="0" w:space="0" w:color="auto"/>
        <w:bottom w:val="none" w:sz="0" w:space="0" w:color="auto"/>
        <w:right w:val="none" w:sz="0" w:space="0" w:color="auto"/>
      </w:divBdr>
    </w:div>
    <w:div w:id="1270621214">
      <w:bodyDiv w:val="1"/>
      <w:marLeft w:val="0"/>
      <w:marRight w:val="0"/>
      <w:marTop w:val="0"/>
      <w:marBottom w:val="0"/>
      <w:divBdr>
        <w:top w:val="none" w:sz="0" w:space="0" w:color="auto"/>
        <w:left w:val="none" w:sz="0" w:space="0" w:color="auto"/>
        <w:bottom w:val="none" w:sz="0" w:space="0" w:color="auto"/>
        <w:right w:val="none" w:sz="0" w:space="0" w:color="auto"/>
      </w:divBdr>
    </w:div>
    <w:div w:id="1777746394">
      <w:bodyDiv w:val="1"/>
      <w:marLeft w:val="0"/>
      <w:marRight w:val="0"/>
      <w:marTop w:val="0"/>
      <w:marBottom w:val="0"/>
      <w:divBdr>
        <w:top w:val="none" w:sz="0" w:space="0" w:color="auto"/>
        <w:left w:val="none" w:sz="0" w:space="0" w:color="auto"/>
        <w:bottom w:val="none" w:sz="0" w:space="0" w:color="auto"/>
        <w:right w:val="none" w:sz="0" w:space="0" w:color="auto"/>
      </w:divBdr>
    </w:div>
    <w:div w:id="181868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15/CJN.05660614" TargetMode="External"/><Relationship Id="rId13" Type="http://schemas.openxmlformats.org/officeDocument/2006/relationships/hyperlink" Target="https://doi.org/10.1016/j.eururo.2015.07.041" TargetMode="External"/><Relationship Id="rId18" Type="http://schemas.openxmlformats.org/officeDocument/2006/relationships/hyperlink" Target="https://doi.org/10.3892/ijmm.2021.4982"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1186/s12882-024-03780-y" TargetMode="External"/><Relationship Id="rId12" Type="http://schemas.openxmlformats.org/officeDocument/2006/relationships/hyperlink" Target="https://doi.org/10.1016/j.eururo.2012.03.052" TargetMode="External"/><Relationship Id="rId17" Type="http://schemas.openxmlformats.org/officeDocument/2006/relationships/hyperlink" Target="https://doi.org/10.1038/s41581-025-00990-x"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3390/healthcare11030424" TargetMode="External"/><Relationship Id="rId20" Type="http://schemas.openxmlformats.org/officeDocument/2006/relationships/hyperlink" Target="https://doi.org/10.1053/j.ajkd.2023.03.0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7/01.ju.0000152082.14384.d7"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9734/ajrru/2024/v7i1116"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1648/j.js.20190705.16" TargetMode="External"/><Relationship Id="rId19" Type="http://schemas.openxmlformats.org/officeDocument/2006/relationships/hyperlink" Target="https://doi.org/10.1111/bju.14765" TargetMode="External"/><Relationship Id="rId4" Type="http://schemas.openxmlformats.org/officeDocument/2006/relationships/webSettings" Target="webSettings.xml"/><Relationship Id="rId9" Type="http://schemas.openxmlformats.org/officeDocument/2006/relationships/hyperlink" Target="https://doi.org/10.1016/S0140-6736(06)68071-9" TargetMode="External"/><Relationship Id="rId14" Type="http://schemas.openxmlformats.org/officeDocument/2006/relationships/hyperlink" Target="https://globalresearchonline.net/journalcontents/v48-1/13.pd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13</Pages>
  <Words>2950</Words>
  <Characters>16818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1020</cp:lastModifiedBy>
  <cp:revision>106</cp:revision>
  <dcterms:created xsi:type="dcterms:W3CDTF">2025-12-02T04:43:00Z</dcterms:created>
  <dcterms:modified xsi:type="dcterms:W3CDTF">2025-12-30T11:18:00Z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cd2d5ae2-dd50-4ac7-a06f-da9e78688aa9</vt:lpwstr>
  </property>
</Properties>
</file>