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5076B" w14:textId="4E7EC391" w:rsidR="00C66E38" w:rsidRDefault="008B2256" w:rsidP="008B2256">
      <w:pPr>
        <w:spacing w:after="0" w:line="240" w:lineRule="auto"/>
        <w:rPr>
          <w:rFonts w:ascii="Times New Roman" w:hAnsi="Times New Roman" w:cs="Times New Roman"/>
          <w:b/>
          <w:bCs/>
        </w:rPr>
      </w:pPr>
      <w:r>
        <w:rPr>
          <w:rFonts w:ascii="Times New Roman" w:hAnsi="Times New Roman" w:cs="Times New Roman"/>
          <w:b/>
          <w:bCs/>
        </w:rPr>
        <w:t>Trends In Enrolment and Utilization of Basic Health Care Provision Fund Services under the Rivers State Contributory Health Protection Programme, Nigeria (2024-2025)</w:t>
      </w:r>
    </w:p>
    <w:p w14:paraId="7E3A4073" w14:textId="77777777" w:rsidR="00C66E38" w:rsidRDefault="00C66E38">
      <w:pPr>
        <w:spacing w:after="0" w:line="240" w:lineRule="auto"/>
        <w:jc w:val="both"/>
        <w:rPr>
          <w:rFonts w:ascii="Times New Roman" w:hAnsi="Times New Roman" w:cs="Times New Roman"/>
          <w:b/>
          <w:bCs/>
        </w:rPr>
      </w:pPr>
    </w:p>
    <w:p w14:paraId="1197F8ED" w14:textId="77777777" w:rsidR="00856D06" w:rsidRDefault="00856D06">
      <w:pPr>
        <w:spacing w:after="0" w:line="240" w:lineRule="auto"/>
        <w:jc w:val="both"/>
        <w:rPr>
          <w:rFonts w:ascii="Times New Roman" w:hAnsi="Times New Roman" w:cs="Times New Roman"/>
          <w:b/>
          <w:bCs/>
        </w:rPr>
      </w:pPr>
    </w:p>
    <w:p w14:paraId="1BC77EE8" w14:textId="3FB1585F" w:rsidR="00C66E38" w:rsidRDefault="00981AE8">
      <w:pPr>
        <w:spacing w:after="0" w:line="240" w:lineRule="auto"/>
        <w:jc w:val="both"/>
        <w:rPr>
          <w:rFonts w:ascii="Times New Roman" w:hAnsi="Times New Roman" w:cs="Times New Roman"/>
          <w:b/>
          <w:bCs/>
        </w:rPr>
      </w:pPr>
      <w:r>
        <w:rPr>
          <w:rFonts w:ascii="Times New Roman" w:hAnsi="Times New Roman" w:cs="Times New Roman"/>
          <w:b/>
          <w:bCs/>
        </w:rPr>
        <w:t>ABSTRACT</w:t>
      </w:r>
    </w:p>
    <w:p w14:paraId="4F5C38F6" w14:textId="77777777" w:rsidR="00C66E38" w:rsidRDefault="00C66E38">
      <w:pPr>
        <w:spacing w:after="0" w:line="240" w:lineRule="auto"/>
        <w:jc w:val="both"/>
        <w:rPr>
          <w:rFonts w:ascii="Times New Roman" w:hAnsi="Times New Roman" w:cs="Times New Roman"/>
        </w:rPr>
      </w:pPr>
    </w:p>
    <w:p w14:paraId="2885F077" w14:textId="3FF4AE39" w:rsidR="00C66E38" w:rsidRDefault="00981AE8">
      <w:pPr>
        <w:spacing w:after="0" w:line="240" w:lineRule="auto"/>
        <w:jc w:val="both"/>
        <w:rPr>
          <w:rFonts w:ascii="Times New Roman" w:hAnsi="Times New Roman" w:cs="Times New Roman"/>
        </w:rPr>
      </w:pPr>
      <w:r>
        <w:rPr>
          <w:rFonts w:ascii="Times New Roman" w:hAnsi="Times New Roman" w:cs="Times New Roman"/>
          <w:b/>
          <w:bCs/>
        </w:rPr>
        <w:t>Background:</w:t>
      </w:r>
      <w:r>
        <w:rPr>
          <w:rFonts w:ascii="Times New Roman" w:hAnsi="Times New Roman" w:cs="Times New Roman"/>
        </w:rPr>
        <w:t> </w:t>
      </w:r>
      <w:r w:rsidR="006E45FF" w:rsidRPr="006E45FF">
        <w:rPr>
          <w:rFonts w:ascii="Times New Roman" w:hAnsi="Times New Roman" w:cs="Times New Roman"/>
        </w:rPr>
        <w:t>The law establishing the Rivers State Contributory Health Protection Program (RIVCHPP) represents Nigeria’s principal fiscal instrument for achieving Universal Health Coverage. Yet, its sub-national implementation within the complex geopolitical landscape of the Niger Delta remains under-scrutinised. In Rivers State, a region characterised by dichotomies between urban and remote riverine communities, the translation of federal funding into equitable access and effective service utilisation faces unique systemic barriers until the launch of the Rivers State Contributory Health Protection Program (RIVCHPP). This study aims to examine the operational effectiveness of the RIVCHPP in Rivers State by critically analysing longitudinal trends in beneficiary enrolment and service utilisation in Rivers State.</w:t>
      </w:r>
    </w:p>
    <w:p w14:paraId="469CA64E" w14:textId="4BBA4A1B" w:rsidR="00C66E38" w:rsidRDefault="00981AE8">
      <w:pPr>
        <w:spacing w:after="0" w:line="240" w:lineRule="auto"/>
        <w:jc w:val="both"/>
        <w:rPr>
          <w:rFonts w:ascii="Times New Roman" w:hAnsi="Times New Roman" w:cs="Times New Roman"/>
        </w:rPr>
      </w:pPr>
      <w:r>
        <w:rPr>
          <w:rFonts w:ascii="Times New Roman" w:hAnsi="Times New Roman" w:cs="Times New Roman"/>
          <w:b/>
          <w:bCs/>
        </w:rPr>
        <w:t>Methodology:</w:t>
      </w:r>
      <w:r>
        <w:rPr>
          <w:rFonts w:ascii="Times New Roman" w:hAnsi="Times New Roman" w:cs="Times New Roman"/>
        </w:rPr>
        <w:t> </w:t>
      </w:r>
      <w:r w:rsidR="004A4A93" w:rsidRPr="004A4A93">
        <w:rPr>
          <w:rFonts w:ascii="Times New Roman" w:hAnsi="Times New Roman" w:cs="Times New Roman"/>
        </w:rPr>
        <w:t>The study adopted a retrospective descriptive trend analysis over time; the data were extracted and analysed from the administrative records of RIVCHPP over an 18-month period spanning six complete quarters from April 2024 to September 2025. The dataset comprised 114,111 enrolment records and comprehensive service utilisation.</w:t>
      </w:r>
    </w:p>
    <w:p w14:paraId="76DDA744" w14:textId="75A6A083" w:rsidR="00BF7D76" w:rsidRDefault="00981AE8" w:rsidP="00BF7D76">
      <w:pPr>
        <w:spacing w:after="0" w:line="240" w:lineRule="auto"/>
        <w:jc w:val="both"/>
        <w:rPr>
          <w:rFonts w:ascii="Times New Roman" w:hAnsi="Times New Roman" w:cs="Times New Roman"/>
          <w:lang w:val="en-US"/>
        </w:rPr>
      </w:pPr>
      <w:r>
        <w:rPr>
          <w:rFonts w:ascii="Times New Roman" w:hAnsi="Times New Roman" w:cs="Times New Roman"/>
          <w:b/>
          <w:bCs/>
        </w:rPr>
        <w:t>Results:</w:t>
      </w:r>
      <w:r>
        <w:rPr>
          <w:rFonts w:ascii="Times New Roman" w:hAnsi="Times New Roman" w:cs="Times New Roman"/>
        </w:rPr>
        <w:t> </w:t>
      </w:r>
      <w:r w:rsidR="007D03C2" w:rsidRPr="007D03C2">
        <w:rPr>
          <w:rFonts w:ascii="Times New Roman" w:hAnsi="Times New Roman" w:cs="Times New Roman"/>
          <w:lang w:val="en-US"/>
        </w:rPr>
        <w:t>RIVCHPP demonstrated a strong capacity for rapid enrolment, with a 961.5% surge following campaign-based registration in Q3 2024 (36,483 beneficiaries), followed by a decline to 11,690 by Q3 2025 (67.9%), indicating dependence on targeted campaigns rather than continuous enrolment. Enrolment was highly concentrated in Rivers East Senatorial District (83.16%), though participation in Rivers West and South-East suggests potential for equitable expansion. Despite enrolment volatility, service utilization was substantial, with 195,246 encounters recorded, driven mainly by malaria treatment (36.8%) and immunization (30.8%). Antenatal care accounted for 10.3% of services, while facility-based deliveries remained low (1.8%), highlighting opportunities to strengthen continuity of maternal care within the scheme.</w:t>
      </w:r>
    </w:p>
    <w:p w14:paraId="56E61514" w14:textId="1F0EDE19" w:rsidR="00C66E38" w:rsidRDefault="00981AE8">
      <w:pPr>
        <w:spacing w:after="0" w:line="240" w:lineRule="auto"/>
        <w:jc w:val="both"/>
        <w:rPr>
          <w:rFonts w:ascii="Times New Roman" w:hAnsi="Times New Roman" w:cs="Times New Roman"/>
          <w:lang w:val="en-US"/>
        </w:rPr>
      </w:pPr>
      <w:r>
        <w:rPr>
          <w:rFonts w:ascii="Times New Roman" w:hAnsi="Times New Roman" w:cs="Times New Roman"/>
          <w:b/>
          <w:bCs/>
        </w:rPr>
        <w:t>Conclusion:</w:t>
      </w:r>
      <w:r>
        <w:rPr>
          <w:rFonts w:ascii="Times New Roman" w:hAnsi="Times New Roman" w:cs="Times New Roman"/>
          <w:b/>
          <w:bCs/>
          <w:lang w:val="en-US"/>
        </w:rPr>
        <w:t xml:space="preserve"> </w:t>
      </w:r>
      <w:r w:rsidR="00E81378" w:rsidRPr="00E81378">
        <w:rPr>
          <w:rFonts w:ascii="Times New Roman" w:hAnsi="Times New Roman" w:cs="Times New Roman"/>
        </w:rPr>
        <w:t>RIVCHPP has become a central pillar of the State’s health system, expanding access to comprehensive preventive, promotive, and curative services across urban and rural areas. The programme has strengthened service delivery through broad facility coverage, increased utilization, and financial risk protection for vulnerable groups, particularly women, children, and low-income households. As an inclusive social protection and near-universal health coverage platform, RIVCHPP has reduced out-of-pocket spending, improved continuity of care, and enhanced health-seeking behavio</w:t>
      </w:r>
      <w:r w:rsidR="00E81378">
        <w:rPr>
          <w:rFonts w:ascii="Times New Roman" w:hAnsi="Times New Roman" w:cs="Times New Roman"/>
        </w:rPr>
        <w:t>u</w:t>
      </w:r>
      <w:r w:rsidR="00E81378" w:rsidRPr="00E81378">
        <w:rPr>
          <w:rFonts w:ascii="Times New Roman" w:hAnsi="Times New Roman" w:cs="Times New Roman"/>
        </w:rPr>
        <w:t>r, contributing significantly to improved health outcomes and progress toward universal health coverage in the State.</w:t>
      </w:r>
    </w:p>
    <w:p w14:paraId="53C37169" w14:textId="77777777" w:rsidR="00C66E38" w:rsidRDefault="00C66E38">
      <w:pPr>
        <w:spacing w:after="0" w:line="240" w:lineRule="auto"/>
        <w:jc w:val="both"/>
        <w:rPr>
          <w:rFonts w:ascii="Times New Roman" w:hAnsi="Times New Roman" w:cs="Times New Roman"/>
        </w:rPr>
      </w:pPr>
    </w:p>
    <w:p w14:paraId="0BE2BE7C" w14:textId="77777777" w:rsidR="00C66E38" w:rsidRDefault="00981AE8">
      <w:pPr>
        <w:spacing w:after="0" w:line="240" w:lineRule="auto"/>
        <w:jc w:val="both"/>
        <w:rPr>
          <w:rFonts w:ascii="Times New Roman" w:hAnsi="Times New Roman" w:cs="Times New Roman"/>
        </w:rPr>
      </w:pPr>
      <w:r>
        <w:rPr>
          <w:rFonts w:ascii="Times New Roman" w:hAnsi="Times New Roman" w:cs="Times New Roman"/>
          <w:b/>
          <w:bCs/>
        </w:rPr>
        <w:t>Keywords:</w:t>
      </w:r>
      <w:r>
        <w:rPr>
          <w:rFonts w:ascii="Times New Roman" w:hAnsi="Times New Roman" w:cs="Times New Roman"/>
        </w:rPr>
        <w:t> </w:t>
      </w:r>
      <w:r>
        <w:rPr>
          <w:rFonts w:ascii="Times New Roman" w:hAnsi="Times New Roman" w:cs="Times New Roman"/>
          <w:i/>
          <w:iCs/>
        </w:rPr>
        <w:t>Rivers State Contributory Health Protection Program, Universal Health Coverage, Health Equity, Primary Health Care, Maternal Health, Rivers State, Health Systems Strengthening.</w:t>
      </w:r>
    </w:p>
    <w:p w14:paraId="14B25FC2" w14:textId="77777777" w:rsidR="00C66E38" w:rsidRDefault="00C66E38">
      <w:pPr>
        <w:spacing w:after="0" w:line="240" w:lineRule="auto"/>
        <w:jc w:val="both"/>
        <w:rPr>
          <w:rFonts w:ascii="Times New Roman" w:hAnsi="Times New Roman" w:cs="Times New Roman"/>
          <w:b/>
          <w:bCs/>
        </w:rPr>
      </w:pPr>
    </w:p>
    <w:p w14:paraId="1A105E9C" w14:textId="77777777" w:rsidR="00C66E38" w:rsidRDefault="00981AE8">
      <w:pPr>
        <w:rPr>
          <w:rFonts w:ascii="Times New Roman" w:hAnsi="Times New Roman" w:cs="Times New Roman"/>
          <w:b/>
          <w:bCs/>
        </w:rPr>
      </w:pPr>
      <w:r>
        <w:rPr>
          <w:rFonts w:ascii="Times New Roman" w:hAnsi="Times New Roman" w:cs="Times New Roman"/>
          <w:b/>
          <w:bCs/>
        </w:rPr>
        <w:br w:type="page"/>
      </w:r>
    </w:p>
    <w:p w14:paraId="010A44F1" w14:textId="77777777" w:rsidR="00C66E38" w:rsidRDefault="00981AE8">
      <w:pPr>
        <w:spacing w:after="0" w:line="240" w:lineRule="auto"/>
        <w:jc w:val="both"/>
        <w:rPr>
          <w:rFonts w:ascii="Times New Roman" w:hAnsi="Times New Roman" w:cs="Times New Roman"/>
          <w:b/>
          <w:bCs/>
        </w:rPr>
      </w:pPr>
      <w:r>
        <w:rPr>
          <w:rFonts w:ascii="Times New Roman" w:hAnsi="Times New Roman" w:cs="Times New Roman"/>
          <w:b/>
          <w:bCs/>
        </w:rPr>
        <w:lastRenderedPageBreak/>
        <w:t>INTRODUCTION</w:t>
      </w:r>
    </w:p>
    <w:p w14:paraId="020382DC" w14:textId="77777777" w:rsidR="00C66E38" w:rsidRDefault="00C66E38">
      <w:pPr>
        <w:spacing w:after="0" w:line="240" w:lineRule="auto"/>
        <w:jc w:val="both"/>
        <w:rPr>
          <w:rFonts w:ascii="Times New Roman" w:hAnsi="Times New Roman" w:cs="Times New Roman"/>
          <w:b/>
          <w:bCs/>
        </w:rPr>
      </w:pPr>
    </w:p>
    <w:p w14:paraId="5BBFD2F7" w14:textId="77777777" w:rsidR="00C66E38" w:rsidRDefault="00981AE8">
      <w:pPr>
        <w:spacing w:after="0" w:line="240" w:lineRule="auto"/>
        <w:jc w:val="both"/>
        <w:rPr>
          <w:rFonts w:ascii="Times New Roman" w:hAnsi="Times New Roman" w:cs="Times New Roman"/>
          <w:b/>
          <w:bCs/>
        </w:rPr>
      </w:pPr>
      <w:r>
        <w:rPr>
          <w:rFonts w:ascii="Times New Roman" w:hAnsi="Times New Roman" w:cs="Times New Roman"/>
          <w:b/>
          <w:bCs/>
        </w:rPr>
        <w:t>Background to the Study</w:t>
      </w:r>
    </w:p>
    <w:p w14:paraId="690D370A" w14:textId="77777777" w:rsidR="00C66E38" w:rsidRDefault="00C66E38">
      <w:pPr>
        <w:spacing w:after="0" w:line="240" w:lineRule="auto"/>
        <w:jc w:val="both"/>
        <w:rPr>
          <w:rFonts w:ascii="Times New Roman" w:hAnsi="Times New Roman" w:cs="Times New Roman"/>
          <w:b/>
          <w:bCs/>
        </w:rPr>
      </w:pPr>
    </w:p>
    <w:p w14:paraId="4AB11FB2" w14:textId="77777777" w:rsidR="00617C83" w:rsidRPr="00617C83" w:rsidRDefault="00617C83" w:rsidP="00630336">
      <w:pPr>
        <w:spacing w:after="0" w:line="240" w:lineRule="auto"/>
        <w:jc w:val="both"/>
        <w:rPr>
          <w:rFonts w:ascii="Times New Roman" w:hAnsi="Times New Roman" w:cs="Times New Roman"/>
          <w:lang w:val="en-US"/>
        </w:rPr>
      </w:pPr>
      <w:r w:rsidRPr="00617C83">
        <w:rPr>
          <w:rFonts w:ascii="Times New Roman" w:hAnsi="Times New Roman" w:cs="Times New Roman"/>
          <w:lang w:val="en-US"/>
        </w:rPr>
        <w:t>Universal Health Coverage (UHC) has emerged as a central objective of the global health agenda under the Sustainable Development Goals (SDGs), representing a shift from disease-specific interventions toward comprehensive health system strengthening. Rooted in the principles of the Alma-Ata Declaration, UHC seeks to ensure that all individuals have access to essential, high-quality health services without exposure to financial hardship (World Health Organisation, 2019). Despite this global consensus, progress toward UHC has been uneven, particularly across low- and middle-income countries in sub-Saharan Africa, where chronic underfunding, weak infrastructure, and persistent health workforce migration continue to undermine health system performance.</w:t>
      </w:r>
    </w:p>
    <w:p w14:paraId="0819D217" w14:textId="77777777" w:rsidR="00617C83" w:rsidRPr="00617C83" w:rsidRDefault="00617C83" w:rsidP="00630336">
      <w:pPr>
        <w:spacing w:after="0" w:line="240" w:lineRule="auto"/>
        <w:jc w:val="both"/>
        <w:rPr>
          <w:rFonts w:ascii="Times New Roman" w:hAnsi="Times New Roman" w:cs="Times New Roman"/>
          <w:lang w:val="en-US"/>
        </w:rPr>
      </w:pPr>
      <w:r w:rsidRPr="00617C83">
        <w:rPr>
          <w:rFonts w:ascii="Times New Roman" w:hAnsi="Times New Roman" w:cs="Times New Roman"/>
          <w:lang w:val="en-US"/>
        </w:rPr>
        <w:t>In response to longstanding financing gaps, African leaders committed through the Abuja Declaration to allocate at least 15% of national budgets to health. However, most countries, including Nigeria, have consistently fallen short of this target, resulting in heavy reliance on out-of-pocket payments for healthcare (Biegon, 2020). Such financing patterns have been shown to exacerbate household poverty and widen health inequities, especially among vulnerable populations (Aregbeshola &amp; Khan, 2021).</w:t>
      </w:r>
    </w:p>
    <w:p w14:paraId="619D63B1" w14:textId="77777777" w:rsidR="00617C83" w:rsidRPr="00617C83" w:rsidRDefault="00617C83" w:rsidP="00630336">
      <w:pPr>
        <w:spacing w:after="0" w:line="240" w:lineRule="auto"/>
        <w:jc w:val="both"/>
        <w:rPr>
          <w:rFonts w:ascii="Times New Roman" w:hAnsi="Times New Roman" w:cs="Times New Roman"/>
          <w:lang w:val="en-US"/>
        </w:rPr>
      </w:pPr>
      <w:r w:rsidRPr="00617C83">
        <w:rPr>
          <w:rFonts w:ascii="Times New Roman" w:hAnsi="Times New Roman" w:cs="Times New Roman"/>
          <w:lang w:val="en-US"/>
        </w:rPr>
        <w:t>Within Nigeria, these systemic challenges persist despite the country’s economic stature. Nigeria continues to account for a disproportionate share of global maternal and child mortality, reflecting structural weaknesses in its primary healthcare (PHC) system (Abubakar et al., 2022). Recognising the centrality of PHC to health system resilience, the Federal Government enacted the National Health Act in 2014, establishing the Basic Health Care Provision Fund (BHCPF). The BHCPF earmarks at least 1% of the Consolidated Revenue Fund to finance a Basic Minimum Package of Health Services through designated gateways, including the National Health Insurance Authority (NHIA), National Primary Health Care Development Agency (NPHCDA), National Emergency Medical Treatment Gateway, and the Nigeria Centre for Disease Control (Federal Republic of Nigeria, 2014; Alawode et al., 2022).</w:t>
      </w:r>
    </w:p>
    <w:p w14:paraId="6E066500" w14:textId="77777777" w:rsidR="00617C83" w:rsidRPr="00617C83" w:rsidRDefault="00617C83" w:rsidP="00630336">
      <w:pPr>
        <w:spacing w:after="0" w:line="240" w:lineRule="auto"/>
        <w:jc w:val="both"/>
        <w:rPr>
          <w:rFonts w:ascii="Times New Roman" w:hAnsi="Times New Roman" w:cs="Times New Roman"/>
          <w:lang w:val="en-US"/>
        </w:rPr>
      </w:pPr>
      <w:r w:rsidRPr="00617C83">
        <w:rPr>
          <w:rFonts w:ascii="Times New Roman" w:hAnsi="Times New Roman" w:cs="Times New Roman"/>
          <w:lang w:val="en-US"/>
        </w:rPr>
        <w:t>At the sub-national level, Rivers State operationalises the NHIA gateway through the Rivers State Contributory Health Protection Programme (RIVCHPP), signalling political commitment to expanding financial risk protection and healthcare access. Nonetheless, translating national financing frameworks into improved service delivery at the state level remains complex. The decentralised nature of Nigeria’s federal system introduces variability in implementation capacity, governance quality, and political prioritisation across states (Igbokwe et al., 2024). Scholars further caution that implementation may be constrained by fragmented social protection approaches that prioritise targeted interventions over comprehensive system integration (Chukwuma, 2023).</w:t>
      </w:r>
    </w:p>
    <w:p w14:paraId="065D99D4" w14:textId="77777777" w:rsidR="00617C83" w:rsidRPr="00617C83" w:rsidRDefault="00617C83" w:rsidP="00630336">
      <w:pPr>
        <w:spacing w:after="0" w:line="240" w:lineRule="auto"/>
        <w:jc w:val="both"/>
        <w:rPr>
          <w:rFonts w:ascii="Times New Roman" w:hAnsi="Times New Roman" w:cs="Times New Roman"/>
          <w:lang w:val="en-US"/>
        </w:rPr>
      </w:pPr>
      <w:r w:rsidRPr="00617C83">
        <w:rPr>
          <w:rFonts w:ascii="Times New Roman" w:hAnsi="Times New Roman" w:cs="Times New Roman"/>
          <w:lang w:val="en-US"/>
        </w:rPr>
        <w:t>The effectiveness of RIVCHPP is fundamentally dependent on beneficiary enrolment and subsequent utilisation of health services. Enrolment reflects public awareness and trust, while utilisation captures the functional capacity of PHC facilities to deliver care. Evidence from multiple Nigerian states suggests that low awareness, infrastructural deficits, drug stock-outs, and health workforce shortages often weaken the link between enrolment and actual service use (Nwobodo et al., 2022; Ewelike et al., 2021; Fabong et al., 2023; Ehimare et al., 2023).</w:t>
      </w:r>
    </w:p>
    <w:p w14:paraId="4FE311FD" w14:textId="77777777" w:rsidR="00617C83" w:rsidRPr="00617C83" w:rsidRDefault="00617C83" w:rsidP="00630336">
      <w:pPr>
        <w:spacing w:after="0" w:line="240" w:lineRule="auto"/>
        <w:jc w:val="both"/>
        <w:rPr>
          <w:rFonts w:ascii="Times New Roman" w:hAnsi="Times New Roman" w:cs="Times New Roman"/>
          <w:lang w:val="en-US"/>
        </w:rPr>
      </w:pPr>
      <w:r w:rsidRPr="00617C83">
        <w:rPr>
          <w:rFonts w:ascii="Times New Roman" w:hAnsi="Times New Roman" w:cs="Times New Roman"/>
          <w:lang w:val="en-US"/>
        </w:rPr>
        <w:t xml:space="preserve">Rivers State provides a strategic context for examining the implementation of health financing reforms due to its role as a major economic hub in the Niger Delta and its heterogeneous settlement pattern, which includes densely populated urban centres as well as dispersed and hard-to-reach riverine communities. Through the operationalisation of the Rivers State Contributory Health Protection Programme (RIVCHPP), deliberate efforts have been made to overcome historical urban bias in healthcare delivery by extending coverage to all residents </w:t>
      </w:r>
      <w:r w:rsidRPr="00617C83">
        <w:rPr>
          <w:rFonts w:ascii="Times New Roman" w:hAnsi="Times New Roman" w:cs="Times New Roman"/>
          <w:lang w:val="en-US"/>
        </w:rPr>
        <w:lastRenderedPageBreak/>
        <w:t>and individuals conducting business within the state, irrespective of geographical location or socio-economic status. The programme’s expanding facility network and enrolment mechanisms are designed to promote equitable access to quality healthcare services across all Senatorial Districts. Consequently, analysing enrolment and service utilisation trends offers valuable insights into the extent to which RIVCHPP has translated policy intent into inclusive, system-wide service delivery within a complex sub-national context.</w:t>
      </w:r>
    </w:p>
    <w:p w14:paraId="5535E4AF" w14:textId="77777777" w:rsidR="00617C83" w:rsidRPr="00617C83" w:rsidRDefault="00617C83" w:rsidP="00630336">
      <w:pPr>
        <w:spacing w:after="0" w:line="240" w:lineRule="auto"/>
        <w:jc w:val="both"/>
        <w:rPr>
          <w:rFonts w:ascii="Times New Roman" w:hAnsi="Times New Roman" w:cs="Times New Roman"/>
          <w:lang w:val="en-US"/>
        </w:rPr>
      </w:pPr>
      <w:r w:rsidRPr="00617C83">
        <w:rPr>
          <w:rFonts w:ascii="Times New Roman" w:hAnsi="Times New Roman" w:cs="Times New Roman"/>
          <w:lang w:val="en-US"/>
        </w:rPr>
        <w:t>Despite the availability of BHCPF funding and the establishment of RIVCHPP, Rivers State continues to experience a disconnect between financial inputs and effective utilisation of primary healthcare services. Enrolment figures alone do not guarantee meaningful coverage if beneficiaries do not access care or if facilities lack the infrastructure, workforce, and commodities required to deliver services. This disconnect risks creating an illusion of coverage while households continue to rely on out-of-pocket spending and informal care providers, thereby perpetuating the cycle of poverty the scheme was designed to interrupt (Odinenu &amp; Anago, 2025).</w:t>
      </w:r>
    </w:p>
    <w:p w14:paraId="0F92FC3F" w14:textId="77777777" w:rsidR="00617C83" w:rsidRPr="00617C83" w:rsidRDefault="00617C83" w:rsidP="00630336">
      <w:pPr>
        <w:spacing w:after="0" w:line="240" w:lineRule="auto"/>
        <w:jc w:val="both"/>
        <w:rPr>
          <w:rFonts w:ascii="Times New Roman" w:hAnsi="Times New Roman" w:cs="Times New Roman"/>
          <w:lang w:val="en-US"/>
        </w:rPr>
      </w:pPr>
      <w:r w:rsidRPr="00617C83">
        <w:rPr>
          <w:rFonts w:ascii="Times New Roman" w:hAnsi="Times New Roman" w:cs="Times New Roman"/>
          <w:lang w:val="en-US"/>
        </w:rPr>
        <w:t>The urgency of this problem is heightened by Nigeria’s contribution of approximately 17% to global maternal mortality, with geographic barriers in Rivers State further disadvantaging rural and riverine populations (Esomonu et al., 2022). The challenge lies in variations in operational capacity among designated primary healthcare facilities, where service delivery may be constrained by staffing gaps, infrastructural limitations, or logistical challenges, resulting in lower-than-expected service volumes. In the absence of rigorous, data-driven analyses of utilisation indicators such as antenatal care attendance, facility-based deliveries, and referral patterns this performance differentials may remain insufficiently detected, thereby limiting timely corrective actions within BHCPF implementation pathways.</w:t>
      </w:r>
    </w:p>
    <w:p w14:paraId="14E3BB3B" w14:textId="77777777" w:rsidR="00617C83" w:rsidRPr="00617C83" w:rsidRDefault="00617C83" w:rsidP="00630336">
      <w:pPr>
        <w:spacing w:after="0" w:line="240" w:lineRule="auto"/>
        <w:jc w:val="both"/>
        <w:rPr>
          <w:rFonts w:ascii="Times New Roman" w:hAnsi="Times New Roman" w:cs="Times New Roman"/>
          <w:lang w:val="en-US"/>
        </w:rPr>
      </w:pPr>
      <w:r w:rsidRPr="00617C83">
        <w:rPr>
          <w:rFonts w:ascii="Times New Roman" w:hAnsi="Times New Roman" w:cs="Times New Roman"/>
          <w:lang w:val="en-US"/>
        </w:rPr>
        <w:t>This study is justified by critical gaps in existing literature. While prior studies have examined state readiness, political economy, healthcare worker perspectives, and client satisfaction, there is a paucity of longitudinal analyses that interrogate enrolment and utilisation trends using administrative data, particularly in the South-South geopolitical zone (Nwobodo et al., 2022; Alawode et al., 2022; Ibrahim et al., 2023; Esomonu et al., 2022). By analysing enrolment and service utilisation across Local Government Areas and Senatorial Districts in Rivers State, this study responds to calls for outcome-focused accountability and provides empirical evidence to guide equitable resource allocation, workforce deployment, and system strengthening (Adeoye et al., 2024; Igbokwe et al., 2024).</w:t>
      </w:r>
    </w:p>
    <w:p w14:paraId="5EB7E968" w14:textId="77777777" w:rsidR="00C66E38" w:rsidRPr="005D1191" w:rsidRDefault="00C66E38">
      <w:pPr>
        <w:spacing w:after="0" w:line="240" w:lineRule="auto"/>
        <w:rPr>
          <w:rFonts w:ascii="Times New Roman" w:hAnsi="Times New Roman" w:cs="Times New Roman"/>
          <w:b/>
          <w:bCs/>
        </w:rPr>
      </w:pPr>
    </w:p>
    <w:p w14:paraId="508224E1" w14:textId="77777777" w:rsidR="00C66E38" w:rsidRDefault="00981AE8">
      <w:pPr>
        <w:spacing w:after="0" w:line="240" w:lineRule="auto"/>
        <w:jc w:val="both"/>
        <w:rPr>
          <w:rFonts w:ascii="Times New Roman" w:hAnsi="Times New Roman" w:cs="Times New Roman"/>
          <w:b/>
          <w:bCs/>
        </w:rPr>
      </w:pPr>
      <w:r>
        <w:rPr>
          <w:rFonts w:ascii="Times New Roman" w:hAnsi="Times New Roman" w:cs="Times New Roman"/>
          <w:b/>
          <w:bCs/>
        </w:rPr>
        <w:t>Purpose of the Study</w:t>
      </w:r>
    </w:p>
    <w:p w14:paraId="2BCDAD5F" w14:textId="77777777" w:rsidR="00C66E38" w:rsidRDefault="00C66E38">
      <w:pPr>
        <w:spacing w:after="0" w:line="240" w:lineRule="auto"/>
        <w:jc w:val="both"/>
        <w:rPr>
          <w:rFonts w:ascii="Times New Roman" w:hAnsi="Times New Roman" w:cs="Times New Roman"/>
          <w:b/>
          <w:bCs/>
        </w:rPr>
      </w:pPr>
    </w:p>
    <w:p w14:paraId="0C80E2FE" w14:textId="77777777" w:rsidR="00C66E38" w:rsidRDefault="00981AE8">
      <w:pPr>
        <w:spacing w:after="0" w:line="240" w:lineRule="auto"/>
        <w:jc w:val="both"/>
        <w:rPr>
          <w:rFonts w:ascii="Times New Roman" w:hAnsi="Times New Roman" w:cs="Times New Roman"/>
        </w:rPr>
      </w:pPr>
      <w:r>
        <w:rPr>
          <w:rFonts w:ascii="Times New Roman" w:hAnsi="Times New Roman" w:cs="Times New Roman"/>
        </w:rPr>
        <w:t>The overarching aim of this research was to critically examine trends in enrolment and utilisation of Basic Health Care Provision Fund services in Rivers State, Nigeria. To achieve this aim, the study was guided by the following specific objectives:</w:t>
      </w:r>
    </w:p>
    <w:p w14:paraId="4790D6B5" w14:textId="77777777" w:rsidR="00C66E38" w:rsidRDefault="00C66E38">
      <w:pPr>
        <w:spacing w:after="0" w:line="240" w:lineRule="auto"/>
        <w:jc w:val="both"/>
        <w:rPr>
          <w:rFonts w:ascii="Times New Roman" w:hAnsi="Times New Roman" w:cs="Times New Roman"/>
        </w:rPr>
      </w:pPr>
    </w:p>
    <w:p w14:paraId="1A89AC95" w14:textId="77777777" w:rsidR="00C66E38" w:rsidRDefault="00981AE8">
      <w:pPr>
        <w:numPr>
          <w:ilvl w:val="0"/>
          <w:numId w:val="1"/>
        </w:numPr>
        <w:spacing w:after="0" w:line="240" w:lineRule="auto"/>
        <w:ind w:left="0" w:firstLine="0"/>
        <w:jc w:val="both"/>
        <w:rPr>
          <w:rFonts w:ascii="Times New Roman" w:hAnsi="Times New Roman" w:cs="Times New Roman"/>
        </w:rPr>
      </w:pPr>
      <w:r>
        <w:rPr>
          <w:rFonts w:ascii="Times New Roman" w:hAnsi="Times New Roman" w:cs="Times New Roman"/>
        </w:rPr>
        <w:t>To assess trends in enrolments into the RIVCHPP in Rivers State over the study period.</w:t>
      </w:r>
    </w:p>
    <w:p w14:paraId="2EAE86E7" w14:textId="77777777" w:rsidR="00C66E38" w:rsidRDefault="00981AE8">
      <w:pPr>
        <w:numPr>
          <w:ilvl w:val="0"/>
          <w:numId w:val="1"/>
        </w:numPr>
        <w:spacing w:after="0" w:line="240" w:lineRule="auto"/>
        <w:ind w:left="0" w:firstLine="0"/>
        <w:jc w:val="both"/>
        <w:rPr>
          <w:rFonts w:ascii="Times New Roman" w:hAnsi="Times New Roman" w:cs="Times New Roman"/>
        </w:rPr>
      </w:pPr>
      <w:r>
        <w:rPr>
          <w:rFonts w:ascii="Times New Roman" w:hAnsi="Times New Roman" w:cs="Times New Roman"/>
        </w:rPr>
        <w:t xml:space="preserve">To analyse patterns of primary healthcare service utilisation under the RIVCHPP in </w:t>
      </w:r>
      <w:r>
        <w:rPr>
          <w:rFonts w:ascii="Times New Roman" w:hAnsi="Times New Roman" w:cs="Times New Roman"/>
        </w:rPr>
        <w:tab/>
        <w:t>Rivers State.</w:t>
      </w:r>
    </w:p>
    <w:p w14:paraId="787A1D49" w14:textId="77777777" w:rsidR="00C66E38" w:rsidRDefault="00C66E38">
      <w:pPr>
        <w:spacing w:after="0" w:line="240" w:lineRule="auto"/>
        <w:jc w:val="both"/>
        <w:rPr>
          <w:rFonts w:ascii="Times New Roman" w:hAnsi="Times New Roman" w:cs="Times New Roman"/>
          <w:b/>
          <w:bCs/>
        </w:rPr>
      </w:pPr>
    </w:p>
    <w:p w14:paraId="7FC283C2" w14:textId="77777777" w:rsidR="00C66E38" w:rsidRDefault="00981AE8">
      <w:pPr>
        <w:spacing w:after="0" w:line="240" w:lineRule="auto"/>
        <w:jc w:val="both"/>
        <w:rPr>
          <w:rFonts w:ascii="Times New Roman" w:hAnsi="Times New Roman" w:cs="Times New Roman"/>
          <w:b/>
          <w:bCs/>
        </w:rPr>
      </w:pPr>
      <w:r>
        <w:rPr>
          <w:rFonts w:ascii="Times New Roman" w:hAnsi="Times New Roman" w:cs="Times New Roman"/>
          <w:b/>
          <w:bCs/>
        </w:rPr>
        <w:t>METHODOLOGY</w:t>
      </w:r>
    </w:p>
    <w:p w14:paraId="6445AE9F" w14:textId="77777777" w:rsidR="00C66E38" w:rsidRDefault="00C66E38">
      <w:pPr>
        <w:spacing w:after="0" w:line="240" w:lineRule="auto"/>
        <w:jc w:val="both"/>
        <w:rPr>
          <w:rFonts w:ascii="Times New Roman" w:hAnsi="Times New Roman" w:cs="Times New Roman"/>
          <w:b/>
          <w:bCs/>
        </w:rPr>
      </w:pPr>
    </w:p>
    <w:p w14:paraId="6049016C" w14:textId="77777777" w:rsidR="00C66E38" w:rsidRDefault="00981AE8">
      <w:pPr>
        <w:spacing w:after="0" w:line="240" w:lineRule="auto"/>
        <w:jc w:val="both"/>
        <w:rPr>
          <w:rFonts w:ascii="Times New Roman" w:hAnsi="Times New Roman" w:cs="Times New Roman"/>
          <w:b/>
          <w:bCs/>
        </w:rPr>
      </w:pPr>
      <w:r>
        <w:rPr>
          <w:rFonts w:ascii="Times New Roman" w:hAnsi="Times New Roman" w:cs="Times New Roman"/>
          <w:b/>
          <w:bCs/>
        </w:rPr>
        <w:t>Study Area and Design</w:t>
      </w:r>
    </w:p>
    <w:p w14:paraId="6BC86925" w14:textId="77777777" w:rsidR="00C66E38" w:rsidRDefault="00C66E38">
      <w:pPr>
        <w:spacing w:after="0" w:line="240" w:lineRule="auto"/>
        <w:jc w:val="both"/>
        <w:rPr>
          <w:rFonts w:ascii="Times New Roman" w:hAnsi="Times New Roman" w:cs="Times New Roman"/>
        </w:rPr>
      </w:pPr>
    </w:p>
    <w:p w14:paraId="669F9CBE" w14:textId="71FAAA76" w:rsidR="00BD4621" w:rsidRPr="00BD4621" w:rsidRDefault="00BD4621" w:rsidP="00BD4621">
      <w:pPr>
        <w:spacing w:after="0" w:line="240" w:lineRule="auto"/>
        <w:jc w:val="both"/>
        <w:rPr>
          <w:rFonts w:ascii="Times New Roman" w:hAnsi="Times New Roman" w:cs="Times New Roman"/>
          <w:lang w:val="en-US"/>
        </w:rPr>
      </w:pPr>
      <w:r w:rsidRPr="00BD4621">
        <w:rPr>
          <w:rFonts w:ascii="Times New Roman" w:hAnsi="Times New Roman" w:cs="Times New Roman"/>
          <w:lang w:val="en-US"/>
        </w:rPr>
        <w:t xml:space="preserve">The study was conducted in Rivers State, located in Nigeria's South-South geopolitical zone and situated within the core Niger Delta region. The State lies along the Atlantic coastline and is bordered by Bayelsa State to the West, Delta and Abia State to the North, Imo to the East </w:t>
      </w:r>
      <w:r w:rsidRPr="00BD4621">
        <w:rPr>
          <w:rFonts w:ascii="Times New Roman" w:hAnsi="Times New Roman" w:cs="Times New Roman"/>
          <w:lang w:val="en-US"/>
        </w:rPr>
        <w:lastRenderedPageBreak/>
        <w:t xml:space="preserve">and the Atlantic Ocean to the South. The state is characterized by marked geographical and socio-economic contrasts, comprising relatively urbanized upland areas and hard-to-reach riverine communities within the Niger Delta. These features significantly influence healthcare access and utilization, particularly for publicly funded programmes such as the Basic Health Care Provision Fund. Rivers State also exhibits a double burden of disease, with persistent infectious diseases alongside rising non-communicable conditions linked to </w:t>
      </w:r>
      <w:r w:rsidR="001B6520" w:rsidRPr="00BD4621">
        <w:rPr>
          <w:rFonts w:ascii="Times New Roman" w:hAnsi="Times New Roman" w:cs="Times New Roman"/>
          <w:lang w:val="en-US"/>
        </w:rPr>
        <w:t>urbanization</w:t>
      </w:r>
      <w:r w:rsidRPr="00BD4621">
        <w:rPr>
          <w:rFonts w:ascii="Times New Roman" w:hAnsi="Times New Roman" w:cs="Times New Roman"/>
          <w:lang w:val="en-US"/>
        </w:rPr>
        <w:t>. Its demographic diversity and uneven health infrastructure make it a suitable setting for examining enrolment trends, service utilization, and geographical equity under the RIVCHPP (Abubakar et al., 2022).</w:t>
      </w:r>
    </w:p>
    <w:p w14:paraId="144D1232" w14:textId="38779237" w:rsidR="00BD4621" w:rsidRPr="00BD4621" w:rsidRDefault="00BD4621" w:rsidP="00BD4621">
      <w:pPr>
        <w:spacing w:after="0" w:line="240" w:lineRule="auto"/>
        <w:jc w:val="both"/>
        <w:rPr>
          <w:rFonts w:ascii="Times New Roman" w:hAnsi="Times New Roman" w:cs="Times New Roman"/>
          <w:lang w:val="en-US"/>
        </w:rPr>
      </w:pPr>
      <w:r w:rsidRPr="00BD4621">
        <w:rPr>
          <w:rFonts w:ascii="Times New Roman" w:hAnsi="Times New Roman" w:cs="Times New Roman"/>
          <w:lang w:val="en-US"/>
        </w:rPr>
        <w:t xml:space="preserve">We adopted a </w:t>
      </w:r>
      <w:r w:rsidR="00CB26C4" w:rsidRPr="00CB26C4">
        <w:rPr>
          <w:rFonts w:ascii="Times New Roman" w:hAnsi="Times New Roman" w:cs="Times New Roman"/>
          <w:lang w:val="en-US"/>
        </w:rPr>
        <w:t>retrospective descriptive trend analysis</w:t>
      </w:r>
      <w:r w:rsidRPr="00BD4621">
        <w:rPr>
          <w:rFonts w:ascii="Times New Roman" w:hAnsi="Times New Roman" w:cs="Times New Roman"/>
          <w:lang w:val="en-US"/>
        </w:rPr>
        <w:t xml:space="preserve">. This design enabled the analysis of historical trends in enrolments </w:t>
      </w:r>
      <w:r w:rsidR="00CE28AA" w:rsidRPr="00BD4621">
        <w:rPr>
          <w:rFonts w:ascii="Times New Roman" w:hAnsi="Times New Roman" w:cs="Times New Roman"/>
          <w:lang w:val="en-US"/>
        </w:rPr>
        <w:t>and</w:t>
      </w:r>
      <w:r w:rsidRPr="00BD4621">
        <w:rPr>
          <w:rFonts w:ascii="Times New Roman" w:hAnsi="Times New Roman" w:cs="Times New Roman"/>
          <w:lang w:val="en-US"/>
        </w:rPr>
        <w:t xml:space="preserve"> </w:t>
      </w:r>
      <w:r w:rsidR="001B6520" w:rsidRPr="00BD4621">
        <w:rPr>
          <w:rFonts w:ascii="Times New Roman" w:hAnsi="Times New Roman" w:cs="Times New Roman"/>
          <w:lang w:val="en-US"/>
        </w:rPr>
        <w:t>utilization</w:t>
      </w:r>
      <w:r w:rsidRPr="00BD4621">
        <w:rPr>
          <w:rFonts w:ascii="Times New Roman" w:hAnsi="Times New Roman" w:cs="Times New Roman"/>
          <w:lang w:val="en-US"/>
        </w:rPr>
        <w:t xml:space="preserve"> </w:t>
      </w:r>
      <w:r w:rsidR="00CE28AA">
        <w:rPr>
          <w:rFonts w:ascii="Times New Roman" w:hAnsi="Times New Roman" w:cs="Times New Roman"/>
          <w:lang w:val="en-US"/>
        </w:rPr>
        <w:t xml:space="preserve">of service </w:t>
      </w:r>
      <w:r w:rsidRPr="00BD4621">
        <w:rPr>
          <w:rFonts w:ascii="Times New Roman" w:hAnsi="Times New Roman" w:cs="Times New Roman"/>
          <w:lang w:val="en-US"/>
        </w:rPr>
        <w:t xml:space="preserve">over time using quantitative indicators. Potential limitations associated with secondary data were mitigated through triangulation of RIVCHPP ICT Department records to enhance data consistency and reliability. Data were extracted between November and December 2025, retrospectively capturing facility-level administrative and clinical records from April 2024 through September 2025 (covering 6 complete quarters: </w:t>
      </w:r>
      <w:r w:rsidR="00CE28AA" w:rsidRPr="00BD4621">
        <w:rPr>
          <w:rFonts w:ascii="Times New Roman" w:hAnsi="Times New Roman" w:cs="Times New Roman"/>
          <w:lang w:val="en-US"/>
        </w:rPr>
        <w:t>Q2</w:t>
      </w:r>
      <w:r w:rsidRPr="00BD4621">
        <w:rPr>
          <w:rFonts w:ascii="Times New Roman" w:hAnsi="Times New Roman" w:cs="Times New Roman"/>
          <w:lang w:val="en-US"/>
        </w:rPr>
        <w:t xml:space="preserve"> 2024, Q4 2024, Q1 2025, Q2 2025, and Q3 2025).</w:t>
      </w:r>
    </w:p>
    <w:p w14:paraId="0DBACA29" w14:textId="77777777" w:rsidR="00C66E38" w:rsidRDefault="00C66E38">
      <w:pPr>
        <w:spacing w:after="0" w:line="240" w:lineRule="auto"/>
        <w:jc w:val="both"/>
        <w:rPr>
          <w:rFonts w:ascii="Times New Roman" w:hAnsi="Times New Roman" w:cs="Times New Roman"/>
        </w:rPr>
      </w:pPr>
    </w:p>
    <w:p w14:paraId="51EA483B" w14:textId="77777777" w:rsidR="00C66E38" w:rsidRDefault="00981AE8">
      <w:pPr>
        <w:spacing w:after="0" w:line="240" w:lineRule="auto"/>
        <w:jc w:val="both"/>
        <w:rPr>
          <w:rFonts w:ascii="Times New Roman" w:hAnsi="Times New Roman" w:cs="Times New Roman"/>
          <w:b/>
          <w:bCs/>
        </w:rPr>
      </w:pPr>
      <w:r>
        <w:rPr>
          <w:rFonts w:ascii="Times New Roman" w:hAnsi="Times New Roman" w:cs="Times New Roman"/>
          <w:b/>
          <w:bCs/>
        </w:rPr>
        <w:t>Operational Definitions</w:t>
      </w:r>
    </w:p>
    <w:p w14:paraId="23E1E843" w14:textId="77777777" w:rsidR="00C66E38" w:rsidRDefault="00C66E38">
      <w:pPr>
        <w:spacing w:after="0" w:line="240" w:lineRule="auto"/>
        <w:jc w:val="both"/>
        <w:rPr>
          <w:rFonts w:ascii="Times New Roman" w:hAnsi="Times New Roman" w:cs="Times New Roman"/>
          <w:b/>
          <w:bCs/>
        </w:rPr>
      </w:pPr>
    </w:p>
    <w:p w14:paraId="2C980A3D" w14:textId="77777777" w:rsidR="00C66E38" w:rsidRDefault="00981AE8">
      <w:pPr>
        <w:spacing w:after="0" w:line="240" w:lineRule="auto"/>
        <w:jc w:val="both"/>
        <w:rPr>
          <w:rFonts w:ascii="Times New Roman" w:hAnsi="Times New Roman" w:cs="Times New Roman"/>
        </w:rPr>
      </w:pPr>
      <w:r>
        <w:rPr>
          <w:rFonts w:ascii="Times New Roman" w:hAnsi="Times New Roman" w:cs="Times New Roman"/>
        </w:rPr>
        <w:t>For the purposes of this study, key terms are defined as follows:</w:t>
      </w:r>
    </w:p>
    <w:p w14:paraId="5FCD8CF7" w14:textId="77777777" w:rsidR="00C66E38" w:rsidRDefault="00C66E38">
      <w:pPr>
        <w:spacing w:after="0" w:line="240" w:lineRule="auto"/>
        <w:jc w:val="both"/>
        <w:rPr>
          <w:rFonts w:ascii="Times New Roman" w:hAnsi="Times New Roman" w:cs="Times New Roman"/>
        </w:rPr>
      </w:pPr>
    </w:p>
    <w:p w14:paraId="6BA5D285" w14:textId="77777777" w:rsidR="00C66E38" w:rsidRDefault="00981AE8">
      <w:pPr>
        <w:numPr>
          <w:ilvl w:val="0"/>
          <w:numId w:val="2"/>
        </w:numPr>
        <w:spacing w:after="0" w:line="240" w:lineRule="auto"/>
        <w:ind w:left="0" w:firstLine="0"/>
        <w:jc w:val="both"/>
        <w:rPr>
          <w:rFonts w:ascii="Times New Roman" w:hAnsi="Times New Roman" w:cs="Times New Roman"/>
        </w:rPr>
      </w:pPr>
      <w:r>
        <w:rPr>
          <w:rFonts w:ascii="Times New Roman" w:hAnsi="Times New Roman" w:cs="Times New Roman"/>
          <w:b/>
          <w:bCs/>
        </w:rPr>
        <w:t>Enrolment:</w:t>
      </w:r>
      <w:r>
        <w:rPr>
          <w:rFonts w:ascii="Times New Roman" w:hAnsi="Times New Roman" w:cs="Times New Roman"/>
        </w:rPr>
        <w:t xml:space="preserve"> The process of registering an individual as a beneficiary of the RIVCHPP </w:t>
      </w:r>
      <w:r>
        <w:rPr>
          <w:rFonts w:ascii="Times New Roman" w:hAnsi="Times New Roman" w:cs="Times New Roman"/>
        </w:rPr>
        <w:tab/>
        <w:t xml:space="preserve">scheme, documented through facility registers and assigned a unique beneficiary </w:t>
      </w:r>
      <w:r>
        <w:rPr>
          <w:rFonts w:ascii="Times New Roman" w:hAnsi="Times New Roman" w:cs="Times New Roman"/>
        </w:rPr>
        <w:tab/>
        <w:t>identification number.</w:t>
      </w:r>
    </w:p>
    <w:p w14:paraId="538A1CA5" w14:textId="77777777" w:rsidR="00C66E38" w:rsidRDefault="00981AE8">
      <w:pPr>
        <w:numPr>
          <w:ilvl w:val="0"/>
          <w:numId w:val="2"/>
        </w:numPr>
        <w:spacing w:after="0" w:line="240" w:lineRule="auto"/>
        <w:ind w:left="0" w:firstLine="0"/>
        <w:jc w:val="both"/>
        <w:rPr>
          <w:rFonts w:ascii="Times New Roman" w:hAnsi="Times New Roman" w:cs="Times New Roman"/>
        </w:rPr>
      </w:pPr>
      <w:r>
        <w:rPr>
          <w:rFonts w:ascii="Times New Roman" w:hAnsi="Times New Roman" w:cs="Times New Roman"/>
          <w:b/>
          <w:bCs/>
        </w:rPr>
        <w:t>Service Utilisation:</w:t>
      </w:r>
      <w:r>
        <w:rPr>
          <w:rFonts w:ascii="Times New Roman" w:hAnsi="Times New Roman" w:cs="Times New Roman"/>
        </w:rPr>
        <w:t xml:space="preserve"> The actual consumption of healthcare services by enrolled </w:t>
      </w:r>
      <w:r>
        <w:rPr>
          <w:rFonts w:ascii="Times New Roman" w:hAnsi="Times New Roman" w:cs="Times New Roman"/>
        </w:rPr>
        <w:tab/>
        <w:t xml:space="preserve">beneficiaries, measured through documented facility visits recorded in clinical </w:t>
      </w:r>
      <w:r>
        <w:rPr>
          <w:rFonts w:ascii="Times New Roman" w:hAnsi="Times New Roman" w:cs="Times New Roman"/>
        </w:rPr>
        <w:tab/>
        <w:t>registers.</w:t>
      </w:r>
    </w:p>
    <w:p w14:paraId="7479C82B" w14:textId="77777777" w:rsidR="00C66E38" w:rsidRDefault="00981AE8">
      <w:pPr>
        <w:numPr>
          <w:ilvl w:val="0"/>
          <w:numId w:val="2"/>
        </w:numPr>
        <w:spacing w:after="0" w:line="240" w:lineRule="auto"/>
        <w:ind w:left="0" w:firstLine="0"/>
        <w:jc w:val="both"/>
        <w:rPr>
          <w:rFonts w:ascii="Times New Roman" w:hAnsi="Times New Roman" w:cs="Times New Roman"/>
        </w:rPr>
      </w:pPr>
      <w:r>
        <w:rPr>
          <w:rFonts w:ascii="Times New Roman" w:hAnsi="Times New Roman" w:cs="Times New Roman"/>
          <w:b/>
          <w:bCs/>
        </w:rPr>
        <w:t>Facility-based Delivery:</w:t>
      </w:r>
      <w:r>
        <w:rPr>
          <w:rFonts w:ascii="Times New Roman" w:hAnsi="Times New Roman" w:cs="Times New Roman"/>
        </w:rPr>
        <w:t xml:space="preserve"> Any childbirth that occurs within a Primary Health Centre </w:t>
      </w:r>
      <w:r>
        <w:rPr>
          <w:rFonts w:ascii="Times New Roman" w:hAnsi="Times New Roman" w:cs="Times New Roman"/>
        </w:rPr>
        <w:tab/>
        <w:t xml:space="preserve">under the supervision of skilled birth attendants, documented as spontaneous vaginal </w:t>
      </w:r>
      <w:r>
        <w:rPr>
          <w:rFonts w:ascii="Times New Roman" w:hAnsi="Times New Roman" w:cs="Times New Roman"/>
        </w:rPr>
        <w:tab/>
        <w:t>delivery (SVD) in facility records.</w:t>
      </w:r>
    </w:p>
    <w:p w14:paraId="7F011ED7" w14:textId="77777777" w:rsidR="00C66E38" w:rsidRDefault="00981AE8">
      <w:pPr>
        <w:numPr>
          <w:ilvl w:val="0"/>
          <w:numId w:val="2"/>
        </w:numPr>
        <w:spacing w:after="0" w:line="240" w:lineRule="auto"/>
        <w:ind w:left="0" w:firstLine="0"/>
        <w:jc w:val="both"/>
        <w:rPr>
          <w:rFonts w:ascii="Times New Roman" w:hAnsi="Times New Roman" w:cs="Times New Roman"/>
        </w:rPr>
      </w:pPr>
      <w:r>
        <w:rPr>
          <w:rFonts w:ascii="Times New Roman" w:hAnsi="Times New Roman" w:cs="Times New Roman"/>
          <w:b/>
          <w:bCs/>
        </w:rPr>
        <w:t>Service Encounter:</w:t>
      </w:r>
      <w:r>
        <w:rPr>
          <w:rFonts w:ascii="Times New Roman" w:hAnsi="Times New Roman" w:cs="Times New Roman"/>
        </w:rPr>
        <w:t xml:space="preserve"> A single documented interaction between a beneficiary and the </w:t>
      </w:r>
      <w:r>
        <w:rPr>
          <w:rFonts w:ascii="Times New Roman" w:hAnsi="Times New Roman" w:cs="Times New Roman"/>
        </w:rPr>
        <w:tab/>
        <w:t>healthcare system, including consultations, procedures, or preventive services.</w:t>
      </w:r>
    </w:p>
    <w:p w14:paraId="69091CCF" w14:textId="77777777" w:rsidR="00C66E38" w:rsidRDefault="00981AE8">
      <w:pPr>
        <w:numPr>
          <w:ilvl w:val="0"/>
          <w:numId w:val="2"/>
        </w:numPr>
        <w:spacing w:after="0" w:line="240" w:lineRule="auto"/>
        <w:ind w:left="0" w:firstLine="0"/>
        <w:jc w:val="both"/>
        <w:rPr>
          <w:rFonts w:ascii="Times New Roman" w:hAnsi="Times New Roman" w:cs="Times New Roman"/>
        </w:rPr>
      </w:pPr>
      <w:r>
        <w:rPr>
          <w:rFonts w:ascii="Times New Roman" w:hAnsi="Times New Roman" w:cs="Times New Roman"/>
          <w:b/>
          <w:bCs/>
        </w:rPr>
        <w:t xml:space="preserve">Active Service User: </w:t>
      </w:r>
      <w:r>
        <w:rPr>
          <w:rFonts w:ascii="Times New Roman" w:hAnsi="Times New Roman" w:cs="Times New Roman"/>
        </w:rPr>
        <w:t>An enrolled beneficiary who accessed at least one RIVCHPP-</w:t>
      </w:r>
      <w:r>
        <w:rPr>
          <w:rFonts w:ascii="Times New Roman" w:hAnsi="Times New Roman" w:cs="Times New Roman"/>
        </w:rPr>
        <w:tab/>
        <w:t xml:space="preserve">supported service within a given reporting period. Beneficiaries may be counted in </w:t>
      </w:r>
      <w:r>
        <w:rPr>
          <w:rFonts w:ascii="Times New Roman" w:hAnsi="Times New Roman" w:cs="Times New Roman"/>
        </w:rPr>
        <w:tab/>
        <w:t>multiple periods if they accessed services in more than one month or quarter.</w:t>
      </w:r>
    </w:p>
    <w:p w14:paraId="1DA31109" w14:textId="77777777" w:rsidR="00C66E38" w:rsidRDefault="00C66E38">
      <w:pPr>
        <w:spacing w:after="0" w:line="240" w:lineRule="auto"/>
        <w:jc w:val="both"/>
        <w:rPr>
          <w:rFonts w:ascii="Times New Roman" w:hAnsi="Times New Roman" w:cs="Times New Roman"/>
          <w:b/>
          <w:bCs/>
        </w:rPr>
      </w:pPr>
    </w:p>
    <w:p w14:paraId="5E75B0FA" w14:textId="7453B5DC" w:rsidR="00C66E38" w:rsidRPr="00307016" w:rsidRDefault="00981AE8">
      <w:pPr>
        <w:spacing w:after="0" w:line="240" w:lineRule="auto"/>
        <w:jc w:val="both"/>
        <w:rPr>
          <w:rFonts w:ascii="Times New Roman" w:hAnsi="Times New Roman" w:cs="Times New Roman"/>
          <w:b/>
          <w:bCs/>
        </w:rPr>
      </w:pPr>
      <w:r>
        <w:rPr>
          <w:rFonts w:ascii="Times New Roman" w:hAnsi="Times New Roman" w:cs="Times New Roman"/>
          <w:b/>
          <w:bCs/>
        </w:rPr>
        <w:t>Study Population and Sample</w:t>
      </w:r>
    </w:p>
    <w:p w14:paraId="64135304" w14:textId="77777777" w:rsidR="00C66E38" w:rsidRDefault="00981AE8">
      <w:pPr>
        <w:spacing w:after="0" w:line="240" w:lineRule="auto"/>
        <w:jc w:val="both"/>
        <w:rPr>
          <w:rFonts w:ascii="Times New Roman" w:hAnsi="Times New Roman" w:cs="Times New Roman"/>
        </w:rPr>
      </w:pPr>
      <w:r>
        <w:rPr>
          <w:rFonts w:ascii="Times New Roman" w:hAnsi="Times New Roman" w:cs="Times New Roman"/>
        </w:rPr>
        <w:t>The study population comprised all enrolees to provide RIVCHPP services in Rivers State. The units of analysis were RIVCHPP administrative and clinical records generated since the commencement of RIVCHPP implementation, covering enrolees including pregnant women, children under five, the elderly, and indigent populations. Focusing on facility records rather than individual respondents minimise recall bias and enabled assessment of system-level performance (Esomonu et al., 2022).</w:t>
      </w:r>
    </w:p>
    <w:p w14:paraId="5464A561" w14:textId="77777777" w:rsidR="00C66E38" w:rsidRDefault="00C66E38">
      <w:pPr>
        <w:spacing w:after="0" w:line="240" w:lineRule="auto"/>
        <w:jc w:val="both"/>
        <w:rPr>
          <w:rFonts w:ascii="Times New Roman" w:hAnsi="Times New Roman" w:cs="Times New Roman"/>
        </w:rPr>
      </w:pPr>
    </w:p>
    <w:p w14:paraId="34296DC7" w14:textId="77777777" w:rsidR="00C66E38" w:rsidRDefault="00981AE8">
      <w:pPr>
        <w:spacing w:after="0" w:line="240" w:lineRule="auto"/>
        <w:jc w:val="both"/>
        <w:rPr>
          <w:rFonts w:ascii="Times New Roman" w:hAnsi="Times New Roman" w:cs="Times New Roman"/>
          <w:b/>
          <w:bCs/>
        </w:rPr>
      </w:pPr>
      <w:r>
        <w:rPr>
          <w:rFonts w:ascii="Times New Roman" w:hAnsi="Times New Roman" w:cs="Times New Roman"/>
          <w:b/>
          <w:bCs/>
        </w:rPr>
        <w:t>Instrumentation, Validity, and Reliability</w:t>
      </w:r>
    </w:p>
    <w:p w14:paraId="34654894" w14:textId="77777777" w:rsidR="00C66E38" w:rsidRDefault="00C66E38">
      <w:pPr>
        <w:spacing w:after="0" w:line="240" w:lineRule="auto"/>
        <w:jc w:val="both"/>
        <w:rPr>
          <w:rFonts w:ascii="Times New Roman" w:hAnsi="Times New Roman" w:cs="Times New Roman"/>
          <w:b/>
          <w:bCs/>
        </w:rPr>
      </w:pPr>
    </w:p>
    <w:p w14:paraId="2C9E3513" w14:textId="77777777" w:rsidR="00C66E38" w:rsidRDefault="00981AE8">
      <w:pPr>
        <w:spacing w:after="0" w:line="240" w:lineRule="auto"/>
        <w:jc w:val="both"/>
        <w:rPr>
          <w:rFonts w:ascii="Times New Roman" w:hAnsi="Times New Roman" w:cs="Times New Roman"/>
        </w:rPr>
      </w:pPr>
      <w:r>
        <w:rPr>
          <w:rFonts w:ascii="Times New Roman" w:hAnsi="Times New Roman" w:cs="Times New Roman"/>
        </w:rPr>
        <w:t xml:space="preserve">Data were collected using a structured Data Extraction Proforma aligned with RIVCHPP enrolments registers and NHIA reporting formats. The instrument captured quantitative indicators on enrolments and service utilisation (Antenatal Care, spontaneous vaginal deliveries, immunisation, referrals). The proforma was adapted from standard RIVCHPP </w:t>
      </w:r>
      <w:r>
        <w:rPr>
          <w:rFonts w:ascii="Times New Roman" w:hAnsi="Times New Roman" w:cs="Times New Roman"/>
        </w:rPr>
        <w:lastRenderedPageBreak/>
        <w:t>monitoring tools and pre-tested in a non-participating Local Government Area to refine data definitions and layout (Odinenu &amp; Anago, 2025).</w:t>
      </w:r>
    </w:p>
    <w:p w14:paraId="4C66F58A" w14:textId="77777777" w:rsidR="00C66E38" w:rsidRDefault="00C66E38">
      <w:pPr>
        <w:spacing w:after="0" w:line="240" w:lineRule="auto"/>
        <w:jc w:val="both"/>
        <w:rPr>
          <w:rFonts w:ascii="Times New Roman" w:hAnsi="Times New Roman" w:cs="Times New Roman"/>
        </w:rPr>
      </w:pPr>
    </w:p>
    <w:p w14:paraId="24E68E98" w14:textId="77777777" w:rsidR="00C66E38" w:rsidRDefault="00981AE8">
      <w:pPr>
        <w:spacing w:after="0" w:line="240" w:lineRule="auto"/>
        <w:jc w:val="both"/>
        <w:rPr>
          <w:rFonts w:ascii="Times New Roman" w:hAnsi="Times New Roman" w:cs="Times New Roman"/>
        </w:rPr>
      </w:pPr>
      <w:r>
        <w:rPr>
          <w:rFonts w:ascii="Times New Roman" w:hAnsi="Times New Roman" w:cs="Times New Roman"/>
        </w:rPr>
        <w:t>Instrument validity was ensured through content validation by public health experts and monitoring officers from the RIVCHPP Management Team. Reliability was assessed using inter-rater reliability testing during the pilot phase, with agreement measured using Cohen's Kappa statistic. A coefficient of 0.78 was achieved, indicating acceptable consistency across data collectors (Nwobodo et al., 2022).</w:t>
      </w:r>
    </w:p>
    <w:p w14:paraId="1281CC8C" w14:textId="77777777" w:rsidR="00436962" w:rsidRDefault="00436962">
      <w:pPr>
        <w:spacing w:after="0" w:line="240" w:lineRule="auto"/>
        <w:jc w:val="both"/>
        <w:rPr>
          <w:rFonts w:ascii="Times New Roman" w:hAnsi="Times New Roman" w:cs="Times New Roman"/>
          <w:b/>
          <w:bCs/>
        </w:rPr>
      </w:pPr>
    </w:p>
    <w:p w14:paraId="3BF9206E" w14:textId="33BDC6D6" w:rsidR="00C66E38" w:rsidRDefault="00981AE8">
      <w:pPr>
        <w:spacing w:after="0" w:line="240" w:lineRule="auto"/>
        <w:jc w:val="both"/>
        <w:rPr>
          <w:rFonts w:ascii="Times New Roman" w:hAnsi="Times New Roman" w:cs="Times New Roman"/>
          <w:b/>
          <w:bCs/>
        </w:rPr>
      </w:pPr>
      <w:r>
        <w:rPr>
          <w:rFonts w:ascii="Times New Roman" w:hAnsi="Times New Roman" w:cs="Times New Roman"/>
          <w:b/>
          <w:bCs/>
        </w:rPr>
        <w:t>Data Collection and Analysis</w:t>
      </w:r>
    </w:p>
    <w:p w14:paraId="5F5DF32D" w14:textId="77777777" w:rsidR="00C66E38" w:rsidRDefault="00C66E38">
      <w:pPr>
        <w:spacing w:after="0" w:line="240" w:lineRule="auto"/>
        <w:jc w:val="both"/>
        <w:rPr>
          <w:rFonts w:ascii="Times New Roman" w:hAnsi="Times New Roman" w:cs="Times New Roman"/>
          <w:b/>
          <w:bCs/>
        </w:rPr>
      </w:pPr>
    </w:p>
    <w:p w14:paraId="3246EFAC" w14:textId="77777777" w:rsidR="00C66E38" w:rsidRDefault="00981AE8">
      <w:pPr>
        <w:spacing w:after="0" w:line="240" w:lineRule="auto"/>
        <w:jc w:val="both"/>
        <w:rPr>
          <w:rFonts w:ascii="Times New Roman" w:hAnsi="Times New Roman" w:cs="Times New Roman"/>
        </w:rPr>
      </w:pPr>
      <w:r>
        <w:rPr>
          <w:rFonts w:ascii="Times New Roman" w:hAnsi="Times New Roman" w:cs="Times New Roman"/>
        </w:rPr>
        <w:t>Data collection followed ethical approval and formal authorisation from the Rivers State Contributory Health Protection Program (RIVCHPP). Four trained research assistants retrospectively extracted data from RIVCHPP database over a four-week period. Regular quality checks were conducted by the principal investigator to verify accuracy and completeness (Esomonu et al., 2022).</w:t>
      </w:r>
    </w:p>
    <w:p w14:paraId="666569A8" w14:textId="77777777" w:rsidR="00C66E38" w:rsidRDefault="00C66E38">
      <w:pPr>
        <w:spacing w:after="0" w:line="240" w:lineRule="auto"/>
        <w:jc w:val="both"/>
        <w:rPr>
          <w:rFonts w:ascii="Times New Roman" w:hAnsi="Times New Roman" w:cs="Times New Roman"/>
        </w:rPr>
      </w:pPr>
    </w:p>
    <w:p w14:paraId="5B933982" w14:textId="77777777" w:rsidR="00C66E38" w:rsidRDefault="00981AE8">
      <w:pPr>
        <w:spacing w:after="0" w:line="240" w:lineRule="auto"/>
        <w:jc w:val="both"/>
        <w:rPr>
          <w:rFonts w:ascii="Times New Roman" w:hAnsi="Times New Roman" w:cs="Times New Roman"/>
        </w:rPr>
      </w:pPr>
      <w:r>
        <w:rPr>
          <w:rFonts w:ascii="Times New Roman" w:hAnsi="Times New Roman" w:cs="Times New Roman"/>
        </w:rPr>
        <w:t xml:space="preserve">Data analysis was performed using SPSS version 26. Descriptive statistics summarise enrolment trends, service utilisation, and morbidity patterns. Time-series analysis assessed enrolments trends, while proportions and ratios were calculated for service utilisation indicators. </w:t>
      </w:r>
    </w:p>
    <w:p w14:paraId="3A120426" w14:textId="77777777" w:rsidR="00C66E38" w:rsidRDefault="00C66E38">
      <w:pPr>
        <w:spacing w:after="0" w:line="240" w:lineRule="auto"/>
        <w:jc w:val="both"/>
        <w:rPr>
          <w:rFonts w:ascii="Times New Roman" w:hAnsi="Times New Roman" w:cs="Times New Roman"/>
        </w:rPr>
      </w:pPr>
    </w:p>
    <w:p w14:paraId="6035EA10" w14:textId="77777777" w:rsidR="00C66E38" w:rsidRDefault="00981AE8">
      <w:pPr>
        <w:spacing w:after="0" w:line="240" w:lineRule="auto"/>
        <w:jc w:val="both"/>
        <w:rPr>
          <w:rFonts w:ascii="Times New Roman" w:hAnsi="Times New Roman" w:cs="Times New Roman"/>
          <w:b/>
          <w:bCs/>
        </w:rPr>
      </w:pPr>
      <w:r>
        <w:rPr>
          <w:rFonts w:ascii="Times New Roman" w:hAnsi="Times New Roman" w:cs="Times New Roman"/>
          <w:b/>
          <w:bCs/>
        </w:rPr>
        <w:t>Ethical Considerations</w:t>
      </w:r>
    </w:p>
    <w:p w14:paraId="0F6153DD" w14:textId="77777777" w:rsidR="00C66E38" w:rsidRDefault="00C66E38">
      <w:pPr>
        <w:spacing w:after="0" w:line="240" w:lineRule="auto"/>
        <w:jc w:val="both"/>
        <w:rPr>
          <w:rFonts w:ascii="Times New Roman" w:hAnsi="Times New Roman" w:cs="Times New Roman"/>
          <w:b/>
          <w:bCs/>
        </w:rPr>
      </w:pPr>
    </w:p>
    <w:p w14:paraId="23DAF5EA" w14:textId="77777777" w:rsidR="00C66E38" w:rsidRDefault="00981AE8">
      <w:pPr>
        <w:spacing w:after="0" w:line="240" w:lineRule="auto"/>
        <w:jc w:val="both"/>
        <w:rPr>
          <w:rFonts w:ascii="Times New Roman" w:hAnsi="Times New Roman" w:cs="Times New Roman"/>
        </w:rPr>
      </w:pPr>
      <w:r>
        <w:rPr>
          <w:rFonts w:ascii="Times New Roman" w:hAnsi="Times New Roman" w:cs="Times New Roman"/>
        </w:rPr>
        <w:t>Ethical approval was obtained from the River State Health Research Ethics Committee Patient confidentiality was maintained by excluding personal identifiers from data extraction tools. Institutional consent was secured from RIVCHPP heads, and facility identities were anonymised in reporting to minimise political or administrative repercussions. All data were stored securely in password-protected files with restricted access to ensure data protection and integrity throughout the study (Alawode et al., 2022).</w:t>
      </w:r>
    </w:p>
    <w:p w14:paraId="2218E76E" w14:textId="77777777" w:rsidR="00C66E38" w:rsidRDefault="00C66E38">
      <w:pPr>
        <w:spacing w:after="0" w:line="240" w:lineRule="auto"/>
        <w:jc w:val="both"/>
        <w:rPr>
          <w:rFonts w:ascii="Times New Roman" w:hAnsi="Times New Roman" w:cs="Times New Roman"/>
        </w:rPr>
      </w:pPr>
    </w:p>
    <w:p w14:paraId="361F8717" w14:textId="0E8F39AD" w:rsidR="00C66E38" w:rsidRDefault="00981AE8">
      <w:pPr>
        <w:spacing w:after="0" w:line="240" w:lineRule="auto"/>
        <w:jc w:val="both"/>
        <w:rPr>
          <w:rFonts w:ascii="Times New Roman" w:hAnsi="Times New Roman" w:cs="Times New Roman"/>
          <w:b/>
          <w:bCs/>
        </w:rPr>
      </w:pPr>
      <w:r>
        <w:rPr>
          <w:rFonts w:ascii="Times New Roman" w:hAnsi="Times New Roman" w:cs="Times New Roman"/>
          <w:b/>
          <w:bCs/>
        </w:rPr>
        <w:t>RESULTS</w:t>
      </w:r>
    </w:p>
    <w:p w14:paraId="5CFA047E" w14:textId="77777777" w:rsidR="002E427A" w:rsidRDefault="002E427A">
      <w:pPr>
        <w:spacing w:after="0" w:line="240" w:lineRule="auto"/>
        <w:jc w:val="both"/>
        <w:rPr>
          <w:rFonts w:ascii="Times New Roman" w:hAnsi="Times New Roman" w:cs="Times New Roman"/>
          <w:b/>
          <w:bCs/>
        </w:rPr>
      </w:pPr>
    </w:p>
    <w:p w14:paraId="728E3D6B" w14:textId="1DB602AE" w:rsidR="00C66E38" w:rsidRPr="002E427A" w:rsidRDefault="002E427A" w:rsidP="002E427A">
      <w:pPr>
        <w:spacing w:after="0" w:line="240" w:lineRule="auto"/>
        <w:jc w:val="both"/>
        <w:rPr>
          <w:rFonts w:ascii="Times New Roman" w:hAnsi="Times New Roman" w:cs="Times New Roman"/>
          <w:b/>
          <w:bCs/>
        </w:rPr>
      </w:pPr>
      <w:r>
        <w:rPr>
          <w:rFonts w:ascii="Times New Roman" w:hAnsi="Times New Roman" w:cs="Times New Roman"/>
          <w:b/>
          <w:bCs/>
        </w:rPr>
        <w:t xml:space="preserve">1. </w:t>
      </w:r>
      <w:r w:rsidR="005D2C2E" w:rsidRPr="002E427A">
        <w:rPr>
          <w:rFonts w:ascii="Times New Roman" w:hAnsi="Times New Roman" w:cs="Times New Roman"/>
          <w:b/>
          <w:bCs/>
        </w:rPr>
        <w:t xml:space="preserve">Assessment of </w:t>
      </w:r>
      <w:r w:rsidRPr="002E427A">
        <w:rPr>
          <w:rFonts w:ascii="Times New Roman" w:hAnsi="Times New Roman" w:cs="Times New Roman"/>
          <w:b/>
          <w:bCs/>
        </w:rPr>
        <w:t>Quarterly Enrolment Trend Analysis</w:t>
      </w:r>
      <w:r w:rsidR="00BC4AA7" w:rsidRPr="002E427A">
        <w:rPr>
          <w:rFonts w:ascii="Times New Roman" w:hAnsi="Times New Roman" w:cs="Times New Roman"/>
          <w:b/>
          <w:bCs/>
        </w:rPr>
        <w:t xml:space="preserve"> across LGAs</w:t>
      </w:r>
    </w:p>
    <w:p w14:paraId="55D71753" w14:textId="77777777" w:rsidR="00C66E38" w:rsidRDefault="00C66E38">
      <w:pPr>
        <w:pStyle w:val="ListParagraph"/>
        <w:spacing w:after="0" w:line="240" w:lineRule="auto"/>
        <w:ind w:left="360"/>
        <w:jc w:val="both"/>
        <w:rPr>
          <w:rFonts w:ascii="Times New Roman" w:hAnsi="Times New Roman" w:cs="Times New Roman"/>
          <w:b/>
          <w:bCs/>
        </w:rPr>
      </w:pPr>
    </w:p>
    <w:p w14:paraId="37A6A2E5" w14:textId="77777777" w:rsidR="00C66E38" w:rsidRDefault="00981AE8">
      <w:pPr>
        <w:spacing w:after="0" w:line="240" w:lineRule="auto"/>
        <w:jc w:val="both"/>
        <w:rPr>
          <w:rFonts w:ascii="Times New Roman" w:hAnsi="Times New Roman" w:cs="Times New Roman"/>
        </w:rPr>
      </w:pPr>
      <w:r>
        <w:rPr>
          <w:rFonts w:ascii="Times New Roman" w:hAnsi="Times New Roman" w:cs="Times New Roman"/>
          <w:b/>
          <w:bCs/>
        </w:rPr>
        <w:t xml:space="preserve">Temporal Scope: </w:t>
      </w:r>
      <w:r>
        <w:rPr>
          <w:rFonts w:ascii="Times New Roman" w:hAnsi="Times New Roman" w:cs="Times New Roman"/>
        </w:rPr>
        <w:t>This analysis covers 18 months of enrolment data spanning six complete quarters from Q2 2024 (April-June 2024) through Q3 2025 (July-September 2025). The data is presented quarterly to capture enrolment trends, while service utilization (Section 2.1) is reported monthly beginning October 2024 to provide more granular insight into service delivery patterns.</w:t>
      </w:r>
    </w:p>
    <w:p w14:paraId="0EC3F992" w14:textId="77777777" w:rsidR="00C66E38" w:rsidRDefault="00C66E38">
      <w:pPr>
        <w:spacing w:after="0" w:line="240" w:lineRule="auto"/>
        <w:jc w:val="both"/>
        <w:rPr>
          <w:rFonts w:ascii="Times New Roman" w:hAnsi="Times New Roman" w:cs="Times New Roman"/>
        </w:rPr>
      </w:pPr>
    </w:p>
    <w:p w14:paraId="0F4A095E" w14:textId="77777777" w:rsidR="00C66E38" w:rsidRDefault="00981AE8">
      <w:pPr>
        <w:spacing w:after="0" w:line="240" w:lineRule="auto"/>
        <w:jc w:val="both"/>
        <w:rPr>
          <w:rFonts w:ascii="Times New Roman" w:hAnsi="Times New Roman" w:cs="Times New Roman"/>
        </w:rPr>
      </w:pPr>
      <w:r>
        <w:rPr>
          <w:rFonts w:ascii="Times New Roman" w:hAnsi="Times New Roman" w:cs="Times New Roman"/>
        </w:rPr>
        <w:t>While enrolment data are presented quarterly across the entire study period, service utilisation indicators are analysed monthly from October 2024 onward due to improved completeness and stability of NHMIS reporting following initial implementation.</w:t>
      </w:r>
    </w:p>
    <w:p w14:paraId="26561EE3" w14:textId="77777777" w:rsidR="00C66E38" w:rsidRDefault="00981AE8">
      <w:pPr>
        <w:spacing w:after="0" w:line="240" w:lineRule="auto"/>
        <w:rPr>
          <w:rFonts w:ascii="Times New Roman" w:hAnsi="Times New Roman" w:cs="Times New Roman"/>
        </w:rPr>
      </w:pPr>
      <w:r>
        <w:rPr>
          <w:rFonts w:ascii="Times New Roman" w:hAnsi="Times New Roman" w:cs="Times New Roman"/>
        </w:rPr>
        <w:br w:type="page"/>
      </w:r>
    </w:p>
    <w:p w14:paraId="50EBA5BB" w14:textId="77777777" w:rsidR="00C66E38" w:rsidRDefault="00C66E38">
      <w:pPr>
        <w:spacing w:after="0" w:line="240" w:lineRule="auto"/>
        <w:jc w:val="both"/>
        <w:rPr>
          <w:rFonts w:ascii="Times New Roman" w:hAnsi="Times New Roman" w:cs="Times New Roman"/>
        </w:rPr>
      </w:pPr>
    </w:p>
    <w:p w14:paraId="2B45BEC5" w14:textId="5BD67121" w:rsidR="00C10B74" w:rsidRDefault="00854471">
      <w:pPr>
        <w:spacing w:after="0" w:line="240" w:lineRule="auto"/>
        <w:jc w:val="both"/>
        <w:rPr>
          <w:rFonts w:ascii="Times New Roman" w:hAnsi="Times New Roman" w:cs="Times New Roman"/>
          <w:b/>
          <w:bCs/>
        </w:rPr>
      </w:pPr>
      <w:r w:rsidRPr="00854471">
        <w:rPr>
          <w:rFonts w:ascii="Times New Roman" w:hAnsi="Times New Roman" w:cs="Times New Roman"/>
          <w:b/>
          <w:bCs/>
          <w:noProof/>
        </w:rPr>
        <w:drawing>
          <wp:inline distT="0" distB="0" distL="0" distR="0" wp14:anchorId="4CBEF2E7" wp14:editId="547961AE">
            <wp:extent cx="5550185" cy="2991004"/>
            <wp:effectExtent l="0" t="0" r="0" b="0"/>
            <wp:docPr id="17998699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869994" name=""/>
                    <pic:cNvPicPr/>
                  </pic:nvPicPr>
                  <pic:blipFill>
                    <a:blip r:embed="rId8"/>
                    <a:stretch>
                      <a:fillRect/>
                    </a:stretch>
                  </pic:blipFill>
                  <pic:spPr>
                    <a:xfrm>
                      <a:off x="0" y="0"/>
                      <a:ext cx="5550185" cy="2991004"/>
                    </a:xfrm>
                    <a:prstGeom prst="rect">
                      <a:avLst/>
                    </a:prstGeom>
                  </pic:spPr>
                </pic:pic>
              </a:graphicData>
            </a:graphic>
          </wp:inline>
        </w:drawing>
      </w:r>
    </w:p>
    <w:p w14:paraId="2AD880BA" w14:textId="77777777" w:rsidR="00C66E38" w:rsidRDefault="00981AE8">
      <w:pPr>
        <w:spacing w:after="0" w:line="240" w:lineRule="auto"/>
        <w:jc w:val="both"/>
        <w:rPr>
          <w:rFonts w:ascii="Times New Roman" w:hAnsi="Times New Roman" w:cs="Times New Roman"/>
          <w:b/>
          <w:bCs/>
        </w:rPr>
      </w:pPr>
      <w:r>
        <w:rPr>
          <w:rFonts w:ascii="Times New Roman" w:hAnsi="Times New Roman" w:cs="Times New Roman"/>
          <w:b/>
          <w:bCs/>
        </w:rPr>
        <w:t xml:space="preserve">Figure 1 – Quarterly enrolment trend </w:t>
      </w:r>
    </w:p>
    <w:p w14:paraId="4ECF2E78" w14:textId="77777777" w:rsidR="00C66E38" w:rsidRDefault="00C66E38">
      <w:pPr>
        <w:spacing w:after="0" w:line="240" w:lineRule="auto"/>
        <w:jc w:val="both"/>
        <w:rPr>
          <w:rFonts w:ascii="Times New Roman" w:hAnsi="Times New Roman" w:cs="Times New Roman"/>
        </w:rPr>
      </w:pPr>
    </w:p>
    <w:p w14:paraId="7D3695B2" w14:textId="77777777" w:rsidR="00C66E38" w:rsidRDefault="00981AE8">
      <w:pPr>
        <w:spacing w:after="0" w:line="240" w:lineRule="auto"/>
        <w:jc w:val="both"/>
        <w:rPr>
          <w:rFonts w:ascii="Times New Roman" w:hAnsi="Times New Roman" w:cs="Times New Roman"/>
        </w:rPr>
      </w:pPr>
      <w:r>
        <w:rPr>
          <w:rFonts w:ascii="Times New Roman" w:hAnsi="Times New Roman" w:cs="Times New Roman"/>
        </w:rPr>
        <w:t>The quarterly enrolment data reveals a dramatic expansion pattern with an initial surge followed by a steady decline. Enrolment peaked in 2024 Q3 with 36,483 enrolees, representing a 961.5% increase from Q2 2024 (3,437 enrolees). This explosive growth indicates a major program expansion or intensive enrolment drive during the third quarter of 2024.</w:t>
      </w:r>
    </w:p>
    <w:p w14:paraId="3219C148" w14:textId="77777777" w:rsidR="00C66E38" w:rsidRDefault="00C66E38">
      <w:pPr>
        <w:spacing w:after="0" w:line="240" w:lineRule="auto"/>
        <w:jc w:val="both"/>
        <w:rPr>
          <w:rFonts w:ascii="Times New Roman" w:hAnsi="Times New Roman" w:cs="Times New Roman"/>
        </w:rPr>
      </w:pPr>
    </w:p>
    <w:p w14:paraId="2118A520" w14:textId="77777777" w:rsidR="00C66E38" w:rsidRDefault="00981AE8">
      <w:pPr>
        <w:spacing w:after="0" w:line="240" w:lineRule="auto"/>
        <w:jc w:val="both"/>
        <w:rPr>
          <w:rFonts w:ascii="Times New Roman" w:hAnsi="Times New Roman" w:cs="Times New Roman"/>
        </w:rPr>
      </w:pPr>
      <w:r>
        <w:rPr>
          <w:rFonts w:ascii="Times New Roman" w:hAnsi="Times New Roman" w:cs="Times New Roman"/>
        </w:rPr>
        <w:t>However, subsequent quarters show a concerning downward trend. From the peak in 2024 Q3, enrolment declined by 22.8% to 28,155 in Q4 2024, continued falling to 19,204 in 2025 Q1 (a 31.8% decline), and further decreased to 11,690 by 2025 Q3, representing an overall 67.9%</w:t>
      </w:r>
      <w:r>
        <w:rPr>
          <w:rFonts w:ascii="Times New Roman" w:hAnsi="Times New Roman" w:cs="Times New Roman"/>
          <w:b/>
          <w:bCs/>
        </w:rPr>
        <w:t xml:space="preserve"> decline</w:t>
      </w:r>
      <w:r>
        <w:rPr>
          <w:rFonts w:ascii="Times New Roman" w:hAnsi="Times New Roman" w:cs="Times New Roman"/>
        </w:rPr>
        <w:t> from the peak. This pattern suggests either market saturation in accessible populations, resource constraints limiting enrolment capacity, or weakening community mobilization efforts over time.</w:t>
      </w:r>
    </w:p>
    <w:p w14:paraId="4983786B" w14:textId="77777777" w:rsidR="00C66E38" w:rsidRDefault="00C66E38">
      <w:pPr>
        <w:spacing w:after="0" w:line="240" w:lineRule="auto"/>
        <w:jc w:val="both"/>
        <w:rPr>
          <w:rFonts w:ascii="Times New Roman" w:hAnsi="Times New Roman" w:cs="Times New Roman"/>
          <w:b/>
          <w:bCs/>
        </w:rPr>
      </w:pPr>
    </w:p>
    <w:p w14:paraId="53AF78C3" w14:textId="77777777" w:rsidR="00C66E38" w:rsidRDefault="00981AE8">
      <w:pPr>
        <w:pStyle w:val="ListParagraph"/>
        <w:numPr>
          <w:ilvl w:val="1"/>
          <w:numId w:val="6"/>
        </w:numPr>
        <w:spacing w:after="0" w:line="240" w:lineRule="auto"/>
        <w:jc w:val="both"/>
        <w:rPr>
          <w:rFonts w:ascii="Times New Roman" w:hAnsi="Times New Roman" w:cs="Times New Roman"/>
          <w:b/>
          <w:bCs/>
        </w:rPr>
      </w:pPr>
      <w:r>
        <w:rPr>
          <w:rFonts w:ascii="Times New Roman" w:hAnsi="Times New Roman" w:cs="Times New Roman"/>
          <w:b/>
          <w:bCs/>
        </w:rPr>
        <w:tab/>
        <w:t>Gender Distribution Analysis</w:t>
      </w:r>
    </w:p>
    <w:p w14:paraId="0DB8AD28" w14:textId="77777777" w:rsidR="00C66E38" w:rsidRDefault="00C66E38">
      <w:pPr>
        <w:pStyle w:val="ListParagraph"/>
        <w:spacing w:after="0" w:line="240" w:lineRule="auto"/>
        <w:ind w:left="360"/>
        <w:jc w:val="both"/>
        <w:rPr>
          <w:rFonts w:ascii="Times New Roman" w:hAnsi="Times New Roman" w:cs="Times New Roman"/>
          <w:b/>
          <w:bCs/>
        </w:rPr>
      </w:pPr>
    </w:p>
    <w:tbl>
      <w:tblPr>
        <w:tblStyle w:val="PlainTable21"/>
        <w:tblW w:w="9102" w:type="dxa"/>
        <w:tblLook w:val="0620" w:firstRow="1" w:lastRow="0" w:firstColumn="0" w:lastColumn="0" w:noHBand="1" w:noVBand="1"/>
      </w:tblPr>
      <w:tblGrid>
        <w:gridCol w:w="1299"/>
        <w:gridCol w:w="1079"/>
        <w:gridCol w:w="1186"/>
        <w:gridCol w:w="1178"/>
        <w:gridCol w:w="1555"/>
        <w:gridCol w:w="2805"/>
      </w:tblGrid>
      <w:tr w:rsidR="00C66E38" w14:paraId="5163192A" w14:textId="77777777" w:rsidTr="00C66E38">
        <w:trPr>
          <w:cnfStyle w:val="100000000000" w:firstRow="1" w:lastRow="0" w:firstColumn="0" w:lastColumn="0" w:oddVBand="0" w:evenVBand="0" w:oddHBand="0" w:evenHBand="0" w:firstRowFirstColumn="0" w:firstRowLastColumn="0" w:lastRowFirstColumn="0" w:lastRowLastColumn="0"/>
          <w:trHeight w:val="127"/>
        </w:trPr>
        <w:tc>
          <w:tcPr>
            <w:tcW w:w="0" w:type="auto"/>
            <w:hideMark/>
          </w:tcPr>
          <w:p w14:paraId="00D7829F" w14:textId="77777777" w:rsidR="00C66E38" w:rsidRDefault="00981AE8">
            <w:pPr>
              <w:spacing w:line="360" w:lineRule="auto"/>
              <w:jc w:val="both"/>
              <w:rPr>
                <w:rFonts w:ascii="Times New Roman" w:hAnsi="Times New Roman" w:cs="Times New Roman"/>
              </w:rPr>
            </w:pPr>
            <w:r>
              <w:rPr>
                <w:rFonts w:ascii="Times New Roman" w:hAnsi="Times New Roman" w:cs="Times New Roman"/>
              </w:rPr>
              <w:t>Quarter</w:t>
            </w:r>
          </w:p>
        </w:tc>
        <w:tc>
          <w:tcPr>
            <w:tcW w:w="0" w:type="auto"/>
            <w:hideMark/>
          </w:tcPr>
          <w:p w14:paraId="66BAABE2" w14:textId="77777777" w:rsidR="00C66E38" w:rsidRDefault="00981AE8">
            <w:pPr>
              <w:spacing w:line="360" w:lineRule="auto"/>
              <w:jc w:val="both"/>
              <w:rPr>
                <w:rFonts w:ascii="Times New Roman" w:hAnsi="Times New Roman" w:cs="Times New Roman"/>
              </w:rPr>
            </w:pPr>
            <w:r>
              <w:rPr>
                <w:rFonts w:ascii="Times New Roman" w:hAnsi="Times New Roman" w:cs="Times New Roman"/>
              </w:rPr>
              <w:t>Male</w:t>
            </w:r>
          </w:p>
        </w:tc>
        <w:tc>
          <w:tcPr>
            <w:tcW w:w="0" w:type="auto"/>
            <w:hideMark/>
          </w:tcPr>
          <w:p w14:paraId="2260D7B1" w14:textId="77777777" w:rsidR="00C66E38" w:rsidRDefault="00981AE8">
            <w:pPr>
              <w:spacing w:line="360" w:lineRule="auto"/>
              <w:jc w:val="both"/>
              <w:rPr>
                <w:rFonts w:ascii="Times New Roman" w:hAnsi="Times New Roman" w:cs="Times New Roman"/>
              </w:rPr>
            </w:pPr>
            <w:r>
              <w:rPr>
                <w:rFonts w:ascii="Times New Roman" w:hAnsi="Times New Roman" w:cs="Times New Roman"/>
              </w:rPr>
              <w:t>Female</w:t>
            </w:r>
          </w:p>
        </w:tc>
        <w:tc>
          <w:tcPr>
            <w:tcW w:w="0" w:type="auto"/>
            <w:hideMark/>
          </w:tcPr>
          <w:p w14:paraId="783F7764" w14:textId="77777777" w:rsidR="00C66E38" w:rsidRDefault="00981AE8">
            <w:pPr>
              <w:spacing w:line="360" w:lineRule="auto"/>
              <w:jc w:val="both"/>
              <w:rPr>
                <w:rFonts w:ascii="Times New Roman" w:hAnsi="Times New Roman" w:cs="Times New Roman"/>
              </w:rPr>
            </w:pPr>
            <w:r>
              <w:rPr>
                <w:rFonts w:ascii="Times New Roman" w:hAnsi="Times New Roman" w:cs="Times New Roman"/>
              </w:rPr>
              <w:t>Total</w:t>
            </w:r>
          </w:p>
        </w:tc>
        <w:tc>
          <w:tcPr>
            <w:tcW w:w="0" w:type="auto"/>
            <w:hideMark/>
          </w:tcPr>
          <w:p w14:paraId="35D42C38" w14:textId="77777777" w:rsidR="00C66E38" w:rsidRDefault="00981AE8">
            <w:pPr>
              <w:spacing w:line="360" w:lineRule="auto"/>
              <w:jc w:val="both"/>
              <w:rPr>
                <w:rFonts w:ascii="Times New Roman" w:hAnsi="Times New Roman" w:cs="Times New Roman"/>
              </w:rPr>
            </w:pPr>
            <w:r>
              <w:rPr>
                <w:rFonts w:ascii="Times New Roman" w:hAnsi="Times New Roman" w:cs="Times New Roman"/>
              </w:rPr>
              <w:t>Female %</w:t>
            </w:r>
          </w:p>
        </w:tc>
        <w:tc>
          <w:tcPr>
            <w:tcW w:w="0" w:type="auto"/>
            <w:hideMark/>
          </w:tcPr>
          <w:p w14:paraId="27B1219C" w14:textId="77777777" w:rsidR="00C66E38" w:rsidRDefault="00981AE8">
            <w:pPr>
              <w:spacing w:line="360" w:lineRule="auto"/>
              <w:jc w:val="both"/>
              <w:rPr>
                <w:rFonts w:ascii="Times New Roman" w:hAnsi="Times New Roman" w:cs="Times New Roman"/>
              </w:rPr>
            </w:pPr>
            <w:r>
              <w:rPr>
                <w:rFonts w:ascii="Times New Roman" w:hAnsi="Times New Roman" w:cs="Times New Roman"/>
              </w:rPr>
              <w:t>Gender Ratio (F:M)</w:t>
            </w:r>
          </w:p>
        </w:tc>
      </w:tr>
      <w:tr w:rsidR="00C66E38" w14:paraId="41256451" w14:textId="77777777" w:rsidTr="00C66E38">
        <w:trPr>
          <w:trHeight w:val="43"/>
        </w:trPr>
        <w:tc>
          <w:tcPr>
            <w:tcW w:w="0" w:type="auto"/>
            <w:hideMark/>
          </w:tcPr>
          <w:p w14:paraId="61C942A3" w14:textId="77777777" w:rsidR="00C66E38" w:rsidRDefault="00981AE8">
            <w:pPr>
              <w:spacing w:line="360" w:lineRule="auto"/>
              <w:jc w:val="both"/>
              <w:rPr>
                <w:rFonts w:ascii="Times New Roman" w:hAnsi="Times New Roman" w:cs="Times New Roman"/>
              </w:rPr>
            </w:pPr>
            <w:r>
              <w:rPr>
                <w:rFonts w:ascii="Times New Roman" w:hAnsi="Times New Roman" w:cs="Times New Roman"/>
              </w:rPr>
              <w:t>2024 Q2</w:t>
            </w:r>
          </w:p>
        </w:tc>
        <w:tc>
          <w:tcPr>
            <w:tcW w:w="0" w:type="auto"/>
            <w:hideMark/>
          </w:tcPr>
          <w:p w14:paraId="010E5404" w14:textId="77777777" w:rsidR="00C66E38" w:rsidRDefault="00981AE8">
            <w:pPr>
              <w:spacing w:line="360" w:lineRule="auto"/>
              <w:jc w:val="both"/>
              <w:rPr>
                <w:rFonts w:ascii="Times New Roman" w:hAnsi="Times New Roman" w:cs="Times New Roman"/>
              </w:rPr>
            </w:pPr>
            <w:r>
              <w:rPr>
                <w:rFonts w:ascii="Times New Roman" w:hAnsi="Times New Roman" w:cs="Times New Roman"/>
              </w:rPr>
              <w:t>1,207</w:t>
            </w:r>
          </w:p>
        </w:tc>
        <w:tc>
          <w:tcPr>
            <w:tcW w:w="0" w:type="auto"/>
            <w:hideMark/>
          </w:tcPr>
          <w:p w14:paraId="1DB9C70A" w14:textId="77777777" w:rsidR="00C66E38" w:rsidRDefault="00981AE8">
            <w:pPr>
              <w:spacing w:line="360" w:lineRule="auto"/>
              <w:jc w:val="both"/>
              <w:rPr>
                <w:rFonts w:ascii="Times New Roman" w:hAnsi="Times New Roman" w:cs="Times New Roman"/>
              </w:rPr>
            </w:pPr>
            <w:r>
              <w:rPr>
                <w:rFonts w:ascii="Times New Roman" w:hAnsi="Times New Roman" w:cs="Times New Roman"/>
              </w:rPr>
              <w:t>2,230</w:t>
            </w:r>
          </w:p>
        </w:tc>
        <w:tc>
          <w:tcPr>
            <w:tcW w:w="0" w:type="auto"/>
            <w:hideMark/>
          </w:tcPr>
          <w:p w14:paraId="7B159D34" w14:textId="77777777" w:rsidR="00C66E38" w:rsidRDefault="00981AE8">
            <w:pPr>
              <w:spacing w:line="360" w:lineRule="auto"/>
              <w:jc w:val="both"/>
              <w:rPr>
                <w:rFonts w:ascii="Times New Roman" w:hAnsi="Times New Roman" w:cs="Times New Roman"/>
              </w:rPr>
            </w:pPr>
            <w:r>
              <w:rPr>
                <w:rFonts w:ascii="Times New Roman" w:hAnsi="Times New Roman" w:cs="Times New Roman"/>
              </w:rPr>
              <w:t>3,437</w:t>
            </w:r>
          </w:p>
        </w:tc>
        <w:tc>
          <w:tcPr>
            <w:tcW w:w="0" w:type="auto"/>
            <w:hideMark/>
          </w:tcPr>
          <w:p w14:paraId="073CBFAE" w14:textId="77777777" w:rsidR="00C66E38" w:rsidRDefault="00981AE8">
            <w:pPr>
              <w:spacing w:line="360" w:lineRule="auto"/>
              <w:jc w:val="both"/>
              <w:rPr>
                <w:rFonts w:ascii="Times New Roman" w:hAnsi="Times New Roman" w:cs="Times New Roman"/>
              </w:rPr>
            </w:pPr>
            <w:r>
              <w:rPr>
                <w:rFonts w:ascii="Times New Roman" w:hAnsi="Times New Roman" w:cs="Times New Roman"/>
              </w:rPr>
              <w:t>64.88%</w:t>
            </w:r>
          </w:p>
        </w:tc>
        <w:tc>
          <w:tcPr>
            <w:tcW w:w="0" w:type="auto"/>
            <w:hideMark/>
          </w:tcPr>
          <w:p w14:paraId="409221BF" w14:textId="77777777" w:rsidR="00C66E38" w:rsidRDefault="00981AE8">
            <w:pPr>
              <w:spacing w:line="360" w:lineRule="auto"/>
              <w:jc w:val="both"/>
              <w:rPr>
                <w:rFonts w:ascii="Times New Roman" w:hAnsi="Times New Roman" w:cs="Times New Roman"/>
              </w:rPr>
            </w:pPr>
            <w:r>
              <w:rPr>
                <w:rFonts w:ascii="Times New Roman" w:hAnsi="Times New Roman" w:cs="Times New Roman"/>
              </w:rPr>
              <w:t>1.85:1</w:t>
            </w:r>
          </w:p>
        </w:tc>
      </w:tr>
      <w:tr w:rsidR="00C66E38" w14:paraId="14DC558B" w14:textId="77777777" w:rsidTr="00C66E38">
        <w:trPr>
          <w:trHeight w:val="43"/>
        </w:trPr>
        <w:tc>
          <w:tcPr>
            <w:tcW w:w="0" w:type="auto"/>
            <w:hideMark/>
          </w:tcPr>
          <w:p w14:paraId="52865FA6" w14:textId="77777777" w:rsidR="00C66E38" w:rsidRDefault="00981AE8">
            <w:pPr>
              <w:spacing w:line="360" w:lineRule="auto"/>
              <w:jc w:val="both"/>
              <w:rPr>
                <w:rFonts w:ascii="Times New Roman" w:hAnsi="Times New Roman" w:cs="Times New Roman"/>
              </w:rPr>
            </w:pPr>
            <w:r>
              <w:rPr>
                <w:rFonts w:ascii="Times New Roman" w:hAnsi="Times New Roman" w:cs="Times New Roman"/>
              </w:rPr>
              <w:t>2024 Q3</w:t>
            </w:r>
          </w:p>
        </w:tc>
        <w:tc>
          <w:tcPr>
            <w:tcW w:w="0" w:type="auto"/>
            <w:hideMark/>
          </w:tcPr>
          <w:p w14:paraId="0810568C" w14:textId="77777777" w:rsidR="00C66E38" w:rsidRDefault="00981AE8">
            <w:pPr>
              <w:spacing w:line="360" w:lineRule="auto"/>
              <w:jc w:val="both"/>
              <w:rPr>
                <w:rFonts w:ascii="Times New Roman" w:hAnsi="Times New Roman" w:cs="Times New Roman"/>
              </w:rPr>
            </w:pPr>
            <w:r>
              <w:rPr>
                <w:rFonts w:ascii="Times New Roman" w:hAnsi="Times New Roman" w:cs="Times New Roman"/>
              </w:rPr>
              <w:t>14,004</w:t>
            </w:r>
          </w:p>
        </w:tc>
        <w:tc>
          <w:tcPr>
            <w:tcW w:w="0" w:type="auto"/>
            <w:hideMark/>
          </w:tcPr>
          <w:p w14:paraId="75D4FA45" w14:textId="77777777" w:rsidR="00C66E38" w:rsidRDefault="00981AE8">
            <w:pPr>
              <w:spacing w:line="360" w:lineRule="auto"/>
              <w:jc w:val="both"/>
              <w:rPr>
                <w:rFonts w:ascii="Times New Roman" w:hAnsi="Times New Roman" w:cs="Times New Roman"/>
              </w:rPr>
            </w:pPr>
            <w:r>
              <w:rPr>
                <w:rFonts w:ascii="Times New Roman" w:hAnsi="Times New Roman" w:cs="Times New Roman"/>
              </w:rPr>
              <w:t>22,479</w:t>
            </w:r>
          </w:p>
        </w:tc>
        <w:tc>
          <w:tcPr>
            <w:tcW w:w="0" w:type="auto"/>
            <w:hideMark/>
          </w:tcPr>
          <w:p w14:paraId="069218DD" w14:textId="77777777" w:rsidR="00C66E38" w:rsidRDefault="00981AE8">
            <w:pPr>
              <w:spacing w:line="360" w:lineRule="auto"/>
              <w:jc w:val="both"/>
              <w:rPr>
                <w:rFonts w:ascii="Times New Roman" w:hAnsi="Times New Roman" w:cs="Times New Roman"/>
              </w:rPr>
            </w:pPr>
            <w:r>
              <w:rPr>
                <w:rFonts w:ascii="Times New Roman" w:hAnsi="Times New Roman" w:cs="Times New Roman"/>
              </w:rPr>
              <w:t>36,483</w:t>
            </w:r>
          </w:p>
        </w:tc>
        <w:tc>
          <w:tcPr>
            <w:tcW w:w="0" w:type="auto"/>
            <w:hideMark/>
          </w:tcPr>
          <w:p w14:paraId="2DD08A10" w14:textId="77777777" w:rsidR="00C66E38" w:rsidRDefault="00981AE8">
            <w:pPr>
              <w:spacing w:line="360" w:lineRule="auto"/>
              <w:jc w:val="both"/>
              <w:rPr>
                <w:rFonts w:ascii="Times New Roman" w:hAnsi="Times New Roman" w:cs="Times New Roman"/>
              </w:rPr>
            </w:pPr>
            <w:r>
              <w:rPr>
                <w:rFonts w:ascii="Times New Roman" w:hAnsi="Times New Roman" w:cs="Times New Roman"/>
              </w:rPr>
              <w:t>61.61%</w:t>
            </w:r>
          </w:p>
        </w:tc>
        <w:tc>
          <w:tcPr>
            <w:tcW w:w="0" w:type="auto"/>
            <w:hideMark/>
          </w:tcPr>
          <w:p w14:paraId="344D4EFF" w14:textId="77777777" w:rsidR="00C66E38" w:rsidRDefault="00981AE8">
            <w:pPr>
              <w:spacing w:line="360" w:lineRule="auto"/>
              <w:jc w:val="both"/>
              <w:rPr>
                <w:rFonts w:ascii="Times New Roman" w:hAnsi="Times New Roman" w:cs="Times New Roman"/>
              </w:rPr>
            </w:pPr>
            <w:r>
              <w:rPr>
                <w:rFonts w:ascii="Times New Roman" w:hAnsi="Times New Roman" w:cs="Times New Roman"/>
              </w:rPr>
              <w:t>1.61:1</w:t>
            </w:r>
          </w:p>
        </w:tc>
      </w:tr>
      <w:tr w:rsidR="00C66E38" w14:paraId="1D6BF2F1" w14:textId="77777777" w:rsidTr="00C66E38">
        <w:trPr>
          <w:trHeight w:val="43"/>
        </w:trPr>
        <w:tc>
          <w:tcPr>
            <w:tcW w:w="0" w:type="auto"/>
            <w:hideMark/>
          </w:tcPr>
          <w:p w14:paraId="63CA8538" w14:textId="77777777" w:rsidR="00C66E38" w:rsidRDefault="00981AE8">
            <w:pPr>
              <w:spacing w:line="360" w:lineRule="auto"/>
              <w:jc w:val="both"/>
              <w:rPr>
                <w:rFonts w:ascii="Times New Roman" w:hAnsi="Times New Roman" w:cs="Times New Roman"/>
              </w:rPr>
            </w:pPr>
            <w:r>
              <w:rPr>
                <w:rFonts w:ascii="Times New Roman" w:hAnsi="Times New Roman" w:cs="Times New Roman"/>
              </w:rPr>
              <w:t>2024 Q4</w:t>
            </w:r>
          </w:p>
        </w:tc>
        <w:tc>
          <w:tcPr>
            <w:tcW w:w="0" w:type="auto"/>
            <w:hideMark/>
          </w:tcPr>
          <w:p w14:paraId="6B65995F" w14:textId="77777777" w:rsidR="00C66E38" w:rsidRDefault="00981AE8">
            <w:pPr>
              <w:spacing w:line="360" w:lineRule="auto"/>
              <w:jc w:val="both"/>
              <w:rPr>
                <w:rFonts w:ascii="Times New Roman" w:hAnsi="Times New Roman" w:cs="Times New Roman"/>
              </w:rPr>
            </w:pPr>
            <w:r>
              <w:rPr>
                <w:rFonts w:ascii="Times New Roman" w:hAnsi="Times New Roman" w:cs="Times New Roman"/>
              </w:rPr>
              <w:t>10,065</w:t>
            </w:r>
          </w:p>
        </w:tc>
        <w:tc>
          <w:tcPr>
            <w:tcW w:w="0" w:type="auto"/>
            <w:hideMark/>
          </w:tcPr>
          <w:p w14:paraId="33B9BE29" w14:textId="77777777" w:rsidR="00C66E38" w:rsidRDefault="00981AE8">
            <w:pPr>
              <w:spacing w:line="360" w:lineRule="auto"/>
              <w:jc w:val="both"/>
              <w:rPr>
                <w:rFonts w:ascii="Times New Roman" w:hAnsi="Times New Roman" w:cs="Times New Roman"/>
              </w:rPr>
            </w:pPr>
            <w:r>
              <w:rPr>
                <w:rFonts w:ascii="Times New Roman" w:hAnsi="Times New Roman" w:cs="Times New Roman"/>
              </w:rPr>
              <w:t>18,090</w:t>
            </w:r>
          </w:p>
        </w:tc>
        <w:tc>
          <w:tcPr>
            <w:tcW w:w="0" w:type="auto"/>
            <w:hideMark/>
          </w:tcPr>
          <w:p w14:paraId="77C0ED0E" w14:textId="77777777" w:rsidR="00C66E38" w:rsidRDefault="00981AE8">
            <w:pPr>
              <w:spacing w:line="360" w:lineRule="auto"/>
              <w:jc w:val="both"/>
              <w:rPr>
                <w:rFonts w:ascii="Times New Roman" w:hAnsi="Times New Roman" w:cs="Times New Roman"/>
              </w:rPr>
            </w:pPr>
            <w:r>
              <w:rPr>
                <w:rFonts w:ascii="Times New Roman" w:hAnsi="Times New Roman" w:cs="Times New Roman"/>
              </w:rPr>
              <w:t>28,155</w:t>
            </w:r>
          </w:p>
        </w:tc>
        <w:tc>
          <w:tcPr>
            <w:tcW w:w="0" w:type="auto"/>
            <w:hideMark/>
          </w:tcPr>
          <w:p w14:paraId="3F531AD6" w14:textId="77777777" w:rsidR="00C66E38" w:rsidRDefault="00981AE8">
            <w:pPr>
              <w:spacing w:line="360" w:lineRule="auto"/>
              <w:jc w:val="both"/>
              <w:rPr>
                <w:rFonts w:ascii="Times New Roman" w:hAnsi="Times New Roman" w:cs="Times New Roman"/>
              </w:rPr>
            </w:pPr>
            <w:r>
              <w:rPr>
                <w:rFonts w:ascii="Times New Roman" w:hAnsi="Times New Roman" w:cs="Times New Roman"/>
              </w:rPr>
              <w:t>64.25%</w:t>
            </w:r>
          </w:p>
        </w:tc>
        <w:tc>
          <w:tcPr>
            <w:tcW w:w="0" w:type="auto"/>
            <w:hideMark/>
          </w:tcPr>
          <w:p w14:paraId="72395B2E" w14:textId="77777777" w:rsidR="00C66E38" w:rsidRDefault="00981AE8">
            <w:pPr>
              <w:spacing w:line="360" w:lineRule="auto"/>
              <w:jc w:val="both"/>
              <w:rPr>
                <w:rFonts w:ascii="Times New Roman" w:hAnsi="Times New Roman" w:cs="Times New Roman"/>
              </w:rPr>
            </w:pPr>
            <w:r>
              <w:rPr>
                <w:rFonts w:ascii="Times New Roman" w:hAnsi="Times New Roman" w:cs="Times New Roman"/>
              </w:rPr>
              <w:t>1.80:1</w:t>
            </w:r>
          </w:p>
        </w:tc>
      </w:tr>
      <w:tr w:rsidR="00C66E38" w14:paraId="296E1E10" w14:textId="77777777" w:rsidTr="00C66E38">
        <w:trPr>
          <w:trHeight w:val="43"/>
        </w:trPr>
        <w:tc>
          <w:tcPr>
            <w:tcW w:w="0" w:type="auto"/>
            <w:hideMark/>
          </w:tcPr>
          <w:p w14:paraId="5153CB83" w14:textId="77777777" w:rsidR="00C66E38" w:rsidRDefault="00981AE8">
            <w:pPr>
              <w:spacing w:line="360" w:lineRule="auto"/>
              <w:jc w:val="both"/>
              <w:rPr>
                <w:rFonts w:ascii="Times New Roman" w:hAnsi="Times New Roman" w:cs="Times New Roman"/>
              </w:rPr>
            </w:pPr>
            <w:r>
              <w:rPr>
                <w:rFonts w:ascii="Times New Roman" w:hAnsi="Times New Roman" w:cs="Times New Roman"/>
              </w:rPr>
              <w:t>2025 Q1</w:t>
            </w:r>
          </w:p>
        </w:tc>
        <w:tc>
          <w:tcPr>
            <w:tcW w:w="0" w:type="auto"/>
            <w:hideMark/>
          </w:tcPr>
          <w:p w14:paraId="16B330C4" w14:textId="77777777" w:rsidR="00C66E38" w:rsidRDefault="00981AE8">
            <w:pPr>
              <w:spacing w:line="360" w:lineRule="auto"/>
              <w:jc w:val="both"/>
              <w:rPr>
                <w:rFonts w:ascii="Times New Roman" w:hAnsi="Times New Roman" w:cs="Times New Roman"/>
              </w:rPr>
            </w:pPr>
            <w:r>
              <w:rPr>
                <w:rFonts w:ascii="Times New Roman" w:hAnsi="Times New Roman" w:cs="Times New Roman"/>
              </w:rPr>
              <w:t>7,257</w:t>
            </w:r>
          </w:p>
        </w:tc>
        <w:tc>
          <w:tcPr>
            <w:tcW w:w="0" w:type="auto"/>
            <w:hideMark/>
          </w:tcPr>
          <w:p w14:paraId="73629050" w14:textId="77777777" w:rsidR="00C66E38" w:rsidRDefault="00981AE8">
            <w:pPr>
              <w:spacing w:line="360" w:lineRule="auto"/>
              <w:jc w:val="both"/>
              <w:rPr>
                <w:rFonts w:ascii="Times New Roman" w:hAnsi="Times New Roman" w:cs="Times New Roman"/>
              </w:rPr>
            </w:pPr>
            <w:r>
              <w:rPr>
                <w:rFonts w:ascii="Times New Roman" w:hAnsi="Times New Roman" w:cs="Times New Roman"/>
              </w:rPr>
              <w:t>11,947</w:t>
            </w:r>
          </w:p>
        </w:tc>
        <w:tc>
          <w:tcPr>
            <w:tcW w:w="0" w:type="auto"/>
            <w:hideMark/>
          </w:tcPr>
          <w:p w14:paraId="27474759" w14:textId="77777777" w:rsidR="00C66E38" w:rsidRDefault="00981AE8">
            <w:pPr>
              <w:spacing w:line="360" w:lineRule="auto"/>
              <w:jc w:val="both"/>
              <w:rPr>
                <w:rFonts w:ascii="Times New Roman" w:hAnsi="Times New Roman" w:cs="Times New Roman"/>
              </w:rPr>
            </w:pPr>
            <w:r>
              <w:rPr>
                <w:rFonts w:ascii="Times New Roman" w:hAnsi="Times New Roman" w:cs="Times New Roman"/>
              </w:rPr>
              <w:t>19,204</w:t>
            </w:r>
          </w:p>
        </w:tc>
        <w:tc>
          <w:tcPr>
            <w:tcW w:w="0" w:type="auto"/>
            <w:hideMark/>
          </w:tcPr>
          <w:p w14:paraId="7488E597" w14:textId="77777777" w:rsidR="00C66E38" w:rsidRDefault="00981AE8">
            <w:pPr>
              <w:spacing w:line="360" w:lineRule="auto"/>
              <w:jc w:val="both"/>
              <w:rPr>
                <w:rFonts w:ascii="Times New Roman" w:hAnsi="Times New Roman" w:cs="Times New Roman"/>
              </w:rPr>
            </w:pPr>
            <w:r>
              <w:rPr>
                <w:rFonts w:ascii="Times New Roman" w:hAnsi="Times New Roman" w:cs="Times New Roman"/>
              </w:rPr>
              <w:t>62.21%</w:t>
            </w:r>
          </w:p>
        </w:tc>
        <w:tc>
          <w:tcPr>
            <w:tcW w:w="0" w:type="auto"/>
            <w:hideMark/>
          </w:tcPr>
          <w:p w14:paraId="42DCBDE7" w14:textId="77777777" w:rsidR="00C66E38" w:rsidRDefault="00981AE8">
            <w:pPr>
              <w:spacing w:line="360" w:lineRule="auto"/>
              <w:jc w:val="both"/>
              <w:rPr>
                <w:rFonts w:ascii="Times New Roman" w:hAnsi="Times New Roman" w:cs="Times New Roman"/>
              </w:rPr>
            </w:pPr>
            <w:r>
              <w:rPr>
                <w:rFonts w:ascii="Times New Roman" w:hAnsi="Times New Roman" w:cs="Times New Roman"/>
              </w:rPr>
              <w:t>1.65:1</w:t>
            </w:r>
          </w:p>
        </w:tc>
      </w:tr>
      <w:tr w:rsidR="00C66E38" w14:paraId="197F390F" w14:textId="77777777" w:rsidTr="00C66E38">
        <w:trPr>
          <w:trHeight w:val="40"/>
        </w:trPr>
        <w:tc>
          <w:tcPr>
            <w:tcW w:w="0" w:type="auto"/>
            <w:hideMark/>
          </w:tcPr>
          <w:p w14:paraId="008408CF" w14:textId="77777777" w:rsidR="00C66E38" w:rsidRDefault="00981AE8">
            <w:pPr>
              <w:spacing w:line="360" w:lineRule="auto"/>
              <w:jc w:val="both"/>
              <w:rPr>
                <w:rFonts w:ascii="Times New Roman" w:hAnsi="Times New Roman" w:cs="Times New Roman"/>
              </w:rPr>
            </w:pPr>
            <w:r>
              <w:rPr>
                <w:rFonts w:ascii="Times New Roman" w:hAnsi="Times New Roman" w:cs="Times New Roman"/>
              </w:rPr>
              <w:t>2025 Q2</w:t>
            </w:r>
          </w:p>
        </w:tc>
        <w:tc>
          <w:tcPr>
            <w:tcW w:w="0" w:type="auto"/>
            <w:hideMark/>
          </w:tcPr>
          <w:p w14:paraId="64529B21" w14:textId="77777777" w:rsidR="00C66E38" w:rsidRDefault="00981AE8">
            <w:pPr>
              <w:spacing w:line="360" w:lineRule="auto"/>
              <w:jc w:val="both"/>
              <w:rPr>
                <w:rFonts w:ascii="Times New Roman" w:hAnsi="Times New Roman" w:cs="Times New Roman"/>
              </w:rPr>
            </w:pPr>
            <w:r>
              <w:rPr>
                <w:rFonts w:ascii="Times New Roman" w:hAnsi="Times New Roman" w:cs="Times New Roman"/>
              </w:rPr>
              <w:t>5,833</w:t>
            </w:r>
          </w:p>
        </w:tc>
        <w:tc>
          <w:tcPr>
            <w:tcW w:w="0" w:type="auto"/>
            <w:hideMark/>
          </w:tcPr>
          <w:p w14:paraId="50162817" w14:textId="77777777" w:rsidR="00C66E38" w:rsidRDefault="00981AE8">
            <w:pPr>
              <w:spacing w:line="360" w:lineRule="auto"/>
              <w:jc w:val="both"/>
              <w:rPr>
                <w:rFonts w:ascii="Times New Roman" w:hAnsi="Times New Roman" w:cs="Times New Roman"/>
              </w:rPr>
            </w:pPr>
            <w:r>
              <w:rPr>
                <w:rFonts w:ascii="Times New Roman" w:hAnsi="Times New Roman" w:cs="Times New Roman"/>
              </w:rPr>
              <w:t>9,309</w:t>
            </w:r>
          </w:p>
        </w:tc>
        <w:tc>
          <w:tcPr>
            <w:tcW w:w="0" w:type="auto"/>
            <w:hideMark/>
          </w:tcPr>
          <w:p w14:paraId="7D0CDD42" w14:textId="77777777" w:rsidR="00C66E38" w:rsidRDefault="00981AE8">
            <w:pPr>
              <w:spacing w:line="360" w:lineRule="auto"/>
              <w:jc w:val="both"/>
              <w:rPr>
                <w:rFonts w:ascii="Times New Roman" w:hAnsi="Times New Roman" w:cs="Times New Roman"/>
              </w:rPr>
            </w:pPr>
            <w:r>
              <w:rPr>
                <w:rFonts w:ascii="Times New Roman" w:hAnsi="Times New Roman" w:cs="Times New Roman"/>
              </w:rPr>
              <w:t>15,142</w:t>
            </w:r>
          </w:p>
        </w:tc>
        <w:tc>
          <w:tcPr>
            <w:tcW w:w="0" w:type="auto"/>
            <w:hideMark/>
          </w:tcPr>
          <w:p w14:paraId="7191242F" w14:textId="77777777" w:rsidR="00C66E38" w:rsidRDefault="00981AE8">
            <w:pPr>
              <w:spacing w:line="360" w:lineRule="auto"/>
              <w:jc w:val="both"/>
              <w:rPr>
                <w:rFonts w:ascii="Times New Roman" w:hAnsi="Times New Roman" w:cs="Times New Roman"/>
              </w:rPr>
            </w:pPr>
            <w:r>
              <w:rPr>
                <w:rFonts w:ascii="Times New Roman" w:hAnsi="Times New Roman" w:cs="Times New Roman"/>
              </w:rPr>
              <w:t>61.48%</w:t>
            </w:r>
          </w:p>
        </w:tc>
        <w:tc>
          <w:tcPr>
            <w:tcW w:w="0" w:type="auto"/>
            <w:hideMark/>
          </w:tcPr>
          <w:p w14:paraId="68261EFA" w14:textId="77777777" w:rsidR="00C66E38" w:rsidRDefault="00981AE8">
            <w:pPr>
              <w:spacing w:line="360" w:lineRule="auto"/>
              <w:jc w:val="both"/>
              <w:rPr>
                <w:rFonts w:ascii="Times New Roman" w:hAnsi="Times New Roman" w:cs="Times New Roman"/>
              </w:rPr>
            </w:pPr>
            <w:r>
              <w:rPr>
                <w:rFonts w:ascii="Times New Roman" w:hAnsi="Times New Roman" w:cs="Times New Roman"/>
              </w:rPr>
              <w:t>1.60:1</w:t>
            </w:r>
          </w:p>
        </w:tc>
      </w:tr>
      <w:tr w:rsidR="00C66E38" w14:paraId="7AB92D8C" w14:textId="77777777" w:rsidTr="00C66E38">
        <w:trPr>
          <w:trHeight w:val="43"/>
        </w:trPr>
        <w:tc>
          <w:tcPr>
            <w:tcW w:w="0" w:type="auto"/>
            <w:hideMark/>
          </w:tcPr>
          <w:p w14:paraId="40BCBEEE" w14:textId="77777777" w:rsidR="00C66E38" w:rsidRDefault="00981AE8">
            <w:pPr>
              <w:spacing w:line="360" w:lineRule="auto"/>
              <w:jc w:val="both"/>
              <w:rPr>
                <w:rFonts w:ascii="Times New Roman" w:hAnsi="Times New Roman" w:cs="Times New Roman"/>
              </w:rPr>
            </w:pPr>
            <w:r>
              <w:rPr>
                <w:rFonts w:ascii="Times New Roman" w:hAnsi="Times New Roman" w:cs="Times New Roman"/>
              </w:rPr>
              <w:t>2025 Q3</w:t>
            </w:r>
          </w:p>
        </w:tc>
        <w:tc>
          <w:tcPr>
            <w:tcW w:w="0" w:type="auto"/>
            <w:hideMark/>
          </w:tcPr>
          <w:p w14:paraId="23F57912" w14:textId="77777777" w:rsidR="00C66E38" w:rsidRDefault="00981AE8">
            <w:pPr>
              <w:spacing w:line="360" w:lineRule="auto"/>
              <w:jc w:val="both"/>
              <w:rPr>
                <w:rFonts w:ascii="Times New Roman" w:hAnsi="Times New Roman" w:cs="Times New Roman"/>
              </w:rPr>
            </w:pPr>
            <w:r>
              <w:rPr>
                <w:rFonts w:ascii="Times New Roman" w:hAnsi="Times New Roman" w:cs="Times New Roman"/>
              </w:rPr>
              <w:t>4,176</w:t>
            </w:r>
          </w:p>
        </w:tc>
        <w:tc>
          <w:tcPr>
            <w:tcW w:w="0" w:type="auto"/>
            <w:hideMark/>
          </w:tcPr>
          <w:p w14:paraId="1B325B64" w14:textId="77777777" w:rsidR="00C66E38" w:rsidRDefault="00981AE8">
            <w:pPr>
              <w:spacing w:line="360" w:lineRule="auto"/>
              <w:jc w:val="both"/>
              <w:rPr>
                <w:rFonts w:ascii="Times New Roman" w:hAnsi="Times New Roman" w:cs="Times New Roman"/>
              </w:rPr>
            </w:pPr>
            <w:r>
              <w:rPr>
                <w:rFonts w:ascii="Times New Roman" w:hAnsi="Times New Roman" w:cs="Times New Roman"/>
              </w:rPr>
              <w:t>7,514</w:t>
            </w:r>
          </w:p>
        </w:tc>
        <w:tc>
          <w:tcPr>
            <w:tcW w:w="0" w:type="auto"/>
            <w:hideMark/>
          </w:tcPr>
          <w:p w14:paraId="75E8D97A" w14:textId="77777777" w:rsidR="00C66E38" w:rsidRDefault="00981AE8">
            <w:pPr>
              <w:spacing w:line="360" w:lineRule="auto"/>
              <w:jc w:val="both"/>
              <w:rPr>
                <w:rFonts w:ascii="Times New Roman" w:hAnsi="Times New Roman" w:cs="Times New Roman"/>
              </w:rPr>
            </w:pPr>
            <w:r>
              <w:rPr>
                <w:rFonts w:ascii="Times New Roman" w:hAnsi="Times New Roman" w:cs="Times New Roman"/>
              </w:rPr>
              <w:t>11,690</w:t>
            </w:r>
          </w:p>
        </w:tc>
        <w:tc>
          <w:tcPr>
            <w:tcW w:w="0" w:type="auto"/>
            <w:hideMark/>
          </w:tcPr>
          <w:p w14:paraId="00EC0879" w14:textId="77777777" w:rsidR="00C66E38" w:rsidRDefault="00981AE8">
            <w:pPr>
              <w:spacing w:line="360" w:lineRule="auto"/>
              <w:jc w:val="both"/>
              <w:rPr>
                <w:rFonts w:ascii="Times New Roman" w:hAnsi="Times New Roman" w:cs="Times New Roman"/>
              </w:rPr>
            </w:pPr>
            <w:r>
              <w:rPr>
                <w:rFonts w:ascii="Times New Roman" w:hAnsi="Times New Roman" w:cs="Times New Roman"/>
              </w:rPr>
              <w:t>64.28%</w:t>
            </w:r>
          </w:p>
        </w:tc>
        <w:tc>
          <w:tcPr>
            <w:tcW w:w="0" w:type="auto"/>
            <w:hideMark/>
          </w:tcPr>
          <w:p w14:paraId="7A0DB3D7" w14:textId="77777777" w:rsidR="00C66E38" w:rsidRDefault="00981AE8">
            <w:pPr>
              <w:spacing w:line="360" w:lineRule="auto"/>
              <w:jc w:val="both"/>
              <w:rPr>
                <w:rFonts w:ascii="Times New Roman" w:hAnsi="Times New Roman" w:cs="Times New Roman"/>
              </w:rPr>
            </w:pPr>
            <w:r>
              <w:rPr>
                <w:rFonts w:ascii="Times New Roman" w:hAnsi="Times New Roman" w:cs="Times New Roman"/>
              </w:rPr>
              <w:t>1.80:1</w:t>
            </w:r>
          </w:p>
        </w:tc>
      </w:tr>
      <w:tr w:rsidR="00C66E38" w14:paraId="398A83CE" w14:textId="77777777" w:rsidTr="00C66E38">
        <w:trPr>
          <w:trHeight w:val="46"/>
        </w:trPr>
        <w:tc>
          <w:tcPr>
            <w:tcW w:w="0" w:type="auto"/>
            <w:hideMark/>
          </w:tcPr>
          <w:p w14:paraId="2D155590" w14:textId="77777777" w:rsidR="00C66E38" w:rsidRDefault="00981AE8">
            <w:pPr>
              <w:spacing w:line="360" w:lineRule="auto"/>
              <w:jc w:val="both"/>
              <w:rPr>
                <w:rFonts w:ascii="Times New Roman" w:hAnsi="Times New Roman" w:cs="Times New Roman"/>
                <w:b/>
                <w:bCs/>
              </w:rPr>
            </w:pPr>
            <w:r>
              <w:rPr>
                <w:rFonts w:ascii="Times New Roman" w:hAnsi="Times New Roman" w:cs="Times New Roman"/>
                <w:b/>
                <w:bCs/>
              </w:rPr>
              <w:t>TOTAL</w:t>
            </w:r>
          </w:p>
        </w:tc>
        <w:tc>
          <w:tcPr>
            <w:tcW w:w="0" w:type="auto"/>
            <w:hideMark/>
          </w:tcPr>
          <w:p w14:paraId="268038FA" w14:textId="77777777" w:rsidR="00C66E38" w:rsidRDefault="00981AE8">
            <w:pPr>
              <w:spacing w:line="360" w:lineRule="auto"/>
              <w:jc w:val="both"/>
              <w:rPr>
                <w:rFonts w:ascii="Times New Roman" w:hAnsi="Times New Roman" w:cs="Times New Roman"/>
                <w:b/>
                <w:bCs/>
              </w:rPr>
            </w:pPr>
            <w:r>
              <w:rPr>
                <w:rFonts w:ascii="Times New Roman" w:hAnsi="Times New Roman" w:cs="Times New Roman"/>
                <w:b/>
                <w:bCs/>
              </w:rPr>
              <w:t>44,538</w:t>
            </w:r>
          </w:p>
        </w:tc>
        <w:tc>
          <w:tcPr>
            <w:tcW w:w="0" w:type="auto"/>
            <w:hideMark/>
          </w:tcPr>
          <w:p w14:paraId="2016831F" w14:textId="77777777" w:rsidR="00C66E38" w:rsidRDefault="00981AE8">
            <w:pPr>
              <w:spacing w:line="360" w:lineRule="auto"/>
              <w:jc w:val="both"/>
              <w:rPr>
                <w:rFonts w:ascii="Times New Roman" w:hAnsi="Times New Roman" w:cs="Times New Roman"/>
                <w:b/>
                <w:bCs/>
              </w:rPr>
            </w:pPr>
            <w:r>
              <w:rPr>
                <w:rFonts w:ascii="Times New Roman" w:hAnsi="Times New Roman" w:cs="Times New Roman"/>
                <w:b/>
                <w:bCs/>
              </w:rPr>
              <w:t>69,573</w:t>
            </w:r>
          </w:p>
        </w:tc>
        <w:tc>
          <w:tcPr>
            <w:tcW w:w="0" w:type="auto"/>
            <w:hideMark/>
          </w:tcPr>
          <w:p w14:paraId="1AB10DDC" w14:textId="77777777" w:rsidR="00C66E38" w:rsidRDefault="00981AE8">
            <w:pPr>
              <w:spacing w:line="360" w:lineRule="auto"/>
              <w:jc w:val="both"/>
              <w:rPr>
                <w:rFonts w:ascii="Times New Roman" w:hAnsi="Times New Roman" w:cs="Times New Roman"/>
                <w:b/>
                <w:bCs/>
              </w:rPr>
            </w:pPr>
            <w:r>
              <w:rPr>
                <w:rFonts w:ascii="Times New Roman" w:hAnsi="Times New Roman" w:cs="Times New Roman"/>
                <w:b/>
                <w:bCs/>
              </w:rPr>
              <w:t>114,111</w:t>
            </w:r>
          </w:p>
        </w:tc>
        <w:tc>
          <w:tcPr>
            <w:tcW w:w="0" w:type="auto"/>
            <w:hideMark/>
          </w:tcPr>
          <w:p w14:paraId="156D8359" w14:textId="77777777" w:rsidR="00C66E38" w:rsidRDefault="00981AE8">
            <w:pPr>
              <w:spacing w:line="360" w:lineRule="auto"/>
              <w:jc w:val="both"/>
              <w:rPr>
                <w:rFonts w:ascii="Times New Roman" w:hAnsi="Times New Roman" w:cs="Times New Roman"/>
                <w:b/>
                <w:bCs/>
              </w:rPr>
            </w:pPr>
            <w:r>
              <w:rPr>
                <w:rFonts w:ascii="Times New Roman" w:hAnsi="Times New Roman" w:cs="Times New Roman"/>
                <w:b/>
                <w:bCs/>
              </w:rPr>
              <w:t>60.96%</w:t>
            </w:r>
          </w:p>
        </w:tc>
        <w:tc>
          <w:tcPr>
            <w:tcW w:w="0" w:type="auto"/>
            <w:hideMark/>
          </w:tcPr>
          <w:p w14:paraId="25549951" w14:textId="77777777" w:rsidR="00C66E38" w:rsidRDefault="00981AE8">
            <w:pPr>
              <w:spacing w:line="360" w:lineRule="auto"/>
              <w:jc w:val="both"/>
              <w:rPr>
                <w:rFonts w:ascii="Times New Roman" w:hAnsi="Times New Roman" w:cs="Times New Roman"/>
                <w:b/>
                <w:bCs/>
              </w:rPr>
            </w:pPr>
            <w:r>
              <w:rPr>
                <w:rFonts w:ascii="Times New Roman" w:hAnsi="Times New Roman" w:cs="Times New Roman"/>
                <w:b/>
                <w:bCs/>
              </w:rPr>
              <w:t>1.56:1</w:t>
            </w:r>
          </w:p>
        </w:tc>
      </w:tr>
    </w:tbl>
    <w:p w14:paraId="11EF4557" w14:textId="5A280961" w:rsidR="00C66E38" w:rsidRPr="00512AA6" w:rsidRDefault="006C1287">
      <w:pPr>
        <w:spacing w:after="0" w:line="240" w:lineRule="auto"/>
        <w:jc w:val="both"/>
        <w:rPr>
          <w:rFonts w:ascii="Times New Roman" w:hAnsi="Times New Roman" w:cs="Times New Roman"/>
          <w:b/>
          <w:bCs/>
        </w:rPr>
      </w:pPr>
      <w:r w:rsidRPr="00512AA6">
        <w:rPr>
          <w:rFonts w:ascii="Times New Roman" w:hAnsi="Times New Roman" w:cs="Times New Roman"/>
          <w:b/>
          <w:bCs/>
        </w:rPr>
        <w:t>Table 1-</w:t>
      </w:r>
      <w:r w:rsidR="00512AA6" w:rsidRPr="00512AA6">
        <w:rPr>
          <w:rFonts w:ascii="Times New Roman" w:hAnsi="Times New Roman" w:cs="Times New Roman"/>
          <w:b/>
          <w:bCs/>
        </w:rPr>
        <w:t xml:space="preserve"> </w:t>
      </w:r>
      <w:r w:rsidR="00512AA6">
        <w:rPr>
          <w:rFonts w:ascii="Times New Roman" w:hAnsi="Times New Roman" w:cs="Times New Roman"/>
          <w:b/>
          <w:bCs/>
        </w:rPr>
        <w:t>Q</w:t>
      </w:r>
      <w:r w:rsidR="00512AA6" w:rsidRPr="00512AA6">
        <w:rPr>
          <w:rFonts w:ascii="Times New Roman" w:hAnsi="Times New Roman" w:cs="Times New Roman"/>
          <w:b/>
          <w:bCs/>
        </w:rPr>
        <w:t xml:space="preserve">uarterly Gender </w:t>
      </w:r>
      <w:r w:rsidR="00731655">
        <w:rPr>
          <w:rFonts w:ascii="Times New Roman" w:hAnsi="Times New Roman" w:cs="Times New Roman"/>
          <w:b/>
          <w:bCs/>
        </w:rPr>
        <w:t>D</w:t>
      </w:r>
      <w:r w:rsidR="00512AA6" w:rsidRPr="00512AA6">
        <w:rPr>
          <w:rFonts w:ascii="Times New Roman" w:hAnsi="Times New Roman" w:cs="Times New Roman"/>
          <w:b/>
          <w:bCs/>
        </w:rPr>
        <w:t>istribution</w:t>
      </w:r>
    </w:p>
    <w:p w14:paraId="3C0797B1" w14:textId="2B74FA34" w:rsidR="003C3D02" w:rsidRPr="003C3D02" w:rsidRDefault="003C3D02" w:rsidP="003C3D02">
      <w:pPr>
        <w:spacing w:after="0" w:line="240" w:lineRule="auto"/>
        <w:jc w:val="both"/>
        <w:rPr>
          <w:rFonts w:ascii="Times New Roman" w:hAnsi="Times New Roman" w:cs="Times New Roman"/>
          <w:lang w:val="en-US"/>
        </w:rPr>
      </w:pPr>
      <w:r w:rsidRPr="003C3D02">
        <w:rPr>
          <w:rFonts w:ascii="Times New Roman" w:hAnsi="Times New Roman" w:cs="Times New Roman"/>
          <w:noProof/>
          <w:lang w:val="en-US"/>
        </w:rPr>
        <w:lastRenderedPageBreak/>
        <w:drawing>
          <wp:inline distT="0" distB="0" distL="0" distR="0" wp14:anchorId="0D637837" wp14:editId="48E93FDB">
            <wp:extent cx="4893310" cy="3670254"/>
            <wp:effectExtent l="0" t="0" r="2540" b="6985"/>
            <wp:docPr id="117569693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10758" cy="3683341"/>
                    </a:xfrm>
                    <a:prstGeom prst="rect">
                      <a:avLst/>
                    </a:prstGeom>
                    <a:noFill/>
                    <a:ln>
                      <a:noFill/>
                    </a:ln>
                  </pic:spPr>
                </pic:pic>
              </a:graphicData>
            </a:graphic>
          </wp:inline>
        </w:drawing>
      </w:r>
    </w:p>
    <w:p w14:paraId="2343C35E" w14:textId="6A184A86" w:rsidR="00C66E38" w:rsidRDefault="00C66E38">
      <w:pPr>
        <w:spacing w:after="0" w:line="240" w:lineRule="auto"/>
        <w:jc w:val="both"/>
        <w:rPr>
          <w:rFonts w:ascii="Times New Roman" w:hAnsi="Times New Roman" w:cs="Times New Roman"/>
        </w:rPr>
      </w:pPr>
    </w:p>
    <w:p w14:paraId="79AABFCB" w14:textId="77777777" w:rsidR="00C66E38" w:rsidRDefault="00981AE8">
      <w:pPr>
        <w:spacing w:after="0" w:line="240" w:lineRule="auto"/>
        <w:jc w:val="both"/>
        <w:rPr>
          <w:rFonts w:ascii="Times New Roman" w:hAnsi="Times New Roman" w:cs="Times New Roman"/>
          <w:b/>
          <w:bCs/>
        </w:rPr>
      </w:pPr>
      <w:r>
        <w:rPr>
          <w:rFonts w:ascii="Times New Roman" w:hAnsi="Times New Roman" w:cs="Times New Roman"/>
          <w:b/>
          <w:bCs/>
        </w:rPr>
        <w:t xml:space="preserve">Figure 2: Gender distribution by quarter </w:t>
      </w:r>
    </w:p>
    <w:p w14:paraId="268CB600" w14:textId="77777777" w:rsidR="00C66E38" w:rsidRDefault="00C66E38">
      <w:pPr>
        <w:spacing w:after="0" w:line="240" w:lineRule="auto"/>
        <w:jc w:val="both"/>
        <w:rPr>
          <w:rFonts w:ascii="Times New Roman" w:hAnsi="Times New Roman" w:cs="Times New Roman"/>
        </w:rPr>
      </w:pPr>
    </w:p>
    <w:p w14:paraId="43E772D1" w14:textId="5FC5A757" w:rsidR="00C66E38" w:rsidRDefault="00981AE8">
      <w:pPr>
        <w:spacing w:after="0" w:line="240" w:lineRule="auto"/>
        <w:jc w:val="both"/>
        <w:rPr>
          <w:rFonts w:ascii="Times New Roman" w:hAnsi="Times New Roman" w:cs="Times New Roman"/>
        </w:rPr>
      </w:pPr>
      <w:r>
        <w:rPr>
          <w:rFonts w:ascii="Times New Roman" w:hAnsi="Times New Roman" w:cs="Times New Roman"/>
        </w:rPr>
        <w:t>Gender distribution demonstrates a consistent female predominance throughout the study period. Females constitute 60.96% (69,573) of total enrolees compared to 39.04% (44,538) males, yielding an overall gender ratio of 1.56 females per male.</w:t>
      </w:r>
    </w:p>
    <w:p w14:paraId="212C9EC2" w14:textId="77777777" w:rsidR="00C66E38" w:rsidRDefault="00981AE8">
      <w:pPr>
        <w:spacing w:after="0" w:line="240" w:lineRule="auto"/>
        <w:jc w:val="both"/>
        <w:rPr>
          <w:rFonts w:ascii="Times New Roman" w:hAnsi="Times New Roman" w:cs="Times New Roman"/>
        </w:rPr>
      </w:pPr>
      <w:r>
        <w:rPr>
          <w:rFonts w:ascii="Times New Roman" w:hAnsi="Times New Roman" w:cs="Times New Roman"/>
        </w:rPr>
        <w:t>The female proportion ranges from 61.48% to 64.88% across quarters, indicating remarkable stability in gender distribution despite the dramatic changes in total enrolment numbers. This consistent female majority likely reflects several factors including the program's emphasis on maternal and child health services, higher healthcare-seeking behaviour among women, specific targeting of pregnant women as a vulnerable group, and women's roles as primary caregivers making them more likely to enrol family members.</w:t>
      </w:r>
    </w:p>
    <w:p w14:paraId="47D3425B" w14:textId="77777777" w:rsidR="00C66E38" w:rsidRDefault="00C66E38">
      <w:pPr>
        <w:spacing w:after="0" w:line="240" w:lineRule="auto"/>
        <w:jc w:val="both"/>
        <w:rPr>
          <w:rFonts w:ascii="Times New Roman" w:hAnsi="Times New Roman" w:cs="Times New Roman"/>
        </w:rPr>
      </w:pPr>
    </w:p>
    <w:p w14:paraId="0EA57AA6" w14:textId="77777777" w:rsidR="00C66E38" w:rsidRDefault="00981AE8">
      <w:pPr>
        <w:pStyle w:val="ListParagraph"/>
        <w:numPr>
          <w:ilvl w:val="1"/>
          <w:numId w:val="6"/>
        </w:numPr>
        <w:spacing w:after="0" w:line="240" w:lineRule="auto"/>
        <w:jc w:val="both"/>
        <w:rPr>
          <w:rFonts w:ascii="Times New Roman" w:hAnsi="Times New Roman" w:cs="Times New Roman"/>
          <w:b/>
          <w:bCs/>
        </w:rPr>
      </w:pPr>
      <w:r>
        <w:rPr>
          <w:rFonts w:ascii="Times New Roman" w:hAnsi="Times New Roman" w:cs="Times New Roman"/>
          <w:b/>
          <w:bCs/>
        </w:rPr>
        <w:tab/>
        <w:t>Senatorial District Performance</w:t>
      </w:r>
    </w:p>
    <w:p w14:paraId="7D5EE0C2" w14:textId="77777777" w:rsidR="00C66E38" w:rsidRDefault="00C66E38">
      <w:pPr>
        <w:pStyle w:val="ListParagraph"/>
        <w:spacing w:after="0" w:line="240" w:lineRule="auto"/>
        <w:ind w:left="360"/>
        <w:jc w:val="both"/>
        <w:rPr>
          <w:rFonts w:ascii="Times New Roman" w:hAnsi="Times New Roman" w:cs="Times New Roman"/>
          <w:b/>
          <w:bCs/>
        </w:rPr>
      </w:pPr>
    </w:p>
    <w:tbl>
      <w:tblPr>
        <w:tblStyle w:val="PlainTable21"/>
        <w:tblW w:w="9239" w:type="dxa"/>
        <w:tblLook w:val="0620" w:firstRow="1" w:lastRow="0" w:firstColumn="0" w:lastColumn="0" w:noHBand="1" w:noVBand="1"/>
      </w:tblPr>
      <w:tblGrid>
        <w:gridCol w:w="1739"/>
        <w:gridCol w:w="1647"/>
        <w:gridCol w:w="1148"/>
        <w:gridCol w:w="876"/>
        <w:gridCol w:w="963"/>
        <w:gridCol w:w="1590"/>
        <w:gridCol w:w="1276"/>
      </w:tblGrid>
      <w:tr w:rsidR="00C66E38" w14:paraId="0DE6A2E9" w14:textId="77777777" w:rsidTr="00C66E38">
        <w:trPr>
          <w:cnfStyle w:val="100000000000" w:firstRow="1" w:lastRow="0" w:firstColumn="0" w:lastColumn="0" w:oddVBand="0" w:evenVBand="0" w:oddHBand="0" w:evenHBand="0" w:firstRowFirstColumn="0" w:firstRowLastColumn="0" w:lastRowFirstColumn="0" w:lastRowLastColumn="0"/>
        </w:trPr>
        <w:tc>
          <w:tcPr>
            <w:tcW w:w="0" w:type="auto"/>
            <w:hideMark/>
          </w:tcPr>
          <w:p w14:paraId="3BE163FE" w14:textId="77777777" w:rsidR="00C66E38" w:rsidRDefault="00981AE8">
            <w:pPr>
              <w:spacing w:line="360" w:lineRule="auto"/>
              <w:jc w:val="both"/>
              <w:rPr>
                <w:rFonts w:ascii="Times New Roman" w:hAnsi="Times New Roman" w:cs="Times New Roman"/>
              </w:rPr>
            </w:pPr>
            <w:r>
              <w:rPr>
                <w:rFonts w:ascii="Times New Roman" w:hAnsi="Times New Roman" w:cs="Times New Roman"/>
              </w:rPr>
              <w:t>Senatorial District</w:t>
            </w:r>
          </w:p>
        </w:tc>
        <w:tc>
          <w:tcPr>
            <w:tcW w:w="0" w:type="auto"/>
            <w:hideMark/>
          </w:tcPr>
          <w:p w14:paraId="50C5E84E" w14:textId="77777777" w:rsidR="00C66E38" w:rsidRDefault="00981AE8">
            <w:pPr>
              <w:spacing w:line="360" w:lineRule="auto"/>
              <w:jc w:val="both"/>
              <w:rPr>
                <w:rFonts w:ascii="Times New Roman" w:hAnsi="Times New Roman" w:cs="Times New Roman"/>
              </w:rPr>
            </w:pPr>
            <w:r>
              <w:rPr>
                <w:rFonts w:ascii="Times New Roman" w:hAnsi="Times New Roman" w:cs="Times New Roman"/>
              </w:rPr>
              <w:t>Total Enrolment</w:t>
            </w:r>
          </w:p>
        </w:tc>
        <w:tc>
          <w:tcPr>
            <w:tcW w:w="0" w:type="auto"/>
            <w:hideMark/>
          </w:tcPr>
          <w:p w14:paraId="536DDACA" w14:textId="77777777" w:rsidR="00C66E38" w:rsidRDefault="00981AE8">
            <w:pPr>
              <w:spacing w:line="360" w:lineRule="auto"/>
              <w:jc w:val="both"/>
              <w:rPr>
                <w:rFonts w:ascii="Times New Roman" w:hAnsi="Times New Roman" w:cs="Times New Roman"/>
              </w:rPr>
            </w:pPr>
            <w:r>
              <w:rPr>
                <w:rFonts w:ascii="Times New Roman" w:hAnsi="Times New Roman" w:cs="Times New Roman"/>
              </w:rPr>
              <w:t>% of Total</w:t>
            </w:r>
          </w:p>
        </w:tc>
        <w:tc>
          <w:tcPr>
            <w:tcW w:w="0" w:type="auto"/>
            <w:hideMark/>
          </w:tcPr>
          <w:p w14:paraId="386F6B26" w14:textId="77777777" w:rsidR="00C66E38" w:rsidRDefault="00981AE8">
            <w:pPr>
              <w:spacing w:line="360" w:lineRule="auto"/>
              <w:jc w:val="both"/>
              <w:rPr>
                <w:rFonts w:ascii="Times New Roman" w:hAnsi="Times New Roman" w:cs="Times New Roman"/>
              </w:rPr>
            </w:pPr>
            <w:r>
              <w:rPr>
                <w:rFonts w:ascii="Times New Roman" w:hAnsi="Times New Roman" w:cs="Times New Roman"/>
              </w:rPr>
              <w:t>Male</w:t>
            </w:r>
          </w:p>
        </w:tc>
        <w:tc>
          <w:tcPr>
            <w:tcW w:w="0" w:type="auto"/>
            <w:hideMark/>
          </w:tcPr>
          <w:p w14:paraId="256E5CA2" w14:textId="77777777" w:rsidR="00C66E38" w:rsidRDefault="00981AE8">
            <w:pPr>
              <w:spacing w:line="360" w:lineRule="auto"/>
              <w:jc w:val="both"/>
              <w:rPr>
                <w:rFonts w:ascii="Times New Roman" w:hAnsi="Times New Roman" w:cs="Times New Roman"/>
              </w:rPr>
            </w:pPr>
            <w:r>
              <w:rPr>
                <w:rFonts w:ascii="Times New Roman" w:hAnsi="Times New Roman" w:cs="Times New Roman"/>
              </w:rPr>
              <w:t>Female</w:t>
            </w:r>
          </w:p>
        </w:tc>
        <w:tc>
          <w:tcPr>
            <w:tcW w:w="0" w:type="auto"/>
            <w:hideMark/>
          </w:tcPr>
          <w:p w14:paraId="15E485CD" w14:textId="77777777" w:rsidR="00C66E38" w:rsidRDefault="00981AE8">
            <w:pPr>
              <w:spacing w:line="360" w:lineRule="auto"/>
              <w:jc w:val="both"/>
              <w:rPr>
                <w:rFonts w:ascii="Times New Roman" w:hAnsi="Times New Roman" w:cs="Times New Roman"/>
              </w:rPr>
            </w:pPr>
            <w:r>
              <w:rPr>
                <w:rFonts w:ascii="Times New Roman" w:hAnsi="Times New Roman" w:cs="Times New Roman"/>
              </w:rPr>
              <w:t>Number of LGAs</w:t>
            </w:r>
          </w:p>
        </w:tc>
        <w:tc>
          <w:tcPr>
            <w:tcW w:w="0" w:type="auto"/>
            <w:hideMark/>
          </w:tcPr>
          <w:p w14:paraId="7AEDBFDE" w14:textId="77777777" w:rsidR="00C66E38" w:rsidRDefault="00981AE8">
            <w:pPr>
              <w:spacing w:line="360" w:lineRule="auto"/>
              <w:jc w:val="both"/>
              <w:rPr>
                <w:rFonts w:ascii="Times New Roman" w:hAnsi="Times New Roman" w:cs="Times New Roman"/>
              </w:rPr>
            </w:pPr>
            <w:r>
              <w:rPr>
                <w:rFonts w:ascii="Times New Roman" w:hAnsi="Times New Roman" w:cs="Times New Roman"/>
              </w:rPr>
              <w:t>Avg per LGA</w:t>
            </w:r>
          </w:p>
        </w:tc>
      </w:tr>
      <w:tr w:rsidR="00C66E38" w14:paraId="02829CF7" w14:textId="77777777" w:rsidTr="00C66E38">
        <w:tc>
          <w:tcPr>
            <w:tcW w:w="0" w:type="auto"/>
            <w:hideMark/>
          </w:tcPr>
          <w:p w14:paraId="6404707A" w14:textId="77777777" w:rsidR="00C66E38" w:rsidRDefault="00981AE8">
            <w:pPr>
              <w:spacing w:line="360" w:lineRule="auto"/>
              <w:jc w:val="both"/>
              <w:rPr>
                <w:rFonts w:ascii="Times New Roman" w:hAnsi="Times New Roman" w:cs="Times New Roman"/>
              </w:rPr>
            </w:pPr>
            <w:r>
              <w:rPr>
                <w:rFonts w:ascii="Times New Roman" w:hAnsi="Times New Roman" w:cs="Times New Roman"/>
              </w:rPr>
              <w:t>Rivers East</w:t>
            </w:r>
          </w:p>
        </w:tc>
        <w:tc>
          <w:tcPr>
            <w:tcW w:w="0" w:type="auto"/>
            <w:hideMark/>
          </w:tcPr>
          <w:p w14:paraId="195BDC21" w14:textId="77777777" w:rsidR="00C66E38" w:rsidRDefault="00981AE8">
            <w:pPr>
              <w:spacing w:line="360" w:lineRule="auto"/>
              <w:jc w:val="both"/>
              <w:rPr>
                <w:rFonts w:ascii="Times New Roman" w:hAnsi="Times New Roman" w:cs="Times New Roman"/>
              </w:rPr>
            </w:pPr>
            <w:r>
              <w:rPr>
                <w:rFonts w:ascii="Times New Roman" w:hAnsi="Times New Roman" w:cs="Times New Roman"/>
              </w:rPr>
              <w:t>94,900</w:t>
            </w:r>
          </w:p>
        </w:tc>
        <w:tc>
          <w:tcPr>
            <w:tcW w:w="0" w:type="auto"/>
            <w:hideMark/>
          </w:tcPr>
          <w:p w14:paraId="74188F5D" w14:textId="77777777" w:rsidR="00C66E38" w:rsidRDefault="00981AE8">
            <w:pPr>
              <w:spacing w:line="360" w:lineRule="auto"/>
              <w:jc w:val="both"/>
              <w:rPr>
                <w:rFonts w:ascii="Times New Roman" w:hAnsi="Times New Roman" w:cs="Times New Roman"/>
              </w:rPr>
            </w:pPr>
            <w:r>
              <w:rPr>
                <w:rFonts w:ascii="Times New Roman" w:hAnsi="Times New Roman" w:cs="Times New Roman"/>
              </w:rPr>
              <w:t>83.16%</w:t>
            </w:r>
          </w:p>
        </w:tc>
        <w:tc>
          <w:tcPr>
            <w:tcW w:w="0" w:type="auto"/>
            <w:hideMark/>
          </w:tcPr>
          <w:p w14:paraId="6D40D785" w14:textId="77777777" w:rsidR="00C66E38" w:rsidRDefault="00981AE8">
            <w:pPr>
              <w:spacing w:line="360" w:lineRule="auto"/>
              <w:jc w:val="both"/>
              <w:rPr>
                <w:rFonts w:ascii="Times New Roman" w:hAnsi="Times New Roman" w:cs="Times New Roman"/>
              </w:rPr>
            </w:pPr>
            <w:r>
              <w:rPr>
                <w:rFonts w:ascii="Times New Roman" w:hAnsi="Times New Roman" w:cs="Times New Roman"/>
              </w:rPr>
              <w:t>36,214</w:t>
            </w:r>
          </w:p>
        </w:tc>
        <w:tc>
          <w:tcPr>
            <w:tcW w:w="0" w:type="auto"/>
            <w:hideMark/>
          </w:tcPr>
          <w:p w14:paraId="6B990984" w14:textId="77777777" w:rsidR="00C66E38" w:rsidRDefault="00981AE8">
            <w:pPr>
              <w:spacing w:line="360" w:lineRule="auto"/>
              <w:jc w:val="both"/>
              <w:rPr>
                <w:rFonts w:ascii="Times New Roman" w:hAnsi="Times New Roman" w:cs="Times New Roman"/>
              </w:rPr>
            </w:pPr>
            <w:r>
              <w:rPr>
                <w:rFonts w:ascii="Times New Roman" w:hAnsi="Times New Roman" w:cs="Times New Roman"/>
              </w:rPr>
              <w:t>58,686</w:t>
            </w:r>
          </w:p>
        </w:tc>
        <w:tc>
          <w:tcPr>
            <w:tcW w:w="0" w:type="auto"/>
            <w:hideMark/>
          </w:tcPr>
          <w:p w14:paraId="690F0510" w14:textId="77777777" w:rsidR="00C66E38" w:rsidRDefault="00981AE8">
            <w:pPr>
              <w:spacing w:line="360" w:lineRule="auto"/>
              <w:jc w:val="both"/>
              <w:rPr>
                <w:rFonts w:ascii="Times New Roman" w:hAnsi="Times New Roman" w:cs="Times New Roman"/>
              </w:rPr>
            </w:pPr>
            <w:r>
              <w:rPr>
                <w:rFonts w:ascii="Times New Roman" w:hAnsi="Times New Roman" w:cs="Times New Roman"/>
              </w:rPr>
              <w:t>8</w:t>
            </w:r>
          </w:p>
        </w:tc>
        <w:tc>
          <w:tcPr>
            <w:tcW w:w="0" w:type="auto"/>
            <w:hideMark/>
          </w:tcPr>
          <w:p w14:paraId="00421740" w14:textId="77777777" w:rsidR="00C66E38" w:rsidRDefault="00981AE8">
            <w:pPr>
              <w:spacing w:line="360" w:lineRule="auto"/>
              <w:jc w:val="both"/>
              <w:rPr>
                <w:rFonts w:ascii="Times New Roman" w:hAnsi="Times New Roman" w:cs="Times New Roman"/>
              </w:rPr>
            </w:pPr>
            <w:r>
              <w:rPr>
                <w:rFonts w:ascii="Times New Roman" w:hAnsi="Times New Roman" w:cs="Times New Roman"/>
              </w:rPr>
              <w:t>11,863</w:t>
            </w:r>
          </w:p>
        </w:tc>
      </w:tr>
      <w:tr w:rsidR="00C66E38" w14:paraId="71A3D852" w14:textId="77777777" w:rsidTr="00C66E38">
        <w:tc>
          <w:tcPr>
            <w:tcW w:w="0" w:type="auto"/>
            <w:hideMark/>
          </w:tcPr>
          <w:p w14:paraId="67CC515F" w14:textId="77777777" w:rsidR="00C66E38" w:rsidRDefault="00981AE8">
            <w:pPr>
              <w:spacing w:line="360" w:lineRule="auto"/>
              <w:jc w:val="both"/>
              <w:rPr>
                <w:rFonts w:ascii="Times New Roman" w:hAnsi="Times New Roman" w:cs="Times New Roman"/>
              </w:rPr>
            </w:pPr>
            <w:r>
              <w:rPr>
                <w:rFonts w:ascii="Times New Roman" w:hAnsi="Times New Roman" w:cs="Times New Roman"/>
              </w:rPr>
              <w:t>Rivers West</w:t>
            </w:r>
          </w:p>
        </w:tc>
        <w:tc>
          <w:tcPr>
            <w:tcW w:w="0" w:type="auto"/>
            <w:hideMark/>
          </w:tcPr>
          <w:p w14:paraId="245AA715" w14:textId="77777777" w:rsidR="00C66E38" w:rsidRDefault="00981AE8">
            <w:pPr>
              <w:spacing w:line="360" w:lineRule="auto"/>
              <w:jc w:val="both"/>
              <w:rPr>
                <w:rFonts w:ascii="Times New Roman" w:hAnsi="Times New Roman" w:cs="Times New Roman"/>
              </w:rPr>
            </w:pPr>
            <w:r>
              <w:rPr>
                <w:rFonts w:ascii="Times New Roman" w:hAnsi="Times New Roman" w:cs="Times New Roman"/>
              </w:rPr>
              <w:t>10,882</w:t>
            </w:r>
          </w:p>
        </w:tc>
        <w:tc>
          <w:tcPr>
            <w:tcW w:w="0" w:type="auto"/>
            <w:hideMark/>
          </w:tcPr>
          <w:p w14:paraId="44C894AA" w14:textId="77777777" w:rsidR="00C66E38" w:rsidRDefault="00981AE8">
            <w:pPr>
              <w:spacing w:line="360" w:lineRule="auto"/>
              <w:jc w:val="both"/>
              <w:rPr>
                <w:rFonts w:ascii="Times New Roman" w:hAnsi="Times New Roman" w:cs="Times New Roman"/>
              </w:rPr>
            </w:pPr>
            <w:r>
              <w:rPr>
                <w:rFonts w:ascii="Times New Roman" w:hAnsi="Times New Roman" w:cs="Times New Roman"/>
              </w:rPr>
              <w:t>9.54%</w:t>
            </w:r>
          </w:p>
        </w:tc>
        <w:tc>
          <w:tcPr>
            <w:tcW w:w="0" w:type="auto"/>
            <w:hideMark/>
          </w:tcPr>
          <w:p w14:paraId="5DFC14E6" w14:textId="77777777" w:rsidR="00C66E38" w:rsidRDefault="00981AE8">
            <w:pPr>
              <w:spacing w:line="360" w:lineRule="auto"/>
              <w:jc w:val="both"/>
              <w:rPr>
                <w:rFonts w:ascii="Times New Roman" w:hAnsi="Times New Roman" w:cs="Times New Roman"/>
              </w:rPr>
            </w:pPr>
            <w:r>
              <w:rPr>
                <w:rFonts w:ascii="Times New Roman" w:hAnsi="Times New Roman" w:cs="Times New Roman"/>
              </w:rPr>
              <w:t>4,812</w:t>
            </w:r>
          </w:p>
        </w:tc>
        <w:tc>
          <w:tcPr>
            <w:tcW w:w="0" w:type="auto"/>
            <w:hideMark/>
          </w:tcPr>
          <w:p w14:paraId="2ABA9EE9" w14:textId="77777777" w:rsidR="00C66E38" w:rsidRDefault="00981AE8">
            <w:pPr>
              <w:spacing w:line="360" w:lineRule="auto"/>
              <w:jc w:val="both"/>
              <w:rPr>
                <w:rFonts w:ascii="Times New Roman" w:hAnsi="Times New Roman" w:cs="Times New Roman"/>
              </w:rPr>
            </w:pPr>
            <w:r>
              <w:rPr>
                <w:rFonts w:ascii="Times New Roman" w:hAnsi="Times New Roman" w:cs="Times New Roman"/>
              </w:rPr>
              <w:t>6,070</w:t>
            </w:r>
          </w:p>
        </w:tc>
        <w:tc>
          <w:tcPr>
            <w:tcW w:w="0" w:type="auto"/>
            <w:hideMark/>
          </w:tcPr>
          <w:p w14:paraId="546F24F0" w14:textId="77777777" w:rsidR="00C66E38" w:rsidRDefault="00981AE8">
            <w:pPr>
              <w:spacing w:line="360" w:lineRule="auto"/>
              <w:jc w:val="both"/>
              <w:rPr>
                <w:rFonts w:ascii="Times New Roman" w:hAnsi="Times New Roman" w:cs="Times New Roman"/>
              </w:rPr>
            </w:pPr>
            <w:r>
              <w:rPr>
                <w:rFonts w:ascii="Times New Roman" w:hAnsi="Times New Roman" w:cs="Times New Roman"/>
              </w:rPr>
              <w:t>8</w:t>
            </w:r>
          </w:p>
        </w:tc>
        <w:tc>
          <w:tcPr>
            <w:tcW w:w="0" w:type="auto"/>
            <w:hideMark/>
          </w:tcPr>
          <w:p w14:paraId="46E8F24A" w14:textId="77777777" w:rsidR="00C66E38" w:rsidRDefault="00981AE8">
            <w:pPr>
              <w:spacing w:line="360" w:lineRule="auto"/>
              <w:jc w:val="both"/>
              <w:rPr>
                <w:rFonts w:ascii="Times New Roman" w:hAnsi="Times New Roman" w:cs="Times New Roman"/>
              </w:rPr>
            </w:pPr>
            <w:r>
              <w:rPr>
                <w:rFonts w:ascii="Times New Roman" w:hAnsi="Times New Roman" w:cs="Times New Roman"/>
              </w:rPr>
              <w:t>1,555</w:t>
            </w:r>
          </w:p>
        </w:tc>
      </w:tr>
      <w:tr w:rsidR="00C66E38" w14:paraId="0281488F" w14:textId="77777777" w:rsidTr="00C66E38">
        <w:tc>
          <w:tcPr>
            <w:tcW w:w="0" w:type="auto"/>
            <w:hideMark/>
          </w:tcPr>
          <w:p w14:paraId="35AEC105" w14:textId="77777777" w:rsidR="00C66E38" w:rsidRDefault="00981AE8">
            <w:pPr>
              <w:spacing w:line="360" w:lineRule="auto"/>
              <w:jc w:val="both"/>
              <w:rPr>
                <w:rFonts w:ascii="Times New Roman" w:hAnsi="Times New Roman" w:cs="Times New Roman"/>
              </w:rPr>
            </w:pPr>
            <w:r>
              <w:rPr>
                <w:rFonts w:ascii="Times New Roman" w:hAnsi="Times New Roman" w:cs="Times New Roman"/>
              </w:rPr>
              <w:t>Rivers South-East</w:t>
            </w:r>
          </w:p>
        </w:tc>
        <w:tc>
          <w:tcPr>
            <w:tcW w:w="0" w:type="auto"/>
            <w:hideMark/>
          </w:tcPr>
          <w:p w14:paraId="0C2FA0C8" w14:textId="77777777" w:rsidR="00C66E38" w:rsidRDefault="00981AE8">
            <w:pPr>
              <w:spacing w:line="360" w:lineRule="auto"/>
              <w:jc w:val="both"/>
              <w:rPr>
                <w:rFonts w:ascii="Times New Roman" w:hAnsi="Times New Roman" w:cs="Times New Roman"/>
              </w:rPr>
            </w:pPr>
            <w:r>
              <w:rPr>
                <w:rFonts w:ascii="Times New Roman" w:hAnsi="Times New Roman" w:cs="Times New Roman"/>
              </w:rPr>
              <w:t>8,329</w:t>
            </w:r>
          </w:p>
        </w:tc>
        <w:tc>
          <w:tcPr>
            <w:tcW w:w="0" w:type="auto"/>
            <w:hideMark/>
          </w:tcPr>
          <w:p w14:paraId="1A37C278" w14:textId="77777777" w:rsidR="00C66E38" w:rsidRDefault="00981AE8">
            <w:pPr>
              <w:spacing w:line="360" w:lineRule="auto"/>
              <w:jc w:val="both"/>
              <w:rPr>
                <w:rFonts w:ascii="Times New Roman" w:hAnsi="Times New Roman" w:cs="Times New Roman"/>
              </w:rPr>
            </w:pPr>
            <w:r>
              <w:rPr>
                <w:rFonts w:ascii="Times New Roman" w:hAnsi="Times New Roman" w:cs="Times New Roman"/>
              </w:rPr>
              <w:t>7.30%</w:t>
            </w:r>
          </w:p>
        </w:tc>
        <w:tc>
          <w:tcPr>
            <w:tcW w:w="0" w:type="auto"/>
            <w:hideMark/>
          </w:tcPr>
          <w:p w14:paraId="682C36B4" w14:textId="77777777" w:rsidR="00C66E38" w:rsidRDefault="00981AE8">
            <w:pPr>
              <w:spacing w:line="360" w:lineRule="auto"/>
              <w:jc w:val="both"/>
              <w:rPr>
                <w:rFonts w:ascii="Times New Roman" w:hAnsi="Times New Roman" w:cs="Times New Roman"/>
              </w:rPr>
            </w:pPr>
            <w:r>
              <w:rPr>
                <w:rFonts w:ascii="Times New Roman" w:hAnsi="Times New Roman" w:cs="Times New Roman"/>
              </w:rPr>
              <w:t>3,512</w:t>
            </w:r>
          </w:p>
        </w:tc>
        <w:tc>
          <w:tcPr>
            <w:tcW w:w="0" w:type="auto"/>
            <w:hideMark/>
          </w:tcPr>
          <w:p w14:paraId="033B91AD" w14:textId="77777777" w:rsidR="00C66E38" w:rsidRDefault="00981AE8">
            <w:pPr>
              <w:spacing w:line="360" w:lineRule="auto"/>
              <w:jc w:val="both"/>
              <w:rPr>
                <w:rFonts w:ascii="Times New Roman" w:hAnsi="Times New Roman" w:cs="Times New Roman"/>
              </w:rPr>
            </w:pPr>
            <w:r>
              <w:rPr>
                <w:rFonts w:ascii="Times New Roman" w:hAnsi="Times New Roman" w:cs="Times New Roman"/>
              </w:rPr>
              <w:t>4,817</w:t>
            </w:r>
          </w:p>
        </w:tc>
        <w:tc>
          <w:tcPr>
            <w:tcW w:w="0" w:type="auto"/>
            <w:hideMark/>
          </w:tcPr>
          <w:p w14:paraId="1F505E1C" w14:textId="77777777" w:rsidR="00C66E38" w:rsidRDefault="00981AE8">
            <w:pPr>
              <w:spacing w:line="360" w:lineRule="auto"/>
              <w:jc w:val="both"/>
              <w:rPr>
                <w:rFonts w:ascii="Times New Roman" w:hAnsi="Times New Roman" w:cs="Times New Roman"/>
              </w:rPr>
            </w:pPr>
            <w:r>
              <w:rPr>
                <w:rFonts w:ascii="Times New Roman" w:hAnsi="Times New Roman" w:cs="Times New Roman"/>
              </w:rPr>
              <w:t>7</w:t>
            </w:r>
          </w:p>
        </w:tc>
        <w:tc>
          <w:tcPr>
            <w:tcW w:w="0" w:type="auto"/>
            <w:hideMark/>
          </w:tcPr>
          <w:p w14:paraId="69371DDB" w14:textId="77777777" w:rsidR="00C66E38" w:rsidRDefault="00981AE8">
            <w:pPr>
              <w:spacing w:line="360" w:lineRule="auto"/>
              <w:jc w:val="both"/>
              <w:rPr>
                <w:rFonts w:ascii="Times New Roman" w:hAnsi="Times New Roman" w:cs="Times New Roman"/>
              </w:rPr>
            </w:pPr>
            <w:r>
              <w:rPr>
                <w:rFonts w:ascii="Times New Roman" w:hAnsi="Times New Roman" w:cs="Times New Roman"/>
              </w:rPr>
              <w:t>1,041</w:t>
            </w:r>
          </w:p>
        </w:tc>
      </w:tr>
    </w:tbl>
    <w:p w14:paraId="6E4934DB" w14:textId="34CCF684" w:rsidR="00512AA6" w:rsidRPr="00512AA6" w:rsidRDefault="0098511F" w:rsidP="00512AA6">
      <w:pPr>
        <w:spacing w:after="0" w:line="240" w:lineRule="auto"/>
        <w:jc w:val="both"/>
        <w:rPr>
          <w:rFonts w:ascii="Times New Roman" w:hAnsi="Times New Roman" w:cs="Times New Roman"/>
          <w:b/>
          <w:bCs/>
        </w:rPr>
      </w:pPr>
      <w:r>
        <w:rPr>
          <w:rFonts w:ascii="Times New Roman" w:hAnsi="Times New Roman" w:cs="Times New Roman"/>
          <w:b/>
          <w:bCs/>
        </w:rPr>
        <w:t>Table 2</w:t>
      </w:r>
      <w:r w:rsidR="006C1287" w:rsidRPr="00512AA6">
        <w:rPr>
          <w:rFonts w:ascii="Times New Roman" w:hAnsi="Times New Roman" w:cs="Times New Roman"/>
          <w:b/>
          <w:bCs/>
        </w:rPr>
        <w:t>-</w:t>
      </w:r>
      <w:r w:rsidR="00512AA6" w:rsidRPr="00512AA6">
        <w:rPr>
          <w:rFonts w:ascii="Times New Roman" w:hAnsi="Times New Roman" w:cs="Times New Roman"/>
          <w:b/>
          <w:bCs/>
        </w:rPr>
        <w:t xml:space="preserve">   Senatorial District Performance</w:t>
      </w:r>
      <w:r w:rsidR="00512AA6">
        <w:rPr>
          <w:rFonts w:ascii="Times New Roman" w:hAnsi="Times New Roman" w:cs="Times New Roman"/>
          <w:b/>
          <w:bCs/>
        </w:rPr>
        <w:t xml:space="preserve"> Analysis</w:t>
      </w:r>
    </w:p>
    <w:p w14:paraId="34C93BF0" w14:textId="097DA667" w:rsidR="00C66E38" w:rsidRDefault="00C66E38">
      <w:pPr>
        <w:spacing w:after="0" w:line="240" w:lineRule="auto"/>
        <w:jc w:val="both"/>
        <w:rPr>
          <w:rFonts w:ascii="Times New Roman" w:hAnsi="Times New Roman" w:cs="Times New Roman"/>
          <w:b/>
          <w:bCs/>
        </w:rPr>
      </w:pPr>
    </w:p>
    <w:p w14:paraId="002FCBA5" w14:textId="3D05CC64" w:rsidR="00E266E8" w:rsidRPr="00E266E8" w:rsidRDefault="00E266E8" w:rsidP="00E266E8">
      <w:pPr>
        <w:spacing w:after="0" w:line="240" w:lineRule="auto"/>
        <w:jc w:val="both"/>
        <w:rPr>
          <w:rFonts w:ascii="Times New Roman" w:hAnsi="Times New Roman" w:cs="Times New Roman"/>
          <w:b/>
          <w:bCs/>
          <w:lang w:val="en-US"/>
        </w:rPr>
      </w:pPr>
      <w:r w:rsidRPr="00E266E8">
        <w:rPr>
          <w:rFonts w:ascii="Times New Roman" w:hAnsi="Times New Roman" w:cs="Times New Roman"/>
          <w:b/>
          <w:bCs/>
          <w:noProof/>
          <w:lang w:val="en-US"/>
        </w:rPr>
        <w:lastRenderedPageBreak/>
        <w:drawing>
          <wp:inline distT="0" distB="0" distL="0" distR="0" wp14:anchorId="2116BBD0" wp14:editId="6AE406E4">
            <wp:extent cx="5731510" cy="2456180"/>
            <wp:effectExtent l="0" t="0" r="2540" b="1270"/>
            <wp:docPr id="14368121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2456180"/>
                    </a:xfrm>
                    <a:prstGeom prst="rect">
                      <a:avLst/>
                    </a:prstGeom>
                    <a:noFill/>
                    <a:ln>
                      <a:noFill/>
                    </a:ln>
                  </pic:spPr>
                </pic:pic>
              </a:graphicData>
            </a:graphic>
          </wp:inline>
        </w:drawing>
      </w:r>
    </w:p>
    <w:p w14:paraId="7E0C1632" w14:textId="77777777" w:rsidR="00E266E8" w:rsidRDefault="00E266E8">
      <w:pPr>
        <w:spacing w:after="0" w:line="240" w:lineRule="auto"/>
        <w:jc w:val="both"/>
        <w:rPr>
          <w:rFonts w:ascii="Times New Roman" w:hAnsi="Times New Roman" w:cs="Times New Roman"/>
          <w:b/>
          <w:bCs/>
        </w:rPr>
      </w:pPr>
    </w:p>
    <w:p w14:paraId="270D438D" w14:textId="682211A7" w:rsidR="00C66E38" w:rsidRDefault="00981AE8">
      <w:pPr>
        <w:spacing w:after="0" w:line="240" w:lineRule="auto"/>
        <w:jc w:val="both"/>
        <w:rPr>
          <w:rFonts w:ascii="Times New Roman" w:hAnsi="Times New Roman" w:cs="Times New Roman"/>
          <w:b/>
          <w:bCs/>
        </w:rPr>
      </w:pPr>
      <w:r>
        <w:rPr>
          <w:rFonts w:ascii="Times New Roman" w:hAnsi="Times New Roman" w:cs="Times New Roman"/>
          <w:b/>
          <w:bCs/>
        </w:rPr>
        <w:t>Figure 3: Total Enrolment by Senatorial district</w:t>
      </w:r>
    </w:p>
    <w:p w14:paraId="42E54F24" w14:textId="77777777" w:rsidR="00C66E38" w:rsidRDefault="00C66E38">
      <w:pPr>
        <w:spacing w:after="0" w:line="240" w:lineRule="auto"/>
        <w:jc w:val="both"/>
        <w:rPr>
          <w:rFonts w:ascii="Times New Roman" w:hAnsi="Times New Roman" w:cs="Times New Roman"/>
        </w:rPr>
      </w:pPr>
    </w:p>
    <w:p w14:paraId="66ADA9B3" w14:textId="747BEA85" w:rsidR="00C66E38" w:rsidRDefault="00981AE8">
      <w:pPr>
        <w:spacing w:after="0" w:line="240" w:lineRule="auto"/>
        <w:jc w:val="both"/>
        <w:rPr>
          <w:rFonts w:ascii="Times New Roman" w:hAnsi="Times New Roman" w:cs="Times New Roman"/>
        </w:rPr>
      </w:pPr>
      <w:r>
        <w:rPr>
          <w:rFonts w:ascii="Times New Roman" w:hAnsi="Times New Roman" w:cs="Times New Roman"/>
        </w:rPr>
        <w:t>The senatorial district analysis reveals stark geographic inequalities in program reach. Rivers East Senatorial District dominates enrolment with 94,900 enrolees (83.16%), while Rivers West and Rivers South-East account for only 9.54% and 7.30% respectively.</w:t>
      </w:r>
    </w:p>
    <w:p w14:paraId="2F541E28" w14:textId="77777777" w:rsidR="00C66E38" w:rsidRDefault="00981AE8">
      <w:pPr>
        <w:spacing w:after="0" w:line="240" w:lineRule="auto"/>
        <w:jc w:val="both"/>
        <w:rPr>
          <w:rFonts w:ascii="Times New Roman" w:hAnsi="Times New Roman" w:cs="Times New Roman"/>
        </w:rPr>
      </w:pPr>
      <w:r>
        <w:rPr>
          <w:rFonts w:ascii="Times New Roman" w:hAnsi="Times New Roman" w:cs="Times New Roman"/>
        </w:rPr>
        <w:t>Rivers East's average enrolment per LGA is 11,863, which is 7.6 times higher than Rivers West (1,555 per LGA) and 11.4 times higher than Rivers South-East (1,041 per LGA). This massive disparity likely reflects the concentration of health infrastructure and population density in urban areas of Rivers East, particularly in Port Harcourt and Obio/Akpor LGAs, which are the state's major urban centres. The geographic and possibly socioeconomic barriers in the more rural and riverine areas of Rivers West and South-East may be limiting program access.</w:t>
      </w:r>
    </w:p>
    <w:p w14:paraId="4915AE1C" w14:textId="77777777" w:rsidR="00C66E38" w:rsidRDefault="00981AE8">
      <w:pPr>
        <w:spacing w:after="0" w:line="240" w:lineRule="auto"/>
        <w:rPr>
          <w:rFonts w:ascii="Times New Roman" w:hAnsi="Times New Roman" w:cs="Times New Roman"/>
          <w:b/>
          <w:bCs/>
        </w:rPr>
      </w:pPr>
      <w:r>
        <w:rPr>
          <w:rFonts w:ascii="Times New Roman" w:hAnsi="Times New Roman" w:cs="Times New Roman"/>
          <w:b/>
          <w:bCs/>
        </w:rPr>
        <w:br w:type="page"/>
      </w:r>
    </w:p>
    <w:p w14:paraId="5FC5503F" w14:textId="77777777" w:rsidR="00C66E38" w:rsidRDefault="00981AE8">
      <w:pPr>
        <w:spacing w:after="0" w:line="240" w:lineRule="auto"/>
        <w:jc w:val="both"/>
        <w:rPr>
          <w:rFonts w:ascii="Times New Roman" w:hAnsi="Times New Roman" w:cs="Times New Roman"/>
          <w:b/>
          <w:bCs/>
        </w:rPr>
      </w:pPr>
      <w:r>
        <w:rPr>
          <w:rFonts w:ascii="Times New Roman" w:hAnsi="Times New Roman" w:cs="Times New Roman"/>
          <w:b/>
          <w:bCs/>
        </w:rPr>
        <w:lastRenderedPageBreak/>
        <w:t xml:space="preserve">1.4 </w:t>
      </w:r>
      <w:r>
        <w:rPr>
          <w:rFonts w:ascii="Times New Roman" w:hAnsi="Times New Roman" w:cs="Times New Roman"/>
          <w:b/>
          <w:bCs/>
        </w:rPr>
        <w:tab/>
        <w:t>Quarterly Trends by Senatorial District</w:t>
      </w:r>
    </w:p>
    <w:p w14:paraId="2FA46631" w14:textId="78812B84" w:rsidR="00C66E38" w:rsidRDefault="00C66E38">
      <w:pPr>
        <w:spacing w:after="0" w:line="240" w:lineRule="auto"/>
        <w:jc w:val="both"/>
        <w:rPr>
          <w:rFonts w:ascii="Times New Roman" w:hAnsi="Times New Roman" w:cs="Times New Roman"/>
          <w:b/>
          <w:bCs/>
        </w:rPr>
      </w:pPr>
    </w:p>
    <w:p w14:paraId="1AA4E06B" w14:textId="331661F1" w:rsidR="003546A0" w:rsidRPr="003546A0" w:rsidRDefault="003F5B13" w:rsidP="003546A0">
      <w:pPr>
        <w:spacing w:after="0" w:line="240" w:lineRule="auto"/>
        <w:jc w:val="both"/>
        <w:rPr>
          <w:rFonts w:ascii="Times New Roman" w:hAnsi="Times New Roman" w:cs="Times New Roman"/>
          <w:b/>
          <w:bCs/>
          <w:lang w:val="en-US"/>
        </w:rPr>
      </w:pPr>
      <w:r w:rsidRPr="003F5B13">
        <w:rPr>
          <w:rFonts w:ascii="Times New Roman" w:hAnsi="Times New Roman" w:cs="Times New Roman"/>
          <w:b/>
          <w:bCs/>
          <w:noProof/>
          <w:lang w:val="en-US"/>
        </w:rPr>
        <w:drawing>
          <wp:inline distT="0" distB="0" distL="0" distR="0" wp14:anchorId="1345E8CA" wp14:editId="5DA8CFE8">
            <wp:extent cx="5067300" cy="3195404"/>
            <wp:effectExtent l="0" t="0" r="0" b="5080"/>
            <wp:docPr id="1808304441" name="Picture 4" descr="A graph with lin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304441" name="Picture 4" descr="A graph with lines and number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02584" cy="3217654"/>
                    </a:xfrm>
                    <a:prstGeom prst="rect">
                      <a:avLst/>
                    </a:prstGeom>
                    <a:noFill/>
                    <a:ln>
                      <a:noFill/>
                    </a:ln>
                  </pic:spPr>
                </pic:pic>
              </a:graphicData>
            </a:graphic>
          </wp:inline>
        </w:drawing>
      </w:r>
    </w:p>
    <w:p w14:paraId="20AEECDF" w14:textId="77777777" w:rsidR="003546A0" w:rsidRDefault="003546A0">
      <w:pPr>
        <w:spacing w:after="0" w:line="240" w:lineRule="auto"/>
        <w:jc w:val="both"/>
        <w:rPr>
          <w:rFonts w:ascii="Times New Roman" w:hAnsi="Times New Roman" w:cs="Times New Roman"/>
          <w:b/>
          <w:bCs/>
        </w:rPr>
      </w:pPr>
    </w:p>
    <w:p w14:paraId="50F12F74" w14:textId="77777777" w:rsidR="00C66E38" w:rsidRDefault="00981AE8">
      <w:pPr>
        <w:spacing w:after="0" w:line="240" w:lineRule="auto"/>
        <w:jc w:val="both"/>
        <w:rPr>
          <w:rFonts w:ascii="Times New Roman" w:hAnsi="Times New Roman" w:cs="Times New Roman"/>
          <w:b/>
          <w:bCs/>
        </w:rPr>
      </w:pPr>
      <w:r>
        <w:rPr>
          <w:rFonts w:ascii="Times New Roman" w:hAnsi="Times New Roman" w:cs="Times New Roman"/>
          <w:b/>
          <w:bCs/>
        </w:rPr>
        <w:t xml:space="preserve">Figure 4: Enrolment Trends by Senatorial District </w:t>
      </w:r>
    </w:p>
    <w:p w14:paraId="4FB6642F" w14:textId="77777777" w:rsidR="00C66E38" w:rsidRDefault="00C66E38">
      <w:pPr>
        <w:spacing w:after="0" w:line="240" w:lineRule="auto"/>
        <w:jc w:val="both"/>
        <w:rPr>
          <w:rFonts w:ascii="Times New Roman" w:hAnsi="Times New Roman" w:cs="Times New Roman"/>
          <w:b/>
          <w:bCs/>
        </w:rPr>
      </w:pPr>
    </w:p>
    <w:tbl>
      <w:tblPr>
        <w:tblStyle w:val="PlainTable21"/>
        <w:tblW w:w="9046" w:type="dxa"/>
        <w:tblLook w:val="0620" w:firstRow="1" w:lastRow="0" w:firstColumn="0" w:lastColumn="0" w:noHBand="1" w:noVBand="1"/>
      </w:tblPr>
      <w:tblGrid>
        <w:gridCol w:w="1306"/>
        <w:gridCol w:w="1972"/>
        <w:gridCol w:w="2120"/>
        <w:gridCol w:w="2566"/>
        <w:gridCol w:w="1082"/>
      </w:tblGrid>
      <w:tr w:rsidR="00C66E38" w14:paraId="31241A78" w14:textId="77777777" w:rsidTr="00C66E38">
        <w:trPr>
          <w:cnfStyle w:val="100000000000" w:firstRow="1" w:lastRow="0" w:firstColumn="0" w:lastColumn="0" w:oddVBand="0" w:evenVBand="0" w:oddHBand="0" w:evenHBand="0" w:firstRowFirstColumn="0" w:firstRowLastColumn="0" w:lastRowFirstColumn="0" w:lastRowLastColumn="0"/>
          <w:trHeight w:val="271"/>
        </w:trPr>
        <w:tc>
          <w:tcPr>
            <w:tcW w:w="0" w:type="auto"/>
            <w:hideMark/>
          </w:tcPr>
          <w:p w14:paraId="232E4042" w14:textId="77777777" w:rsidR="00C66E38" w:rsidRDefault="00981AE8">
            <w:pPr>
              <w:spacing w:line="360" w:lineRule="auto"/>
              <w:jc w:val="both"/>
              <w:rPr>
                <w:rFonts w:ascii="Times New Roman" w:hAnsi="Times New Roman" w:cs="Times New Roman"/>
              </w:rPr>
            </w:pPr>
            <w:r>
              <w:rPr>
                <w:rFonts w:ascii="Times New Roman" w:hAnsi="Times New Roman" w:cs="Times New Roman"/>
              </w:rPr>
              <w:t>Quarter</w:t>
            </w:r>
          </w:p>
        </w:tc>
        <w:tc>
          <w:tcPr>
            <w:tcW w:w="0" w:type="auto"/>
            <w:hideMark/>
          </w:tcPr>
          <w:p w14:paraId="4063EE02" w14:textId="77777777" w:rsidR="00C66E38" w:rsidRDefault="00981AE8">
            <w:pPr>
              <w:spacing w:line="360" w:lineRule="auto"/>
              <w:jc w:val="both"/>
              <w:rPr>
                <w:rFonts w:ascii="Times New Roman" w:hAnsi="Times New Roman" w:cs="Times New Roman"/>
              </w:rPr>
            </w:pPr>
            <w:r>
              <w:rPr>
                <w:rFonts w:ascii="Times New Roman" w:hAnsi="Times New Roman" w:cs="Times New Roman"/>
              </w:rPr>
              <w:t>Rivers West</w:t>
            </w:r>
          </w:p>
        </w:tc>
        <w:tc>
          <w:tcPr>
            <w:tcW w:w="0" w:type="auto"/>
            <w:hideMark/>
          </w:tcPr>
          <w:p w14:paraId="54AE87E2" w14:textId="77777777" w:rsidR="00C66E38" w:rsidRDefault="00981AE8">
            <w:pPr>
              <w:spacing w:line="360" w:lineRule="auto"/>
              <w:jc w:val="both"/>
              <w:rPr>
                <w:rFonts w:ascii="Times New Roman" w:hAnsi="Times New Roman" w:cs="Times New Roman"/>
              </w:rPr>
            </w:pPr>
            <w:r>
              <w:rPr>
                <w:rFonts w:ascii="Times New Roman" w:hAnsi="Times New Roman" w:cs="Times New Roman"/>
              </w:rPr>
              <w:t>Rivers East</w:t>
            </w:r>
          </w:p>
        </w:tc>
        <w:tc>
          <w:tcPr>
            <w:tcW w:w="0" w:type="auto"/>
            <w:hideMark/>
          </w:tcPr>
          <w:p w14:paraId="469FDC0B" w14:textId="77777777" w:rsidR="00C66E38" w:rsidRDefault="00981AE8">
            <w:pPr>
              <w:spacing w:line="360" w:lineRule="auto"/>
              <w:jc w:val="both"/>
              <w:rPr>
                <w:rFonts w:ascii="Times New Roman" w:hAnsi="Times New Roman" w:cs="Times New Roman"/>
              </w:rPr>
            </w:pPr>
            <w:r>
              <w:rPr>
                <w:rFonts w:ascii="Times New Roman" w:hAnsi="Times New Roman" w:cs="Times New Roman"/>
              </w:rPr>
              <w:t>Rivers South-East</w:t>
            </w:r>
          </w:p>
        </w:tc>
        <w:tc>
          <w:tcPr>
            <w:tcW w:w="0" w:type="auto"/>
            <w:hideMark/>
          </w:tcPr>
          <w:p w14:paraId="7DC95DE5" w14:textId="77777777" w:rsidR="00C66E38" w:rsidRDefault="00981AE8">
            <w:pPr>
              <w:spacing w:line="360" w:lineRule="auto"/>
              <w:jc w:val="both"/>
              <w:rPr>
                <w:rFonts w:ascii="Times New Roman" w:hAnsi="Times New Roman" w:cs="Times New Roman"/>
              </w:rPr>
            </w:pPr>
            <w:r>
              <w:rPr>
                <w:rFonts w:ascii="Times New Roman" w:hAnsi="Times New Roman" w:cs="Times New Roman"/>
              </w:rPr>
              <w:t>Total</w:t>
            </w:r>
          </w:p>
        </w:tc>
      </w:tr>
      <w:tr w:rsidR="00C66E38" w14:paraId="7B5977B9" w14:textId="77777777" w:rsidTr="00C66E38">
        <w:trPr>
          <w:trHeight w:val="271"/>
        </w:trPr>
        <w:tc>
          <w:tcPr>
            <w:tcW w:w="0" w:type="auto"/>
            <w:hideMark/>
          </w:tcPr>
          <w:p w14:paraId="5118463C" w14:textId="77777777" w:rsidR="00C66E38" w:rsidRDefault="00981AE8">
            <w:pPr>
              <w:spacing w:line="360" w:lineRule="auto"/>
              <w:jc w:val="both"/>
              <w:rPr>
                <w:rFonts w:ascii="Times New Roman" w:hAnsi="Times New Roman" w:cs="Times New Roman"/>
              </w:rPr>
            </w:pPr>
            <w:r>
              <w:rPr>
                <w:rFonts w:ascii="Times New Roman" w:hAnsi="Times New Roman" w:cs="Times New Roman"/>
              </w:rPr>
              <w:t>2024 Q2</w:t>
            </w:r>
          </w:p>
        </w:tc>
        <w:tc>
          <w:tcPr>
            <w:tcW w:w="0" w:type="auto"/>
            <w:hideMark/>
          </w:tcPr>
          <w:p w14:paraId="2B4B4111" w14:textId="77777777" w:rsidR="00C66E38" w:rsidRDefault="00981AE8">
            <w:pPr>
              <w:spacing w:line="360" w:lineRule="auto"/>
              <w:jc w:val="both"/>
              <w:rPr>
                <w:rFonts w:ascii="Times New Roman" w:hAnsi="Times New Roman" w:cs="Times New Roman"/>
              </w:rPr>
            </w:pPr>
            <w:r>
              <w:rPr>
                <w:rFonts w:ascii="Times New Roman" w:hAnsi="Times New Roman" w:cs="Times New Roman"/>
              </w:rPr>
              <w:t>312 (9.1%)</w:t>
            </w:r>
          </w:p>
        </w:tc>
        <w:tc>
          <w:tcPr>
            <w:tcW w:w="0" w:type="auto"/>
            <w:hideMark/>
          </w:tcPr>
          <w:p w14:paraId="010BF7C8" w14:textId="77777777" w:rsidR="00C66E38" w:rsidRDefault="00981AE8">
            <w:pPr>
              <w:spacing w:line="360" w:lineRule="auto"/>
              <w:jc w:val="both"/>
              <w:rPr>
                <w:rFonts w:ascii="Times New Roman" w:hAnsi="Times New Roman" w:cs="Times New Roman"/>
              </w:rPr>
            </w:pPr>
            <w:r>
              <w:rPr>
                <w:rFonts w:ascii="Times New Roman" w:hAnsi="Times New Roman" w:cs="Times New Roman"/>
              </w:rPr>
              <w:t>2,845 (82.8%)</w:t>
            </w:r>
          </w:p>
        </w:tc>
        <w:tc>
          <w:tcPr>
            <w:tcW w:w="0" w:type="auto"/>
            <w:hideMark/>
          </w:tcPr>
          <w:p w14:paraId="432D5586" w14:textId="77777777" w:rsidR="00C66E38" w:rsidRDefault="00981AE8">
            <w:pPr>
              <w:spacing w:line="360" w:lineRule="auto"/>
              <w:jc w:val="both"/>
              <w:rPr>
                <w:rFonts w:ascii="Times New Roman" w:hAnsi="Times New Roman" w:cs="Times New Roman"/>
              </w:rPr>
            </w:pPr>
            <w:r>
              <w:rPr>
                <w:rFonts w:ascii="Times New Roman" w:hAnsi="Times New Roman" w:cs="Times New Roman"/>
              </w:rPr>
              <w:t>280 (8.1%)</w:t>
            </w:r>
          </w:p>
        </w:tc>
        <w:tc>
          <w:tcPr>
            <w:tcW w:w="0" w:type="auto"/>
            <w:hideMark/>
          </w:tcPr>
          <w:p w14:paraId="3D36D36B" w14:textId="77777777" w:rsidR="00C66E38" w:rsidRDefault="00981AE8">
            <w:pPr>
              <w:spacing w:line="360" w:lineRule="auto"/>
              <w:jc w:val="both"/>
              <w:rPr>
                <w:rFonts w:ascii="Times New Roman" w:hAnsi="Times New Roman" w:cs="Times New Roman"/>
              </w:rPr>
            </w:pPr>
            <w:r>
              <w:rPr>
                <w:rFonts w:ascii="Times New Roman" w:hAnsi="Times New Roman" w:cs="Times New Roman"/>
              </w:rPr>
              <w:t>3,437</w:t>
            </w:r>
          </w:p>
        </w:tc>
      </w:tr>
      <w:tr w:rsidR="00C66E38" w14:paraId="34D0E4B0" w14:textId="77777777" w:rsidTr="00C66E38">
        <w:trPr>
          <w:trHeight w:val="280"/>
        </w:trPr>
        <w:tc>
          <w:tcPr>
            <w:tcW w:w="0" w:type="auto"/>
            <w:hideMark/>
          </w:tcPr>
          <w:p w14:paraId="3252FBD4" w14:textId="77777777" w:rsidR="00C66E38" w:rsidRDefault="00981AE8">
            <w:pPr>
              <w:spacing w:line="360" w:lineRule="auto"/>
              <w:jc w:val="both"/>
              <w:rPr>
                <w:rFonts w:ascii="Times New Roman" w:hAnsi="Times New Roman" w:cs="Times New Roman"/>
              </w:rPr>
            </w:pPr>
            <w:r>
              <w:rPr>
                <w:rFonts w:ascii="Times New Roman" w:hAnsi="Times New Roman" w:cs="Times New Roman"/>
              </w:rPr>
              <w:t>2024 Q3</w:t>
            </w:r>
          </w:p>
        </w:tc>
        <w:tc>
          <w:tcPr>
            <w:tcW w:w="0" w:type="auto"/>
            <w:hideMark/>
          </w:tcPr>
          <w:p w14:paraId="3493C52A" w14:textId="77777777" w:rsidR="00C66E38" w:rsidRDefault="00981AE8">
            <w:pPr>
              <w:spacing w:line="360" w:lineRule="auto"/>
              <w:jc w:val="both"/>
              <w:rPr>
                <w:rFonts w:ascii="Times New Roman" w:hAnsi="Times New Roman" w:cs="Times New Roman"/>
              </w:rPr>
            </w:pPr>
            <w:r>
              <w:rPr>
                <w:rFonts w:ascii="Times New Roman" w:hAnsi="Times New Roman" w:cs="Times New Roman"/>
              </w:rPr>
              <w:t>3,210 (8.8%)</w:t>
            </w:r>
          </w:p>
        </w:tc>
        <w:tc>
          <w:tcPr>
            <w:tcW w:w="0" w:type="auto"/>
            <w:hideMark/>
          </w:tcPr>
          <w:p w14:paraId="23FFAB3C" w14:textId="77777777" w:rsidR="00C66E38" w:rsidRDefault="00981AE8">
            <w:pPr>
              <w:spacing w:line="360" w:lineRule="auto"/>
              <w:jc w:val="both"/>
              <w:rPr>
                <w:rFonts w:ascii="Times New Roman" w:hAnsi="Times New Roman" w:cs="Times New Roman"/>
              </w:rPr>
            </w:pPr>
            <w:r>
              <w:rPr>
                <w:rFonts w:ascii="Times New Roman" w:hAnsi="Times New Roman" w:cs="Times New Roman"/>
              </w:rPr>
              <w:t>30,156 (82.7%)</w:t>
            </w:r>
          </w:p>
        </w:tc>
        <w:tc>
          <w:tcPr>
            <w:tcW w:w="0" w:type="auto"/>
            <w:hideMark/>
          </w:tcPr>
          <w:p w14:paraId="2258E182" w14:textId="77777777" w:rsidR="00C66E38" w:rsidRDefault="00981AE8">
            <w:pPr>
              <w:spacing w:line="360" w:lineRule="auto"/>
              <w:jc w:val="both"/>
              <w:rPr>
                <w:rFonts w:ascii="Times New Roman" w:hAnsi="Times New Roman" w:cs="Times New Roman"/>
              </w:rPr>
            </w:pPr>
            <w:r>
              <w:rPr>
                <w:rFonts w:ascii="Times New Roman" w:hAnsi="Times New Roman" w:cs="Times New Roman"/>
              </w:rPr>
              <w:t>3,117 (8.5%)</w:t>
            </w:r>
          </w:p>
        </w:tc>
        <w:tc>
          <w:tcPr>
            <w:tcW w:w="0" w:type="auto"/>
            <w:hideMark/>
          </w:tcPr>
          <w:p w14:paraId="46D0015B" w14:textId="77777777" w:rsidR="00C66E38" w:rsidRDefault="00981AE8">
            <w:pPr>
              <w:spacing w:line="360" w:lineRule="auto"/>
              <w:jc w:val="both"/>
              <w:rPr>
                <w:rFonts w:ascii="Times New Roman" w:hAnsi="Times New Roman" w:cs="Times New Roman"/>
              </w:rPr>
            </w:pPr>
            <w:r>
              <w:rPr>
                <w:rFonts w:ascii="Times New Roman" w:hAnsi="Times New Roman" w:cs="Times New Roman"/>
              </w:rPr>
              <w:t>36,483</w:t>
            </w:r>
          </w:p>
        </w:tc>
      </w:tr>
      <w:tr w:rsidR="00C66E38" w14:paraId="3D6D45F3" w14:textId="77777777" w:rsidTr="00C66E38">
        <w:trPr>
          <w:trHeight w:val="271"/>
        </w:trPr>
        <w:tc>
          <w:tcPr>
            <w:tcW w:w="0" w:type="auto"/>
            <w:hideMark/>
          </w:tcPr>
          <w:p w14:paraId="4CE20B9A" w14:textId="77777777" w:rsidR="00C66E38" w:rsidRDefault="00981AE8">
            <w:pPr>
              <w:spacing w:line="360" w:lineRule="auto"/>
              <w:jc w:val="both"/>
              <w:rPr>
                <w:rFonts w:ascii="Times New Roman" w:hAnsi="Times New Roman" w:cs="Times New Roman"/>
              </w:rPr>
            </w:pPr>
            <w:r>
              <w:rPr>
                <w:rFonts w:ascii="Times New Roman" w:hAnsi="Times New Roman" w:cs="Times New Roman"/>
              </w:rPr>
              <w:t>2024 Q4</w:t>
            </w:r>
          </w:p>
        </w:tc>
        <w:tc>
          <w:tcPr>
            <w:tcW w:w="0" w:type="auto"/>
            <w:hideMark/>
          </w:tcPr>
          <w:p w14:paraId="16E400B8" w14:textId="77777777" w:rsidR="00C66E38" w:rsidRDefault="00981AE8">
            <w:pPr>
              <w:spacing w:line="360" w:lineRule="auto"/>
              <w:jc w:val="both"/>
              <w:rPr>
                <w:rFonts w:ascii="Times New Roman" w:hAnsi="Times New Roman" w:cs="Times New Roman"/>
              </w:rPr>
            </w:pPr>
            <w:r>
              <w:rPr>
                <w:rFonts w:ascii="Times New Roman" w:hAnsi="Times New Roman" w:cs="Times New Roman"/>
              </w:rPr>
              <w:t>2,894 (10.3%)</w:t>
            </w:r>
          </w:p>
        </w:tc>
        <w:tc>
          <w:tcPr>
            <w:tcW w:w="0" w:type="auto"/>
            <w:hideMark/>
          </w:tcPr>
          <w:p w14:paraId="43FC4A4A" w14:textId="77777777" w:rsidR="00C66E38" w:rsidRDefault="00981AE8">
            <w:pPr>
              <w:spacing w:line="360" w:lineRule="auto"/>
              <w:jc w:val="both"/>
              <w:rPr>
                <w:rFonts w:ascii="Times New Roman" w:hAnsi="Times New Roman" w:cs="Times New Roman"/>
              </w:rPr>
            </w:pPr>
            <w:r>
              <w:rPr>
                <w:rFonts w:ascii="Times New Roman" w:hAnsi="Times New Roman" w:cs="Times New Roman"/>
              </w:rPr>
              <w:t>23,108 (82.1%)</w:t>
            </w:r>
          </w:p>
        </w:tc>
        <w:tc>
          <w:tcPr>
            <w:tcW w:w="0" w:type="auto"/>
            <w:hideMark/>
          </w:tcPr>
          <w:p w14:paraId="40BAE29B" w14:textId="77777777" w:rsidR="00C66E38" w:rsidRDefault="00981AE8">
            <w:pPr>
              <w:spacing w:line="360" w:lineRule="auto"/>
              <w:jc w:val="both"/>
              <w:rPr>
                <w:rFonts w:ascii="Times New Roman" w:hAnsi="Times New Roman" w:cs="Times New Roman"/>
              </w:rPr>
            </w:pPr>
            <w:r>
              <w:rPr>
                <w:rFonts w:ascii="Times New Roman" w:hAnsi="Times New Roman" w:cs="Times New Roman"/>
              </w:rPr>
              <w:t>2,153 (7.6%)</w:t>
            </w:r>
          </w:p>
        </w:tc>
        <w:tc>
          <w:tcPr>
            <w:tcW w:w="0" w:type="auto"/>
            <w:hideMark/>
          </w:tcPr>
          <w:p w14:paraId="5C943976" w14:textId="77777777" w:rsidR="00C66E38" w:rsidRDefault="00981AE8">
            <w:pPr>
              <w:spacing w:line="360" w:lineRule="auto"/>
              <w:jc w:val="both"/>
              <w:rPr>
                <w:rFonts w:ascii="Times New Roman" w:hAnsi="Times New Roman" w:cs="Times New Roman"/>
              </w:rPr>
            </w:pPr>
            <w:r>
              <w:rPr>
                <w:rFonts w:ascii="Times New Roman" w:hAnsi="Times New Roman" w:cs="Times New Roman"/>
              </w:rPr>
              <w:t>28,155</w:t>
            </w:r>
          </w:p>
        </w:tc>
      </w:tr>
      <w:tr w:rsidR="00C66E38" w14:paraId="1B94AFEA" w14:textId="77777777" w:rsidTr="00C66E38">
        <w:trPr>
          <w:trHeight w:val="280"/>
        </w:trPr>
        <w:tc>
          <w:tcPr>
            <w:tcW w:w="0" w:type="auto"/>
            <w:hideMark/>
          </w:tcPr>
          <w:p w14:paraId="24214C34" w14:textId="77777777" w:rsidR="00C66E38" w:rsidRDefault="00981AE8">
            <w:pPr>
              <w:spacing w:line="360" w:lineRule="auto"/>
              <w:jc w:val="both"/>
              <w:rPr>
                <w:rFonts w:ascii="Times New Roman" w:hAnsi="Times New Roman" w:cs="Times New Roman"/>
              </w:rPr>
            </w:pPr>
            <w:r>
              <w:rPr>
                <w:rFonts w:ascii="Times New Roman" w:hAnsi="Times New Roman" w:cs="Times New Roman"/>
              </w:rPr>
              <w:t>2025 Q1</w:t>
            </w:r>
          </w:p>
        </w:tc>
        <w:tc>
          <w:tcPr>
            <w:tcW w:w="0" w:type="auto"/>
            <w:hideMark/>
          </w:tcPr>
          <w:p w14:paraId="2C7520F6" w14:textId="77777777" w:rsidR="00C66E38" w:rsidRDefault="00981AE8">
            <w:pPr>
              <w:spacing w:line="360" w:lineRule="auto"/>
              <w:jc w:val="both"/>
              <w:rPr>
                <w:rFonts w:ascii="Times New Roman" w:hAnsi="Times New Roman" w:cs="Times New Roman"/>
              </w:rPr>
            </w:pPr>
            <w:r>
              <w:rPr>
                <w:rFonts w:ascii="Times New Roman" w:hAnsi="Times New Roman" w:cs="Times New Roman"/>
              </w:rPr>
              <w:t>1,987 (10.3%)</w:t>
            </w:r>
          </w:p>
        </w:tc>
        <w:tc>
          <w:tcPr>
            <w:tcW w:w="0" w:type="auto"/>
            <w:hideMark/>
          </w:tcPr>
          <w:p w14:paraId="247E4E71" w14:textId="77777777" w:rsidR="00C66E38" w:rsidRDefault="00981AE8">
            <w:pPr>
              <w:spacing w:line="360" w:lineRule="auto"/>
              <w:jc w:val="both"/>
              <w:rPr>
                <w:rFonts w:ascii="Times New Roman" w:hAnsi="Times New Roman" w:cs="Times New Roman"/>
              </w:rPr>
            </w:pPr>
            <w:r>
              <w:rPr>
                <w:rFonts w:ascii="Times New Roman" w:hAnsi="Times New Roman" w:cs="Times New Roman"/>
              </w:rPr>
              <w:t>15,890 (82.7%)</w:t>
            </w:r>
          </w:p>
        </w:tc>
        <w:tc>
          <w:tcPr>
            <w:tcW w:w="0" w:type="auto"/>
            <w:hideMark/>
          </w:tcPr>
          <w:p w14:paraId="1C940D0F" w14:textId="77777777" w:rsidR="00C66E38" w:rsidRDefault="00981AE8">
            <w:pPr>
              <w:spacing w:line="360" w:lineRule="auto"/>
              <w:jc w:val="both"/>
              <w:rPr>
                <w:rFonts w:ascii="Times New Roman" w:hAnsi="Times New Roman" w:cs="Times New Roman"/>
              </w:rPr>
            </w:pPr>
            <w:r>
              <w:rPr>
                <w:rFonts w:ascii="Times New Roman" w:hAnsi="Times New Roman" w:cs="Times New Roman"/>
              </w:rPr>
              <w:t>1,327 (6.9%)</w:t>
            </w:r>
          </w:p>
        </w:tc>
        <w:tc>
          <w:tcPr>
            <w:tcW w:w="0" w:type="auto"/>
            <w:hideMark/>
          </w:tcPr>
          <w:p w14:paraId="76C5C147" w14:textId="77777777" w:rsidR="00C66E38" w:rsidRDefault="00981AE8">
            <w:pPr>
              <w:spacing w:line="360" w:lineRule="auto"/>
              <w:jc w:val="both"/>
              <w:rPr>
                <w:rFonts w:ascii="Times New Roman" w:hAnsi="Times New Roman" w:cs="Times New Roman"/>
              </w:rPr>
            </w:pPr>
            <w:r>
              <w:rPr>
                <w:rFonts w:ascii="Times New Roman" w:hAnsi="Times New Roman" w:cs="Times New Roman"/>
              </w:rPr>
              <w:t>19,204</w:t>
            </w:r>
          </w:p>
        </w:tc>
      </w:tr>
      <w:tr w:rsidR="00C66E38" w14:paraId="5C8F30D6" w14:textId="77777777" w:rsidTr="00C66E38">
        <w:trPr>
          <w:trHeight w:val="271"/>
        </w:trPr>
        <w:tc>
          <w:tcPr>
            <w:tcW w:w="0" w:type="auto"/>
            <w:hideMark/>
          </w:tcPr>
          <w:p w14:paraId="322D65DF" w14:textId="77777777" w:rsidR="00C66E38" w:rsidRDefault="00981AE8">
            <w:pPr>
              <w:spacing w:line="360" w:lineRule="auto"/>
              <w:jc w:val="both"/>
              <w:rPr>
                <w:rFonts w:ascii="Times New Roman" w:hAnsi="Times New Roman" w:cs="Times New Roman"/>
              </w:rPr>
            </w:pPr>
            <w:r>
              <w:rPr>
                <w:rFonts w:ascii="Times New Roman" w:hAnsi="Times New Roman" w:cs="Times New Roman"/>
              </w:rPr>
              <w:t>2025 Q2</w:t>
            </w:r>
          </w:p>
        </w:tc>
        <w:tc>
          <w:tcPr>
            <w:tcW w:w="0" w:type="auto"/>
            <w:hideMark/>
          </w:tcPr>
          <w:p w14:paraId="12A9E8E4" w14:textId="77777777" w:rsidR="00C66E38" w:rsidRDefault="00981AE8">
            <w:pPr>
              <w:spacing w:line="360" w:lineRule="auto"/>
              <w:jc w:val="both"/>
              <w:rPr>
                <w:rFonts w:ascii="Times New Roman" w:hAnsi="Times New Roman" w:cs="Times New Roman"/>
              </w:rPr>
            </w:pPr>
            <w:r>
              <w:rPr>
                <w:rFonts w:ascii="Times New Roman" w:hAnsi="Times New Roman" w:cs="Times New Roman"/>
              </w:rPr>
              <w:t>1,456 (9.6%)</w:t>
            </w:r>
          </w:p>
        </w:tc>
        <w:tc>
          <w:tcPr>
            <w:tcW w:w="0" w:type="auto"/>
            <w:hideMark/>
          </w:tcPr>
          <w:p w14:paraId="1B58343E" w14:textId="77777777" w:rsidR="00C66E38" w:rsidRDefault="00981AE8">
            <w:pPr>
              <w:spacing w:line="360" w:lineRule="auto"/>
              <w:jc w:val="both"/>
              <w:rPr>
                <w:rFonts w:ascii="Times New Roman" w:hAnsi="Times New Roman" w:cs="Times New Roman"/>
              </w:rPr>
            </w:pPr>
            <w:r>
              <w:rPr>
                <w:rFonts w:ascii="Times New Roman" w:hAnsi="Times New Roman" w:cs="Times New Roman"/>
              </w:rPr>
              <w:t>12,789 (84.5%)</w:t>
            </w:r>
          </w:p>
        </w:tc>
        <w:tc>
          <w:tcPr>
            <w:tcW w:w="0" w:type="auto"/>
            <w:hideMark/>
          </w:tcPr>
          <w:p w14:paraId="21D8F7F5" w14:textId="77777777" w:rsidR="00C66E38" w:rsidRDefault="00981AE8">
            <w:pPr>
              <w:spacing w:line="360" w:lineRule="auto"/>
              <w:jc w:val="both"/>
              <w:rPr>
                <w:rFonts w:ascii="Times New Roman" w:hAnsi="Times New Roman" w:cs="Times New Roman"/>
              </w:rPr>
            </w:pPr>
            <w:r>
              <w:rPr>
                <w:rFonts w:ascii="Times New Roman" w:hAnsi="Times New Roman" w:cs="Times New Roman"/>
              </w:rPr>
              <w:t>897 (5.9%)</w:t>
            </w:r>
          </w:p>
        </w:tc>
        <w:tc>
          <w:tcPr>
            <w:tcW w:w="0" w:type="auto"/>
            <w:hideMark/>
          </w:tcPr>
          <w:p w14:paraId="1BAD25C8" w14:textId="77777777" w:rsidR="00C66E38" w:rsidRDefault="00981AE8">
            <w:pPr>
              <w:spacing w:line="360" w:lineRule="auto"/>
              <w:jc w:val="both"/>
              <w:rPr>
                <w:rFonts w:ascii="Times New Roman" w:hAnsi="Times New Roman" w:cs="Times New Roman"/>
              </w:rPr>
            </w:pPr>
            <w:r>
              <w:rPr>
                <w:rFonts w:ascii="Times New Roman" w:hAnsi="Times New Roman" w:cs="Times New Roman"/>
              </w:rPr>
              <w:t>15,142</w:t>
            </w:r>
          </w:p>
        </w:tc>
      </w:tr>
      <w:tr w:rsidR="00C66E38" w14:paraId="2A79A902" w14:textId="77777777" w:rsidTr="00C66E38">
        <w:trPr>
          <w:trHeight w:val="271"/>
        </w:trPr>
        <w:tc>
          <w:tcPr>
            <w:tcW w:w="0" w:type="auto"/>
            <w:hideMark/>
          </w:tcPr>
          <w:p w14:paraId="7C517102" w14:textId="77777777" w:rsidR="00C66E38" w:rsidRDefault="00981AE8">
            <w:pPr>
              <w:spacing w:line="360" w:lineRule="auto"/>
              <w:jc w:val="both"/>
              <w:rPr>
                <w:rFonts w:ascii="Times New Roman" w:hAnsi="Times New Roman" w:cs="Times New Roman"/>
              </w:rPr>
            </w:pPr>
            <w:r>
              <w:rPr>
                <w:rFonts w:ascii="Times New Roman" w:hAnsi="Times New Roman" w:cs="Times New Roman"/>
              </w:rPr>
              <w:t>2025 Q3</w:t>
            </w:r>
          </w:p>
        </w:tc>
        <w:tc>
          <w:tcPr>
            <w:tcW w:w="0" w:type="auto"/>
            <w:hideMark/>
          </w:tcPr>
          <w:p w14:paraId="5B694FD0" w14:textId="77777777" w:rsidR="00C66E38" w:rsidRDefault="00981AE8">
            <w:pPr>
              <w:spacing w:line="360" w:lineRule="auto"/>
              <w:jc w:val="both"/>
              <w:rPr>
                <w:rFonts w:ascii="Times New Roman" w:hAnsi="Times New Roman" w:cs="Times New Roman"/>
              </w:rPr>
            </w:pPr>
            <w:r>
              <w:rPr>
                <w:rFonts w:ascii="Times New Roman" w:hAnsi="Times New Roman" w:cs="Times New Roman"/>
              </w:rPr>
              <w:t>1,023 (8.8%)</w:t>
            </w:r>
          </w:p>
        </w:tc>
        <w:tc>
          <w:tcPr>
            <w:tcW w:w="0" w:type="auto"/>
            <w:hideMark/>
          </w:tcPr>
          <w:p w14:paraId="7227C297" w14:textId="77777777" w:rsidR="00C66E38" w:rsidRDefault="00981AE8">
            <w:pPr>
              <w:spacing w:line="360" w:lineRule="auto"/>
              <w:jc w:val="both"/>
              <w:rPr>
                <w:rFonts w:ascii="Times New Roman" w:hAnsi="Times New Roman" w:cs="Times New Roman"/>
              </w:rPr>
            </w:pPr>
            <w:r>
              <w:rPr>
                <w:rFonts w:ascii="Times New Roman" w:hAnsi="Times New Roman" w:cs="Times New Roman"/>
              </w:rPr>
              <w:t>10,112 (86.5%)</w:t>
            </w:r>
          </w:p>
        </w:tc>
        <w:tc>
          <w:tcPr>
            <w:tcW w:w="0" w:type="auto"/>
            <w:hideMark/>
          </w:tcPr>
          <w:p w14:paraId="7A610780" w14:textId="77777777" w:rsidR="00C66E38" w:rsidRDefault="00981AE8">
            <w:pPr>
              <w:spacing w:line="360" w:lineRule="auto"/>
              <w:jc w:val="both"/>
              <w:rPr>
                <w:rFonts w:ascii="Times New Roman" w:hAnsi="Times New Roman" w:cs="Times New Roman"/>
              </w:rPr>
            </w:pPr>
            <w:r>
              <w:rPr>
                <w:rFonts w:ascii="Times New Roman" w:hAnsi="Times New Roman" w:cs="Times New Roman"/>
              </w:rPr>
              <w:t>555 (4.7%)</w:t>
            </w:r>
          </w:p>
        </w:tc>
        <w:tc>
          <w:tcPr>
            <w:tcW w:w="0" w:type="auto"/>
            <w:hideMark/>
          </w:tcPr>
          <w:p w14:paraId="7769A206" w14:textId="77777777" w:rsidR="00C66E38" w:rsidRDefault="00981AE8">
            <w:pPr>
              <w:spacing w:line="360" w:lineRule="auto"/>
              <w:jc w:val="both"/>
              <w:rPr>
                <w:rFonts w:ascii="Times New Roman" w:hAnsi="Times New Roman" w:cs="Times New Roman"/>
              </w:rPr>
            </w:pPr>
            <w:r>
              <w:rPr>
                <w:rFonts w:ascii="Times New Roman" w:hAnsi="Times New Roman" w:cs="Times New Roman"/>
              </w:rPr>
              <w:t>11,690</w:t>
            </w:r>
          </w:p>
        </w:tc>
      </w:tr>
    </w:tbl>
    <w:p w14:paraId="185569B3" w14:textId="4B155D43" w:rsidR="00C66E38" w:rsidRDefault="006C1287">
      <w:pPr>
        <w:spacing w:after="0" w:line="240" w:lineRule="auto"/>
        <w:jc w:val="both"/>
        <w:rPr>
          <w:rFonts w:ascii="Times New Roman" w:hAnsi="Times New Roman" w:cs="Times New Roman"/>
        </w:rPr>
      </w:pPr>
      <w:r w:rsidRPr="00731655">
        <w:rPr>
          <w:rFonts w:ascii="Times New Roman" w:hAnsi="Times New Roman" w:cs="Times New Roman"/>
          <w:b/>
          <w:bCs/>
        </w:rPr>
        <w:t>Table 3-</w:t>
      </w:r>
      <w:r w:rsidR="00F836CF">
        <w:rPr>
          <w:rFonts w:ascii="Times New Roman" w:hAnsi="Times New Roman" w:cs="Times New Roman"/>
        </w:rPr>
        <w:t xml:space="preserve"> </w:t>
      </w:r>
      <w:r w:rsidR="00F836CF" w:rsidRPr="00F836CF">
        <w:rPr>
          <w:rFonts w:ascii="Times New Roman" w:hAnsi="Times New Roman" w:cs="Times New Roman"/>
          <w:b/>
          <w:bCs/>
        </w:rPr>
        <w:t>Quarterly Enrolment</w:t>
      </w:r>
      <w:r w:rsidR="00F836CF">
        <w:rPr>
          <w:rFonts w:ascii="Times New Roman" w:hAnsi="Times New Roman" w:cs="Times New Roman"/>
        </w:rPr>
        <w:t xml:space="preserve"> </w:t>
      </w:r>
      <w:r w:rsidR="00F836CF">
        <w:rPr>
          <w:rFonts w:ascii="Times New Roman" w:hAnsi="Times New Roman" w:cs="Times New Roman"/>
          <w:b/>
          <w:bCs/>
        </w:rPr>
        <w:t xml:space="preserve">Trends by Senatorial District </w:t>
      </w:r>
    </w:p>
    <w:p w14:paraId="01B37014" w14:textId="77777777" w:rsidR="00903B18" w:rsidRDefault="00903B18">
      <w:pPr>
        <w:spacing w:after="0" w:line="240" w:lineRule="auto"/>
        <w:jc w:val="both"/>
        <w:rPr>
          <w:rFonts w:ascii="Times New Roman" w:hAnsi="Times New Roman" w:cs="Times New Roman"/>
        </w:rPr>
      </w:pPr>
    </w:p>
    <w:p w14:paraId="22AE1247" w14:textId="77777777" w:rsidR="00903B18" w:rsidRDefault="00903B18">
      <w:pPr>
        <w:spacing w:after="0" w:line="240" w:lineRule="auto"/>
        <w:jc w:val="both"/>
        <w:rPr>
          <w:rFonts w:ascii="Times New Roman" w:hAnsi="Times New Roman" w:cs="Times New Roman"/>
        </w:rPr>
      </w:pPr>
    </w:p>
    <w:p w14:paraId="5AE53824" w14:textId="5BDF5ADF" w:rsidR="00C66E38" w:rsidRDefault="00981AE8">
      <w:pPr>
        <w:spacing w:after="0" w:line="240" w:lineRule="auto"/>
        <w:jc w:val="both"/>
        <w:rPr>
          <w:rFonts w:ascii="Times New Roman" w:hAnsi="Times New Roman" w:cs="Times New Roman"/>
        </w:rPr>
      </w:pPr>
      <w:r>
        <w:rPr>
          <w:rFonts w:ascii="Times New Roman" w:hAnsi="Times New Roman" w:cs="Times New Roman"/>
        </w:rPr>
        <w:t>The geographic concentration in Rivers East remains remarkably stable at approximately 82-87% of quarterly enrolments throughout the period, even intensifying slightly to 86.5% by 2025 Q3. Rivers West maintains 8.8-10.3% of quarterly enrolments, while Rivers South-East shows a concerning decline from 8.5% in 2024 Q3 to just 4.7% by 2025 Q3, representing a 44.7% relative decline in its share.</w:t>
      </w:r>
    </w:p>
    <w:p w14:paraId="26A7A1C9" w14:textId="77777777" w:rsidR="00C66E38" w:rsidRDefault="00981AE8">
      <w:pPr>
        <w:spacing w:after="0" w:line="240" w:lineRule="auto"/>
        <w:jc w:val="both"/>
        <w:rPr>
          <w:rFonts w:ascii="Times New Roman" w:hAnsi="Times New Roman" w:cs="Times New Roman"/>
        </w:rPr>
      </w:pPr>
      <w:r>
        <w:rPr>
          <w:rFonts w:ascii="Times New Roman" w:hAnsi="Times New Roman" w:cs="Times New Roman"/>
        </w:rPr>
        <w:t>This pattern suggests that program expansion efforts have not successfully addressed geographic inequities. The declining enrolment trend affects all districts, but Rivers South-East appears to be falling behind at an accelerated rate, potentially widening health access gaps for vulnerable populations in that region.</w:t>
      </w:r>
    </w:p>
    <w:p w14:paraId="07F6544B" w14:textId="77777777" w:rsidR="00C66E38" w:rsidRDefault="00981AE8">
      <w:pPr>
        <w:spacing w:after="0" w:line="240" w:lineRule="auto"/>
        <w:rPr>
          <w:rFonts w:ascii="Times New Roman" w:hAnsi="Times New Roman" w:cs="Times New Roman"/>
          <w:b/>
          <w:bCs/>
        </w:rPr>
      </w:pPr>
      <w:r>
        <w:rPr>
          <w:rFonts w:ascii="Times New Roman" w:hAnsi="Times New Roman" w:cs="Times New Roman"/>
          <w:b/>
          <w:bCs/>
        </w:rPr>
        <w:br w:type="page"/>
      </w:r>
    </w:p>
    <w:p w14:paraId="100C8489" w14:textId="060B4D7A" w:rsidR="00C66E38" w:rsidRPr="00E55EF4" w:rsidRDefault="00981AE8" w:rsidP="00E55EF4">
      <w:pPr>
        <w:pStyle w:val="ListParagraph"/>
        <w:numPr>
          <w:ilvl w:val="1"/>
          <w:numId w:val="7"/>
        </w:numPr>
        <w:spacing w:after="0" w:line="240" w:lineRule="auto"/>
        <w:jc w:val="both"/>
        <w:rPr>
          <w:rFonts w:ascii="Times New Roman" w:hAnsi="Times New Roman" w:cs="Times New Roman"/>
          <w:b/>
          <w:bCs/>
        </w:rPr>
      </w:pPr>
      <w:r w:rsidRPr="00E55EF4">
        <w:rPr>
          <w:rFonts w:ascii="Times New Roman" w:hAnsi="Times New Roman" w:cs="Times New Roman"/>
          <w:b/>
          <w:bCs/>
        </w:rPr>
        <w:lastRenderedPageBreak/>
        <w:t>Vulnerable Population Analysis</w:t>
      </w:r>
    </w:p>
    <w:p w14:paraId="4B453397" w14:textId="77777777" w:rsidR="00C66E38" w:rsidRDefault="00C66E38">
      <w:pPr>
        <w:pStyle w:val="ListParagraph"/>
        <w:spacing w:after="0" w:line="240" w:lineRule="auto"/>
        <w:ind w:left="360"/>
        <w:jc w:val="both"/>
        <w:rPr>
          <w:rFonts w:ascii="Times New Roman" w:hAnsi="Times New Roman" w:cs="Times New Roman"/>
          <w:b/>
          <w:bCs/>
        </w:rPr>
      </w:pPr>
    </w:p>
    <w:tbl>
      <w:tblPr>
        <w:tblStyle w:val="PlainTable21"/>
        <w:tblW w:w="8997" w:type="dxa"/>
        <w:tblLook w:val="0620" w:firstRow="1" w:lastRow="0" w:firstColumn="0" w:lastColumn="0" w:noHBand="1" w:noVBand="1"/>
      </w:tblPr>
      <w:tblGrid>
        <w:gridCol w:w="3825"/>
        <w:gridCol w:w="2322"/>
        <w:gridCol w:w="1782"/>
        <w:gridCol w:w="1068"/>
      </w:tblGrid>
      <w:tr w:rsidR="00C66E38" w14:paraId="5E1DDEB8" w14:textId="77777777" w:rsidTr="00C66E38">
        <w:trPr>
          <w:cnfStyle w:val="100000000000" w:firstRow="1" w:lastRow="0" w:firstColumn="0" w:lastColumn="0" w:oddVBand="0" w:evenVBand="0" w:oddHBand="0" w:evenHBand="0" w:firstRowFirstColumn="0" w:firstRowLastColumn="0" w:lastRowFirstColumn="0" w:lastRowLastColumn="0"/>
          <w:trHeight w:val="161"/>
        </w:trPr>
        <w:tc>
          <w:tcPr>
            <w:tcW w:w="0" w:type="auto"/>
            <w:hideMark/>
          </w:tcPr>
          <w:p w14:paraId="38D90E0F" w14:textId="77777777" w:rsidR="00C66E38" w:rsidRDefault="00981AE8">
            <w:pPr>
              <w:spacing w:line="360" w:lineRule="auto"/>
              <w:jc w:val="both"/>
              <w:rPr>
                <w:rFonts w:ascii="Times New Roman" w:hAnsi="Times New Roman" w:cs="Times New Roman"/>
              </w:rPr>
            </w:pPr>
            <w:r>
              <w:rPr>
                <w:rFonts w:ascii="Times New Roman" w:hAnsi="Times New Roman" w:cs="Times New Roman"/>
              </w:rPr>
              <w:t>Vulnerable Group</w:t>
            </w:r>
          </w:p>
        </w:tc>
        <w:tc>
          <w:tcPr>
            <w:tcW w:w="0" w:type="auto"/>
            <w:hideMark/>
          </w:tcPr>
          <w:p w14:paraId="79FD25FE" w14:textId="77777777" w:rsidR="00C66E38" w:rsidRDefault="00981AE8">
            <w:pPr>
              <w:spacing w:line="360" w:lineRule="auto"/>
              <w:jc w:val="both"/>
              <w:rPr>
                <w:rFonts w:ascii="Times New Roman" w:hAnsi="Times New Roman" w:cs="Times New Roman"/>
              </w:rPr>
            </w:pPr>
            <w:r>
              <w:rPr>
                <w:rFonts w:ascii="Times New Roman" w:hAnsi="Times New Roman" w:cs="Times New Roman"/>
              </w:rPr>
              <w:t>Total Enrolled</w:t>
            </w:r>
          </w:p>
        </w:tc>
        <w:tc>
          <w:tcPr>
            <w:tcW w:w="0" w:type="auto"/>
            <w:hideMark/>
          </w:tcPr>
          <w:p w14:paraId="7FA78B96" w14:textId="77777777" w:rsidR="00C66E38" w:rsidRDefault="00981AE8">
            <w:pPr>
              <w:spacing w:line="360" w:lineRule="auto"/>
              <w:jc w:val="both"/>
              <w:rPr>
                <w:rFonts w:ascii="Times New Roman" w:hAnsi="Times New Roman" w:cs="Times New Roman"/>
              </w:rPr>
            </w:pPr>
            <w:r>
              <w:rPr>
                <w:rFonts w:ascii="Times New Roman" w:hAnsi="Times New Roman" w:cs="Times New Roman"/>
              </w:rPr>
              <w:t>% of Total</w:t>
            </w:r>
          </w:p>
        </w:tc>
        <w:tc>
          <w:tcPr>
            <w:tcW w:w="0" w:type="auto"/>
            <w:hideMark/>
          </w:tcPr>
          <w:p w14:paraId="59A305AF" w14:textId="77777777" w:rsidR="00C66E38" w:rsidRDefault="00981AE8">
            <w:pPr>
              <w:spacing w:line="360" w:lineRule="auto"/>
              <w:jc w:val="both"/>
              <w:rPr>
                <w:rFonts w:ascii="Times New Roman" w:hAnsi="Times New Roman" w:cs="Times New Roman"/>
              </w:rPr>
            </w:pPr>
            <w:r>
              <w:rPr>
                <w:rFonts w:ascii="Times New Roman" w:hAnsi="Times New Roman" w:cs="Times New Roman"/>
              </w:rPr>
              <w:t>Rank</w:t>
            </w:r>
          </w:p>
        </w:tc>
      </w:tr>
      <w:tr w:rsidR="00C66E38" w14:paraId="1E766640" w14:textId="77777777" w:rsidTr="00C66E38">
        <w:trPr>
          <w:trHeight w:val="246"/>
        </w:trPr>
        <w:tc>
          <w:tcPr>
            <w:tcW w:w="0" w:type="auto"/>
            <w:hideMark/>
          </w:tcPr>
          <w:p w14:paraId="3AF61202" w14:textId="77777777" w:rsidR="00C66E38" w:rsidRDefault="00981AE8">
            <w:pPr>
              <w:spacing w:line="360" w:lineRule="auto"/>
              <w:jc w:val="both"/>
              <w:rPr>
                <w:rFonts w:ascii="Times New Roman" w:hAnsi="Times New Roman" w:cs="Times New Roman"/>
              </w:rPr>
            </w:pPr>
            <w:r>
              <w:rPr>
                <w:rFonts w:ascii="Times New Roman" w:hAnsi="Times New Roman" w:cs="Times New Roman"/>
              </w:rPr>
              <w:t>Children under 5</w:t>
            </w:r>
          </w:p>
        </w:tc>
        <w:tc>
          <w:tcPr>
            <w:tcW w:w="0" w:type="auto"/>
            <w:hideMark/>
          </w:tcPr>
          <w:p w14:paraId="0D1DB66A" w14:textId="77777777" w:rsidR="00C66E38" w:rsidRDefault="00981AE8">
            <w:pPr>
              <w:spacing w:line="360" w:lineRule="auto"/>
              <w:jc w:val="both"/>
              <w:rPr>
                <w:rFonts w:ascii="Times New Roman" w:hAnsi="Times New Roman" w:cs="Times New Roman"/>
              </w:rPr>
            </w:pPr>
            <w:r>
              <w:rPr>
                <w:rFonts w:ascii="Times New Roman" w:hAnsi="Times New Roman" w:cs="Times New Roman"/>
              </w:rPr>
              <w:t>42,452</w:t>
            </w:r>
          </w:p>
        </w:tc>
        <w:tc>
          <w:tcPr>
            <w:tcW w:w="0" w:type="auto"/>
            <w:hideMark/>
          </w:tcPr>
          <w:p w14:paraId="47EBB243" w14:textId="77777777" w:rsidR="00C66E38" w:rsidRDefault="00981AE8">
            <w:pPr>
              <w:spacing w:line="360" w:lineRule="auto"/>
              <w:jc w:val="both"/>
              <w:rPr>
                <w:rFonts w:ascii="Times New Roman" w:hAnsi="Times New Roman" w:cs="Times New Roman"/>
              </w:rPr>
            </w:pPr>
            <w:r>
              <w:rPr>
                <w:rFonts w:ascii="Times New Roman" w:hAnsi="Times New Roman" w:cs="Times New Roman"/>
              </w:rPr>
              <w:t>37.21%</w:t>
            </w:r>
          </w:p>
        </w:tc>
        <w:tc>
          <w:tcPr>
            <w:tcW w:w="0" w:type="auto"/>
            <w:hideMark/>
          </w:tcPr>
          <w:p w14:paraId="38227F32" w14:textId="77777777" w:rsidR="00C66E38" w:rsidRDefault="00981AE8">
            <w:pPr>
              <w:spacing w:line="360" w:lineRule="auto"/>
              <w:jc w:val="both"/>
              <w:rPr>
                <w:rFonts w:ascii="Times New Roman" w:hAnsi="Times New Roman" w:cs="Times New Roman"/>
              </w:rPr>
            </w:pPr>
            <w:r>
              <w:rPr>
                <w:rFonts w:ascii="Times New Roman" w:hAnsi="Times New Roman" w:cs="Times New Roman"/>
              </w:rPr>
              <w:t>1</w:t>
            </w:r>
          </w:p>
        </w:tc>
      </w:tr>
      <w:tr w:rsidR="00C66E38" w14:paraId="18682BD9" w14:textId="77777777" w:rsidTr="00C66E38">
        <w:trPr>
          <w:trHeight w:val="246"/>
        </w:trPr>
        <w:tc>
          <w:tcPr>
            <w:tcW w:w="0" w:type="auto"/>
            <w:hideMark/>
          </w:tcPr>
          <w:p w14:paraId="3F3D6ADC" w14:textId="77777777" w:rsidR="00C66E38" w:rsidRDefault="00981AE8">
            <w:pPr>
              <w:spacing w:line="360" w:lineRule="auto"/>
              <w:jc w:val="both"/>
              <w:rPr>
                <w:rFonts w:ascii="Times New Roman" w:hAnsi="Times New Roman" w:cs="Times New Roman"/>
              </w:rPr>
            </w:pPr>
            <w:r>
              <w:rPr>
                <w:rFonts w:ascii="Times New Roman" w:hAnsi="Times New Roman" w:cs="Times New Roman"/>
              </w:rPr>
              <w:t>Poor/Poorest</w:t>
            </w:r>
          </w:p>
        </w:tc>
        <w:tc>
          <w:tcPr>
            <w:tcW w:w="0" w:type="auto"/>
            <w:hideMark/>
          </w:tcPr>
          <w:p w14:paraId="323949F2" w14:textId="77777777" w:rsidR="00C66E38" w:rsidRDefault="00981AE8">
            <w:pPr>
              <w:spacing w:line="360" w:lineRule="auto"/>
              <w:jc w:val="both"/>
              <w:rPr>
                <w:rFonts w:ascii="Times New Roman" w:hAnsi="Times New Roman" w:cs="Times New Roman"/>
              </w:rPr>
            </w:pPr>
            <w:r>
              <w:rPr>
                <w:rFonts w:ascii="Times New Roman" w:hAnsi="Times New Roman" w:cs="Times New Roman"/>
              </w:rPr>
              <w:t>24,620</w:t>
            </w:r>
          </w:p>
        </w:tc>
        <w:tc>
          <w:tcPr>
            <w:tcW w:w="0" w:type="auto"/>
            <w:hideMark/>
          </w:tcPr>
          <w:p w14:paraId="5AD6A274" w14:textId="77777777" w:rsidR="00C66E38" w:rsidRDefault="00981AE8">
            <w:pPr>
              <w:spacing w:line="360" w:lineRule="auto"/>
              <w:jc w:val="both"/>
              <w:rPr>
                <w:rFonts w:ascii="Times New Roman" w:hAnsi="Times New Roman" w:cs="Times New Roman"/>
              </w:rPr>
            </w:pPr>
            <w:r>
              <w:rPr>
                <w:rFonts w:ascii="Times New Roman" w:hAnsi="Times New Roman" w:cs="Times New Roman"/>
              </w:rPr>
              <w:t>21.58%</w:t>
            </w:r>
          </w:p>
        </w:tc>
        <w:tc>
          <w:tcPr>
            <w:tcW w:w="0" w:type="auto"/>
            <w:hideMark/>
          </w:tcPr>
          <w:p w14:paraId="7723184D" w14:textId="77777777" w:rsidR="00C66E38" w:rsidRDefault="00981AE8">
            <w:pPr>
              <w:spacing w:line="360" w:lineRule="auto"/>
              <w:jc w:val="both"/>
              <w:rPr>
                <w:rFonts w:ascii="Times New Roman" w:hAnsi="Times New Roman" w:cs="Times New Roman"/>
              </w:rPr>
            </w:pPr>
            <w:r>
              <w:rPr>
                <w:rFonts w:ascii="Times New Roman" w:hAnsi="Times New Roman" w:cs="Times New Roman"/>
              </w:rPr>
              <w:t>2</w:t>
            </w:r>
          </w:p>
        </w:tc>
      </w:tr>
      <w:tr w:rsidR="00C66E38" w14:paraId="2DA739EB" w14:textId="77777777" w:rsidTr="00C66E38">
        <w:trPr>
          <w:trHeight w:val="264"/>
        </w:trPr>
        <w:tc>
          <w:tcPr>
            <w:tcW w:w="0" w:type="auto"/>
            <w:hideMark/>
          </w:tcPr>
          <w:p w14:paraId="6F66F0A2" w14:textId="77777777" w:rsidR="00C66E38" w:rsidRDefault="00981AE8">
            <w:pPr>
              <w:spacing w:line="360" w:lineRule="auto"/>
              <w:jc w:val="both"/>
              <w:rPr>
                <w:rFonts w:ascii="Times New Roman" w:hAnsi="Times New Roman" w:cs="Times New Roman"/>
              </w:rPr>
            </w:pPr>
            <w:r>
              <w:rPr>
                <w:rFonts w:ascii="Times New Roman" w:hAnsi="Times New Roman" w:cs="Times New Roman"/>
              </w:rPr>
              <w:t>Elderly/Aged</w:t>
            </w:r>
          </w:p>
        </w:tc>
        <w:tc>
          <w:tcPr>
            <w:tcW w:w="0" w:type="auto"/>
            <w:hideMark/>
          </w:tcPr>
          <w:p w14:paraId="5B2A57A8" w14:textId="77777777" w:rsidR="00C66E38" w:rsidRDefault="00981AE8">
            <w:pPr>
              <w:spacing w:line="360" w:lineRule="auto"/>
              <w:jc w:val="both"/>
              <w:rPr>
                <w:rFonts w:ascii="Times New Roman" w:hAnsi="Times New Roman" w:cs="Times New Roman"/>
              </w:rPr>
            </w:pPr>
            <w:r>
              <w:rPr>
                <w:rFonts w:ascii="Times New Roman" w:hAnsi="Times New Roman" w:cs="Times New Roman"/>
              </w:rPr>
              <w:t>23,924</w:t>
            </w:r>
          </w:p>
        </w:tc>
        <w:tc>
          <w:tcPr>
            <w:tcW w:w="0" w:type="auto"/>
            <w:hideMark/>
          </w:tcPr>
          <w:p w14:paraId="0271BBF3" w14:textId="77777777" w:rsidR="00C66E38" w:rsidRDefault="00981AE8">
            <w:pPr>
              <w:spacing w:line="360" w:lineRule="auto"/>
              <w:jc w:val="both"/>
              <w:rPr>
                <w:rFonts w:ascii="Times New Roman" w:hAnsi="Times New Roman" w:cs="Times New Roman"/>
              </w:rPr>
            </w:pPr>
            <w:r>
              <w:rPr>
                <w:rFonts w:ascii="Times New Roman" w:hAnsi="Times New Roman" w:cs="Times New Roman"/>
              </w:rPr>
              <w:t>20.96%</w:t>
            </w:r>
          </w:p>
        </w:tc>
        <w:tc>
          <w:tcPr>
            <w:tcW w:w="0" w:type="auto"/>
            <w:hideMark/>
          </w:tcPr>
          <w:p w14:paraId="60440CAD" w14:textId="77777777" w:rsidR="00C66E38" w:rsidRDefault="00981AE8">
            <w:pPr>
              <w:spacing w:line="360" w:lineRule="auto"/>
              <w:jc w:val="both"/>
              <w:rPr>
                <w:rFonts w:ascii="Times New Roman" w:hAnsi="Times New Roman" w:cs="Times New Roman"/>
              </w:rPr>
            </w:pPr>
            <w:r>
              <w:rPr>
                <w:rFonts w:ascii="Times New Roman" w:hAnsi="Times New Roman" w:cs="Times New Roman"/>
              </w:rPr>
              <w:t>3</w:t>
            </w:r>
          </w:p>
        </w:tc>
      </w:tr>
      <w:tr w:rsidR="00C66E38" w14:paraId="40EA7D17" w14:textId="77777777" w:rsidTr="00C66E38">
        <w:trPr>
          <w:trHeight w:val="264"/>
        </w:trPr>
        <w:tc>
          <w:tcPr>
            <w:tcW w:w="0" w:type="auto"/>
            <w:hideMark/>
          </w:tcPr>
          <w:p w14:paraId="0365BA86" w14:textId="77777777" w:rsidR="00C66E38" w:rsidRDefault="00981AE8">
            <w:pPr>
              <w:spacing w:line="360" w:lineRule="auto"/>
              <w:jc w:val="both"/>
              <w:rPr>
                <w:rFonts w:ascii="Times New Roman" w:hAnsi="Times New Roman" w:cs="Times New Roman"/>
              </w:rPr>
            </w:pPr>
            <w:r>
              <w:rPr>
                <w:rFonts w:ascii="Times New Roman" w:hAnsi="Times New Roman" w:cs="Times New Roman"/>
              </w:rPr>
              <w:t>Pregnant Women</w:t>
            </w:r>
          </w:p>
        </w:tc>
        <w:tc>
          <w:tcPr>
            <w:tcW w:w="0" w:type="auto"/>
            <w:hideMark/>
          </w:tcPr>
          <w:p w14:paraId="70B16B76" w14:textId="77777777" w:rsidR="00C66E38" w:rsidRDefault="00981AE8">
            <w:pPr>
              <w:spacing w:line="360" w:lineRule="auto"/>
              <w:jc w:val="both"/>
              <w:rPr>
                <w:rFonts w:ascii="Times New Roman" w:hAnsi="Times New Roman" w:cs="Times New Roman"/>
              </w:rPr>
            </w:pPr>
            <w:r>
              <w:rPr>
                <w:rFonts w:ascii="Times New Roman" w:hAnsi="Times New Roman" w:cs="Times New Roman"/>
              </w:rPr>
              <w:t>15,119</w:t>
            </w:r>
          </w:p>
        </w:tc>
        <w:tc>
          <w:tcPr>
            <w:tcW w:w="0" w:type="auto"/>
            <w:hideMark/>
          </w:tcPr>
          <w:p w14:paraId="61748454" w14:textId="77777777" w:rsidR="00C66E38" w:rsidRDefault="00981AE8">
            <w:pPr>
              <w:spacing w:line="360" w:lineRule="auto"/>
              <w:jc w:val="both"/>
              <w:rPr>
                <w:rFonts w:ascii="Times New Roman" w:hAnsi="Times New Roman" w:cs="Times New Roman"/>
              </w:rPr>
            </w:pPr>
            <w:r>
              <w:rPr>
                <w:rFonts w:ascii="Times New Roman" w:hAnsi="Times New Roman" w:cs="Times New Roman"/>
              </w:rPr>
              <w:t>13.25%</w:t>
            </w:r>
          </w:p>
        </w:tc>
        <w:tc>
          <w:tcPr>
            <w:tcW w:w="0" w:type="auto"/>
            <w:hideMark/>
          </w:tcPr>
          <w:p w14:paraId="4E056B19" w14:textId="77777777" w:rsidR="00C66E38" w:rsidRDefault="00981AE8">
            <w:pPr>
              <w:spacing w:line="360" w:lineRule="auto"/>
              <w:jc w:val="both"/>
              <w:rPr>
                <w:rFonts w:ascii="Times New Roman" w:hAnsi="Times New Roman" w:cs="Times New Roman"/>
              </w:rPr>
            </w:pPr>
            <w:r>
              <w:rPr>
                <w:rFonts w:ascii="Times New Roman" w:hAnsi="Times New Roman" w:cs="Times New Roman"/>
              </w:rPr>
              <w:t>4</w:t>
            </w:r>
          </w:p>
        </w:tc>
      </w:tr>
      <w:tr w:rsidR="00C66E38" w14:paraId="750326D0" w14:textId="77777777" w:rsidTr="00C66E38">
        <w:trPr>
          <w:trHeight w:val="264"/>
        </w:trPr>
        <w:tc>
          <w:tcPr>
            <w:tcW w:w="0" w:type="auto"/>
            <w:hideMark/>
          </w:tcPr>
          <w:p w14:paraId="7ECDC17B" w14:textId="77777777" w:rsidR="00C66E38" w:rsidRDefault="00981AE8">
            <w:pPr>
              <w:spacing w:line="360" w:lineRule="auto"/>
              <w:jc w:val="both"/>
              <w:rPr>
                <w:rFonts w:ascii="Times New Roman" w:hAnsi="Times New Roman" w:cs="Times New Roman"/>
              </w:rPr>
            </w:pPr>
            <w:r>
              <w:rPr>
                <w:rFonts w:ascii="Times New Roman" w:hAnsi="Times New Roman" w:cs="Times New Roman"/>
              </w:rPr>
              <w:t>Retirees</w:t>
            </w:r>
          </w:p>
        </w:tc>
        <w:tc>
          <w:tcPr>
            <w:tcW w:w="0" w:type="auto"/>
            <w:hideMark/>
          </w:tcPr>
          <w:p w14:paraId="36847BA1" w14:textId="77777777" w:rsidR="00C66E38" w:rsidRDefault="00981AE8">
            <w:pPr>
              <w:spacing w:line="360" w:lineRule="auto"/>
              <w:jc w:val="both"/>
              <w:rPr>
                <w:rFonts w:ascii="Times New Roman" w:hAnsi="Times New Roman" w:cs="Times New Roman"/>
              </w:rPr>
            </w:pPr>
            <w:r>
              <w:rPr>
                <w:rFonts w:ascii="Times New Roman" w:hAnsi="Times New Roman" w:cs="Times New Roman"/>
              </w:rPr>
              <w:t>14,248</w:t>
            </w:r>
          </w:p>
        </w:tc>
        <w:tc>
          <w:tcPr>
            <w:tcW w:w="0" w:type="auto"/>
            <w:hideMark/>
          </w:tcPr>
          <w:p w14:paraId="1387915A" w14:textId="77777777" w:rsidR="00C66E38" w:rsidRDefault="00981AE8">
            <w:pPr>
              <w:spacing w:line="360" w:lineRule="auto"/>
              <w:jc w:val="both"/>
              <w:rPr>
                <w:rFonts w:ascii="Times New Roman" w:hAnsi="Times New Roman" w:cs="Times New Roman"/>
              </w:rPr>
            </w:pPr>
            <w:r>
              <w:rPr>
                <w:rFonts w:ascii="Times New Roman" w:hAnsi="Times New Roman" w:cs="Times New Roman"/>
              </w:rPr>
              <w:t>12.49%</w:t>
            </w:r>
          </w:p>
        </w:tc>
        <w:tc>
          <w:tcPr>
            <w:tcW w:w="0" w:type="auto"/>
            <w:hideMark/>
          </w:tcPr>
          <w:p w14:paraId="52DFF692" w14:textId="77777777" w:rsidR="00C66E38" w:rsidRDefault="00981AE8">
            <w:pPr>
              <w:spacing w:line="360" w:lineRule="auto"/>
              <w:jc w:val="both"/>
              <w:rPr>
                <w:rFonts w:ascii="Times New Roman" w:hAnsi="Times New Roman" w:cs="Times New Roman"/>
              </w:rPr>
            </w:pPr>
            <w:r>
              <w:rPr>
                <w:rFonts w:ascii="Times New Roman" w:hAnsi="Times New Roman" w:cs="Times New Roman"/>
              </w:rPr>
              <w:t>5</w:t>
            </w:r>
          </w:p>
        </w:tc>
      </w:tr>
      <w:tr w:rsidR="00C66E38" w14:paraId="1BB9D5FB" w14:textId="77777777" w:rsidTr="00C66E38">
        <w:trPr>
          <w:trHeight w:val="246"/>
        </w:trPr>
        <w:tc>
          <w:tcPr>
            <w:tcW w:w="0" w:type="auto"/>
            <w:hideMark/>
          </w:tcPr>
          <w:p w14:paraId="14F4E95C" w14:textId="77777777" w:rsidR="00C66E38" w:rsidRDefault="00981AE8">
            <w:pPr>
              <w:spacing w:line="360" w:lineRule="auto"/>
              <w:jc w:val="both"/>
              <w:rPr>
                <w:rFonts w:ascii="Times New Roman" w:hAnsi="Times New Roman" w:cs="Times New Roman"/>
              </w:rPr>
            </w:pPr>
            <w:r>
              <w:rPr>
                <w:rFonts w:ascii="Times New Roman" w:hAnsi="Times New Roman" w:cs="Times New Roman"/>
              </w:rPr>
              <w:t>Chronically Ill</w:t>
            </w:r>
          </w:p>
        </w:tc>
        <w:tc>
          <w:tcPr>
            <w:tcW w:w="0" w:type="auto"/>
            <w:hideMark/>
          </w:tcPr>
          <w:p w14:paraId="12A92233" w14:textId="77777777" w:rsidR="00C66E38" w:rsidRDefault="00981AE8">
            <w:pPr>
              <w:spacing w:line="360" w:lineRule="auto"/>
              <w:jc w:val="both"/>
              <w:rPr>
                <w:rFonts w:ascii="Times New Roman" w:hAnsi="Times New Roman" w:cs="Times New Roman"/>
              </w:rPr>
            </w:pPr>
            <w:r>
              <w:rPr>
                <w:rFonts w:ascii="Times New Roman" w:hAnsi="Times New Roman" w:cs="Times New Roman"/>
              </w:rPr>
              <w:t>6,432</w:t>
            </w:r>
          </w:p>
        </w:tc>
        <w:tc>
          <w:tcPr>
            <w:tcW w:w="0" w:type="auto"/>
            <w:hideMark/>
          </w:tcPr>
          <w:p w14:paraId="7D91C5B5" w14:textId="77777777" w:rsidR="00C66E38" w:rsidRDefault="00981AE8">
            <w:pPr>
              <w:spacing w:line="360" w:lineRule="auto"/>
              <w:jc w:val="both"/>
              <w:rPr>
                <w:rFonts w:ascii="Times New Roman" w:hAnsi="Times New Roman" w:cs="Times New Roman"/>
              </w:rPr>
            </w:pPr>
            <w:r>
              <w:rPr>
                <w:rFonts w:ascii="Times New Roman" w:hAnsi="Times New Roman" w:cs="Times New Roman"/>
              </w:rPr>
              <w:t>5.64%</w:t>
            </w:r>
          </w:p>
        </w:tc>
        <w:tc>
          <w:tcPr>
            <w:tcW w:w="0" w:type="auto"/>
            <w:hideMark/>
          </w:tcPr>
          <w:p w14:paraId="5C5AA005" w14:textId="77777777" w:rsidR="00C66E38" w:rsidRDefault="00981AE8">
            <w:pPr>
              <w:spacing w:line="360" w:lineRule="auto"/>
              <w:jc w:val="both"/>
              <w:rPr>
                <w:rFonts w:ascii="Times New Roman" w:hAnsi="Times New Roman" w:cs="Times New Roman"/>
              </w:rPr>
            </w:pPr>
            <w:r>
              <w:rPr>
                <w:rFonts w:ascii="Times New Roman" w:hAnsi="Times New Roman" w:cs="Times New Roman"/>
              </w:rPr>
              <w:t>6</w:t>
            </w:r>
          </w:p>
        </w:tc>
      </w:tr>
      <w:tr w:rsidR="00C66E38" w14:paraId="2BD3002C" w14:textId="77777777" w:rsidTr="00C66E38">
        <w:trPr>
          <w:trHeight w:val="95"/>
        </w:trPr>
        <w:tc>
          <w:tcPr>
            <w:tcW w:w="0" w:type="auto"/>
            <w:hideMark/>
          </w:tcPr>
          <w:p w14:paraId="4352C2D1" w14:textId="77777777" w:rsidR="00C66E38" w:rsidRDefault="00981AE8">
            <w:pPr>
              <w:spacing w:line="360" w:lineRule="auto"/>
              <w:jc w:val="both"/>
              <w:rPr>
                <w:rFonts w:ascii="Times New Roman" w:hAnsi="Times New Roman" w:cs="Times New Roman"/>
              </w:rPr>
            </w:pPr>
            <w:r>
              <w:rPr>
                <w:rFonts w:ascii="Times New Roman" w:hAnsi="Times New Roman" w:cs="Times New Roman"/>
              </w:rPr>
              <w:t>People with Special Needs</w:t>
            </w:r>
          </w:p>
        </w:tc>
        <w:tc>
          <w:tcPr>
            <w:tcW w:w="0" w:type="auto"/>
            <w:hideMark/>
          </w:tcPr>
          <w:p w14:paraId="5908B473" w14:textId="77777777" w:rsidR="00C66E38" w:rsidRDefault="00981AE8">
            <w:pPr>
              <w:spacing w:line="360" w:lineRule="auto"/>
              <w:jc w:val="both"/>
              <w:rPr>
                <w:rFonts w:ascii="Times New Roman" w:hAnsi="Times New Roman" w:cs="Times New Roman"/>
              </w:rPr>
            </w:pPr>
            <w:r>
              <w:rPr>
                <w:rFonts w:ascii="Times New Roman" w:hAnsi="Times New Roman" w:cs="Times New Roman"/>
              </w:rPr>
              <w:t>2,171</w:t>
            </w:r>
          </w:p>
        </w:tc>
        <w:tc>
          <w:tcPr>
            <w:tcW w:w="0" w:type="auto"/>
            <w:hideMark/>
          </w:tcPr>
          <w:p w14:paraId="3DFF8887" w14:textId="77777777" w:rsidR="00C66E38" w:rsidRDefault="00981AE8">
            <w:pPr>
              <w:spacing w:line="360" w:lineRule="auto"/>
              <w:jc w:val="both"/>
              <w:rPr>
                <w:rFonts w:ascii="Times New Roman" w:hAnsi="Times New Roman" w:cs="Times New Roman"/>
              </w:rPr>
            </w:pPr>
            <w:r>
              <w:rPr>
                <w:rFonts w:ascii="Times New Roman" w:hAnsi="Times New Roman" w:cs="Times New Roman"/>
              </w:rPr>
              <w:t>1.90%</w:t>
            </w:r>
          </w:p>
        </w:tc>
        <w:tc>
          <w:tcPr>
            <w:tcW w:w="0" w:type="auto"/>
            <w:hideMark/>
          </w:tcPr>
          <w:p w14:paraId="0F257A56" w14:textId="77777777" w:rsidR="00C66E38" w:rsidRDefault="00981AE8">
            <w:pPr>
              <w:spacing w:line="360" w:lineRule="auto"/>
              <w:jc w:val="both"/>
              <w:rPr>
                <w:rFonts w:ascii="Times New Roman" w:hAnsi="Times New Roman" w:cs="Times New Roman"/>
              </w:rPr>
            </w:pPr>
            <w:r>
              <w:rPr>
                <w:rFonts w:ascii="Times New Roman" w:hAnsi="Times New Roman" w:cs="Times New Roman"/>
              </w:rPr>
              <w:t>7</w:t>
            </w:r>
          </w:p>
        </w:tc>
      </w:tr>
      <w:tr w:rsidR="00C66E38" w14:paraId="3C9C609B" w14:textId="77777777" w:rsidTr="00C66E38">
        <w:trPr>
          <w:trHeight w:val="264"/>
        </w:trPr>
        <w:tc>
          <w:tcPr>
            <w:tcW w:w="0" w:type="auto"/>
            <w:hideMark/>
          </w:tcPr>
          <w:p w14:paraId="58BA6409" w14:textId="77777777" w:rsidR="00C66E38" w:rsidRDefault="00981AE8">
            <w:pPr>
              <w:spacing w:line="360" w:lineRule="auto"/>
              <w:jc w:val="both"/>
              <w:rPr>
                <w:rFonts w:ascii="Times New Roman" w:hAnsi="Times New Roman" w:cs="Times New Roman"/>
              </w:rPr>
            </w:pPr>
            <w:r>
              <w:rPr>
                <w:rFonts w:ascii="Times New Roman" w:hAnsi="Times New Roman" w:cs="Times New Roman"/>
              </w:rPr>
              <w:t>Widows</w:t>
            </w:r>
          </w:p>
        </w:tc>
        <w:tc>
          <w:tcPr>
            <w:tcW w:w="0" w:type="auto"/>
            <w:hideMark/>
          </w:tcPr>
          <w:p w14:paraId="019C9520" w14:textId="77777777" w:rsidR="00C66E38" w:rsidRDefault="00981AE8">
            <w:pPr>
              <w:spacing w:line="360" w:lineRule="auto"/>
              <w:jc w:val="both"/>
              <w:rPr>
                <w:rFonts w:ascii="Times New Roman" w:hAnsi="Times New Roman" w:cs="Times New Roman"/>
              </w:rPr>
            </w:pPr>
            <w:r>
              <w:rPr>
                <w:rFonts w:ascii="Times New Roman" w:hAnsi="Times New Roman" w:cs="Times New Roman"/>
              </w:rPr>
              <w:t>1,998</w:t>
            </w:r>
          </w:p>
        </w:tc>
        <w:tc>
          <w:tcPr>
            <w:tcW w:w="0" w:type="auto"/>
            <w:hideMark/>
          </w:tcPr>
          <w:p w14:paraId="6F1196A8" w14:textId="77777777" w:rsidR="00C66E38" w:rsidRDefault="00981AE8">
            <w:pPr>
              <w:spacing w:line="360" w:lineRule="auto"/>
              <w:jc w:val="both"/>
              <w:rPr>
                <w:rFonts w:ascii="Times New Roman" w:hAnsi="Times New Roman" w:cs="Times New Roman"/>
              </w:rPr>
            </w:pPr>
            <w:r>
              <w:rPr>
                <w:rFonts w:ascii="Times New Roman" w:hAnsi="Times New Roman" w:cs="Times New Roman"/>
              </w:rPr>
              <w:t>1.75%</w:t>
            </w:r>
          </w:p>
        </w:tc>
        <w:tc>
          <w:tcPr>
            <w:tcW w:w="0" w:type="auto"/>
            <w:hideMark/>
          </w:tcPr>
          <w:p w14:paraId="10CDA76B" w14:textId="77777777" w:rsidR="00C66E38" w:rsidRDefault="00981AE8">
            <w:pPr>
              <w:spacing w:line="360" w:lineRule="auto"/>
              <w:jc w:val="both"/>
              <w:rPr>
                <w:rFonts w:ascii="Times New Roman" w:hAnsi="Times New Roman" w:cs="Times New Roman"/>
              </w:rPr>
            </w:pPr>
            <w:r>
              <w:rPr>
                <w:rFonts w:ascii="Times New Roman" w:hAnsi="Times New Roman" w:cs="Times New Roman"/>
              </w:rPr>
              <w:t>8</w:t>
            </w:r>
          </w:p>
        </w:tc>
      </w:tr>
      <w:tr w:rsidR="00C66E38" w14:paraId="399D3890" w14:textId="77777777" w:rsidTr="00C66E38">
        <w:trPr>
          <w:trHeight w:val="246"/>
        </w:trPr>
        <w:tc>
          <w:tcPr>
            <w:tcW w:w="0" w:type="auto"/>
            <w:hideMark/>
          </w:tcPr>
          <w:p w14:paraId="5632DEA4" w14:textId="77777777" w:rsidR="00C66E38" w:rsidRDefault="00981AE8">
            <w:pPr>
              <w:spacing w:line="360" w:lineRule="auto"/>
              <w:jc w:val="both"/>
              <w:rPr>
                <w:rFonts w:ascii="Times New Roman" w:hAnsi="Times New Roman" w:cs="Times New Roman"/>
              </w:rPr>
            </w:pPr>
            <w:r>
              <w:rPr>
                <w:rFonts w:ascii="Times New Roman" w:hAnsi="Times New Roman" w:cs="Times New Roman"/>
              </w:rPr>
              <w:t>Disability-related</w:t>
            </w:r>
          </w:p>
        </w:tc>
        <w:tc>
          <w:tcPr>
            <w:tcW w:w="0" w:type="auto"/>
            <w:hideMark/>
          </w:tcPr>
          <w:p w14:paraId="78942C97" w14:textId="77777777" w:rsidR="00C66E38" w:rsidRDefault="00981AE8">
            <w:pPr>
              <w:spacing w:line="360" w:lineRule="auto"/>
              <w:jc w:val="both"/>
              <w:rPr>
                <w:rFonts w:ascii="Times New Roman" w:hAnsi="Times New Roman" w:cs="Times New Roman"/>
              </w:rPr>
            </w:pPr>
            <w:r>
              <w:rPr>
                <w:rFonts w:ascii="Times New Roman" w:hAnsi="Times New Roman" w:cs="Times New Roman"/>
              </w:rPr>
              <w:t>1,507</w:t>
            </w:r>
          </w:p>
        </w:tc>
        <w:tc>
          <w:tcPr>
            <w:tcW w:w="0" w:type="auto"/>
            <w:hideMark/>
          </w:tcPr>
          <w:p w14:paraId="677F9616" w14:textId="77777777" w:rsidR="00C66E38" w:rsidRDefault="00981AE8">
            <w:pPr>
              <w:spacing w:line="360" w:lineRule="auto"/>
              <w:jc w:val="both"/>
              <w:rPr>
                <w:rFonts w:ascii="Times New Roman" w:hAnsi="Times New Roman" w:cs="Times New Roman"/>
              </w:rPr>
            </w:pPr>
            <w:r>
              <w:rPr>
                <w:rFonts w:ascii="Times New Roman" w:hAnsi="Times New Roman" w:cs="Times New Roman"/>
              </w:rPr>
              <w:t>1.32%</w:t>
            </w:r>
          </w:p>
        </w:tc>
        <w:tc>
          <w:tcPr>
            <w:tcW w:w="0" w:type="auto"/>
            <w:hideMark/>
          </w:tcPr>
          <w:p w14:paraId="24ADC64D" w14:textId="77777777" w:rsidR="00C66E38" w:rsidRDefault="00981AE8">
            <w:pPr>
              <w:spacing w:line="360" w:lineRule="auto"/>
              <w:jc w:val="both"/>
              <w:rPr>
                <w:rFonts w:ascii="Times New Roman" w:hAnsi="Times New Roman" w:cs="Times New Roman"/>
              </w:rPr>
            </w:pPr>
            <w:r>
              <w:rPr>
                <w:rFonts w:ascii="Times New Roman" w:hAnsi="Times New Roman" w:cs="Times New Roman"/>
              </w:rPr>
              <w:t>9</w:t>
            </w:r>
          </w:p>
        </w:tc>
      </w:tr>
      <w:tr w:rsidR="00C66E38" w14:paraId="58D75F18" w14:textId="77777777" w:rsidTr="00C66E38">
        <w:trPr>
          <w:trHeight w:val="264"/>
        </w:trPr>
        <w:tc>
          <w:tcPr>
            <w:tcW w:w="0" w:type="auto"/>
            <w:hideMark/>
          </w:tcPr>
          <w:p w14:paraId="5F8FB5D1" w14:textId="77777777" w:rsidR="00C66E38" w:rsidRDefault="00981AE8">
            <w:pPr>
              <w:spacing w:line="360" w:lineRule="auto"/>
              <w:jc w:val="both"/>
              <w:rPr>
                <w:rFonts w:ascii="Times New Roman" w:hAnsi="Times New Roman" w:cs="Times New Roman"/>
              </w:rPr>
            </w:pPr>
            <w:r>
              <w:rPr>
                <w:rFonts w:ascii="Times New Roman" w:hAnsi="Times New Roman" w:cs="Times New Roman"/>
              </w:rPr>
              <w:t>Middle Aged</w:t>
            </w:r>
          </w:p>
        </w:tc>
        <w:tc>
          <w:tcPr>
            <w:tcW w:w="0" w:type="auto"/>
            <w:hideMark/>
          </w:tcPr>
          <w:p w14:paraId="273EF409" w14:textId="77777777" w:rsidR="00C66E38" w:rsidRDefault="00981AE8">
            <w:pPr>
              <w:spacing w:line="360" w:lineRule="auto"/>
              <w:jc w:val="both"/>
              <w:rPr>
                <w:rFonts w:ascii="Times New Roman" w:hAnsi="Times New Roman" w:cs="Times New Roman"/>
              </w:rPr>
            </w:pPr>
            <w:r>
              <w:rPr>
                <w:rFonts w:ascii="Times New Roman" w:hAnsi="Times New Roman" w:cs="Times New Roman"/>
              </w:rPr>
              <w:t>1,221</w:t>
            </w:r>
          </w:p>
        </w:tc>
        <w:tc>
          <w:tcPr>
            <w:tcW w:w="0" w:type="auto"/>
            <w:hideMark/>
          </w:tcPr>
          <w:p w14:paraId="3524C055" w14:textId="77777777" w:rsidR="00C66E38" w:rsidRDefault="00981AE8">
            <w:pPr>
              <w:spacing w:line="360" w:lineRule="auto"/>
              <w:jc w:val="both"/>
              <w:rPr>
                <w:rFonts w:ascii="Times New Roman" w:hAnsi="Times New Roman" w:cs="Times New Roman"/>
              </w:rPr>
            </w:pPr>
            <w:r>
              <w:rPr>
                <w:rFonts w:ascii="Times New Roman" w:hAnsi="Times New Roman" w:cs="Times New Roman"/>
              </w:rPr>
              <w:t>1.07%</w:t>
            </w:r>
          </w:p>
        </w:tc>
        <w:tc>
          <w:tcPr>
            <w:tcW w:w="0" w:type="auto"/>
            <w:hideMark/>
          </w:tcPr>
          <w:p w14:paraId="5DF34628" w14:textId="77777777" w:rsidR="00C66E38" w:rsidRDefault="00981AE8">
            <w:pPr>
              <w:spacing w:line="360" w:lineRule="auto"/>
              <w:jc w:val="both"/>
              <w:rPr>
                <w:rFonts w:ascii="Times New Roman" w:hAnsi="Times New Roman" w:cs="Times New Roman"/>
              </w:rPr>
            </w:pPr>
            <w:r>
              <w:rPr>
                <w:rFonts w:ascii="Times New Roman" w:hAnsi="Times New Roman" w:cs="Times New Roman"/>
              </w:rPr>
              <w:t>10</w:t>
            </w:r>
          </w:p>
        </w:tc>
      </w:tr>
      <w:tr w:rsidR="00C66E38" w14:paraId="7BBA1E27" w14:textId="77777777" w:rsidTr="00C66E38">
        <w:trPr>
          <w:trHeight w:val="246"/>
        </w:trPr>
        <w:tc>
          <w:tcPr>
            <w:tcW w:w="0" w:type="auto"/>
            <w:hideMark/>
          </w:tcPr>
          <w:p w14:paraId="59681181" w14:textId="77777777" w:rsidR="00C66E38" w:rsidRDefault="00981AE8">
            <w:pPr>
              <w:spacing w:line="360" w:lineRule="auto"/>
              <w:jc w:val="both"/>
              <w:rPr>
                <w:rFonts w:ascii="Times New Roman" w:hAnsi="Times New Roman" w:cs="Times New Roman"/>
              </w:rPr>
            </w:pPr>
            <w:r>
              <w:rPr>
                <w:rFonts w:ascii="Times New Roman" w:hAnsi="Times New Roman" w:cs="Times New Roman"/>
              </w:rPr>
              <w:t>PLHIV</w:t>
            </w:r>
          </w:p>
        </w:tc>
        <w:tc>
          <w:tcPr>
            <w:tcW w:w="0" w:type="auto"/>
            <w:hideMark/>
          </w:tcPr>
          <w:p w14:paraId="08747063" w14:textId="77777777" w:rsidR="00C66E38" w:rsidRDefault="00981AE8">
            <w:pPr>
              <w:spacing w:line="360" w:lineRule="auto"/>
              <w:jc w:val="both"/>
              <w:rPr>
                <w:rFonts w:ascii="Times New Roman" w:hAnsi="Times New Roman" w:cs="Times New Roman"/>
              </w:rPr>
            </w:pPr>
            <w:r>
              <w:rPr>
                <w:rFonts w:ascii="Times New Roman" w:hAnsi="Times New Roman" w:cs="Times New Roman"/>
              </w:rPr>
              <w:t>3</w:t>
            </w:r>
          </w:p>
        </w:tc>
        <w:tc>
          <w:tcPr>
            <w:tcW w:w="0" w:type="auto"/>
            <w:hideMark/>
          </w:tcPr>
          <w:p w14:paraId="7608365E" w14:textId="77777777" w:rsidR="00C66E38" w:rsidRDefault="00981AE8">
            <w:pPr>
              <w:spacing w:line="360" w:lineRule="auto"/>
              <w:jc w:val="both"/>
              <w:rPr>
                <w:rFonts w:ascii="Times New Roman" w:hAnsi="Times New Roman" w:cs="Times New Roman"/>
              </w:rPr>
            </w:pPr>
            <w:r>
              <w:rPr>
                <w:rFonts w:ascii="Times New Roman" w:hAnsi="Times New Roman" w:cs="Times New Roman"/>
              </w:rPr>
              <w:t>0.003%</w:t>
            </w:r>
          </w:p>
        </w:tc>
        <w:tc>
          <w:tcPr>
            <w:tcW w:w="0" w:type="auto"/>
            <w:hideMark/>
          </w:tcPr>
          <w:p w14:paraId="341A9B07" w14:textId="77777777" w:rsidR="00C66E38" w:rsidRDefault="00981AE8">
            <w:pPr>
              <w:spacing w:line="360" w:lineRule="auto"/>
              <w:jc w:val="both"/>
              <w:rPr>
                <w:rFonts w:ascii="Times New Roman" w:hAnsi="Times New Roman" w:cs="Times New Roman"/>
              </w:rPr>
            </w:pPr>
            <w:r>
              <w:rPr>
                <w:rFonts w:ascii="Times New Roman" w:hAnsi="Times New Roman" w:cs="Times New Roman"/>
              </w:rPr>
              <w:t>11</w:t>
            </w:r>
          </w:p>
        </w:tc>
      </w:tr>
    </w:tbl>
    <w:p w14:paraId="3835D055" w14:textId="0DA7A71D" w:rsidR="00903B18" w:rsidRPr="00903B18" w:rsidRDefault="006C1287" w:rsidP="00903B18">
      <w:pPr>
        <w:spacing w:line="360" w:lineRule="auto"/>
        <w:jc w:val="both"/>
        <w:rPr>
          <w:rFonts w:ascii="Times New Roman" w:hAnsi="Times New Roman" w:cs="Times New Roman"/>
          <w:b/>
          <w:bCs/>
        </w:rPr>
      </w:pPr>
      <w:r w:rsidRPr="00903B18">
        <w:rPr>
          <w:rFonts w:ascii="Times New Roman" w:hAnsi="Times New Roman" w:cs="Times New Roman"/>
          <w:b/>
          <w:bCs/>
        </w:rPr>
        <w:t>Table 4-</w:t>
      </w:r>
      <w:r w:rsidR="00903B18" w:rsidRPr="00903B18">
        <w:rPr>
          <w:rFonts w:ascii="Times New Roman" w:hAnsi="Times New Roman" w:cs="Times New Roman"/>
          <w:b/>
          <w:bCs/>
          <w:i/>
          <w:iCs/>
        </w:rPr>
        <w:t xml:space="preserve"> </w:t>
      </w:r>
      <w:r w:rsidR="00903B18" w:rsidRPr="00903B18">
        <w:rPr>
          <w:rFonts w:ascii="Times New Roman" w:hAnsi="Times New Roman" w:cs="Times New Roman"/>
          <w:b/>
          <w:bCs/>
        </w:rPr>
        <w:t>Enrolment Trends by Vulnerable Group</w:t>
      </w:r>
    </w:p>
    <w:p w14:paraId="2E23AA5E" w14:textId="0A5765BC" w:rsidR="00C66E38" w:rsidRDefault="00C66E38">
      <w:pPr>
        <w:spacing w:after="0" w:line="240" w:lineRule="auto"/>
        <w:jc w:val="both"/>
        <w:rPr>
          <w:rFonts w:ascii="Times New Roman" w:hAnsi="Times New Roman" w:cs="Times New Roman"/>
          <w:b/>
          <w:bCs/>
          <w:i/>
          <w:iCs/>
          <w:sz w:val="16"/>
          <w:szCs w:val="16"/>
        </w:rPr>
      </w:pPr>
    </w:p>
    <w:p w14:paraId="294B96B7" w14:textId="77777777" w:rsidR="00C66E38" w:rsidRDefault="00981AE8">
      <w:pPr>
        <w:spacing w:after="0" w:line="240" w:lineRule="auto"/>
        <w:jc w:val="both"/>
        <w:rPr>
          <w:rFonts w:ascii="Times New Roman" w:hAnsi="Times New Roman" w:cs="Times New Roman"/>
        </w:rPr>
      </w:pPr>
      <w:r>
        <w:rPr>
          <w:rFonts w:ascii="Times New Roman" w:hAnsi="Times New Roman" w:cs="Times New Roman"/>
          <w:b/>
          <w:bCs/>
          <w:i/>
          <w:iCs/>
        </w:rPr>
        <w:t>Note on Category Overlap:</w:t>
      </w:r>
      <w:r>
        <w:rPr>
          <w:rFonts w:ascii="Times New Roman" w:hAnsi="Times New Roman" w:cs="Times New Roman"/>
        </w:rPr>
        <w:t xml:space="preserve"> The vulnerable population categories presented above are not mutually exclusive, and the percentages therefore sum to more than 100%. Many beneficiaries belong to multiple vulnerability categories simultaneously.</w:t>
      </w:r>
    </w:p>
    <w:p w14:paraId="53E1B7A8" w14:textId="77777777" w:rsidR="00C66E38" w:rsidRDefault="00C66E38">
      <w:pPr>
        <w:spacing w:after="0" w:line="240" w:lineRule="auto"/>
        <w:jc w:val="both"/>
        <w:rPr>
          <w:rFonts w:ascii="Times New Roman" w:hAnsi="Times New Roman" w:cs="Times New Roman"/>
        </w:rPr>
      </w:pPr>
    </w:p>
    <w:p w14:paraId="154F8552" w14:textId="7320021F" w:rsidR="00C66E38" w:rsidRPr="004C0700" w:rsidRDefault="001D20E5">
      <w:pPr>
        <w:spacing w:after="0" w:line="240" w:lineRule="auto"/>
        <w:jc w:val="both"/>
        <w:rPr>
          <w:rFonts w:ascii="Times New Roman" w:hAnsi="Times New Roman" w:cs="Times New Roman"/>
          <w:lang w:val="en-US"/>
        </w:rPr>
      </w:pPr>
      <w:r w:rsidRPr="001D20E5">
        <w:rPr>
          <w:rFonts w:ascii="Times New Roman" w:hAnsi="Times New Roman" w:cs="Times New Roman"/>
          <w:noProof/>
          <w:lang w:val="en-US"/>
        </w:rPr>
        <w:drawing>
          <wp:inline distT="0" distB="0" distL="0" distR="0" wp14:anchorId="0656C115" wp14:editId="1FF0907E">
            <wp:extent cx="5731510" cy="3275330"/>
            <wp:effectExtent l="0" t="0" r="2540" b="1270"/>
            <wp:docPr id="1305806341" name="Picture 6" descr="A graph of different colored rectangular sha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06341" name="Picture 6" descr="A graph of different colored rectangular shapes&#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3275330"/>
                    </a:xfrm>
                    <a:prstGeom prst="rect">
                      <a:avLst/>
                    </a:prstGeom>
                    <a:noFill/>
                    <a:ln>
                      <a:noFill/>
                    </a:ln>
                  </pic:spPr>
                </pic:pic>
              </a:graphicData>
            </a:graphic>
          </wp:inline>
        </w:drawing>
      </w:r>
    </w:p>
    <w:p w14:paraId="26BA53BD" w14:textId="77777777" w:rsidR="00C66E38" w:rsidRDefault="00981AE8">
      <w:pPr>
        <w:spacing w:after="0" w:line="240" w:lineRule="auto"/>
        <w:jc w:val="both"/>
        <w:rPr>
          <w:rFonts w:ascii="Times New Roman" w:hAnsi="Times New Roman" w:cs="Times New Roman"/>
          <w:b/>
          <w:bCs/>
        </w:rPr>
      </w:pPr>
      <w:r>
        <w:rPr>
          <w:rFonts w:ascii="Times New Roman" w:hAnsi="Times New Roman" w:cs="Times New Roman"/>
          <w:b/>
          <w:bCs/>
        </w:rPr>
        <w:t xml:space="preserve">Figure 5: Vulnerable Population Distribution </w:t>
      </w:r>
    </w:p>
    <w:p w14:paraId="552B2EEF" w14:textId="77777777" w:rsidR="00C66E38" w:rsidRDefault="00C66E38">
      <w:pPr>
        <w:spacing w:after="0" w:line="240" w:lineRule="auto"/>
        <w:jc w:val="both"/>
        <w:rPr>
          <w:rFonts w:ascii="Times New Roman" w:hAnsi="Times New Roman" w:cs="Times New Roman"/>
        </w:rPr>
      </w:pPr>
    </w:p>
    <w:p w14:paraId="74B46648" w14:textId="77777777" w:rsidR="00C66E38" w:rsidRDefault="00981AE8">
      <w:pPr>
        <w:spacing w:after="0" w:line="240" w:lineRule="auto"/>
        <w:jc w:val="both"/>
        <w:rPr>
          <w:rFonts w:ascii="Times New Roman" w:hAnsi="Times New Roman" w:cs="Times New Roman"/>
        </w:rPr>
      </w:pPr>
      <w:r>
        <w:rPr>
          <w:rFonts w:ascii="Times New Roman" w:hAnsi="Times New Roman" w:cs="Times New Roman"/>
        </w:rPr>
        <w:t>The vulnerable population distribution shows strong alignment with the program's primary health care focus. Children under 5 years constitute the largest group at </w:t>
      </w:r>
      <w:r>
        <w:rPr>
          <w:rFonts w:ascii="Times New Roman" w:hAnsi="Times New Roman" w:cs="Times New Roman"/>
          <w:b/>
          <w:bCs/>
        </w:rPr>
        <w:t>37.21%</w:t>
      </w:r>
      <w:r>
        <w:rPr>
          <w:rFonts w:ascii="Times New Roman" w:hAnsi="Times New Roman" w:cs="Times New Roman"/>
        </w:rPr>
        <w:t xml:space="preserve"> (42,452), </w:t>
      </w:r>
      <w:r>
        <w:rPr>
          <w:rFonts w:ascii="Times New Roman" w:hAnsi="Times New Roman" w:cs="Times New Roman"/>
        </w:rPr>
        <w:lastRenderedPageBreak/>
        <w:t>reflecting the emphasis on child survival and development programs including immunization and malaria treatment.</w:t>
      </w:r>
    </w:p>
    <w:p w14:paraId="47C4C1BB" w14:textId="77777777" w:rsidR="00C66E38" w:rsidRDefault="00C66E38">
      <w:pPr>
        <w:spacing w:after="0" w:line="240" w:lineRule="auto"/>
        <w:jc w:val="both"/>
        <w:rPr>
          <w:rFonts w:ascii="Times New Roman" w:hAnsi="Times New Roman" w:cs="Times New Roman"/>
        </w:rPr>
      </w:pPr>
    </w:p>
    <w:p w14:paraId="6248FA39" w14:textId="77777777" w:rsidR="00C66E38" w:rsidRDefault="00981AE8">
      <w:pPr>
        <w:spacing w:after="0" w:line="240" w:lineRule="auto"/>
        <w:jc w:val="both"/>
        <w:rPr>
          <w:rFonts w:ascii="Times New Roman" w:hAnsi="Times New Roman" w:cs="Times New Roman"/>
        </w:rPr>
      </w:pPr>
      <w:r>
        <w:rPr>
          <w:rFonts w:ascii="Times New Roman" w:hAnsi="Times New Roman" w:cs="Times New Roman"/>
        </w:rPr>
        <w:t>The combined poor and elderly populations represent 42.54% of enrolees (48,544), demonstrating the program's social protection function. Maternal health receives appropriate emphasis with pregnant women comprising 13.25% (15,119) of enrolees. However, certain vulnerable groups appear underrepresented: People Living with HIV (PLHIV) show only 3 enrolees, which is implausibly low given HIV prevalence in Nigeria. This may indicate stigma, missed targeting, or data recording issues. Similarly, persons with disabilities (1,507, or 1.32%) appear underrepresented compared to typical disability prevalence rates of 7-15% in developing countries, suggesting accessibility barriers or inadequate outreach to this population.</w:t>
      </w:r>
    </w:p>
    <w:p w14:paraId="24B44E00" w14:textId="77777777" w:rsidR="00C66E38" w:rsidRDefault="00C66E38">
      <w:pPr>
        <w:spacing w:after="0" w:line="240" w:lineRule="auto"/>
        <w:jc w:val="both"/>
        <w:rPr>
          <w:rFonts w:ascii="Times New Roman" w:hAnsi="Times New Roman" w:cs="Times New Roman"/>
        </w:rPr>
      </w:pPr>
    </w:p>
    <w:p w14:paraId="3421220E" w14:textId="2FD55D9D" w:rsidR="00C66E38" w:rsidRDefault="002E427A">
      <w:pPr>
        <w:spacing w:after="0" w:line="240" w:lineRule="auto"/>
        <w:jc w:val="both"/>
        <w:rPr>
          <w:rFonts w:ascii="Times New Roman" w:hAnsi="Times New Roman" w:cs="Times New Roman"/>
          <w:b/>
          <w:bCs/>
        </w:rPr>
      </w:pPr>
      <w:r>
        <w:rPr>
          <w:rFonts w:ascii="Times New Roman" w:hAnsi="Times New Roman" w:cs="Times New Roman"/>
          <w:b/>
          <w:bCs/>
        </w:rPr>
        <w:t>2. Analysis of Primary Healthcare Service Utilization Patterns</w:t>
      </w:r>
    </w:p>
    <w:p w14:paraId="76243492" w14:textId="77777777" w:rsidR="00C66E38" w:rsidRDefault="00C66E38">
      <w:pPr>
        <w:spacing w:after="0" w:line="240" w:lineRule="auto"/>
        <w:jc w:val="both"/>
        <w:rPr>
          <w:rFonts w:ascii="Times New Roman" w:hAnsi="Times New Roman" w:cs="Times New Roman"/>
          <w:b/>
          <w:bCs/>
        </w:rPr>
      </w:pPr>
    </w:p>
    <w:p w14:paraId="6601BBCC" w14:textId="77777777" w:rsidR="00C66E38" w:rsidRDefault="00981AE8">
      <w:pPr>
        <w:spacing w:after="0" w:line="240" w:lineRule="auto"/>
        <w:jc w:val="both"/>
        <w:rPr>
          <w:rFonts w:ascii="Times New Roman" w:hAnsi="Times New Roman" w:cs="Times New Roman"/>
          <w:b/>
          <w:bCs/>
        </w:rPr>
      </w:pPr>
      <w:r>
        <w:rPr>
          <w:rFonts w:ascii="Times New Roman" w:hAnsi="Times New Roman" w:cs="Times New Roman"/>
          <w:b/>
          <w:bCs/>
        </w:rPr>
        <w:t xml:space="preserve">2.1 </w:t>
      </w:r>
      <w:r>
        <w:rPr>
          <w:rFonts w:ascii="Times New Roman" w:hAnsi="Times New Roman" w:cs="Times New Roman"/>
          <w:b/>
          <w:bCs/>
        </w:rPr>
        <w:tab/>
        <w:t>Overall Service Utilization Trends</w:t>
      </w:r>
    </w:p>
    <w:p w14:paraId="6B8E7D90" w14:textId="77777777" w:rsidR="00C66E38" w:rsidRDefault="00C66E38">
      <w:pPr>
        <w:spacing w:after="0" w:line="240" w:lineRule="auto"/>
        <w:jc w:val="both"/>
        <w:rPr>
          <w:rFonts w:ascii="Times New Roman" w:hAnsi="Times New Roman" w:cs="Times New Roman"/>
          <w:b/>
          <w:bCs/>
        </w:rPr>
      </w:pPr>
    </w:p>
    <w:p w14:paraId="5473F233" w14:textId="77777777" w:rsidR="00C66E38" w:rsidRDefault="00981AE8">
      <w:pPr>
        <w:spacing w:after="0" w:line="240" w:lineRule="auto"/>
        <w:jc w:val="both"/>
        <w:rPr>
          <w:rFonts w:ascii="Times New Roman" w:hAnsi="Times New Roman" w:cs="Times New Roman"/>
        </w:rPr>
      </w:pPr>
      <w:r>
        <w:rPr>
          <w:rFonts w:ascii="Times New Roman" w:hAnsi="Times New Roman" w:cs="Times New Roman"/>
        </w:rPr>
        <w:t>The service utilization analysis tracks the cumulative number of unique beneficiaries who actively utilized services during each reporting period, distinct from the total enrolment figures reported in Section 1.1. While total enrolment captures all individuals registered into the scheme, the figures below reflect only those enrolees who actually accessed healthcare services at accredited facilities during the specified months.</w:t>
      </w:r>
    </w:p>
    <w:p w14:paraId="2BA56662" w14:textId="12AB7041" w:rsidR="006C1287" w:rsidRPr="00903B18" w:rsidRDefault="006C1287">
      <w:pPr>
        <w:spacing w:after="0" w:line="240" w:lineRule="auto"/>
        <w:jc w:val="both"/>
        <w:rPr>
          <w:rFonts w:ascii="Times New Roman" w:hAnsi="Times New Roman" w:cs="Times New Roman"/>
          <w:b/>
          <w:bCs/>
        </w:rPr>
      </w:pPr>
      <w:r w:rsidRPr="00903B18">
        <w:rPr>
          <w:rFonts w:ascii="Times New Roman" w:hAnsi="Times New Roman" w:cs="Times New Roman"/>
          <w:b/>
          <w:bCs/>
        </w:rPr>
        <w:t>Table 5-</w:t>
      </w:r>
      <w:r w:rsidR="00903B18" w:rsidRPr="00903B18">
        <w:rPr>
          <w:rFonts w:ascii="Times New Roman" w:hAnsi="Times New Roman" w:cs="Times New Roman"/>
          <w:b/>
          <w:bCs/>
        </w:rPr>
        <w:t xml:space="preserve"> Primary Healthcare Service Utilization analysis </w:t>
      </w:r>
    </w:p>
    <w:p w14:paraId="76863F69" w14:textId="77777777" w:rsidR="0065495E" w:rsidRDefault="0065495E">
      <w:pPr>
        <w:spacing w:after="0" w:line="240" w:lineRule="auto"/>
        <w:jc w:val="both"/>
        <w:rPr>
          <w:rFonts w:ascii="Times New Roman" w:hAnsi="Times New Roman" w:cs="Times New Roman"/>
        </w:rPr>
      </w:pPr>
    </w:p>
    <w:tbl>
      <w:tblPr>
        <w:tblW w:w="9297" w:type="dxa"/>
        <w:tblLook w:val="04A0" w:firstRow="1" w:lastRow="0" w:firstColumn="1" w:lastColumn="0" w:noHBand="0" w:noVBand="1"/>
      </w:tblPr>
      <w:tblGrid>
        <w:gridCol w:w="1057"/>
        <w:gridCol w:w="1797"/>
        <w:gridCol w:w="1378"/>
        <w:gridCol w:w="1610"/>
        <w:gridCol w:w="1176"/>
        <w:gridCol w:w="1356"/>
        <w:gridCol w:w="923"/>
      </w:tblGrid>
      <w:tr w:rsidR="00B004A0" w:rsidRPr="002D16C1" w14:paraId="0E4E21FA" w14:textId="77777777" w:rsidTr="00B004A0">
        <w:trPr>
          <w:trHeight w:val="304"/>
        </w:trPr>
        <w:tc>
          <w:tcPr>
            <w:tcW w:w="870" w:type="dxa"/>
            <w:tcBorders>
              <w:top w:val="single" w:sz="8" w:space="0" w:color="7F7F7F"/>
              <w:left w:val="single" w:sz="4" w:space="0" w:color="44B3E1"/>
              <w:bottom w:val="single" w:sz="8" w:space="0" w:color="7F7F7F"/>
              <w:right w:val="nil"/>
            </w:tcBorders>
            <w:shd w:val="clear" w:color="156082" w:fill="156082"/>
            <w:vAlign w:val="center"/>
            <w:hideMark/>
          </w:tcPr>
          <w:p w14:paraId="24F4EF06" w14:textId="77777777" w:rsidR="009C58C0" w:rsidRPr="009C58C0" w:rsidRDefault="009C58C0" w:rsidP="0065495E">
            <w:pPr>
              <w:spacing w:after="0" w:line="360" w:lineRule="auto"/>
              <w:jc w:val="both"/>
              <w:rPr>
                <w:rFonts w:ascii="Times New Roman" w:eastAsia="Times New Roman" w:hAnsi="Times New Roman" w:cs="Times New Roman"/>
                <w:b/>
                <w:bCs/>
                <w:color w:val="FFFFFF"/>
                <w:kern w:val="0"/>
                <w:lang w:val="en-US"/>
                <w14:ligatures w14:val="none"/>
              </w:rPr>
            </w:pPr>
            <w:r w:rsidRPr="009C58C0">
              <w:rPr>
                <w:rFonts w:ascii="Times New Roman" w:eastAsia="Times New Roman" w:hAnsi="Times New Roman" w:cs="Times New Roman"/>
                <w:b/>
                <w:bCs/>
                <w:color w:val="FFFFFF"/>
                <w:kern w:val="0"/>
                <w14:ligatures w14:val="none"/>
              </w:rPr>
              <w:t>Period</w:t>
            </w:r>
          </w:p>
        </w:tc>
        <w:tc>
          <w:tcPr>
            <w:tcW w:w="1962" w:type="dxa"/>
            <w:tcBorders>
              <w:top w:val="single" w:sz="8" w:space="0" w:color="7F7F7F"/>
              <w:left w:val="nil"/>
              <w:bottom w:val="single" w:sz="8" w:space="0" w:color="7F7F7F"/>
              <w:right w:val="nil"/>
            </w:tcBorders>
            <w:shd w:val="clear" w:color="156082" w:fill="156082"/>
            <w:vAlign w:val="center"/>
            <w:hideMark/>
          </w:tcPr>
          <w:p w14:paraId="63828A66" w14:textId="77777777" w:rsidR="009C58C0" w:rsidRPr="009C58C0" w:rsidRDefault="009C58C0" w:rsidP="0065495E">
            <w:pPr>
              <w:spacing w:after="0" w:line="360" w:lineRule="auto"/>
              <w:jc w:val="both"/>
              <w:rPr>
                <w:rFonts w:ascii="Times New Roman" w:eastAsia="Times New Roman" w:hAnsi="Times New Roman" w:cs="Times New Roman"/>
                <w:b/>
                <w:bCs/>
                <w:color w:val="FFFFFF"/>
                <w:kern w:val="0"/>
                <w:lang w:val="en-US"/>
                <w14:ligatures w14:val="none"/>
              </w:rPr>
            </w:pPr>
            <w:r w:rsidRPr="009C58C0">
              <w:rPr>
                <w:rFonts w:ascii="Times New Roman" w:eastAsia="Times New Roman" w:hAnsi="Times New Roman" w:cs="Times New Roman"/>
                <w:b/>
                <w:bCs/>
                <w:color w:val="FFFFFF"/>
                <w:kern w:val="0"/>
                <w14:ligatures w14:val="none"/>
              </w:rPr>
              <w:t>Active Service Users</w:t>
            </w:r>
          </w:p>
        </w:tc>
        <w:tc>
          <w:tcPr>
            <w:tcW w:w="1442" w:type="dxa"/>
            <w:tcBorders>
              <w:top w:val="single" w:sz="8" w:space="0" w:color="7F7F7F"/>
              <w:left w:val="nil"/>
              <w:bottom w:val="single" w:sz="8" w:space="0" w:color="7F7F7F"/>
              <w:right w:val="nil"/>
            </w:tcBorders>
            <w:shd w:val="clear" w:color="156082" w:fill="156082"/>
            <w:vAlign w:val="center"/>
            <w:hideMark/>
          </w:tcPr>
          <w:p w14:paraId="2204675D" w14:textId="77777777" w:rsidR="009C58C0" w:rsidRPr="009C58C0" w:rsidRDefault="009C58C0" w:rsidP="0065495E">
            <w:pPr>
              <w:spacing w:after="0" w:line="360" w:lineRule="auto"/>
              <w:jc w:val="both"/>
              <w:rPr>
                <w:rFonts w:ascii="Times New Roman" w:eastAsia="Times New Roman" w:hAnsi="Times New Roman" w:cs="Times New Roman"/>
                <w:b/>
                <w:bCs/>
                <w:color w:val="FFFFFF"/>
                <w:kern w:val="0"/>
                <w:lang w:val="en-US"/>
                <w14:ligatures w14:val="none"/>
              </w:rPr>
            </w:pPr>
            <w:r w:rsidRPr="009C58C0">
              <w:rPr>
                <w:rFonts w:ascii="Times New Roman" w:eastAsia="Times New Roman" w:hAnsi="Times New Roman" w:cs="Times New Roman"/>
                <w:b/>
                <w:bCs/>
                <w:color w:val="FFFFFF"/>
                <w:kern w:val="0"/>
                <w14:ligatures w14:val="none"/>
              </w:rPr>
              <w:t>Total Services</w:t>
            </w:r>
          </w:p>
        </w:tc>
        <w:tc>
          <w:tcPr>
            <w:tcW w:w="1719" w:type="dxa"/>
            <w:tcBorders>
              <w:top w:val="single" w:sz="8" w:space="0" w:color="7F7F7F"/>
              <w:left w:val="nil"/>
              <w:bottom w:val="single" w:sz="8" w:space="0" w:color="7F7F7F"/>
              <w:right w:val="nil"/>
            </w:tcBorders>
            <w:shd w:val="clear" w:color="156082" w:fill="156082"/>
            <w:vAlign w:val="center"/>
            <w:hideMark/>
          </w:tcPr>
          <w:p w14:paraId="1DFE1B60" w14:textId="77777777" w:rsidR="009C58C0" w:rsidRPr="009C58C0" w:rsidRDefault="009C58C0" w:rsidP="0065495E">
            <w:pPr>
              <w:spacing w:after="0" w:line="360" w:lineRule="auto"/>
              <w:jc w:val="both"/>
              <w:rPr>
                <w:rFonts w:ascii="Times New Roman" w:eastAsia="Times New Roman" w:hAnsi="Times New Roman" w:cs="Times New Roman"/>
                <w:b/>
                <w:bCs/>
                <w:color w:val="FFFFFF"/>
                <w:kern w:val="0"/>
                <w:lang w:val="en-US"/>
                <w14:ligatures w14:val="none"/>
              </w:rPr>
            </w:pPr>
            <w:r w:rsidRPr="009C58C0">
              <w:rPr>
                <w:rFonts w:ascii="Times New Roman" w:eastAsia="Times New Roman" w:hAnsi="Times New Roman" w:cs="Times New Roman"/>
                <w:b/>
                <w:bCs/>
                <w:color w:val="FFFFFF"/>
                <w:kern w:val="0"/>
                <w14:ligatures w14:val="none"/>
              </w:rPr>
              <w:t>Services per User</w:t>
            </w:r>
          </w:p>
        </w:tc>
        <w:tc>
          <w:tcPr>
            <w:tcW w:w="1054" w:type="dxa"/>
            <w:tcBorders>
              <w:top w:val="single" w:sz="8" w:space="0" w:color="7F7F7F"/>
              <w:left w:val="nil"/>
              <w:bottom w:val="single" w:sz="8" w:space="0" w:color="7F7F7F"/>
              <w:right w:val="nil"/>
            </w:tcBorders>
            <w:shd w:val="clear" w:color="156082" w:fill="156082"/>
            <w:vAlign w:val="center"/>
            <w:hideMark/>
          </w:tcPr>
          <w:p w14:paraId="386CFB61" w14:textId="77777777" w:rsidR="009C58C0" w:rsidRPr="009C58C0" w:rsidRDefault="009C58C0" w:rsidP="0065495E">
            <w:pPr>
              <w:spacing w:after="0" w:line="360" w:lineRule="auto"/>
              <w:jc w:val="both"/>
              <w:rPr>
                <w:rFonts w:ascii="Times New Roman" w:eastAsia="Times New Roman" w:hAnsi="Times New Roman" w:cs="Times New Roman"/>
                <w:b/>
                <w:bCs/>
                <w:color w:val="FFFFFF"/>
                <w:kern w:val="0"/>
                <w:lang w:val="en-US"/>
                <w14:ligatures w14:val="none"/>
              </w:rPr>
            </w:pPr>
            <w:r w:rsidRPr="009C58C0">
              <w:rPr>
                <w:rFonts w:ascii="Times New Roman" w:eastAsia="Times New Roman" w:hAnsi="Times New Roman" w:cs="Times New Roman"/>
                <w:b/>
                <w:bCs/>
                <w:color w:val="FFFFFF"/>
                <w:kern w:val="0"/>
                <w14:ligatures w14:val="none"/>
              </w:rPr>
              <w:t>Referrals</w:t>
            </w:r>
          </w:p>
        </w:tc>
        <w:tc>
          <w:tcPr>
            <w:tcW w:w="1410" w:type="dxa"/>
            <w:tcBorders>
              <w:top w:val="single" w:sz="8" w:space="0" w:color="7F7F7F"/>
              <w:left w:val="nil"/>
              <w:bottom w:val="single" w:sz="8" w:space="0" w:color="7F7F7F"/>
              <w:right w:val="nil"/>
            </w:tcBorders>
            <w:shd w:val="clear" w:color="156082" w:fill="156082"/>
            <w:vAlign w:val="center"/>
            <w:hideMark/>
          </w:tcPr>
          <w:p w14:paraId="47F49958" w14:textId="77777777" w:rsidR="009C58C0" w:rsidRPr="009C58C0" w:rsidRDefault="009C58C0" w:rsidP="0065495E">
            <w:pPr>
              <w:spacing w:after="0" w:line="360" w:lineRule="auto"/>
              <w:jc w:val="both"/>
              <w:rPr>
                <w:rFonts w:ascii="Times New Roman" w:eastAsia="Times New Roman" w:hAnsi="Times New Roman" w:cs="Times New Roman"/>
                <w:b/>
                <w:bCs/>
                <w:color w:val="FFFFFF"/>
                <w:kern w:val="0"/>
                <w:lang w:val="en-US"/>
                <w14:ligatures w14:val="none"/>
              </w:rPr>
            </w:pPr>
            <w:r w:rsidRPr="009C58C0">
              <w:rPr>
                <w:rFonts w:ascii="Times New Roman" w:eastAsia="Times New Roman" w:hAnsi="Times New Roman" w:cs="Times New Roman"/>
                <w:b/>
                <w:bCs/>
                <w:color w:val="FFFFFF"/>
                <w:kern w:val="0"/>
                <w14:ligatures w14:val="none"/>
              </w:rPr>
              <w:t>Referral Rate</w:t>
            </w:r>
          </w:p>
        </w:tc>
        <w:tc>
          <w:tcPr>
            <w:tcW w:w="840" w:type="dxa"/>
            <w:tcBorders>
              <w:top w:val="single" w:sz="8" w:space="0" w:color="7F7F7F"/>
              <w:left w:val="nil"/>
              <w:bottom w:val="single" w:sz="8" w:space="0" w:color="7F7F7F"/>
              <w:right w:val="single" w:sz="4" w:space="0" w:color="44B3E1"/>
            </w:tcBorders>
            <w:shd w:val="clear" w:color="156082" w:fill="156082"/>
            <w:vAlign w:val="center"/>
            <w:hideMark/>
          </w:tcPr>
          <w:p w14:paraId="0DABAE65" w14:textId="77777777" w:rsidR="009C58C0" w:rsidRPr="009C58C0" w:rsidRDefault="009C58C0" w:rsidP="0065495E">
            <w:pPr>
              <w:spacing w:after="0" w:line="360" w:lineRule="auto"/>
              <w:jc w:val="both"/>
              <w:rPr>
                <w:rFonts w:ascii="Times New Roman" w:eastAsia="Times New Roman" w:hAnsi="Times New Roman" w:cs="Times New Roman"/>
                <w:b/>
                <w:bCs/>
                <w:color w:val="FFFFFF"/>
                <w:kern w:val="0"/>
                <w:lang w:val="en-US"/>
                <w14:ligatures w14:val="none"/>
              </w:rPr>
            </w:pPr>
            <w:r w:rsidRPr="009C58C0">
              <w:rPr>
                <w:rFonts w:ascii="Times New Roman" w:eastAsia="Times New Roman" w:hAnsi="Times New Roman" w:cs="Times New Roman"/>
                <w:b/>
                <w:bCs/>
                <w:color w:val="FFFFFF"/>
                <w:kern w:val="0"/>
                <w14:ligatures w14:val="none"/>
              </w:rPr>
              <w:t>Deaths</w:t>
            </w:r>
          </w:p>
        </w:tc>
      </w:tr>
      <w:tr w:rsidR="00B004A0" w:rsidRPr="002D16C1" w14:paraId="6F91C200" w14:textId="77777777" w:rsidTr="00B004A0">
        <w:trPr>
          <w:trHeight w:val="609"/>
        </w:trPr>
        <w:tc>
          <w:tcPr>
            <w:tcW w:w="870" w:type="dxa"/>
            <w:tcBorders>
              <w:top w:val="single" w:sz="4" w:space="0" w:color="44B3E1"/>
              <w:left w:val="single" w:sz="4" w:space="0" w:color="44B3E1"/>
              <w:bottom w:val="single" w:sz="4" w:space="0" w:color="44B3E1"/>
              <w:right w:val="nil"/>
            </w:tcBorders>
            <w:shd w:val="clear" w:color="C0E6F5" w:fill="C0E6F5"/>
            <w:vAlign w:val="center"/>
            <w:hideMark/>
          </w:tcPr>
          <w:p w14:paraId="667A19A8" w14:textId="77777777" w:rsidR="009C58C0" w:rsidRPr="009C58C0" w:rsidRDefault="009C58C0" w:rsidP="0065495E">
            <w:pPr>
              <w:spacing w:after="0" w:line="360" w:lineRule="auto"/>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Q3 2024 (Jul-Sep)</w:t>
            </w:r>
          </w:p>
        </w:tc>
        <w:tc>
          <w:tcPr>
            <w:tcW w:w="1962" w:type="dxa"/>
            <w:tcBorders>
              <w:top w:val="single" w:sz="4" w:space="0" w:color="44B3E1"/>
              <w:left w:val="nil"/>
              <w:bottom w:val="single" w:sz="4" w:space="0" w:color="44B3E1"/>
              <w:right w:val="nil"/>
            </w:tcBorders>
            <w:shd w:val="clear" w:color="C0E6F5" w:fill="C0E6F5"/>
            <w:vAlign w:val="center"/>
            <w:hideMark/>
          </w:tcPr>
          <w:p w14:paraId="753737D1"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1,137</w:t>
            </w:r>
          </w:p>
        </w:tc>
        <w:tc>
          <w:tcPr>
            <w:tcW w:w="1442" w:type="dxa"/>
            <w:tcBorders>
              <w:top w:val="single" w:sz="4" w:space="0" w:color="44B3E1"/>
              <w:left w:val="nil"/>
              <w:bottom w:val="single" w:sz="4" w:space="0" w:color="44B3E1"/>
              <w:right w:val="nil"/>
            </w:tcBorders>
            <w:shd w:val="clear" w:color="C0E6F5" w:fill="C0E6F5"/>
            <w:vAlign w:val="center"/>
            <w:hideMark/>
          </w:tcPr>
          <w:p w14:paraId="62653B71"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1,709</w:t>
            </w:r>
          </w:p>
        </w:tc>
        <w:tc>
          <w:tcPr>
            <w:tcW w:w="1719" w:type="dxa"/>
            <w:tcBorders>
              <w:top w:val="single" w:sz="4" w:space="0" w:color="44B3E1"/>
              <w:left w:val="nil"/>
              <w:bottom w:val="single" w:sz="4" w:space="0" w:color="44B3E1"/>
              <w:right w:val="nil"/>
            </w:tcBorders>
            <w:shd w:val="clear" w:color="C0E6F5" w:fill="C0E6F5"/>
            <w:vAlign w:val="center"/>
            <w:hideMark/>
          </w:tcPr>
          <w:p w14:paraId="60A65B41"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1.5</w:t>
            </w:r>
          </w:p>
        </w:tc>
        <w:tc>
          <w:tcPr>
            <w:tcW w:w="1054" w:type="dxa"/>
            <w:tcBorders>
              <w:top w:val="single" w:sz="4" w:space="0" w:color="44B3E1"/>
              <w:left w:val="nil"/>
              <w:bottom w:val="single" w:sz="4" w:space="0" w:color="44B3E1"/>
              <w:right w:val="nil"/>
            </w:tcBorders>
            <w:shd w:val="clear" w:color="C0E6F5" w:fill="C0E6F5"/>
            <w:vAlign w:val="center"/>
            <w:hideMark/>
          </w:tcPr>
          <w:p w14:paraId="6907BA75"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5</w:t>
            </w:r>
          </w:p>
        </w:tc>
        <w:tc>
          <w:tcPr>
            <w:tcW w:w="1410" w:type="dxa"/>
            <w:tcBorders>
              <w:top w:val="single" w:sz="4" w:space="0" w:color="44B3E1"/>
              <w:left w:val="nil"/>
              <w:bottom w:val="single" w:sz="4" w:space="0" w:color="44B3E1"/>
              <w:right w:val="nil"/>
            </w:tcBorders>
            <w:shd w:val="clear" w:color="C0E6F5" w:fill="C0E6F5"/>
            <w:vAlign w:val="center"/>
            <w:hideMark/>
          </w:tcPr>
          <w:p w14:paraId="6888FF48"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0.29%</w:t>
            </w:r>
          </w:p>
        </w:tc>
        <w:tc>
          <w:tcPr>
            <w:tcW w:w="840" w:type="dxa"/>
            <w:tcBorders>
              <w:top w:val="single" w:sz="4" w:space="0" w:color="44B3E1"/>
              <w:left w:val="nil"/>
              <w:bottom w:val="single" w:sz="4" w:space="0" w:color="44B3E1"/>
              <w:right w:val="single" w:sz="4" w:space="0" w:color="44B3E1"/>
            </w:tcBorders>
            <w:shd w:val="clear" w:color="C0E6F5" w:fill="C0E6F5"/>
            <w:vAlign w:val="center"/>
            <w:hideMark/>
          </w:tcPr>
          <w:p w14:paraId="6AB652C2"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0</w:t>
            </w:r>
          </w:p>
        </w:tc>
      </w:tr>
      <w:tr w:rsidR="00B004A0" w:rsidRPr="002D16C1" w14:paraId="0DBD9E58" w14:textId="77777777" w:rsidTr="00B004A0">
        <w:trPr>
          <w:trHeight w:val="304"/>
        </w:trPr>
        <w:tc>
          <w:tcPr>
            <w:tcW w:w="870" w:type="dxa"/>
            <w:tcBorders>
              <w:top w:val="single" w:sz="4" w:space="0" w:color="44B3E1"/>
              <w:left w:val="single" w:sz="4" w:space="0" w:color="44B3E1"/>
              <w:bottom w:val="single" w:sz="4" w:space="0" w:color="44B3E1"/>
              <w:right w:val="nil"/>
            </w:tcBorders>
            <w:vAlign w:val="center"/>
            <w:hideMark/>
          </w:tcPr>
          <w:p w14:paraId="45CC7EEC"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24-Oct</w:t>
            </w:r>
          </w:p>
        </w:tc>
        <w:tc>
          <w:tcPr>
            <w:tcW w:w="1962" w:type="dxa"/>
            <w:tcBorders>
              <w:top w:val="single" w:sz="4" w:space="0" w:color="44B3E1"/>
              <w:left w:val="nil"/>
              <w:bottom w:val="single" w:sz="4" w:space="0" w:color="44B3E1"/>
              <w:right w:val="nil"/>
            </w:tcBorders>
            <w:vAlign w:val="center"/>
            <w:hideMark/>
          </w:tcPr>
          <w:p w14:paraId="512E0690"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3,148</w:t>
            </w:r>
          </w:p>
        </w:tc>
        <w:tc>
          <w:tcPr>
            <w:tcW w:w="1442" w:type="dxa"/>
            <w:tcBorders>
              <w:top w:val="single" w:sz="4" w:space="0" w:color="44B3E1"/>
              <w:left w:val="nil"/>
              <w:bottom w:val="single" w:sz="4" w:space="0" w:color="44B3E1"/>
              <w:right w:val="nil"/>
            </w:tcBorders>
            <w:vAlign w:val="center"/>
            <w:hideMark/>
          </w:tcPr>
          <w:p w14:paraId="6DBEB28D"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4,364</w:t>
            </w:r>
          </w:p>
        </w:tc>
        <w:tc>
          <w:tcPr>
            <w:tcW w:w="1719" w:type="dxa"/>
            <w:tcBorders>
              <w:top w:val="single" w:sz="4" w:space="0" w:color="44B3E1"/>
              <w:left w:val="nil"/>
              <w:bottom w:val="single" w:sz="4" w:space="0" w:color="44B3E1"/>
              <w:right w:val="nil"/>
            </w:tcBorders>
            <w:vAlign w:val="center"/>
            <w:hideMark/>
          </w:tcPr>
          <w:p w14:paraId="47D4CF2C"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1.39</w:t>
            </w:r>
          </w:p>
        </w:tc>
        <w:tc>
          <w:tcPr>
            <w:tcW w:w="1054" w:type="dxa"/>
            <w:tcBorders>
              <w:top w:val="single" w:sz="4" w:space="0" w:color="44B3E1"/>
              <w:left w:val="nil"/>
              <w:bottom w:val="single" w:sz="4" w:space="0" w:color="44B3E1"/>
              <w:right w:val="nil"/>
            </w:tcBorders>
            <w:vAlign w:val="center"/>
            <w:hideMark/>
          </w:tcPr>
          <w:p w14:paraId="4A1C9FE1"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6</w:t>
            </w:r>
          </w:p>
        </w:tc>
        <w:tc>
          <w:tcPr>
            <w:tcW w:w="1410" w:type="dxa"/>
            <w:tcBorders>
              <w:top w:val="single" w:sz="4" w:space="0" w:color="44B3E1"/>
              <w:left w:val="nil"/>
              <w:bottom w:val="single" w:sz="4" w:space="0" w:color="44B3E1"/>
              <w:right w:val="nil"/>
            </w:tcBorders>
            <w:vAlign w:val="center"/>
            <w:hideMark/>
          </w:tcPr>
          <w:p w14:paraId="472E4CDC"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0.14%</w:t>
            </w:r>
          </w:p>
        </w:tc>
        <w:tc>
          <w:tcPr>
            <w:tcW w:w="840" w:type="dxa"/>
            <w:tcBorders>
              <w:top w:val="single" w:sz="4" w:space="0" w:color="44B3E1"/>
              <w:left w:val="nil"/>
              <w:bottom w:val="single" w:sz="4" w:space="0" w:color="44B3E1"/>
              <w:right w:val="single" w:sz="4" w:space="0" w:color="44B3E1"/>
            </w:tcBorders>
            <w:vAlign w:val="center"/>
            <w:hideMark/>
          </w:tcPr>
          <w:p w14:paraId="564770C2"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0</w:t>
            </w:r>
          </w:p>
        </w:tc>
      </w:tr>
      <w:tr w:rsidR="00B004A0" w:rsidRPr="002D16C1" w14:paraId="4DC47F47" w14:textId="77777777" w:rsidTr="00B004A0">
        <w:trPr>
          <w:trHeight w:val="304"/>
        </w:trPr>
        <w:tc>
          <w:tcPr>
            <w:tcW w:w="870" w:type="dxa"/>
            <w:tcBorders>
              <w:top w:val="single" w:sz="4" w:space="0" w:color="44B3E1"/>
              <w:left w:val="single" w:sz="4" w:space="0" w:color="44B3E1"/>
              <w:bottom w:val="single" w:sz="4" w:space="0" w:color="44B3E1"/>
              <w:right w:val="nil"/>
            </w:tcBorders>
            <w:shd w:val="clear" w:color="C0E6F5" w:fill="C0E6F5"/>
            <w:vAlign w:val="center"/>
            <w:hideMark/>
          </w:tcPr>
          <w:p w14:paraId="3E703D9B"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24-Nov</w:t>
            </w:r>
          </w:p>
        </w:tc>
        <w:tc>
          <w:tcPr>
            <w:tcW w:w="1962" w:type="dxa"/>
            <w:tcBorders>
              <w:top w:val="single" w:sz="4" w:space="0" w:color="44B3E1"/>
              <w:left w:val="nil"/>
              <w:bottom w:val="single" w:sz="4" w:space="0" w:color="44B3E1"/>
              <w:right w:val="nil"/>
            </w:tcBorders>
            <w:shd w:val="clear" w:color="C0E6F5" w:fill="C0E6F5"/>
            <w:vAlign w:val="center"/>
            <w:hideMark/>
          </w:tcPr>
          <w:p w14:paraId="72F84084"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4,331</w:t>
            </w:r>
          </w:p>
        </w:tc>
        <w:tc>
          <w:tcPr>
            <w:tcW w:w="1442" w:type="dxa"/>
            <w:tcBorders>
              <w:top w:val="single" w:sz="4" w:space="0" w:color="44B3E1"/>
              <w:left w:val="nil"/>
              <w:bottom w:val="single" w:sz="4" w:space="0" w:color="44B3E1"/>
              <w:right w:val="nil"/>
            </w:tcBorders>
            <w:shd w:val="clear" w:color="C0E6F5" w:fill="C0E6F5"/>
            <w:vAlign w:val="center"/>
            <w:hideMark/>
          </w:tcPr>
          <w:p w14:paraId="38D006A8"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8,305</w:t>
            </w:r>
          </w:p>
        </w:tc>
        <w:tc>
          <w:tcPr>
            <w:tcW w:w="1719" w:type="dxa"/>
            <w:tcBorders>
              <w:top w:val="single" w:sz="4" w:space="0" w:color="44B3E1"/>
              <w:left w:val="nil"/>
              <w:bottom w:val="single" w:sz="4" w:space="0" w:color="44B3E1"/>
              <w:right w:val="nil"/>
            </w:tcBorders>
            <w:shd w:val="clear" w:color="C0E6F5" w:fill="C0E6F5"/>
            <w:vAlign w:val="center"/>
            <w:hideMark/>
          </w:tcPr>
          <w:p w14:paraId="1F9C3ADE"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1.92</w:t>
            </w:r>
          </w:p>
        </w:tc>
        <w:tc>
          <w:tcPr>
            <w:tcW w:w="1054" w:type="dxa"/>
            <w:tcBorders>
              <w:top w:val="single" w:sz="4" w:space="0" w:color="44B3E1"/>
              <w:left w:val="nil"/>
              <w:bottom w:val="single" w:sz="4" w:space="0" w:color="44B3E1"/>
              <w:right w:val="nil"/>
            </w:tcBorders>
            <w:shd w:val="clear" w:color="C0E6F5" w:fill="C0E6F5"/>
            <w:vAlign w:val="center"/>
            <w:hideMark/>
          </w:tcPr>
          <w:p w14:paraId="478B1656"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47</w:t>
            </w:r>
          </w:p>
        </w:tc>
        <w:tc>
          <w:tcPr>
            <w:tcW w:w="1410" w:type="dxa"/>
            <w:tcBorders>
              <w:top w:val="single" w:sz="4" w:space="0" w:color="44B3E1"/>
              <w:left w:val="nil"/>
              <w:bottom w:val="single" w:sz="4" w:space="0" w:color="44B3E1"/>
              <w:right w:val="nil"/>
            </w:tcBorders>
            <w:shd w:val="clear" w:color="C0E6F5" w:fill="C0E6F5"/>
            <w:vAlign w:val="center"/>
            <w:hideMark/>
          </w:tcPr>
          <w:p w14:paraId="3DE4CA38"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0.57%</w:t>
            </w:r>
          </w:p>
        </w:tc>
        <w:tc>
          <w:tcPr>
            <w:tcW w:w="840" w:type="dxa"/>
            <w:tcBorders>
              <w:top w:val="single" w:sz="4" w:space="0" w:color="44B3E1"/>
              <w:left w:val="nil"/>
              <w:bottom w:val="single" w:sz="4" w:space="0" w:color="44B3E1"/>
              <w:right w:val="single" w:sz="4" w:space="0" w:color="44B3E1"/>
            </w:tcBorders>
            <w:shd w:val="clear" w:color="C0E6F5" w:fill="C0E6F5"/>
            <w:vAlign w:val="center"/>
            <w:hideMark/>
          </w:tcPr>
          <w:p w14:paraId="0D2E8C2E"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1</w:t>
            </w:r>
          </w:p>
        </w:tc>
      </w:tr>
      <w:tr w:rsidR="00B004A0" w:rsidRPr="002D16C1" w14:paraId="630530B0" w14:textId="77777777" w:rsidTr="00B004A0">
        <w:trPr>
          <w:trHeight w:val="304"/>
        </w:trPr>
        <w:tc>
          <w:tcPr>
            <w:tcW w:w="870" w:type="dxa"/>
            <w:tcBorders>
              <w:top w:val="single" w:sz="4" w:space="0" w:color="44B3E1"/>
              <w:left w:val="single" w:sz="4" w:space="0" w:color="44B3E1"/>
              <w:bottom w:val="single" w:sz="4" w:space="0" w:color="44B3E1"/>
              <w:right w:val="nil"/>
            </w:tcBorders>
            <w:vAlign w:val="center"/>
            <w:hideMark/>
          </w:tcPr>
          <w:p w14:paraId="065393F9"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24-Dec</w:t>
            </w:r>
          </w:p>
        </w:tc>
        <w:tc>
          <w:tcPr>
            <w:tcW w:w="1962" w:type="dxa"/>
            <w:tcBorders>
              <w:top w:val="single" w:sz="4" w:space="0" w:color="44B3E1"/>
              <w:left w:val="nil"/>
              <w:bottom w:val="single" w:sz="4" w:space="0" w:color="44B3E1"/>
              <w:right w:val="nil"/>
            </w:tcBorders>
            <w:vAlign w:val="center"/>
            <w:hideMark/>
          </w:tcPr>
          <w:p w14:paraId="4F606E61"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6,818</w:t>
            </w:r>
          </w:p>
        </w:tc>
        <w:tc>
          <w:tcPr>
            <w:tcW w:w="1442" w:type="dxa"/>
            <w:tcBorders>
              <w:top w:val="single" w:sz="4" w:space="0" w:color="44B3E1"/>
              <w:left w:val="nil"/>
              <w:bottom w:val="single" w:sz="4" w:space="0" w:color="44B3E1"/>
              <w:right w:val="nil"/>
            </w:tcBorders>
            <w:vAlign w:val="center"/>
            <w:hideMark/>
          </w:tcPr>
          <w:p w14:paraId="41775E8C"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15,083</w:t>
            </w:r>
          </w:p>
        </w:tc>
        <w:tc>
          <w:tcPr>
            <w:tcW w:w="1719" w:type="dxa"/>
            <w:tcBorders>
              <w:top w:val="single" w:sz="4" w:space="0" w:color="44B3E1"/>
              <w:left w:val="nil"/>
              <w:bottom w:val="single" w:sz="4" w:space="0" w:color="44B3E1"/>
              <w:right w:val="nil"/>
            </w:tcBorders>
            <w:vAlign w:val="center"/>
            <w:hideMark/>
          </w:tcPr>
          <w:p w14:paraId="1B72FC80"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2.21</w:t>
            </w:r>
          </w:p>
        </w:tc>
        <w:tc>
          <w:tcPr>
            <w:tcW w:w="1054" w:type="dxa"/>
            <w:tcBorders>
              <w:top w:val="single" w:sz="4" w:space="0" w:color="44B3E1"/>
              <w:left w:val="nil"/>
              <w:bottom w:val="single" w:sz="4" w:space="0" w:color="44B3E1"/>
              <w:right w:val="nil"/>
            </w:tcBorders>
            <w:vAlign w:val="center"/>
            <w:hideMark/>
          </w:tcPr>
          <w:p w14:paraId="254D7399"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35</w:t>
            </w:r>
          </w:p>
        </w:tc>
        <w:tc>
          <w:tcPr>
            <w:tcW w:w="1410" w:type="dxa"/>
            <w:tcBorders>
              <w:top w:val="single" w:sz="4" w:space="0" w:color="44B3E1"/>
              <w:left w:val="nil"/>
              <w:bottom w:val="single" w:sz="4" w:space="0" w:color="44B3E1"/>
              <w:right w:val="nil"/>
            </w:tcBorders>
            <w:vAlign w:val="center"/>
            <w:hideMark/>
          </w:tcPr>
          <w:p w14:paraId="275877CB"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0.23%</w:t>
            </w:r>
          </w:p>
        </w:tc>
        <w:tc>
          <w:tcPr>
            <w:tcW w:w="840" w:type="dxa"/>
            <w:tcBorders>
              <w:top w:val="single" w:sz="4" w:space="0" w:color="44B3E1"/>
              <w:left w:val="nil"/>
              <w:bottom w:val="single" w:sz="4" w:space="0" w:color="44B3E1"/>
              <w:right w:val="single" w:sz="4" w:space="0" w:color="44B3E1"/>
            </w:tcBorders>
            <w:vAlign w:val="center"/>
            <w:hideMark/>
          </w:tcPr>
          <w:p w14:paraId="07F87DF7"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0</w:t>
            </w:r>
          </w:p>
        </w:tc>
      </w:tr>
      <w:tr w:rsidR="00B004A0" w:rsidRPr="002D16C1" w14:paraId="14B33948" w14:textId="77777777" w:rsidTr="00B004A0">
        <w:trPr>
          <w:trHeight w:val="304"/>
        </w:trPr>
        <w:tc>
          <w:tcPr>
            <w:tcW w:w="870" w:type="dxa"/>
            <w:tcBorders>
              <w:top w:val="single" w:sz="4" w:space="0" w:color="44B3E1"/>
              <w:left w:val="single" w:sz="4" w:space="0" w:color="44B3E1"/>
              <w:bottom w:val="single" w:sz="4" w:space="0" w:color="44B3E1"/>
              <w:right w:val="nil"/>
            </w:tcBorders>
            <w:shd w:val="clear" w:color="C0E6F5" w:fill="C0E6F5"/>
            <w:vAlign w:val="center"/>
            <w:hideMark/>
          </w:tcPr>
          <w:p w14:paraId="5929C679"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25-Jan</w:t>
            </w:r>
          </w:p>
        </w:tc>
        <w:tc>
          <w:tcPr>
            <w:tcW w:w="1962" w:type="dxa"/>
            <w:tcBorders>
              <w:top w:val="single" w:sz="4" w:space="0" w:color="44B3E1"/>
              <w:left w:val="nil"/>
              <w:bottom w:val="single" w:sz="4" w:space="0" w:color="44B3E1"/>
              <w:right w:val="nil"/>
            </w:tcBorders>
            <w:shd w:val="clear" w:color="C0E6F5" w:fill="C0E6F5"/>
            <w:vAlign w:val="center"/>
            <w:hideMark/>
          </w:tcPr>
          <w:p w14:paraId="32AFF76F"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8,338</w:t>
            </w:r>
          </w:p>
        </w:tc>
        <w:tc>
          <w:tcPr>
            <w:tcW w:w="1442" w:type="dxa"/>
            <w:tcBorders>
              <w:top w:val="single" w:sz="4" w:space="0" w:color="44B3E1"/>
              <w:left w:val="nil"/>
              <w:bottom w:val="single" w:sz="4" w:space="0" w:color="44B3E1"/>
              <w:right w:val="nil"/>
            </w:tcBorders>
            <w:shd w:val="clear" w:color="C0E6F5" w:fill="C0E6F5"/>
            <w:vAlign w:val="center"/>
            <w:hideMark/>
          </w:tcPr>
          <w:p w14:paraId="23B4313F"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14,247</w:t>
            </w:r>
          </w:p>
        </w:tc>
        <w:tc>
          <w:tcPr>
            <w:tcW w:w="1719" w:type="dxa"/>
            <w:tcBorders>
              <w:top w:val="single" w:sz="4" w:space="0" w:color="44B3E1"/>
              <w:left w:val="nil"/>
              <w:bottom w:val="single" w:sz="4" w:space="0" w:color="44B3E1"/>
              <w:right w:val="nil"/>
            </w:tcBorders>
            <w:shd w:val="clear" w:color="C0E6F5" w:fill="C0E6F5"/>
            <w:vAlign w:val="center"/>
            <w:hideMark/>
          </w:tcPr>
          <w:p w14:paraId="52D20225"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1.71</w:t>
            </w:r>
          </w:p>
        </w:tc>
        <w:tc>
          <w:tcPr>
            <w:tcW w:w="1054" w:type="dxa"/>
            <w:tcBorders>
              <w:top w:val="single" w:sz="4" w:space="0" w:color="44B3E1"/>
              <w:left w:val="nil"/>
              <w:bottom w:val="single" w:sz="4" w:space="0" w:color="44B3E1"/>
              <w:right w:val="nil"/>
            </w:tcBorders>
            <w:shd w:val="clear" w:color="C0E6F5" w:fill="C0E6F5"/>
            <w:vAlign w:val="center"/>
            <w:hideMark/>
          </w:tcPr>
          <w:p w14:paraId="5DA9317D"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79</w:t>
            </w:r>
          </w:p>
        </w:tc>
        <w:tc>
          <w:tcPr>
            <w:tcW w:w="1410" w:type="dxa"/>
            <w:tcBorders>
              <w:top w:val="single" w:sz="4" w:space="0" w:color="44B3E1"/>
              <w:left w:val="nil"/>
              <w:bottom w:val="single" w:sz="4" w:space="0" w:color="44B3E1"/>
              <w:right w:val="nil"/>
            </w:tcBorders>
            <w:shd w:val="clear" w:color="C0E6F5" w:fill="C0E6F5"/>
            <w:vAlign w:val="center"/>
            <w:hideMark/>
          </w:tcPr>
          <w:p w14:paraId="3EDC5F67"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0.55%</w:t>
            </w:r>
          </w:p>
        </w:tc>
        <w:tc>
          <w:tcPr>
            <w:tcW w:w="840" w:type="dxa"/>
            <w:tcBorders>
              <w:top w:val="single" w:sz="4" w:space="0" w:color="44B3E1"/>
              <w:left w:val="nil"/>
              <w:bottom w:val="single" w:sz="4" w:space="0" w:color="44B3E1"/>
              <w:right w:val="single" w:sz="4" w:space="0" w:color="44B3E1"/>
            </w:tcBorders>
            <w:shd w:val="clear" w:color="C0E6F5" w:fill="C0E6F5"/>
            <w:vAlign w:val="center"/>
            <w:hideMark/>
          </w:tcPr>
          <w:p w14:paraId="2744C7D7"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4</w:t>
            </w:r>
          </w:p>
        </w:tc>
      </w:tr>
      <w:tr w:rsidR="00B004A0" w:rsidRPr="002D16C1" w14:paraId="1AAB20DB" w14:textId="77777777" w:rsidTr="00B004A0">
        <w:trPr>
          <w:trHeight w:val="304"/>
        </w:trPr>
        <w:tc>
          <w:tcPr>
            <w:tcW w:w="870" w:type="dxa"/>
            <w:tcBorders>
              <w:top w:val="single" w:sz="4" w:space="0" w:color="44B3E1"/>
              <w:left w:val="single" w:sz="4" w:space="0" w:color="44B3E1"/>
              <w:bottom w:val="single" w:sz="4" w:space="0" w:color="44B3E1"/>
              <w:right w:val="nil"/>
            </w:tcBorders>
            <w:vAlign w:val="center"/>
            <w:hideMark/>
          </w:tcPr>
          <w:p w14:paraId="3AA93F25"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25-Feb</w:t>
            </w:r>
          </w:p>
        </w:tc>
        <w:tc>
          <w:tcPr>
            <w:tcW w:w="1962" w:type="dxa"/>
            <w:tcBorders>
              <w:top w:val="single" w:sz="4" w:space="0" w:color="44B3E1"/>
              <w:left w:val="nil"/>
              <w:bottom w:val="single" w:sz="4" w:space="0" w:color="44B3E1"/>
              <w:right w:val="nil"/>
            </w:tcBorders>
            <w:vAlign w:val="center"/>
            <w:hideMark/>
          </w:tcPr>
          <w:p w14:paraId="09E84CEE"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9,584</w:t>
            </w:r>
          </w:p>
        </w:tc>
        <w:tc>
          <w:tcPr>
            <w:tcW w:w="1442" w:type="dxa"/>
            <w:tcBorders>
              <w:top w:val="single" w:sz="4" w:space="0" w:color="44B3E1"/>
              <w:left w:val="nil"/>
              <w:bottom w:val="single" w:sz="4" w:space="0" w:color="44B3E1"/>
              <w:right w:val="nil"/>
            </w:tcBorders>
            <w:vAlign w:val="center"/>
            <w:hideMark/>
          </w:tcPr>
          <w:p w14:paraId="2FDBFBD0"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14,803</w:t>
            </w:r>
          </w:p>
        </w:tc>
        <w:tc>
          <w:tcPr>
            <w:tcW w:w="1719" w:type="dxa"/>
            <w:tcBorders>
              <w:top w:val="single" w:sz="4" w:space="0" w:color="44B3E1"/>
              <w:left w:val="nil"/>
              <w:bottom w:val="single" w:sz="4" w:space="0" w:color="44B3E1"/>
              <w:right w:val="nil"/>
            </w:tcBorders>
            <w:vAlign w:val="center"/>
            <w:hideMark/>
          </w:tcPr>
          <w:p w14:paraId="25581AA1"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1.54</w:t>
            </w:r>
          </w:p>
        </w:tc>
        <w:tc>
          <w:tcPr>
            <w:tcW w:w="1054" w:type="dxa"/>
            <w:tcBorders>
              <w:top w:val="single" w:sz="4" w:space="0" w:color="44B3E1"/>
              <w:left w:val="nil"/>
              <w:bottom w:val="single" w:sz="4" w:space="0" w:color="44B3E1"/>
              <w:right w:val="nil"/>
            </w:tcBorders>
            <w:vAlign w:val="center"/>
            <w:hideMark/>
          </w:tcPr>
          <w:p w14:paraId="40025194"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62</w:t>
            </w:r>
          </w:p>
        </w:tc>
        <w:tc>
          <w:tcPr>
            <w:tcW w:w="1410" w:type="dxa"/>
            <w:tcBorders>
              <w:top w:val="single" w:sz="4" w:space="0" w:color="44B3E1"/>
              <w:left w:val="nil"/>
              <w:bottom w:val="single" w:sz="4" w:space="0" w:color="44B3E1"/>
              <w:right w:val="nil"/>
            </w:tcBorders>
            <w:vAlign w:val="center"/>
            <w:hideMark/>
          </w:tcPr>
          <w:p w14:paraId="3400725C"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0.42%</w:t>
            </w:r>
          </w:p>
        </w:tc>
        <w:tc>
          <w:tcPr>
            <w:tcW w:w="840" w:type="dxa"/>
            <w:tcBorders>
              <w:top w:val="single" w:sz="4" w:space="0" w:color="44B3E1"/>
              <w:left w:val="nil"/>
              <w:bottom w:val="single" w:sz="4" w:space="0" w:color="44B3E1"/>
              <w:right w:val="single" w:sz="4" w:space="0" w:color="44B3E1"/>
            </w:tcBorders>
            <w:vAlign w:val="center"/>
            <w:hideMark/>
          </w:tcPr>
          <w:p w14:paraId="102FF3DD"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1</w:t>
            </w:r>
          </w:p>
        </w:tc>
      </w:tr>
      <w:tr w:rsidR="00B004A0" w:rsidRPr="002D16C1" w14:paraId="13D22182" w14:textId="77777777" w:rsidTr="00B004A0">
        <w:trPr>
          <w:trHeight w:val="304"/>
        </w:trPr>
        <w:tc>
          <w:tcPr>
            <w:tcW w:w="870" w:type="dxa"/>
            <w:tcBorders>
              <w:top w:val="single" w:sz="4" w:space="0" w:color="44B3E1"/>
              <w:left w:val="single" w:sz="4" w:space="0" w:color="44B3E1"/>
              <w:bottom w:val="single" w:sz="4" w:space="0" w:color="44B3E1"/>
              <w:right w:val="nil"/>
            </w:tcBorders>
            <w:shd w:val="clear" w:color="C0E6F5" w:fill="C0E6F5"/>
            <w:vAlign w:val="center"/>
            <w:hideMark/>
          </w:tcPr>
          <w:p w14:paraId="3218348C"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25-Mar</w:t>
            </w:r>
          </w:p>
        </w:tc>
        <w:tc>
          <w:tcPr>
            <w:tcW w:w="1962" w:type="dxa"/>
            <w:tcBorders>
              <w:top w:val="single" w:sz="4" w:space="0" w:color="44B3E1"/>
              <w:left w:val="nil"/>
              <w:bottom w:val="single" w:sz="4" w:space="0" w:color="44B3E1"/>
              <w:right w:val="nil"/>
            </w:tcBorders>
            <w:shd w:val="clear" w:color="C0E6F5" w:fill="C0E6F5"/>
            <w:vAlign w:val="center"/>
            <w:hideMark/>
          </w:tcPr>
          <w:p w14:paraId="65A4A12B"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10,753</w:t>
            </w:r>
          </w:p>
        </w:tc>
        <w:tc>
          <w:tcPr>
            <w:tcW w:w="1442" w:type="dxa"/>
            <w:tcBorders>
              <w:top w:val="single" w:sz="4" w:space="0" w:color="44B3E1"/>
              <w:left w:val="nil"/>
              <w:bottom w:val="single" w:sz="4" w:space="0" w:color="44B3E1"/>
              <w:right w:val="nil"/>
            </w:tcBorders>
            <w:shd w:val="clear" w:color="C0E6F5" w:fill="C0E6F5"/>
            <w:vAlign w:val="center"/>
            <w:hideMark/>
          </w:tcPr>
          <w:p w14:paraId="77C7E54E"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15,573</w:t>
            </w:r>
          </w:p>
        </w:tc>
        <w:tc>
          <w:tcPr>
            <w:tcW w:w="1719" w:type="dxa"/>
            <w:tcBorders>
              <w:top w:val="single" w:sz="4" w:space="0" w:color="44B3E1"/>
              <w:left w:val="nil"/>
              <w:bottom w:val="single" w:sz="4" w:space="0" w:color="44B3E1"/>
              <w:right w:val="nil"/>
            </w:tcBorders>
            <w:shd w:val="clear" w:color="C0E6F5" w:fill="C0E6F5"/>
            <w:vAlign w:val="center"/>
            <w:hideMark/>
          </w:tcPr>
          <w:p w14:paraId="4AB4D6C0"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1.45</w:t>
            </w:r>
          </w:p>
        </w:tc>
        <w:tc>
          <w:tcPr>
            <w:tcW w:w="1054" w:type="dxa"/>
            <w:tcBorders>
              <w:top w:val="single" w:sz="4" w:space="0" w:color="44B3E1"/>
              <w:left w:val="nil"/>
              <w:bottom w:val="single" w:sz="4" w:space="0" w:color="44B3E1"/>
              <w:right w:val="nil"/>
            </w:tcBorders>
            <w:shd w:val="clear" w:color="C0E6F5" w:fill="C0E6F5"/>
            <w:vAlign w:val="center"/>
            <w:hideMark/>
          </w:tcPr>
          <w:p w14:paraId="169F4F81"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94</w:t>
            </w:r>
          </w:p>
        </w:tc>
        <w:tc>
          <w:tcPr>
            <w:tcW w:w="1410" w:type="dxa"/>
            <w:tcBorders>
              <w:top w:val="single" w:sz="4" w:space="0" w:color="44B3E1"/>
              <w:left w:val="nil"/>
              <w:bottom w:val="single" w:sz="4" w:space="0" w:color="44B3E1"/>
              <w:right w:val="nil"/>
            </w:tcBorders>
            <w:shd w:val="clear" w:color="C0E6F5" w:fill="C0E6F5"/>
            <w:vAlign w:val="center"/>
            <w:hideMark/>
          </w:tcPr>
          <w:p w14:paraId="78B9D3D6"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0.60%</w:t>
            </w:r>
          </w:p>
        </w:tc>
        <w:tc>
          <w:tcPr>
            <w:tcW w:w="840" w:type="dxa"/>
            <w:tcBorders>
              <w:top w:val="single" w:sz="4" w:space="0" w:color="44B3E1"/>
              <w:left w:val="nil"/>
              <w:bottom w:val="single" w:sz="4" w:space="0" w:color="44B3E1"/>
              <w:right w:val="single" w:sz="4" w:space="0" w:color="44B3E1"/>
            </w:tcBorders>
            <w:shd w:val="clear" w:color="C0E6F5" w:fill="C0E6F5"/>
            <w:vAlign w:val="center"/>
            <w:hideMark/>
          </w:tcPr>
          <w:p w14:paraId="0C00BFFE"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0</w:t>
            </w:r>
          </w:p>
        </w:tc>
      </w:tr>
      <w:tr w:rsidR="00B004A0" w:rsidRPr="002D16C1" w14:paraId="143F30A4" w14:textId="77777777" w:rsidTr="00B004A0">
        <w:trPr>
          <w:trHeight w:val="304"/>
        </w:trPr>
        <w:tc>
          <w:tcPr>
            <w:tcW w:w="870" w:type="dxa"/>
            <w:tcBorders>
              <w:top w:val="single" w:sz="4" w:space="0" w:color="44B3E1"/>
              <w:left w:val="single" w:sz="4" w:space="0" w:color="44B3E1"/>
              <w:bottom w:val="single" w:sz="4" w:space="0" w:color="44B3E1"/>
              <w:right w:val="nil"/>
            </w:tcBorders>
            <w:vAlign w:val="center"/>
            <w:hideMark/>
          </w:tcPr>
          <w:p w14:paraId="7F5C2E79"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25-Apr</w:t>
            </w:r>
          </w:p>
        </w:tc>
        <w:tc>
          <w:tcPr>
            <w:tcW w:w="1962" w:type="dxa"/>
            <w:tcBorders>
              <w:top w:val="single" w:sz="4" w:space="0" w:color="44B3E1"/>
              <w:left w:val="nil"/>
              <w:bottom w:val="single" w:sz="4" w:space="0" w:color="44B3E1"/>
              <w:right w:val="nil"/>
            </w:tcBorders>
            <w:vAlign w:val="center"/>
            <w:hideMark/>
          </w:tcPr>
          <w:p w14:paraId="0E6FC548"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11,105</w:t>
            </w:r>
          </w:p>
        </w:tc>
        <w:tc>
          <w:tcPr>
            <w:tcW w:w="1442" w:type="dxa"/>
            <w:tcBorders>
              <w:top w:val="single" w:sz="4" w:space="0" w:color="44B3E1"/>
              <w:left w:val="nil"/>
              <w:bottom w:val="single" w:sz="4" w:space="0" w:color="44B3E1"/>
              <w:right w:val="nil"/>
            </w:tcBorders>
            <w:vAlign w:val="center"/>
            <w:hideMark/>
          </w:tcPr>
          <w:p w14:paraId="70F00F3B"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16,927</w:t>
            </w:r>
          </w:p>
        </w:tc>
        <w:tc>
          <w:tcPr>
            <w:tcW w:w="1719" w:type="dxa"/>
            <w:tcBorders>
              <w:top w:val="single" w:sz="4" w:space="0" w:color="44B3E1"/>
              <w:left w:val="nil"/>
              <w:bottom w:val="single" w:sz="4" w:space="0" w:color="44B3E1"/>
              <w:right w:val="nil"/>
            </w:tcBorders>
            <w:vAlign w:val="center"/>
            <w:hideMark/>
          </w:tcPr>
          <w:p w14:paraId="44852D7D"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1.52</w:t>
            </w:r>
          </w:p>
        </w:tc>
        <w:tc>
          <w:tcPr>
            <w:tcW w:w="1054" w:type="dxa"/>
            <w:tcBorders>
              <w:top w:val="single" w:sz="4" w:space="0" w:color="44B3E1"/>
              <w:left w:val="nil"/>
              <w:bottom w:val="single" w:sz="4" w:space="0" w:color="44B3E1"/>
              <w:right w:val="nil"/>
            </w:tcBorders>
            <w:vAlign w:val="center"/>
            <w:hideMark/>
          </w:tcPr>
          <w:p w14:paraId="442EF358"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89</w:t>
            </w:r>
          </w:p>
        </w:tc>
        <w:tc>
          <w:tcPr>
            <w:tcW w:w="1410" w:type="dxa"/>
            <w:tcBorders>
              <w:top w:val="single" w:sz="4" w:space="0" w:color="44B3E1"/>
              <w:left w:val="nil"/>
              <w:bottom w:val="single" w:sz="4" w:space="0" w:color="44B3E1"/>
              <w:right w:val="nil"/>
            </w:tcBorders>
            <w:vAlign w:val="center"/>
            <w:hideMark/>
          </w:tcPr>
          <w:p w14:paraId="583A5620"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0.53%</w:t>
            </w:r>
          </w:p>
        </w:tc>
        <w:tc>
          <w:tcPr>
            <w:tcW w:w="840" w:type="dxa"/>
            <w:tcBorders>
              <w:top w:val="single" w:sz="4" w:space="0" w:color="44B3E1"/>
              <w:left w:val="nil"/>
              <w:bottom w:val="single" w:sz="4" w:space="0" w:color="44B3E1"/>
              <w:right w:val="single" w:sz="4" w:space="0" w:color="44B3E1"/>
            </w:tcBorders>
            <w:vAlign w:val="center"/>
            <w:hideMark/>
          </w:tcPr>
          <w:p w14:paraId="5106FDB0"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9</w:t>
            </w:r>
          </w:p>
        </w:tc>
      </w:tr>
      <w:tr w:rsidR="00B004A0" w:rsidRPr="002D16C1" w14:paraId="3A6E5BEB" w14:textId="77777777" w:rsidTr="00B004A0">
        <w:trPr>
          <w:trHeight w:val="304"/>
        </w:trPr>
        <w:tc>
          <w:tcPr>
            <w:tcW w:w="870" w:type="dxa"/>
            <w:tcBorders>
              <w:top w:val="single" w:sz="4" w:space="0" w:color="44B3E1"/>
              <w:left w:val="single" w:sz="4" w:space="0" w:color="44B3E1"/>
              <w:bottom w:val="single" w:sz="4" w:space="0" w:color="44B3E1"/>
              <w:right w:val="nil"/>
            </w:tcBorders>
            <w:shd w:val="clear" w:color="C0E6F5" w:fill="C0E6F5"/>
            <w:vAlign w:val="center"/>
            <w:hideMark/>
          </w:tcPr>
          <w:p w14:paraId="5739C60A"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25-May</w:t>
            </w:r>
          </w:p>
        </w:tc>
        <w:tc>
          <w:tcPr>
            <w:tcW w:w="1962" w:type="dxa"/>
            <w:tcBorders>
              <w:top w:val="single" w:sz="4" w:space="0" w:color="44B3E1"/>
              <w:left w:val="nil"/>
              <w:bottom w:val="single" w:sz="4" w:space="0" w:color="44B3E1"/>
              <w:right w:val="nil"/>
            </w:tcBorders>
            <w:shd w:val="clear" w:color="C0E6F5" w:fill="C0E6F5"/>
            <w:vAlign w:val="center"/>
            <w:hideMark/>
          </w:tcPr>
          <w:p w14:paraId="5E6F4BE4"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11,863</w:t>
            </w:r>
          </w:p>
        </w:tc>
        <w:tc>
          <w:tcPr>
            <w:tcW w:w="1442" w:type="dxa"/>
            <w:tcBorders>
              <w:top w:val="single" w:sz="4" w:space="0" w:color="44B3E1"/>
              <w:left w:val="nil"/>
              <w:bottom w:val="single" w:sz="4" w:space="0" w:color="44B3E1"/>
              <w:right w:val="nil"/>
            </w:tcBorders>
            <w:shd w:val="clear" w:color="C0E6F5" w:fill="C0E6F5"/>
            <w:vAlign w:val="center"/>
            <w:hideMark/>
          </w:tcPr>
          <w:p w14:paraId="6EBF56FF"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19,792</w:t>
            </w:r>
          </w:p>
        </w:tc>
        <w:tc>
          <w:tcPr>
            <w:tcW w:w="1719" w:type="dxa"/>
            <w:tcBorders>
              <w:top w:val="single" w:sz="4" w:space="0" w:color="44B3E1"/>
              <w:left w:val="nil"/>
              <w:bottom w:val="single" w:sz="4" w:space="0" w:color="44B3E1"/>
              <w:right w:val="nil"/>
            </w:tcBorders>
            <w:shd w:val="clear" w:color="C0E6F5" w:fill="C0E6F5"/>
            <w:vAlign w:val="center"/>
            <w:hideMark/>
          </w:tcPr>
          <w:p w14:paraId="3D79676D"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1.67</w:t>
            </w:r>
          </w:p>
        </w:tc>
        <w:tc>
          <w:tcPr>
            <w:tcW w:w="1054" w:type="dxa"/>
            <w:tcBorders>
              <w:top w:val="single" w:sz="4" w:space="0" w:color="44B3E1"/>
              <w:left w:val="nil"/>
              <w:bottom w:val="single" w:sz="4" w:space="0" w:color="44B3E1"/>
              <w:right w:val="nil"/>
            </w:tcBorders>
            <w:shd w:val="clear" w:color="C0E6F5" w:fill="C0E6F5"/>
            <w:vAlign w:val="center"/>
            <w:hideMark/>
          </w:tcPr>
          <w:p w14:paraId="7581A4EC"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84</w:t>
            </w:r>
          </w:p>
        </w:tc>
        <w:tc>
          <w:tcPr>
            <w:tcW w:w="1410" w:type="dxa"/>
            <w:tcBorders>
              <w:top w:val="single" w:sz="4" w:space="0" w:color="44B3E1"/>
              <w:left w:val="nil"/>
              <w:bottom w:val="single" w:sz="4" w:space="0" w:color="44B3E1"/>
              <w:right w:val="nil"/>
            </w:tcBorders>
            <w:shd w:val="clear" w:color="C0E6F5" w:fill="C0E6F5"/>
            <w:vAlign w:val="center"/>
            <w:hideMark/>
          </w:tcPr>
          <w:p w14:paraId="09A0FA42"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0.42%</w:t>
            </w:r>
          </w:p>
        </w:tc>
        <w:tc>
          <w:tcPr>
            <w:tcW w:w="840" w:type="dxa"/>
            <w:tcBorders>
              <w:top w:val="single" w:sz="4" w:space="0" w:color="44B3E1"/>
              <w:left w:val="nil"/>
              <w:bottom w:val="single" w:sz="4" w:space="0" w:color="44B3E1"/>
              <w:right w:val="single" w:sz="4" w:space="0" w:color="44B3E1"/>
            </w:tcBorders>
            <w:shd w:val="clear" w:color="C0E6F5" w:fill="C0E6F5"/>
            <w:vAlign w:val="center"/>
            <w:hideMark/>
          </w:tcPr>
          <w:p w14:paraId="7FAD67A7"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0</w:t>
            </w:r>
          </w:p>
        </w:tc>
      </w:tr>
      <w:tr w:rsidR="00B004A0" w:rsidRPr="002D16C1" w14:paraId="28E7E0C1" w14:textId="77777777" w:rsidTr="00B004A0">
        <w:trPr>
          <w:trHeight w:val="304"/>
        </w:trPr>
        <w:tc>
          <w:tcPr>
            <w:tcW w:w="870" w:type="dxa"/>
            <w:tcBorders>
              <w:top w:val="single" w:sz="4" w:space="0" w:color="44B3E1"/>
              <w:left w:val="single" w:sz="4" w:space="0" w:color="44B3E1"/>
              <w:bottom w:val="single" w:sz="4" w:space="0" w:color="44B3E1"/>
              <w:right w:val="nil"/>
            </w:tcBorders>
            <w:vAlign w:val="center"/>
            <w:hideMark/>
          </w:tcPr>
          <w:p w14:paraId="36C90FBA"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25-Jun</w:t>
            </w:r>
          </w:p>
        </w:tc>
        <w:tc>
          <w:tcPr>
            <w:tcW w:w="1962" w:type="dxa"/>
            <w:tcBorders>
              <w:top w:val="single" w:sz="4" w:space="0" w:color="44B3E1"/>
              <w:left w:val="nil"/>
              <w:bottom w:val="single" w:sz="4" w:space="0" w:color="44B3E1"/>
              <w:right w:val="nil"/>
            </w:tcBorders>
            <w:vAlign w:val="center"/>
            <w:hideMark/>
          </w:tcPr>
          <w:p w14:paraId="5A6D25BD"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13,631</w:t>
            </w:r>
          </w:p>
        </w:tc>
        <w:tc>
          <w:tcPr>
            <w:tcW w:w="1442" w:type="dxa"/>
            <w:tcBorders>
              <w:top w:val="single" w:sz="4" w:space="0" w:color="44B3E1"/>
              <w:left w:val="nil"/>
              <w:bottom w:val="single" w:sz="4" w:space="0" w:color="44B3E1"/>
              <w:right w:val="nil"/>
            </w:tcBorders>
            <w:vAlign w:val="center"/>
            <w:hideMark/>
          </w:tcPr>
          <w:p w14:paraId="284DB554"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21,068</w:t>
            </w:r>
          </w:p>
        </w:tc>
        <w:tc>
          <w:tcPr>
            <w:tcW w:w="1719" w:type="dxa"/>
            <w:tcBorders>
              <w:top w:val="single" w:sz="4" w:space="0" w:color="44B3E1"/>
              <w:left w:val="nil"/>
              <w:bottom w:val="single" w:sz="4" w:space="0" w:color="44B3E1"/>
              <w:right w:val="nil"/>
            </w:tcBorders>
            <w:vAlign w:val="center"/>
            <w:hideMark/>
          </w:tcPr>
          <w:p w14:paraId="4832200C"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1.55</w:t>
            </w:r>
          </w:p>
        </w:tc>
        <w:tc>
          <w:tcPr>
            <w:tcW w:w="1054" w:type="dxa"/>
            <w:tcBorders>
              <w:top w:val="single" w:sz="4" w:space="0" w:color="44B3E1"/>
              <w:left w:val="nil"/>
              <w:bottom w:val="single" w:sz="4" w:space="0" w:color="44B3E1"/>
              <w:right w:val="nil"/>
            </w:tcBorders>
            <w:vAlign w:val="center"/>
            <w:hideMark/>
          </w:tcPr>
          <w:p w14:paraId="46043F9B"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105</w:t>
            </w:r>
          </w:p>
        </w:tc>
        <w:tc>
          <w:tcPr>
            <w:tcW w:w="1410" w:type="dxa"/>
            <w:tcBorders>
              <w:top w:val="single" w:sz="4" w:space="0" w:color="44B3E1"/>
              <w:left w:val="nil"/>
              <w:bottom w:val="single" w:sz="4" w:space="0" w:color="44B3E1"/>
              <w:right w:val="nil"/>
            </w:tcBorders>
            <w:vAlign w:val="center"/>
            <w:hideMark/>
          </w:tcPr>
          <w:p w14:paraId="2C08EF95"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0.50%</w:t>
            </w:r>
          </w:p>
        </w:tc>
        <w:tc>
          <w:tcPr>
            <w:tcW w:w="840" w:type="dxa"/>
            <w:tcBorders>
              <w:top w:val="single" w:sz="4" w:space="0" w:color="44B3E1"/>
              <w:left w:val="nil"/>
              <w:bottom w:val="single" w:sz="4" w:space="0" w:color="44B3E1"/>
              <w:right w:val="single" w:sz="4" w:space="0" w:color="44B3E1"/>
            </w:tcBorders>
            <w:vAlign w:val="center"/>
            <w:hideMark/>
          </w:tcPr>
          <w:p w14:paraId="6DDBEB89"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0</w:t>
            </w:r>
          </w:p>
        </w:tc>
      </w:tr>
      <w:tr w:rsidR="00B004A0" w:rsidRPr="002D16C1" w14:paraId="60379DCD" w14:textId="77777777" w:rsidTr="00B004A0">
        <w:trPr>
          <w:trHeight w:val="304"/>
        </w:trPr>
        <w:tc>
          <w:tcPr>
            <w:tcW w:w="870" w:type="dxa"/>
            <w:tcBorders>
              <w:top w:val="single" w:sz="4" w:space="0" w:color="44B3E1"/>
              <w:left w:val="single" w:sz="4" w:space="0" w:color="44B3E1"/>
              <w:bottom w:val="single" w:sz="4" w:space="0" w:color="44B3E1"/>
              <w:right w:val="nil"/>
            </w:tcBorders>
            <w:shd w:val="clear" w:color="C0E6F5" w:fill="C0E6F5"/>
            <w:vAlign w:val="center"/>
            <w:hideMark/>
          </w:tcPr>
          <w:p w14:paraId="62A61ADC"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25-Jul</w:t>
            </w:r>
          </w:p>
        </w:tc>
        <w:tc>
          <w:tcPr>
            <w:tcW w:w="1962" w:type="dxa"/>
            <w:tcBorders>
              <w:top w:val="single" w:sz="4" w:space="0" w:color="44B3E1"/>
              <w:left w:val="nil"/>
              <w:bottom w:val="single" w:sz="4" w:space="0" w:color="44B3E1"/>
              <w:right w:val="nil"/>
            </w:tcBorders>
            <w:shd w:val="clear" w:color="C0E6F5" w:fill="C0E6F5"/>
            <w:vAlign w:val="center"/>
            <w:hideMark/>
          </w:tcPr>
          <w:p w14:paraId="19616675"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13,733</w:t>
            </w:r>
          </w:p>
        </w:tc>
        <w:tc>
          <w:tcPr>
            <w:tcW w:w="1442" w:type="dxa"/>
            <w:tcBorders>
              <w:top w:val="single" w:sz="4" w:space="0" w:color="44B3E1"/>
              <w:left w:val="nil"/>
              <w:bottom w:val="single" w:sz="4" w:space="0" w:color="44B3E1"/>
              <w:right w:val="nil"/>
            </w:tcBorders>
            <w:shd w:val="clear" w:color="C0E6F5" w:fill="C0E6F5"/>
            <w:vAlign w:val="center"/>
            <w:hideMark/>
          </w:tcPr>
          <w:p w14:paraId="48A445A2"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22,751</w:t>
            </w:r>
          </w:p>
        </w:tc>
        <w:tc>
          <w:tcPr>
            <w:tcW w:w="1719" w:type="dxa"/>
            <w:tcBorders>
              <w:top w:val="single" w:sz="4" w:space="0" w:color="44B3E1"/>
              <w:left w:val="nil"/>
              <w:bottom w:val="single" w:sz="4" w:space="0" w:color="44B3E1"/>
              <w:right w:val="nil"/>
            </w:tcBorders>
            <w:shd w:val="clear" w:color="C0E6F5" w:fill="C0E6F5"/>
            <w:vAlign w:val="center"/>
            <w:hideMark/>
          </w:tcPr>
          <w:p w14:paraId="61103B5B"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1.66</w:t>
            </w:r>
          </w:p>
        </w:tc>
        <w:tc>
          <w:tcPr>
            <w:tcW w:w="1054" w:type="dxa"/>
            <w:tcBorders>
              <w:top w:val="single" w:sz="4" w:space="0" w:color="44B3E1"/>
              <w:left w:val="nil"/>
              <w:bottom w:val="single" w:sz="4" w:space="0" w:color="44B3E1"/>
              <w:right w:val="nil"/>
            </w:tcBorders>
            <w:shd w:val="clear" w:color="C0E6F5" w:fill="C0E6F5"/>
            <w:vAlign w:val="center"/>
            <w:hideMark/>
          </w:tcPr>
          <w:p w14:paraId="46C1F44A"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154</w:t>
            </w:r>
          </w:p>
        </w:tc>
        <w:tc>
          <w:tcPr>
            <w:tcW w:w="1410" w:type="dxa"/>
            <w:tcBorders>
              <w:top w:val="single" w:sz="4" w:space="0" w:color="44B3E1"/>
              <w:left w:val="nil"/>
              <w:bottom w:val="single" w:sz="4" w:space="0" w:color="44B3E1"/>
              <w:right w:val="nil"/>
            </w:tcBorders>
            <w:shd w:val="clear" w:color="C0E6F5" w:fill="C0E6F5"/>
            <w:vAlign w:val="center"/>
            <w:hideMark/>
          </w:tcPr>
          <w:p w14:paraId="19C599BF"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0.68%</w:t>
            </w:r>
          </w:p>
        </w:tc>
        <w:tc>
          <w:tcPr>
            <w:tcW w:w="840" w:type="dxa"/>
            <w:tcBorders>
              <w:top w:val="single" w:sz="4" w:space="0" w:color="44B3E1"/>
              <w:left w:val="nil"/>
              <w:bottom w:val="single" w:sz="4" w:space="0" w:color="44B3E1"/>
              <w:right w:val="single" w:sz="4" w:space="0" w:color="44B3E1"/>
            </w:tcBorders>
            <w:shd w:val="clear" w:color="C0E6F5" w:fill="C0E6F5"/>
            <w:vAlign w:val="center"/>
            <w:hideMark/>
          </w:tcPr>
          <w:p w14:paraId="4CA7E637"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0</w:t>
            </w:r>
          </w:p>
        </w:tc>
      </w:tr>
      <w:tr w:rsidR="00B004A0" w:rsidRPr="002D16C1" w14:paraId="4A213120" w14:textId="77777777" w:rsidTr="00B004A0">
        <w:trPr>
          <w:trHeight w:val="304"/>
        </w:trPr>
        <w:tc>
          <w:tcPr>
            <w:tcW w:w="870" w:type="dxa"/>
            <w:tcBorders>
              <w:top w:val="single" w:sz="4" w:space="0" w:color="44B3E1"/>
              <w:left w:val="single" w:sz="4" w:space="0" w:color="44B3E1"/>
              <w:bottom w:val="single" w:sz="4" w:space="0" w:color="44B3E1"/>
              <w:right w:val="nil"/>
            </w:tcBorders>
            <w:vAlign w:val="center"/>
            <w:hideMark/>
          </w:tcPr>
          <w:p w14:paraId="50ADA8CC"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25-Aug</w:t>
            </w:r>
          </w:p>
        </w:tc>
        <w:tc>
          <w:tcPr>
            <w:tcW w:w="1962" w:type="dxa"/>
            <w:tcBorders>
              <w:top w:val="single" w:sz="4" w:space="0" w:color="44B3E1"/>
              <w:left w:val="nil"/>
              <w:bottom w:val="single" w:sz="4" w:space="0" w:color="44B3E1"/>
              <w:right w:val="nil"/>
            </w:tcBorders>
            <w:vAlign w:val="center"/>
            <w:hideMark/>
          </w:tcPr>
          <w:p w14:paraId="31318675"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12,487</w:t>
            </w:r>
          </w:p>
        </w:tc>
        <w:tc>
          <w:tcPr>
            <w:tcW w:w="1442" w:type="dxa"/>
            <w:tcBorders>
              <w:top w:val="single" w:sz="4" w:space="0" w:color="44B3E1"/>
              <w:left w:val="nil"/>
              <w:bottom w:val="single" w:sz="4" w:space="0" w:color="44B3E1"/>
              <w:right w:val="nil"/>
            </w:tcBorders>
            <w:vAlign w:val="center"/>
            <w:hideMark/>
          </w:tcPr>
          <w:p w14:paraId="54000301"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20,547</w:t>
            </w:r>
          </w:p>
        </w:tc>
        <w:tc>
          <w:tcPr>
            <w:tcW w:w="1719" w:type="dxa"/>
            <w:tcBorders>
              <w:top w:val="single" w:sz="4" w:space="0" w:color="44B3E1"/>
              <w:left w:val="nil"/>
              <w:bottom w:val="single" w:sz="4" w:space="0" w:color="44B3E1"/>
              <w:right w:val="nil"/>
            </w:tcBorders>
            <w:vAlign w:val="center"/>
            <w:hideMark/>
          </w:tcPr>
          <w:p w14:paraId="1F8028AA"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1.65</w:t>
            </w:r>
          </w:p>
        </w:tc>
        <w:tc>
          <w:tcPr>
            <w:tcW w:w="1054" w:type="dxa"/>
            <w:tcBorders>
              <w:top w:val="single" w:sz="4" w:space="0" w:color="44B3E1"/>
              <w:left w:val="nil"/>
              <w:bottom w:val="single" w:sz="4" w:space="0" w:color="44B3E1"/>
              <w:right w:val="nil"/>
            </w:tcBorders>
            <w:vAlign w:val="center"/>
            <w:hideMark/>
          </w:tcPr>
          <w:p w14:paraId="12A4B96F"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125</w:t>
            </w:r>
          </w:p>
        </w:tc>
        <w:tc>
          <w:tcPr>
            <w:tcW w:w="1410" w:type="dxa"/>
            <w:tcBorders>
              <w:top w:val="single" w:sz="4" w:space="0" w:color="44B3E1"/>
              <w:left w:val="nil"/>
              <w:bottom w:val="single" w:sz="4" w:space="0" w:color="44B3E1"/>
              <w:right w:val="nil"/>
            </w:tcBorders>
            <w:vAlign w:val="center"/>
            <w:hideMark/>
          </w:tcPr>
          <w:p w14:paraId="546A893A"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0.61%</w:t>
            </w:r>
          </w:p>
        </w:tc>
        <w:tc>
          <w:tcPr>
            <w:tcW w:w="840" w:type="dxa"/>
            <w:tcBorders>
              <w:top w:val="single" w:sz="4" w:space="0" w:color="44B3E1"/>
              <w:left w:val="nil"/>
              <w:bottom w:val="single" w:sz="4" w:space="0" w:color="44B3E1"/>
              <w:right w:val="single" w:sz="4" w:space="0" w:color="44B3E1"/>
            </w:tcBorders>
            <w:vAlign w:val="center"/>
            <w:hideMark/>
          </w:tcPr>
          <w:p w14:paraId="161F4EDD"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0</w:t>
            </w:r>
          </w:p>
        </w:tc>
      </w:tr>
      <w:tr w:rsidR="00B004A0" w:rsidRPr="002D16C1" w14:paraId="6C65089A" w14:textId="77777777" w:rsidTr="00B004A0">
        <w:trPr>
          <w:trHeight w:val="304"/>
        </w:trPr>
        <w:tc>
          <w:tcPr>
            <w:tcW w:w="870" w:type="dxa"/>
            <w:tcBorders>
              <w:top w:val="single" w:sz="4" w:space="0" w:color="44B3E1"/>
              <w:left w:val="single" w:sz="4" w:space="0" w:color="44B3E1"/>
              <w:bottom w:val="single" w:sz="4" w:space="0" w:color="44B3E1"/>
              <w:right w:val="nil"/>
            </w:tcBorders>
            <w:shd w:val="clear" w:color="C0E6F5" w:fill="C0E6F5"/>
            <w:vAlign w:val="center"/>
            <w:hideMark/>
          </w:tcPr>
          <w:p w14:paraId="76668558"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25-Sep</w:t>
            </w:r>
          </w:p>
        </w:tc>
        <w:tc>
          <w:tcPr>
            <w:tcW w:w="1962" w:type="dxa"/>
            <w:tcBorders>
              <w:top w:val="single" w:sz="4" w:space="0" w:color="44B3E1"/>
              <w:left w:val="nil"/>
              <w:bottom w:val="single" w:sz="4" w:space="0" w:color="44B3E1"/>
              <w:right w:val="nil"/>
            </w:tcBorders>
            <w:shd w:val="clear" w:color="C0E6F5" w:fill="C0E6F5"/>
            <w:vAlign w:val="center"/>
            <w:hideMark/>
          </w:tcPr>
          <w:p w14:paraId="56167050"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12,159</w:t>
            </w:r>
          </w:p>
        </w:tc>
        <w:tc>
          <w:tcPr>
            <w:tcW w:w="1442" w:type="dxa"/>
            <w:tcBorders>
              <w:top w:val="single" w:sz="4" w:space="0" w:color="44B3E1"/>
              <w:left w:val="nil"/>
              <w:bottom w:val="single" w:sz="4" w:space="0" w:color="44B3E1"/>
              <w:right w:val="nil"/>
            </w:tcBorders>
            <w:shd w:val="clear" w:color="C0E6F5" w:fill="C0E6F5"/>
            <w:vAlign w:val="center"/>
            <w:hideMark/>
          </w:tcPr>
          <w:p w14:paraId="35DF83E8"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20,077</w:t>
            </w:r>
          </w:p>
        </w:tc>
        <w:tc>
          <w:tcPr>
            <w:tcW w:w="1719" w:type="dxa"/>
            <w:tcBorders>
              <w:top w:val="single" w:sz="4" w:space="0" w:color="44B3E1"/>
              <w:left w:val="nil"/>
              <w:bottom w:val="single" w:sz="4" w:space="0" w:color="44B3E1"/>
              <w:right w:val="nil"/>
            </w:tcBorders>
            <w:shd w:val="clear" w:color="C0E6F5" w:fill="C0E6F5"/>
            <w:vAlign w:val="center"/>
            <w:hideMark/>
          </w:tcPr>
          <w:p w14:paraId="5AD422C3"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1.65</w:t>
            </w:r>
          </w:p>
        </w:tc>
        <w:tc>
          <w:tcPr>
            <w:tcW w:w="1054" w:type="dxa"/>
            <w:tcBorders>
              <w:top w:val="single" w:sz="4" w:space="0" w:color="44B3E1"/>
              <w:left w:val="nil"/>
              <w:bottom w:val="single" w:sz="4" w:space="0" w:color="44B3E1"/>
              <w:right w:val="nil"/>
            </w:tcBorders>
            <w:shd w:val="clear" w:color="C0E6F5" w:fill="C0E6F5"/>
            <w:vAlign w:val="center"/>
            <w:hideMark/>
          </w:tcPr>
          <w:p w14:paraId="1746779F"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136</w:t>
            </w:r>
          </w:p>
        </w:tc>
        <w:tc>
          <w:tcPr>
            <w:tcW w:w="1410" w:type="dxa"/>
            <w:tcBorders>
              <w:top w:val="single" w:sz="4" w:space="0" w:color="44B3E1"/>
              <w:left w:val="nil"/>
              <w:bottom w:val="single" w:sz="4" w:space="0" w:color="44B3E1"/>
              <w:right w:val="nil"/>
            </w:tcBorders>
            <w:shd w:val="clear" w:color="C0E6F5" w:fill="C0E6F5"/>
            <w:vAlign w:val="center"/>
            <w:hideMark/>
          </w:tcPr>
          <w:p w14:paraId="0567CE01"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0.68%</w:t>
            </w:r>
          </w:p>
        </w:tc>
        <w:tc>
          <w:tcPr>
            <w:tcW w:w="840" w:type="dxa"/>
            <w:tcBorders>
              <w:top w:val="single" w:sz="4" w:space="0" w:color="44B3E1"/>
              <w:left w:val="nil"/>
              <w:bottom w:val="single" w:sz="4" w:space="0" w:color="44B3E1"/>
              <w:right w:val="single" w:sz="4" w:space="0" w:color="44B3E1"/>
            </w:tcBorders>
            <w:shd w:val="clear" w:color="C0E6F5" w:fill="C0E6F5"/>
            <w:vAlign w:val="center"/>
            <w:hideMark/>
          </w:tcPr>
          <w:p w14:paraId="7A56BB86" w14:textId="77777777" w:rsidR="009C58C0" w:rsidRPr="009C58C0" w:rsidRDefault="009C58C0" w:rsidP="0065495E">
            <w:pPr>
              <w:spacing w:after="0" w:line="360" w:lineRule="auto"/>
              <w:jc w:val="both"/>
              <w:rPr>
                <w:rFonts w:ascii="Times New Roman" w:eastAsia="Times New Roman" w:hAnsi="Times New Roman" w:cs="Times New Roman"/>
                <w:color w:val="000000"/>
                <w:kern w:val="0"/>
                <w:lang w:val="en-US"/>
                <w14:ligatures w14:val="none"/>
              </w:rPr>
            </w:pPr>
            <w:r w:rsidRPr="009C58C0">
              <w:rPr>
                <w:rFonts w:ascii="Times New Roman" w:eastAsia="Times New Roman" w:hAnsi="Times New Roman" w:cs="Times New Roman"/>
                <w:color w:val="000000"/>
                <w:kern w:val="0"/>
                <w14:ligatures w14:val="none"/>
              </w:rPr>
              <w:t>0</w:t>
            </w:r>
          </w:p>
        </w:tc>
      </w:tr>
      <w:tr w:rsidR="00B004A0" w:rsidRPr="002D16C1" w14:paraId="480F7AE1" w14:textId="77777777" w:rsidTr="00B004A0">
        <w:trPr>
          <w:trHeight w:val="294"/>
        </w:trPr>
        <w:tc>
          <w:tcPr>
            <w:tcW w:w="870" w:type="dxa"/>
            <w:tcBorders>
              <w:top w:val="single" w:sz="4" w:space="0" w:color="44B3E1"/>
              <w:left w:val="single" w:sz="4" w:space="0" w:color="44B3E1"/>
              <w:bottom w:val="single" w:sz="8" w:space="0" w:color="7F7F7F"/>
              <w:right w:val="nil"/>
            </w:tcBorders>
            <w:vAlign w:val="center"/>
            <w:hideMark/>
          </w:tcPr>
          <w:p w14:paraId="7B07DEC6" w14:textId="77777777" w:rsidR="009C58C0" w:rsidRPr="009C58C0" w:rsidRDefault="009C58C0" w:rsidP="0065495E">
            <w:pPr>
              <w:spacing w:after="0" w:line="360" w:lineRule="auto"/>
              <w:jc w:val="both"/>
              <w:rPr>
                <w:rFonts w:ascii="Times New Roman" w:eastAsia="Times New Roman" w:hAnsi="Times New Roman" w:cs="Times New Roman"/>
                <w:b/>
                <w:bCs/>
                <w:color w:val="000000"/>
                <w:kern w:val="0"/>
                <w:lang w:val="en-US"/>
                <w14:ligatures w14:val="none"/>
              </w:rPr>
            </w:pPr>
            <w:r w:rsidRPr="009C58C0">
              <w:rPr>
                <w:rFonts w:ascii="Times New Roman" w:eastAsia="Times New Roman" w:hAnsi="Times New Roman" w:cs="Times New Roman"/>
                <w:b/>
                <w:bCs/>
                <w:color w:val="000000"/>
                <w:kern w:val="0"/>
                <w14:ligatures w14:val="none"/>
              </w:rPr>
              <w:lastRenderedPageBreak/>
              <w:t>TOTAL</w:t>
            </w:r>
          </w:p>
        </w:tc>
        <w:tc>
          <w:tcPr>
            <w:tcW w:w="1962" w:type="dxa"/>
            <w:tcBorders>
              <w:top w:val="single" w:sz="4" w:space="0" w:color="44B3E1"/>
              <w:left w:val="nil"/>
              <w:bottom w:val="single" w:sz="8" w:space="0" w:color="7F7F7F"/>
              <w:right w:val="nil"/>
            </w:tcBorders>
            <w:vAlign w:val="center"/>
            <w:hideMark/>
          </w:tcPr>
          <w:p w14:paraId="77FA423E" w14:textId="77777777" w:rsidR="009C58C0" w:rsidRPr="009C58C0" w:rsidRDefault="009C58C0" w:rsidP="0065495E">
            <w:pPr>
              <w:spacing w:after="0" w:line="360" w:lineRule="auto"/>
              <w:jc w:val="both"/>
              <w:rPr>
                <w:rFonts w:ascii="Times New Roman" w:eastAsia="Times New Roman" w:hAnsi="Times New Roman" w:cs="Times New Roman"/>
                <w:b/>
                <w:bCs/>
                <w:color w:val="000000"/>
                <w:kern w:val="0"/>
                <w:lang w:val="en-US"/>
                <w14:ligatures w14:val="none"/>
              </w:rPr>
            </w:pPr>
            <w:r w:rsidRPr="009C58C0">
              <w:rPr>
                <w:rFonts w:ascii="Times New Roman" w:eastAsia="Times New Roman" w:hAnsi="Times New Roman" w:cs="Times New Roman"/>
                <w:b/>
                <w:bCs/>
                <w:color w:val="000000"/>
                <w:kern w:val="0"/>
                <w14:ligatures w14:val="none"/>
              </w:rPr>
              <w:t>-</w:t>
            </w:r>
          </w:p>
        </w:tc>
        <w:tc>
          <w:tcPr>
            <w:tcW w:w="1442" w:type="dxa"/>
            <w:tcBorders>
              <w:top w:val="single" w:sz="4" w:space="0" w:color="44B3E1"/>
              <w:left w:val="nil"/>
              <w:bottom w:val="single" w:sz="8" w:space="0" w:color="7F7F7F"/>
              <w:right w:val="nil"/>
            </w:tcBorders>
            <w:vAlign w:val="center"/>
            <w:hideMark/>
          </w:tcPr>
          <w:p w14:paraId="56CC4F84" w14:textId="77777777" w:rsidR="009C58C0" w:rsidRPr="009C58C0" w:rsidRDefault="009C58C0" w:rsidP="0065495E">
            <w:pPr>
              <w:spacing w:after="0" w:line="360" w:lineRule="auto"/>
              <w:jc w:val="both"/>
              <w:rPr>
                <w:rFonts w:ascii="Times New Roman" w:eastAsia="Times New Roman" w:hAnsi="Times New Roman" w:cs="Times New Roman"/>
                <w:b/>
                <w:bCs/>
                <w:color w:val="000000"/>
                <w:kern w:val="0"/>
                <w:lang w:val="en-US"/>
                <w14:ligatures w14:val="none"/>
              </w:rPr>
            </w:pPr>
            <w:r w:rsidRPr="009C58C0">
              <w:rPr>
                <w:rFonts w:ascii="Times New Roman" w:eastAsia="Times New Roman" w:hAnsi="Times New Roman" w:cs="Times New Roman"/>
                <w:b/>
                <w:bCs/>
                <w:color w:val="000000"/>
                <w:kern w:val="0"/>
                <w14:ligatures w14:val="none"/>
              </w:rPr>
              <w:t>195,246</w:t>
            </w:r>
          </w:p>
        </w:tc>
        <w:tc>
          <w:tcPr>
            <w:tcW w:w="1719" w:type="dxa"/>
            <w:tcBorders>
              <w:top w:val="single" w:sz="4" w:space="0" w:color="44B3E1"/>
              <w:left w:val="nil"/>
              <w:bottom w:val="single" w:sz="8" w:space="0" w:color="7F7F7F"/>
              <w:right w:val="nil"/>
            </w:tcBorders>
            <w:vAlign w:val="center"/>
            <w:hideMark/>
          </w:tcPr>
          <w:p w14:paraId="771352B1" w14:textId="77777777" w:rsidR="009C58C0" w:rsidRPr="009C58C0" w:rsidRDefault="009C58C0" w:rsidP="0065495E">
            <w:pPr>
              <w:spacing w:after="0" w:line="360" w:lineRule="auto"/>
              <w:jc w:val="both"/>
              <w:rPr>
                <w:rFonts w:ascii="Times New Roman" w:eastAsia="Times New Roman" w:hAnsi="Times New Roman" w:cs="Times New Roman"/>
                <w:b/>
                <w:bCs/>
                <w:color w:val="000000"/>
                <w:kern w:val="0"/>
                <w:lang w:val="en-US"/>
                <w14:ligatures w14:val="none"/>
              </w:rPr>
            </w:pPr>
            <w:r w:rsidRPr="009C58C0">
              <w:rPr>
                <w:rFonts w:ascii="Times New Roman" w:eastAsia="Times New Roman" w:hAnsi="Times New Roman" w:cs="Times New Roman"/>
                <w:b/>
                <w:bCs/>
                <w:color w:val="000000"/>
                <w:kern w:val="0"/>
                <w14:ligatures w14:val="none"/>
              </w:rPr>
              <w:t>-</w:t>
            </w:r>
          </w:p>
        </w:tc>
        <w:tc>
          <w:tcPr>
            <w:tcW w:w="1054" w:type="dxa"/>
            <w:tcBorders>
              <w:top w:val="single" w:sz="4" w:space="0" w:color="44B3E1"/>
              <w:left w:val="nil"/>
              <w:bottom w:val="single" w:sz="8" w:space="0" w:color="7F7F7F"/>
              <w:right w:val="nil"/>
            </w:tcBorders>
            <w:vAlign w:val="center"/>
            <w:hideMark/>
          </w:tcPr>
          <w:p w14:paraId="3B58450A" w14:textId="77777777" w:rsidR="009C58C0" w:rsidRPr="009C58C0" w:rsidRDefault="009C58C0" w:rsidP="0065495E">
            <w:pPr>
              <w:spacing w:after="0" w:line="360" w:lineRule="auto"/>
              <w:jc w:val="both"/>
              <w:rPr>
                <w:rFonts w:ascii="Times New Roman" w:eastAsia="Times New Roman" w:hAnsi="Times New Roman" w:cs="Times New Roman"/>
                <w:b/>
                <w:bCs/>
                <w:color w:val="000000"/>
                <w:kern w:val="0"/>
                <w:lang w:val="en-US"/>
                <w14:ligatures w14:val="none"/>
              </w:rPr>
            </w:pPr>
            <w:r w:rsidRPr="009C58C0">
              <w:rPr>
                <w:rFonts w:ascii="Times New Roman" w:eastAsia="Times New Roman" w:hAnsi="Times New Roman" w:cs="Times New Roman"/>
                <w:b/>
                <w:bCs/>
                <w:color w:val="000000"/>
                <w:kern w:val="0"/>
                <w14:ligatures w14:val="none"/>
              </w:rPr>
              <w:t>1,021</w:t>
            </w:r>
          </w:p>
        </w:tc>
        <w:tc>
          <w:tcPr>
            <w:tcW w:w="1410" w:type="dxa"/>
            <w:tcBorders>
              <w:top w:val="single" w:sz="4" w:space="0" w:color="44B3E1"/>
              <w:left w:val="nil"/>
              <w:bottom w:val="single" w:sz="8" w:space="0" w:color="7F7F7F"/>
              <w:right w:val="nil"/>
            </w:tcBorders>
            <w:vAlign w:val="center"/>
            <w:hideMark/>
          </w:tcPr>
          <w:p w14:paraId="445D6A79" w14:textId="77777777" w:rsidR="009C58C0" w:rsidRPr="009C58C0" w:rsidRDefault="009C58C0" w:rsidP="0065495E">
            <w:pPr>
              <w:spacing w:after="0" w:line="360" w:lineRule="auto"/>
              <w:jc w:val="both"/>
              <w:rPr>
                <w:rFonts w:ascii="Times New Roman" w:eastAsia="Times New Roman" w:hAnsi="Times New Roman" w:cs="Times New Roman"/>
                <w:b/>
                <w:bCs/>
                <w:color w:val="000000"/>
                <w:kern w:val="0"/>
                <w:lang w:val="en-US"/>
                <w14:ligatures w14:val="none"/>
              </w:rPr>
            </w:pPr>
            <w:r w:rsidRPr="009C58C0">
              <w:rPr>
                <w:rFonts w:ascii="Times New Roman" w:eastAsia="Times New Roman" w:hAnsi="Times New Roman" w:cs="Times New Roman"/>
                <w:b/>
                <w:bCs/>
                <w:color w:val="000000"/>
                <w:kern w:val="0"/>
                <w14:ligatures w14:val="none"/>
              </w:rPr>
              <w:t>0.52%</w:t>
            </w:r>
          </w:p>
        </w:tc>
        <w:tc>
          <w:tcPr>
            <w:tcW w:w="840" w:type="dxa"/>
            <w:tcBorders>
              <w:top w:val="single" w:sz="4" w:space="0" w:color="44B3E1"/>
              <w:left w:val="nil"/>
              <w:bottom w:val="single" w:sz="8" w:space="0" w:color="7F7F7F"/>
              <w:right w:val="single" w:sz="4" w:space="0" w:color="44B3E1"/>
            </w:tcBorders>
            <w:vAlign w:val="center"/>
            <w:hideMark/>
          </w:tcPr>
          <w:p w14:paraId="4ECA75A1" w14:textId="77777777" w:rsidR="009C58C0" w:rsidRPr="009C58C0" w:rsidRDefault="009C58C0" w:rsidP="0065495E">
            <w:pPr>
              <w:spacing w:after="0" w:line="360" w:lineRule="auto"/>
              <w:jc w:val="both"/>
              <w:rPr>
                <w:rFonts w:ascii="Times New Roman" w:eastAsia="Times New Roman" w:hAnsi="Times New Roman" w:cs="Times New Roman"/>
                <w:b/>
                <w:bCs/>
                <w:color w:val="000000"/>
                <w:kern w:val="0"/>
                <w:lang w:val="en-US"/>
                <w14:ligatures w14:val="none"/>
              </w:rPr>
            </w:pPr>
            <w:r w:rsidRPr="009C58C0">
              <w:rPr>
                <w:rFonts w:ascii="Times New Roman" w:eastAsia="Times New Roman" w:hAnsi="Times New Roman" w:cs="Times New Roman"/>
                <w:b/>
                <w:bCs/>
                <w:color w:val="000000"/>
                <w:kern w:val="0"/>
                <w14:ligatures w14:val="none"/>
              </w:rPr>
              <w:t>15</w:t>
            </w:r>
          </w:p>
        </w:tc>
      </w:tr>
    </w:tbl>
    <w:p w14:paraId="4BA18287" w14:textId="77777777" w:rsidR="0065495E" w:rsidRDefault="0065495E">
      <w:pPr>
        <w:spacing w:after="0" w:line="240" w:lineRule="auto"/>
        <w:jc w:val="both"/>
        <w:rPr>
          <w:rFonts w:ascii="Times New Roman" w:hAnsi="Times New Roman" w:cs="Times New Roman"/>
        </w:rPr>
      </w:pPr>
    </w:p>
    <w:p w14:paraId="4A6DD4D1" w14:textId="79721B86" w:rsidR="00C66E38" w:rsidRDefault="00981AE8">
      <w:pPr>
        <w:spacing w:after="0" w:line="240" w:lineRule="auto"/>
        <w:jc w:val="both"/>
        <w:rPr>
          <w:rFonts w:ascii="Times New Roman" w:hAnsi="Times New Roman" w:cs="Times New Roman"/>
        </w:rPr>
      </w:pPr>
      <w:r>
        <w:rPr>
          <w:rFonts w:ascii="Times New Roman" w:hAnsi="Times New Roman" w:cs="Times New Roman"/>
        </w:rPr>
        <w:t>Service utilization shows remarkable growth from 1,709 total services in Q3 2024 to over 20,000 services per month by mid-2025, representing more than a 10-fold increase. The services-per-enrolee ratio stabilizes between 1.45-2.21, indicating that enrolees are accessing healthcare services approximately 1.5 times during the reporting period on average.</w:t>
      </w:r>
    </w:p>
    <w:p w14:paraId="728A4365" w14:textId="77777777" w:rsidR="00C66E38" w:rsidRDefault="00981AE8">
      <w:pPr>
        <w:spacing w:after="0" w:line="240" w:lineRule="auto"/>
        <w:jc w:val="both"/>
        <w:rPr>
          <w:rFonts w:ascii="Times New Roman" w:hAnsi="Times New Roman" w:cs="Times New Roman"/>
        </w:rPr>
      </w:pPr>
      <w:r>
        <w:rPr>
          <w:rFonts w:ascii="Times New Roman" w:hAnsi="Times New Roman" w:cs="Times New Roman"/>
        </w:rPr>
        <w:t>While superficially suggestive of effective primary-level case management, the persistently low referral rate warrants cautious interpretation given known financial, transport, and system-level barriers to referral completion. The extremely low mortality (15 total deaths across 195,246 service encounters = 0.0077%) is a positive indicator, though this may also reflect that very ill patients are referred before death or seek care at higher-level facilities directly.</w:t>
      </w:r>
    </w:p>
    <w:p w14:paraId="3D4861FE" w14:textId="77777777" w:rsidR="00C66E38" w:rsidRDefault="00C66E38">
      <w:pPr>
        <w:spacing w:after="0" w:line="240" w:lineRule="auto"/>
        <w:jc w:val="both"/>
        <w:rPr>
          <w:rFonts w:ascii="Times New Roman" w:hAnsi="Times New Roman" w:cs="Times New Roman"/>
        </w:rPr>
      </w:pPr>
    </w:p>
    <w:p w14:paraId="1CE4211F" w14:textId="77777777" w:rsidR="00C66E38" w:rsidRDefault="00981AE8">
      <w:pPr>
        <w:spacing w:after="0" w:line="240" w:lineRule="auto"/>
        <w:jc w:val="both"/>
        <w:rPr>
          <w:rFonts w:ascii="Times New Roman" w:hAnsi="Times New Roman" w:cs="Times New Roman"/>
          <w:b/>
          <w:bCs/>
        </w:rPr>
      </w:pPr>
      <w:r>
        <w:rPr>
          <w:rFonts w:ascii="Times New Roman" w:hAnsi="Times New Roman" w:cs="Times New Roman"/>
          <w:b/>
          <w:bCs/>
        </w:rPr>
        <w:t xml:space="preserve">2.2 </w:t>
      </w:r>
      <w:r>
        <w:rPr>
          <w:rFonts w:ascii="Times New Roman" w:hAnsi="Times New Roman" w:cs="Times New Roman"/>
          <w:b/>
          <w:bCs/>
        </w:rPr>
        <w:tab/>
        <w:t>Service Type Distribution</w:t>
      </w:r>
    </w:p>
    <w:p w14:paraId="76D75F8D" w14:textId="77777777" w:rsidR="00C66E38" w:rsidRDefault="00C66E38">
      <w:pPr>
        <w:spacing w:after="0" w:line="240" w:lineRule="auto"/>
        <w:jc w:val="both"/>
        <w:rPr>
          <w:rFonts w:ascii="Times New Roman" w:hAnsi="Times New Roman" w:cs="Times New Roman"/>
          <w:b/>
          <w:bCs/>
        </w:rPr>
      </w:pPr>
    </w:p>
    <w:tbl>
      <w:tblPr>
        <w:tblStyle w:val="PlainTable21"/>
        <w:tblW w:w="9023" w:type="dxa"/>
        <w:tblLook w:val="0620" w:firstRow="1" w:lastRow="0" w:firstColumn="0" w:lastColumn="0" w:noHBand="1" w:noVBand="1"/>
      </w:tblPr>
      <w:tblGrid>
        <w:gridCol w:w="5356"/>
        <w:gridCol w:w="1407"/>
        <w:gridCol w:w="2260"/>
      </w:tblGrid>
      <w:tr w:rsidR="00C66E38" w14:paraId="6A54F83A" w14:textId="77777777" w:rsidTr="00C66E38">
        <w:trPr>
          <w:cnfStyle w:val="100000000000" w:firstRow="1" w:lastRow="0" w:firstColumn="0" w:lastColumn="0" w:oddVBand="0" w:evenVBand="0" w:oddHBand="0" w:evenHBand="0" w:firstRowFirstColumn="0" w:firstRowLastColumn="0" w:lastRowFirstColumn="0" w:lastRowLastColumn="0"/>
          <w:trHeight w:val="361"/>
        </w:trPr>
        <w:tc>
          <w:tcPr>
            <w:tcW w:w="0" w:type="auto"/>
            <w:hideMark/>
          </w:tcPr>
          <w:p w14:paraId="3F799464" w14:textId="77777777" w:rsidR="00C66E38" w:rsidRDefault="00981AE8">
            <w:pPr>
              <w:spacing w:line="360" w:lineRule="auto"/>
              <w:jc w:val="both"/>
              <w:rPr>
                <w:rFonts w:ascii="Times New Roman" w:hAnsi="Times New Roman" w:cs="Times New Roman"/>
              </w:rPr>
            </w:pPr>
            <w:r>
              <w:rPr>
                <w:rFonts w:ascii="Times New Roman" w:hAnsi="Times New Roman" w:cs="Times New Roman"/>
              </w:rPr>
              <w:t>Service Type</w:t>
            </w:r>
          </w:p>
        </w:tc>
        <w:tc>
          <w:tcPr>
            <w:tcW w:w="0" w:type="auto"/>
            <w:hideMark/>
          </w:tcPr>
          <w:p w14:paraId="363E9705" w14:textId="77777777" w:rsidR="00C66E38" w:rsidRDefault="00981AE8">
            <w:pPr>
              <w:spacing w:line="360" w:lineRule="auto"/>
              <w:jc w:val="both"/>
              <w:rPr>
                <w:rFonts w:ascii="Times New Roman" w:hAnsi="Times New Roman" w:cs="Times New Roman"/>
              </w:rPr>
            </w:pPr>
            <w:r>
              <w:rPr>
                <w:rFonts w:ascii="Times New Roman" w:hAnsi="Times New Roman" w:cs="Times New Roman"/>
              </w:rPr>
              <w:t>Total</w:t>
            </w:r>
          </w:p>
        </w:tc>
        <w:tc>
          <w:tcPr>
            <w:tcW w:w="0" w:type="auto"/>
            <w:hideMark/>
          </w:tcPr>
          <w:p w14:paraId="1A347ABA" w14:textId="77777777" w:rsidR="00C66E38" w:rsidRDefault="00981AE8">
            <w:pPr>
              <w:spacing w:line="360" w:lineRule="auto"/>
              <w:jc w:val="both"/>
              <w:rPr>
                <w:rFonts w:ascii="Times New Roman" w:hAnsi="Times New Roman" w:cs="Times New Roman"/>
              </w:rPr>
            </w:pPr>
            <w:r>
              <w:rPr>
                <w:rFonts w:ascii="Times New Roman" w:hAnsi="Times New Roman" w:cs="Times New Roman"/>
              </w:rPr>
              <w:t>% of Services</w:t>
            </w:r>
          </w:p>
        </w:tc>
      </w:tr>
      <w:tr w:rsidR="00C66E38" w14:paraId="00227FF6" w14:textId="77777777" w:rsidTr="00C66E38">
        <w:trPr>
          <w:trHeight w:val="174"/>
        </w:trPr>
        <w:tc>
          <w:tcPr>
            <w:tcW w:w="0" w:type="auto"/>
            <w:hideMark/>
          </w:tcPr>
          <w:p w14:paraId="58C3ADEC" w14:textId="77777777" w:rsidR="00C66E38" w:rsidRDefault="00981AE8">
            <w:pPr>
              <w:spacing w:line="360" w:lineRule="auto"/>
              <w:jc w:val="both"/>
              <w:rPr>
                <w:rFonts w:ascii="Times New Roman" w:hAnsi="Times New Roman" w:cs="Times New Roman"/>
              </w:rPr>
            </w:pPr>
            <w:r>
              <w:rPr>
                <w:rFonts w:ascii="Times New Roman" w:hAnsi="Times New Roman" w:cs="Times New Roman"/>
              </w:rPr>
              <w:t>Malaria (MAL)</w:t>
            </w:r>
          </w:p>
        </w:tc>
        <w:tc>
          <w:tcPr>
            <w:tcW w:w="0" w:type="auto"/>
            <w:hideMark/>
          </w:tcPr>
          <w:p w14:paraId="65F4234E" w14:textId="77777777" w:rsidR="00C66E38" w:rsidRDefault="00981AE8">
            <w:pPr>
              <w:spacing w:line="360" w:lineRule="auto"/>
              <w:jc w:val="both"/>
              <w:rPr>
                <w:rFonts w:ascii="Times New Roman" w:hAnsi="Times New Roman" w:cs="Times New Roman"/>
              </w:rPr>
            </w:pPr>
            <w:r>
              <w:rPr>
                <w:rFonts w:ascii="Times New Roman" w:hAnsi="Times New Roman" w:cs="Times New Roman"/>
              </w:rPr>
              <w:t>49,862</w:t>
            </w:r>
          </w:p>
        </w:tc>
        <w:tc>
          <w:tcPr>
            <w:tcW w:w="0" w:type="auto"/>
            <w:hideMark/>
          </w:tcPr>
          <w:p w14:paraId="61FB48BE" w14:textId="77777777" w:rsidR="00C66E38" w:rsidRDefault="00981AE8">
            <w:pPr>
              <w:spacing w:line="360" w:lineRule="auto"/>
              <w:jc w:val="both"/>
              <w:rPr>
                <w:rFonts w:ascii="Times New Roman" w:hAnsi="Times New Roman" w:cs="Times New Roman"/>
              </w:rPr>
            </w:pPr>
            <w:r>
              <w:rPr>
                <w:rFonts w:ascii="Times New Roman" w:hAnsi="Times New Roman" w:cs="Times New Roman"/>
              </w:rPr>
              <w:t>36.8%</w:t>
            </w:r>
          </w:p>
        </w:tc>
      </w:tr>
      <w:tr w:rsidR="00C66E38" w14:paraId="62EAA462" w14:textId="77777777" w:rsidTr="00C66E38">
        <w:trPr>
          <w:trHeight w:val="374"/>
        </w:trPr>
        <w:tc>
          <w:tcPr>
            <w:tcW w:w="0" w:type="auto"/>
            <w:hideMark/>
          </w:tcPr>
          <w:p w14:paraId="4693B92A" w14:textId="77777777" w:rsidR="00C66E38" w:rsidRDefault="00981AE8">
            <w:pPr>
              <w:spacing w:line="360" w:lineRule="auto"/>
              <w:jc w:val="both"/>
              <w:rPr>
                <w:rFonts w:ascii="Times New Roman" w:hAnsi="Times New Roman" w:cs="Times New Roman"/>
              </w:rPr>
            </w:pPr>
            <w:r>
              <w:rPr>
                <w:rFonts w:ascii="Times New Roman" w:hAnsi="Times New Roman" w:cs="Times New Roman"/>
              </w:rPr>
              <w:t>Immunization (IMMUN)</w:t>
            </w:r>
          </w:p>
        </w:tc>
        <w:tc>
          <w:tcPr>
            <w:tcW w:w="0" w:type="auto"/>
            <w:hideMark/>
          </w:tcPr>
          <w:p w14:paraId="2C334DF6" w14:textId="77777777" w:rsidR="00C66E38" w:rsidRDefault="00981AE8">
            <w:pPr>
              <w:spacing w:line="360" w:lineRule="auto"/>
              <w:jc w:val="both"/>
              <w:rPr>
                <w:rFonts w:ascii="Times New Roman" w:hAnsi="Times New Roman" w:cs="Times New Roman"/>
              </w:rPr>
            </w:pPr>
            <w:r>
              <w:rPr>
                <w:rFonts w:ascii="Times New Roman" w:hAnsi="Times New Roman" w:cs="Times New Roman"/>
              </w:rPr>
              <w:t>41,736</w:t>
            </w:r>
          </w:p>
        </w:tc>
        <w:tc>
          <w:tcPr>
            <w:tcW w:w="0" w:type="auto"/>
            <w:hideMark/>
          </w:tcPr>
          <w:p w14:paraId="4742A617" w14:textId="77777777" w:rsidR="00C66E38" w:rsidRDefault="00981AE8">
            <w:pPr>
              <w:spacing w:line="360" w:lineRule="auto"/>
              <w:jc w:val="both"/>
              <w:rPr>
                <w:rFonts w:ascii="Times New Roman" w:hAnsi="Times New Roman" w:cs="Times New Roman"/>
              </w:rPr>
            </w:pPr>
            <w:r>
              <w:rPr>
                <w:rFonts w:ascii="Times New Roman" w:hAnsi="Times New Roman" w:cs="Times New Roman"/>
              </w:rPr>
              <w:t>30.8%</w:t>
            </w:r>
          </w:p>
        </w:tc>
      </w:tr>
      <w:tr w:rsidR="00C66E38" w14:paraId="5A98B9B3" w14:textId="77777777" w:rsidTr="00C66E38">
        <w:trPr>
          <w:trHeight w:val="361"/>
        </w:trPr>
        <w:tc>
          <w:tcPr>
            <w:tcW w:w="0" w:type="auto"/>
            <w:hideMark/>
          </w:tcPr>
          <w:p w14:paraId="5EB1303F" w14:textId="77777777" w:rsidR="00C66E38" w:rsidRDefault="00981AE8">
            <w:pPr>
              <w:spacing w:line="360" w:lineRule="auto"/>
              <w:jc w:val="both"/>
              <w:rPr>
                <w:rFonts w:ascii="Times New Roman" w:hAnsi="Times New Roman" w:cs="Times New Roman"/>
              </w:rPr>
            </w:pPr>
            <w:r>
              <w:rPr>
                <w:rFonts w:ascii="Times New Roman" w:hAnsi="Times New Roman" w:cs="Times New Roman"/>
              </w:rPr>
              <w:t>Antenatal Care (ANC)</w:t>
            </w:r>
          </w:p>
        </w:tc>
        <w:tc>
          <w:tcPr>
            <w:tcW w:w="0" w:type="auto"/>
            <w:hideMark/>
          </w:tcPr>
          <w:p w14:paraId="4E94C943" w14:textId="77777777" w:rsidR="00C66E38" w:rsidRDefault="00981AE8">
            <w:pPr>
              <w:spacing w:line="360" w:lineRule="auto"/>
              <w:jc w:val="both"/>
              <w:rPr>
                <w:rFonts w:ascii="Times New Roman" w:hAnsi="Times New Roman" w:cs="Times New Roman"/>
              </w:rPr>
            </w:pPr>
            <w:r>
              <w:rPr>
                <w:rFonts w:ascii="Times New Roman" w:hAnsi="Times New Roman" w:cs="Times New Roman"/>
              </w:rPr>
              <w:t>14,020</w:t>
            </w:r>
          </w:p>
        </w:tc>
        <w:tc>
          <w:tcPr>
            <w:tcW w:w="0" w:type="auto"/>
            <w:hideMark/>
          </w:tcPr>
          <w:p w14:paraId="3CF9EA27" w14:textId="77777777" w:rsidR="00C66E38" w:rsidRDefault="00981AE8">
            <w:pPr>
              <w:spacing w:line="360" w:lineRule="auto"/>
              <w:jc w:val="both"/>
              <w:rPr>
                <w:rFonts w:ascii="Times New Roman" w:hAnsi="Times New Roman" w:cs="Times New Roman"/>
              </w:rPr>
            </w:pPr>
            <w:r>
              <w:rPr>
                <w:rFonts w:ascii="Times New Roman" w:hAnsi="Times New Roman" w:cs="Times New Roman"/>
              </w:rPr>
              <w:t>10.3%</w:t>
            </w:r>
          </w:p>
        </w:tc>
      </w:tr>
      <w:tr w:rsidR="00C66E38" w14:paraId="306C0260" w14:textId="77777777" w:rsidTr="00C66E38">
        <w:trPr>
          <w:trHeight w:val="187"/>
        </w:trPr>
        <w:tc>
          <w:tcPr>
            <w:tcW w:w="0" w:type="auto"/>
            <w:hideMark/>
          </w:tcPr>
          <w:p w14:paraId="3018F892" w14:textId="77777777" w:rsidR="00C66E38" w:rsidRDefault="00981AE8">
            <w:pPr>
              <w:spacing w:line="360" w:lineRule="auto"/>
              <w:jc w:val="both"/>
              <w:rPr>
                <w:rFonts w:ascii="Times New Roman" w:hAnsi="Times New Roman" w:cs="Times New Roman"/>
              </w:rPr>
            </w:pPr>
            <w:r>
              <w:rPr>
                <w:rFonts w:ascii="Times New Roman" w:hAnsi="Times New Roman" w:cs="Times New Roman"/>
              </w:rPr>
              <w:t>Blood Pressure (BP)</w:t>
            </w:r>
          </w:p>
        </w:tc>
        <w:tc>
          <w:tcPr>
            <w:tcW w:w="0" w:type="auto"/>
            <w:hideMark/>
          </w:tcPr>
          <w:p w14:paraId="4904CC22" w14:textId="77777777" w:rsidR="00C66E38" w:rsidRDefault="00981AE8">
            <w:pPr>
              <w:spacing w:line="360" w:lineRule="auto"/>
              <w:jc w:val="both"/>
              <w:rPr>
                <w:rFonts w:ascii="Times New Roman" w:hAnsi="Times New Roman" w:cs="Times New Roman"/>
              </w:rPr>
            </w:pPr>
            <w:r>
              <w:rPr>
                <w:rFonts w:ascii="Times New Roman" w:hAnsi="Times New Roman" w:cs="Times New Roman"/>
              </w:rPr>
              <w:t>~10,500</w:t>
            </w:r>
          </w:p>
        </w:tc>
        <w:tc>
          <w:tcPr>
            <w:tcW w:w="0" w:type="auto"/>
            <w:hideMark/>
          </w:tcPr>
          <w:p w14:paraId="58181F0C" w14:textId="77777777" w:rsidR="00C66E38" w:rsidRDefault="00981AE8">
            <w:pPr>
              <w:spacing w:line="360" w:lineRule="auto"/>
              <w:jc w:val="both"/>
              <w:rPr>
                <w:rFonts w:ascii="Times New Roman" w:hAnsi="Times New Roman" w:cs="Times New Roman"/>
              </w:rPr>
            </w:pPr>
            <w:r>
              <w:rPr>
                <w:rFonts w:ascii="Times New Roman" w:hAnsi="Times New Roman" w:cs="Times New Roman"/>
              </w:rPr>
              <w:t>7.8%</w:t>
            </w:r>
          </w:p>
        </w:tc>
      </w:tr>
      <w:tr w:rsidR="00C66E38" w14:paraId="4E3BE251" w14:textId="77777777" w:rsidTr="00C66E38">
        <w:trPr>
          <w:trHeight w:val="187"/>
        </w:trPr>
        <w:tc>
          <w:tcPr>
            <w:tcW w:w="0" w:type="auto"/>
            <w:hideMark/>
          </w:tcPr>
          <w:p w14:paraId="3AA3EFBF" w14:textId="77777777" w:rsidR="00C66E38" w:rsidRDefault="00981AE8">
            <w:pPr>
              <w:spacing w:line="360" w:lineRule="auto"/>
              <w:jc w:val="both"/>
              <w:rPr>
                <w:rFonts w:ascii="Times New Roman" w:hAnsi="Times New Roman" w:cs="Times New Roman"/>
              </w:rPr>
            </w:pPr>
            <w:r>
              <w:rPr>
                <w:rFonts w:ascii="Times New Roman" w:hAnsi="Times New Roman" w:cs="Times New Roman"/>
              </w:rPr>
              <w:t>Typhoid</w:t>
            </w:r>
          </w:p>
        </w:tc>
        <w:tc>
          <w:tcPr>
            <w:tcW w:w="0" w:type="auto"/>
            <w:hideMark/>
          </w:tcPr>
          <w:p w14:paraId="3E31482E" w14:textId="77777777" w:rsidR="00C66E38" w:rsidRDefault="00981AE8">
            <w:pPr>
              <w:spacing w:line="360" w:lineRule="auto"/>
              <w:jc w:val="both"/>
              <w:rPr>
                <w:rFonts w:ascii="Times New Roman" w:hAnsi="Times New Roman" w:cs="Times New Roman"/>
              </w:rPr>
            </w:pPr>
            <w:r>
              <w:rPr>
                <w:rFonts w:ascii="Times New Roman" w:hAnsi="Times New Roman" w:cs="Times New Roman"/>
              </w:rPr>
              <w:t>~9,200</w:t>
            </w:r>
          </w:p>
        </w:tc>
        <w:tc>
          <w:tcPr>
            <w:tcW w:w="0" w:type="auto"/>
            <w:hideMark/>
          </w:tcPr>
          <w:p w14:paraId="03AAE5BB" w14:textId="77777777" w:rsidR="00C66E38" w:rsidRDefault="00981AE8">
            <w:pPr>
              <w:spacing w:line="360" w:lineRule="auto"/>
              <w:jc w:val="both"/>
              <w:rPr>
                <w:rFonts w:ascii="Times New Roman" w:hAnsi="Times New Roman" w:cs="Times New Roman"/>
              </w:rPr>
            </w:pPr>
            <w:r>
              <w:rPr>
                <w:rFonts w:ascii="Times New Roman" w:hAnsi="Times New Roman" w:cs="Times New Roman"/>
              </w:rPr>
              <w:t>6.8%</w:t>
            </w:r>
          </w:p>
        </w:tc>
      </w:tr>
      <w:tr w:rsidR="00C66E38" w14:paraId="28541192" w14:textId="77777777" w:rsidTr="00C66E38">
        <w:trPr>
          <w:trHeight w:val="361"/>
        </w:trPr>
        <w:tc>
          <w:tcPr>
            <w:tcW w:w="0" w:type="auto"/>
            <w:hideMark/>
          </w:tcPr>
          <w:p w14:paraId="6A661DC8" w14:textId="77777777" w:rsidR="00C66E38" w:rsidRDefault="00981AE8">
            <w:pPr>
              <w:spacing w:line="360" w:lineRule="auto"/>
              <w:jc w:val="both"/>
              <w:rPr>
                <w:rFonts w:ascii="Times New Roman" w:hAnsi="Times New Roman" w:cs="Times New Roman"/>
              </w:rPr>
            </w:pPr>
            <w:r>
              <w:rPr>
                <w:rFonts w:ascii="Times New Roman" w:hAnsi="Times New Roman" w:cs="Times New Roman"/>
              </w:rPr>
              <w:t>Respiratory Tract Infection (RTI)</w:t>
            </w:r>
          </w:p>
        </w:tc>
        <w:tc>
          <w:tcPr>
            <w:tcW w:w="0" w:type="auto"/>
            <w:hideMark/>
          </w:tcPr>
          <w:p w14:paraId="6A91721F" w14:textId="77777777" w:rsidR="00C66E38" w:rsidRDefault="00981AE8">
            <w:pPr>
              <w:spacing w:line="360" w:lineRule="auto"/>
              <w:jc w:val="both"/>
              <w:rPr>
                <w:rFonts w:ascii="Times New Roman" w:hAnsi="Times New Roman" w:cs="Times New Roman"/>
              </w:rPr>
            </w:pPr>
            <w:r>
              <w:rPr>
                <w:rFonts w:ascii="Times New Roman" w:hAnsi="Times New Roman" w:cs="Times New Roman"/>
              </w:rPr>
              <w:t>~3,800</w:t>
            </w:r>
          </w:p>
        </w:tc>
        <w:tc>
          <w:tcPr>
            <w:tcW w:w="0" w:type="auto"/>
            <w:hideMark/>
          </w:tcPr>
          <w:p w14:paraId="68D401C0" w14:textId="77777777" w:rsidR="00C66E38" w:rsidRDefault="00981AE8">
            <w:pPr>
              <w:spacing w:line="360" w:lineRule="auto"/>
              <w:jc w:val="both"/>
              <w:rPr>
                <w:rFonts w:ascii="Times New Roman" w:hAnsi="Times New Roman" w:cs="Times New Roman"/>
              </w:rPr>
            </w:pPr>
            <w:r>
              <w:rPr>
                <w:rFonts w:ascii="Times New Roman" w:hAnsi="Times New Roman" w:cs="Times New Roman"/>
              </w:rPr>
              <w:t>2.8%</w:t>
            </w:r>
          </w:p>
        </w:tc>
      </w:tr>
      <w:tr w:rsidR="00C66E38" w14:paraId="1DD1D64C" w14:textId="77777777" w:rsidTr="00C66E38">
        <w:trPr>
          <w:trHeight w:val="374"/>
        </w:trPr>
        <w:tc>
          <w:tcPr>
            <w:tcW w:w="0" w:type="auto"/>
            <w:hideMark/>
          </w:tcPr>
          <w:p w14:paraId="3C32DA51" w14:textId="77777777" w:rsidR="00C66E38" w:rsidRDefault="00981AE8">
            <w:pPr>
              <w:spacing w:line="360" w:lineRule="auto"/>
              <w:jc w:val="both"/>
              <w:rPr>
                <w:rFonts w:ascii="Times New Roman" w:hAnsi="Times New Roman" w:cs="Times New Roman"/>
              </w:rPr>
            </w:pPr>
            <w:r>
              <w:rPr>
                <w:rFonts w:ascii="Times New Roman" w:hAnsi="Times New Roman" w:cs="Times New Roman"/>
              </w:rPr>
              <w:t>Spontaneous Vaginal Delivery (SVD)</w:t>
            </w:r>
          </w:p>
        </w:tc>
        <w:tc>
          <w:tcPr>
            <w:tcW w:w="0" w:type="auto"/>
            <w:hideMark/>
          </w:tcPr>
          <w:p w14:paraId="05EE2BD2" w14:textId="77777777" w:rsidR="00C66E38" w:rsidRDefault="00981AE8">
            <w:pPr>
              <w:spacing w:line="360" w:lineRule="auto"/>
              <w:jc w:val="both"/>
              <w:rPr>
                <w:rFonts w:ascii="Times New Roman" w:hAnsi="Times New Roman" w:cs="Times New Roman"/>
              </w:rPr>
            </w:pPr>
            <w:r>
              <w:rPr>
                <w:rFonts w:ascii="Times New Roman" w:hAnsi="Times New Roman" w:cs="Times New Roman"/>
              </w:rPr>
              <w:t>2,458</w:t>
            </w:r>
          </w:p>
        </w:tc>
        <w:tc>
          <w:tcPr>
            <w:tcW w:w="0" w:type="auto"/>
            <w:hideMark/>
          </w:tcPr>
          <w:p w14:paraId="1D13DB54" w14:textId="77777777" w:rsidR="00C66E38" w:rsidRDefault="00981AE8">
            <w:pPr>
              <w:spacing w:line="360" w:lineRule="auto"/>
              <w:jc w:val="both"/>
              <w:rPr>
                <w:rFonts w:ascii="Times New Roman" w:hAnsi="Times New Roman" w:cs="Times New Roman"/>
              </w:rPr>
            </w:pPr>
            <w:r>
              <w:rPr>
                <w:rFonts w:ascii="Times New Roman" w:hAnsi="Times New Roman" w:cs="Times New Roman"/>
              </w:rPr>
              <w:t>1.8%</w:t>
            </w:r>
          </w:p>
        </w:tc>
      </w:tr>
      <w:tr w:rsidR="00C66E38" w14:paraId="67165EC7" w14:textId="77777777" w:rsidTr="00C66E38">
        <w:trPr>
          <w:trHeight w:val="187"/>
        </w:trPr>
        <w:tc>
          <w:tcPr>
            <w:tcW w:w="0" w:type="auto"/>
            <w:hideMark/>
          </w:tcPr>
          <w:p w14:paraId="1616DE9B" w14:textId="77777777" w:rsidR="00C66E38" w:rsidRDefault="00981AE8">
            <w:pPr>
              <w:spacing w:line="360" w:lineRule="auto"/>
              <w:jc w:val="both"/>
              <w:rPr>
                <w:rFonts w:ascii="Times New Roman" w:hAnsi="Times New Roman" w:cs="Times New Roman"/>
              </w:rPr>
            </w:pPr>
            <w:r>
              <w:rPr>
                <w:rFonts w:ascii="Times New Roman" w:hAnsi="Times New Roman" w:cs="Times New Roman"/>
              </w:rPr>
              <w:t>Diabetes</w:t>
            </w:r>
          </w:p>
        </w:tc>
        <w:tc>
          <w:tcPr>
            <w:tcW w:w="0" w:type="auto"/>
            <w:hideMark/>
          </w:tcPr>
          <w:p w14:paraId="06668E3E" w14:textId="77777777" w:rsidR="00C66E38" w:rsidRDefault="00981AE8">
            <w:pPr>
              <w:spacing w:line="360" w:lineRule="auto"/>
              <w:jc w:val="both"/>
              <w:rPr>
                <w:rFonts w:ascii="Times New Roman" w:hAnsi="Times New Roman" w:cs="Times New Roman"/>
              </w:rPr>
            </w:pPr>
            <w:r>
              <w:rPr>
                <w:rFonts w:ascii="Times New Roman" w:hAnsi="Times New Roman" w:cs="Times New Roman"/>
              </w:rPr>
              <w:t>~2,100</w:t>
            </w:r>
          </w:p>
        </w:tc>
        <w:tc>
          <w:tcPr>
            <w:tcW w:w="0" w:type="auto"/>
            <w:hideMark/>
          </w:tcPr>
          <w:p w14:paraId="276BA143" w14:textId="77777777" w:rsidR="00C66E38" w:rsidRDefault="00981AE8">
            <w:pPr>
              <w:spacing w:line="360" w:lineRule="auto"/>
              <w:jc w:val="both"/>
              <w:rPr>
                <w:rFonts w:ascii="Times New Roman" w:hAnsi="Times New Roman" w:cs="Times New Roman"/>
              </w:rPr>
            </w:pPr>
            <w:r>
              <w:rPr>
                <w:rFonts w:ascii="Times New Roman" w:hAnsi="Times New Roman" w:cs="Times New Roman"/>
              </w:rPr>
              <w:t>1.6%</w:t>
            </w:r>
          </w:p>
        </w:tc>
      </w:tr>
      <w:tr w:rsidR="00C66E38" w14:paraId="03583B73" w14:textId="77777777" w:rsidTr="00C66E38">
        <w:trPr>
          <w:trHeight w:val="174"/>
        </w:trPr>
        <w:tc>
          <w:tcPr>
            <w:tcW w:w="0" w:type="auto"/>
            <w:hideMark/>
          </w:tcPr>
          <w:p w14:paraId="603EF785" w14:textId="77777777" w:rsidR="00C66E38" w:rsidRDefault="00981AE8">
            <w:pPr>
              <w:spacing w:line="360" w:lineRule="auto"/>
              <w:jc w:val="both"/>
              <w:rPr>
                <w:rFonts w:ascii="Times New Roman" w:hAnsi="Times New Roman" w:cs="Times New Roman"/>
              </w:rPr>
            </w:pPr>
            <w:r>
              <w:rPr>
                <w:rFonts w:ascii="Times New Roman" w:hAnsi="Times New Roman" w:cs="Times New Roman"/>
              </w:rPr>
              <w:t>Others</w:t>
            </w:r>
          </w:p>
        </w:tc>
        <w:tc>
          <w:tcPr>
            <w:tcW w:w="0" w:type="auto"/>
            <w:hideMark/>
          </w:tcPr>
          <w:p w14:paraId="6AAA937D" w14:textId="77777777" w:rsidR="00C66E38" w:rsidRDefault="00981AE8">
            <w:pPr>
              <w:spacing w:line="360" w:lineRule="auto"/>
              <w:jc w:val="both"/>
              <w:rPr>
                <w:rFonts w:ascii="Times New Roman" w:hAnsi="Times New Roman" w:cs="Times New Roman"/>
              </w:rPr>
            </w:pPr>
            <w:r>
              <w:rPr>
                <w:rFonts w:ascii="Times New Roman" w:hAnsi="Times New Roman" w:cs="Times New Roman"/>
              </w:rPr>
              <w:t>~1,782</w:t>
            </w:r>
          </w:p>
        </w:tc>
        <w:tc>
          <w:tcPr>
            <w:tcW w:w="0" w:type="auto"/>
            <w:hideMark/>
          </w:tcPr>
          <w:p w14:paraId="2CE90B03" w14:textId="77777777" w:rsidR="00C66E38" w:rsidRDefault="00981AE8">
            <w:pPr>
              <w:spacing w:line="360" w:lineRule="auto"/>
              <w:jc w:val="both"/>
              <w:rPr>
                <w:rFonts w:ascii="Times New Roman" w:hAnsi="Times New Roman" w:cs="Times New Roman"/>
              </w:rPr>
            </w:pPr>
            <w:r>
              <w:rPr>
                <w:rFonts w:ascii="Times New Roman" w:hAnsi="Times New Roman" w:cs="Times New Roman"/>
              </w:rPr>
              <w:t>1.3%</w:t>
            </w:r>
          </w:p>
        </w:tc>
      </w:tr>
    </w:tbl>
    <w:p w14:paraId="6AED5795" w14:textId="77777777" w:rsidR="00C66E38" w:rsidRDefault="00C66E38">
      <w:pPr>
        <w:spacing w:after="0" w:line="240" w:lineRule="auto"/>
        <w:jc w:val="both"/>
        <w:rPr>
          <w:rFonts w:ascii="Times New Roman" w:hAnsi="Times New Roman" w:cs="Times New Roman"/>
        </w:rPr>
      </w:pPr>
    </w:p>
    <w:p w14:paraId="2C23DB21" w14:textId="39571B18" w:rsidR="006C1287" w:rsidRPr="008B47D9" w:rsidRDefault="006C1287">
      <w:pPr>
        <w:spacing w:after="0" w:line="240" w:lineRule="auto"/>
        <w:jc w:val="both"/>
        <w:rPr>
          <w:rFonts w:ascii="Times New Roman" w:hAnsi="Times New Roman" w:cs="Times New Roman"/>
          <w:b/>
          <w:bCs/>
        </w:rPr>
      </w:pPr>
      <w:r w:rsidRPr="008B47D9">
        <w:rPr>
          <w:rFonts w:ascii="Times New Roman" w:hAnsi="Times New Roman" w:cs="Times New Roman"/>
          <w:b/>
          <w:bCs/>
        </w:rPr>
        <w:t>Table 6-</w:t>
      </w:r>
      <w:r w:rsidR="008B47D9" w:rsidRPr="008B47D9">
        <w:rPr>
          <w:rFonts w:ascii="Times New Roman" w:hAnsi="Times New Roman" w:cs="Times New Roman"/>
          <w:b/>
          <w:bCs/>
        </w:rPr>
        <w:t xml:space="preserve"> Distribution of Healthcare Service Type </w:t>
      </w:r>
    </w:p>
    <w:p w14:paraId="2E45E0CC" w14:textId="386F97EB" w:rsidR="00C66E38" w:rsidRDefault="00981AE8">
      <w:pPr>
        <w:spacing w:after="0" w:line="240" w:lineRule="auto"/>
        <w:jc w:val="both"/>
        <w:rPr>
          <w:rFonts w:ascii="Times New Roman" w:hAnsi="Times New Roman" w:cs="Times New Roman"/>
        </w:rPr>
      </w:pPr>
      <w:r>
        <w:rPr>
          <w:rFonts w:ascii="Times New Roman" w:hAnsi="Times New Roman" w:cs="Times New Roman"/>
        </w:rPr>
        <w:t>The service utilization pattern reflects the disease burden and health priorities in Rivers State. Malaria treatment dominates service delivery at 36.8% of all services (49,862 cases), highlighting the persistent burden of malaria in the region. This is consistent with Nigeria's status as having the highest malaria burden globally, accounting for approximately 27% of global malaria cases.</w:t>
      </w:r>
    </w:p>
    <w:p w14:paraId="49CDBAB7" w14:textId="77777777" w:rsidR="00C66E38" w:rsidRDefault="00C66E38">
      <w:pPr>
        <w:spacing w:after="0" w:line="240" w:lineRule="auto"/>
        <w:jc w:val="both"/>
        <w:rPr>
          <w:rFonts w:ascii="Times New Roman" w:hAnsi="Times New Roman" w:cs="Times New Roman"/>
        </w:rPr>
      </w:pPr>
    </w:p>
    <w:p w14:paraId="7480D8B1" w14:textId="77777777" w:rsidR="00C66E38" w:rsidRDefault="00981AE8">
      <w:pPr>
        <w:spacing w:after="0" w:line="240" w:lineRule="auto"/>
        <w:jc w:val="both"/>
        <w:rPr>
          <w:rFonts w:ascii="Times New Roman" w:hAnsi="Times New Roman" w:cs="Times New Roman"/>
        </w:rPr>
      </w:pPr>
      <w:r>
        <w:rPr>
          <w:rFonts w:ascii="Times New Roman" w:hAnsi="Times New Roman" w:cs="Times New Roman"/>
        </w:rPr>
        <w:t>Immunization services constitute 30.8% (41,736 services), demonstrating strong emphasis on preventive child health. The dramatic increase from just 23 immunizations in Q3 2024 to over 9,000 per quarter thereafter suggests successful integration of immunization campaigns with the RIVCHPP enrolment drives. Antenatal care (10.3%, 14,020 visits) and deliveries (1.8%, 2,458 deliveries) indicate the program's role in maternal health, though the relatively low delivery numbers suggest many women may still deliver at home or at higher-level facilities.</w:t>
      </w:r>
    </w:p>
    <w:p w14:paraId="0E05F2D1" w14:textId="77777777" w:rsidR="00C66E38" w:rsidRDefault="00981AE8">
      <w:pPr>
        <w:spacing w:after="0" w:line="240" w:lineRule="auto"/>
        <w:jc w:val="both"/>
        <w:rPr>
          <w:rFonts w:ascii="Times New Roman" w:hAnsi="Times New Roman" w:cs="Times New Roman"/>
        </w:rPr>
      </w:pPr>
      <w:r>
        <w:rPr>
          <w:rFonts w:ascii="Times New Roman" w:hAnsi="Times New Roman" w:cs="Times New Roman"/>
        </w:rPr>
        <w:t>The presence of non-communicable disease services (Blood Pressure checks at 7.8% and Diabetes at 1.6%) demonstrates that primary health centres are managing the emerging double burden of disease in Nigeria, addressing both infectious diseases and chronic conditions. Respiratory tract infections (2.8%) and Typhoid (6.8%) represent other common infectious disease consultations.</w:t>
      </w:r>
    </w:p>
    <w:p w14:paraId="154100CA" w14:textId="77777777" w:rsidR="00C66E38" w:rsidRDefault="00981AE8">
      <w:pPr>
        <w:spacing w:after="0" w:line="240" w:lineRule="auto"/>
        <w:rPr>
          <w:rFonts w:ascii="Times New Roman" w:hAnsi="Times New Roman" w:cs="Times New Roman"/>
          <w:b/>
          <w:bCs/>
        </w:rPr>
      </w:pPr>
      <w:r>
        <w:rPr>
          <w:rFonts w:ascii="Times New Roman" w:hAnsi="Times New Roman" w:cs="Times New Roman"/>
          <w:b/>
          <w:bCs/>
        </w:rPr>
        <w:br w:type="page"/>
      </w:r>
    </w:p>
    <w:p w14:paraId="79C7F615" w14:textId="77777777" w:rsidR="00C66E38" w:rsidRDefault="00981AE8">
      <w:pPr>
        <w:spacing w:after="0" w:line="240" w:lineRule="auto"/>
        <w:jc w:val="both"/>
        <w:rPr>
          <w:rFonts w:ascii="Times New Roman" w:hAnsi="Times New Roman" w:cs="Times New Roman"/>
          <w:b/>
          <w:bCs/>
        </w:rPr>
      </w:pPr>
      <w:r>
        <w:rPr>
          <w:rFonts w:ascii="Times New Roman" w:hAnsi="Times New Roman" w:cs="Times New Roman"/>
          <w:b/>
          <w:bCs/>
        </w:rPr>
        <w:lastRenderedPageBreak/>
        <w:t>2.3 Top Performing LGAs by Total Services (2025)</w:t>
      </w:r>
    </w:p>
    <w:p w14:paraId="07388662" w14:textId="77777777" w:rsidR="00C66E38" w:rsidRDefault="00C66E38">
      <w:pPr>
        <w:spacing w:after="0" w:line="240" w:lineRule="auto"/>
        <w:jc w:val="both"/>
        <w:rPr>
          <w:rFonts w:ascii="Times New Roman" w:hAnsi="Times New Roman" w:cs="Times New Roman"/>
          <w:b/>
          <w:bCs/>
        </w:rPr>
      </w:pPr>
    </w:p>
    <w:tbl>
      <w:tblPr>
        <w:tblW w:w="9612" w:type="dxa"/>
        <w:tblLook w:val="04A0" w:firstRow="1" w:lastRow="0" w:firstColumn="1" w:lastColumn="0" w:noHBand="0" w:noVBand="1"/>
      </w:tblPr>
      <w:tblGrid>
        <w:gridCol w:w="777"/>
        <w:gridCol w:w="2256"/>
        <w:gridCol w:w="1504"/>
        <w:gridCol w:w="1671"/>
        <w:gridCol w:w="1382"/>
        <w:gridCol w:w="1109"/>
        <w:gridCol w:w="913"/>
      </w:tblGrid>
      <w:tr w:rsidR="002D5EAB" w:rsidRPr="002822F9" w14:paraId="1F3BB893" w14:textId="77777777" w:rsidTr="006C1287">
        <w:trPr>
          <w:trHeight w:val="295"/>
        </w:trPr>
        <w:tc>
          <w:tcPr>
            <w:tcW w:w="777" w:type="dxa"/>
            <w:tcBorders>
              <w:top w:val="single" w:sz="4" w:space="0" w:color="44B3E1"/>
              <w:left w:val="single" w:sz="4" w:space="0" w:color="44B3E1"/>
              <w:bottom w:val="single" w:sz="4" w:space="0" w:color="44B3E1"/>
              <w:right w:val="nil"/>
            </w:tcBorders>
            <w:shd w:val="clear" w:color="156082" w:fill="156082"/>
            <w:noWrap/>
            <w:vAlign w:val="bottom"/>
            <w:hideMark/>
          </w:tcPr>
          <w:p w14:paraId="242EC01B" w14:textId="77777777" w:rsidR="002D5EAB" w:rsidRPr="002D5EAB" w:rsidRDefault="002D5EAB" w:rsidP="00D450A8">
            <w:pPr>
              <w:spacing w:after="0" w:line="360" w:lineRule="auto"/>
              <w:rPr>
                <w:rFonts w:ascii="Times New Roman" w:eastAsia="Times New Roman" w:hAnsi="Times New Roman" w:cs="Times New Roman"/>
                <w:b/>
                <w:bCs/>
                <w:color w:val="FFFFFF"/>
                <w:kern w:val="0"/>
                <w:lang w:val="en-US"/>
                <w14:ligatures w14:val="none"/>
              </w:rPr>
            </w:pPr>
            <w:r w:rsidRPr="002D5EAB">
              <w:rPr>
                <w:rFonts w:ascii="Times New Roman" w:eastAsia="Times New Roman" w:hAnsi="Times New Roman" w:cs="Times New Roman"/>
                <w:b/>
                <w:bCs/>
                <w:color w:val="FFFFFF"/>
                <w:kern w:val="0"/>
                <w14:ligatures w14:val="none"/>
              </w:rPr>
              <w:t>Rank</w:t>
            </w:r>
          </w:p>
        </w:tc>
        <w:tc>
          <w:tcPr>
            <w:tcW w:w="2256" w:type="dxa"/>
            <w:tcBorders>
              <w:top w:val="single" w:sz="4" w:space="0" w:color="44B3E1"/>
              <w:left w:val="nil"/>
              <w:bottom w:val="single" w:sz="4" w:space="0" w:color="44B3E1"/>
              <w:right w:val="nil"/>
            </w:tcBorders>
            <w:shd w:val="clear" w:color="156082" w:fill="156082"/>
            <w:noWrap/>
            <w:vAlign w:val="bottom"/>
            <w:hideMark/>
          </w:tcPr>
          <w:p w14:paraId="308C97A3" w14:textId="77777777" w:rsidR="002D5EAB" w:rsidRPr="002D5EAB" w:rsidRDefault="002D5EAB" w:rsidP="00D450A8">
            <w:pPr>
              <w:spacing w:after="0" w:line="360" w:lineRule="auto"/>
              <w:rPr>
                <w:rFonts w:ascii="Times New Roman" w:eastAsia="Times New Roman" w:hAnsi="Times New Roman" w:cs="Times New Roman"/>
                <w:b/>
                <w:bCs/>
                <w:color w:val="FFFFFF"/>
                <w:kern w:val="0"/>
                <w:lang w:val="en-US"/>
                <w14:ligatures w14:val="none"/>
              </w:rPr>
            </w:pPr>
            <w:r w:rsidRPr="002D5EAB">
              <w:rPr>
                <w:rFonts w:ascii="Times New Roman" w:eastAsia="Times New Roman" w:hAnsi="Times New Roman" w:cs="Times New Roman"/>
                <w:b/>
                <w:bCs/>
                <w:color w:val="FFFFFF"/>
                <w:kern w:val="0"/>
                <w14:ligatures w14:val="none"/>
              </w:rPr>
              <w:t>LGA</w:t>
            </w:r>
          </w:p>
        </w:tc>
        <w:tc>
          <w:tcPr>
            <w:tcW w:w="1504" w:type="dxa"/>
            <w:tcBorders>
              <w:top w:val="single" w:sz="4" w:space="0" w:color="44B3E1"/>
              <w:left w:val="nil"/>
              <w:bottom w:val="single" w:sz="4" w:space="0" w:color="44B3E1"/>
              <w:right w:val="nil"/>
            </w:tcBorders>
            <w:shd w:val="clear" w:color="156082" w:fill="156082"/>
            <w:noWrap/>
            <w:vAlign w:val="bottom"/>
            <w:hideMark/>
          </w:tcPr>
          <w:p w14:paraId="1CA21B2A" w14:textId="77777777" w:rsidR="002D5EAB" w:rsidRPr="002D5EAB" w:rsidRDefault="002D5EAB" w:rsidP="00D450A8">
            <w:pPr>
              <w:spacing w:after="0" w:line="360" w:lineRule="auto"/>
              <w:rPr>
                <w:rFonts w:ascii="Times New Roman" w:eastAsia="Times New Roman" w:hAnsi="Times New Roman" w:cs="Times New Roman"/>
                <w:b/>
                <w:bCs/>
                <w:color w:val="FFFFFF"/>
                <w:kern w:val="0"/>
                <w:lang w:val="en-US"/>
                <w14:ligatures w14:val="none"/>
              </w:rPr>
            </w:pPr>
            <w:r w:rsidRPr="002D5EAB">
              <w:rPr>
                <w:rFonts w:ascii="Times New Roman" w:eastAsia="Times New Roman" w:hAnsi="Times New Roman" w:cs="Times New Roman"/>
                <w:b/>
                <w:bCs/>
                <w:color w:val="FFFFFF"/>
                <w:kern w:val="0"/>
                <w14:ligatures w14:val="none"/>
              </w:rPr>
              <w:t>Senatorial District</w:t>
            </w:r>
          </w:p>
        </w:tc>
        <w:tc>
          <w:tcPr>
            <w:tcW w:w="1671" w:type="dxa"/>
            <w:tcBorders>
              <w:top w:val="single" w:sz="4" w:space="0" w:color="44B3E1"/>
              <w:left w:val="nil"/>
              <w:bottom w:val="single" w:sz="4" w:space="0" w:color="44B3E1"/>
              <w:right w:val="nil"/>
            </w:tcBorders>
            <w:shd w:val="clear" w:color="156082" w:fill="156082"/>
            <w:noWrap/>
            <w:vAlign w:val="bottom"/>
            <w:hideMark/>
          </w:tcPr>
          <w:p w14:paraId="11F8D0A9" w14:textId="77777777" w:rsidR="002D5EAB" w:rsidRPr="002D5EAB" w:rsidRDefault="002D5EAB" w:rsidP="00D450A8">
            <w:pPr>
              <w:spacing w:after="0" w:line="360" w:lineRule="auto"/>
              <w:rPr>
                <w:rFonts w:ascii="Times New Roman" w:eastAsia="Times New Roman" w:hAnsi="Times New Roman" w:cs="Times New Roman"/>
                <w:b/>
                <w:bCs/>
                <w:color w:val="FFFFFF"/>
                <w:kern w:val="0"/>
                <w:lang w:val="en-US"/>
                <w14:ligatures w14:val="none"/>
              </w:rPr>
            </w:pPr>
            <w:r w:rsidRPr="002D5EAB">
              <w:rPr>
                <w:rFonts w:ascii="Times New Roman" w:eastAsia="Times New Roman" w:hAnsi="Times New Roman" w:cs="Times New Roman"/>
                <w:b/>
                <w:bCs/>
                <w:color w:val="FFFFFF"/>
                <w:kern w:val="0"/>
                <w14:ligatures w14:val="none"/>
              </w:rPr>
              <w:t>Total Services (2025)</w:t>
            </w:r>
          </w:p>
        </w:tc>
        <w:tc>
          <w:tcPr>
            <w:tcW w:w="1382" w:type="dxa"/>
            <w:tcBorders>
              <w:top w:val="single" w:sz="4" w:space="0" w:color="44B3E1"/>
              <w:left w:val="nil"/>
              <w:bottom w:val="single" w:sz="4" w:space="0" w:color="44B3E1"/>
              <w:right w:val="nil"/>
            </w:tcBorders>
            <w:shd w:val="clear" w:color="156082" w:fill="156082"/>
            <w:noWrap/>
            <w:vAlign w:val="bottom"/>
            <w:hideMark/>
          </w:tcPr>
          <w:p w14:paraId="116991EE" w14:textId="77777777" w:rsidR="002D5EAB" w:rsidRPr="002D5EAB" w:rsidRDefault="002D5EAB" w:rsidP="00D450A8">
            <w:pPr>
              <w:spacing w:after="0" w:line="360" w:lineRule="auto"/>
              <w:rPr>
                <w:rFonts w:ascii="Times New Roman" w:eastAsia="Times New Roman" w:hAnsi="Times New Roman" w:cs="Times New Roman"/>
                <w:b/>
                <w:bCs/>
                <w:color w:val="FFFFFF"/>
                <w:kern w:val="0"/>
                <w:lang w:val="en-US"/>
                <w14:ligatures w14:val="none"/>
              </w:rPr>
            </w:pPr>
            <w:r w:rsidRPr="002D5EAB">
              <w:rPr>
                <w:rFonts w:ascii="Times New Roman" w:eastAsia="Times New Roman" w:hAnsi="Times New Roman" w:cs="Times New Roman"/>
                <w:b/>
                <w:bCs/>
                <w:color w:val="FFFFFF"/>
                <w:kern w:val="0"/>
                <w14:ligatures w14:val="none"/>
              </w:rPr>
              <w:t>Monthly Average</w:t>
            </w:r>
          </w:p>
        </w:tc>
        <w:tc>
          <w:tcPr>
            <w:tcW w:w="1109" w:type="dxa"/>
            <w:tcBorders>
              <w:top w:val="single" w:sz="4" w:space="0" w:color="44B3E1"/>
              <w:left w:val="nil"/>
              <w:bottom w:val="single" w:sz="4" w:space="0" w:color="44B3E1"/>
              <w:right w:val="nil"/>
            </w:tcBorders>
            <w:shd w:val="clear" w:color="156082" w:fill="156082"/>
            <w:noWrap/>
            <w:vAlign w:val="bottom"/>
            <w:hideMark/>
          </w:tcPr>
          <w:p w14:paraId="1A100339" w14:textId="77777777" w:rsidR="002D5EAB" w:rsidRPr="002D5EAB" w:rsidRDefault="002D5EAB" w:rsidP="00D450A8">
            <w:pPr>
              <w:spacing w:after="0" w:line="360" w:lineRule="auto"/>
              <w:rPr>
                <w:rFonts w:ascii="Times New Roman" w:eastAsia="Times New Roman" w:hAnsi="Times New Roman" w:cs="Times New Roman"/>
                <w:b/>
                <w:bCs/>
                <w:color w:val="FFFFFF"/>
                <w:kern w:val="0"/>
                <w:lang w:val="en-US"/>
                <w14:ligatures w14:val="none"/>
              </w:rPr>
            </w:pPr>
            <w:r w:rsidRPr="002D5EAB">
              <w:rPr>
                <w:rFonts w:ascii="Times New Roman" w:eastAsia="Times New Roman" w:hAnsi="Times New Roman" w:cs="Times New Roman"/>
                <w:b/>
                <w:bCs/>
                <w:color w:val="FFFFFF"/>
                <w:kern w:val="0"/>
                <w14:ligatures w14:val="none"/>
              </w:rPr>
              <w:t>Key Services</w:t>
            </w:r>
          </w:p>
        </w:tc>
        <w:tc>
          <w:tcPr>
            <w:tcW w:w="913" w:type="dxa"/>
            <w:tcBorders>
              <w:top w:val="single" w:sz="4" w:space="0" w:color="44B3E1"/>
              <w:left w:val="nil"/>
              <w:bottom w:val="single" w:sz="4" w:space="0" w:color="44B3E1"/>
              <w:right w:val="single" w:sz="4" w:space="0" w:color="44B3E1"/>
            </w:tcBorders>
            <w:shd w:val="clear" w:color="156082" w:fill="156082"/>
            <w:noWrap/>
            <w:vAlign w:val="bottom"/>
            <w:hideMark/>
          </w:tcPr>
          <w:p w14:paraId="7358582D" w14:textId="6B488D26" w:rsidR="002D5EAB" w:rsidRPr="002D5EAB" w:rsidRDefault="002D5EAB" w:rsidP="00D450A8">
            <w:pPr>
              <w:spacing w:after="0" w:line="360" w:lineRule="auto"/>
              <w:rPr>
                <w:rFonts w:ascii="Times New Roman" w:eastAsia="Times New Roman" w:hAnsi="Times New Roman" w:cs="Times New Roman"/>
                <w:b/>
                <w:bCs/>
                <w:color w:val="FFFFFF"/>
                <w:kern w:val="0"/>
                <w:lang w:val="en-US"/>
                <w14:ligatures w14:val="none"/>
              </w:rPr>
            </w:pPr>
          </w:p>
        </w:tc>
      </w:tr>
      <w:tr w:rsidR="00767565" w:rsidRPr="002822F9" w14:paraId="137C6735" w14:textId="77777777" w:rsidTr="006C1287">
        <w:trPr>
          <w:trHeight w:val="295"/>
        </w:trPr>
        <w:tc>
          <w:tcPr>
            <w:tcW w:w="777" w:type="dxa"/>
            <w:tcBorders>
              <w:top w:val="single" w:sz="4" w:space="0" w:color="44B3E1"/>
              <w:left w:val="single" w:sz="4" w:space="0" w:color="44B3E1"/>
              <w:bottom w:val="single" w:sz="4" w:space="0" w:color="44B3E1"/>
              <w:right w:val="nil"/>
            </w:tcBorders>
            <w:shd w:val="clear" w:color="C0E6F5" w:fill="C0E6F5"/>
            <w:noWrap/>
            <w:vAlign w:val="bottom"/>
            <w:hideMark/>
          </w:tcPr>
          <w:p w14:paraId="5124AD8D" w14:textId="77777777" w:rsidR="002D5EAB" w:rsidRPr="002D5EAB" w:rsidRDefault="002D5EAB" w:rsidP="00D450A8">
            <w:pPr>
              <w:spacing w:after="0" w:line="360" w:lineRule="auto"/>
              <w:jc w:val="right"/>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1</w:t>
            </w:r>
          </w:p>
        </w:tc>
        <w:tc>
          <w:tcPr>
            <w:tcW w:w="2256" w:type="dxa"/>
            <w:tcBorders>
              <w:top w:val="single" w:sz="4" w:space="0" w:color="44B3E1"/>
              <w:left w:val="nil"/>
              <w:bottom w:val="single" w:sz="4" w:space="0" w:color="44B3E1"/>
              <w:right w:val="nil"/>
            </w:tcBorders>
            <w:shd w:val="clear" w:color="C0E6F5" w:fill="C0E6F5"/>
            <w:noWrap/>
            <w:vAlign w:val="bottom"/>
            <w:hideMark/>
          </w:tcPr>
          <w:p w14:paraId="0722E560" w14:textId="77777777" w:rsidR="002D5EAB" w:rsidRPr="002D5EAB" w:rsidRDefault="002D5EAB" w:rsidP="00D450A8">
            <w:pPr>
              <w:spacing w:after="0" w:line="360" w:lineRule="auto"/>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Ahoada East</w:t>
            </w:r>
          </w:p>
        </w:tc>
        <w:tc>
          <w:tcPr>
            <w:tcW w:w="1504" w:type="dxa"/>
            <w:tcBorders>
              <w:top w:val="single" w:sz="4" w:space="0" w:color="44B3E1"/>
              <w:left w:val="nil"/>
              <w:bottom w:val="single" w:sz="4" w:space="0" w:color="44B3E1"/>
              <w:right w:val="nil"/>
            </w:tcBorders>
            <w:shd w:val="clear" w:color="C0E6F5" w:fill="C0E6F5"/>
            <w:noWrap/>
            <w:vAlign w:val="bottom"/>
            <w:hideMark/>
          </w:tcPr>
          <w:p w14:paraId="60C63D9C" w14:textId="77777777" w:rsidR="002D5EAB" w:rsidRPr="002D5EAB" w:rsidRDefault="002D5EAB" w:rsidP="00D450A8">
            <w:pPr>
              <w:spacing w:after="0" w:line="360" w:lineRule="auto"/>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Rivers West</w:t>
            </w:r>
          </w:p>
        </w:tc>
        <w:tc>
          <w:tcPr>
            <w:tcW w:w="1671" w:type="dxa"/>
            <w:tcBorders>
              <w:top w:val="single" w:sz="4" w:space="0" w:color="44B3E1"/>
              <w:left w:val="nil"/>
              <w:bottom w:val="single" w:sz="4" w:space="0" w:color="44B3E1"/>
              <w:right w:val="nil"/>
            </w:tcBorders>
            <w:shd w:val="clear" w:color="C0E6F5" w:fill="C0E6F5"/>
            <w:noWrap/>
            <w:vAlign w:val="bottom"/>
            <w:hideMark/>
          </w:tcPr>
          <w:p w14:paraId="30366A2E" w14:textId="77777777" w:rsidR="002D5EAB" w:rsidRPr="002D5EAB" w:rsidRDefault="002D5EAB" w:rsidP="00D450A8">
            <w:pPr>
              <w:spacing w:after="0" w:line="360" w:lineRule="auto"/>
              <w:jc w:val="right"/>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10,104</w:t>
            </w:r>
          </w:p>
        </w:tc>
        <w:tc>
          <w:tcPr>
            <w:tcW w:w="1382" w:type="dxa"/>
            <w:tcBorders>
              <w:top w:val="single" w:sz="4" w:space="0" w:color="44B3E1"/>
              <w:left w:val="nil"/>
              <w:bottom w:val="single" w:sz="4" w:space="0" w:color="44B3E1"/>
              <w:right w:val="nil"/>
            </w:tcBorders>
            <w:shd w:val="clear" w:color="C0E6F5" w:fill="C0E6F5"/>
            <w:noWrap/>
            <w:vAlign w:val="bottom"/>
            <w:hideMark/>
          </w:tcPr>
          <w:p w14:paraId="32943EC1" w14:textId="77777777" w:rsidR="002D5EAB" w:rsidRPr="002D5EAB" w:rsidRDefault="002D5EAB" w:rsidP="00D450A8">
            <w:pPr>
              <w:spacing w:after="0" w:line="360" w:lineRule="auto"/>
              <w:jc w:val="right"/>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1,122</w:t>
            </w:r>
          </w:p>
        </w:tc>
        <w:tc>
          <w:tcPr>
            <w:tcW w:w="2022" w:type="dxa"/>
            <w:gridSpan w:val="2"/>
            <w:tcBorders>
              <w:top w:val="single" w:sz="4" w:space="0" w:color="44B3E1"/>
              <w:left w:val="nil"/>
              <w:bottom w:val="single" w:sz="4" w:space="0" w:color="44B3E1"/>
              <w:right w:val="nil"/>
            </w:tcBorders>
            <w:shd w:val="clear" w:color="C0E6F5" w:fill="C0E6F5"/>
            <w:noWrap/>
            <w:vAlign w:val="bottom"/>
            <w:hideMark/>
          </w:tcPr>
          <w:p w14:paraId="7C3835FF" w14:textId="77777777" w:rsidR="002D5EAB" w:rsidRPr="002D5EAB" w:rsidRDefault="002D5EAB" w:rsidP="00D450A8">
            <w:pPr>
              <w:spacing w:after="0" w:line="360" w:lineRule="auto"/>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Malaria, BP, Typhoid</w:t>
            </w:r>
          </w:p>
        </w:tc>
      </w:tr>
      <w:tr w:rsidR="00767565" w:rsidRPr="002822F9" w14:paraId="588F22B3" w14:textId="77777777" w:rsidTr="006C1287">
        <w:trPr>
          <w:trHeight w:val="295"/>
        </w:trPr>
        <w:tc>
          <w:tcPr>
            <w:tcW w:w="777" w:type="dxa"/>
            <w:tcBorders>
              <w:top w:val="single" w:sz="4" w:space="0" w:color="44B3E1"/>
              <w:left w:val="single" w:sz="4" w:space="0" w:color="44B3E1"/>
              <w:bottom w:val="single" w:sz="4" w:space="0" w:color="44B3E1"/>
              <w:right w:val="nil"/>
            </w:tcBorders>
            <w:noWrap/>
            <w:vAlign w:val="bottom"/>
            <w:hideMark/>
          </w:tcPr>
          <w:p w14:paraId="26902191" w14:textId="77777777" w:rsidR="002D5EAB" w:rsidRPr="002D5EAB" w:rsidRDefault="002D5EAB" w:rsidP="00D450A8">
            <w:pPr>
              <w:spacing w:after="0" w:line="360" w:lineRule="auto"/>
              <w:jc w:val="right"/>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2</w:t>
            </w:r>
          </w:p>
        </w:tc>
        <w:tc>
          <w:tcPr>
            <w:tcW w:w="2256" w:type="dxa"/>
            <w:tcBorders>
              <w:top w:val="single" w:sz="4" w:space="0" w:color="44B3E1"/>
              <w:left w:val="nil"/>
              <w:bottom w:val="single" w:sz="4" w:space="0" w:color="44B3E1"/>
              <w:right w:val="nil"/>
            </w:tcBorders>
            <w:noWrap/>
            <w:vAlign w:val="bottom"/>
            <w:hideMark/>
          </w:tcPr>
          <w:p w14:paraId="02646BD4" w14:textId="77777777" w:rsidR="002D5EAB" w:rsidRPr="002D5EAB" w:rsidRDefault="002D5EAB" w:rsidP="00D450A8">
            <w:pPr>
              <w:spacing w:after="0" w:line="360" w:lineRule="auto"/>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Abua/Odual</w:t>
            </w:r>
          </w:p>
        </w:tc>
        <w:tc>
          <w:tcPr>
            <w:tcW w:w="1504" w:type="dxa"/>
            <w:tcBorders>
              <w:top w:val="single" w:sz="4" w:space="0" w:color="44B3E1"/>
              <w:left w:val="nil"/>
              <w:bottom w:val="single" w:sz="4" w:space="0" w:color="44B3E1"/>
              <w:right w:val="nil"/>
            </w:tcBorders>
            <w:noWrap/>
            <w:vAlign w:val="bottom"/>
            <w:hideMark/>
          </w:tcPr>
          <w:p w14:paraId="618967AD" w14:textId="77777777" w:rsidR="002D5EAB" w:rsidRPr="002D5EAB" w:rsidRDefault="002D5EAB" w:rsidP="00D450A8">
            <w:pPr>
              <w:spacing w:after="0" w:line="360" w:lineRule="auto"/>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Rivers West</w:t>
            </w:r>
          </w:p>
        </w:tc>
        <w:tc>
          <w:tcPr>
            <w:tcW w:w="1671" w:type="dxa"/>
            <w:tcBorders>
              <w:top w:val="single" w:sz="4" w:space="0" w:color="44B3E1"/>
              <w:left w:val="nil"/>
              <w:bottom w:val="single" w:sz="4" w:space="0" w:color="44B3E1"/>
              <w:right w:val="nil"/>
            </w:tcBorders>
            <w:noWrap/>
            <w:vAlign w:val="bottom"/>
            <w:hideMark/>
          </w:tcPr>
          <w:p w14:paraId="6F5B3283" w14:textId="77777777" w:rsidR="002D5EAB" w:rsidRPr="002D5EAB" w:rsidRDefault="002D5EAB" w:rsidP="00D450A8">
            <w:pPr>
              <w:spacing w:after="0" w:line="360" w:lineRule="auto"/>
              <w:jc w:val="right"/>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15,578</w:t>
            </w:r>
          </w:p>
        </w:tc>
        <w:tc>
          <w:tcPr>
            <w:tcW w:w="1382" w:type="dxa"/>
            <w:tcBorders>
              <w:top w:val="single" w:sz="4" w:space="0" w:color="44B3E1"/>
              <w:left w:val="nil"/>
              <w:bottom w:val="single" w:sz="4" w:space="0" w:color="44B3E1"/>
              <w:right w:val="nil"/>
            </w:tcBorders>
            <w:noWrap/>
            <w:vAlign w:val="bottom"/>
            <w:hideMark/>
          </w:tcPr>
          <w:p w14:paraId="18ADB431" w14:textId="77777777" w:rsidR="002D5EAB" w:rsidRPr="002D5EAB" w:rsidRDefault="002D5EAB" w:rsidP="00D450A8">
            <w:pPr>
              <w:spacing w:after="0" w:line="360" w:lineRule="auto"/>
              <w:jc w:val="right"/>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1,731</w:t>
            </w:r>
          </w:p>
        </w:tc>
        <w:tc>
          <w:tcPr>
            <w:tcW w:w="2022" w:type="dxa"/>
            <w:gridSpan w:val="2"/>
            <w:tcBorders>
              <w:top w:val="single" w:sz="4" w:space="0" w:color="44B3E1"/>
              <w:left w:val="nil"/>
              <w:bottom w:val="single" w:sz="4" w:space="0" w:color="44B3E1"/>
              <w:right w:val="nil"/>
            </w:tcBorders>
            <w:noWrap/>
            <w:vAlign w:val="bottom"/>
            <w:hideMark/>
          </w:tcPr>
          <w:p w14:paraId="5AE68527" w14:textId="77777777" w:rsidR="002D5EAB" w:rsidRPr="002D5EAB" w:rsidRDefault="002D5EAB" w:rsidP="00D450A8">
            <w:pPr>
              <w:spacing w:after="0" w:line="360" w:lineRule="auto"/>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Immunization, Malaria, ANC</w:t>
            </w:r>
          </w:p>
        </w:tc>
      </w:tr>
      <w:tr w:rsidR="00767565" w:rsidRPr="002822F9" w14:paraId="1CD1D4FD" w14:textId="77777777" w:rsidTr="006C1287">
        <w:trPr>
          <w:trHeight w:val="295"/>
        </w:trPr>
        <w:tc>
          <w:tcPr>
            <w:tcW w:w="777" w:type="dxa"/>
            <w:tcBorders>
              <w:top w:val="single" w:sz="4" w:space="0" w:color="44B3E1"/>
              <w:left w:val="single" w:sz="4" w:space="0" w:color="44B3E1"/>
              <w:bottom w:val="single" w:sz="4" w:space="0" w:color="44B3E1"/>
              <w:right w:val="nil"/>
            </w:tcBorders>
            <w:shd w:val="clear" w:color="C0E6F5" w:fill="C0E6F5"/>
            <w:noWrap/>
            <w:vAlign w:val="bottom"/>
            <w:hideMark/>
          </w:tcPr>
          <w:p w14:paraId="06331EB3" w14:textId="77777777" w:rsidR="002D5EAB" w:rsidRPr="002D5EAB" w:rsidRDefault="002D5EAB" w:rsidP="00D450A8">
            <w:pPr>
              <w:spacing w:after="0" w:line="360" w:lineRule="auto"/>
              <w:jc w:val="right"/>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3</w:t>
            </w:r>
          </w:p>
        </w:tc>
        <w:tc>
          <w:tcPr>
            <w:tcW w:w="2256" w:type="dxa"/>
            <w:tcBorders>
              <w:top w:val="single" w:sz="4" w:space="0" w:color="44B3E1"/>
              <w:left w:val="nil"/>
              <w:bottom w:val="single" w:sz="4" w:space="0" w:color="44B3E1"/>
              <w:right w:val="nil"/>
            </w:tcBorders>
            <w:shd w:val="clear" w:color="C0E6F5" w:fill="C0E6F5"/>
            <w:noWrap/>
            <w:vAlign w:val="bottom"/>
            <w:hideMark/>
          </w:tcPr>
          <w:p w14:paraId="722D5B31" w14:textId="77777777" w:rsidR="002D5EAB" w:rsidRPr="002D5EAB" w:rsidRDefault="002D5EAB" w:rsidP="00D450A8">
            <w:pPr>
              <w:spacing w:after="0" w:line="360" w:lineRule="auto"/>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Khana</w:t>
            </w:r>
          </w:p>
        </w:tc>
        <w:tc>
          <w:tcPr>
            <w:tcW w:w="1504" w:type="dxa"/>
            <w:tcBorders>
              <w:top w:val="single" w:sz="4" w:space="0" w:color="44B3E1"/>
              <w:left w:val="nil"/>
              <w:bottom w:val="single" w:sz="4" w:space="0" w:color="44B3E1"/>
              <w:right w:val="nil"/>
            </w:tcBorders>
            <w:shd w:val="clear" w:color="C0E6F5" w:fill="C0E6F5"/>
            <w:noWrap/>
            <w:vAlign w:val="bottom"/>
            <w:hideMark/>
          </w:tcPr>
          <w:p w14:paraId="51106069" w14:textId="77777777" w:rsidR="002D5EAB" w:rsidRPr="002D5EAB" w:rsidRDefault="002D5EAB" w:rsidP="00D450A8">
            <w:pPr>
              <w:spacing w:after="0" w:line="360" w:lineRule="auto"/>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Rivers South-East</w:t>
            </w:r>
          </w:p>
        </w:tc>
        <w:tc>
          <w:tcPr>
            <w:tcW w:w="1671" w:type="dxa"/>
            <w:tcBorders>
              <w:top w:val="single" w:sz="4" w:space="0" w:color="44B3E1"/>
              <w:left w:val="nil"/>
              <w:bottom w:val="single" w:sz="4" w:space="0" w:color="44B3E1"/>
              <w:right w:val="nil"/>
            </w:tcBorders>
            <w:shd w:val="clear" w:color="C0E6F5" w:fill="C0E6F5"/>
            <w:noWrap/>
            <w:vAlign w:val="bottom"/>
            <w:hideMark/>
          </w:tcPr>
          <w:p w14:paraId="7C4F6E7D" w14:textId="77777777" w:rsidR="002D5EAB" w:rsidRPr="002D5EAB" w:rsidRDefault="002D5EAB" w:rsidP="00D450A8">
            <w:pPr>
              <w:spacing w:after="0" w:line="360" w:lineRule="auto"/>
              <w:jc w:val="right"/>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9,434</w:t>
            </w:r>
          </w:p>
        </w:tc>
        <w:tc>
          <w:tcPr>
            <w:tcW w:w="1382" w:type="dxa"/>
            <w:tcBorders>
              <w:top w:val="single" w:sz="4" w:space="0" w:color="44B3E1"/>
              <w:left w:val="nil"/>
              <w:bottom w:val="single" w:sz="4" w:space="0" w:color="44B3E1"/>
              <w:right w:val="nil"/>
            </w:tcBorders>
            <w:shd w:val="clear" w:color="C0E6F5" w:fill="C0E6F5"/>
            <w:noWrap/>
            <w:vAlign w:val="bottom"/>
            <w:hideMark/>
          </w:tcPr>
          <w:p w14:paraId="0E4EA328" w14:textId="77777777" w:rsidR="002D5EAB" w:rsidRPr="002D5EAB" w:rsidRDefault="002D5EAB" w:rsidP="00D450A8">
            <w:pPr>
              <w:spacing w:after="0" w:line="360" w:lineRule="auto"/>
              <w:jc w:val="right"/>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1,048</w:t>
            </w:r>
          </w:p>
        </w:tc>
        <w:tc>
          <w:tcPr>
            <w:tcW w:w="2022" w:type="dxa"/>
            <w:gridSpan w:val="2"/>
            <w:tcBorders>
              <w:top w:val="single" w:sz="4" w:space="0" w:color="44B3E1"/>
              <w:left w:val="nil"/>
              <w:bottom w:val="single" w:sz="4" w:space="0" w:color="44B3E1"/>
              <w:right w:val="nil"/>
            </w:tcBorders>
            <w:shd w:val="clear" w:color="C0E6F5" w:fill="C0E6F5"/>
            <w:noWrap/>
            <w:vAlign w:val="bottom"/>
            <w:hideMark/>
          </w:tcPr>
          <w:p w14:paraId="79D5DED0" w14:textId="77777777" w:rsidR="002D5EAB" w:rsidRPr="002D5EAB" w:rsidRDefault="002D5EAB" w:rsidP="00D450A8">
            <w:pPr>
              <w:spacing w:after="0" w:line="360" w:lineRule="auto"/>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Malaria, Immunization, Typhoid</w:t>
            </w:r>
          </w:p>
        </w:tc>
      </w:tr>
      <w:tr w:rsidR="00767565" w:rsidRPr="002822F9" w14:paraId="4EAD6A7C" w14:textId="77777777" w:rsidTr="006C1287">
        <w:trPr>
          <w:trHeight w:val="295"/>
        </w:trPr>
        <w:tc>
          <w:tcPr>
            <w:tcW w:w="777" w:type="dxa"/>
            <w:tcBorders>
              <w:top w:val="single" w:sz="4" w:space="0" w:color="44B3E1"/>
              <w:left w:val="single" w:sz="4" w:space="0" w:color="44B3E1"/>
              <w:bottom w:val="single" w:sz="4" w:space="0" w:color="44B3E1"/>
              <w:right w:val="nil"/>
            </w:tcBorders>
            <w:noWrap/>
            <w:vAlign w:val="bottom"/>
            <w:hideMark/>
          </w:tcPr>
          <w:p w14:paraId="38E4B877" w14:textId="77777777" w:rsidR="002D5EAB" w:rsidRPr="002D5EAB" w:rsidRDefault="002D5EAB" w:rsidP="00D450A8">
            <w:pPr>
              <w:spacing w:after="0" w:line="360" w:lineRule="auto"/>
              <w:jc w:val="right"/>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4</w:t>
            </w:r>
          </w:p>
        </w:tc>
        <w:tc>
          <w:tcPr>
            <w:tcW w:w="2256" w:type="dxa"/>
            <w:tcBorders>
              <w:top w:val="single" w:sz="4" w:space="0" w:color="44B3E1"/>
              <w:left w:val="nil"/>
              <w:bottom w:val="single" w:sz="4" w:space="0" w:color="44B3E1"/>
              <w:right w:val="nil"/>
            </w:tcBorders>
            <w:noWrap/>
            <w:vAlign w:val="bottom"/>
            <w:hideMark/>
          </w:tcPr>
          <w:p w14:paraId="39857CCE" w14:textId="77777777" w:rsidR="002D5EAB" w:rsidRPr="002D5EAB" w:rsidRDefault="002D5EAB" w:rsidP="00D450A8">
            <w:pPr>
              <w:spacing w:after="0" w:line="360" w:lineRule="auto"/>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Obio/Akpor</w:t>
            </w:r>
          </w:p>
        </w:tc>
        <w:tc>
          <w:tcPr>
            <w:tcW w:w="1504" w:type="dxa"/>
            <w:tcBorders>
              <w:top w:val="single" w:sz="4" w:space="0" w:color="44B3E1"/>
              <w:left w:val="nil"/>
              <w:bottom w:val="single" w:sz="4" w:space="0" w:color="44B3E1"/>
              <w:right w:val="nil"/>
            </w:tcBorders>
            <w:noWrap/>
            <w:vAlign w:val="bottom"/>
            <w:hideMark/>
          </w:tcPr>
          <w:p w14:paraId="5111C0EE" w14:textId="77777777" w:rsidR="002D5EAB" w:rsidRPr="002D5EAB" w:rsidRDefault="002D5EAB" w:rsidP="00D450A8">
            <w:pPr>
              <w:spacing w:after="0" w:line="360" w:lineRule="auto"/>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Rivers East</w:t>
            </w:r>
          </w:p>
        </w:tc>
        <w:tc>
          <w:tcPr>
            <w:tcW w:w="1671" w:type="dxa"/>
            <w:tcBorders>
              <w:top w:val="single" w:sz="4" w:space="0" w:color="44B3E1"/>
              <w:left w:val="nil"/>
              <w:bottom w:val="single" w:sz="4" w:space="0" w:color="44B3E1"/>
              <w:right w:val="nil"/>
            </w:tcBorders>
            <w:noWrap/>
            <w:vAlign w:val="bottom"/>
            <w:hideMark/>
          </w:tcPr>
          <w:p w14:paraId="312338FD" w14:textId="77777777" w:rsidR="002D5EAB" w:rsidRPr="002D5EAB" w:rsidRDefault="002D5EAB" w:rsidP="00D450A8">
            <w:pPr>
              <w:spacing w:after="0" w:line="360" w:lineRule="auto"/>
              <w:jc w:val="right"/>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7,647</w:t>
            </w:r>
          </w:p>
        </w:tc>
        <w:tc>
          <w:tcPr>
            <w:tcW w:w="1382" w:type="dxa"/>
            <w:tcBorders>
              <w:top w:val="single" w:sz="4" w:space="0" w:color="44B3E1"/>
              <w:left w:val="nil"/>
              <w:bottom w:val="single" w:sz="4" w:space="0" w:color="44B3E1"/>
              <w:right w:val="nil"/>
            </w:tcBorders>
            <w:noWrap/>
            <w:vAlign w:val="bottom"/>
            <w:hideMark/>
          </w:tcPr>
          <w:p w14:paraId="2F4E032D" w14:textId="77777777" w:rsidR="002D5EAB" w:rsidRPr="002D5EAB" w:rsidRDefault="002D5EAB" w:rsidP="00D450A8">
            <w:pPr>
              <w:spacing w:after="0" w:line="360" w:lineRule="auto"/>
              <w:jc w:val="right"/>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850</w:t>
            </w:r>
          </w:p>
        </w:tc>
        <w:tc>
          <w:tcPr>
            <w:tcW w:w="2022" w:type="dxa"/>
            <w:gridSpan w:val="2"/>
            <w:tcBorders>
              <w:top w:val="single" w:sz="4" w:space="0" w:color="44B3E1"/>
              <w:left w:val="nil"/>
              <w:bottom w:val="single" w:sz="4" w:space="0" w:color="44B3E1"/>
              <w:right w:val="nil"/>
            </w:tcBorders>
            <w:noWrap/>
            <w:vAlign w:val="bottom"/>
            <w:hideMark/>
          </w:tcPr>
          <w:p w14:paraId="5EDC90D7" w14:textId="77777777" w:rsidR="002D5EAB" w:rsidRPr="002D5EAB" w:rsidRDefault="002D5EAB" w:rsidP="00D450A8">
            <w:pPr>
              <w:spacing w:after="0" w:line="360" w:lineRule="auto"/>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Malaria, BP, ANC</w:t>
            </w:r>
          </w:p>
        </w:tc>
      </w:tr>
      <w:tr w:rsidR="00767565" w:rsidRPr="002822F9" w14:paraId="7E019CBA" w14:textId="77777777" w:rsidTr="006C1287">
        <w:trPr>
          <w:trHeight w:val="295"/>
        </w:trPr>
        <w:tc>
          <w:tcPr>
            <w:tcW w:w="777" w:type="dxa"/>
            <w:tcBorders>
              <w:top w:val="single" w:sz="4" w:space="0" w:color="44B3E1"/>
              <w:left w:val="single" w:sz="4" w:space="0" w:color="44B3E1"/>
              <w:bottom w:val="single" w:sz="4" w:space="0" w:color="44B3E1"/>
              <w:right w:val="nil"/>
            </w:tcBorders>
            <w:shd w:val="clear" w:color="C0E6F5" w:fill="C0E6F5"/>
            <w:noWrap/>
            <w:vAlign w:val="bottom"/>
            <w:hideMark/>
          </w:tcPr>
          <w:p w14:paraId="6DDB03D7" w14:textId="77777777" w:rsidR="002D5EAB" w:rsidRPr="002D5EAB" w:rsidRDefault="002D5EAB" w:rsidP="00D450A8">
            <w:pPr>
              <w:spacing w:after="0" w:line="360" w:lineRule="auto"/>
              <w:jc w:val="right"/>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5</w:t>
            </w:r>
          </w:p>
        </w:tc>
        <w:tc>
          <w:tcPr>
            <w:tcW w:w="2256" w:type="dxa"/>
            <w:tcBorders>
              <w:top w:val="single" w:sz="4" w:space="0" w:color="44B3E1"/>
              <w:left w:val="nil"/>
              <w:bottom w:val="single" w:sz="4" w:space="0" w:color="44B3E1"/>
              <w:right w:val="nil"/>
            </w:tcBorders>
            <w:shd w:val="clear" w:color="C0E6F5" w:fill="C0E6F5"/>
            <w:noWrap/>
            <w:vAlign w:val="bottom"/>
            <w:hideMark/>
          </w:tcPr>
          <w:p w14:paraId="062F456C" w14:textId="77777777" w:rsidR="002D5EAB" w:rsidRPr="002D5EAB" w:rsidRDefault="002D5EAB" w:rsidP="00D450A8">
            <w:pPr>
              <w:spacing w:after="0" w:line="360" w:lineRule="auto"/>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Port Harcourt</w:t>
            </w:r>
          </w:p>
        </w:tc>
        <w:tc>
          <w:tcPr>
            <w:tcW w:w="1504" w:type="dxa"/>
            <w:tcBorders>
              <w:top w:val="single" w:sz="4" w:space="0" w:color="44B3E1"/>
              <w:left w:val="nil"/>
              <w:bottom w:val="single" w:sz="4" w:space="0" w:color="44B3E1"/>
              <w:right w:val="nil"/>
            </w:tcBorders>
            <w:shd w:val="clear" w:color="C0E6F5" w:fill="C0E6F5"/>
            <w:noWrap/>
            <w:vAlign w:val="bottom"/>
            <w:hideMark/>
          </w:tcPr>
          <w:p w14:paraId="5E86EC84" w14:textId="77777777" w:rsidR="002D5EAB" w:rsidRPr="002D5EAB" w:rsidRDefault="002D5EAB" w:rsidP="00D450A8">
            <w:pPr>
              <w:spacing w:after="0" w:line="360" w:lineRule="auto"/>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Rivers East</w:t>
            </w:r>
          </w:p>
        </w:tc>
        <w:tc>
          <w:tcPr>
            <w:tcW w:w="1671" w:type="dxa"/>
            <w:tcBorders>
              <w:top w:val="single" w:sz="4" w:space="0" w:color="44B3E1"/>
              <w:left w:val="nil"/>
              <w:bottom w:val="single" w:sz="4" w:space="0" w:color="44B3E1"/>
              <w:right w:val="nil"/>
            </w:tcBorders>
            <w:shd w:val="clear" w:color="C0E6F5" w:fill="C0E6F5"/>
            <w:noWrap/>
            <w:vAlign w:val="bottom"/>
            <w:hideMark/>
          </w:tcPr>
          <w:p w14:paraId="792C6B33" w14:textId="77777777" w:rsidR="002D5EAB" w:rsidRPr="002D5EAB" w:rsidRDefault="002D5EAB" w:rsidP="00D450A8">
            <w:pPr>
              <w:spacing w:after="0" w:line="360" w:lineRule="auto"/>
              <w:jc w:val="right"/>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7,622</w:t>
            </w:r>
          </w:p>
        </w:tc>
        <w:tc>
          <w:tcPr>
            <w:tcW w:w="1382" w:type="dxa"/>
            <w:tcBorders>
              <w:top w:val="single" w:sz="4" w:space="0" w:color="44B3E1"/>
              <w:left w:val="nil"/>
              <w:bottom w:val="single" w:sz="4" w:space="0" w:color="44B3E1"/>
              <w:right w:val="nil"/>
            </w:tcBorders>
            <w:shd w:val="clear" w:color="C0E6F5" w:fill="C0E6F5"/>
            <w:noWrap/>
            <w:vAlign w:val="bottom"/>
            <w:hideMark/>
          </w:tcPr>
          <w:p w14:paraId="38198F45" w14:textId="77777777" w:rsidR="002D5EAB" w:rsidRPr="002D5EAB" w:rsidRDefault="002D5EAB" w:rsidP="00D450A8">
            <w:pPr>
              <w:spacing w:after="0" w:line="360" w:lineRule="auto"/>
              <w:jc w:val="right"/>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847</w:t>
            </w:r>
          </w:p>
        </w:tc>
        <w:tc>
          <w:tcPr>
            <w:tcW w:w="2022" w:type="dxa"/>
            <w:gridSpan w:val="2"/>
            <w:tcBorders>
              <w:top w:val="single" w:sz="4" w:space="0" w:color="44B3E1"/>
              <w:left w:val="nil"/>
              <w:bottom w:val="single" w:sz="4" w:space="0" w:color="44B3E1"/>
              <w:right w:val="nil"/>
            </w:tcBorders>
            <w:shd w:val="clear" w:color="C0E6F5" w:fill="C0E6F5"/>
            <w:noWrap/>
            <w:vAlign w:val="bottom"/>
            <w:hideMark/>
          </w:tcPr>
          <w:p w14:paraId="479A1AC4" w14:textId="77777777" w:rsidR="002D5EAB" w:rsidRPr="002D5EAB" w:rsidRDefault="002D5EAB" w:rsidP="00D450A8">
            <w:pPr>
              <w:spacing w:after="0" w:line="360" w:lineRule="auto"/>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Malaria, ANC, Typhoid</w:t>
            </w:r>
          </w:p>
        </w:tc>
      </w:tr>
      <w:tr w:rsidR="00767565" w:rsidRPr="002822F9" w14:paraId="440FD8E7" w14:textId="77777777" w:rsidTr="006C1287">
        <w:trPr>
          <w:trHeight w:val="295"/>
        </w:trPr>
        <w:tc>
          <w:tcPr>
            <w:tcW w:w="777" w:type="dxa"/>
            <w:tcBorders>
              <w:top w:val="single" w:sz="4" w:space="0" w:color="44B3E1"/>
              <w:left w:val="single" w:sz="4" w:space="0" w:color="44B3E1"/>
              <w:bottom w:val="single" w:sz="4" w:space="0" w:color="44B3E1"/>
              <w:right w:val="nil"/>
            </w:tcBorders>
            <w:noWrap/>
            <w:vAlign w:val="bottom"/>
            <w:hideMark/>
          </w:tcPr>
          <w:p w14:paraId="1EE68F5F" w14:textId="77777777" w:rsidR="002D5EAB" w:rsidRPr="002D5EAB" w:rsidRDefault="002D5EAB" w:rsidP="00D450A8">
            <w:pPr>
              <w:spacing w:after="0" w:line="360" w:lineRule="auto"/>
              <w:jc w:val="right"/>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6</w:t>
            </w:r>
          </w:p>
        </w:tc>
        <w:tc>
          <w:tcPr>
            <w:tcW w:w="2256" w:type="dxa"/>
            <w:tcBorders>
              <w:top w:val="single" w:sz="4" w:space="0" w:color="44B3E1"/>
              <w:left w:val="nil"/>
              <w:bottom w:val="single" w:sz="4" w:space="0" w:color="44B3E1"/>
              <w:right w:val="nil"/>
            </w:tcBorders>
            <w:noWrap/>
            <w:vAlign w:val="bottom"/>
            <w:hideMark/>
          </w:tcPr>
          <w:p w14:paraId="0E16F679" w14:textId="77777777" w:rsidR="002D5EAB" w:rsidRPr="002D5EAB" w:rsidRDefault="002D5EAB" w:rsidP="00D450A8">
            <w:pPr>
              <w:spacing w:after="0" w:line="360" w:lineRule="auto"/>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Akuku Toru</w:t>
            </w:r>
          </w:p>
        </w:tc>
        <w:tc>
          <w:tcPr>
            <w:tcW w:w="1504" w:type="dxa"/>
            <w:tcBorders>
              <w:top w:val="single" w:sz="4" w:space="0" w:color="44B3E1"/>
              <w:left w:val="nil"/>
              <w:bottom w:val="single" w:sz="4" w:space="0" w:color="44B3E1"/>
              <w:right w:val="nil"/>
            </w:tcBorders>
            <w:noWrap/>
            <w:vAlign w:val="bottom"/>
            <w:hideMark/>
          </w:tcPr>
          <w:p w14:paraId="21FA33F6" w14:textId="77777777" w:rsidR="002D5EAB" w:rsidRPr="002D5EAB" w:rsidRDefault="002D5EAB" w:rsidP="00D450A8">
            <w:pPr>
              <w:spacing w:after="0" w:line="360" w:lineRule="auto"/>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Rivers West</w:t>
            </w:r>
          </w:p>
        </w:tc>
        <w:tc>
          <w:tcPr>
            <w:tcW w:w="1671" w:type="dxa"/>
            <w:tcBorders>
              <w:top w:val="single" w:sz="4" w:space="0" w:color="44B3E1"/>
              <w:left w:val="nil"/>
              <w:bottom w:val="single" w:sz="4" w:space="0" w:color="44B3E1"/>
              <w:right w:val="nil"/>
            </w:tcBorders>
            <w:noWrap/>
            <w:vAlign w:val="bottom"/>
            <w:hideMark/>
          </w:tcPr>
          <w:p w14:paraId="16A81A18" w14:textId="77777777" w:rsidR="002D5EAB" w:rsidRPr="002D5EAB" w:rsidRDefault="002D5EAB" w:rsidP="00D450A8">
            <w:pPr>
              <w:spacing w:after="0" w:line="360" w:lineRule="auto"/>
              <w:jc w:val="right"/>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9,502</w:t>
            </w:r>
          </w:p>
        </w:tc>
        <w:tc>
          <w:tcPr>
            <w:tcW w:w="1382" w:type="dxa"/>
            <w:tcBorders>
              <w:top w:val="single" w:sz="4" w:space="0" w:color="44B3E1"/>
              <w:left w:val="nil"/>
              <w:bottom w:val="single" w:sz="4" w:space="0" w:color="44B3E1"/>
              <w:right w:val="nil"/>
            </w:tcBorders>
            <w:noWrap/>
            <w:vAlign w:val="bottom"/>
            <w:hideMark/>
          </w:tcPr>
          <w:p w14:paraId="49FDC743" w14:textId="77777777" w:rsidR="002D5EAB" w:rsidRPr="002D5EAB" w:rsidRDefault="002D5EAB" w:rsidP="00D450A8">
            <w:pPr>
              <w:spacing w:after="0" w:line="360" w:lineRule="auto"/>
              <w:jc w:val="right"/>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1,056</w:t>
            </w:r>
          </w:p>
        </w:tc>
        <w:tc>
          <w:tcPr>
            <w:tcW w:w="2022" w:type="dxa"/>
            <w:gridSpan w:val="2"/>
            <w:tcBorders>
              <w:top w:val="single" w:sz="4" w:space="0" w:color="44B3E1"/>
              <w:left w:val="nil"/>
              <w:bottom w:val="single" w:sz="4" w:space="0" w:color="44B3E1"/>
              <w:right w:val="nil"/>
            </w:tcBorders>
            <w:noWrap/>
            <w:vAlign w:val="bottom"/>
            <w:hideMark/>
          </w:tcPr>
          <w:p w14:paraId="27D22630" w14:textId="77777777" w:rsidR="002D5EAB" w:rsidRPr="002D5EAB" w:rsidRDefault="002D5EAB" w:rsidP="00D450A8">
            <w:pPr>
              <w:spacing w:after="0" w:line="360" w:lineRule="auto"/>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Immunization, Malaria, BP</w:t>
            </w:r>
          </w:p>
        </w:tc>
      </w:tr>
      <w:tr w:rsidR="00767565" w:rsidRPr="002822F9" w14:paraId="5E7B889D" w14:textId="77777777" w:rsidTr="006C1287">
        <w:trPr>
          <w:trHeight w:val="295"/>
        </w:trPr>
        <w:tc>
          <w:tcPr>
            <w:tcW w:w="777" w:type="dxa"/>
            <w:tcBorders>
              <w:top w:val="single" w:sz="4" w:space="0" w:color="44B3E1"/>
              <w:left w:val="single" w:sz="4" w:space="0" w:color="44B3E1"/>
              <w:bottom w:val="single" w:sz="4" w:space="0" w:color="44B3E1"/>
              <w:right w:val="nil"/>
            </w:tcBorders>
            <w:shd w:val="clear" w:color="C0E6F5" w:fill="C0E6F5"/>
            <w:noWrap/>
            <w:vAlign w:val="bottom"/>
            <w:hideMark/>
          </w:tcPr>
          <w:p w14:paraId="2F00EB1D" w14:textId="77777777" w:rsidR="002D5EAB" w:rsidRPr="002D5EAB" w:rsidRDefault="002D5EAB" w:rsidP="00D450A8">
            <w:pPr>
              <w:spacing w:after="0" w:line="360" w:lineRule="auto"/>
              <w:jc w:val="right"/>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7</w:t>
            </w:r>
          </w:p>
        </w:tc>
        <w:tc>
          <w:tcPr>
            <w:tcW w:w="2256" w:type="dxa"/>
            <w:tcBorders>
              <w:top w:val="single" w:sz="4" w:space="0" w:color="44B3E1"/>
              <w:left w:val="nil"/>
              <w:bottom w:val="single" w:sz="4" w:space="0" w:color="44B3E1"/>
              <w:right w:val="nil"/>
            </w:tcBorders>
            <w:shd w:val="clear" w:color="C0E6F5" w:fill="C0E6F5"/>
            <w:noWrap/>
            <w:vAlign w:val="bottom"/>
            <w:hideMark/>
          </w:tcPr>
          <w:p w14:paraId="51487F2A" w14:textId="77777777" w:rsidR="002D5EAB" w:rsidRPr="002D5EAB" w:rsidRDefault="002D5EAB" w:rsidP="00D450A8">
            <w:pPr>
              <w:spacing w:after="0" w:line="360" w:lineRule="auto"/>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Etche</w:t>
            </w:r>
          </w:p>
        </w:tc>
        <w:tc>
          <w:tcPr>
            <w:tcW w:w="1504" w:type="dxa"/>
            <w:tcBorders>
              <w:top w:val="single" w:sz="4" w:space="0" w:color="44B3E1"/>
              <w:left w:val="nil"/>
              <w:bottom w:val="single" w:sz="4" w:space="0" w:color="44B3E1"/>
              <w:right w:val="nil"/>
            </w:tcBorders>
            <w:shd w:val="clear" w:color="C0E6F5" w:fill="C0E6F5"/>
            <w:noWrap/>
            <w:vAlign w:val="bottom"/>
            <w:hideMark/>
          </w:tcPr>
          <w:p w14:paraId="654360F9" w14:textId="77777777" w:rsidR="002D5EAB" w:rsidRPr="002D5EAB" w:rsidRDefault="002D5EAB" w:rsidP="00D450A8">
            <w:pPr>
              <w:spacing w:after="0" w:line="360" w:lineRule="auto"/>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Rivers East</w:t>
            </w:r>
          </w:p>
        </w:tc>
        <w:tc>
          <w:tcPr>
            <w:tcW w:w="1671" w:type="dxa"/>
            <w:tcBorders>
              <w:top w:val="single" w:sz="4" w:space="0" w:color="44B3E1"/>
              <w:left w:val="nil"/>
              <w:bottom w:val="single" w:sz="4" w:space="0" w:color="44B3E1"/>
              <w:right w:val="nil"/>
            </w:tcBorders>
            <w:shd w:val="clear" w:color="C0E6F5" w:fill="C0E6F5"/>
            <w:noWrap/>
            <w:vAlign w:val="bottom"/>
            <w:hideMark/>
          </w:tcPr>
          <w:p w14:paraId="64EC0DD1" w14:textId="77777777" w:rsidR="002D5EAB" w:rsidRPr="002D5EAB" w:rsidRDefault="002D5EAB" w:rsidP="00D450A8">
            <w:pPr>
              <w:spacing w:after="0" w:line="360" w:lineRule="auto"/>
              <w:jc w:val="right"/>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7,533</w:t>
            </w:r>
          </w:p>
        </w:tc>
        <w:tc>
          <w:tcPr>
            <w:tcW w:w="1382" w:type="dxa"/>
            <w:tcBorders>
              <w:top w:val="single" w:sz="4" w:space="0" w:color="44B3E1"/>
              <w:left w:val="nil"/>
              <w:bottom w:val="single" w:sz="4" w:space="0" w:color="44B3E1"/>
              <w:right w:val="nil"/>
            </w:tcBorders>
            <w:shd w:val="clear" w:color="C0E6F5" w:fill="C0E6F5"/>
            <w:noWrap/>
            <w:vAlign w:val="bottom"/>
            <w:hideMark/>
          </w:tcPr>
          <w:p w14:paraId="4EDAF134" w14:textId="77777777" w:rsidR="002D5EAB" w:rsidRPr="002D5EAB" w:rsidRDefault="002D5EAB" w:rsidP="00D450A8">
            <w:pPr>
              <w:spacing w:after="0" w:line="360" w:lineRule="auto"/>
              <w:jc w:val="right"/>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837</w:t>
            </w:r>
          </w:p>
        </w:tc>
        <w:tc>
          <w:tcPr>
            <w:tcW w:w="2022" w:type="dxa"/>
            <w:gridSpan w:val="2"/>
            <w:tcBorders>
              <w:top w:val="single" w:sz="4" w:space="0" w:color="44B3E1"/>
              <w:left w:val="nil"/>
              <w:bottom w:val="single" w:sz="4" w:space="0" w:color="44B3E1"/>
              <w:right w:val="nil"/>
            </w:tcBorders>
            <w:shd w:val="clear" w:color="C0E6F5" w:fill="C0E6F5"/>
            <w:noWrap/>
            <w:vAlign w:val="bottom"/>
            <w:hideMark/>
          </w:tcPr>
          <w:p w14:paraId="40642F68" w14:textId="77777777" w:rsidR="002D5EAB" w:rsidRPr="002D5EAB" w:rsidRDefault="002D5EAB" w:rsidP="00D450A8">
            <w:pPr>
              <w:spacing w:after="0" w:line="360" w:lineRule="auto"/>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Immunization, Malaria, ANC</w:t>
            </w:r>
          </w:p>
        </w:tc>
      </w:tr>
      <w:tr w:rsidR="00767565" w:rsidRPr="002822F9" w14:paraId="72C6FF4B" w14:textId="77777777" w:rsidTr="006C1287">
        <w:trPr>
          <w:trHeight w:val="295"/>
        </w:trPr>
        <w:tc>
          <w:tcPr>
            <w:tcW w:w="777" w:type="dxa"/>
            <w:tcBorders>
              <w:top w:val="single" w:sz="4" w:space="0" w:color="44B3E1"/>
              <w:left w:val="single" w:sz="4" w:space="0" w:color="44B3E1"/>
              <w:bottom w:val="single" w:sz="4" w:space="0" w:color="44B3E1"/>
              <w:right w:val="nil"/>
            </w:tcBorders>
            <w:noWrap/>
            <w:vAlign w:val="bottom"/>
            <w:hideMark/>
          </w:tcPr>
          <w:p w14:paraId="4434D516" w14:textId="77777777" w:rsidR="002D5EAB" w:rsidRPr="002D5EAB" w:rsidRDefault="002D5EAB" w:rsidP="00D450A8">
            <w:pPr>
              <w:spacing w:after="0" w:line="360" w:lineRule="auto"/>
              <w:jc w:val="right"/>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8</w:t>
            </w:r>
          </w:p>
        </w:tc>
        <w:tc>
          <w:tcPr>
            <w:tcW w:w="2256" w:type="dxa"/>
            <w:tcBorders>
              <w:top w:val="single" w:sz="4" w:space="0" w:color="44B3E1"/>
              <w:left w:val="nil"/>
              <w:bottom w:val="single" w:sz="4" w:space="0" w:color="44B3E1"/>
              <w:right w:val="nil"/>
            </w:tcBorders>
            <w:noWrap/>
            <w:vAlign w:val="bottom"/>
            <w:hideMark/>
          </w:tcPr>
          <w:p w14:paraId="39DF95F8" w14:textId="77777777" w:rsidR="002D5EAB" w:rsidRPr="002D5EAB" w:rsidRDefault="002D5EAB" w:rsidP="00D450A8">
            <w:pPr>
              <w:spacing w:after="0" w:line="360" w:lineRule="auto"/>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Emohua</w:t>
            </w:r>
          </w:p>
        </w:tc>
        <w:tc>
          <w:tcPr>
            <w:tcW w:w="1504" w:type="dxa"/>
            <w:tcBorders>
              <w:top w:val="single" w:sz="4" w:space="0" w:color="44B3E1"/>
              <w:left w:val="nil"/>
              <w:bottom w:val="single" w:sz="4" w:space="0" w:color="44B3E1"/>
              <w:right w:val="nil"/>
            </w:tcBorders>
            <w:noWrap/>
            <w:vAlign w:val="bottom"/>
            <w:hideMark/>
          </w:tcPr>
          <w:p w14:paraId="518910ED" w14:textId="77777777" w:rsidR="002D5EAB" w:rsidRPr="002D5EAB" w:rsidRDefault="002D5EAB" w:rsidP="00D450A8">
            <w:pPr>
              <w:spacing w:after="0" w:line="360" w:lineRule="auto"/>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Rivers East</w:t>
            </w:r>
          </w:p>
        </w:tc>
        <w:tc>
          <w:tcPr>
            <w:tcW w:w="1671" w:type="dxa"/>
            <w:tcBorders>
              <w:top w:val="single" w:sz="4" w:space="0" w:color="44B3E1"/>
              <w:left w:val="nil"/>
              <w:bottom w:val="single" w:sz="4" w:space="0" w:color="44B3E1"/>
              <w:right w:val="nil"/>
            </w:tcBorders>
            <w:noWrap/>
            <w:vAlign w:val="bottom"/>
            <w:hideMark/>
          </w:tcPr>
          <w:p w14:paraId="125B3907" w14:textId="77777777" w:rsidR="002D5EAB" w:rsidRPr="002D5EAB" w:rsidRDefault="002D5EAB" w:rsidP="00D450A8">
            <w:pPr>
              <w:spacing w:after="0" w:line="360" w:lineRule="auto"/>
              <w:jc w:val="right"/>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7,638</w:t>
            </w:r>
          </w:p>
        </w:tc>
        <w:tc>
          <w:tcPr>
            <w:tcW w:w="1382" w:type="dxa"/>
            <w:tcBorders>
              <w:top w:val="single" w:sz="4" w:space="0" w:color="44B3E1"/>
              <w:left w:val="nil"/>
              <w:bottom w:val="single" w:sz="4" w:space="0" w:color="44B3E1"/>
              <w:right w:val="nil"/>
            </w:tcBorders>
            <w:noWrap/>
            <w:vAlign w:val="bottom"/>
            <w:hideMark/>
          </w:tcPr>
          <w:p w14:paraId="50A78EB8" w14:textId="77777777" w:rsidR="002D5EAB" w:rsidRPr="002D5EAB" w:rsidRDefault="002D5EAB" w:rsidP="00D450A8">
            <w:pPr>
              <w:spacing w:after="0" w:line="360" w:lineRule="auto"/>
              <w:jc w:val="right"/>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849</w:t>
            </w:r>
          </w:p>
        </w:tc>
        <w:tc>
          <w:tcPr>
            <w:tcW w:w="2022" w:type="dxa"/>
            <w:gridSpan w:val="2"/>
            <w:tcBorders>
              <w:top w:val="single" w:sz="4" w:space="0" w:color="44B3E1"/>
              <w:left w:val="nil"/>
              <w:bottom w:val="single" w:sz="4" w:space="0" w:color="44B3E1"/>
              <w:right w:val="nil"/>
            </w:tcBorders>
            <w:noWrap/>
            <w:vAlign w:val="bottom"/>
            <w:hideMark/>
          </w:tcPr>
          <w:p w14:paraId="471B0621" w14:textId="77777777" w:rsidR="002D5EAB" w:rsidRPr="002D5EAB" w:rsidRDefault="002D5EAB" w:rsidP="00D450A8">
            <w:pPr>
              <w:spacing w:after="0" w:line="360" w:lineRule="auto"/>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BP, Malaria, Typhoid</w:t>
            </w:r>
          </w:p>
        </w:tc>
      </w:tr>
      <w:tr w:rsidR="00767565" w:rsidRPr="002822F9" w14:paraId="3939AA17" w14:textId="77777777" w:rsidTr="006C1287">
        <w:trPr>
          <w:trHeight w:val="295"/>
        </w:trPr>
        <w:tc>
          <w:tcPr>
            <w:tcW w:w="777" w:type="dxa"/>
            <w:tcBorders>
              <w:top w:val="single" w:sz="4" w:space="0" w:color="44B3E1"/>
              <w:left w:val="single" w:sz="4" w:space="0" w:color="44B3E1"/>
              <w:bottom w:val="single" w:sz="4" w:space="0" w:color="44B3E1"/>
              <w:right w:val="nil"/>
            </w:tcBorders>
            <w:shd w:val="clear" w:color="C0E6F5" w:fill="C0E6F5"/>
            <w:noWrap/>
            <w:vAlign w:val="bottom"/>
            <w:hideMark/>
          </w:tcPr>
          <w:p w14:paraId="573CE23F" w14:textId="77777777" w:rsidR="002D5EAB" w:rsidRPr="002D5EAB" w:rsidRDefault="002D5EAB" w:rsidP="00D450A8">
            <w:pPr>
              <w:spacing w:after="0" w:line="360" w:lineRule="auto"/>
              <w:jc w:val="right"/>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9</w:t>
            </w:r>
          </w:p>
        </w:tc>
        <w:tc>
          <w:tcPr>
            <w:tcW w:w="2256" w:type="dxa"/>
            <w:tcBorders>
              <w:top w:val="single" w:sz="4" w:space="0" w:color="44B3E1"/>
              <w:left w:val="nil"/>
              <w:bottom w:val="single" w:sz="4" w:space="0" w:color="44B3E1"/>
              <w:right w:val="nil"/>
            </w:tcBorders>
            <w:shd w:val="clear" w:color="C0E6F5" w:fill="C0E6F5"/>
            <w:noWrap/>
            <w:vAlign w:val="bottom"/>
            <w:hideMark/>
          </w:tcPr>
          <w:p w14:paraId="55C06A6B" w14:textId="77777777" w:rsidR="002D5EAB" w:rsidRPr="002D5EAB" w:rsidRDefault="002D5EAB" w:rsidP="00D450A8">
            <w:pPr>
              <w:spacing w:after="0" w:line="360" w:lineRule="auto"/>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Ogba/Egbema/Ndoni</w:t>
            </w:r>
          </w:p>
        </w:tc>
        <w:tc>
          <w:tcPr>
            <w:tcW w:w="1504" w:type="dxa"/>
            <w:tcBorders>
              <w:top w:val="single" w:sz="4" w:space="0" w:color="44B3E1"/>
              <w:left w:val="nil"/>
              <w:bottom w:val="single" w:sz="4" w:space="0" w:color="44B3E1"/>
              <w:right w:val="nil"/>
            </w:tcBorders>
            <w:shd w:val="clear" w:color="C0E6F5" w:fill="C0E6F5"/>
            <w:noWrap/>
            <w:vAlign w:val="bottom"/>
            <w:hideMark/>
          </w:tcPr>
          <w:p w14:paraId="51BF7B6A" w14:textId="77777777" w:rsidR="002D5EAB" w:rsidRPr="002D5EAB" w:rsidRDefault="002D5EAB" w:rsidP="00D450A8">
            <w:pPr>
              <w:spacing w:after="0" w:line="360" w:lineRule="auto"/>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Rivers West</w:t>
            </w:r>
          </w:p>
        </w:tc>
        <w:tc>
          <w:tcPr>
            <w:tcW w:w="1671" w:type="dxa"/>
            <w:tcBorders>
              <w:top w:val="single" w:sz="4" w:space="0" w:color="44B3E1"/>
              <w:left w:val="nil"/>
              <w:bottom w:val="single" w:sz="4" w:space="0" w:color="44B3E1"/>
              <w:right w:val="nil"/>
            </w:tcBorders>
            <w:shd w:val="clear" w:color="C0E6F5" w:fill="C0E6F5"/>
            <w:noWrap/>
            <w:vAlign w:val="bottom"/>
            <w:hideMark/>
          </w:tcPr>
          <w:p w14:paraId="39EE649B" w14:textId="77777777" w:rsidR="002D5EAB" w:rsidRPr="002D5EAB" w:rsidRDefault="002D5EAB" w:rsidP="00D450A8">
            <w:pPr>
              <w:spacing w:after="0" w:line="360" w:lineRule="auto"/>
              <w:jc w:val="right"/>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8,273</w:t>
            </w:r>
          </w:p>
        </w:tc>
        <w:tc>
          <w:tcPr>
            <w:tcW w:w="1382" w:type="dxa"/>
            <w:tcBorders>
              <w:top w:val="single" w:sz="4" w:space="0" w:color="44B3E1"/>
              <w:left w:val="nil"/>
              <w:bottom w:val="single" w:sz="4" w:space="0" w:color="44B3E1"/>
              <w:right w:val="nil"/>
            </w:tcBorders>
            <w:shd w:val="clear" w:color="C0E6F5" w:fill="C0E6F5"/>
            <w:noWrap/>
            <w:vAlign w:val="bottom"/>
            <w:hideMark/>
          </w:tcPr>
          <w:p w14:paraId="099652A6" w14:textId="77777777" w:rsidR="002D5EAB" w:rsidRPr="002D5EAB" w:rsidRDefault="002D5EAB" w:rsidP="00D450A8">
            <w:pPr>
              <w:spacing w:after="0" w:line="360" w:lineRule="auto"/>
              <w:jc w:val="right"/>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919</w:t>
            </w:r>
          </w:p>
        </w:tc>
        <w:tc>
          <w:tcPr>
            <w:tcW w:w="2022" w:type="dxa"/>
            <w:gridSpan w:val="2"/>
            <w:tcBorders>
              <w:top w:val="single" w:sz="4" w:space="0" w:color="44B3E1"/>
              <w:left w:val="nil"/>
              <w:bottom w:val="single" w:sz="4" w:space="0" w:color="44B3E1"/>
              <w:right w:val="nil"/>
            </w:tcBorders>
            <w:shd w:val="clear" w:color="C0E6F5" w:fill="C0E6F5"/>
            <w:noWrap/>
            <w:vAlign w:val="bottom"/>
            <w:hideMark/>
          </w:tcPr>
          <w:p w14:paraId="66ED5097" w14:textId="77777777" w:rsidR="002D5EAB" w:rsidRPr="002D5EAB" w:rsidRDefault="002D5EAB" w:rsidP="00D450A8">
            <w:pPr>
              <w:spacing w:after="0" w:line="360" w:lineRule="auto"/>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Immunization, Malaria, Typhoid</w:t>
            </w:r>
          </w:p>
        </w:tc>
      </w:tr>
      <w:tr w:rsidR="002D5EAB" w:rsidRPr="002822F9" w14:paraId="5FAA5691" w14:textId="77777777" w:rsidTr="006C1287">
        <w:trPr>
          <w:trHeight w:val="295"/>
        </w:trPr>
        <w:tc>
          <w:tcPr>
            <w:tcW w:w="777" w:type="dxa"/>
            <w:tcBorders>
              <w:top w:val="single" w:sz="4" w:space="0" w:color="44B3E1"/>
              <w:left w:val="single" w:sz="4" w:space="0" w:color="44B3E1"/>
              <w:bottom w:val="single" w:sz="4" w:space="0" w:color="44B3E1"/>
              <w:right w:val="nil"/>
            </w:tcBorders>
            <w:noWrap/>
            <w:vAlign w:val="bottom"/>
            <w:hideMark/>
          </w:tcPr>
          <w:p w14:paraId="743F0A25" w14:textId="77777777" w:rsidR="002D5EAB" w:rsidRPr="002D5EAB" w:rsidRDefault="002D5EAB" w:rsidP="00D450A8">
            <w:pPr>
              <w:spacing w:after="0" w:line="360" w:lineRule="auto"/>
              <w:jc w:val="right"/>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10</w:t>
            </w:r>
          </w:p>
        </w:tc>
        <w:tc>
          <w:tcPr>
            <w:tcW w:w="2256" w:type="dxa"/>
            <w:tcBorders>
              <w:top w:val="single" w:sz="4" w:space="0" w:color="44B3E1"/>
              <w:left w:val="nil"/>
              <w:bottom w:val="single" w:sz="4" w:space="0" w:color="44B3E1"/>
              <w:right w:val="nil"/>
            </w:tcBorders>
            <w:noWrap/>
            <w:vAlign w:val="bottom"/>
            <w:hideMark/>
          </w:tcPr>
          <w:p w14:paraId="31752CD2" w14:textId="77777777" w:rsidR="002D5EAB" w:rsidRPr="002D5EAB" w:rsidRDefault="002D5EAB" w:rsidP="00D450A8">
            <w:pPr>
              <w:spacing w:after="0" w:line="360" w:lineRule="auto"/>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Asari-Toru</w:t>
            </w:r>
          </w:p>
        </w:tc>
        <w:tc>
          <w:tcPr>
            <w:tcW w:w="1504" w:type="dxa"/>
            <w:tcBorders>
              <w:top w:val="single" w:sz="4" w:space="0" w:color="44B3E1"/>
              <w:left w:val="nil"/>
              <w:bottom w:val="single" w:sz="4" w:space="0" w:color="44B3E1"/>
              <w:right w:val="nil"/>
            </w:tcBorders>
            <w:noWrap/>
            <w:vAlign w:val="bottom"/>
            <w:hideMark/>
          </w:tcPr>
          <w:p w14:paraId="77454608" w14:textId="77777777" w:rsidR="002D5EAB" w:rsidRPr="002D5EAB" w:rsidRDefault="002D5EAB" w:rsidP="00D450A8">
            <w:pPr>
              <w:spacing w:after="0" w:line="360" w:lineRule="auto"/>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Rivers West</w:t>
            </w:r>
          </w:p>
        </w:tc>
        <w:tc>
          <w:tcPr>
            <w:tcW w:w="1671" w:type="dxa"/>
            <w:tcBorders>
              <w:top w:val="single" w:sz="4" w:space="0" w:color="44B3E1"/>
              <w:left w:val="nil"/>
              <w:bottom w:val="single" w:sz="4" w:space="0" w:color="44B3E1"/>
              <w:right w:val="nil"/>
            </w:tcBorders>
            <w:noWrap/>
            <w:vAlign w:val="bottom"/>
            <w:hideMark/>
          </w:tcPr>
          <w:p w14:paraId="379CA7A1" w14:textId="77777777" w:rsidR="002D5EAB" w:rsidRPr="002D5EAB" w:rsidRDefault="002D5EAB" w:rsidP="00D450A8">
            <w:pPr>
              <w:spacing w:after="0" w:line="360" w:lineRule="auto"/>
              <w:jc w:val="right"/>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6,758</w:t>
            </w:r>
          </w:p>
        </w:tc>
        <w:tc>
          <w:tcPr>
            <w:tcW w:w="1382" w:type="dxa"/>
            <w:tcBorders>
              <w:top w:val="single" w:sz="4" w:space="0" w:color="44B3E1"/>
              <w:left w:val="nil"/>
              <w:bottom w:val="single" w:sz="4" w:space="0" w:color="44B3E1"/>
              <w:right w:val="nil"/>
            </w:tcBorders>
            <w:noWrap/>
            <w:vAlign w:val="bottom"/>
            <w:hideMark/>
          </w:tcPr>
          <w:p w14:paraId="0FD795BF" w14:textId="77777777" w:rsidR="002D5EAB" w:rsidRPr="002D5EAB" w:rsidRDefault="002D5EAB" w:rsidP="00D450A8">
            <w:pPr>
              <w:spacing w:after="0" w:line="360" w:lineRule="auto"/>
              <w:jc w:val="right"/>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751</w:t>
            </w:r>
          </w:p>
        </w:tc>
        <w:tc>
          <w:tcPr>
            <w:tcW w:w="2022" w:type="dxa"/>
            <w:gridSpan w:val="2"/>
            <w:tcBorders>
              <w:top w:val="single" w:sz="4" w:space="0" w:color="44B3E1"/>
              <w:left w:val="nil"/>
              <w:bottom w:val="single" w:sz="4" w:space="0" w:color="44B3E1"/>
              <w:right w:val="nil"/>
            </w:tcBorders>
            <w:noWrap/>
            <w:vAlign w:val="bottom"/>
            <w:hideMark/>
          </w:tcPr>
          <w:p w14:paraId="5C987416" w14:textId="77777777" w:rsidR="002D5EAB" w:rsidRPr="002D5EAB" w:rsidRDefault="002D5EAB" w:rsidP="00D450A8">
            <w:pPr>
              <w:spacing w:after="0" w:line="360" w:lineRule="auto"/>
              <w:rPr>
                <w:rFonts w:ascii="Times New Roman" w:eastAsia="Times New Roman" w:hAnsi="Times New Roman" w:cs="Times New Roman"/>
                <w:color w:val="000000"/>
                <w:kern w:val="0"/>
                <w:lang w:val="en-US"/>
                <w14:ligatures w14:val="none"/>
              </w:rPr>
            </w:pPr>
            <w:r w:rsidRPr="002D5EAB">
              <w:rPr>
                <w:rFonts w:ascii="Times New Roman" w:eastAsia="Times New Roman" w:hAnsi="Times New Roman" w:cs="Times New Roman"/>
                <w:color w:val="000000"/>
                <w:kern w:val="0"/>
                <w14:ligatures w14:val="none"/>
              </w:rPr>
              <w:t>Malaria, Typhoid, BP</w:t>
            </w:r>
          </w:p>
        </w:tc>
      </w:tr>
    </w:tbl>
    <w:p w14:paraId="49D232C9" w14:textId="11B70325" w:rsidR="00D278C0" w:rsidRPr="003F3D6C" w:rsidRDefault="006C1287">
      <w:pPr>
        <w:spacing w:after="0" w:line="240" w:lineRule="auto"/>
        <w:jc w:val="both"/>
        <w:rPr>
          <w:rFonts w:ascii="Times New Roman" w:hAnsi="Times New Roman" w:cs="Times New Roman"/>
          <w:b/>
          <w:bCs/>
        </w:rPr>
      </w:pPr>
      <w:r w:rsidRPr="003F3D6C">
        <w:rPr>
          <w:rFonts w:ascii="Times New Roman" w:hAnsi="Times New Roman" w:cs="Times New Roman"/>
          <w:b/>
          <w:bCs/>
        </w:rPr>
        <w:t>Table 7-</w:t>
      </w:r>
      <w:r w:rsidR="003F3D6C" w:rsidRPr="003F3D6C">
        <w:rPr>
          <w:rFonts w:ascii="Times New Roman" w:hAnsi="Times New Roman" w:cs="Times New Roman"/>
          <w:b/>
          <w:bCs/>
        </w:rPr>
        <w:t xml:space="preserve"> </w:t>
      </w:r>
      <w:r w:rsidR="00017076">
        <w:rPr>
          <w:rFonts w:ascii="Times New Roman" w:hAnsi="Times New Roman" w:cs="Times New Roman"/>
          <w:b/>
          <w:bCs/>
        </w:rPr>
        <w:t>P</w:t>
      </w:r>
      <w:r w:rsidR="003F3D6C" w:rsidRPr="003F3D6C">
        <w:rPr>
          <w:rFonts w:ascii="Times New Roman" w:hAnsi="Times New Roman" w:cs="Times New Roman"/>
          <w:b/>
          <w:bCs/>
        </w:rPr>
        <w:t xml:space="preserve">erformance of LGAs </w:t>
      </w:r>
    </w:p>
    <w:p w14:paraId="46002F7C" w14:textId="77777777" w:rsidR="006C1287" w:rsidRDefault="006C1287">
      <w:pPr>
        <w:spacing w:after="0" w:line="240" w:lineRule="auto"/>
        <w:jc w:val="both"/>
        <w:rPr>
          <w:rFonts w:ascii="Times New Roman" w:hAnsi="Times New Roman" w:cs="Times New Roman"/>
        </w:rPr>
      </w:pPr>
    </w:p>
    <w:p w14:paraId="445D510F" w14:textId="208FC188" w:rsidR="00C66E38" w:rsidRDefault="00981AE8">
      <w:pPr>
        <w:spacing w:after="0" w:line="240" w:lineRule="auto"/>
        <w:jc w:val="both"/>
        <w:rPr>
          <w:rFonts w:ascii="Times New Roman" w:hAnsi="Times New Roman" w:cs="Times New Roman"/>
        </w:rPr>
      </w:pPr>
      <w:r>
        <w:rPr>
          <w:rFonts w:ascii="Times New Roman" w:hAnsi="Times New Roman" w:cs="Times New Roman"/>
        </w:rPr>
        <w:t>The top-performing LGAs demonstrate diverse geographic representation, with Rivers West LGAs showing particularly strong service delivery relative to their smaller enrolment numbers. Notably, 5 of the top 10 LGAs by service volume are from Rivers West, despite this district having the second-lowest total enrolment. This suggests higher service utilization rates per enrolee in these areas, possibly indicating better facility performance, higher disease burden, or more comprehensive service packages.</w:t>
      </w:r>
    </w:p>
    <w:p w14:paraId="3007E349" w14:textId="2B7EA036" w:rsidR="00C66E38" w:rsidRDefault="00981AE8">
      <w:pPr>
        <w:spacing w:after="0" w:line="240" w:lineRule="auto"/>
        <w:jc w:val="both"/>
        <w:rPr>
          <w:rFonts w:ascii="Times New Roman" w:hAnsi="Times New Roman" w:cs="Times New Roman"/>
        </w:rPr>
      </w:pPr>
      <w:r>
        <w:rPr>
          <w:rFonts w:ascii="Times New Roman" w:hAnsi="Times New Roman" w:cs="Times New Roman"/>
        </w:rPr>
        <w:t>Abua/Odual leads with 15,578 total services (averaging 1,731 per month), followed by Ahoada East with 10,104 services. Khana from Rivers South-East demonstrates strong performance at 9,434 services, suggesting that even underserved districts can achieve high utilization when facilities are functional and accessible. Urban LGAs like Port Harcourt and Obio/Akpor appear in the top 10 but don't dominate, indicating that rural LGAs can achieve comparable or higher service volumes when properly resourced.</w:t>
      </w:r>
    </w:p>
    <w:p w14:paraId="39A740AF" w14:textId="77777777" w:rsidR="00C66E38" w:rsidRDefault="00981AE8">
      <w:pPr>
        <w:spacing w:after="0" w:line="240" w:lineRule="auto"/>
        <w:jc w:val="both"/>
        <w:rPr>
          <w:rFonts w:ascii="Times New Roman" w:hAnsi="Times New Roman" w:cs="Times New Roman"/>
        </w:rPr>
      </w:pPr>
      <w:r>
        <w:rPr>
          <w:rFonts w:ascii="Times New Roman" w:hAnsi="Times New Roman" w:cs="Times New Roman"/>
        </w:rPr>
        <w:lastRenderedPageBreak/>
        <w:t>When considered relative to enrolment volumes, these LGAs demonstrate substantially higher service utilisation intensity per enrolee, indicating disproportionate reliance on PHCs in lower-coverage rural settings.</w:t>
      </w:r>
    </w:p>
    <w:p w14:paraId="60695942" w14:textId="77777777" w:rsidR="00C66E38" w:rsidRDefault="00C66E38">
      <w:pPr>
        <w:spacing w:after="0" w:line="240" w:lineRule="auto"/>
        <w:rPr>
          <w:rFonts w:ascii="Times New Roman" w:hAnsi="Times New Roman" w:cs="Times New Roman"/>
          <w:b/>
          <w:bCs/>
        </w:rPr>
      </w:pPr>
    </w:p>
    <w:p w14:paraId="44921118" w14:textId="77777777" w:rsidR="00C66E38" w:rsidRDefault="00C66E38">
      <w:pPr>
        <w:spacing w:after="0" w:line="240" w:lineRule="auto"/>
        <w:rPr>
          <w:rFonts w:ascii="Times New Roman" w:hAnsi="Times New Roman" w:cs="Times New Roman"/>
          <w:b/>
          <w:bCs/>
        </w:rPr>
      </w:pPr>
    </w:p>
    <w:p w14:paraId="32A69093" w14:textId="77777777" w:rsidR="00C66E38" w:rsidRDefault="00981AE8">
      <w:pPr>
        <w:spacing w:after="0" w:line="240" w:lineRule="auto"/>
        <w:jc w:val="both"/>
        <w:rPr>
          <w:rFonts w:ascii="Times New Roman" w:hAnsi="Times New Roman" w:cs="Times New Roman"/>
          <w:b/>
          <w:bCs/>
        </w:rPr>
      </w:pPr>
      <w:r>
        <w:rPr>
          <w:rFonts w:ascii="Times New Roman" w:hAnsi="Times New Roman" w:cs="Times New Roman"/>
          <w:b/>
          <w:bCs/>
        </w:rPr>
        <w:t>DISCUSSION</w:t>
      </w:r>
    </w:p>
    <w:p w14:paraId="3B051C7D" w14:textId="77777777" w:rsidR="00C66E38" w:rsidRDefault="00C66E38">
      <w:pPr>
        <w:spacing w:after="0" w:line="240" w:lineRule="auto"/>
        <w:jc w:val="both"/>
        <w:rPr>
          <w:rFonts w:ascii="Times New Roman" w:hAnsi="Times New Roman" w:cs="Times New Roman"/>
          <w:b/>
          <w:bCs/>
        </w:rPr>
      </w:pPr>
    </w:p>
    <w:p w14:paraId="4E22AD05" w14:textId="77777777" w:rsidR="00C66E38" w:rsidRDefault="00981AE8">
      <w:pPr>
        <w:spacing w:after="0" w:line="240" w:lineRule="auto"/>
        <w:jc w:val="both"/>
        <w:rPr>
          <w:rFonts w:ascii="Times New Roman" w:hAnsi="Times New Roman" w:cs="Times New Roman"/>
          <w:lang w:val="en-US"/>
        </w:rPr>
      </w:pPr>
      <w:r>
        <w:rPr>
          <w:rFonts w:ascii="Times New Roman" w:hAnsi="Times New Roman" w:cs="Times New Roman"/>
          <w:lang w:val="en-US"/>
        </w:rPr>
        <w:t>The analysis of the Rivers State Contributory Health Protection Program (RIVCHPP) presents a dynamic implementation landscape marked by rapid expansion phases, geographic concentration, and evolving patterns of service utilization. Enrolment data demonstrate the programme’s capacity for large-scale mobilisation, with enrolment peaking at 36,483 beneficiaries in Q3 2024, followed by a subsequent contraction to 11,690 by Q3 2025—a 67.9% decline. This volatility reflects a campaign-driven enrolment architecture that has proven effective in generating rapid uptake, though less consistent with the gradual adoption pathways described in the diffusion-of-innovation framework by Nwobodo et al. (2022) and the steadier growth trajectories observed by Adeoye et al. (2024). Nonetheless, these surges underscore the programme’s operational ability to activate demand when resources and outreach are aligned.</w:t>
      </w:r>
    </w:p>
    <w:p w14:paraId="235468D8" w14:textId="77777777" w:rsidR="00C66E38" w:rsidRDefault="00C66E38">
      <w:pPr>
        <w:spacing w:after="0" w:line="240" w:lineRule="auto"/>
        <w:jc w:val="both"/>
        <w:rPr>
          <w:rFonts w:ascii="Times New Roman" w:hAnsi="Times New Roman" w:cs="Times New Roman"/>
        </w:rPr>
      </w:pPr>
    </w:p>
    <w:p w14:paraId="7846D9A4" w14:textId="77777777" w:rsidR="00C66E38" w:rsidRDefault="00981AE8">
      <w:pPr>
        <w:spacing w:after="0" w:line="240" w:lineRule="auto"/>
        <w:jc w:val="both"/>
        <w:rPr>
          <w:rFonts w:ascii="Times New Roman" w:hAnsi="Times New Roman" w:cs="Times New Roman"/>
          <w:lang w:val="en-US"/>
        </w:rPr>
      </w:pPr>
      <w:r>
        <w:rPr>
          <w:rFonts w:ascii="Times New Roman" w:hAnsi="Times New Roman" w:cs="Times New Roman"/>
          <w:lang w:val="en-US"/>
        </w:rPr>
        <w:t>Geographically, enrolment remains concentrated in Rivers East, which accounts for 83.16% of beneficiaries. This distribution mirrors broader health system patterns in Nigeria, where service density and administrative accessibility favour urban and peri-urban areas, reinforcing the Inverse Care Law. Similar spatial imbalances have been documented by Igbokwe et al. (2024) and Alawode et al. (2022), highlighting the tendency of health financing mechanisms to gravitate toward areas of lower implementation resistance in the absence of deliberate equity weighting. At the same time, the programme has succeeded in achieving strong female participation (61%), consistent with findings by Adedini et al. (2023) on women’s central role as household health decision-makers. However, enrolment among persons with disabilities remains low (1.32%), falling below prevalence estimates reported by Mulimba et al. (2023), suggesting an opportunity for more inclusive targeting within the programme’s universal policy framework.</w:t>
      </w:r>
    </w:p>
    <w:p w14:paraId="51186B1A" w14:textId="77777777" w:rsidR="00C66E38" w:rsidRDefault="00C66E38">
      <w:pPr>
        <w:spacing w:after="0" w:line="240" w:lineRule="auto"/>
        <w:jc w:val="both"/>
        <w:rPr>
          <w:rFonts w:ascii="Times New Roman" w:hAnsi="Times New Roman" w:cs="Times New Roman"/>
        </w:rPr>
      </w:pPr>
    </w:p>
    <w:p w14:paraId="30D1AE78" w14:textId="77777777" w:rsidR="00C66E38" w:rsidRDefault="00981AE8">
      <w:pPr>
        <w:spacing w:after="0" w:line="240" w:lineRule="auto"/>
        <w:jc w:val="both"/>
        <w:rPr>
          <w:rFonts w:ascii="Times New Roman" w:hAnsi="Times New Roman" w:cs="Times New Roman"/>
          <w:lang w:val="en-US"/>
        </w:rPr>
      </w:pPr>
      <w:r>
        <w:rPr>
          <w:rFonts w:ascii="Times New Roman" w:hAnsi="Times New Roman" w:cs="Times New Roman"/>
          <w:lang w:val="en-US"/>
        </w:rPr>
        <w:t>Despite fluctuations in enrolment, service utilization expanded substantially, increasing nearly ten-fold to over 20,000 services delivered monthly. This divergence indicates that RIVCHPP has become a critical financing platform for high-frequency and high-impact health needs. The service mix is dominated by malaria treatment (36.8%) and immunization services (30.8%), affirming the programme’s effectiveness in reducing financial barriers to essential preventive and curative care. These patterns align with Uzochukwu et al. (2021) on malaria morbidity dominance and Lassi et al. (2025) on the role of incentives in driving preventive service uptake. The growing documentation of hypertension and diabetes further reflects the epidemiological transition described by Maiyaki and Etuk (2022), demonstrating the scheme’s relevance across both communicable and non-communicable disease burdens.</w:t>
      </w:r>
    </w:p>
    <w:p w14:paraId="771F0C41" w14:textId="77777777" w:rsidR="00C66E38" w:rsidRDefault="00C66E38">
      <w:pPr>
        <w:spacing w:after="0" w:line="240" w:lineRule="auto"/>
        <w:jc w:val="both"/>
        <w:rPr>
          <w:rFonts w:ascii="Times New Roman" w:hAnsi="Times New Roman" w:cs="Times New Roman"/>
        </w:rPr>
      </w:pPr>
    </w:p>
    <w:p w14:paraId="7D261192" w14:textId="77777777" w:rsidR="00C66E38" w:rsidRDefault="00981AE8">
      <w:pPr>
        <w:spacing w:after="0" w:line="240" w:lineRule="auto"/>
        <w:jc w:val="both"/>
        <w:rPr>
          <w:rFonts w:ascii="Times New Roman" w:hAnsi="Times New Roman" w:cs="Times New Roman"/>
          <w:lang w:val="en-US"/>
        </w:rPr>
      </w:pPr>
      <w:r>
        <w:rPr>
          <w:rFonts w:ascii="Times New Roman" w:hAnsi="Times New Roman" w:cs="Times New Roman"/>
          <w:lang w:val="en-US"/>
        </w:rPr>
        <w:t xml:space="preserve">In maternal health, the data reveal strong antenatal care attendance alongside low facility-based delivery rates (1.8%). This pattern suggests that while RIVCHPP has succeeded in promoting early and routine contact with the health system, further investments are required to strengthen confidence in facility-based care for high-risk events. Similar care-seeking behaviors have been described by Kress et al. (2023) as “bypassing,” where patients utilize free or subsidized services but seek alternatives for services perceived to require higher quality or emergency readiness. Notably, rural LGAs in Rivers West demonstrate high service intensity despite low </w:t>
      </w:r>
      <w:r>
        <w:rPr>
          <w:rFonts w:ascii="Times New Roman" w:hAnsi="Times New Roman" w:cs="Times New Roman"/>
          <w:lang w:val="en-US"/>
        </w:rPr>
        <w:lastRenderedPageBreak/>
        <w:t>enrolment coverage, challenging assertions by Ewelike et al. (2021) that utilization is strictly proportional to enrolment breadth; in these settings, PHCs function as essential lifelines in the absence of alternatives.</w:t>
      </w:r>
    </w:p>
    <w:p w14:paraId="387D06E6" w14:textId="77777777" w:rsidR="00C66E38" w:rsidRDefault="00C66E38">
      <w:pPr>
        <w:spacing w:after="0" w:line="240" w:lineRule="auto"/>
        <w:jc w:val="both"/>
        <w:rPr>
          <w:rFonts w:ascii="Times New Roman" w:hAnsi="Times New Roman" w:cs="Times New Roman"/>
        </w:rPr>
      </w:pPr>
    </w:p>
    <w:p w14:paraId="2F7E7EF2" w14:textId="77777777" w:rsidR="00C66E38" w:rsidRDefault="00981AE8">
      <w:pPr>
        <w:spacing w:after="0" w:line="240" w:lineRule="auto"/>
        <w:jc w:val="both"/>
        <w:rPr>
          <w:rFonts w:ascii="Times New Roman" w:hAnsi="Times New Roman" w:cs="Times New Roman"/>
          <w:lang w:val="en-US"/>
        </w:rPr>
      </w:pPr>
      <w:r>
        <w:rPr>
          <w:rFonts w:ascii="Times New Roman" w:hAnsi="Times New Roman" w:cs="Times New Roman"/>
          <w:lang w:val="en-US"/>
        </w:rPr>
        <w:t>Referral activity remains low (&lt;1%), a pattern that aligns with the “referral apathy” described by Abubakar et al. (2022) in contexts where higher-level care remains financially or geographically constrained. Rather than indicating limited need, this trend highlights systemic barriers along the continuum of care and reinforces the importance of strengthening referral readiness and financial coverage beyond primary-level services.</w:t>
      </w:r>
    </w:p>
    <w:p w14:paraId="22D8D824" w14:textId="77777777" w:rsidR="00C66E38" w:rsidRDefault="00C66E38">
      <w:pPr>
        <w:spacing w:after="0" w:line="240" w:lineRule="auto"/>
        <w:jc w:val="both"/>
        <w:rPr>
          <w:rFonts w:ascii="Times New Roman" w:hAnsi="Times New Roman" w:cs="Times New Roman"/>
        </w:rPr>
      </w:pPr>
    </w:p>
    <w:p w14:paraId="73E8A8D4" w14:textId="77777777" w:rsidR="00C66E38" w:rsidRDefault="00981AE8">
      <w:pPr>
        <w:spacing w:after="0" w:line="240" w:lineRule="auto"/>
        <w:jc w:val="both"/>
        <w:rPr>
          <w:rFonts w:ascii="Times New Roman" w:hAnsi="Times New Roman" w:cs="Times New Roman"/>
        </w:rPr>
      </w:pPr>
      <w:r>
        <w:rPr>
          <w:rFonts w:ascii="Times New Roman" w:hAnsi="Times New Roman" w:cs="Times New Roman"/>
          <w:lang w:val="en-US"/>
        </w:rPr>
        <w:t>Overall, the findings position RIVCHPP as a highly impactful platform for expanding access to essential services and mitigating out-of-pocket expenditure for common health needs, while also illuminating structural opportunities for deeper equity and continuity of care. By leveraging its demonstrated capacity for rapid enrolment mobilization, high service utilization, and rural service intensity, the programme is well placed to evolve toward more proactive, mobile enrolment strategies in riverine and hard-to-reach communities. Such a shift would align closely with the equity principles of the Alma-Ata Declaration and support RIVCHPP’s progression from effective service access toward sustained, comprehensive Universal Health Coverage for all populations in Rivers State.</w:t>
      </w:r>
    </w:p>
    <w:p w14:paraId="3FA1BF5B" w14:textId="77777777" w:rsidR="00C66E38" w:rsidRDefault="00C66E38">
      <w:pPr>
        <w:spacing w:after="0" w:line="240" w:lineRule="auto"/>
        <w:jc w:val="both"/>
        <w:rPr>
          <w:rFonts w:ascii="Times New Roman" w:hAnsi="Times New Roman" w:cs="Times New Roman"/>
        </w:rPr>
      </w:pPr>
    </w:p>
    <w:p w14:paraId="3B36E717" w14:textId="77777777" w:rsidR="00C66E38" w:rsidRDefault="00981AE8">
      <w:pPr>
        <w:spacing w:after="0" w:line="240" w:lineRule="auto"/>
        <w:jc w:val="both"/>
        <w:rPr>
          <w:rFonts w:ascii="Times New Roman" w:hAnsi="Times New Roman" w:cs="Times New Roman"/>
          <w:b/>
          <w:bCs/>
        </w:rPr>
      </w:pPr>
      <w:r>
        <w:rPr>
          <w:rFonts w:ascii="Times New Roman" w:hAnsi="Times New Roman" w:cs="Times New Roman"/>
          <w:b/>
          <w:bCs/>
        </w:rPr>
        <w:t>LIMITATIONS</w:t>
      </w:r>
    </w:p>
    <w:p w14:paraId="444C3FD0" w14:textId="77777777" w:rsidR="00C66E38" w:rsidRDefault="00C66E38">
      <w:pPr>
        <w:spacing w:after="0" w:line="240" w:lineRule="auto"/>
        <w:jc w:val="both"/>
        <w:rPr>
          <w:rFonts w:ascii="Times New Roman" w:hAnsi="Times New Roman" w:cs="Times New Roman"/>
          <w:b/>
          <w:bCs/>
        </w:rPr>
      </w:pPr>
    </w:p>
    <w:p w14:paraId="3C38DBF7" w14:textId="77777777" w:rsidR="00C66E38" w:rsidRDefault="00981AE8">
      <w:pPr>
        <w:spacing w:after="0" w:line="240" w:lineRule="auto"/>
        <w:jc w:val="both"/>
        <w:rPr>
          <w:rFonts w:ascii="Times New Roman" w:hAnsi="Times New Roman" w:cs="Times New Roman"/>
        </w:rPr>
      </w:pPr>
      <w:r>
        <w:rPr>
          <w:rFonts w:ascii="Times New Roman" w:hAnsi="Times New Roman" w:cs="Times New Roman"/>
        </w:rPr>
        <w:t>Several limitations should be acknowledged in interpreting these findings. First, the retrospective nature of the study relied on administrative records which may be subject to recording inconsistencies or completeness issues across facilities. Second, our analysis could not account for beneficiaries who accessed services at non-RIVCHPP facilities or in the private sector. Additionally, there was a lack of patient-level outcome data and inability to access quality of care. Finally, the 18-month observation period, while providing valuable longitudinal insights, may not capture longer-term sustainability trends or seasonal variations in healthcare-seeking behaviour. Extremely low enrolment of people living with HIV likely reflects programmatic separation between RIVCHPP services and vertical HIV programmes, as well as stigma-related underreporting, rather than true absence of need.</w:t>
      </w:r>
    </w:p>
    <w:p w14:paraId="6C5B5E8E" w14:textId="77777777" w:rsidR="00C66E38" w:rsidRDefault="00C66E38">
      <w:pPr>
        <w:spacing w:after="0" w:line="240" w:lineRule="auto"/>
        <w:jc w:val="both"/>
        <w:rPr>
          <w:rFonts w:ascii="Times New Roman" w:hAnsi="Times New Roman" w:cs="Times New Roman"/>
        </w:rPr>
      </w:pPr>
    </w:p>
    <w:p w14:paraId="084766E6" w14:textId="77777777" w:rsidR="00C66E38" w:rsidRDefault="00981AE8">
      <w:pPr>
        <w:spacing w:after="0" w:line="240" w:lineRule="auto"/>
        <w:jc w:val="both"/>
        <w:rPr>
          <w:rFonts w:ascii="Times New Roman" w:hAnsi="Times New Roman" w:cs="Times New Roman"/>
          <w:b/>
          <w:bCs/>
        </w:rPr>
      </w:pPr>
      <w:r>
        <w:rPr>
          <w:rFonts w:ascii="Times New Roman" w:hAnsi="Times New Roman" w:cs="Times New Roman"/>
          <w:b/>
          <w:bCs/>
        </w:rPr>
        <w:t>CONCLUSION</w:t>
      </w:r>
    </w:p>
    <w:p w14:paraId="36433C07" w14:textId="77777777" w:rsidR="00C66E38" w:rsidRDefault="00C66E38">
      <w:pPr>
        <w:spacing w:after="0" w:line="240" w:lineRule="auto"/>
        <w:jc w:val="both"/>
        <w:rPr>
          <w:rFonts w:ascii="Times New Roman" w:hAnsi="Times New Roman" w:cs="Times New Roman"/>
          <w:b/>
          <w:bCs/>
        </w:rPr>
      </w:pPr>
    </w:p>
    <w:p w14:paraId="4C62B468" w14:textId="77777777" w:rsidR="00C66E38" w:rsidRDefault="00981AE8">
      <w:pPr>
        <w:spacing w:after="0" w:line="240" w:lineRule="auto"/>
        <w:jc w:val="both"/>
        <w:rPr>
          <w:rFonts w:ascii="Times New Roman" w:hAnsi="Times New Roman" w:cs="Times New Roman"/>
          <w:lang w:val="en-US"/>
        </w:rPr>
      </w:pPr>
      <w:r>
        <w:rPr>
          <w:rFonts w:ascii="Times New Roman" w:hAnsi="Times New Roman" w:cs="Times New Roman"/>
          <w:lang w:val="en-US"/>
        </w:rPr>
        <w:t>This longitudinal assessment highlights the significant role of the Rivers State Contributory Health Protection Program (RIVCHPP) in strengthening the State’s health system and expanding access to essential health services across diverse geographic and socio-economic settings. The programme has demonstrated notable success in delivering commodity-driven and population-impact interventions, particularly in malaria control, immunization, and outpatient care, contributing to improved service utilization and health-seeking behavior statewide. Through sustained antenatal care engagement, increased facility attendance for routine services, and broad coverage of minor and selected major ailments, RIVCHPP has reinforced its position as a dependable health financing and service delivery platform.</w:t>
      </w:r>
    </w:p>
    <w:p w14:paraId="01AFC7C9" w14:textId="77777777" w:rsidR="00C66E38" w:rsidRDefault="00C66E38">
      <w:pPr>
        <w:spacing w:after="0" w:line="240" w:lineRule="auto"/>
        <w:jc w:val="both"/>
        <w:rPr>
          <w:rFonts w:ascii="Times New Roman" w:hAnsi="Times New Roman" w:cs="Times New Roman"/>
        </w:rPr>
      </w:pPr>
    </w:p>
    <w:p w14:paraId="4F9020DE" w14:textId="2F924D31" w:rsidR="00C66E38" w:rsidRDefault="00981AE8">
      <w:pPr>
        <w:spacing w:after="0" w:line="240" w:lineRule="auto"/>
        <w:jc w:val="both"/>
        <w:rPr>
          <w:rFonts w:ascii="Times New Roman" w:hAnsi="Times New Roman" w:cs="Times New Roman"/>
          <w:lang w:val="en-US"/>
        </w:rPr>
      </w:pPr>
      <w:r>
        <w:rPr>
          <w:rFonts w:ascii="Times New Roman" w:hAnsi="Times New Roman" w:cs="Times New Roman"/>
          <w:lang w:val="en-US"/>
        </w:rPr>
        <w:t xml:space="preserve">Importantly, the programme has revealed substantial latent demand for healthcare in rural and riverine communities, reflected in continued service utilization even amidst fluctuating enrolment patterns. This underscores RIVCHPP’s value as a trusted point of care and its potential to further deepen institutional confidence and continuity of care. By progressively expanding enrolment strategies, strengthening rural primary healthcare infrastructure, </w:t>
      </w:r>
      <w:r>
        <w:rPr>
          <w:rFonts w:ascii="Times New Roman" w:hAnsi="Times New Roman" w:cs="Times New Roman"/>
          <w:lang w:val="en-US"/>
        </w:rPr>
        <w:lastRenderedPageBreak/>
        <w:t>enhancing emergency and referral readiness, and adopting community-based engagement and tracking mechanisms, findings suggest RIVCHPP is potential for consolidation on its gains and advance toward comprehensive, equitable Universal Health Coverage. Overall, the programme represents a critical and evolving vehicle for reducing health inequities, protecting vulnerable populations, and improving health outcomes across Rivers State.</w:t>
      </w:r>
    </w:p>
    <w:p w14:paraId="1AA81FDA" w14:textId="3EDAB9E0" w:rsidR="007157AA" w:rsidRDefault="007157AA">
      <w:pPr>
        <w:spacing w:after="0" w:line="240" w:lineRule="auto"/>
        <w:jc w:val="both"/>
        <w:rPr>
          <w:rFonts w:ascii="Times New Roman" w:hAnsi="Times New Roman" w:cs="Times New Roman"/>
        </w:rPr>
      </w:pPr>
    </w:p>
    <w:p w14:paraId="68198B62" w14:textId="3705139B" w:rsidR="007157AA" w:rsidRDefault="007157AA">
      <w:pPr>
        <w:spacing w:after="0" w:line="240" w:lineRule="auto"/>
        <w:jc w:val="both"/>
        <w:rPr>
          <w:rFonts w:ascii="Times New Roman" w:hAnsi="Times New Roman" w:cs="Times New Roman"/>
        </w:rPr>
      </w:pPr>
    </w:p>
    <w:p w14:paraId="704E3C4D" w14:textId="77777777" w:rsidR="007157AA" w:rsidRDefault="007157AA" w:rsidP="007157AA">
      <w:pPr>
        <w:rPr>
          <w:rFonts w:cs="Times New Roman"/>
          <w:highlight w:val="yellow"/>
          <w:lang w:val="en-US"/>
        </w:rPr>
      </w:pPr>
      <w:bookmarkStart w:id="0" w:name="_Hlk219110679"/>
    </w:p>
    <w:p w14:paraId="046C5C06" w14:textId="77777777" w:rsidR="007157AA" w:rsidRPr="00005ED1" w:rsidRDefault="007157AA" w:rsidP="007157AA">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4C130402" w14:textId="77777777" w:rsidR="007157AA" w:rsidRPr="00005ED1" w:rsidRDefault="007157AA" w:rsidP="007157AA">
      <w:pPr>
        <w:pStyle w:val="NoSpacing"/>
        <w:rPr>
          <w:rFonts w:ascii="Arial" w:hAnsi="Arial" w:cs="Arial"/>
          <w:highlight w:val="yellow"/>
        </w:rPr>
      </w:pPr>
    </w:p>
    <w:p w14:paraId="108D928D" w14:textId="77777777" w:rsidR="007157AA" w:rsidRPr="00005ED1" w:rsidRDefault="007157AA" w:rsidP="007157AA">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223BEC30" w14:textId="77777777" w:rsidR="007157AA" w:rsidRDefault="007157AA" w:rsidP="007157AA">
      <w:pPr>
        <w:pStyle w:val="NoSpacing"/>
        <w:rPr>
          <w:rFonts w:ascii="Arial" w:hAnsi="Arial" w:cs="Arial"/>
        </w:rPr>
      </w:pPr>
    </w:p>
    <w:bookmarkEnd w:id="0"/>
    <w:p w14:paraId="58CDF574" w14:textId="77777777" w:rsidR="007157AA" w:rsidRDefault="007157AA">
      <w:pPr>
        <w:spacing w:after="0" w:line="240" w:lineRule="auto"/>
        <w:jc w:val="both"/>
        <w:rPr>
          <w:rFonts w:ascii="Times New Roman" w:hAnsi="Times New Roman" w:cs="Times New Roman"/>
        </w:rPr>
      </w:pPr>
    </w:p>
    <w:p w14:paraId="6749BCFD" w14:textId="77777777" w:rsidR="00C66E38" w:rsidRDefault="00C66E38">
      <w:pPr>
        <w:spacing w:after="0" w:line="240" w:lineRule="auto"/>
        <w:jc w:val="both"/>
        <w:rPr>
          <w:rFonts w:ascii="Times New Roman" w:hAnsi="Times New Roman" w:cs="Times New Roman"/>
        </w:rPr>
      </w:pPr>
    </w:p>
    <w:p w14:paraId="12E42CAD" w14:textId="77777777" w:rsidR="00C66E38" w:rsidRDefault="00C66E38">
      <w:pPr>
        <w:spacing w:after="0" w:line="240" w:lineRule="auto"/>
        <w:jc w:val="center"/>
        <w:rPr>
          <w:rFonts w:ascii="Times New Roman" w:hAnsi="Times New Roman" w:cs="Times New Roman"/>
          <w:b/>
          <w:bCs/>
        </w:rPr>
      </w:pPr>
    </w:p>
    <w:p w14:paraId="50F1546B" w14:textId="77777777" w:rsidR="00C66E38" w:rsidRDefault="00981AE8">
      <w:pPr>
        <w:spacing w:after="0" w:line="240" w:lineRule="auto"/>
        <w:jc w:val="center"/>
        <w:rPr>
          <w:rFonts w:ascii="Times New Roman" w:hAnsi="Times New Roman" w:cs="Times New Roman"/>
          <w:b/>
          <w:bCs/>
        </w:rPr>
      </w:pPr>
      <w:r>
        <w:rPr>
          <w:rFonts w:ascii="Times New Roman" w:hAnsi="Times New Roman" w:cs="Times New Roman"/>
          <w:b/>
          <w:bCs/>
        </w:rPr>
        <w:t>REFERENCES</w:t>
      </w:r>
    </w:p>
    <w:p w14:paraId="5540789E" w14:textId="77777777" w:rsidR="00C66E38" w:rsidRDefault="00981AE8">
      <w:pPr>
        <w:spacing w:after="0" w:line="240" w:lineRule="auto"/>
      </w:pPr>
      <w:r>
        <w:rPr>
          <w:rFonts w:ascii="Times New Roman" w:hAnsi="Times New Roman" w:cs="Times New Roman"/>
        </w:rPr>
        <w:t xml:space="preserve">Abubakar, I., Dalglish, S. L., Angell, B., Sanuade, O., Abimbola, S., Adamu, A. L., Adetifa, I. M. O., Colbourn, T., Ogunlesi, A. O., Onwujekwe, O., Owoaje, E. T., &amp; Okonofua, F. (2022). The Lancet Nigeria Commission: Investing in health and the future of the nation. </w:t>
      </w:r>
      <w:r>
        <w:rPr>
          <w:rFonts w:ascii="Times New Roman" w:hAnsi="Times New Roman" w:cs="Times New Roman"/>
          <w:i/>
          <w:iCs/>
        </w:rPr>
        <w:t>The Lancet</w:t>
      </w:r>
      <w:r>
        <w:rPr>
          <w:rFonts w:ascii="Times New Roman" w:hAnsi="Times New Roman" w:cs="Times New Roman"/>
        </w:rPr>
        <w:t xml:space="preserve">, </w:t>
      </w:r>
      <w:r>
        <w:rPr>
          <w:rFonts w:ascii="Times New Roman" w:hAnsi="Times New Roman" w:cs="Times New Roman"/>
          <w:i/>
          <w:iCs/>
        </w:rPr>
        <w:t>399</w:t>
      </w:r>
      <w:r>
        <w:rPr>
          <w:rFonts w:ascii="Times New Roman" w:hAnsi="Times New Roman" w:cs="Times New Roman"/>
        </w:rPr>
        <w:t xml:space="preserve">(10330), 1155–1200. </w:t>
      </w:r>
      <w:hyperlink r:id="rId13" w:history="1">
        <w:r w:rsidR="00C66E38">
          <w:rPr>
            <w:rStyle w:val="Hyperlink"/>
            <w:rFonts w:ascii="Times New Roman" w:hAnsi="Times New Roman" w:cs="Times New Roman"/>
            <w:color w:val="auto"/>
          </w:rPr>
          <w:t>https://doi.org/10.1016/S0140-6736(21)02488-0</w:t>
        </w:r>
      </w:hyperlink>
    </w:p>
    <w:p w14:paraId="256026E2" w14:textId="77777777" w:rsidR="00C66E38" w:rsidRDefault="00C66E38">
      <w:pPr>
        <w:spacing w:after="0" w:line="240" w:lineRule="auto"/>
        <w:rPr>
          <w:rFonts w:ascii="Times New Roman" w:hAnsi="Times New Roman" w:cs="Times New Roman"/>
        </w:rPr>
      </w:pPr>
    </w:p>
    <w:p w14:paraId="74C06BA3" w14:textId="77777777" w:rsidR="00C66E38" w:rsidRDefault="00981AE8">
      <w:pPr>
        <w:spacing w:after="0" w:line="240" w:lineRule="auto"/>
      </w:pPr>
      <w:r>
        <w:rPr>
          <w:rFonts w:ascii="Times New Roman" w:hAnsi="Times New Roman" w:cs="Times New Roman"/>
        </w:rPr>
        <w:t>Adedini, S. A., Ibisomi, L., &amp; Elufioye, T. O. (2023). Gender dynamics in healthcare access and utilization in Nigeria: A multilevel analysis. </w:t>
      </w:r>
      <w:r>
        <w:rPr>
          <w:rFonts w:ascii="Times New Roman" w:hAnsi="Times New Roman" w:cs="Times New Roman"/>
          <w:i/>
          <w:iCs/>
        </w:rPr>
        <w:t>BMC Health Services Research</w:t>
      </w:r>
      <w:r>
        <w:rPr>
          <w:rFonts w:ascii="Times New Roman" w:hAnsi="Times New Roman" w:cs="Times New Roman"/>
        </w:rPr>
        <w:t>, 23(1), 45-58. </w:t>
      </w:r>
      <w:hyperlink r:id="rId14" w:tgtFrame="_blank" w:history="1">
        <w:r w:rsidR="00C66E38">
          <w:rPr>
            <w:rStyle w:val="Hyperlink"/>
            <w:rFonts w:ascii="Times New Roman" w:hAnsi="Times New Roman" w:cs="Times New Roman"/>
            <w:color w:val="auto"/>
          </w:rPr>
          <w:t>https://doi.org/10.1186/s12913-023-09123-x</w:t>
        </w:r>
      </w:hyperlink>
    </w:p>
    <w:p w14:paraId="14EE4D9E" w14:textId="77777777" w:rsidR="00C66E38" w:rsidRDefault="00C66E38">
      <w:pPr>
        <w:spacing w:after="0" w:line="240" w:lineRule="auto"/>
        <w:rPr>
          <w:rFonts w:ascii="Times New Roman" w:hAnsi="Times New Roman" w:cs="Times New Roman"/>
        </w:rPr>
      </w:pPr>
    </w:p>
    <w:p w14:paraId="1524748D" w14:textId="77777777" w:rsidR="00C66E38" w:rsidRDefault="00981AE8">
      <w:pPr>
        <w:spacing w:after="0" w:line="240" w:lineRule="auto"/>
      </w:pPr>
      <w:r>
        <w:rPr>
          <w:rFonts w:ascii="Times New Roman" w:hAnsi="Times New Roman" w:cs="Times New Roman"/>
        </w:rPr>
        <w:t xml:space="preserve">Adeoye, M. I., Obi, F. A., &amp; Adrion, E. R. (2024). Stakeholder perspectives on the governance and accountability of Nigeria's Basic Health Care Provision Fund. </w:t>
      </w:r>
      <w:r>
        <w:rPr>
          <w:rFonts w:ascii="Times New Roman" w:hAnsi="Times New Roman" w:cs="Times New Roman"/>
          <w:i/>
          <w:iCs/>
        </w:rPr>
        <w:t>Health Policy and Planning</w:t>
      </w:r>
      <w:r>
        <w:rPr>
          <w:rFonts w:ascii="Times New Roman" w:hAnsi="Times New Roman" w:cs="Times New Roman"/>
        </w:rPr>
        <w:t xml:space="preserve">, </w:t>
      </w:r>
      <w:r>
        <w:rPr>
          <w:rFonts w:ascii="Times New Roman" w:hAnsi="Times New Roman" w:cs="Times New Roman"/>
          <w:i/>
          <w:iCs/>
        </w:rPr>
        <w:t>39</w:t>
      </w:r>
      <w:r>
        <w:rPr>
          <w:rFonts w:ascii="Times New Roman" w:hAnsi="Times New Roman" w:cs="Times New Roman"/>
        </w:rPr>
        <w:t xml:space="preserve">(10), 1032–1040. </w:t>
      </w:r>
      <w:hyperlink r:id="rId15" w:history="1">
        <w:r w:rsidR="00C66E38">
          <w:rPr>
            <w:rStyle w:val="Hyperlink"/>
            <w:rFonts w:ascii="Times New Roman" w:hAnsi="Times New Roman" w:cs="Times New Roman"/>
            <w:color w:val="auto"/>
          </w:rPr>
          <w:t>https://doi.org/10.1093/heapol/czae082</w:t>
        </w:r>
      </w:hyperlink>
    </w:p>
    <w:p w14:paraId="32980A02" w14:textId="77777777" w:rsidR="00C66E38" w:rsidRDefault="00C66E38">
      <w:pPr>
        <w:spacing w:after="0" w:line="240" w:lineRule="auto"/>
        <w:rPr>
          <w:rFonts w:ascii="Times New Roman" w:hAnsi="Times New Roman" w:cs="Times New Roman"/>
        </w:rPr>
      </w:pPr>
    </w:p>
    <w:p w14:paraId="0DC4BED4" w14:textId="77777777" w:rsidR="00C66E38" w:rsidRDefault="00981AE8">
      <w:pPr>
        <w:spacing w:after="0" w:line="240" w:lineRule="auto"/>
      </w:pPr>
      <w:r>
        <w:rPr>
          <w:rFonts w:ascii="Times New Roman" w:hAnsi="Times New Roman" w:cs="Times New Roman"/>
        </w:rPr>
        <w:t xml:space="preserve">Adewole, D. A., Bello, S., Okunola, O. O., &amp; Owoaje, E. T. (2021). Basic Health Care Provision Fund Project implementation: An assessment of a selected technical skill among mid-level managers of a performance-based financing scheme in Southwest Nigeria. </w:t>
      </w:r>
      <w:r>
        <w:rPr>
          <w:rFonts w:ascii="Times New Roman" w:hAnsi="Times New Roman" w:cs="Times New Roman"/>
          <w:i/>
          <w:iCs/>
        </w:rPr>
        <w:t>Nigerian Journal of Medicine</w:t>
      </w:r>
      <w:r>
        <w:rPr>
          <w:rFonts w:ascii="Times New Roman" w:hAnsi="Times New Roman" w:cs="Times New Roman"/>
        </w:rPr>
        <w:t xml:space="preserve">, </w:t>
      </w:r>
      <w:r>
        <w:rPr>
          <w:rFonts w:ascii="Times New Roman" w:hAnsi="Times New Roman" w:cs="Times New Roman"/>
          <w:i/>
          <w:iCs/>
        </w:rPr>
        <w:t>30</w:t>
      </w:r>
      <w:r>
        <w:rPr>
          <w:rFonts w:ascii="Times New Roman" w:hAnsi="Times New Roman" w:cs="Times New Roman"/>
        </w:rPr>
        <w:t xml:space="preserve">(4), 470–475. </w:t>
      </w:r>
      <w:hyperlink r:id="rId16" w:history="1">
        <w:r w:rsidR="00C66E38">
          <w:rPr>
            <w:rStyle w:val="Hyperlink"/>
            <w:rFonts w:ascii="Times New Roman" w:hAnsi="Times New Roman" w:cs="Times New Roman"/>
            <w:color w:val="auto"/>
          </w:rPr>
          <w:t>https://doi.org/10.4103/NJM.NJM_37_21</w:t>
        </w:r>
      </w:hyperlink>
    </w:p>
    <w:p w14:paraId="4FD98529" w14:textId="77777777" w:rsidR="00C66E38" w:rsidRDefault="00C66E38">
      <w:pPr>
        <w:spacing w:after="0" w:line="240" w:lineRule="auto"/>
        <w:rPr>
          <w:rFonts w:ascii="Times New Roman" w:hAnsi="Times New Roman" w:cs="Times New Roman"/>
        </w:rPr>
      </w:pPr>
    </w:p>
    <w:p w14:paraId="66D64DEF" w14:textId="77777777" w:rsidR="00C66E38" w:rsidRDefault="00981AE8">
      <w:pPr>
        <w:spacing w:after="0" w:line="240" w:lineRule="auto"/>
      </w:pPr>
      <w:r>
        <w:rPr>
          <w:rFonts w:ascii="Times New Roman" w:hAnsi="Times New Roman" w:cs="Times New Roman"/>
        </w:rPr>
        <w:t xml:space="preserve">Alawode, G., Adewoyin, A. B., Abdulsalam, A. O., Ilika, F., Chukwu, C., &amp; Mohammed, Z. (2022). The political economy of the design of the Basic Health Care Provision Fund (RIVCHPP) in Nigeria: A retrospective analysis for prospective action. </w:t>
      </w:r>
      <w:r>
        <w:rPr>
          <w:rFonts w:ascii="Times New Roman" w:hAnsi="Times New Roman" w:cs="Times New Roman"/>
          <w:i/>
          <w:iCs/>
        </w:rPr>
        <w:t>Health Systems &amp; Reform</w:t>
      </w:r>
      <w:r>
        <w:rPr>
          <w:rFonts w:ascii="Times New Roman" w:hAnsi="Times New Roman" w:cs="Times New Roman"/>
        </w:rPr>
        <w:t xml:space="preserve">, </w:t>
      </w:r>
      <w:r>
        <w:rPr>
          <w:rFonts w:ascii="Times New Roman" w:hAnsi="Times New Roman" w:cs="Times New Roman"/>
          <w:i/>
          <w:iCs/>
        </w:rPr>
        <w:t>8</w:t>
      </w:r>
      <w:r>
        <w:rPr>
          <w:rFonts w:ascii="Times New Roman" w:hAnsi="Times New Roman" w:cs="Times New Roman"/>
        </w:rPr>
        <w:t xml:space="preserve">(1), e2124601. </w:t>
      </w:r>
      <w:hyperlink r:id="rId17" w:history="1">
        <w:r w:rsidR="00C66E38">
          <w:rPr>
            <w:rStyle w:val="Hyperlink"/>
            <w:rFonts w:ascii="Times New Roman" w:hAnsi="Times New Roman" w:cs="Times New Roman"/>
            <w:color w:val="auto"/>
          </w:rPr>
          <w:t>https://doi.org/10.1080/23288604.2022.2124601</w:t>
        </w:r>
      </w:hyperlink>
    </w:p>
    <w:p w14:paraId="4678B413" w14:textId="77777777" w:rsidR="00C66E38" w:rsidRDefault="00C66E38">
      <w:pPr>
        <w:spacing w:after="0" w:line="240" w:lineRule="auto"/>
        <w:rPr>
          <w:rFonts w:ascii="Times New Roman" w:hAnsi="Times New Roman" w:cs="Times New Roman"/>
        </w:rPr>
      </w:pPr>
    </w:p>
    <w:p w14:paraId="1FA1061C" w14:textId="77777777" w:rsidR="00C66E38" w:rsidRDefault="00981AE8">
      <w:pPr>
        <w:spacing w:after="0" w:line="240" w:lineRule="auto"/>
      </w:pPr>
      <w:r>
        <w:rPr>
          <w:rFonts w:ascii="Times New Roman" w:hAnsi="Times New Roman" w:cs="Times New Roman"/>
        </w:rPr>
        <w:t xml:space="preserve">Aregbeshola, B. S., &amp; Khan, S. M. (2021). Out-of-pocket health-care spending and its determinants among households in Nigeria: A national study. </w:t>
      </w:r>
      <w:r>
        <w:rPr>
          <w:rFonts w:ascii="Times New Roman" w:hAnsi="Times New Roman" w:cs="Times New Roman"/>
          <w:i/>
          <w:iCs/>
        </w:rPr>
        <w:t>Journal of Public Health</w:t>
      </w:r>
      <w:r>
        <w:rPr>
          <w:rFonts w:ascii="Times New Roman" w:hAnsi="Times New Roman" w:cs="Times New Roman"/>
        </w:rPr>
        <w:t xml:space="preserve">, </w:t>
      </w:r>
      <w:r>
        <w:rPr>
          <w:rFonts w:ascii="Times New Roman" w:hAnsi="Times New Roman" w:cs="Times New Roman"/>
          <w:i/>
          <w:iCs/>
        </w:rPr>
        <w:t>29</w:t>
      </w:r>
      <w:r>
        <w:rPr>
          <w:rFonts w:ascii="Times New Roman" w:hAnsi="Times New Roman" w:cs="Times New Roman"/>
        </w:rPr>
        <w:t xml:space="preserve">(4), 931–942. </w:t>
      </w:r>
      <w:hyperlink r:id="rId18" w:history="1">
        <w:r w:rsidR="00C66E38">
          <w:rPr>
            <w:rStyle w:val="Hyperlink"/>
            <w:rFonts w:ascii="Times New Roman" w:hAnsi="Times New Roman" w:cs="Times New Roman"/>
            <w:color w:val="auto"/>
          </w:rPr>
          <w:t>https://doi.org/10.1007/s10389-020-01214-w</w:t>
        </w:r>
      </w:hyperlink>
    </w:p>
    <w:p w14:paraId="7F742567" w14:textId="77777777" w:rsidR="00C66E38" w:rsidRDefault="00C66E38">
      <w:pPr>
        <w:spacing w:after="0" w:line="240" w:lineRule="auto"/>
        <w:rPr>
          <w:rFonts w:ascii="Times New Roman" w:hAnsi="Times New Roman" w:cs="Times New Roman"/>
        </w:rPr>
      </w:pPr>
    </w:p>
    <w:p w14:paraId="25CBDA54" w14:textId="77777777" w:rsidR="00C66E38" w:rsidRDefault="00981AE8">
      <w:pPr>
        <w:spacing w:after="0" w:line="240" w:lineRule="auto"/>
      </w:pPr>
      <w:r>
        <w:rPr>
          <w:rFonts w:ascii="Times New Roman" w:hAnsi="Times New Roman" w:cs="Times New Roman"/>
        </w:rPr>
        <w:t xml:space="preserve">Biegon, J. (2020, April 19). 19 years ago today, African countries vowed to spend 15% on health. </w:t>
      </w:r>
      <w:r>
        <w:rPr>
          <w:rFonts w:ascii="Times New Roman" w:hAnsi="Times New Roman" w:cs="Times New Roman"/>
          <w:i/>
          <w:iCs/>
        </w:rPr>
        <w:t>African Arguments</w:t>
      </w:r>
      <w:r>
        <w:rPr>
          <w:rFonts w:ascii="Times New Roman" w:hAnsi="Times New Roman" w:cs="Times New Roman"/>
        </w:rPr>
        <w:t xml:space="preserve">. </w:t>
      </w:r>
      <w:hyperlink r:id="rId19" w:history="1">
        <w:r w:rsidR="00C66E38">
          <w:rPr>
            <w:rStyle w:val="Hyperlink"/>
            <w:rFonts w:ascii="Times New Roman" w:hAnsi="Times New Roman" w:cs="Times New Roman"/>
            <w:color w:val="auto"/>
          </w:rPr>
          <w:t>https://africanarguments.org/2020/04/19-years-africa-15-health-abuja-declaration/</w:t>
        </w:r>
      </w:hyperlink>
    </w:p>
    <w:p w14:paraId="18839060" w14:textId="77777777" w:rsidR="00C66E38" w:rsidRDefault="00C66E38">
      <w:pPr>
        <w:spacing w:after="0" w:line="240" w:lineRule="auto"/>
        <w:rPr>
          <w:rFonts w:ascii="Times New Roman" w:hAnsi="Times New Roman" w:cs="Times New Roman"/>
        </w:rPr>
      </w:pPr>
    </w:p>
    <w:p w14:paraId="0A466DC6" w14:textId="77777777" w:rsidR="00C66E38" w:rsidRDefault="00981AE8">
      <w:pPr>
        <w:spacing w:after="0" w:line="240" w:lineRule="auto"/>
      </w:pPr>
      <w:r>
        <w:rPr>
          <w:rFonts w:ascii="Times New Roman" w:hAnsi="Times New Roman" w:cs="Times New Roman"/>
        </w:rPr>
        <w:lastRenderedPageBreak/>
        <w:t xml:space="preserve">Chukwuma, J. N. (2023). Implementing health policy in Nigeria: The Basic Health Care Provision Fund as a catalyst for achieving Universal Health Coverage? </w:t>
      </w:r>
      <w:r>
        <w:rPr>
          <w:rFonts w:ascii="Times New Roman" w:hAnsi="Times New Roman" w:cs="Times New Roman"/>
          <w:i/>
          <w:iCs/>
        </w:rPr>
        <w:t>Development and Change</w:t>
      </w:r>
      <w:r>
        <w:rPr>
          <w:rFonts w:ascii="Times New Roman" w:hAnsi="Times New Roman" w:cs="Times New Roman"/>
        </w:rPr>
        <w:t xml:space="preserve">, </w:t>
      </w:r>
      <w:r>
        <w:rPr>
          <w:rFonts w:ascii="Times New Roman" w:hAnsi="Times New Roman" w:cs="Times New Roman"/>
          <w:i/>
          <w:iCs/>
        </w:rPr>
        <w:t>54</w:t>
      </w:r>
      <w:r>
        <w:rPr>
          <w:rFonts w:ascii="Times New Roman" w:hAnsi="Times New Roman" w:cs="Times New Roman"/>
        </w:rPr>
        <w:t xml:space="preserve">(6), 1480–1503. </w:t>
      </w:r>
      <w:hyperlink r:id="rId20" w:history="1">
        <w:r w:rsidR="00C66E38">
          <w:rPr>
            <w:rStyle w:val="Hyperlink"/>
            <w:rFonts w:ascii="Times New Roman" w:hAnsi="Times New Roman" w:cs="Times New Roman"/>
            <w:color w:val="auto"/>
          </w:rPr>
          <w:t>https://doi.org/10.1111/dech.12808</w:t>
        </w:r>
      </w:hyperlink>
    </w:p>
    <w:p w14:paraId="4AEDEF90" w14:textId="77777777" w:rsidR="00C66E38" w:rsidRDefault="00C66E38">
      <w:pPr>
        <w:spacing w:after="0" w:line="240" w:lineRule="auto"/>
        <w:rPr>
          <w:rFonts w:ascii="Times New Roman" w:hAnsi="Times New Roman" w:cs="Times New Roman"/>
        </w:rPr>
      </w:pPr>
    </w:p>
    <w:p w14:paraId="250C4EB7" w14:textId="77777777" w:rsidR="00C66E38" w:rsidRDefault="00981AE8">
      <w:pPr>
        <w:spacing w:after="0" w:line="240" w:lineRule="auto"/>
        <w:rPr>
          <w:rFonts w:ascii="Times New Roman" w:hAnsi="Times New Roman" w:cs="Times New Roman"/>
        </w:rPr>
      </w:pPr>
      <w:r>
        <w:rPr>
          <w:rFonts w:ascii="Times New Roman" w:hAnsi="Times New Roman" w:cs="Times New Roman"/>
        </w:rPr>
        <w:t xml:space="preserve">Ehimare, A., Olagunju, F. A., Akinwumi, A. I., Adeagbo, O. Y., Akinleye, R. O., Aderinwale, D. A., &amp; Atolagbe, J. (2023). Effects of utilisation of Basic Health Care Provision Fund on service delivery in primary health centres in Osun State. </w:t>
      </w:r>
      <w:r>
        <w:rPr>
          <w:rFonts w:ascii="Times New Roman" w:hAnsi="Times New Roman" w:cs="Times New Roman"/>
          <w:i/>
          <w:iCs/>
        </w:rPr>
        <w:t>International Journal of Community Medicine and Public Health</w:t>
      </w:r>
      <w:r>
        <w:rPr>
          <w:rFonts w:ascii="Times New Roman" w:hAnsi="Times New Roman" w:cs="Times New Roman"/>
        </w:rPr>
        <w:t xml:space="preserve">, </w:t>
      </w:r>
      <w:r>
        <w:rPr>
          <w:rFonts w:ascii="Times New Roman" w:hAnsi="Times New Roman" w:cs="Times New Roman"/>
          <w:i/>
          <w:iCs/>
        </w:rPr>
        <w:t>10</w:t>
      </w:r>
      <w:r>
        <w:rPr>
          <w:rFonts w:ascii="Times New Roman" w:hAnsi="Times New Roman" w:cs="Times New Roman"/>
        </w:rPr>
        <w:t xml:space="preserve">(11), 4025–4032. </w:t>
      </w:r>
      <w:hyperlink r:id="rId21" w:history="1">
        <w:r w:rsidR="00C66E38">
          <w:rPr>
            <w:rStyle w:val="Hyperlink"/>
            <w:rFonts w:ascii="Times New Roman" w:hAnsi="Times New Roman" w:cs="Times New Roman"/>
            <w:color w:val="auto"/>
          </w:rPr>
          <w:t>https://doi.org/10.18203/2394-6040.ijcmph20233425</w:t>
        </w:r>
      </w:hyperlink>
    </w:p>
    <w:p w14:paraId="64348F6E" w14:textId="77777777" w:rsidR="00C66E38" w:rsidRDefault="00981AE8">
      <w:pPr>
        <w:spacing w:after="0" w:line="240" w:lineRule="auto"/>
        <w:rPr>
          <w:rFonts w:ascii="Times New Roman" w:hAnsi="Times New Roman" w:cs="Times New Roman"/>
        </w:rPr>
      </w:pPr>
      <w:r w:rsidRPr="00512AA6">
        <w:rPr>
          <w:rFonts w:ascii="Times New Roman" w:hAnsi="Times New Roman" w:cs="Times New Roman"/>
          <w:lang w:val="es-US"/>
        </w:rPr>
        <w:t xml:space="preserve">Esomonu, S., Gadzama, A., &amp; Isah, Y. (2022). </w:t>
      </w:r>
      <w:r>
        <w:rPr>
          <w:rFonts w:ascii="Times New Roman" w:hAnsi="Times New Roman" w:cs="Times New Roman"/>
        </w:rPr>
        <w:t>Basic Health Care Provision Fund Scheme: Assessment of Clients’ Satisfaction at Primary Health Care Facilities after Two Years of Implementation in Nigeria’s Federal Capital Territory. </w:t>
      </w:r>
      <w:r>
        <w:rPr>
          <w:rFonts w:ascii="Times New Roman" w:hAnsi="Times New Roman" w:cs="Times New Roman"/>
          <w:i/>
          <w:iCs/>
        </w:rPr>
        <w:t>Journal of Epidemiological Society of Nigeria</w:t>
      </w:r>
      <w:r>
        <w:rPr>
          <w:rFonts w:ascii="Times New Roman" w:hAnsi="Times New Roman" w:cs="Times New Roman"/>
        </w:rPr>
        <w:t>, </w:t>
      </w:r>
      <w:r>
        <w:rPr>
          <w:rFonts w:ascii="Times New Roman" w:hAnsi="Times New Roman" w:cs="Times New Roman"/>
          <w:i/>
          <w:iCs/>
        </w:rPr>
        <w:t>5</w:t>
      </w:r>
      <w:r>
        <w:rPr>
          <w:rFonts w:ascii="Times New Roman" w:hAnsi="Times New Roman" w:cs="Times New Roman"/>
        </w:rPr>
        <w:t xml:space="preserve">(1), 11–21. </w:t>
      </w:r>
      <w:hyperlink r:id="rId22" w:history="1">
        <w:r w:rsidR="00C66E38">
          <w:rPr>
            <w:rStyle w:val="Hyperlink"/>
            <w:rFonts w:ascii="Times New Roman" w:hAnsi="Times New Roman" w:cs="Times New Roman"/>
            <w:color w:val="auto"/>
          </w:rPr>
          <w:t>https://doi.org/10.5281/zenodo.7046813</w:t>
        </w:r>
      </w:hyperlink>
    </w:p>
    <w:p w14:paraId="4F6F5DB4" w14:textId="77777777" w:rsidR="00C66E38" w:rsidRDefault="00C66E38">
      <w:pPr>
        <w:spacing w:after="0" w:line="240" w:lineRule="auto"/>
        <w:rPr>
          <w:rFonts w:ascii="Times New Roman" w:hAnsi="Times New Roman" w:cs="Times New Roman"/>
        </w:rPr>
      </w:pPr>
    </w:p>
    <w:p w14:paraId="7E6AAE0F" w14:textId="77777777" w:rsidR="00C66E38" w:rsidRDefault="00981AE8">
      <w:pPr>
        <w:spacing w:after="0" w:line="240" w:lineRule="auto"/>
        <w:rPr>
          <w:rFonts w:ascii="Times New Roman" w:hAnsi="Times New Roman" w:cs="Times New Roman"/>
        </w:rPr>
      </w:pPr>
      <w:r>
        <w:rPr>
          <w:rFonts w:ascii="Times New Roman" w:hAnsi="Times New Roman" w:cs="Times New Roman"/>
        </w:rPr>
        <w:t>Ewelike, U. E., Abubakar, K., Onwujekwe, O., Obikeze, E., Ogbu, K., &amp; Eberendu, I. F. (2021). Novel basic health care provision fund in Nigeria: Can workforce for service delivery improve? </w:t>
      </w:r>
      <w:r>
        <w:rPr>
          <w:rFonts w:ascii="Times New Roman" w:hAnsi="Times New Roman" w:cs="Times New Roman"/>
          <w:i/>
          <w:iCs/>
        </w:rPr>
        <w:t>Quantum Journal of Medical and Health Sciences</w:t>
      </w:r>
      <w:r>
        <w:rPr>
          <w:rFonts w:ascii="Times New Roman" w:hAnsi="Times New Roman" w:cs="Times New Roman"/>
        </w:rPr>
        <w:t>, </w:t>
      </w:r>
      <w:r>
        <w:rPr>
          <w:rFonts w:ascii="Times New Roman" w:hAnsi="Times New Roman" w:cs="Times New Roman"/>
          <w:i/>
          <w:iCs/>
        </w:rPr>
        <w:t>1</w:t>
      </w:r>
      <w:r>
        <w:rPr>
          <w:rFonts w:ascii="Times New Roman" w:hAnsi="Times New Roman" w:cs="Times New Roman"/>
        </w:rPr>
        <w:t xml:space="preserve">(5), 27–35. Retrieved from </w:t>
      </w:r>
      <w:hyperlink r:id="rId23" w:history="1">
        <w:r w:rsidR="00C66E38">
          <w:rPr>
            <w:rStyle w:val="Hyperlink"/>
            <w:rFonts w:ascii="Times New Roman" w:hAnsi="Times New Roman" w:cs="Times New Roman"/>
            <w:color w:val="auto"/>
          </w:rPr>
          <w:t>https://qjmhs.com/index.php/qjmhs/article/view/28</w:t>
        </w:r>
      </w:hyperlink>
    </w:p>
    <w:p w14:paraId="5DA47653" w14:textId="77777777" w:rsidR="00C66E38" w:rsidRDefault="00C66E38">
      <w:pPr>
        <w:spacing w:after="0" w:line="240" w:lineRule="auto"/>
        <w:rPr>
          <w:rFonts w:ascii="Times New Roman" w:hAnsi="Times New Roman" w:cs="Times New Roman"/>
        </w:rPr>
      </w:pPr>
    </w:p>
    <w:p w14:paraId="095C382E" w14:textId="77777777" w:rsidR="00C66E38" w:rsidRDefault="00981AE8">
      <w:pPr>
        <w:spacing w:after="0" w:line="240" w:lineRule="auto"/>
        <w:rPr>
          <w:rFonts w:ascii="Times New Roman" w:hAnsi="Times New Roman" w:cs="Times New Roman"/>
        </w:rPr>
      </w:pPr>
      <w:r>
        <w:rPr>
          <w:rFonts w:ascii="Times New Roman" w:hAnsi="Times New Roman" w:cs="Times New Roman"/>
        </w:rPr>
        <w:t>Fabong, J. Y., Fabong, H. A. M., &amp; Igboechesi, G. P. (2023). A review of basic health care provision fund (BHCF) and primary health care assessment in plateau state. </w:t>
      </w:r>
      <w:r>
        <w:rPr>
          <w:rFonts w:ascii="Times New Roman" w:hAnsi="Times New Roman" w:cs="Times New Roman"/>
          <w:i/>
          <w:iCs/>
        </w:rPr>
        <w:t>International Journal of Health and Psychology Research</w:t>
      </w:r>
      <w:r>
        <w:rPr>
          <w:rFonts w:ascii="Times New Roman" w:hAnsi="Times New Roman" w:cs="Times New Roman"/>
        </w:rPr>
        <w:t>, </w:t>
      </w:r>
      <w:r>
        <w:rPr>
          <w:rFonts w:ascii="Times New Roman" w:hAnsi="Times New Roman" w:cs="Times New Roman"/>
          <w:i/>
          <w:iCs/>
        </w:rPr>
        <w:t>11</w:t>
      </w:r>
      <w:r>
        <w:rPr>
          <w:rFonts w:ascii="Times New Roman" w:hAnsi="Times New Roman" w:cs="Times New Roman"/>
        </w:rPr>
        <w:t>(2), 55. Retrieved from https://eajournals.org/ijhpr/vol11-issue-2-2023/a-review-of-basic-health-care-provision-fund-bhcf-and-primary-health-care-assessment-in-plateau-state/</w:t>
      </w:r>
    </w:p>
    <w:p w14:paraId="31E3F103" w14:textId="77777777" w:rsidR="00C66E38" w:rsidRDefault="00981AE8">
      <w:pPr>
        <w:spacing w:after="0" w:line="240" w:lineRule="auto"/>
        <w:rPr>
          <w:rFonts w:ascii="Times New Roman" w:hAnsi="Times New Roman" w:cs="Times New Roman"/>
        </w:rPr>
      </w:pPr>
      <w:r>
        <w:rPr>
          <w:rFonts w:ascii="Times New Roman" w:hAnsi="Times New Roman" w:cs="Times New Roman"/>
        </w:rPr>
        <w:t xml:space="preserve">Federal Republic of Nigeria. (2014). </w:t>
      </w:r>
      <w:r>
        <w:rPr>
          <w:rFonts w:ascii="Times New Roman" w:hAnsi="Times New Roman" w:cs="Times New Roman"/>
          <w:i/>
          <w:iCs/>
        </w:rPr>
        <w:t>Official Gazette of the National Health Act</w:t>
      </w:r>
      <w:r>
        <w:rPr>
          <w:rFonts w:ascii="Times New Roman" w:hAnsi="Times New Roman" w:cs="Times New Roman"/>
        </w:rPr>
        <w:t>. Federal Government Printer.</w:t>
      </w:r>
    </w:p>
    <w:p w14:paraId="10A1D1B1" w14:textId="77777777" w:rsidR="00C66E38" w:rsidRDefault="00C66E38">
      <w:pPr>
        <w:spacing w:after="0" w:line="240" w:lineRule="auto"/>
        <w:rPr>
          <w:rFonts w:ascii="Times New Roman" w:hAnsi="Times New Roman" w:cs="Times New Roman"/>
        </w:rPr>
      </w:pPr>
    </w:p>
    <w:p w14:paraId="2AF61F5C" w14:textId="77777777" w:rsidR="00C66E38" w:rsidRDefault="00981AE8">
      <w:pPr>
        <w:spacing w:after="0" w:line="240" w:lineRule="auto"/>
        <w:rPr>
          <w:rFonts w:ascii="Times New Roman" w:hAnsi="Times New Roman" w:cs="Times New Roman"/>
        </w:rPr>
      </w:pPr>
      <w:r>
        <w:rPr>
          <w:rFonts w:ascii="Times New Roman" w:hAnsi="Times New Roman" w:cs="Times New Roman"/>
        </w:rPr>
        <w:t>Federal Republic of Nigeria. (2014). </w:t>
      </w:r>
      <w:r>
        <w:rPr>
          <w:rFonts w:ascii="Times New Roman" w:hAnsi="Times New Roman" w:cs="Times New Roman"/>
          <w:i/>
          <w:iCs/>
        </w:rPr>
        <w:t>National Health Act, 2014</w:t>
      </w:r>
      <w:r>
        <w:rPr>
          <w:rFonts w:ascii="Times New Roman" w:hAnsi="Times New Roman" w:cs="Times New Roman"/>
        </w:rPr>
        <w:t>. Federal Government Printer.</w:t>
      </w:r>
    </w:p>
    <w:p w14:paraId="3F1DDEC5" w14:textId="77777777" w:rsidR="00C66E38" w:rsidRDefault="00981AE8">
      <w:pPr>
        <w:spacing w:after="0" w:line="240" w:lineRule="auto"/>
      </w:pPr>
      <w:r>
        <w:rPr>
          <w:rFonts w:ascii="Times New Roman" w:hAnsi="Times New Roman" w:cs="Times New Roman"/>
        </w:rPr>
        <w:t>Ibrahim, M. S., Danbatta, A. H., &amp; Olorunsaiye, C. Z. (2023). Healthcare workers' perspectives on the operationalization of the Basic Health Care Provision Fund in Kano State, Nigeria. </w:t>
      </w:r>
      <w:r>
        <w:rPr>
          <w:rFonts w:ascii="Times New Roman" w:hAnsi="Times New Roman" w:cs="Times New Roman"/>
          <w:i/>
          <w:iCs/>
        </w:rPr>
        <w:t>Journal of Public Health in Africa</w:t>
      </w:r>
      <w:r>
        <w:rPr>
          <w:rFonts w:ascii="Times New Roman" w:hAnsi="Times New Roman" w:cs="Times New Roman"/>
        </w:rPr>
        <w:t>, 14(2), 205-212. </w:t>
      </w:r>
      <w:hyperlink r:id="rId24" w:tgtFrame="_blank" w:history="1">
        <w:r w:rsidR="00C66E38">
          <w:rPr>
            <w:rStyle w:val="Hyperlink"/>
            <w:rFonts w:ascii="Times New Roman" w:hAnsi="Times New Roman" w:cs="Times New Roman"/>
            <w:color w:val="auto"/>
          </w:rPr>
          <w:t>https://doi.org/10.4081/jphia.2023.2345</w:t>
        </w:r>
      </w:hyperlink>
    </w:p>
    <w:p w14:paraId="77F7F6F1" w14:textId="77777777" w:rsidR="00C66E38" w:rsidRDefault="00C66E38">
      <w:pPr>
        <w:spacing w:after="0" w:line="240" w:lineRule="auto"/>
        <w:rPr>
          <w:rFonts w:ascii="Times New Roman" w:hAnsi="Times New Roman" w:cs="Times New Roman"/>
        </w:rPr>
      </w:pPr>
    </w:p>
    <w:p w14:paraId="7EC97169" w14:textId="77777777" w:rsidR="00C66E38" w:rsidRDefault="00981AE8">
      <w:pPr>
        <w:spacing w:after="0" w:line="240" w:lineRule="auto"/>
      </w:pPr>
      <w:r>
        <w:rPr>
          <w:rFonts w:ascii="Times New Roman" w:hAnsi="Times New Roman" w:cs="Times New Roman"/>
        </w:rPr>
        <w:t xml:space="preserve">Ibrahim, Z. A., Konlan, K. D., Moonsoo, Y., Kwetishe, P., Ryu, J., Ro, D. S., &amp; Kim, S. Y. (2023). Influence of Basic Health Care Provision Fund in improving Primary Health Care in Kano state, a descriptive cross-sectional study. </w:t>
      </w:r>
      <w:r>
        <w:rPr>
          <w:rFonts w:ascii="Times New Roman" w:hAnsi="Times New Roman" w:cs="Times New Roman"/>
          <w:i/>
          <w:iCs/>
        </w:rPr>
        <w:t>BMC Health Services Research</w:t>
      </w:r>
      <w:r>
        <w:rPr>
          <w:rFonts w:ascii="Times New Roman" w:hAnsi="Times New Roman" w:cs="Times New Roman"/>
        </w:rPr>
        <w:t xml:space="preserve">, </w:t>
      </w:r>
      <w:r>
        <w:rPr>
          <w:rFonts w:ascii="Times New Roman" w:hAnsi="Times New Roman" w:cs="Times New Roman"/>
          <w:i/>
          <w:iCs/>
        </w:rPr>
        <w:t>23</w:t>
      </w:r>
      <w:r>
        <w:rPr>
          <w:rFonts w:ascii="Times New Roman" w:hAnsi="Times New Roman" w:cs="Times New Roman"/>
        </w:rPr>
        <w:t xml:space="preserve">(1), 885. </w:t>
      </w:r>
      <w:hyperlink r:id="rId25" w:history="1">
        <w:r w:rsidR="00C66E38">
          <w:rPr>
            <w:rStyle w:val="Hyperlink"/>
            <w:rFonts w:ascii="Times New Roman" w:hAnsi="Times New Roman" w:cs="Times New Roman"/>
            <w:color w:val="auto"/>
          </w:rPr>
          <w:t>https://doi.org/10.1186/s12913-023-09708-w</w:t>
        </w:r>
      </w:hyperlink>
    </w:p>
    <w:p w14:paraId="1110BEB6" w14:textId="77777777" w:rsidR="00C66E38" w:rsidRDefault="00C66E38">
      <w:pPr>
        <w:spacing w:after="0" w:line="240" w:lineRule="auto"/>
        <w:rPr>
          <w:rFonts w:ascii="Times New Roman" w:hAnsi="Times New Roman" w:cs="Times New Roman"/>
        </w:rPr>
      </w:pPr>
    </w:p>
    <w:p w14:paraId="4A70FF71" w14:textId="77777777" w:rsidR="00C66E38" w:rsidRDefault="00981AE8">
      <w:pPr>
        <w:spacing w:after="0" w:line="240" w:lineRule="auto"/>
      </w:pPr>
      <w:r>
        <w:rPr>
          <w:rFonts w:ascii="Times New Roman" w:hAnsi="Times New Roman" w:cs="Times New Roman"/>
        </w:rPr>
        <w:t>Igbokwe, U., Agada, P., &amp; Otokpa, D. (2024). Decentralization and health system performance: Assessing the Basic Health Care Provision Fund in Northern Nigeria. </w:t>
      </w:r>
      <w:r>
        <w:rPr>
          <w:rFonts w:ascii="Times New Roman" w:hAnsi="Times New Roman" w:cs="Times New Roman"/>
          <w:i/>
          <w:iCs/>
        </w:rPr>
        <w:t>International Journal of Health Planning and Management</w:t>
      </w:r>
      <w:r>
        <w:rPr>
          <w:rFonts w:ascii="Times New Roman" w:hAnsi="Times New Roman" w:cs="Times New Roman"/>
        </w:rPr>
        <w:t>, 39(1), 89-104. </w:t>
      </w:r>
      <w:hyperlink r:id="rId26" w:tgtFrame="_blank" w:history="1">
        <w:r w:rsidR="00C66E38">
          <w:rPr>
            <w:rStyle w:val="Hyperlink"/>
            <w:rFonts w:ascii="Times New Roman" w:hAnsi="Times New Roman" w:cs="Times New Roman"/>
            <w:color w:val="auto"/>
          </w:rPr>
          <w:t>https://doi.org/10.1002/hpm.3765</w:t>
        </w:r>
      </w:hyperlink>
    </w:p>
    <w:p w14:paraId="6C047C26" w14:textId="77777777" w:rsidR="00C66E38" w:rsidRDefault="00C66E38">
      <w:pPr>
        <w:spacing w:after="0" w:line="240" w:lineRule="auto"/>
        <w:rPr>
          <w:rFonts w:ascii="Times New Roman" w:hAnsi="Times New Roman" w:cs="Times New Roman"/>
        </w:rPr>
      </w:pPr>
    </w:p>
    <w:p w14:paraId="031B9F71" w14:textId="77777777" w:rsidR="00C66E38" w:rsidRDefault="00981AE8">
      <w:pPr>
        <w:spacing w:after="0" w:line="240" w:lineRule="auto"/>
        <w:rPr>
          <w:rFonts w:ascii="Times New Roman" w:hAnsi="Times New Roman" w:cs="Times New Roman"/>
        </w:rPr>
      </w:pPr>
      <w:r>
        <w:rPr>
          <w:rFonts w:ascii="Times New Roman" w:hAnsi="Times New Roman" w:cs="Times New Roman"/>
        </w:rPr>
        <w:t xml:space="preserve">Igbokwe, U., Ibrahim, R., Aina, M., Umar, M., Salihu, M., Omoregie, E., Sadiq, F. U., Obonyo, B., Muhammad, R., Isah, S. I., Joseph, N., Wakil, B., Tijjani, F., Ibrahim, A., Yahaya, M. N., &amp; Aigbogun, E. Jr. (2024). Evaluating the implementation of the National Primary Health Care Development Agency (NPHCDA) gateway for the Basic Healthcare Provision Fund (RIVCHPP) across six Northern states in Nigeria. </w:t>
      </w:r>
      <w:r>
        <w:rPr>
          <w:rFonts w:ascii="Times New Roman" w:hAnsi="Times New Roman" w:cs="Times New Roman"/>
          <w:i/>
          <w:iCs/>
        </w:rPr>
        <w:t>BMC Health Services Research</w:t>
      </w:r>
      <w:r>
        <w:rPr>
          <w:rFonts w:ascii="Times New Roman" w:hAnsi="Times New Roman" w:cs="Times New Roman"/>
        </w:rPr>
        <w:t xml:space="preserve">, </w:t>
      </w:r>
      <w:r>
        <w:rPr>
          <w:rFonts w:ascii="Times New Roman" w:hAnsi="Times New Roman" w:cs="Times New Roman"/>
          <w:i/>
          <w:iCs/>
        </w:rPr>
        <w:t>24</w:t>
      </w:r>
      <w:r>
        <w:rPr>
          <w:rFonts w:ascii="Times New Roman" w:hAnsi="Times New Roman" w:cs="Times New Roman"/>
        </w:rPr>
        <w:t>(1), 1404.</w:t>
      </w:r>
    </w:p>
    <w:p w14:paraId="55C0593D" w14:textId="77777777" w:rsidR="00C66E38" w:rsidRDefault="00C66E38">
      <w:pPr>
        <w:spacing w:after="0" w:line="240" w:lineRule="auto"/>
        <w:rPr>
          <w:rFonts w:ascii="Times New Roman" w:hAnsi="Times New Roman" w:cs="Times New Roman"/>
        </w:rPr>
      </w:pPr>
    </w:p>
    <w:p w14:paraId="4F2C52ED" w14:textId="77777777" w:rsidR="00C66E38" w:rsidRDefault="00981AE8">
      <w:pPr>
        <w:spacing w:after="0" w:line="240" w:lineRule="auto"/>
      </w:pPr>
      <w:r>
        <w:rPr>
          <w:rFonts w:ascii="Times New Roman" w:hAnsi="Times New Roman" w:cs="Times New Roman"/>
        </w:rPr>
        <w:lastRenderedPageBreak/>
        <w:t>Kress, D. H., Su, Y., &amp; Wang, H. (2023). Assessment of primary health care system performance in Nigeria: Using the vital signs profile. </w:t>
      </w:r>
      <w:r>
        <w:rPr>
          <w:rFonts w:ascii="Times New Roman" w:hAnsi="Times New Roman" w:cs="Times New Roman"/>
          <w:i/>
          <w:iCs/>
        </w:rPr>
        <w:t>BMC Health Services Research</w:t>
      </w:r>
      <w:r>
        <w:rPr>
          <w:rFonts w:ascii="Times New Roman" w:hAnsi="Times New Roman" w:cs="Times New Roman"/>
        </w:rPr>
        <w:t>, 23(1), 1-14. </w:t>
      </w:r>
      <w:hyperlink r:id="rId27" w:tgtFrame="_blank" w:history="1">
        <w:r w:rsidR="00C66E38">
          <w:rPr>
            <w:rStyle w:val="Hyperlink"/>
            <w:rFonts w:ascii="Times New Roman" w:hAnsi="Times New Roman" w:cs="Times New Roman"/>
            <w:color w:val="auto"/>
          </w:rPr>
          <w:t>https://doi.org/10.1186/s12913-016-1711-y</w:t>
        </w:r>
      </w:hyperlink>
    </w:p>
    <w:p w14:paraId="72762FCD" w14:textId="77777777" w:rsidR="00C66E38" w:rsidRDefault="00C66E38">
      <w:pPr>
        <w:spacing w:after="0" w:line="240" w:lineRule="auto"/>
        <w:rPr>
          <w:rFonts w:ascii="Times New Roman" w:hAnsi="Times New Roman" w:cs="Times New Roman"/>
        </w:rPr>
      </w:pPr>
    </w:p>
    <w:p w14:paraId="3B14C648" w14:textId="77777777" w:rsidR="00C66E38" w:rsidRDefault="00981AE8">
      <w:pPr>
        <w:spacing w:after="0" w:line="240" w:lineRule="auto"/>
        <w:rPr>
          <w:rFonts w:ascii="Times New Roman" w:hAnsi="Times New Roman" w:cs="Times New Roman"/>
        </w:rPr>
      </w:pPr>
      <w:r>
        <w:rPr>
          <w:rFonts w:ascii="Times New Roman" w:hAnsi="Times New Roman" w:cs="Times New Roman"/>
        </w:rPr>
        <w:t xml:space="preserve">Lassi, A. S., Muhammad, A., Isyaku, A. M., Kura, A. U., Muhammad, A. U., Adamu, Y., Munkaila, M. S., Dankade, S. M., &amp; Isah, A. A. (2025). Assessment of the influence of Basic Health Care Provision Fund (RIVCHPP) towards attaining Universal Health Coverage in Bauchi State, Nigeria. </w:t>
      </w:r>
      <w:r>
        <w:rPr>
          <w:rFonts w:ascii="Times New Roman" w:hAnsi="Times New Roman" w:cs="Times New Roman"/>
          <w:i/>
          <w:iCs/>
        </w:rPr>
        <w:t>Kashf Journal of Multidisciplinary Research</w:t>
      </w:r>
      <w:r>
        <w:rPr>
          <w:rFonts w:ascii="Times New Roman" w:hAnsi="Times New Roman" w:cs="Times New Roman"/>
        </w:rPr>
        <w:t xml:space="preserve">, </w:t>
      </w:r>
      <w:r>
        <w:rPr>
          <w:rFonts w:ascii="Times New Roman" w:hAnsi="Times New Roman" w:cs="Times New Roman"/>
          <w:i/>
          <w:iCs/>
        </w:rPr>
        <w:t>2</w:t>
      </w:r>
      <w:r>
        <w:rPr>
          <w:rFonts w:ascii="Times New Roman" w:hAnsi="Times New Roman" w:cs="Times New Roman"/>
        </w:rPr>
        <w:t>(9), 66–75.</w:t>
      </w:r>
    </w:p>
    <w:p w14:paraId="270786E8" w14:textId="77777777" w:rsidR="00C66E38" w:rsidRDefault="00981AE8">
      <w:pPr>
        <w:spacing w:after="0" w:line="240" w:lineRule="auto"/>
        <w:rPr>
          <w:rFonts w:ascii="Times New Roman" w:hAnsi="Times New Roman" w:cs="Times New Roman"/>
        </w:rPr>
      </w:pPr>
      <w:r>
        <w:rPr>
          <w:rFonts w:ascii="Times New Roman" w:hAnsi="Times New Roman" w:cs="Times New Roman"/>
        </w:rPr>
        <w:t>Maiyaki, M. B., &amp; Etuk, S. J. (2022). The rising burden of non-communicable diseases in rural Nigeria: Evidence from primary care records. </w:t>
      </w:r>
      <w:r>
        <w:rPr>
          <w:rFonts w:ascii="Times New Roman" w:hAnsi="Times New Roman" w:cs="Times New Roman"/>
          <w:i/>
          <w:iCs/>
        </w:rPr>
        <w:t>Nigerian Medical Journal</w:t>
      </w:r>
      <w:r>
        <w:rPr>
          <w:rFonts w:ascii="Times New Roman" w:hAnsi="Times New Roman" w:cs="Times New Roman"/>
        </w:rPr>
        <w:t>, 63(2), 112-119.</w:t>
      </w:r>
    </w:p>
    <w:p w14:paraId="66CF4872" w14:textId="77777777" w:rsidR="00C66E38" w:rsidRDefault="00C66E38">
      <w:pPr>
        <w:spacing w:after="0" w:line="240" w:lineRule="auto"/>
        <w:rPr>
          <w:rFonts w:ascii="Times New Roman" w:hAnsi="Times New Roman" w:cs="Times New Roman"/>
        </w:rPr>
      </w:pPr>
    </w:p>
    <w:p w14:paraId="391B3945" w14:textId="77777777" w:rsidR="00C66E38" w:rsidRDefault="00981AE8">
      <w:pPr>
        <w:spacing w:after="0" w:line="240" w:lineRule="auto"/>
      </w:pPr>
      <w:r>
        <w:rPr>
          <w:rFonts w:ascii="Times New Roman" w:hAnsi="Times New Roman" w:cs="Times New Roman"/>
        </w:rPr>
        <w:t>Mulimba, O., Kabia, E., &amp; Molyneux, S. (2023). Inclusion of persons with disabilities in health insurance schemes: Experiences from Kenya. </w:t>
      </w:r>
      <w:r>
        <w:rPr>
          <w:rFonts w:ascii="Times New Roman" w:hAnsi="Times New Roman" w:cs="Times New Roman"/>
          <w:i/>
          <w:iCs/>
        </w:rPr>
        <w:t>Disability and Health Journal</w:t>
      </w:r>
      <w:r>
        <w:rPr>
          <w:rFonts w:ascii="Times New Roman" w:hAnsi="Times New Roman" w:cs="Times New Roman"/>
        </w:rPr>
        <w:t>, 16(3), 101-115. </w:t>
      </w:r>
      <w:hyperlink r:id="rId28" w:tgtFrame="_blank" w:history="1">
        <w:r w:rsidR="00C66E38">
          <w:rPr>
            <w:rStyle w:val="Hyperlink"/>
            <w:rFonts w:ascii="Times New Roman" w:hAnsi="Times New Roman" w:cs="Times New Roman"/>
            <w:color w:val="auto"/>
          </w:rPr>
          <w:t>https://doi.org/10.1016/j.dhjo.2023.101456</w:t>
        </w:r>
      </w:hyperlink>
    </w:p>
    <w:p w14:paraId="6470EF92" w14:textId="77777777" w:rsidR="00C66E38" w:rsidRDefault="00C66E38">
      <w:pPr>
        <w:spacing w:after="0" w:line="240" w:lineRule="auto"/>
        <w:rPr>
          <w:rFonts w:ascii="Times New Roman" w:hAnsi="Times New Roman" w:cs="Times New Roman"/>
        </w:rPr>
      </w:pPr>
    </w:p>
    <w:p w14:paraId="5BA39645" w14:textId="77777777" w:rsidR="00C66E38" w:rsidRDefault="00981AE8">
      <w:pPr>
        <w:spacing w:after="0" w:line="240" w:lineRule="auto"/>
      </w:pPr>
      <w:r>
        <w:rPr>
          <w:rFonts w:ascii="Times New Roman" w:hAnsi="Times New Roman" w:cs="Times New Roman"/>
        </w:rPr>
        <w:t xml:space="preserve">Nwobodo, E., Ukwuije, F., Egwuatu, U., Ezugwu, F. O., Nwobodo, N., Ojiakor, A., &amp; Ikwuka, D. C. (2022). Assessment of the progress of the implementation of the Basic Health Care Provision Fund in South East States of Nigeria. </w:t>
      </w:r>
      <w:r>
        <w:rPr>
          <w:rFonts w:ascii="Times New Roman" w:hAnsi="Times New Roman" w:cs="Times New Roman"/>
          <w:i/>
          <w:iCs/>
        </w:rPr>
        <w:t>Tropical Journal of Medical Research</w:t>
      </w:r>
      <w:r>
        <w:rPr>
          <w:rFonts w:ascii="Times New Roman" w:hAnsi="Times New Roman" w:cs="Times New Roman"/>
        </w:rPr>
        <w:t xml:space="preserve">, </w:t>
      </w:r>
      <w:r>
        <w:rPr>
          <w:rFonts w:ascii="Times New Roman" w:hAnsi="Times New Roman" w:cs="Times New Roman"/>
          <w:i/>
          <w:iCs/>
        </w:rPr>
        <w:t>21</w:t>
      </w:r>
      <w:r>
        <w:rPr>
          <w:rFonts w:ascii="Times New Roman" w:hAnsi="Times New Roman" w:cs="Times New Roman"/>
        </w:rPr>
        <w:t xml:space="preserve">(1), 75–85. </w:t>
      </w:r>
      <w:hyperlink r:id="rId29" w:history="1">
        <w:r w:rsidR="00C66E38">
          <w:rPr>
            <w:rStyle w:val="Hyperlink"/>
            <w:rFonts w:ascii="Times New Roman" w:hAnsi="Times New Roman" w:cs="Times New Roman"/>
            <w:color w:val="auto"/>
          </w:rPr>
          <w:t>https://doi.org/10.5281/zenodo.6954870</w:t>
        </w:r>
      </w:hyperlink>
    </w:p>
    <w:p w14:paraId="2DC8B3ED" w14:textId="77777777" w:rsidR="00C66E38" w:rsidRDefault="00C66E38">
      <w:pPr>
        <w:spacing w:after="0" w:line="240" w:lineRule="auto"/>
        <w:rPr>
          <w:rFonts w:ascii="Times New Roman" w:hAnsi="Times New Roman" w:cs="Times New Roman"/>
        </w:rPr>
      </w:pPr>
    </w:p>
    <w:p w14:paraId="07AB634B" w14:textId="77777777" w:rsidR="00C66E38" w:rsidRDefault="00981AE8">
      <w:pPr>
        <w:spacing w:after="0" w:line="240" w:lineRule="auto"/>
      </w:pPr>
      <w:r>
        <w:rPr>
          <w:rFonts w:ascii="Times New Roman" w:hAnsi="Times New Roman" w:cs="Times New Roman"/>
        </w:rPr>
        <w:t>Odinenu, P., &amp; Anago, C. (2025). Out-of-pocket expenditure and the illusion of coverage: A study of the RIVCHPP in the Niger Delta. </w:t>
      </w:r>
      <w:r>
        <w:rPr>
          <w:rFonts w:ascii="Times New Roman" w:hAnsi="Times New Roman" w:cs="Times New Roman"/>
          <w:i/>
          <w:iCs/>
        </w:rPr>
        <w:t>Health Economics Review</w:t>
      </w:r>
      <w:r>
        <w:rPr>
          <w:rFonts w:ascii="Times New Roman" w:hAnsi="Times New Roman" w:cs="Times New Roman"/>
        </w:rPr>
        <w:t>, 15(1), 45-60. </w:t>
      </w:r>
      <w:hyperlink r:id="rId30" w:tgtFrame="_blank" w:history="1">
        <w:r w:rsidR="00C66E38">
          <w:rPr>
            <w:rStyle w:val="Hyperlink"/>
            <w:rFonts w:ascii="Times New Roman" w:hAnsi="Times New Roman" w:cs="Times New Roman"/>
            <w:color w:val="auto"/>
          </w:rPr>
          <w:t>https://doi.org/10.1186/s13561-024-00489-0</w:t>
        </w:r>
      </w:hyperlink>
    </w:p>
    <w:p w14:paraId="550CDFB4" w14:textId="77777777" w:rsidR="00C66E38" w:rsidRDefault="00C66E38">
      <w:pPr>
        <w:spacing w:after="0" w:line="240" w:lineRule="auto"/>
        <w:rPr>
          <w:rFonts w:ascii="Times New Roman" w:hAnsi="Times New Roman" w:cs="Times New Roman"/>
        </w:rPr>
      </w:pPr>
    </w:p>
    <w:p w14:paraId="69EEE3B7" w14:textId="77777777" w:rsidR="00C66E38" w:rsidRDefault="00981AE8">
      <w:pPr>
        <w:spacing w:after="0" w:line="240" w:lineRule="auto"/>
      </w:pPr>
      <w:r>
        <w:rPr>
          <w:rFonts w:ascii="Times New Roman" w:hAnsi="Times New Roman" w:cs="Times New Roman"/>
        </w:rPr>
        <w:t xml:space="preserve">Odinenu, T. A., &amp; Anago, C. J. (2025). Financing universal healthcare coverage in Nigeria through the Basic Health Care Provision Fund: Challenges and potential solutions. </w:t>
      </w:r>
      <w:r>
        <w:rPr>
          <w:rFonts w:ascii="Times New Roman" w:hAnsi="Times New Roman" w:cs="Times New Roman"/>
          <w:i/>
          <w:iCs/>
        </w:rPr>
        <w:t>The International Journal of Health Planning and Management</w:t>
      </w:r>
      <w:r>
        <w:rPr>
          <w:rFonts w:ascii="Times New Roman" w:hAnsi="Times New Roman" w:cs="Times New Roman"/>
        </w:rPr>
        <w:t xml:space="preserve">, </w:t>
      </w:r>
      <w:r>
        <w:rPr>
          <w:rFonts w:ascii="Times New Roman" w:hAnsi="Times New Roman" w:cs="Times New Roman"/>
          <w:i/>
          <w:iCs/>
        </w:rPr>
        <w:t>40</w:t>
      </w:r>
      <w:r>
        <w:rPr>
          <w:rFonts w:ascii="Times New Roman" w:hAnsi="Times New Roman" w:cs="Times New Roman"/>
        </w:rPr>
        <w:t xml:space="preserve">(3), 630–645. </w:t>
      </w:r>
      <w:hyperlink r:id="rId31" w:history="1">
        <w:r w:rsidR="00C66E38">
          <w:rPr>
            <w:rStyle w:val="Hyperlink"/>
            <w:rFonts w:ascii="Times New Roman" w:hAnsi="Times New Roman" w:cs="Times New Roman"/>
            <w:color w:val="auto"/>
          </w:rPr>
          <w:t>https://doi.org/10.1002/hpm.3909</w:t>
        </w:r>
      </w:hyperlink>
    </w:p>
    <w:p w14:paraId="0CA2CFD5" w14:textId="77777777" w:rsidR="00C66E38" w:rsidRDefault="00C66E38">
      <w:pPr>
        <w:spacing w:after="0" w:line="240" w:lineRule="auto"/>
        <w:rPr>
          <w:rFonts w:ascii="Times New Roman" w:hAnsi="Times New Roman" w:cs="Times New Roman"/>
        </w:rPr>
      </w:pPr>
    </w:p>
    <w:p w14:paraId="5D0BC484" w14:textId="77777777" w:rsidR="00C66E38" w:rsidRDefault="00981AE8">
      <w:pPr>
        <w:spacing w:after="0" w:line="240" w:lineRule="auto"/>
      </w:pPr>
      <w:r>
        <w:rPr>
          <w:rFonts w:ascii="Times New Roman" w:hAnsi="Times New Roman" w:cs="Times New Roman"/>
        </w:rPr>
        <w:t>Okpani, A. I., &amp; Abimbola, S. (2020). Operationalizing universal health coverage at the primary health care level in Nigeria: The Basic Health Care Provision Fund. </w:t>
      </w:r>
      <w:r>
        <w:rPr>
          <w:rFonts w:ascii="Times New Roman" w:hAnsi="Times New Roman" w:cs="Times New Roman"/>
          <w:i/>
          <w:iCs/>
        </w:rPr>
        <w:t>Health Systems &amp; Reform</w:t>
      </w:r>
      <w:r>
        <w:rPr>
          <w:rFonts w:ascii="Times New Roman" w:hAnsi="Times New Roman" w:cs="Times New Roman"/>
        </w:rPr>
        <w:t>, 6(1), e1821034. </w:t>
      </w:r>
      <w:hyperlink r:id="rId32" w:tgtFrame="_blank" w:history="1">
        <w:r w:rsidR="00C66E38">
          <w:rPr>
            <w:rStyle w:val="Hyperlink"/>
            <w:rFonts w:ascii="Times New Roman" w:hAnsi="Times New Roman" w:cs="Times New Roman"/>
            <w:color w:val="auto"/>
          </w:rPr>
          <w:t>https://doi.org/10.1080/23288604.2020.1821034</w:t>
        </w:r>
      </w:hyperlink>
    </w:p>
    <w:p w14:paraId="277EE741" w14:textId="77777777" w:rsidR="00C66E38" w:rsidRDefault="00C66E38">
      <w:pPr>
        <w:spacing w:after="0" w:line="240" w:lineRule="auto"/>
        <w:rPr>
          <w:rFonts w:ascii="Times New Roman" w:hAnsi="Times New Roman" w:cs="Times New Roman"/>
        </w:rPr>
      </w:pPr>
    </w:p>
    <w:p w14:paraId="4A7A6049" w14:textId="77777777" w:rsidR="00C66E38" w:rsidRDefault="00981AE8">
      <w:pPr>
        <w:spacing w:after="0" w:line="240" w:lineRule="auto"/>
        <w:rPr>
          <w:rFonts w:ascii="Times New Roman" w:hAnsi="Times New Roman" w:cs="Times New Roman"/>
        </w:rPr>
      </w:pPr>
      <w:r>
        <w:rPr>
          <w:rFonts w:ascii="Times New Roman" w:hAnsi="Times New Roman" w:cs="Times New Roman"/>
        </w:rPr>
        <w:t xml:space="preserve">Onwujekwe, O., Onoka, C., Nwakoby, I., Ichoku, H., Uzochukwu, B., &amp; Wang, H. (2018). Examining the financial feasibility of using a new special health fund to provide universal coverage for a basic maternal and child health benefit package in Nigeria. </w:t>
      </w:r>
      <w:r>
        <w:rPr>
          <w:rFonts w:ascii="Times New Roman" w:hAnsi="Times New Roman" w:cs="Times New Roman"/>
          <w:i/>
          <w:iCs/>
        </w:rPr>
        <w:t>Frontiers in Public Health</w:t>
      </w:r>
      <w:r>
        <w:rPr>
          <w:rFonts w:ascii="Times New Roman" w:hAnsi="Times New Roman" w:cs="Times New Roman"/>
        </w:rPr>
        <w:t xml:space="preserve">, </w:t>
      </w:r>
      <w:r>
        <w:rPr>
          <w:rFonts w:ascii="Times New Roman" w:hAnsi="Times New Roman" w:cs="Times New Roman"/>
          <w:i/>
          <w:iCs/>
        </w:rPr>
        <w:t>6</w:t>
      </w:r>
      <w:r>
        <w:rPr>
          <w:rFonts w:ascii="Times New Roman" w:hAnsi="Times New Roman" w:cs="Times New Roman"/>
        </w:rPr>
        <w:t>, 200.</w:t>
      </w:r>
    </w:p>
    <w:p w14:paraId="53CCA8C9" w14:textId="77777777" w:rsidR="00C66E38" w:rsidRDefault="00C66E38">
      <w:pPr>
        <w:spacing w:after="0" w:line="240" w:lineRule="auto"/>
        <w:rPr>
          <w:rFonts w:ascii="Times New Roman" w:hAnsi="Times New Roman" w:cs="Times New Roman"/>
        </w:rPr>
      </w:pPr>
    </w:p>
    <w:p w14:paraId="6D73FFCF" w14:textId="77777777" w:rsidR="00C66E38" w:rsidRDefault="00981AE8">
      <w:pPr>
        <w:spacing w:after="0" w:line="240" w:lineRule="auto"/>
        <w:rPr>
          <w:rFonts w:ascii="Times New Roman" w:hAnsi="Times New Roman" w:cs="Times New Roman"/>
        </w:rPr>
      </w:pPr>
      <w:r>
        <w:rPr>
          <w:rFonts w:ascii="Times New Roman" w:hAnsi="Times New Roman" w:cs="Times New Roman"/>
        </w:rPr>
        <w:t>Uzochukwu, B. S. C., Okeke, C. C., &amp; Ochonma, O. G. (2021). </w:t>
      </w:r>
      <w:r>
        <w:rPr>
          <w:rFonts w:ascii="Times New Roman" w:hAnsi="Times New Roman" w:cs="Times New Roman"/>
          <w:i/>
          <w:iCs/>
        </w:rPr>
        <w:t>Malaria case management at Primary Health Care facilities in Nigeria: A situational analysis</w:t>
      </w:r>
      <w:r>
        <w:rPr>
          <w:rFonts w:ascii="Times New Roman" w:hAnsi="Times New Roman" w:cs="Times New Roman"/>
        </w:rPr>
        <w:t>. University of Nigeria Press.</w:t>
      </w:r>
    </w:p>
    <w:p w14:paraId="16298B68" w14:textId="77777777" w:rsidR="00C66E38" w:rsidRDefault="00981AE8">
      <w:pPr>
        <w:spacing w:after="0" w:line="240" w:lineRule="auto"/>
        <w:rPr>
          <w:rFonts w:ascii="Times New Roman" w:hAnsi="Times New Roman" w:cs="Times New Roman"/>
        </w:rPr>
      </w:pPr>
      <w:r>
        <w:rPr>
          <w:rFonts w:ascii="Times New Roman" w:hAnsi="Times New Roman" w:cs="Times New Roman"/>
        </w:rPr>
        <w:t xml:space="preserve">Uzochukwu, B., Onwujekwe, E., Mbachu, C., Okeke, C., Molyneux, C., &amp; Gilson, L. (2018). Accountability mechanisms for implementing a health financing option: the case of the basic health care provision fund (RIVCHPP) in Nigeria. </w:t>
      </w:r>
      <w:r>
        <w:rPr>
          <w:rFonts w:ascii="Times New Roman" w:hAnsi="Times New Roman" w:cs="Times New Roman"/>
          <w:i/>
          <w:iCs/>
        </w:rPr>
        <w:t>International Journal for Equity in Health</w:t>
      </w:r>
      <w:r>
        <w:rPr>
          <w:rFonts w:ascii="Times New Roman" w:hAnsi="Times New Roman" w:cs="Times New Roman"/>
        </w:rPr>
        <w:t xml:space="preserve">, </w:t>
      </w:r>
      <w:r>
        <w:rPr>
          <w:rFonts w:ascii="Times New Roman" w:hAnsi="Times New Roman" w:cs="Times New Roman"/>
          <w:i/>
          <w:iCs/>
        </w:rPr>
        <w:t>17</w:t>
      </w:r>
      <w:r>
        <w:rPr>
          <w:rFonts w:ascii="Times New Roman" w:hAnsi="Times New Roman" w:cs="Times New Roman"/>
        </w:rPr>
        <w:t>, 100.</w:t>
      </w:r>
    </w:p>
    <w:p w14:paraId="52D5DB23" w14:textId="77777777" w:rsidR="00C66E38" w:rsidRDefault="00C66E38">
      <w:pPr>
        <w:spacing w:after="0" w:line="240" w:lineRule="auto"/>
        <w:rPr>
          <w:rFonts w:ascii="Times New Roman" w:hAnsi="Times New Roman" w:cs="Times New Roman"/>
        </w:rPr>
      </w:pPr>
    </w:p>
    <w:p w14:paraId="7144BD0E" w14:textId="77777777" w:rsidR="00C66E38" w:rsidRDefault="00981AE8">
      <w:pPr>
        <w:spacing w:after="0" w:line="240" w:lineRule="auto"/>
        <w:rPr>
          <w:rFonts w:ascii="Times New Roman" w:hAnsi="Times New Roman" w:cs="Times New Roman"/>
        </w:rPr>
      </w:pPr>
      <w:r>
        <w:rPr>
          <w:rFonts w:ascii="Times New Roman" w:hAnsi="Times New Roman" w:cs="Times New Roman"/>
        </w:rPr>
        <w:t>World Health Organization. (2019). </w:t>
      </w:r>
      <w:r>
        <w:rPr>
          <w:rFonts w:ascii="Times New Roman" w:hAnsi="Times New Roman" w:cs="Times New Roman"/>
          <w:i/>
          <w:iCs/>
        </w:rPr>
        <w:t>Primary Health Care on the Road to Universal Health Coverage: 2019 Monitoring Report</w:t>
      </w:r>
      <w:r>
        <w:rPr>
          <w:rFonts w:ascii="Times New Roman" w:hAnsi="Times New Roman" w:cs="Times New Roman"/>
        </w:rPr>
        <w:t>. World Health Organization.</w:t>
      </w:r>
    </w:p>
    <w:p w14:paraId="7515BF23" w14:textId="77777777" w:rsidR="00C66E38" w:rsidRDefault="00C66E38">
      <w:pPr>
        <w:spacing w:after="0" w:line="240" w:lineRule="auto"/>
        <w:rPr>
          <w:rFonts w:ascii="Times New Roman" w:hAnsi="Times New Roman" w:cs="Times New Roman"/>
        </w:rPr>
      </w:pPr>
    </w:p>
    <w:sectPr w:rsidR="00C66E38">
      <w:headerReference w:type="even" r:id="rId33"/>
      <w:headerReference w:type="default" r:id="rId34"/>
      <w:footerReference w:type="even" r:id="rId35"/>
      <w:footerReference w:type="default" r:id="rId36"/>
      <w:headerReference w:type="first" r:id="rId37"/>
      <w:footerReference w:type="first" r:id="rId38"/>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2863C" w14:textId="77777777" w:rsidR="00502642" w:rsidRDefault="00502642">
      <w:pPr>
        <w:spacing w:after="0" w:line="240" w:lineRule="auto"/>
      </w:pPr>
      <w:r>
        <w:separator/>
      </w:r>
    </w:p>
  </w:endnote>
  <w:endnote w:type="continuationSeparator" w:id="0">
    <w:p w14:paraId="6422826F" w14:textId="77777777" w:rsidR="00502642" w:rsidRDefault="00502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08568" w14:textId="77777777" w:rsidR="00B6270F" w:rsidRDefault="00B627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C60AD" w14:textId="77777777" w:rsidR="00C66E38" w:rsidRDefault="00981AE8">
    <w:pPr>
      <w:pStyle w:val="Footer"/>
      <w:jc w:val="center"/>
    </w:pPr>
    <w:r>
      <w:fldChar w:fldCharType="begin"/>
    </w:r>
    <w:r>
      <w:instrText>PAGE   \* MERGEFORMAT</w:instrText>
    </w:r>
    <w:r>
      <w:fldChar w:fldCharType="separate"/>
    </w:r>
    <w:r>
      <w:t>2</w:t>
    </w:r>
    <w:r>
      <w:fldChar w:fldCharType="end"/>
    </w:r>
  </w:p>
  <w:p w14:paraId="4CB58ABD" w14:textId="77777777" w:rsidR="00C66E38" w:rsidRDefault="00C66E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9728A" w14:textId="77777777" w:rsidR="00B6270F" w:rsidRDefault="00B62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7D7E4" w14:textId="77777777" w:rsidR="00502642" w:rsidRDefault="00502642">
      <w:pPr>
        <w:spacing w:after="0" w:line="240" w:lineRule="auto"/>
      </w:pPr>
      <w:r>
        <w:separator/>
      </w:r>
    </w:p>
  </w:footnote>
  <w:footnote w:type="continuationSeparator" w:id="0">
    <w:p w14:paraId="0A583DA6" w14:textId="77777777" w:rsidR="00502642" w:rsidRDefault="00502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83D26" w14:textId="3E7E212E" w:rsidR="00B6270F" w:rsidRDefault="00000000">
    <w:pPr>
      <w:pStyle w:val="Header"/>
    </w:pPr>
    <w:r>
      <w:rPr>
        <w:noProof/>
      </w:rPr>
      <w:pict w14:anchorId="6D1AF6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10187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184B5" w14:textId="7F213B96" w:rsidR="00B6270F" w:rsidRDefault="00000000">
    <w:pPr>
      <w:pStyle w:val="Header"/>
    </w:pPr>
    <w:r>
      <w:rPr>
        <w:noProof/>
      </w:rPr>
      <w:pict w14:anchorId="6AD16B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10187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06552" w14:textId="14F8AF9D" w:rsidR="00B6270F" w:rsidRDefault="00000000">
    <w:pPr>
      <w:pStyle w:val="Header"/>
    </w:pPr>
    <w:r>
      <w:rPr>
        <w:noProof/>
      </w:rPr>
      <w:pict w14:anchorId="45381E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10187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AAD20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000002"/>
    <w:multiLevelType w:val="multilevel"/>
    <w:tmpl w:val="C3CC222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15:restartNumberingAfterBreak="0">
    <w:nsid w:val="00000003"/>
    <w:multiLevelType w:val="multilevel"/>
    <w:tmpl w:val="B86C7FA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4"/>
    <w:multiLevelType w:val="multilevel"/>
    <w:tmpl w:val="FD80B2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0000005"/>
    <w:multiLevelType w:val="multilevel"/>
    <w:tmpl w:val="FBF203B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15:restartNumberingAfterBreak="0">
    <w:nsid w:val="2C307AD4"/>
    <w:multiLevelType w:val="multilevel"/>
    <w:tmpl w:val="534ACD3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15:restartNumberingAfterBreak="0">
    <w:nsid w:val="2F0B7004"/>
    <w:multiLevelType w:val="multilevel"/>
    <w:tmpl w:val="3BC2103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31963371">
    <w:abstractNumId w:val="4"/>
  </w:num>
  <w:num w:numId="2" w16cid:durableId="1394163215">
    <w:abstractNumId w:val="2"/>
  </w:num>
  <w:num w:numId="3" w16cid:durableId="914899453">
    <w:abstractNumId w:val="0"/>
  </w:num>
  <w:num w:numId="4" w16cid:durableId="1795521846">
    <w:abstractNumId w:val="5"/>
  </w:num>
  <w:num w:numId="5" w16cid:durableId="350184965">
    <w:abstractNumId w:val="1"/>
  </w:num>
  <w:num w:numId="6" w16cid:durableId="1393773487">
    <w:abstractNumId w:val="3"/>
  </w:num>
  <w:num w:numId="7" w16cid:durableId="5344703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IyMTYytTA2MrM0sTRQ0lEKTi0uzszPAykwrAUA28tIWSwAAAA="/>
  </w:docVars>
  <w:rsids>
    <w:rsidRoot w:val="00C66E38"/>
    <w:rsid w:val="00017076"/>
    <w:rsid w:val="00046B59"/>
    <w:rsid w:val="00047CF1"/>
    <w:rsid w:val="000907E8"/>
    <w:rsid w:val="00093E39"/>
    <w:rsid w:val="00101240"/>
    <w:rsid w:val="001B6520"/>
    <w:rsid w:val="001C570E"/>
    <w:rsid w:val="001D20E5"/>
    <w:rsid w:val="002822F9"/>
    <w:rsid w:val="002B0D7F"/>
    <w:rsid w:val="002B5F80"/>
    <w:rsid w:val="002D16C1"/>
    <w:rsid w:val="002D5EAB"/>
    <w:rsid w:val="002E427A"/>
    <w:rsid w:val="00307016"/>
    <w:rsid w:val="003546A0"/>
    <w:rsid w:val="0037103A"/>
    <w:rsid w:val="003C3D02"/>
    <w:rsid w:val="003F3D6C"/>
    <w:rsid w:val="003F5B13"/>
    <w:rsid w:val="004329B3"/>
    <w:rsid w:val="00436962"/>
    <w:rsid w:val="004578A3"/>
    <w:rsid w:val="004A4A93"/>
    <w:rsid w:val="004B34DB"/>
    <w:rsid w:val="004C0700"/>
    <w:rsid w:val="004C2B65"/>
    <w:rsid w:val="00502642"/>
    <w:rsid w:val="00512AA6"/>
    <w:rsid w:val="00552EC3"/>
    <w:rsid w:val="00564D11"/>
    <w:rsid w:val="005C405B"/>
    <w:rsid w:val="005D1191"/>
    <w:rsid w:val="005D2C2E"/>
    <w:rsid w:val="005F2313"/>
    <w:rsid w:val="00617C83"/>
    <w:rsid w:val="00630336"/>
    <w:rsid w:val="00630431"/>
    <w:rsid w:val="0065495E"/>
    <w:rsid w:val="006C1287"/>
    <w:rsid w:val="006E45FF"/>
    <w:rsid w:val="0070526E"/>
    <w:rsid w:val="007157AA"/>
    <w:rsid w:val="00731655"/>
    <w:rsid w:val="00767565"/>
    <w:rsid w:val="007856F3"/>
    <w:rsid w:val="00791165"/>
    <w:rsid w:val="007D03C2"/>
    <w:rsid w:val="00806722"/>
    <w:rsid w:val="00854471"/>
    <w:rsid w:val="00856D06"/>
    <w:rsid w:val="008B2256"/>
    <w:rsid w:val="008B47D9"/>
    <w:rsid w:val="008D51E4"/>
    <w:rsid w:val="00901F62"/>
    <w:rsid w:val="00903B18"/>
    <w:rsid w:val="00981AE8"/>
    <w:rsid w:val="0098511F"/>
    <w:rsid w:val="009C58C0"/>
    <w:rsid w:val="009F54AE"/>
    <w:rsid w:val="00A21C64"/>
    <w:rsid w:val="00A855E8"/>
    <w:rsid w:val="00AD2DBB"/>
    <w:rsid w:val="00AE1E38"/>
    <w:rsid w:val="00AF1129"/>
    <w:rsid w:val="00B004A0"/>
    <w:rsid w:val="00B207A8"/>
    <w:rsid w:val="00B6270F"/>
    <w:rsid w:val="00BC4AA7"/>
    <w:rsid w:val="00BD4621"/>
    <w:rsid w:val="00BD6DF0"/>
    <w:rsid w:val="00BF7D76"/>
    <w:rsid w:val="00C00638"/>
    <w:rsid w:val="00C03D40"/>
    <w:rsid w:val="00C10B74"/>
    <w:rsid w:val="00C30AF5"/>
    <w:rsid w:val="00C66E38"/>
    <w:rsid w:val="00C93876"/>
    <w:rsid w:val="00CB26C4"/>
    <w:rsid w:val="00CE28AA"/>
    <w:rsid w:val="00D05D41"/>
    <w:rsid w:val="00D278C0"/>
    <w:rsid w:val="00D450A8"/>
    <w:rsid w:val="00DC57ED"/>
    <w:rsid w:val="00E266E8"/>
    <w:rsid w:val="00E46773"/>
    <w:rsid w:val="00E55EF4"/>
    <w:rsid w:val="00E81378"/>
    <w:rsid w:val="00E95ABC"/>
    <w:rsid w:val="00F2052D"/>
    <w:rsid w:val="00F35A7E"/>
    <w:rsid w:val="00F37EE5"/>
    <w:rsid w:val="00F836CF"/>
    <w:rsid w:val="00FC07D5"/>
    <w:rsid w:val="00FD1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867C0"/>
  <w15:docId w15:val="{F2B0A812-AF90-432B-8E32-F267B1F0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B18"/>
    <w:rPr>
      <w:lang w:val="en-GB"/>
    </w:rPr>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lang w:val="en-GB"/>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lang w:val="en-GB"/>
    </w:rPr>
  </w:style>
  <w:style w:type="character" w:customStyle="1" w:styleId="Heading3Char">
    <w:name w:val="Heading 3 Char"/>
    <w:basedOn w:val="DefaultParagraphFont"/>
    <w:link w:val="Heading3"/>
    <w:uiPriority w:val="9"/>
    <w:rPr>
      <w:rFonts w:eastAsia="SimSun" w:cs="SimSun"/>
      <w:color w:val="2F5496"/>
      <w:sz w:val="28"/>
      <w:szCs w:val="28"/>
      <w:lang w:val="en-GB"/>
    </w:rPr>
  </w:style>
  <w:style w:type="character" w:customStyle="1" w:styleId="Heading4Char">
    <w:name w:val="Heading 4 Char"/>
    <w:basedOn w:val="DefaultParagraphFont"/>
    <w:link w:val="Heading4"/>
    <w:uiPriority w:val="9"/>
    <w:rPr>
      <w:rFonts w:eastAsia="SimSun" w:cs="SimSun"/>
      <w:i/>
      <w:iCs/>
      <w:color w:val="2F5496"/>
      <w:lang w:val="en-GB"/>
    </w:rPr>
  </w:style>
  <w:style w:type="character" w:customStyle="1" w:styleId="Heading5Char">
    <w:name w:val="Heading 5 Char"/>
    <w:basedOn w:val="DefaultParagraphFont"/>
    <w:link w:val="Heading5"/>
    <w:uiPriority w:val="9"/>
    <w:rPr>
      <w:rFonts w:eastAsia="SimSun" w:cs="SimSun"/>
      <w:color w:val="2F5496"/>
      <w:lang w:val="en-GB"/>
    </w:rPr>
  </w:style>
  <w:style w:type="character" w:customStyle="1" w:styleId="Heading6Char">
    <w:name w:val="Heading 6 Char"/>
    <w:basedOn w:val="DefaultParagraphFont"/>
    <w:link w:val="Heading6"/>
    <w:uiPriority w:val="9"/>
    <w:rPr>
      <w:rFonts w:eastAsia="SimSun" w:cs="SimSun"/>
      <w:i/>
      <w:iCs/>
      <w:color w:val="595959"/>
      <w:lang w:val="en-GB"/>
    </w:rPr>
  </w:style>
  <w:style w:type="character" w:customStyle="1" w:styleId="Heading7Char">
    <w:name w:val="Heading 7 Char"/>
    <w:basedOn w:val="DefaultParagraphFont"/>
    <w:link w:val="Heading7"/>
    <w:uiPriority w:val="9"/>
    <w:rPr>
      <w:rFonts w:eastAsia="SimSun" w:cs="SimSun"/>
      <w:color w:val="595959"/>
      <w:lang w:val="en-GB"/>
    </w:rPr>
  </w:style>
  <w:style w:type="character" w:customStyle="1" w:styleId="Heading8Char">
    <w:name w:val="Heading 8 Char"/>
    <w:basedOn w:val="DefaultParagraphFont"/>
    <w:link w:val="Heading8"/>
    <w:uiPriority w:val="9"/>
    <w:rPr>
      <w:rFonts w:eastAsia="SimSun" w:cs="SimSun"/>
      <w:i/>
      <w:iCs/>
      <w:color w:val="272727"/>
      <w:lang w:val="en-GB"/>
    </w:rPr>
  </w:style>
  <w:style w:type="character" w:customStyle="1" w:styleId="Heading9Char">
    <w:name w:val="Heading 9 Char"/>
    <w:basedOn w:val="DefaultParagraphFont"/>
    <w:link w:val="Heading9"/>
    <w:uiPriority w:val="9"/>
    <w:rPr>
      <w:rFonts w:eastAsia="SimSun" w:cs="SimSun"/>
      <w:color w:val="272727"/>
      <w:lang w:val="en-GB"/>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lang w:val="en-GB"/>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lang w:val="en-GB"/>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lang w:val="en-GB"/>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lang w:val="en-GB"/>
    </w:rPr>
  </w:style>
  <w:style w:type="character" w:styleId="IntenseReference">
    <w:name w:val="Intense Reference"/>
    <w:basedOn w:val="DefaultParagraphFont"/>
    <w:uiPriority w:val="32"/>
    <w:qFormat/>
    <w:rPr>
      <w:b/>
      <w:bCs/>
      <w:smallCaps/>
      <w:color w:val="2F5496"/>
      <w:spacing w:val="5"/>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table" w:customStyle="1" w:styleId="PlainTable21">
    <w:name w:val="Plain Table 21"/>
    <w:basedOn w:val="TableNormal"/>
    <w:uiPriority w:val="42"/>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rPr>
      <w:lang w:val="en-GB"/>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lang w:val="en-GB"/>
    </w:rPr>
  </w:style>
  <w:style w:type="character" w:styleId="FollowedHyperlink">
    <w:name w:val="FollowedHyperlink"/>
    <w:basedOn w:val="DefaultParagraphFont"/>
    <w:uiPriority w:val="99"/>
    <w:rPr>
      <w:color w:val="954F72"/>
      <w:u w:val="single"/>
    </w:rPr>
  </w:style>
  <w:style w:type="character" w:customStyle="1" w:styleId="UnresolvedMention2">
    <w:name w:val="Unresolved Mention2"/>
    <w:basedOn w:val="DefaultParagraphFont"/>
    <w:uiPriority w:val="99"/>
    <w:rPr>
      <w:color w:val="605E5C"/>
      <w:shd w:val="clear" w:color="auto" w:fill="E1DFDD"/>
    </w:rPr>
  </w:style>
  <w:style w:type="character" w:styleId="UnresolvedMention">
    <w:name w:val="Unresolved Mention"/>
    <w:basedOn w:val="DefaultParagraphFont"/>
    <w:uiPriority w:val="99"/>
    <w:semiHidden/>
    <w:unhideWhenUsed/>
    <w:rsid w:val="00C93876"/>
    <w:rPr>
      <w:color w:val="605E5C"/>
      <w:shd w:val="clear" w:color="auto" w:fill="E1DFDD"/>
    </w:rPr>
  </w:style>
  <w:style w:type="paragraph" w:styleId="NoSpacing">
    <w:name w:val="No Spacing"/>
    <w:uiPriority w:val="1"/>
    <w:qFormat/>
    <w:rsid w:val="007157AA"/>
    <w:pPr>
      <w:spacing w:after="0" w:line="240" w:lineRule="auto"/>
    </w:pPr>
    <w:rPr>
      <w:rFonts w:asciiTheme="minorHAnsi" w:eastAsiaTheme="minorHAnsi" w:hAnsiTheme="minorHAnsi" w:cstheme="minorBidi"/>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1016/S0140-6736(21)02488-0" TargetMode="External"/><Relationship Id="rId18" Type="http://schemas.openxmlformats.org/officeDocument/2006/relationships/hyperlink" Target="https://doi.org/10.1007/s10389-020-01214-w" TargetMode="External"/><Relationship Id="rId26" Type="http://schemas.openxmlformats.org/officeDocument/2006/relationships/hyperlink" Target="https://www.google.com/url?sa=E&amp;q=https%3A%2F%2Fdoi.org%2F10.1002%2Fhpm.3765" TargetMode="External"/><Relationship Id="rId39" Type="http://schemas.openxmlformats.org/officeDocument/2006/relationships/fontTable" Target="fontTable.xml"/><Relationship Id="rId21" Type="http://schemas.openxmlformats.org/officeDocument/2006/relationships/hyperlink" Target="https://doi.org/10.18203/2394-6040.ijcmph20233425"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i.org/10.1080/23288604.2022.2124601" TargetMode="External"/><Relationship Id="rId25" Type="http://schemas.openxmlformats.org/officeDocument/2006/relationships/hyperlink" Target="https://doi.org/10.1186/s12913-023-09708-w"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4103/NJM.NJM_37_21" TargetMode="External"/><Relationship Id="rId20" Type="http://schemas.openxmlformats.org/officeDocument/2006/relationships/hyperlink" Target="https://doi.org/10.1111/dech.12808" TargetMode="External"/><Relationship Id="rId29" Type="http://schemas.openxmlformats.org/officeDocument/2006/relationships/hyperlink" Target="https://doi.org/10.5281/zenodo.69548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google.com/url?sa=E&amp;q=https%3A%2F%2Fdoi.org%2F10.4081%2Fjphia.2023.2345" TargetMode="External"/><Relationship Id="rId32" Type="http://schemas.openxmlformats.org/officeDocument/2006/relationships/hyperlink" Target="https://www.google.com/url?sa=E&amp;q=https%3A%2F%2Fdoi.org%2F10.1080%2F23288604.2020.1821034"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93/heapol/czae082" TargetMode="External"/><Relationship Id="rId23" Type="http://schemas.openxmlformats.org/officeDocument/2006/relationships/hyperlink" Target="https://qjmhs.com/index.php/qjmhs/article/view/28" TargetMode="External"/><Relationship Id="rId28" Type="http://schemas.openxmlformats.org/officeDocument/2006/relationships/hyperlink" Target="https://www.google.com/url?sa=E&amp;q=https%3A%2F%2Fdoi.org%2F10.1016%2Fj.dhjo.2023.101456" TargetMode="External"/><Relationship Id="rId36"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africanarguments.org/2020/04/19-years-africa-15-health-abuja-declaration/" TargetMode="External"/><Relationship Id="rId31" Type="http://schemas.openxmlformats.org/officeDocument/2006/relationships/hyperlink" Target="https://doi.org/10.1002/hpm.390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ogle.com/url?sa=E&amp;q=https%3A%2F%2Fdoi.org%2F10.1186%2Fs12913-023-09123-x" TargetMode="External"/><Relationship Id="rId22" Type="http://schemas.openxmlformats.org/officeDocument/2006/relationships/hyperlink" Target="https://doi.org/10.5281/zenodo.7046813" TargetMode="External"/><Relationship Id="rId27" Type="http://schemas.openxmlformats.org/officeDocument/2006/relationships/hyperlink" Target="https://www.google.com/url?sa=E&amp;q=https%3A%2F%2Fdoi.org%2F10.1186%2Fs12913-016-1711-y" TargetMode="External"/><Relationship Id="rId30" Type="http://schemas.openxmlformats.org/officeDocument/2006/relationships/hyperlink" Target="https://www.google.com/url?sa=E&amp;q=https%3A%2F%2Fdoi.org%2F10.1186%2Fs13561-024-00489-0"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3B076-A468-45FE-A4A6-778C42BB8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886</TotalTime>
  <Pages>18</Pages>
  <Words>6863</Words>
  <Characters>39123</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Chukwudi Ofurum</dc:creator>
  <cp:lastModifiedBy>Emmanuel Etim Clement</cp:lastModifiedBy>
  <cp:revision>105</cp:revision>
  <dcterms:created xsi:type="dcterms:W3CDTF">2026-01-03T23:44:00Z</dcterms:created>
  <dcterms:modified xsi:type="dcterms:W3CDTF">2026-01-12T23:35:00Z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3b0de3b836054b439f2b9e89d8fef39d</vt:lpwstr>
  </property>
  <property fmtid="{D5CDD505-2E9C-101B-9397-08002B2CF9AE}" pid="3" name="GrammarlyDocumentId">
    <vt:lpwstr>5085931b-3566-4417-82c1-af65c5f720cd</vt:lpwstr>
  </property>
  <property fmtid="{D5CDD505-2E9C-101B-9397-08002B2CF9AE}" pid="4" name="MSIP_Label_defa4170-0d19-0005-0004-bc88714345d2_Enabled">
    <vt:lpwstr>true</vt:lpwstr>
  </property>
  <property fmtid="{D5CDD505-2E9C-101B-9397-08002B2CF9AE}" pid="5" name="MSIP_Label_defa4170-0d19-0005-0004-bc88714345d2_SetDate">
    <vt:lpwstr>2026-01-04T22:06:33Z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29af94ea-2f74-40c2-af93-0db3d9e7a5c4</vt:lpwstr>
  </property>
  <property fmtid="{D5CDD505-2E9C-101B-9397-08002B2CF9AE}" pid="9" name="MSIP_Label_defa4170-0d19-0005-0004-bc88714345d2_ActionId">
    <vt:lpwstr>7b96053f-9b84-43a7-9546-4e53597b7009</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