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E9CE5" w14:textId="3D78FF57" w:rsidR="00A22A00" w:rsidRPr="00F218A8" w:rsidRDefault="00A22A00">
      <w:pPr>
        <w:rPr>
          <w:rFonts w:ascii="Times New Roman" w:hAnsi="Times New Roman" w:cs="Times New Roman"/>
          <w:b/>
          <w:sz w:val="24"/>
        </w:rPr>
      </w:pPr>
      <w:r w:rsidRPr="00F218A8">
        <w:rPr>
          <w:rFonts w:ascii="Times New Roman" w:hAnsi="Times New Roman" w:cs="Times New Roman"/>
          <w:b/>
          <w:sz w:val="24"/>
        </w:rPr>
        <w:t>SERUM ANTI-MULLERIAN HORMONE LEVELS AS A MARKER OF OVARIAN RESERVE IN WOMEN WITH PRIMARY AND SECONDARY INFERTILITY</w:t>
      </w:r>
    </w:p>
    <w:p w14:paraId="452B5421" w14:textId="77777777" w:rsidR="00953648" w:rsidRPr="00F218A8" w:rsidRDefault="00953648">
      <w:pPr>
        <w:rPr>
          <w:rFonts w:ascii="Times New Roman" w:hAnsi="Times New Roman" w:cs="Times New Roman"/>
          <w:b/>
          <w:sz w:val="24"/>
        </w:rPr>
      </w:pPr>
    </w:p>
    <w:p w14:paraId="19B89916" w14:textId="77777777" w:rsidR="009C66C3" w:rsidRPr="00F218A8" w:rsidRDefault="009C66C3">
      <w:pPr>
        <w:rPr>
          <w:rFonts w:ascii="Times New Roman" w:hAnsi="Times New Roman" w:cs="Times New Roman"/>
          <w:sz w:val="24"/>
        </w:rPr>
      </w:pPr>
    </w:p>
    <w:p w14:paraId="59D594FE" w14:textId="77777777" w:rsidR="009908DC" w:rsidRPr="00F218A8" w:rsidRDefault="009908DC" w:rsidP="00685AD1">
      <w:pPr>
        <w:spacing w:line="240" w:lineRule="auto"/>
        <w:jc w:val="both"/>
        <w:rPr>
          <w:rFonts w:ascii="Times New Roman" w:hAnsi="Times New Roman" w:cs="Times New Roman"/>
          <w:b/>
          <w:sz w:val="24"/>
          <w:szCs w:val="24"/>
        </w:rPr>
      </w:pPr>
      <w:r w:rsidRPr="00F218A8">
        <w:rPr>
          <w:rFonts w:ascii="Times New Roman" w:hAnsi="Times New Roman" w:cs="Times New Roman"/>
          <w:b/>
          <w:sz w:val="24"/>
          <w:szCs w:val="24"/>
        </w:rPr>
        <w:t>ABSTRACT</w:t>
      </w:r>
    </w:p>
    <w:p w14:paraId="71C1B05C" w14:textId="53A02690" w:rsidR="009908DC" w:rsidRPr="00F218A8" w:rsidRDefault="0057348F" w:rsidP="00B75DCF">
      <w:pPr>
        <w:spacing w:line="240" w:lineRule="auto"/>
        <w:jc w:val="both"/>
        <w:rPr>
          <w:rFonts w:ascii="Times New Roman" w:hAnsi="Times New Roman" w:cs="Times New Roman"/>
          <w:bCs/>
          <w:sz w:val="24"/>
          <w:szCs w:val="24"/>
        </w:rPr>
      </w:pPr>
      <w:r w:rsidRPr="00F218A8">
        <w:rPr>
          <w:rFonts w:ascii="Times New Roman" w:hAnsi="Times New Roman" w:cs="Times New Roman"/>
          <w:b/>
          <w:bCs/>
          <w:sz w:val="24"/>
          <w:szCs w:val="24"/>
        </w:rPr>
        <w:t>Background</w:t>
      </w:r>
      <w:r w:rsidR="00A57749" w:rsidRPr="00F218A8">
        <w:rPr>
          <w:rFonts w:ascii="Times New Roman" w:hAnsi="Times New Roman" w:cs="Times New Roman"/>
          <w:bCs/>
          <w:sz w:val="24"/>
          <w:szCs w:val="24"/>
        </w:rPr>
        <w:t xml:space="preserve">: </w:t>
      </w:r>
      <w:r w:rsidR="00A57749" w:rsidRPr="00F218A8">
        <w:rPr>
          <w:rFonts w:ascii="Times New Roman" w:hAnsi="Times New Roman" w:cs="Times New Roman"/>
          <w:sz w:val="24"/>
          <w:szCs w:val="24"/>
        </w:rPr>
        <w:t>Evaluating for ovarian reserve is invaluable when managing cases of infertility with possibilities of reduced ovarian reserve.</w:t>
      </w:r>
      <w:r w:rsidRPr="00F218A8">
        <w:rPr>
          <w:rFonts w:ascii="Times New Roman" w:hAnsi="Times New Roman" w:cs="Times New Roman"/>
          <w:bCs/>
          <w:sz w:val="24"/>
          <w:szCs w:val="24"/>
        </w:rPr>
        <w:t xml:space="preserve"> </w:t>
      </w:r>
      <w:r w:rsidRPr="00F218A8">
        <w:rPr>
          <w:rFonts w:ascii="Times New Roman" w:hAnsi="Times New Roman" w:cs="Times New Roman"/>
          <w:b/>
          <w:bCs/>
          <w:sz w:val="24"/>
          <w:szCs w:val="24"/>
        </w:rPr>
        <w:t>Aim</w:t>
      </w:r>
      <w:r w:rsidR="009908DC" w:rsidRPr="00F218A8">
        <w:rPr>
          <w:rFonts w:ascii="Times New Roman" w:hAnsi="Times New Roman" w:cs="Times New Roman"/>
          <w:bCs/>
          <w:sz w:val="24"/>
          <w:szCs w:val="24"/>
        </w:rPr>
        <w:t xml:space="preserve">: To determine the serum anti-Mullerian hormone level as a marker of ovarian reserve among Infertile women and </w:t>
      </w:r>
      <w:r w:rsidR="00F80667" w:rsidRPr="00F218A8">
        <w:rPr>
          <w:rFonts w:ascii="Times New Roman" w:hAnsi="Times New Roman" w:cs="Times New Roman"/>
          <w:bCs/>
          <w:sz w:val="24"/>
          <w:szCs w:val="24"/>
        </w:rPr>
        <w:t xml:space="preserve">compare </w:t>
      </w:r>
      <w:r w:rsidR="009908DC" w:rsidRPr="00F218A8">
        <w:rPr>
          <w:rFonts w:ascii="Times New Roman" w:hAnsi="Times New Roman" w:cs="Times New Roman"/>
          <w:bCs/>
          <w:sz w:val="24"/>
          <w:szCs w:val="24"/>
        </w:rPr>
        <w:t>the levels with other reproductive hormones in the age range of 21 – 45 years, and also compare it with levels in women of proven fertility.</w:t>
      </w:r>
      <w:r w:rsidRPr="00F218A8">
        <w:rPr>
          <w:rFonts w:ascii="Times New Roman" w:hAnsi="Times New Roman" w:cs="Times New Roman"/>
          <w:bCs/>
          <w:sz w:val="24"/>
          <w:szCs w:val="24"/>
        </w:rPr>
        <w:t xml:space="preserve"> </w:t>
      </w:r>
      <w:r w:rsidRPr="00F218A8">
        <w:rPr>
          <w:rFonts w:ascii="Times New Roman" w:hAnsi="Times New Roman" w:cs="Times New Roman"/>
          <w:b/>
          <w:sz w:val="24"/>
          <w:szCs w:val="24"/>
        </w:rPr>
        <w:t>Subjects and Methods</w:t>
      </w:r>
      <w:r w:rsidR="009908DC" w:rsidRPr="00F218A8">
        <w:rPr>
          <w:rFonts w:ascii="Times New Roman" w:hAnsi="Times New Roman" w:cs="Times New Roman"/>
          <w:sz w:val="24"/>
          <w:szCs w:val="24"/>
        </w:rPr>
        <w:t>:</w:t>
      </w:r>
      <w:r w:rsidR="00F84DD7" w:rsidRPr="00F218A8">
        <w:rPr>
          <w:rFonts w:ascii="Times New Roman" w:hAnsi="Times New Roman" w:cs="Times New Roman"/>
          <w:sz w:val="24"/>
          <w:szCs w:val="24"/>
        </w:rPr>
        <w:t xml:space="preserve"> </w:t>
      </w:r>
      <w:r w:rsidR="00F84DD7" w:rsidRPr="00F218A8">
        <w:rPr>
          <w:rFonts w:ascii="Times New Roman" w:hAnsi="Times New Roman" w:cs="Times New Roman"/>
          <w:bCs/>
          <w:sz w:val="24"/>
          <w:szCs w:val="24"/>
        </w:rPr>
        <w:t>A hospital-based case control study w</w:t>
      </w:r>
      <w:r w:rsidR="00F80667" w:rsidRPr="00F218A8">
        <w:rPr>
          <w:rFonts w:ascii="Times New Roman" w:hAnsi="Times New Roman" w:cs="Times New Roman"/>
          <w:bCs/>
          <w:sz w:val="24"/>
          <w:szCs w:val="24"/>
        </w:rPr>
        <w:t>as</w:t>
      </w:r>
      <w:r w:rsidR="00F84DD7" w:rsidRPr="00F218A8">
        <w:rPr>
          <w:rFonts w:ascii="Times New Roman" w:hAnsi="Times New Roman" w:cs="Times New Roman"/>
          <w:bCs/>
          <w:sz w:val="24"/>
          <w:szCs w:val="24"/>
        </w:rPr>
        <w:t xml:space="preserve"> carried out at the Department of Obstetrics and Gynaecology</w:t>
      </w:r>
      <w:r w:rsidR="00F80667" w:rsidRPr="00F218A8">
        <w:rPr>
          <w:rFonts w:ascii="Times New Roman" w:hAnsi="Times New Roman" w:cs="Times New Roman"/>
          <w:bCs/>
          <w:sz w:val="24"/>
          <w:szCs w:val="24"/>
        </w:rPr>
        <w:t>,</w:t>
      </w:r>
      <w:r w:rsidR="00F84DD7" w:rsidRPr="00F218A8">
        <w:rPr>
          <w:rFonts w:ascii="Times New Roman" w:hAnsi="Times New Roman" w:cs="Times New Roman"/>
          <w:bCs/>
          <w:sz w:val="24"/>
          <w:szCs w:val="24"/>
        </w:rPr>
        <w:t xml:space="preserve"> </w:t>
      </w:r>
      <w:proofErr w:type="spellStart"/>
      <w:r w:rsidR="00F84DD7" w:rsidRPr="00F218A8">
        <w:rPr>
          <w:rFonts w:ascii="Times New Roman" w:hAnsi="Times New Roman" w:cs="Times New Roman"/>
          <w:bCs/>
          <w:sz w:val="24"/>
          <w:szCs w:val="24"/>
        </w:rPr>
        <w:t>Irrua</w:t>
      </w:r>
      <w:proofErr w:type="spellEnd"/>
      <w:r w:rsidR="00F84DD7" w:rsidRPr="00F218A8">
        <w:rPr>
          <w:rFonts w:ascii="Times New Roman" w:hAnsi="Times New Roman" w:cs="Times New Roman"/>
          <w:bCs/>
          <w:sz w:val="24"/>
          <w:szCs w:val="24"/>
        </w:rPr>
        <w:t xml:space="preserve"> Specialist Teaching Hospital (ISTH) from 2021-2022.</w:t>
      </w:r>
      <w:r w:rsidR="009908DC" w:rsidRPr="00F218A8">
        <w:rPr>
          <w:rFonts w:ascii="Times New Roman" w:hAnsi="Times New Roman" w:cs="Times New Roman"/>
          <w:sz w:val="24"/>
          <w:szCs w:val="24"/>
        </w:rPr>
        <w:t xml:space="preserve"> </w:t>
      </w:r>
      <w:r w:rsidR="00F84DD7" w:rsidRPr="00F218A8">
        <w:rPr>
          <w:rFonts w:ascii="Times New Roman" w:hAnsi="Times New Roman" w:cs="Times New Roman"/>
          <w:sz w:val="24"/>
          <w:szCs w:val="24"/>
        </w:rPr>
        <w:t>Sixty-</w:t>
      </w:r>
      <w:r w:rsidR="009908DC" w:rsidRPr="00F218A8">
        <w:rPr>
          <w:rFonts w:ascii="Times New Roman" w:hAnsi="Times New Roman" w:cs="Times New Roman"/>
          <w:sz w:val="24"/>
          <w:szCs w:val="24"/>
        </w:rPr>
        <w:t xml:space="preserve">five (65) infertile and sixty-five fertile women whose ages ranged from 21 </w:t>
      </w:r>
      <w:r w:rsidR="00F80667" w:rsidRPr="00F218A8">
        <w:rPr>
          <w:rFonts w:ascii="Times New Roman" w:hAnsi="Times New Roman" w:cs="Times New Roman"/>
          <w:sz w:val="24"/>
          <w:szCs w:val="24"/>
        </w:rPr>
        <w:t xml:space="preserve">to </w:t>
      </w:r>
      <w:r w:rsidR="009908DC" w:rsidRPr="00F218A8">
        <w:rPr>
          <w:rFonts w:ascii="Times New Roman" w:hAnsi="Times New Roman" w:cs="Times New Roman"/>
          <w:sz w:val="24"/>
          <w:szCs w:val="24"/>
        </w:rPr>
        <w:t>45 years were included as the test and control groups</w:t>
      </w:r>
      <w:r w:rsidR="00F80667" w:rsidRPr="00F218A8">
        <w:rPr>
          <w:rFonts w:ascii="Times New Roman" w:hAnsi="Times New Roman" w:cs="Times New Roman"/>
          <w:sz w:val="24"/>
          <w:szCs w:val="24"/>
        </w:rPr>
        <w:t>,</w:t>
      </w:r>
      <w:r w:rsidR="009908DC" w:rsidRPr="00F218A8">
        <w:rPr>
          <w:rFonts w:ascii="Times New Roman" w:hAnsi="Times New Roman" w:cs="Times New Roman"/>
          <w:sz w:val="24"/>
          <w:szCs w:val="24"/>
        </w:rPr>
        <w:t xml:space="preserve"> respectively. </w:t>
      </w:r>
      <w:r w:rsidR="00B75DCF" w:rsidRPr="00F218A8">
        <w:rPr>
          <w:rFonts w:ascii="Times New Roman" w:hAnsi="Times New Roman" w:cs="Times New Roman"/>
          <w:sz w:val="24"/>
          <w:szCs w:val="24"/>
        </w:rPr>
        <w:t xml:space="preserve">The study population was made up of infertile (case) and fertile women (control) who were recruited from the department of obstetrics and gynaecology and </w:t>
      </w:r>
      <w:r w:rsidR="00F80667" w:rsidRPr="00F218A8">
        <w:rPr>
          <w:rFonts w:ascii="Times New Roman" w:hAnsi="Times New Roman" w:cs="Times New Roman"/>
          <w:sz w:val="24"/>
          <w:szCs w:val="24"/>
        </w:rPr>
        <w:t xml:space="preserve">the </w:t>
      </w:r>
      <w:r w:rsidR="00B75DCF" w:rsidRPr="00F218A8">
        <w:rPr>
          <w:rFonts w:ascii="Times New Roman" w:hAnsi="Times New Roman" w:cs="Times New Roman"/>
          <w:sz w:val="24"/>
          <w:szCs w:val="24"/>
        </w:rPr>
        <w:t xml:space="preserve">infant welfare clinic. The total study population was one hundred and thirty (130) women. </w:t>
      </w:r>
      <w:r w:rsidR="009908DC" w:rsidRPr="00F218A8">
        <w:rPr>
          <w:rFonts w:ascii="Times New Roman" w:hAnsi="Times New Roman" w:cs="Times New Roman"/>
          <w:sz w:val="24"/>
          <w:szCs w:val="24"/>
        </w:rPr>
        <w:t xml:space="preserve">Routine sex hormones and AMH in both groups were assayed. The mean, SD, and correlation test were studied between the variables, and the test of significance of variables between the two groups was also </w:t>
      </w:r>
      <w:r w:rsidR="00685AD1" w:rsidRPr="00F218A8">
        <w:rPr>
          <w:rFonts w:ascii="Times New Roman" w:hAnsi="Times New Roman" w:cs="Times New Roman"/>
          <w:sz w:val="24"/>
          <w:szCs w:val="24"/>
        </w:rPr>
        <w:t>analysed</w:t>
      </w:r>
      <w:r w:rsidR="009908DC" w:rsidRPr="00F218A8">
        <w:rPr>
          <w:rFonts w:ascii="Times New Roman" w:hAnsi="Times New Roman" w:cs="Times New Roman"/>
          <w:sz w:val="24"/>
          <w:szCs w:val="24"/>
        </w:rPr>
        <w:t xml:space="preserve"> using the </w:t>
      </w:r>
      <w:r w:rsidR="00F80667" w:rsidRPr="00F218A8">
        <w:rPr>
          <w:rFonts w:ascii="Times New Roman" w:hAnsi="Times New Roman" w:cs="Times New Roman"/>
          <w:sz w:val="24"/>
          <w:szCs w:val="24"/>
        </w:rPr>
        <w:t>Statistical P</w:t>
      </w:r>
      <w:r w:rsidR="009908DC" w:rsidRPr="00F218A8">
        <w:rPr>
          <w:rFonts w:ascii="Times New Roman" w:hAnsi="Times New Roman" w:cs="Times New Roman"/>
          <w:sz w:val="24"/>
          <w:szCs w:val="24"/>
        </w:rPr>
        <w:t xml:space="preserve">ackage of </w:t>
      </w:r>
      <w:r w:rsidR="00F80667" w:rsidRPr="00F218A8">
        <w:rPr>
          <w:rFonts w:ascii="Times New Roman" w:hAnsi="Times New Roman" w:cs="Times New Roman"/>
          <w:sz w:val="24"/>
          <w:szCs w:val="24"/>
        </w:rPr>
        <w:t>the Social S</w:t>
      </w:r>
      <w:r w:rsidR="009908DC" w:rsidRPr="00F218A8">
        <w:rPr>
          <w:rFonts w:ascii="Times New Roman" w:hAnsi="Times New Roman" w:cs="Times New Roman"/>
          <w:sz w:val="24"/>
          <w:szCs w:val="24"/>
        </w:rPr>
        <w:t>ciences (SPSS)</w:t>
      </w:r>
      <w:r w:rsidRPr="00F218A8">
        <w:rPr>
          <w:rFonts w:ascii="Times New Roman" w:hAnsi="Times New Roman" w:cs="Times New Roman"/>
          <w:bCs/>
          <w:sz w:val="24"/>
          <w:szCs w:val="24"/>
        </w:rPr>
        <w:t xml:space="preserve">. </w:t>
      </w:r>
      <w:r w:rsidRPr="00F218A8">
        <w:rPr>
          <w:rFonts w:ascii="Times New Roman" w:hAnsi="Times New Roman" w:cs="Times New Roman"/>
          <w:b/>
          <w:bCs/>
          <w:sz w:val="24"/>
          <w:szCs w:val="24"/>
        </w:rPr>
        <w:t>Results</w:t>
      </w:r>
      <w:r w:rsidR="009908DC" w:rsidRPr="00F218A8">
        <w:rPr>
          <w:rFonts w:ascii="Times New Roman" w:hAnsi="Times New Roman" w:cs="Times New Roman"/>
          <w:sz w:val="24"/>
          <w:szCs w:val="24"/>
        </w:rPr>
        <w:t xml:space="preserve">: The most represented age group ranged between 26 </w:t>
      </w:r>
      <w:r w:rsidR="00F80667" w:rsidRPr="00F218A8">
        <w:rPr>
          <w:rFonts w:ascii="Times New Roman" w:hAnsi="Times New Roman" w:cs="Times New Roman"/>
          <w:sz w:val="24"/>
          <w:szCs w:val="24"/>
        </w:rPr>
        <w:t xml:space="preserve">and </w:t>
      </w:r>
      <w:r w:rsidR="009908DC" w:rsidRPr="00F218A8">
        <w:rPr>
          <w:rFonts w:ascii="Times New Roman" w:hAnsi="Times New Roman" w:cs="Times New Roman"/>
          <w:sz w:val="24"/>
          <w:szCs w:val="24"/>
        </w:rPr>
        <w:t>30 years. Secondary and primary infertility accounted for 69.2% and 30.8%</w:t>
      </w:r>
      <w:r w:rsidR="00F80667" w:rsidRPr="00F218A8">
        <w:rPr>
          <w:rFonts w:ascii="Times New Roman" w:hAnsi="Times New Roman" w:cs="Times New Roman"/>
          <w:sz w:val="24"/>
          <w:szCs w:val="24"/>
        </w:rPr>
        <w:t>,</w:t>
      </w:r>
      <w:r w:rsidR="009908DC" w:rsidRPr="00F218A8">
        <w:rPr>
          <w:rFonts w:ascii="Times New Roman" w:hAnsi="Times New Roman" w:cs="Times New Roman"/>
          <w:sz w:val="24"/>
          <w:szCs w:val="24"/>
        </w:rPr>
        <w:t xml:space="preserve"> respectively</w:t>
      </w:r>
      <w:r w:rsidR="00F80667" w:rsidRPr="00F218A8">
        <w:rPr>
          <w:rFonts w:ascii="Times New Roman" w:hAnsi="Times New Roman" w:cs="Times New Roman"/>
          <w:sz w:val="24"/>
          <w:szCs w:val="24"/>
        </w:rPr>
        <w:t>,</w:t>
      </w:r>
      <w:r w:rsidR="009908DC" w:rsidRPr="00F218A8">
        <w:rPr>
          <w:rFonts w:ascii="Times New Roman" w:hAnsi="Times New Roman" w:cs="Times New Roman"/>
          <w:sz w:val="24"/>
          <w:szCs w:val="24"/>
        </w:rPr>
        <w:t xml:space="preserve"> of infertility in the test group. The mean value of serum AMH in infertile subjects was 2.07±4.6ng/ml while </w:t>
      </w:r>
      <w:r w:rsidR="003702FC" w:rsidRPr="00F218A8">
        <w:rPr>
          <w:rFonts w:ascii="Times New Roman" w:hAnsi="Times New Roman" w:cs="Times New Roman"/>
          <w:sz w:val="24"/>
          <w:szCs w:val="24"/>
        </w:rPr>
        <w:t>that in the fertile subjects</w:t>
      </w:r>
      <w:r w:rsidR="009908DC" w:rsidRPr="00F218A8">
        <w:rPr>
          <w:rFonts w:ascii="Times New Roman" w:hAnsi="Times New Roman" w:cs="Times New Roman"/>
          <w:sz w:val="24"/>
          <w:szCs w:val="24"/>
        </w:rPr>
        <w:t xml:space="preserve"> was 3.80±5.8ng/ml and this was statistically significant (p=0.001). The study established a weak but significant negative correlation between AMH and FSH (r=-0.143; p=0.001). However, no statistically significant correlation was found between mean AMH values and mean LH, E</w:t>
      </w:r>
      <w:r w:rsidR="009908DC" w:rsidRPr="00F218A8">
        <w:rPr>
          <w:rFonts w:ascii="Times New Roman" w:hAnsi="Times New Roman" w:cs="Times New Roman"/>
          <w:sz w:val="24"/>
          <w:szCs w:val="24"/>
          <w:vertAlign w:val="subscript"/>
        </w:rPr>
        <w:t>2</w:t>
      </w:r>
      <w:r w:rsidR="009908DC" w:rsidRPr="00F218A8">
        <w:rPr>
          <w:rFonts w:ascii="Times New Roman" w:hAnsi="Times New Roman" w:cs="Times New Roman"/>
          <w:sz w:val="24"/>
          <w:szCs w:val="24"/>
        </w:rPr>
        <w:t>, progesterone, and prolactin values</w:t>
      </w:r>
      <w:r w:rsidR="00F80667" w:rsidRPr="00F218A8">
        <w:rPr>
          <w:rFonts w:ascii="Times New Roman" w:hAnsi="Times New Roman" w:cs="Times New Roman"/>
          <w:sz w:val="24"/>
          <w:szCs w:val="24"/>
        </w:rPr>
        <w:t>,</w:t>
      </w:r>
      <w:r w:rsidR="009908DC" w:rsidRPr="00F218A8">
        <w:rPr>
          <w:rFonts w:ascii="Times New Roman" w:hAnsi="Times New Roman" w:cs="Times New Roman"/>
          <w:sz w:val="24"/>
          <w:szCs w:val="24"/>
        </w:rPr>
        <w:t xml:space="preserve"> respectively (p&gt;0.05).</w:t>
      </w:r>
      <w:r w:rsidRPr="00F218A8">
        <w:rPr>
          <w:rFonts w:ascii="Times New Roman" w:hAnsi="Times New Roman" w:cs="Times New Roman"/>
          <w:bCs/>
          <w:sz w:val="24"/>
          <w:szCs w:val="24"/>
        </w:rPr>
        <w:t xml:space="preserve"> </w:t>
      </w:r>
      <w:r w:rsidRPr="00F218A8">
        <w:rPr>
          <w:rFonts w:ascii="Times New Roman" w:hAnsi="Times New Roman" w:cs="Times New Roman"/>
          <w:b/>
          <w:bCs/>
          <w:sz w:val="24"/>
          <w:szCs w:val="24"/>
        </w:rPr>
        <w:t>Conclusion</w:t>
      </w:r>
      <w:r w:rsidR="009908DC" w:rsidRPr="00F218A8">
        <w:rPr>
          <w:rFonts w:ascii="Times New Roman" w:hAnsi="Times New Roman" w:cs="Times New Roman"/>
          <w:sz w:val="24"/>
          <w:szCs w:val="24"/>
        </w:rPr>
        <w:t>: AMH can be considered a good marker of ovarian reserve as it is cycle-independent when compared to other reproductive hormones and subsequently can be used to assess ovarian reserve.</w:t>
      </w:r>
    </w:p>
    <w:p w14:paraId="2E979C54" w14:textId="41F441D9" w:rsidR="009908DC" w:rsidRPr="00F218A8" w:rsidRDefault="009908DC" w:rsidP="00767608">
      <w:pPr>
        <w:spacing w:line="480" w:lineRule="auto"/>
        <w:jc w:val="both"/>
        <w:rPr>
          <w:rFonts w:ascii="Times New Roman" w:hAnsi="Times New Roman" w:cs="Times New Roman"/>
          <w:sz w:val="24"/>
          <w:szCs w:val="24"/>
        </w:rPr>
      </w:pPr>
      <w:r w:rsidRPr="00F218A8">
        <w:rPr>
          <w:rFonts w:ascii="Times New Roman" w:hAnsi="Times New Roman" w:cs="Times New Roman"/>
          <w:b/>
          <w:sz w:val="24"/>
          <w:szCs w:val="24"/>
        </w:rPr>
        <w:t>Keywords</w:t>
      </w:r>
      <w:r w:rsidRPr="00F218A8">
        <w:rPr>
          <w:rFonts w:ascii="Times New Roman" w:hAnsi="Times New Roman" w:cs="Times New Roman"/>
          <w:sz w:val="24"/>
          <w:szCs w:val="24"/>
        </w:rPr>
        <w:t xml:space="preserve">: Ovarian reserve, anti-Mullerian hormone, </w:t>
      </w:r>
      <w:r w:rsidR="00F80667" w:rsidRPr="00F218A8">
        <w:rPr>
          <w:rFonts w:ascii="Times New Roman" w:hAnsi="Times New Roman" w:cs="Times New Roman"/>
          <w:sz w:val="24"/>
          <w:szCs w:val="24"/>
        </w:rPr>
        <w:t>follicle-</w:t>
      </w:r>
      <w:r w:rsidRPr="00F218A8">
        <w:rPr>
          <w:rFonts w:ascii="Times New Roman" w:hAnsi="Times New Roman" w:cs="Times New Roman"/>
          <w:sz w:val="24"/>
          <w:szCs w:val="24"/>
        </w:rPr>
        <w:t>stimulating hormone.</w:t>
      </w:r>
    </w:p>
    <w:p w14:paraId="0955135E" w14:textId="77777777" w:rsidR="009908DC" w:rsidRPr="00F218A8" w:rsidRDefault="0061145C" w:rsidP="00767608">
      <w:pPr>
        <w:spacing w:line="240" w:lineRule="auto"/>
        <w:jc w:val="both"/>
        <w:rPr>
          <w:rFonts w:ascii="Times New Roman" w:hAnsi="Times New Roman" w:cs="Times New Roman"/>
          <w:b/>
          <w:sz w:val="24"/>
        </w:rPr>
      </w:pPr>
      <w:r w:rsidRPr="00F218A8">
        <w:rPr>
          <w:rFonts w:ascii="Times New Roman" w:hAnsi="Times New Roman" w:cs="Times New Roman"/>
          <w:b/>
          <w:sz w:val="24"/>
        </w:rPr>
        <w:t>INTRODUCTION</w:t>
      </w:r>
      <w:r w:rsidR="00E06FF9" w:rsidRPr="00F218A8">
        <w:rPr>
          <w:rFonts w:ascii="Times New Roman" w:hAnsi="Times New Roman" w:cs="Times New Roman"/>
          <w:b/>
          <w:sz w:val="24"/>
        </w:rPr>
        <w:t xml:space="preserve"> </w:t>
      </w:r>
    </w:p>
    <w:p w14:paraId="1FD4B040" w14:textId="29325CEA" w:rsidR="00E06FF9" w:rsidRPr="00F218A8" w:rsidRDefault="008950C4" w:rsidP="00767608">
      <w:pPr>
        <w:spacing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w:t>
      </w:r>
      <w:r w:rsidR="00E06FF9" w:rsidRPr="00F218A8">
        <w:rPr>
          <w:rFonts w:ascii="Times New Roman" w:hAnsi="Times New Roman" w:cs="Times New Roman"/>
          <w:sz w:val="24"/>
          <w:szCs w:val="24"/>
        </w:rPr>
        <w:t>Infertility is defined as the inability of a couple to conceive despite adequate unprotected sexual intercourse within a year or more of living together or cohabiting</w:t>
      </w:r>
      <w:r>
        <w:rPr>
          <w:rFonts w:ascii="Times New Roman" w:hAnsi="Times New Roman" w:cs="Times New Roman"/>
          <w:sz w:val="24"/>
          <w:szCs w:val="24"/>
        </w:rPr>
        <w:t>”</w:t>
      </w:r>
      <w:r w:rsidR="00E06FF9" w:rsidRPr="00F218A8">
        <w:rPr>
          <w:rFonts w:ascii="Times New Roman" w:hAnsi="Times New Roman" w:cs="Times New Roman"/>
          <w:sz w:val="24"/>
          <w:szCs w:val="24"/>
        </w:rPr>
        <w:t>.</w:t>
      </w:r>
      <w:r w:rsidR="00596908" w:rsidRPr="00F218A8">
        <w:rPr>
          <w:rFonts w:ascii="Times New Roman" w:hAnsi="Times New Roman" w:cs="Times New Roman"/>
          <w:sz w:val="24"/>
          <w:szCs w:val="24"/>
          <w:vertAlign w:val="superscript"/>
        </w:rPr>
        <w:t>[</w:t>
      </w:r>
      <w:r w:rsidR="003D6BAF" w:rsidRPr="00F218A8">
        <w:rPr>
          <w:rFonts w:ascii="Times New Roman" w:hAnsi="Times New Roman" w:cs="Times New Roman"/>
          <w:sz w:val="24"/>
          <w:szCs w:val="24"/>
          <w:vertAlign w:val="superscript"/>
        </w:rPr>
        <w:t>1</w:t>
      </w:r>
      <w:r w:rsidR="00596908" w:rsidRPr="00F218A8">
        <w:rPr>
          <w:rFonts w:ascii="Times New Roman" w:hAnsi="Times New Roman" w:cs="Times New Roman"/>
          <w:sz w:val="24"/>
          <w:szCs w:val="24"/>
          <w:vertAlign w:val="superscript"/>
        </w:rPr>
        <w:t>]</w:t>
      </w:r>
      <w:r w:rsidR="00E06FF9" w:rsidRPr="00F218A8">
        <w:rPr>
          <w:rFonts w:ascii="Times New Roman" w:hAnsi="Times New Roman" w:cs="Times New Roman"/>
          <w:sz w:val="24"/>
          <w:szCs w:val="24"/>
        </w:rPr>
        <w:t xml:space="preserve"> </w:t>
      </w:r>
      <w:r w:rsidR="00120AE2">
        <w:rPr>
          <w:rFonts w:ascii="Times New Roman" w:hAnsi="Times New Roman" w:cs="Times New Roman"/>
          <w:sz w:val="24"/>
          <w:szCs w:val="24"/>
        </w:rPr>
        <w:t>“</w:t>
      </w:r>
      <w:r w:rsidR="00E06FF9" w:rsidRPr="00F218A8">
        <w:rPr>
          <w:rFonts w:ascii="Times New Roman" w:hAnsi="Times New Roman" w:cs="Times New Roman"/>
          <w:sz w:val="24"/>
          <w:szCs w:val="24"/>
        </w:rPr>
        <w:t xml:space="preserve">Infertility is also defined by the World Health </w:t>
      </w:r>
      <w:r w:rsidR="00F80667" w:rsidRPr="00F218A8">
        <w:rPr>
          <w:rFonts w:ascii="Times New Roman" w:hAnsi="Times New Roman" w:cs="Times New Roman"/>
          <w:sz w:val="24"/>
          <w:szCs w:val="24"/>
        </w:rPr>
        <w:t xml:space="preserve">Organisation </w:t>
      </w:r>
      <w:r w:rsidR="00E06FF9" w:rsidRPr="00F218A8">
        <w:rPr>
          <w:rFonts w:ascii="Times New Roman" w:hAnsi="Times New Roman" w:cs="Times New Roman"/>
          <w:sz w:val="24"/>
          <w:szCs w:val="24"/>
        </w:rPr>
        <w:t>(WHO) as a disease of the reproductive system which results in failure to achieve a clinical pregnancy after 12 months or more of regular unprotected sexual intercourse while living together or cohabiting</w:t>
      </w:r>
      <w:r w:rsidR="00120AE2">
        <w:rPr>
          <w:rFonts w:ascii="Times New Roman" w:hAnsi="Times New Roman" w:cs="Times New Roman"/>
          <w:sz w:val="24"/>
          <w:szCs w:val="24"/>
        </w:rPr>
        <w:t>”</w:t>
      </w:r>
      <w:r w:rsidR="00E06FF9" w:rsidRPr="00F218A8">
        <w:rPr>
          <w:rFonts w:ascii="Times New Roman" w:hAnsi="Times New Roman" w:cs="Times New Roman"/>
          <w:sz w:val="24"/>
          <w:szCs w:val="24"/>
        </w:rPr>
        <w:t>.</w:t>
      </w:r>
      <w:r w:rsidR="00596908" w:rsidRPr="00F218A8">
        <w:rPr>
          <w:rFonts w:ascii="Times New Roman" w:hAnsi="Times New Roman" w:cs="Times New Roman"/>
          <w:sz w:val="24"/>
          <w:szCs w:val="24"/>
          <w:vertAlign w:val="superscript"/>
        </w:rPr>
        <w:t>[</w:t>
      </w:r>
      <w:r w:rsidR="003D6BAF" w:rsidRPr="00F218A8">
        <w:rPr>
          <w:rFonts w:ascii="Times New Roman" w:hAnsi="Times New Roman" w:cs="Times New Roman"/>
          <w:sz w:val="24"/>
          <w:szCs w:val="24"/>
          <w:vertAlign w:val="superscript"/>
        </w:rPr>
        <w:t>2</w:t>
      </w:r>
      <w:r w:rsidR="00596908" w:rsidRPr="00F218A8">
        <w:rPr>
          <w:rFonts w:ascii="Times New Roman" w:hAnsi="Times New Roman" w:cs="Times New Roman"/>
          <w:sz w:val="24"/>
          <w:szCs w:val="24"/>
          <w:vertAlign w:val="superscript"/>
        </w:rPr>
        <w:t>]</w:t>
      </w:r>
      <w:r w:rsidR="00E06FF9" w:rsidRPr="00F218A8">
        <w:rPr>
          <w:rFonts w:ascii="Times New Roman" w:hAnsi="Times New Roman" w:cs="Times New Roman"/>
          <w:sz w:val="24"/>
          <w:szCs w:val="24"/>
        </w:rPr>
        <w:t xml:space="preserve"> Demographic infertility can be defined as the inability of those of reproductive age (15 - 49 years) to become or remain pregnant within a 5 year period of exposure to pregnancy.</w:t>
      </w:r>
      <w:r w:rsidR="00596908" w:rsidRPr="00F218A8">
        <w:rPr>
          <w:rFonts w:ascii="Times New Roman" w:hAnsi="Times New Roman" w:cs="Times New Roman"/>
          <w:sz w:val="24"/>
          <w:szCs w:val="24"/>
          <w:vertAlign w:val="superscript"/>
        </w:rPr>
        <w:t>[</w:t>
      </w:r>
      <w:r w:rsidR="003D6BAF" w:rsidRPr="00F218A8">
        <w:rPr>
          <w:rFonts w:ascii="Times New Roman" w:hAnsi="Times New Roman" w:cs="Times New Roman"/>
          <w:sz w:val="24"/>
          <w:szCs w:val="24"/>
          <w:vertAlign w:val="superscript"/>
        </w:rPr>
        <w:t>3</w:t>
      </w:r>
      <w:r w:rsidR="00596908" w:rsidRPr="00F218A8">
        <w:rPr>
          <w:rFonts w:ascii="Times New Roman" w:hAnsi="Times New Roman" w:cs="Times New Roman"/>
          <w:sz w:val="24"/>
          <w:szCs w:val="24"/>
          <w:vertAlign w:val="superscript"/>
        </w:rPr>
        <w:t>]</w:t>
      </w:r>
      <w:r w:rsidR="00E06FF9" w:rsidRPr="00F218A8">
        <w:rPr>
          <w:rFonts w:ascii="Times New Roman" w:hAnsi="Times New Roman" w:cs="Times New Roman"/>
          <w:sz w:val="24"/>
          <w:szCs w:val="24"/>
          <w:vertAlign w:val="superscript"/>
        </w:rPr>
        <w:t xml:space="preserve">  </w:t>
      </w:r>
      <w:r w:rsidR="00E06FF9" w:rsidRPr="00F218A8">
        <w:rPr>
          <w:rFonts w:ascii="Times New Roman" w:hAnsi="Times New Roman" w:cs="Times New Roman"/>
          <w:sz w:val="24"/>
          <w:szCs w:val="24"/>
        </w:rPr>
        <w:t>It is classified as primary infertility if the couple has never achieved conception in the past</w:t>
      </w:r>
      <w:r w:rsidR="00F80667" w:rsidRPr="00F218A8">
        <w:rPr>
          <w:rFonts w:ascii="Times New Roman" w:hAnsi="Times New Roman" w:cs="Times New Roman"/>
          <w:sz w:val="24"/>
          <w:szCs w:val="24"/>
        </w:rPr>
        <w:t>,</w:t>
      </w:r>
      <w:r w:rsidR="00E06FF9" w:rsidRPr="00F218A8">
        <w:rPr>
          <w:rFonts w:ascii="Times New Roman" w:hAnsi="Times New Roman" w:cs="Times New Roman"/>
          <w:sz w:val="24"/>
          <w:szCs w:val="24"/>
        </w:rPr>
        <w:t xml:space="preserve"> and secondary infertility in situations where the couple had conceived in the past</w:t>
      </w:r>
      <w:r w:rsidR="00F80667" w:rsidRPr="00F218A8">
        <w:rPr>
          <w:rFonts w:ascii="Times New Roman" w:hAnsi="Times New Roman" w:cs="Times New Roman"/>
          <w:sz w:val="24"/>
          <w:szCs w:val="24"/>
        </w:rPr>
        <w:t>,</w:t>
      </w:r>
      <w:r w:rsidR="00E06FF9" w:rsidRPr="00F218A8">
        <w:rPr>
          <w:rFonts w:ascii="Times New Roman" w:hAnsi="Times New Roman" w:cs="Times New Roman"/>
          <w:sz w:val="24"/>
          <w:szCs w:val="24"/>
        </w:rPr>
        <w:t xml:space="preserve"> regardless of the outcome of the pregnancy</w:t>
      </w:r>
      <w:r w:rsidR="00F80667" w:rsidRPr="00F218A8">
        <w:rPr>
          <w:rFonts w:ascii="Times New Roman" w:hAnsi="Times New Roman" w:cs="Times New Roman"/>
          <w:sz w:val="24"/>
          <w:szCs w:val="24"/>
        </w:rPr>
        <w:t>,</w:t>
      </w:r>
      <w:r w:rsidR="00E06FF9" w:rsidRPr="00F218A8">
        <w:rPr>
          <w:rFonts w:ascii="Times New Roman" w:hAnsi="Times New Roman" w:cs="Times New Roman"/>
          <w:sz w:val="24"/>
          <w:szCs w:val="24"/>
        </w:rPr>
        <w:t xml:space="preserve"> after a year or more of regular unprotected sexual intercourse.</w:t>
      </w:r>
      <w:r w:rsidR="00596908" w:rsidRPr="00F218A8">
        <w:rPr>
          <w:rFonts w:ascii="Times New Roman" w:hAnsi="Times New Roman" w:cs="Times New Roman"/>
          <w:sz w:val="24"/>
          <w:szCs w:val="24"/>
          <w:vertAlign w:val="superscript"/>
        </w:rPr>
        <w:t>[</w:t>
      </w:r>
      <w:r w:rsidR="003D6BAF" w:rsidRPr="00F218A8">
        <w:rPr>
          <w:rFonts w:ascii="Times New Roman" w:hAnsi="Times New Roman" w:cs="Times New Roman"/>
          <w:sz w:val="24"/>
          <w:szCs w:val="24"/>
          <w:vertAlign w:val="superscript"/>
        </w:rPr>
        <w:t>4</w:t>
      </w:r>
      <w:r w:rsidR="00E06FF9" w:rsidRPr="00F218A8">
        <w:rPr>
          <w:rFonts w:ascii="Times New Roman" w:hAnsi="Times New Roman" w:cs="Times New Roman"/>
          <w:sz w:val="24"/>
          <w:szCs w:val="24"/>
          <w:vertAlign w:val="superscript"/>
        </w:rPr>
        <w:t>,</w:t>
      </w:r>
      <w:r w:rsidR="003D6BAF" w:rsidRPr="00F218A8">
        <w:rPr>
          <w:rFonts w:ascii="Times New Roman" w:hAnsi="Times New Roman" w:cs="Times New Roman"/>
          <w:sz w:val="24"/>
          <w:szCs w:val="24"/>
          <w:vertAlign w:val="superscript"/>
        </w:rPr>
        <w:t>5</w:t>
      </w:r>
      <w:r w:rsidR="00596908" w:rsidRPr="00F218A8">
        <w:rPr>
          <w:rFonts w:ascii="Times New Roman" w:hAnsi="Times New Roman" w:cs="Times New Roman"/>
          <w:sz w:val="24"/>
          <w:szCs w:val="24"/>
          <w:vertAlign w:val="superscript"/>
        </w:rPr>
        <w:t>]</w:t>
      </w:r>
    </w:p>
    <w:p w14:paraId="3D7A5C72" w14:textId="5035FC20" w:rsidR="0061145C" w:rsidRPr="00F218A8" w:rsidRDefault="0061145C" w:rsidP="00767608">
      <w:pPr>
        <w:spacing w:line="240" w:lineRule="auto"/>
        <w:jc w:val="both"/>
        <w:rPr>
          <w:rFonts w:ascii="Times New Roman" w:hAnsi="Times New Roman" w:cs="Times New Roman"/>
          <w:sz w:val="24"/>
          <w:szCs w:val="24"/>
          <w:vertAlign w:val="superscript"/>
        </w:rPr>
      </w:pPr>
      <w:r w:rsidRPr="00F218A8">
        <w:rPr>
          <w:rFonts w:ascii="Times New Roman" w:hAnsi="Times New Roman" w:cs="Times New Roman"/>
          <w:sz w:val="24"/>
          <w:szCs w:val="24"/>
        </w:rPr>
        <w:t xml:space="preserve">Premature ovarian failure (POF) or ovarian insufficiency is a failure of the ovary to function adequately in a woman younger than 40 years, either as an endocrine organ or a reproductive </w:t>
      </w:r>
      <w:r w:rsidRPr="00F218A8">
        <w:rPr>
          <w:rFonts w:ascii="Times New Roman" w:hAnsi="Times New Roman" w:cs="Times New Roman"/>
          <w:sz w:val="24"/>
          <w:szCs w:val="24"/>
        </w:rPr>
        <w:lastRenderedPageBreak/>
        <w:t>organ. In women aged 40 years or older, the physiological decline of ovarian function that accompan</w:t>
      </w:r>
      <w:r w:rsidR="00F80667" w:rsidRPr="00F218A8">
        <w:rPr>
          <w:rFonts w:ascii="Times New Roman" w:hAnsi="Times New Roman" w:cs="Times New Roman"/>
          <w:sz w:val="24"/>
          <w:szCs w:val="24"/>
        </w:rPr>
        <w:t>ies age</w:t>
      </w:r>
      <w:r w:rsidRPr="00F218A8">
        <w:rPr>
          <w:rFonts w:ascii="Times New Roman" w:hAnsi="Times New Roman" w:cs="Times New Roman"/>
          <w:sz w:val="24"/>
          <w:szCs w:val="24"/>
        </w:rPr>
        <w:t xml:space="preserve">ing is termed perimenopause or menopausal transition. POF is estimated to affect 1% of women younger than 40 years and 0.1% of those under 30 </w:t>
      </w:r>
      <w:proofErr w:type="gramStart"/>
      <w:r w:rsidRPr="00F218A8">
        <w:rPr>
          <w:rFonts w:ascii="Times New Roman" w:hAnsi="Times New Roman" w:cs="Times New Roman"/>
          <w:sz w:val="24"/>
          <w:szCs w:val="24"/>
        </w:rPr>
        <w:t>years.</w:t>
      </w:r>
      <w:r w:rsidR="00596908" w:rsidRPr="00F218A8">
        <w:rPr>
          <w:rFonts w:ascii="Times New Roman" w:hAnsi="Times New Roman" w:cs="Times New Roman"/>
          <w:sz w:val="24"/>
          <w:szCs w:val="24"/>
          <w:vertAlign w:val="superscript"/>
        </w:rPr>
        <w:t>[</w:t>
      </w:r>
      <w:proofErr w:type="gramEnd"/>
      <w:r w:rsidR="00FE3058" w:rsidRPr="00F218A8">
        <w:rPr>
          <w:rFonts w:ascii="Times New Roman" w:hAnsi="Times New Roman" w:cs="Times New Roman"/>
          <w:sz w:val="24"/>
          <w:szCs w:val="24"/>
          <w:vertAlign w:val="superscript"/>
        </w:rPr>
        <w:t>6</w:t>
      </w:r>
      <w:r w:rsidR="00596908" w:rsidRPr="00F218A8">
        <w:rPr>
          <w:rFonts w:ascii="Times New Roman" w:hAnsi="Times New Roman" w:cs="Times New Roman"/>
          <w:sz w:val="24"/>
          <w:szCs w:val="24"/>
          <w:vertAlign w:val="superscript"/>
        </w:rPr>
        <w:t>]</w:t>
      </w:r>
      <w:r w:rsidR="007E0CD1" w:rsidRPr="00F218A8">
        <w:rPr>
          <w:rFonts w:ascii="Times New Roman" w:hAnsi="Times New Roman" w:cs="Times New Roman"/>
          <w:sz w:val="24"/>
          <w:szCs w:val="24"/>
          <w:vertAlign w:val="superscript"/>
        </w:rPr>
        <w:t xml:space="preserve"> </w:t>
      </w:r>
      <w:r w:rsidR="00120AE2">
        <w:rPr>
          <w:rFonts w:ascii="Times New Roman" w:hAnsi="Times New Roman" w:cs="Times New Roman"/>
          <w:sz w:val="24"/>
          <w:szCs w:val="24"/>
          <w:vertAlign w:val="superscript"/>
        </w:rPr>
        <w:t>“</w:t>
      </w:r>
      <w:r w:rsidRPr="00F218A8">
        <w:rPr>
          <w:rFonts w:ascii="Times New Roman" w:hAnsi="Times New Roman" w:cs="Times New Roman"/>
          <w:sz w:val="24"/>
          <w:szCs w:val="24"/>
        </w:rPr>
        <w:t>Ovarian reserve is a term used to determine the capacity of the ovaries to provide oocytes that are capable of fertilization resulting in a healthy and successful pregnancy</w:t>
      </w:r>
      <w:r w:rsidR="00120AE2">
        <w:rPr>
          <w:rFonts w:ascii="Times New Roman" w:hAnsi="Times New Roman" w:cs="Times New Roman"/>
          <w:sz w:val="24"/>
          <w:szCs w:val="24"/>
        </w:rPr>
        <w:t>”</w:t>
      </w:r>
      <w:r w:rsidRPr="00F218A8">
        <w:rPr>
          <w:rFonts w:ascii="Times New Roman" w:hAnsi="Times New Roman" w:cs="Times New Roman"/>
          <w:sz w:val="24"/>
          <w:szCs w:val="24"/>
        </w:rPr>
        <w:t>.</w:t>
      </w:r>
      <w:r w:rsidR="00596908" w:rsidRPr="00F218A8">
        <w:rPr>
          <w:rFonts w:ascii="Times New Roman" w:hAnsi="Times New Roman" w:cs="Times New Roman"/>
          <w:sz w:val="24"/>
          <w:szCs w:val="24"/>
          <w:vertAlign w:val="superscript"/>
        </w:rPr>
        <w:t>[</w:t>
      </w:r>
      <w:r w:rsidR="00FE3058" w:rsidRPr="00F218A8">
        <w:rPr>
          <w:rFonts w:ascii="Times New Roman" w:hAnsi="Times New Roman" w:cs="Times New Roman"/>
          <w:sz w:val="24"/>
          <w:szCs w:val="24"/>
          <w:vertAlign w:val="superscript"/>
        </w:rPr>
        <w:t>7</w:t>
      </w:r>
      <w:r w:rsidR="00596908" w:rsidRPr="00F218A8">
        <w:rPr>
          <w:rFonts w:ascii="Times New Roman" w:hAnsi="Times New Roman" w:cs="Times New Roman"/>
          <w:sz w:val="24"/>
          <w:szCs w:val="24"/>
          <w:vertAlign w:val="superscript"/>
        </w:rPr>
        <w:t>]</w:t>
      </w:r>
      <w:r w:rsidRPr="00F218A8">
        <w:rPr>
          <w:rFonts w:ascii="Times New Roman" w:hAnsi="Times New Roman" w:cs="Times New Roman"/>
          <w:sz w:val="24"/>
          <w:szCs w:val="24"/>
        </w:rPr>
        <w:t xml:space="preserve"> </w:t>
      </w:r>
      <w:r w:rsidR="00120AE2">
        <w:rPr>
          <w:rFonts w:ascii="Times New Roman" w:hAnsi="Times New Roman" w:cs="Times New Roman"/>
          <w:sz w:val="24"/>
          <w:szCs w:val="24"/>
        </w:rPr>
        <w:t>“</w:t>
      </w:r>
      <w:r w:rsidRPr="00F218A8">
        <w:rPr>
          <w:rFonts w:ascii="Times New Roman" w:hAnsi="Times New Roman" w:cs="Times New Roman"/>
          <w:sz w:val="24"/>
          <w:szCs w:val="24"/>
        </w:rPr>
        <w:t>It represents the remaining follicular pool of oocytes in the ovaries that undergo progressive atresia through apoptosis during a woman’s reproductive period. The ovarian follicular pool declines with increasing maternal age</w:t>
      </w:r>
      <w:r w:rsidR="00F80667" w:rsidRPr="00F218A8">
        <w:rPr>
          <w:rFonts w:ascii="Times New Roman" w:hAnsi="Times New Roman" w:cs="Times New Roman"/>
          <w:sz w:val="24"/>
          <w:szCs w:val="24"/>
        </w:rPr>
        <w:t>,</w:t>
      </w:r>
      <w:r w:rsidRPr="00F218A8">
        <w:rPr>
          <w:rFonts w:ascii="Times New Roman" w:hAnsi="Times New Roman" w:cs="Times New Roman"/>
          <w:sz w:val="24"/>
          <w:szCs w:val="24"/>
        </w:rPr>
        <w:t xml:space="preserve"> resulting in </w:t>
      </w:r>
      <w:r w:rsidR="00F80667" w:rsidRPr="00F218A8">
        <w:rPr>
          <w:rFonts w:ascii="Times New Roman" w:hAnsi="Times New Roman" w:cs="Times New Roman"/>
          <w:sz w:val="24"/>
          <w:szCs w:val="24"/>
        </w:rPr>
        <w:t xml:space="preserve">a </w:t>
      </w:r>
      <w:r w:rsidRPr="00F218A8">
        <w:rPr>
          <w:rFonts w:ascii="Times New Roman" w:hAnsi="Times New Roman" w:cs="Times New Roman"/>
          <w:sz w:val="24"/>
          <w:szCs w:val="24"/>
        </w:rPr>
        <w:t>decrease of a woman’s reproductive potential</w:t>
      </w:r>
      <w:proofErr w:type="gramStart"/>
      <w:r w:rsidR="00120AE2">
        <w:rPr>
          <w:rFonts w:ascii="Times New Roman" w:hAnsi="Times New Roman" w:cs="Times New Roman"/>
          <w:sz w:val="24"/>
          <w:szCs w:val="24"/>
        </w:rPr>
        <w:t>”</w:t>
      </w:r>
      <w:r w:rsidRPr="00F218A8">
        <w:rPr>
          <w:rFonts w:ascii="Times New Roman" w:hAnsi="Times New Roman" w:cs="Times New Roman"/>
          <w:sz w:val="24"/>
          <w:szCs w:val="24"/>
        </w:rPr>
        <w:t>.</w:t>
      </w:r>
      <w:r w:rsidR="00596908" w:rsidRPr="00F218A8">
        <w:rPr>
          <w:rFonts w:ascii="Times New Roman" w:hAnsi="Times New Roman" w:cs="Times New Roman"/>
          <w:sz w:val="24"/>
          <w:szCs w:val="24"/>
          <w:vertAlign w:val="superscript"/>
        </w:rPr>
        <w:t>[</w:t>
      </w:r>
      <w:proofErr w:type="gramEnd"/>
      <w:r w:rsidR="00FE3058" w:rsidRPr="00F218A8">
        <w:rPr>
          <w:rFonts w:ascii="Times New Roman" w:hAnsi="Times New Roman" w:cs="Times New Roman"/>
          <w:sz w:val="24"/>
          <w:szCs w:val="24"/>
          <w:vertAlign w:val="superscript"/>
        </w:rPr>
        <w:t>8</w:t>
      </w:r>
      <w:r w:rsidR="00596908" w:rsidRPr="00F218A8">
        <w:rPr>
          <w:rFonts w:ascii="Times New Roman" w:hAnsi="Times New Roman" w:cs="Times New Roman"/>
          <w:sz w:val="24"/>
          <w:szCs w:val="24"/>
          <w:vertAlign w:val="superscript"/>
        </w:rPr>
        <w:t>]</w:t>
      </w:r>
      <w:r w:rsidR="007E0CD1" w:rsidRPr="00F218A8">
        <w:rPr>
          <w:rFonts w:ascii="Times New Roman" w:hAnsi="Times New Roman" w:cs="Times New Roman"/>
          <w:sz w:val="24"/>
          <w:szCs w:val="24"/>
          <w:vertAlign w:val="superscript"/>
        </w:rPr>
        <w:t xml:space="preserve"> </w:t>
      </w:r>
      <w:r w:rsidRPr="00F218A8">
        <w:rPr>
          <w:rFonts w:ascii="Times New Roman" w:hAnsi="Times New Roman" w:cs="Times New Roman"/>
          <w:sz w:val="24"/>
          <w:szCs w:val="24"/>
        </w:rPr>
        <w:t>There is no direct method for assessing ovarian reserve. However, there are biochemical and radiological means of indirectly measurin</w:t>
      </w:r>
      <w:r w:rsidR="007E0CD1" w:rsidRPr="00F218A8">
        <w:rPr>
          <w:rFonts w:ascii="Times New Roman" w:hAnsi="Times New Roman" w:cs="Times New Roman"/>
          <w:sz w:val="24"/>
          <w:szCs w:val="24"/>
        </w:rPr>
        <w:t xml:space="preserve">g or assessing ovarian reserve. </w:t>
      </w:r>
      <w:r w:rsidRPr="00F218A8">
        <w:rPr>
          <w:rFonts w:ascii="Times New Roman" w:hAnsi="Times New Roman" w:cs="Times New Roman"/>
          <w:sz w:val="24"/>
          <w:szCs w:val="24"/>
        </w:rPr>
        <w:t xml:space="preserve">Biochemical methods include checking the values of the following hormones: Anti-Mullerian hormone (AMH), </w:t>
      </w:r>
      <w:r w:rsidR="00F80667" w:rsidRPr="00F218A8">
        <w:rPr>
          <w:rFonts w:ascii="Times New Roman" w:hAnsi="Times New Roman" w:cs="Times New Roman"/>
          <w:sz w:val="24"/>
          <w:szCs w:val="24"/>
        </w:rPr>
        <w:t>follicle-</w:t>
      </w:r>
      <w:r w:rsidRPr="00F218A8">
        <w:rPr>
          <w:rFonts w:ascii="Times New Roman" w:hAnsi="Times New Roman" w:cs="Times New Roman"/>
          <w:sz w:val="24"/>
          <w:szCs w:val="24"/>
        </w:rPr>
        <w:t xml:space="preserve">stimulating hormone (FSH), </w:t>
      </w:r>
      <w:r w:rsidR="00C5034C" w:rsidRPr="00F218A8">
        <w:rPr>
          <w:rFonts w:ascii="Times New Roman" w:hAnsi="Times New Roman" w:cs="Times New Roman"/>
          <w:color w:val="FF0000"/>
          <w:sz w:val="24"/>
          <w:szCs w:val="24"/>
        </w:rPr>
        <w:t>o</w:t>
      </w:r>
      <w:r w:rsidRPr="00F218A8">
        <w:rPr>
          <w:rFonts w:ascii="Times New Roman" w:hAnsi="Times New Roman" w:cs="Times New Roman"/>
          <w:color w:val="FF0000"/>
          <w:sz w:val="24"/>
          <w:szCs w:val="24"/>
        </w:rPr>
        <w:t xml:space="preserve">estradiol </w:t>
      </w:r>
      <w:r w:rsidRPr="00F218A8">
        <w:rPr>
          <w:rFonts w:ascii="Times New Roman" w:hAnsi="Times New Roman" w:cs="Times New Roman"/>
          <w:sz w:val="24"/>
          <w:szCs w:val="24"/>
        </w:rPr>
        <w:t>(E</w:t>
      </w:r>
      <w:r w:rsidRPr="00F218A8">
        <w:rPr>
          <w:rFonts w:ascii="Times New Roman" w:hAnsi="Times New Roman" w:cs="Times New Roman"/>
          <w:sz w:val="24"/>
          <w:szCs w:val="24"/>
          <w:vertAlign w:val="subscript"/>
        </w:rPr>
        <w:t>2</w:t>
      </w:r>
      <w:r w:rsidRPr="00F218A8">
        <w:rPr>
          <w:rFonts w:ascii="Times New Roman" w:hAnsi="Times New Roman" w:cs="Times New Roman"/>
          <w:sz w:val="24"/>
          <w:szCs w:val="24"/>
        </w:rPr>
        <w:t>), and Inhibin.</w:t>
      </w:r>
      <w:r w:rsidR="00596908" w:rsidRPr="00F218A8">
        <w:rPr>
          <w:rFonts w:ascii="Times New Roman" w:hAnsi="Times New Roman" w:cs="Times New Roman"/>
          <w:sz w:val="24"/>
          <w:szCs w:val="24"/>
          <w:vertAlign w:val="superscript"/>
        </w:rPr>
        <w:t>[</w:t>
      </w:r>
      <w:r w:rsidR="00FE3058" w:rsidRPr="00F218A8">
        <w:rPr>
          <w:rFonts w:ascii="Times New Roman" w:hAnsi="Times New Roman" w:cs="Times New Roman"/>
          <w:sz w:val="24"/>
          <w:szCs w:val="24"/>
          <w:vertAlign w:val="superscript"/>
        </w:rPr>
        <w:t>9</w:t>
      </w:r>
      <w:r w:rsidR="00596908" w:rsidRPr="00F218A8">
        <w:rPr>
          <w:rFonts w:ascii="Times New Roman" w:hAnsi="Times New Roman" w:cs="Times New Roman"/>
          <w:sz w:val="24"/>
          <w:szCs w:val="24"/>
          <w:vertAlign w:val="superscript"/>
        </w:rPr>
        <w:t>]</w:t>
      </w:r>
      <w:r w:rsidR="000770D4" w:rsidRPr="00F218A8">
        <w:rPr>
          <w:rFonts w:ascii="Times New Roman" w:hAnsi="Times New Roman" w:cs="Times New Roman"/>
          <w:sz w:val="24"/>
          <w:szCs w:val="24"/>
          <w:vertAlign w:val="superscript"/>
        </w:rPr>
        <w:t xml:space="preserve"> </w:t>
      </w:r>
      <w:r w:rsidR="000770D4" w:rsidRPr="00F218A8">
        <w:rPr>
          <w:rFonts w:ascii="Times New Roman" w:hAnsi="Times New Roman" w:cs="Times New Roman"/>
          <w:sz w:val="24"/>
          <w:szCs w:val="24"/>
        </w:rPr>
        <w:t xml:space="preserve"> </w:t>
      </w:r>
      <w:r w:rsidR="00120AE2">
        <w:rPr>
          <w:rFonts w:ascii="Times New Roman" w:hAnsi="Times New Roman" w:cs="Times New Roman"/>
          <w:sz w:val="24"/>
          <w:szCs w:val="24"/>
        </w:rPr>
        <w:t>“</w:t>
      </w:r>
      <w:r w:rsidR="002A51FF" w:rsidRPr="00F218A8">
        <w:rPr>
          <w:rFonts w:ascii="Times New Roman" w:hAnsi="Times New Roman" w:cs="Times New Roman"/>
          <w:sz w:val="24"/>
          <w:szCs w:val="24"/>
        </w:rPr>
        <w:t>AMH   is an ovarian hormone expressed in growing follicles that have undergone recruitment from the primordial follicle pool but   have not   yet   been   selected   for dominance,  it  is  considered  an accurate  marker of ovarian reserve, able to reflect the size  of the ovarian follicular pool of a woman of reproductive age and  age  has  been  reported  as  one  of the    established predictors of    reproductive potential during infertility treatment</w:t>
      </w:r>
      <w:r w:rsidR="00120AE2">
        <w:rPr>
          <w:rFonts w:ascii="Times New Roman" w:hAnsi="Times New Roman" w:cs="Times New Roman"/>
          <w:sz w:val="24"/>
          <w:szCs w:val="24"/>
        </w:rPr>
        <w:t>”</w:t>
      </w:r>
      <w:r w:rsidR="005D0756" w:rsidRPr="00F218A8">
        <w:rPr>
          <w:rFonts w:ascii="Times New Roman" w:hAnsi="Times New Roman" w:cs="Times New Roman"/>
          <w:sz w:val="24"/>
          <w:szCs w:val="24"/>
        </w:rPr>
        <w:t>.</w:t>
      </w:r>
      <w:r w:rsidR="005D0756" w:rsidRPr="00F218A8">
        <w:rPr>
          <w:rFonts w:ascii="Times New Roman" w:hAnsi="Times New Roman" w:cs="Times New Roman"/>
          <w:sz w:val="24"/>
          <w:szCs w:val="24"/>
          <w:vertAlign w:val="superscript"/>
        </w:rPr>
        <w:t>[25]</w:t>
      </w:r>
      <w:r w:rsidR="005D0756" w:rsidRPr="00F218A8">
        <w:rPr>
          <w:rFonts w:ascii="Times New Roman" w:hAnsi="Times New Roman" w:cs="Times New Roman"/>
          <w:sz w:val="24"/>
          <w:szCs w:val="24"/>
        </w:rPr>
        <w:t xml:space="preserve"> </w:t>
      </w:r>
      <w:r w:rsidR="00120AE2">
        <w:rPr>
          <w:rFonts w:ascii="Times New Roman" w:hAnsi="Times New Roman" w:cs="Times New Roman"/>
          <w:sz w:val="24"/>
          <w:szCs w:val="24"/>
        </w:rPr>
        <w:t>“</w:t>
      </w:r>
      <w:r w:rsidR="000770D4" w:rsidRPr="00F218A8">
        <w:rPr>
          <w:rFonts w:ascii="Times New Roman" w:hAnsi="Times New Roman" w:cs="Times New Roman"/>
          <w:sz w:val="24"/>
          <w:szCs w:val="24"/>
        </w:rPr>
        <w:t xml:space="preserve">Ovarian reserve is evaluated by measuring antral follicular count (AFC) with ultrasound or </w:t>
      </w:r>
      <w:r w:rsidR="00F80667" w:rsidRPr="00F218A8">
        <w:rPr>
          <w:rFonts w:ascii="Times New Roman" w:hAnsi="Times New Roman" w:cs="Times New Roman"/>
          <w:sz w:val="24"/>
          <w:szCs w:val="24"/>
        </w:rPr>
        <w:t xml:space="preserve">by </w:t>
      </w:r>
      <w:r w:rsidR="000770D4" w:rsidRPr="00F218A8">
        <w:rPr>
          <w:rFonts w:ascii="Times New Roman" w:hAnsi="Times New Roman" w:cs="Times New Roman"/>
          <w:sz w:val="24"/>
          <w:szCs w:val="24"/>
        </w:rPr>
        <w:t xml:space="preserve">measuring the serum levels of AMH. The European Society of Human Reproduction and Embryology (ESHRE) published guidelines for diagnosing primary and secondary </w:t>
      </w:r>
      <w:r w:rsidR="00E76640" w:rsidRPr="00F218A8">
        <w:rPr>
          <w:rFonts w:ascii="Times New Roman" w:hAnsi="Times New Roman" w:cs="Times New Roman"/>
          <w:sz w:val="24"/>
          <w:szCs w:val="24"/>
        </w:rPr>
        <w:t>premature ovarian insufficiency (POI)</w:t>
      </w:r>
      <w:r w:rsidR="00120AE2">
        <w:rPr>
          <w:rFonts w:ascii="Times New Roman" w:hAnsi="Times New Roman" w:cs="Times New Roman"/>
          <w:sz w:val="24"/>
          <w:szCs w:val="24"/>
        </w:rPr>
        <w:t>”</w:t>
      </w:r>
      <w:r w:rsidR="00E76640" w:rsidRPr="00F218A8">
        <w:rPr>
          <w:rFonts w:ascii="Times New Roman" w:hAnsi="Times New Roman" w:cs="Times New Roman"/>
          <w:sz w:val="24"/>
          <w:szCs w:val="24"/>
        </w:rPr>
        <w:t xml:space="preserve"> </w:t>
      </w:r>
      <w:r w:rsidR="00034089" w:rsidRPr="00F218A8">
        <w:rPr>
          <w:rFonts w:ascii="Times New Roman" w:hAnsi="Times New Roman" w:cs="Times New Roman"/>
          <w:sz w:val="24"/>
          <w:szCs w:val="24"/>
          <w:vertAlign w:val="superscript"/>
        </w:rPr>
        <w:t>[23]</w:t>
      </w:r>
      <w:r w:rsidR="000770D4" w:rsidRPr="00F218A8">
        <w:rPr>
          <w:rFonts w:ascii="Times New Roman" w:hAnsi="Times New Roman" w:cs="Times New Roman"/>
          <w:sz w:val="24"/>
          <w:szCs w:val="24"/>
          <w:vertAlign w:val="superscript"/>
        </w:rPr>
        <w:t>.</w:t>
      </w:r>
      <w:r w:rsidR="000770D4" w:rsidRPr="00F218A8">
        <w:rPr>
          <w:rFonts w:ascii="Times New Roman" w:hAnsi="Times New Roman" w:cs="Times New Roman"/>
          <w:sz w:val="24"/>
          <w:szCs w:val="24"/>
        </w:rPr>
        <w:t xml:space="preserve"> </w:t>
      </w:r>
      <w:r w:rsidR="00120AE2">
        <w:rPr>
          <w:rFonts w:ascii="Times New Roman" w:hAnsi="Times New Roman" w:cs="Times New Roman"/>
          <w:sz w:val="24"/>
          <w:szCs w:val="24"/>
        </w:rPr>
        <w:t>“</w:t>
      </w:r>
      <w:r w:rsidR="000770D4" w:rsidRPr="00F218A8">
        <w:rPr>
          <w:rFonts w:ascii="Times New Roman" w:hAnsi="Times New Roman" w:cs="Times New Roman"/>
          <w:sz w:val="24"/>
          <w:szCs w:val="24"/>
        </w:rPr>
        <w:t xml:space="preserve">The criteria are: 1. Women younger than 40 years at diagnosis; 2. at least four months of cycle irregularities (oligo/amenorrhea); and 3. elevated levels </w:t>
      </w:r>
      <w:proofErr w:type="gramStart"/>
      <w:r w:rsidR="000770D4" w:rsidRPr="00F218A8">
        <w:rPr>
          <w:rFonts w:ascii="Times New Roman" w:hAnsi="Times New Roman" w:cs="Times New Roman"/>
          <w:sz w:val="24"/>
          <w:szCs w:val="24"/>
        </w:rPr>
        <w:t xml:space="preserve">of </w:t>
      </w:r>
      <w:r w:rsidR="008D00A0" w:rsidRPr="00F218A8">
        <w:rPr>
          <w:rFonts w:ascii="Times New Roman" w:hAnsi="Times New Roman" w:cs="Times New Roman"/>
          <w:sz w:val="24"/>
          <w:szCs w:val="24"/>
        </w:rPr>
        <w:t xml:space="preserve"> </w:t>
      </w:r>
      <w:r w:rsidR="000770D4" w:rsidRPr="00F218A8">
        <w:rPr>
          <w:rFonts w:ascii="Times New Roman" w:hAnsi="Times New Roman" w:cs="Times New Roman"/>
          <w:sz w:val="24"/>
          <w:szCs w:val="24"/>
        </w:rPr>
        <w:t>FSH</w:t>
      </w:r>
      <w:proofErr w:type="gramEnd"/>
      <w:r w:rsidR="000770D4" w:rsidRPr="00F218A8">
        <w:rPr>
          <w:rFonts w:ascii="Times New Roman" w:hAnsi="Times New Roman" w:cs="Times New Roman"/>
          <w:sz w:val="24"/>
          <w:szCs w:val="24"/>
        </w:rPr>
        <w:t xml:space="preserve"> on two occasions at least a month apart. High FSH levels are necessary for POI diagnosis, but the threshold level is inconsistent</w:t>
      </w:r>
      <w:r w:rsidR="00120AE2">
        <w:rPr>
          <w:rFonts w:ascii="Times New Roman" w:hAnsi="Times New Roman" w:cs="Times New Roman"/>
          <w:sz w:val="24"/>
          <w:szCs w:val="24"/>
        </w:rPr>
        <w:t>”</w:t>
      </w:r>
      <w:r w:rsidR="002A296E" w:rsidRPr="00F218A8">
        <w:rPr>
          <w:rFonts w:ascii="Times New Roman" w:hAnsi="Times New Roman" w:cs="Times New Roman"/>
          <w:sz w:val="24"/>
          <w:szCs w:val="24"/>
        </w:rPr>
        <w:t xml:space="preserve"> </w:t>
      </w:r>
      <w:r w:rsidR="00034089" w:rsidRPr="00F218A8">
        <w:rPr>
          <w:rFonts w:ascii="Times New Roman" w:hAnsi="Times New Roman" w:cs="Times New Roman"/>
          <w:sz w:val="24"/>
          <w:szCs w:val="24"/>
          <w:vertAlign w:val="superscript"/>
        </w:rPr>
        <w:t>[24]</w:t>
      </w:r>
      <w:r w:rsidR="000770D4" w:rsidRPr="00F218A8">
        <w:rPr>
          <w:rFonts w:ascii="Times New Roman" w:hAnsi="Times New Roman" w:cs="Times New Roman"/>
          <w:sz w:val="24"/>
          <w:szCs w:val="24"/>
          <w:vertAlign w:val="superscript"/>
        </w:rPr>
        <w:t>.</w:t>
      </w:r>
    </w:p>
    <w:p w14:paraId="1A39490C" w14:textId="510D9C15" w:rsidR="00BD0D3C" w:rsidRPr="00F218A8" w:rsidRDefault="00120AE2" w:rsidP="00767608">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61145C" w:rsidRPr="00F218A8">
        <w:rPr>
          <w:rFonts w:ascii="Times New Roman" w:hAnsi="Times New Roman" w:cs="Times New Roman"/>
          <w:sz w:val="24"/>
          <w:szCs w:val="24"/>
        </w:rPr>
        <w:t>Radiological method is by using Transvaginal ultrasound to measure the antral follicle count and mean ovarian volume</w:t>
      </w:r>
      <w:proofErr w:type="gramStart"/>
      <w:r>
        <w:rPr>
          <w:rFonts w:ascii="Times New Roman" w:hAnsi="Times New Roman" w:cs="Times New Roman"/>
          <w:sz w:val="24"/>
          <w:szCs w:val="24"/>
        </w:rPr>
        <w:t>”</w:t>
      </w:r>
      <w:r w:rsidR="0061145C" w:rsidRPr="00F218A8">
        <w:rPr>
          <w:rFonts w:ascii="Times New Roman" w:hAnsi="Times New Roman" w:cs="Times New Roman"/>
          <w:sz w:val="24"/>
          <w:szCs w:val="24"/>
        </w:rPr>
        <w:t>.</w:t>
      </w:r>
      <w:r w:rsidR="00596908" w:rsidRPr="00F218A8">
        <w:rPr>
          <w:rFonts w:ascii="Times New Roman" w:hAnsi="Times New Roman" w:cs="Times New Roman"/>
          <w:sz w:val="24"/>
          <w:szCs w:val="24"/>
          <w:vertAlign w:val="superscript"/>
        </w:rPr>
        <w:t>[</w:t>
      </w:r>
      <w:proofErr w:type="gramEnd"/>
      <w:r w:rsidR="00FE3058" w:rsidRPr="00F218A8">
        <w:rPr>
          <w:rFonts w:ascii="Times New Roman" w:hAnsi="Times New Roman" w:cs="Times New Roman"/>
          <w:sz w:val="24"/>
          <w:szCs w:val="24"/>
          <w:vertAlign w:val="superscript"/>
        </w:rPr>
        <w:t>10</w:t>
      </w:r>
      <w:r w:rsidR="00596908" w:rsidRPr="00F218A8">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r w:rsidR="007E0CD1" w:rsidRPr="00F218A8">
        <w:rPr>
          <w:rFonts w:ascii="Times New Roman" w:hAnsi="Times New Roman" w:cs="Times New Roman"/>
          <w:sz w:val="24"/>
          <w:szCs w:val="24"/>
        </w:rPr>
        <w:t xml:space="preserve"> </w:t>
      </w:r>
      <w:r w:rsidR="00BD0D3C" w:rsidRPr="00F218A8">
        <w:rPr>
          <w:rFonts w:ascii="Times New Roman" w:hAnsi="Times New Roman" w:cs="Times New Roman"/>
          <w:sz w:val="24"/>
          <w:szCs w:val="24"/>
        </w:rPr>
        <w:t>In recent times, quite a number of women are getting married at advanced reproductive age of 35years and above. This is often due to career development or other personal reasons. They could present with infertility and it would be of advantage to have an idea of the ovarian reserve in women of this age range, most especially if they are at higher risks of reduced ovarian reserve as seen in patients with endometriosis, pelvic infections, previous ovarian surgeries, treatment of cancer with gonadotoxic drugs, pelvic irradiation, smoking and a family history of early menopause, when managing them for infertility. Women with poor ovarian reserve are less likely to conceive with infertility treatment so they are probably best advised on assisted reproductive technique with donor eggs</w:t>
      </w:r>
      <w:proofErr w:type="gramStart"/>
      <w:r>
        <w:rPr>
          <w:rFonts w:ascii="Times New Roman" w:hAnsi="Times New Roman" w:cs="Times New Roman"/>
          <w:sz w:val="24"/>
          <w:szCs w:val="24"/>
        </w:rPr>
        <w:t>”</w:t>
      </w:r>
      <w:r w:rsidR="00BD0D3C" w:rsidRPr="00F218A8">
        <w:rPr>
          <w:rFonts w:ascii="Times New Roman" w:hAnsi="Times New Roman" w:cs="Times New Roman"/>
          <w:sz w:val="24"/>
          <w:szCs w:val="24"/>
        </w:rPr>
        <w:t>.</w:t>
      </w:r>
      <w:r w:rsidR="00596908" w:rsidRPr="00F218A8">
        <w:rPr>
          <w:rFonts w:ascii="Times New Roman" w:hAnsi="Times New Roman" w:cs="Times New Roman"/>
          <w:sz w:val="24"/>
          <w:szCs w:val="24"/>
          <w:vertAlign w:val="superscript"/>
        </w:rPr>
        <w:t>[</w:t>
      </w:r>
      <w:proofErr w:type="gramEnd"/>
      <w:r w:rsidR="00FE3058" w:rsidRPr="00F218A8">
        <w:rPr>
          <w:rFonts w:ascii="Times New Roman" w:hAnsi="Times New Roman" w:cs="Times New Roman"/>
          <w:sz w:val="24"/>
          <w:szCs w:val="24"/>
          <w:vertAlign w:val="superscript"/>
        </w:rPr>
        <w:t>9</w:t>
      </w:r>
      <w:r w:rsidR="00596908" w:rsidRPr="00F218A8">
        <w:rPr>
          <w:rFonts w:ascii="Times New Roman" w:hAnsi="Times New Roman" w:cs="Times New Roman"/>
          <w:sz w:val="24"/>
          <w:szCs w:val="24"/>
          <w:vertAlign w:val="superscript"/>
        </w:rPr>
        <w:t>]</w:t>
      </w:r>
    </w:p>
    <w:p w14:paraId="22B41DB7" w14:textId="223E9620" w:rsidR="00081C98" w:rsidRPr="00F218A8" w:rsidRDefault="00081C98" w:rsidP="00767608">
      <w:pPr>
        <w:spacing w:line="240" w:lineRule="auto"/>
        <w:jc w:val="both"/>
        <w:rPr>
          <w:rFonts w:ascii="Times New Roman" w:hAnsi="Times New Roman" w:cs="Times New Roman"/>
          <w:sz w:val="24"/>
          <w:szCs w:val="24"/>
          <w:vertAlign w:val="superscript"/>
        </w:rPr>
      </w:pPr>
      <w:r w:rsidRPr="00F218A8">
        <w:rPr>
          <w:rFonts w:ascii="Times New Roman" w:hAnsi="Times New Roman" w:cs="Times New Roman"/>
          <w:sz w:val="24"/>
          <w:szCs w:val="24"/>
        </w:rPr>
        <w:t>Prior to the emergence of AMH, basal FSH is the most common test for ovarian reserve</w:t>
      </w:r>
      <w:r w:rsidR="00F80667" w:rsidRPr="00F218A8">
        <w:rPr>
          <w:rFonts w:ascii="Times New Roman" w:hAnsi="Times New Roman" w:cs="Times New Roman"/>
          <w:sz w:val="24"/>
          <w:szCs w:val="24"/>
        </w:rPr>
        <w:t>,</w:t>
      </w:r>
      <w:r w:rsidRPr="00F218A8">
        <w:rPr>
          <w:rFonts w:ascii="Times New Roman" w:hAnsi="Times New Roman" w:cs="Times New Roman"/>
          <w:sz w:val="24"/>
          <w:szCs w:val="24"/>
        </w:rPr>
        <w:t xml:space="preserve"> and it is the parameter in use in ISTH for the assessment of ovarian reserve. FSH is flawed with poor sensitivity and specificity due to its clinically significant intra and </w:t>
      </w:r>
      <w:r w:rsidR="00F80667" w:rsidRPr="00F218A8">
        <w:rPr>
          <w:rFonts w:ascii="Times New Roman" w:hAnsi="Times New Roman" w:cs="Times New Roman"/>
          <w:sz w:val="24"/>
          <w:szCs w:val="24"/>
        </w:rPr>
        <w:t>inter-</w:t>
      </w:r>
      <w:r w:rsidRPr="00F218A8">
        <w:rPr>
          <w:rFonts w:ascii="Times New Roman" w:hAnsi="Times New Roman" w:cs="Times New Roman"/>
          <w:sz w:val="24"/>
          <w:szCs w:val="24"/>
        </w:rPr>
        <w:t xml:space="preserve">cycle </w:t>
      </w:r>
      <w:proofErr w:type="gramStart"/>
      <w:r w:rsidRPr="00F218A8">
        <w:rPr>
          <w:rFonts w:ascii="Times New Roman" w:hAnsi="Times New Roman" w:cs="Times New Roman"/>
          <w:sz w:val="24"/>
          <w:szCs w:val="24"/>
        </w:rPr>
        <w:t>variability.</w:t>
      </w:r>
      <w:r w:rsidR="00596908" w:rsidRPr="00F218A8">
        <w:rPr>
          <w:rFonts w:ascii="Times New Roman" w:hAnsi="Times New Roman" w:cs="Times New Roman"/>
          <w:sz w:val="24"/>
          <w:szCs w:val="24"/>
          <w:vertAlign w:val="superscript"/>
        </w:rPr>
        <w:t>[</w:t>
      </w:r>
      <w:proofErr w:type="gramEnd"/>
      <w:r w:rsidR="00FE3058" w:rsidRPr="00F218A8">
        <w:rPr>
          <w:rFonts w:ascii="Times New Roman" w:hAnsi="Times New Roman" w:cs="Times New Roman"/>
          <w:sz w:val="24"/>
          <w:szCs w:val="24"/>
          <w:vertAlign w:val="superscript"/>
        </w:rPr>
        <w:t>11</w:t>
      </w:r>
      <w:r w:rsidR="00596908" w:rsidRPr="00F218A8">
        <w:rPr>
          <w:rFonts w:ascii="Times New Roman" w:hAnsi="Times New Roman" w:cs="Times New Roman"/>
          <w:sz w:val="24"/>
          <w:szCs w:val="24"/>
          <w:vertAlign w:val="superscript"/>
        </w:rPr>
        <w:t>]</w:t>
      </w:r>
      <w:r w:rsidR="007E0CD1" w:rsidRPr="00F218A8">
        <w:rPr>
          <w:rFonts w:ascii="Times New Roman" w:hAnsi="Times New Roman" w:cs="Times New Roman"/>
          <w:sz w:val="24"/>
          <w:szCs w:val="24"/>
          <w:vertAlign w:val="superscript"/>
        </w:rPr>
        <w:t xml:space="preserve"> </w:t>
      </w:r>
      <w:r w:rsidR="00120AE2">
        <w:rPr>
          <w:rFonts w:ascii="Times New Roman" w:hAnsi="Times New Roman" w:cs="Times New Roman"/>
          <w:sz w:val="24"/>
          <w:szCs w:val="24"/>
          <w:vertAlign w:val="superscript"/>
        </w:rPr>
        <w:t>“</w:t>
      </w:r>
      <w:r w:rsidRPr="00F218A8">
        <w:rPr>
          <w:rFonts w:ascii="Times New Roman" w:hAnsi="Times New Roman" w:cs="Times New Roman"/>
          <w:sz w:val="24"/>
          <w:szCs w:val="24"/>
        </w:rPr>
        <w:t xml:space="preserve">It is </w:t>
      </w:r>
      <w:r w:rsidR="00F80667" w:rsidRPr="00F218A8">
        <w:rPr>
          <w:rFonts w:ascii="Times New Roman" w:hAnsi="Times New Roman" w:cs="Times New Roman"/>
          <w:sz w:val="24"/>
          <w:szCs w:val="24"/>
        </w:rPr>
        <w:t xml:space="preserve">hypothesised </w:t>
      </w:r>
      <w:r w:rsidRPr="00F218A8">
        <w:rPr>
          <w:rFonts w:ascii="Times New Roman" w:hAnsi="Times New Roman" w:cs="Times New Roman"/>
          <w:sz w:val="24"/>
          <w:szCs w:val="24"/>
        </w:rPr>
        <w:t>that anti-Mullerian hormone concentration (AMH) declines with increasing reproductive age of a woman</w:t>
      </w:r>
      <w:r w:rsidR="00120AE2">
        <w:rPr>
          <w:rFonts w:ascii="Times New Roman" w:hAnsi="Times New Roman" w:cs="Times New Roman"/>
          <w:sz w:val="24"/>
          <w:szCs w:val="24"/>
        </w:rPr>
        <w:t>”</w:t>
      </w:r>
      <w:r w:rsidRPr="00F218A8">
        <w:rPr>
          <w:rFonts w:ascii="Times New Roman" w:hAnsi="Times New Roman" w:cs="Times New Roman"/>
          <w:sz w:val="24"/>
          <w:szCs w:val="24"/>
        </w:rPr>
        <w:t>.</w:t>
      </w:r>
      <w:r w:rsidR="00596908" w:rsidRPr="00F218A8">
        <w:rPr>
          <w:rFonts w:ascii="Times New Roman" w:hAnsi="Times New Roman" w:cs="Times New Roman"/>
          <w:sz w:val="24"/>
          <w:szCs w:val="24"/>
          <w:vertAlign w:val="superscript"/>
        </w:rPr>
        <w:t>[</w:t>
      </w:r>
      <w:r w:rsidR="006256CE" w:rsidRPr="00F218A8">
        <w:rPr>
          <w:rFonts w:ascii="Times New Roman" w:hAnsi="Times New Roman" w:cs="Times New Roman"/>
          <w:sz w:val="24"/>
          <w:szCs w:val="24"/>
          <w:vertAlign w:val="superscript"/>
        </w:rPr>
        <w:t>12</w:t>
      </w:r>
      <w:r w:rsidR="00596908" w:rsidRPr="00F218A8">
        <w:rPr>
          <w:rFonts w:ascii="Times New Roman" w:hAnsi="Times New Roman" w:cs="Times New Roman"/>
          <w:sz w:val="24"/>
          <w:szCs w:val="24"/>
          <w:vertAlign w:val="superscript"/>
        </w:rPr>
        <w:t>]</w:t>
      </w:r>
      <w:r w:rsidRPr="00F218A8">
        <w:rPr>
          <w:rFonts w:ascii="Times New Roman" w:hAnsi="Times New Roman" w:cs="Times New Roman"/>
          <w:sz w:val="24"/>
          <w:szCs w:val="24"/>
        </w:rPr>
        <w:t xml:space="preserve"> However, there is </w:t>
      </w:r>
      <w:r w:rsidR="00F80667" w:rsidRPr="00F218A8">
        <w:rPr>
          <w:rFonts w:ascii="Times New Roman" w:hAnsi="Times New Roman" w:cs="Times New Roman"/>
          <w:sz w:val="24"/>
          <w:szCs w:val="24"/>
        </w:rPr>
        <w:t xml:space="preserve">a </w:t>
      </w:r>
      <w:r w:rsidRPr="00F218A8">
        <w:rPr>
          <w:rFonts w:ascii="Times New Roman" w:hAnsi="Times New Roman" w:cs="Times New Roman"/>
          <w:sz w:val="24"/>
          <w:szCs w:val="24"/>
        </w:rPr>
        <w:t xml:space="preserve">paucity of information on the level of AMH as a biomarker for ovarian reserve among Nigerian women. This study will therefore be relevant in establishing a local benchmark of serum AMH level as a marker of ovarian reserve in women attending </w:t>
      </w:r>
      <w:r w:rsidR="00F80667" w:rsidRPr="00F218A8">
        <w:rPr>
          <w:rFonts w:ascii="Times New Roman" w:hAnsi="Times New Roman" w:cs="Times New Roman"/>
          <w:sz w:val="24"/>
          <w:szCs w:val="24"/>
        </w:rPr>
        <w:t xml:space="preserve">an </w:t>
      </w:r>
      <w:r w:rsidRPr="00F218A8">
        <w:rPr>
          <w:rFonts w:ascii="Times New Roman" w:hAnsi="Times New Roman" w:cs="Times New Roman"/>
          <w:sz w:val="24"/>
          <w:szCs w:val="24"/>
        </w:rPr>
        <w:t>infertility clinic in ISTH</w:t>
      </w:r>
      <w:r w:rsidR="00F80667" w:rsidRPr="00F218A8">
        <w:rPr>
          <w:rFonts w:ascii="Times New Roman" w:hAnsi="Times New Roman" w:cs="Times New Roman"/>
          <w:sz w:val="24"/>
          <w:szCs w:val="24"/>
        </w:rPr>
        <w:t>,</w:t>
      </w:r>
      <w:r w:rsidRPr="00F218A8">
        <w:rPr>
          <w:rFonts w:ascii="Times New Roman" w:hAnsi="Times New Roman" w:cs="Times New Roman"/>
          <w:sz w:val="24"/>
          <w:szCs w:val="24"/>
        </w:rPr>
        <w:t xml:space="preserve"> and attempt to predict the reproductive potential of the affected women</w:t>
      </w:r>
    </w:p>
    <w:p w14:paraId="72E4AC7A" w14:textId="0BA33A8F" w:rsidR="00E06FF9" w:rsidRPr="00F218A8" w:rsidRDefault="00471C19" w:rsidP="00767608">
      <w:pPr>
        <w:jc w:val="both"/>
        <w:rPr>
          <w:rFonts w:ascii="Times New Roman" w:hAnsi="Times New Roman" w:cs="Times New Roman"/>
          <w:b/>
          <w:bCs/>
          <w:sz w:val="24"/>
          <w:szCs w:val="24"/>
        </w:rPr>
      </w:pPr>
      <w:r w:rsidRPr="00F218A8">
        <w:rPr>
          <w:rFonts w:ascii="Times New Roman" w:hAnsi="Times New Roman" w:cs="Times New Roman"/>
          <w:b/>
          <w:bCs/>
          <w:sz w:val="24"/>
          <w:szCs w:val="24"/>
        </w:rPr>
        <w:t>METHOD</w:t>
      </w:r>
      <w:r w:rsidR="00120AE2">
        <w:rPr>
          <w:rFonts w:ascii="Times New Roman" w:hAnsi="Times New Roman" w:cs="Times New Roman"/>
          <w:b/>
          <w:bCs/>
          <w:sz w:val="24"/>
          <w:szCs w:val="24"/>
        </w:rPr>
        <w:t>S</w:t>
      </w:r>
    </w:p>
    <w:p w14:paraId="49B9AA99" w14:textId="38522A7F" w:rsidR="00DC7716" w:rsidRPr="00F218A8" w:rsidRDefault="00596908" w:rsidP="00767608">
      <w:pPr>
        <w:spacing w:line="240" w:lineRule="auto"/>
        <w:jc w:val="both"/>
        <w:rPr>
          <w:rFonts w:ascii="Times New Roman" w:hAnsi="Times New Roman" w:cs="Times New Roman"/>
          <w:sz w:val="24"/>
          <w:szCs w:val="24"/>
        </w:rPr>
      </w:pPr>
      <w:r w:rsidRPr="00F218A8">
        <w:rPr>
          <w:rFonts w:ascii="Times New Roman" w:hAnsi="Times New Roman" w:cs="Times New Roman"/>
          <w:sz w:val="24"/>
          <w:szCs w:val="24"/>
        </w:rPr>
        <w:t>This is a hospital-based case-control study. The ovarian reserve makers (AMH and FSH) and other reproductive hormon</w:t>
      </w:r>
      <w:bookmarkStart w:id="0" w:name="_GoBack"/>
      <w:bookmarkEnd w:id="0"/>
      <w:r w:rsidRPr="00F218A8">
        <w:rPr>
          <w:rFonts w:ascii="Times New Roman" w:hAnsi="Times New Roman" w:cs="Times New Roman"/>
          <w:sz w:val="24"/>
          <w:szCs w:val="24"/>
        </w:rPr>
        <w:t xml:space="preserve">es such as luteinizing hormone, </w:t>
      </w:r>
      <w:r w:rsidR="00C5034C" w:rsidRPr="00F218A8">
        <w:rPr>
          <w:rFonts w:ascii="Times New Roman" w:hAnsi="Times New Roman" w:cs="Times New Roman"/>
          <w:color w:val="FF0000"/>
          <w:sz w:val="24"/>
          <w:szCs w:val="24"/>
        </w:rPr>
        <w:t>o</w:t>
      </w:r>
      <w:r w:rsidRPr="00F218A8">
        <w:rPr>
          <w:rFonts w:ascii="Times New Roman" w:hAnsi="Times New Roman" w:cs="Times New Roman"/>
          <w:color w:val="FF0000"/>
          <w:sz w:val="24"/>
          <w:szCs w:val="24"/>
        </w:rPr>
        <w:t>estradiol</w:t>
      </w:r>
      <w:r w:rsidRPr="00F218A8">
        <w:rPr>
          <w:rFonts w:ascii="Times New Roman" w:hAnsi="Times New Roman" w:cs="Times New Roman"/>
          <w:sz w:val="24"/>
          <w:szCs w:val="24"/>
        </w:rPr>
        <w:t xml:space="preserve">, progesterone, and </w:t>
      </w:r>
      <w:r w:rsidRPr="00F218A8">
        <w:rPr>
          <w:rFonts w:ascii="Times New Roman" w:hAnsi="Times New Roman" w:cs="Times New Roman"/>
          <w:sz w:val="24"/>
          <w:szCs w:val="24"/>
        </w:rPr>
        <w:lastRenderedPageBreak/>
        <w:t xml:space="preserve">prolactin of patients with infertility visiting the department of Obstetrics and Gynaecology of </w:t>
      </w:r>
      <w:proofErr w:type="spellStart"/>
      <w:r w:rsidRPr="00F218A8">
        <w:rPr>
          <w:rFonts w:ascii="Times New Roman" w:hAnsi="Times New Roman" w:cs="Times New Roman"/>
          <w:sz w:val="24"/>
          <w:szCs w:val="24"/>
        </w:rPr>
        <w:t>Irrua</w:t>
      </w:r>
      <w:proofErr w:type="spellEnd"/>
      <w:r w:rsidRPr="00F218A8">
        <w:rPr>
          <w:rFonts w:ascii="Times New Roman" w:hAnsi="Times New Roman" w:cs="Times New Roman"/>
          <w:sz w:val="24"/>
          <w:szCs w:val="24"/>
        </w:rPr>
        <w:t xml:space="preserve"> Specialist Teaching Hospital, </w:t>
      </w:r>
      <w:proofErr w:type="spellStart"/>
      <w:r w:rsidRPr="00F218A8">
        <w:rPr>
          <w:rFonts w:ascii="Times New Roman" w:hAnsi="Times New Roman" w:cs="Times New Roman"/>
          <w:sz w:val="24"/>
          <w:szCs w:val="24"/>
        </w:rPr>
        <w:t>Irrua</w:t>
      </w:r>
      <w:proofErr w:type="spellEnd"/>
      <w:r w:rsidRPr="00F218A8">
        <w:rPr>
          <w:rFonts w:ascii="Times New Roman" w:hAnsi="Times New Roman" w:cs="Times New Roman"/>
          <w:sz w:val="24"/>
          <w:szCs w:val="24"/>
        </w:rPr>
        <w:t xml:space="preserve">, were compared with those of women with proven fertility matched for age as controls. </w:t>
      </w:r>
      <w:proofErr w:type="spellStart"/>
      <w:r w:rsidR="00DC7716" w:rsidRPr="00F218A8">
        <w:rPr>
          <w:rFonts w:ascii="Times New Roman" w:hAnsi="Times New Roman" w:cs="Times New Roman"/>
          <w:sz w:val="24"/>
          <w:szCs w:val="24"/>
        </w:rPr>
        <w:t>Irrua</w:t>
      </w:r>
      <w:proofErr w:type="spellEnd"/>
      <w:r w:rsidR="00DC7716" w:rsidRPr="00F218A8">
        <w:rPr>
          <w:rFonts w:ascii="Times New Roman" w:hAnsi="Times New Roman" w:cs="Times New Roman"/>
          <w:sz w:val="24"/>
          <w:szCs w:val="24"/>
        </w:rPr>
        <w:t xml:space="preserve"> is a rural town and the capital of Esan central local government area of Edo state, Nigeria. Edo state is located in the South-South geopolitical zone of the country. It is situated on a latitude of 6.5438 and a longitude of 5.8987 and it is bounded by </w:t>
      </w:r>
      <w:proofErr w:type="spellStart"/>
      <w:r w:rsidR="00DC7716" w:rsidRPr="00F218A8">
        <w:rPr>
          <w:rFonts w:ascii="Times New Roman" w:hAnsi="Times New Roman" w:cs="Times New Roman"/>
          <w:sz w:val="24"/>
          <w:szCs w:val="24"/>
        </w:rPr>
        <w:t>Kogi</w:t>
      </w:r>
      <w:proofErr w:type="spellEnd"/>
      <w:r w:rsidR="00DC7716" w:rsidRPr="00F218A8">
        <w:rPr>
          <w:rFonts w:ascii="Times New Roman" w:hAnsi="Times New Roman" w:cs="Times New Roman"/>
          <w:sz w:val="24"/>
          <w:szCs w:val="24"/>
        </w:rPr>
        <w:t xml:space="preserve"> state to the northeast, Anambra state to the east, Delta state to the southeast, and Ondo state to the west.</w:t>
      </w:r>
      <w:r w:rsidR="007E0CD1" w:rsidRPr="00F218A8">
        <w:rPr>
          <w:rFonts w:ascii="Times New Roman" w:hAnsi="Times New Roman" w:cs="Times New Roman"/>
          <w:sz w:val="24"/>
          <w:szCs w:val="24"/>
        </w:rPr>
        <w:t xml:space="preserve"> </w:t>
      </w:r>
      <w:proofErr w:type="spellStart"/>
      <w:r w:rsidR="00DC7716" w:rsidRPr="00F218A8">
        <w:rPr>
          <w:rFonts w:ascii="Times New Roman" w:hAnsi="Times New Roman" w:cs="Times New Roman"/>
          <w:sz w:val="24"/>
          <w:szCs w:val="24"/>
        </w:rPr>
        <w:t>Irrua</w:t>
      </w:r>
      <w:proofErr w:type="spellEnd"/>
      <w:r w:rsidR="00DC7716" w:rsidRPr="00F218A8">
        <w:rPr>
          <w:rFonts w:ascii="Times New Roman" w:hAnsi="Times New Roman" w:cs="Times New Roman"/>
          <w:sz w:val="24"/>
          <w:szCs w:val="24"/>
        </w:rPr>
        <w:t xml:space="preserve"> Specialist Teaching Hospital is a 375-bed tertiary institution located in </w:t>
      </w:r>
      <w:proofErr w:type="spellStart"/>
      <w:r w:rsidR="00DC7716" w:rsidRPr="00F218A8">
        <w:rPr>
          <w:rFonts w:ascii="Times New Roman" w:hAnsi="Times New Roman" w:cs="Times New Roman"/>
          <w:sz w:val="24"/>
          <w:szCs w:val="24"/>
        </w:rPr>
        <w:t>Irrua</w:t>
      </w:r>
      <w:proofErr w:type="spellEnd"/>
      <w:r w:rsidR="00DC7716" w:rsidRPr="00F218A8">
        <w:rPr>
          <w:rFonts w:ascii="Times New Roman" w:hAnsi="Times New Roman" w:cs="Times New Roman"/>
          <w:sz w:val="24"/>
          <w:szCs w:val="24"/>
        </w:rPr>
        <w:t>, Esan Central Local Government Area, Edo State.  The department of Obstetrics and Gynaecology has 48 Obstetric and 42 Gynaecological beds and undertakes an average of about 1600 deliveries annually. Antenatal clinics are held three times a week</w:t>
      </w:r>
      <w:r w:rsidR="00F80667" w:rsidRPr="00F218A8">
        <w:rPr>
          <w:rFonts w:ascii="Times New Roman" w:hAnsi="Times New Roman" w:cs="Times New Roman"/>
          <w:sz w:val="24"/>
          <w:szCs w:val="24"/>
        </w:rPr>
        <w:t>,</w:t>
      </w:r>
      <w:r w:rsidR="00DC7716" w:rsidRPr="00F218A8">
        <w:rPr>
          <w:rFonts w:ascii="Times New Roman" w:hAnsi="Times New Roman" w:cs="Times New Roman"/>
          <w:sz w:val="24"/>
          <w:szCs w:val="24"/>
        </w:rPr>
        <w:t xml:space="preserve"> and </w:t>
      </w:r>
      <w:r w:rsidR="00F80667" w:rsidRPr="00F218A8">
        <w:rPr>
          <w:rFonts w:ascii="Times New Roman" w:hAnsi="Times New Roman" w:cs="Times New Roman"/>
          <w:sz w:val="24"/>
          <w:szCs w:val="24"/>
        </w:rPr>
        <w:t xml:space="preserve">the </w:t>
      </w:r>
      <w:r w:rsidR="00DC7716" w:rsidRPr="00F218A8">
        <w:rPr>
          <w:rFonts w:ascii="Times New Roman" w:hAnsi="Times New Roman" w:cs="Times New Roman"/>
          <w:sz w:val="24"/>
          <w:szCs w:val="24"/>
        </w:rPr>
        <w:t>booking clinic is once a week</w:t>
      </w:r>
      <w:r w:rsidR="00F80667" w:rsidRPr="00F218A8">
        <w:rPr>
          <w:rFonts w:ascii="Times New Roman" w:hAnsi="Times New Roman" w:cs="Times New Roman"/>
          <w:sz w:val="24"/>
          <w:szCs w:val="24"/>
        </w:rPr>
        <w:t>,</w:t>
      </w:r>
      <w:r w:rsidR="00DC7716" w:rsidRPr="00F218A8">
        <w:rPr>
          <w:rFonts w:ascii="Times New Roman" w:hAnsi="Times New Roman" w:cs="Times New Roman"/>
          <w:sz w:val="24"/>
          <w:szCs w:val="24"/>
        </w:rPr>
        <w:t xml:space="preserve"> with an average of one hundred women booking on a monthly basis. The infertility/gynaecological clinics are also held three times a week</w:t>
      </w:r>
      <w:r w:rsidR="00F80667" w:rsidRPr="00F218A8">
        <w:rPr>
          <w:rFonts w:ascii="Times New Roman" w:hAnsi="Times New Roman" w:cs="Times New Roman"/>
          <w:sz w:val="24"/>
          <w:szCs w:val="24"/>
        </w:rPr>
        <w:t>,</w:t>
      </w:r>
      <w:r w:rsidR="00DC7716" w:rsidRPr="00F218A8">
        <w:rPr>
          <w:rFonts w:ascii="Times New Roman" w:hAnsi="Times New Roman" w:cs="Times New Roman"/>
          <w:sz w:val="24"/>
          <w:szCs w:val="24"/>
        </w:rPr>
        <w:t xml:space="preserve"> with an average of 1000 patients seen annually.</w:t>
      </w:r>
      <w:r w:rsidR="00767608" w:rsidRPr="00F218A8">
        <w:rPr>
          <w:rFonts w:ascii="Times New Roman" w:hAnsi="Times New Roman" w:cs="Times New Roman"/>
          <w:sz w:val="24"/>
          <w:szCs w:val="24"/>
        </w:rPr>
        <w:t xml:space="preserve"> T</w:t>
      </w:r>
      <w:r w:rsidR="00DC7716" w:rsidRPr="00F218A8">
        <w:rPr>
          <w:rFonts w:ascii="Times New Roman" w:hAnsi="Times New Roman" w:cs="Times New Roman"/>
          <w:sz w:val="24"/>
          <w:szCs w:val="24"/>
        </w:rPr>
        <w:t xml:space="preserve">he control subjects were recruited from women attending the family planning clinic of the department of obstetrics and gynaecology, </w:t>
      </w:r>
      <w:proofErr w:type="spellStart"/>
      <w:r w:rsidR="00DC7716" w:rsidRPr="00F218A8">
        <w:rPr>
          <w:rFonts w:ascii="Times New Roman" w:hAnsi="Times New Roman" w:cs="Times New Roman"/>
          <w:sz w:val="24"/>
          <w:szCs w:val="24"/>
        </w:rPr>
        <w:t>Irrua</w:t>
      </w:r>
      <w:proofErr w:type="spellEnd"/>
      <w:r w:rsidR="00DC7716" w:rsidRPr="00F218A8">
        <w:rPr>
          <w:rFonts w:ascii="Times New Roman" w:hAnsi="Times New Roman" w:cs="Times New Roman"/>
          <w:sz w:val="24"/>
          <w:szCs w:val="24"/>
        </w:rPr>
        <w:t xml:space="preserve"> Specialist Hospital and women presenting their children for </w:t>
      </w:r>
      <w:r w:rsidR="00F80667" w:rsidRPr="00F218A8">
        <w:rPr>
          <w:rFonts w:ascii="Times New Roman" w:hAnsi="Times New Roman" w:cs="Times New Roman"/>
          <w:sz w:val="24"/>
          <w:szCs w:val="24"/>
        </w:rPr>
        <w:t xml:space="preserve">immunisation </w:t>
      </w:r>
      <w:r w:rsidR="00DC7716" w:rsidRPr="00F218A8">
        <w:rPr>
          <w:rFonts w:ascii="Times New Roman" w:hAnsi="Times New Roman" w:cs="Times New Roman"/>
          <w:sz w:val="24"/>
          <w:szCs w:val="24"/>
        </w:rPr>
        <w:t>at the infant welfare clinic of ISTH, especially those who do not attend the family planning clinic.</w:t>
      </w:r>
      <w:r w:rsidR="00767608" w:rsidRPr="00F218A8">
        <w:rPr>
          <w:rFonts w:ascii="Times New Roman" w:hAnsi="Times New Roman" w:cs="Times New Roman"/>
          <w:sz w:val="24"/>
          <w:szCs w:val="24"/>
        </w:rPr>
        <w:t xml:space="preserve"> Collected samples were</w:t>
      </w:r>
      <w:r w:rsidR="00DC7716" w:rsidRPr="00F218A8">
        <w:rPr>
          <w:rFonts w:ascii="Times New Roman" w:hAnsi="Times New Roman" w:cs="Times New Roman"/>
          <w:sz w:val="24"/>
          <w:szCs w:val="24"/>
        </w:rPr>
        <w:t xml:space="preserve"> </w:t>
      </w:r>
      <w:r w:rsidR="00DC7716" w:rsidRPr="00F218A8">
        <w:rPr>
          <w:rFonts w:ascii="Times New Roman" w:hAnsi="Times New Roman" w:cs="Times New Roman"/>
          <w:color w:val="FF0000"/>
          <w:sz w:val="24"/>
          <w:szCs w:val="24"/>
        </w:rPr>
        <w:t>analy</w:t>
      </w:r>
      <w:r w:rsidR="00C5034C" w:rsidRPr="00F218A8">
        <w:rPr>
          <w:rFonts w:ascii="Times New Roman" w:hAnsi="Times New Roman" w:cs="Times New Roman"/>
          <w:color w:val="FF0000"/>
          <w:sz w:val="24"/>
          <w:szCs w:val="24"/>
        </w:rPr>
        <w:t>s</w:t>
      </w:r>
      <w:r w:rsidR="00DC7716" w:rsidRPr="00F218A8">
        <w:rPr>
          <w:rFonts w:ascii="Times New Roman" w:hAnsi="Times New Roman" w:cs="Times New Roman"/>
          <w:color w:val="FF0000"/>
          <w:sz w:val="24"/>
          <w:szCs w:val="24"/>
        </w:rPr>
        <w:t>ed</w:t>
      </w:r>
      <w:r w:rsidR="00DC7716" w:rsidRPr="00F218A8">
        <w:rPr>
          <w:rFonts w:ascii="Times New Roman" w:hAnsi="Times New Roman" w:cs="Times New Roman"/>
          <w:sz w:val="24"/>
          <w:szCs w:val="24"/>
        </w:rPr>
        <w:t xml:space="preserve"> at the immunoassay laboratory of the </w:t>
      </w:r>
      <w:r w:rsidR="00F80667" w:rsidRPr="00F218A8">
        <w:rPr>
          <w:rFonts w:ascii="Times New Roman" w:hAnsi="Times New Roman" w:cs="Times New Roman"/>
          <w:sz w:val="24"/>
          <w:szCs w:val="24"/>
        </w:rPr>
        <w:t xml:space="preserve">Department </w:t>
      </w:r>
      <w:r w:rsidR="00DC7716" w:rsidRPr="00F218A8">
        <w:rPr>
          <w:rFonts w:ascii="Times New Roman" w:hAnsi="Times New Roman" w:cs="Times New Roman"/>
          <w:sz w:val="24"/>
          <w:szCs w:val="24"/>
        </w:rPr>
        <w:t>of Chemical Pathology, ISTH.</w:t>
      </w:r>
      <w:r w:rsidR="0050256F" w:rsidRPr="00F218A8">
        <w:rPr>
          <w:rFonts w:ascii="Times New Roman" w:hAnsi="Times New Roman" w:cs="Times New Roman"/>
          <w:sz w:val="24"/>
          <w:szCs w:val="24"/>
        </w:rPr>
        <w:t xml:space="preserve"> </w:t>
      </w:r>
      <w:r w:rsidR="00DC7716" w:rsidRPr="00F218A8">
        <w:rPr>
          <w:rFonts w:ascii="Times New Roman" w:hAnsi="Times New Roman" w:cs="Times New Roman"/>
          <w:sz w:val="24"/>
          <w:szCs w:val="24"/>
        </w:rPr>
        <w:t xml:space="preserve">The study population was made up of infertile (case) and fertile women (control) who were recruited from the department of obstetrics and gynaecology and </w:t>
      </w:r>
      <w:r w:rsidR="00F80667" w:rsidRPr="00F218A8">
        <w:rPr>
          <w:rFonts w:ascii="Times New Roman" w:hAnsi="Times New Roman" w:cs="Times New Roman"/>
          <w:sz w:val="24"/>
          <w:szCs w:val="24"/>
        </w:rPr>
        <w:t xml:space="preserve">the </w:t>
      </w:r>
      <w:r w:rsidR="00DC7716" w:rsidRPr="00F218A8">
        <w:rPr>
          <w:rFonts w:ascii="Times New Roman" w:hAnsi="Times New Roman" w:cs="Times New Roman"/>
          <w:sz w:val="24"/>
          <w:szCs w:val="24"/>
        </w:rPr>
        <w:t xml:space="preserve">infant welfare clinic. The list of all the women attending </w:t>
      </w:r>
      <w:r w:rsidR="00F80667" w:rsidRPr="00F218A8">
        <w:rPr>
          <w:rFonts w:ascii="Times New Roman" w:hAnsi="Times New Roman" w:cs="Times New Roman"/>
          <w:sz w:val="24"/>
          <w:szCs w:val="24"/>
        </w:rPr>
        <w:t xml:space="preserve">the </w:t>
      </w:r>
      <w:r w:rsidR="00DC7716" w:rsidRPr="00F218A8">
        <w:rPr>
          <w:rFonts w:ascii="Times New Roman" w:hAnsi="Times New Roman" w:cs="Times New Roman"/>
          <w:sz w:val="24"/>
          <w:szCs w:val="24"/>
        </w:rPr>
        <w:t>clinic for the day was retrieved</w:t>
      </w:r>
      <w:r w:rsidR="00F80667" w:rsidRPr="00F218A8">
        <w:rPr>
          <w:rFonts w:ascii="Times New Roman" w:hAnsi="Times New Roman" w:cs="Times New Roman"/>
          <w:sz w:val="24"/>
          <w:szCs w:val="24"/>
        </w:rPr>
        <w:t>,</w:t>
      </w:r>
      <w:r w:rsidR="00DC7716" w:rsidRPr="00F218A8">
        <w:rPr>
          <w:rFonts w:ascii="Times New Roman" w:hAnsi="Times New Roman" w:cs="Times New Roman"/>
          <w:sz w:val="24"/>
          <w:szCs w:val="24"/>
        </w:rPr>
        <w:t xml:space="preserve"> and those meeting the inclusion criteria for the study</w:t>
      </w:r>
      <w:r w:rsidR="00F80667" w:rsidRPr="00F218A8">
        <w:rPr>
          <w:rFonts w:ascii="Times New Roman" w:hAnsi="Times New Roman" w:cs="Times New Roman"/>
          <w:sz w:val="24"/>
          <w:szCs w:val="24"/>
        </w:rPr>
        <w:t xml:space="preserve"> were selected </w:t>
      </w:r>
      <w:r w:rsidR="00DC7716" w:rsidRPr="00F218A8">
        <w:rPr>
          <w:rFonts w:ascii="Times New Roman" w:hAnsi="Times New Roman" w:cs="Times New Roman"/>
          <w:sz w:val="24"/>
          <w:szCs w:val="24"/>
        </w:rPr>
        <w:t xml:space="preserve">using </w:t>
      </w:r>
      <w:r w:rsidR="00F80667" w:rsidRPr="00F218A8">
        <w:rPr>
          <w:rFonts w:ascii="Times New Roman" w:hAnsi="Times New Roman" w:cs="Times New Roman"/>
          <w:sz w:val="24"/>
          <w:szCs w:val="24"/>
        </w:rPr>
        <w:t xml:space="preserve">a </w:t>
      </w:r>
      <w:r w:rsidR="00DC7716" w:rsidRPr="00F218A8">
        <w:rPr>
          <w:rFonts w:ascii="Times New Roman" w:hAnsi="Times New Roman" w:cs="Times New Roman"/>
          <w:sz w:val="24"/>
          <w:szCs w:val="24"/>
        </w:rPr>
        <w:t>simple random sampling technique</w:t>
      </w:r>
      <w:r w:rsidR="00F80667" w:rsidRPr="00F218A8">
        <w:rPr>
          <w:rFonts w:ascii="Times New Roman" w:hAnsi="Times New Roman" w:cs="Times New Roman"/>
          <w:sz w:val="24"/>
          <w:szCs w:val="24"/>
        </w:rPr>
        <w:t>. T</w:t>
      </w:r>
      <w:r w:rsidR="00DC7716" w:rsidRPr="00F218A8">
        <w:rPr>
          <w:rFonts w:ascii="Times New Roman" w:hAnsi="Times New Roman" w:cs="Times New Roman"/>
          <w:sz w:val="24"/>
          <w:szCs w:val="24"/>
        </w:rPr>
        <w:t>he first individuals are picked</w:t>
      </w:r>
      <w:r w:rsidR="00F80667" w:rsidRPr="00F218A8">
        <w:rPr>
          <w:rFonts w:ascii="Times New Roman" w:hAnsi="Times New Roman" w:cs="Times New Roman"/>
          <w:sz w:val="24"/>
          <w:szCs w:val="24"/>
        </w:rPr>
        <w:t>,</w:t>
      </w:r>
      <w:r w:rsidR="00DC7716" w:rsidRPr="00F218A8">
        <w:rPr>
          <w:rFonts w:ascii="Times New Roman" w:hAnsi="Times New Roman" w:cs="Times New Roman"/>
          <w:sz w:val="24"/>
          <w:szCs w:val="24"/>
        </w:rPr>
        <w:t xml:space="preserve"> and every third number </w:t>
      </w:r>
      <w:r w:rsidR="00F80667" w:rsidRPr="00F218A8">
        <w:rPr>
          <w:rFonts w:ascii="Times New Roman" w:hAnsi="Times New Roman" w:cs="Times New Roman"/>
          <w:sz w:val="24"/>
          <w:szCs w:val="24"/>
        </w:rPr>
        <w:t xml:space="preserve">was </w:t>
      </w:r>
      <w:r w:rsidR="00DC7716" w:rsidRPr="00F218A8">
        <w:rPr>
          <w:rFonts w:ascii="Times New Roman" w:hAnsi="Times New Roman" w:cs="Times New Roman"/>
          <w:sz w:val="24"/>
          <w:szCs w:val="24"/>
        </w:rPr>
        <w:t>also selected. The total study population was one hundred and thirty (130) women.</w:t>
      </w:r>
    </w:p>
    <w:p w14:paraId="72D2872C" w14:textId="77777777" w:rsidR="00DC7716" w:rsidRPr="00F218A8" w:rsidRDefault="00DC7716" w:rsidP="00767608">
      <w:pPr>
        <w:spacing w:line="240" w:lineRule="auto"/>
        <w:rPr>
          <w:rFonts w:ascii="Times New Roman" w:hAnsi="Times New Roman" w:cs="Times New Roman"/>
          <w:sz w:val="24"/>
          <w:szCs w:val="24"/>
        </w:rPr>
      </w:pPr>
      <w:r w:rsidRPr="00F218A8">
        <w:rPr>
          <w:rFonts w:ascii="Times New Roman" w:hAnsi="Times New Roman" w:cs="Times New Roman"/>
          <w:sz w:val="24"/>
          <w:szCs w:val="24"/>
        </w:rPr>
        <w:t xml:space="preserve">The sample size was calculated using the difference in proportion formula for case-control </w:t>
      </w:r>
      <w:proofErr w:type="gramStart"/>
      <w:r w:rsidRPr="00F218A8">
        <w:rPr>
          <w:rFonts w:ascii="Times New Roman" w:hAnsi="Times New Roman" w:cs="Times New Roman"/>
          <w:sz w:val="24"/>
          <w:szCs w:val="24"/>
        </w:rPr>
        <w:t>studies.</w:t>
      </w:r>
      <w:r w:rsidR="006256CE" w:rsidRPr="00F218A8">
        <w:rPr>
          <w:rFonts w:ascii="Times New Roman" w:hAnsi="Times New Roman" w:cs="Times New Roman"/>
          <w:sz w:val="24"/>
          <w:szCs w:val="24"/>
          <w:vertAlign w:val="superscript"/>
        </w:rPr>
        <w:t>[</w:t>
      </w:r>
      <w:proofErr w:type="gramEnd"/>
      <w:r w:rsidR="006256CE" w:rsidRPr="00F218A8">
        <w:rPr>
          <w:rFonts w:ascii="Times New Roman" w:hAnsi="Times New Roman" w:cs="Times New Roman"/>
          <w:sz w:val="24"/>
          <w:szCs w:val="24"/>
          <w:vertAlign w:val="superscript"/>
        </w:rPr>
        <w:t>13]</w:t>
      </w:r>
      <w:r w:rsidRPr="00F218A8">
        <w:rPr>
          <w:rFonts w:ascii="Times New Roman" w:hAnsi="Times New Roman" w:cs="Times New Roman"/>
          <w:sz w:val="24"/>
          <w:szCs w:val="24"/>
          <w:vertAlign w:val="superscript"/>
        </w:rPr>
        <w:t xml:space="preserve"> </w:t>
      </w:r>
    </w:p>
    <w:p w14:paraId="119889CA" w14:textId="77777777" w:rsidR="00DC7716" w:rsidRPr="00F218A8" w:rsidRDefault="00DC7716" w:rsidP="00767608">
      <w:pPr>
        <w:spacing w:line="240" w:lineRule="auto"/>
        <w:rPr>
          <w:rFonts w:ascii="Times New Roman" w:hAnsi="Times New Roman" w:cs="Times New Roman"/>
          <w:sz w:val="24"/>
          <w:szCs w:val="24"/>
        </w:rPr>
      </w:pPr>
      <w:r w:rsidRPr="00F218A8">
        <w:rPr>
          <w:rFonts w:ascii="Times New Roman" w:hAnsi="Times New Roman" w:cs="Times New Roman"/>
          <w:sz w:val="24"/>
          <w:szCs w:val="24"/>
        </w:rPr>
        <w:t xml:space="preserve"> </w:t>
      </w:r>
      <w:r w:rsidRPr="00F218A8">
        <w:rPr>
          <w:rFonts w:ascii="Times New Roman" w:hAnsi="Times New Roman" w:cs="Times New Roman"/>
          <w:noProof/>
          <w:sz w:val="24"/>
          <w:szCs w:val="24"/>
          <w:lang w:eastAsia="en-GB"/>
        </w:rPr>
        <w:drawing>
          <wp:inline distT="0" distB="0" distL="0" distR="0" wp14:anchorId="54835701" wp14:editId="4DADAEFC">
            <wp:extent cx="2167485" cy="502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332746" cy="541265"/>
                    </a:xfrm>
                    <a:prstGeom prst="rect">
                      <a:avLst/>
                    </a:prstGeom>
                    <a:noFill/>
                    <a:ln>
                      <a:noFill/>
                    </a:ln>
                  </pic:spPr>
                </pic:pic>
              </a:graphicData>
            </a:graphic>
          </wp:inline>
        </w:drawing>
      </w:r>
    </w:p>
    <w:p w14:paraId="23EAC5F4" w14:textId="77777777" w:rsidR="00DC7716" w:rsidRPr="00F218A8" w:rsidRDefault="00DC7716" w:rsidP="0050256F">
      <w:pPr>
        <w:spacing w:after="0" w:line="240" w:lineRule="auto"/>
        <w:rPr>
          <w:rFonts w:ascii="Times New Roman" w:hAnsi="Times New Roman" w:cs="Times New Roman"/>
          <w:sz w:val="24"/>
          <w:szCs w:val="24"/>
        </w:rPr>
      </w:pPr>
      <w:r w:rsidRPr="00F218A8">
        <w:rPr>
          <w:rFonts w:ascii="Times New Roman" w:hAnsi="Times New Roman" w:cs="Times New Roman"/>
          <w:sz w:val="24"/>
          <w:szCs w:val="24"/>
        </w:rPr>
        <w:t xml:space="preserve">Where; </w:t>
      </w:r>
    </w:p>
    <w:p w14:paraId="00B8E4A1" w14:textId="77777777" w:rsidR="00DC7716" w:rsidRPr="00F218A8" w:rsidRDefault="00DC7716" w:rsidP="0050256F">
      <w:pPr>
        <w:spacing w:after="0" w:line="240" w:lineRule="auto"/>
        <w:rPr>
          <w:rFonts w:ascii="Times New Roman" w:hAnsi="Times New Roman" w:cs="Times New Roman"/>
          <w:sz w:val="24"/>
          <w:szCs w:val="24"/>
        </w:rPr>
      </w:pPr>
      <w:r w:rsidRPr="00F218A8">
        <w:rPr>
          <w:rFonts w:ascii="Times New Roman" w:hAnsi="Times New Roman" w:cs="Times New Roman"/>
          <w:sz w:val="24"/>
          <w:szCs w:val="24"/>
        </w:rPr>
        <w:t xml:space="preserve">n = sample size in the case-control group </w:t>
      </w:r>
    </w:p>
    <w:p w14:paraId="5027B6CD" w14:textId="77777777" w:rsidR="00DC7716" w:rsidRPr="00F218A8" w:rsidRDefault="00DC7716" w:rsidP="0050256F">
      <w:pPr>
        <w:spacing w:after="0" w:line="240" w:lineRule="auto"/>
        <w:rPr>
          <w:rFonts w:ascii="Times New Roman" w:hAnsi="Times New Roman" w:cs="Times New Roman"/>
          <w:sz w:val="24"/>
          <w:szCs w:val="24"/>
        </w:rPr>
      </w:pPr>
      <w:r w:rsidRPr="00F218A8">
        <w:rPr>
          <w:rFonts w:ascii="Times New Roman" w:hAnsi="Times New Roman" w:cs="Times New Roman"/>
          <w:sz w:val="24"/>
          <w:szCs w:val="24"/>
        </w:rPr>
        <w:t>r = ratio of controls to cases</w:t>
      </w:r>
    </w:p>
    <w:p w14:paraId="1E9CA6CD" w14:textId="77777777" w:rsidR="00DC7716" w:rsidRPr="00F218A8" w:rsidRDefault="00DC7716" w:rsidP="0050256F">
      <w:pPr>
        <w:spacing w:after="0" w:line="240" w:lineRule="auto"/>
        <w:rPr>
          <w:rFonts w:ascii="Times New Roman" w:hAnsi="Times New Roman" w:cs="Times New Roman"/>
          <w:sz w:val="24"/>
          <w:szCs w:val="24"/>
        </w:rPr>
      </w:pPr>
      <w:r w:rsidRPr="00F218A8">
        <w:rPr>
          <w:rFonts w:ascii="Times New Roman" w:hAnsi="Times New Roman" w:cs="Times New Roman"/>
          <w:sz w:val="24"/>
          <w:szCs w:val="24"/>
        </w:rPr>
        <w:t>Zβ = Represents the desired power (typically 0.84 for 80% power)</w:t>
      </w:r>
    </w:p>
    <w:p w14:paraId="7AB7BA9F" w14:textId="77777777" w:rsidR="00DC7716" w:rsidRPr="00F218A8" w:rsidRDefault="00DC7716" w:rsidP="0050256F">
      <w:pPr>
        <w:spacing w:after="0" w:line="240" w:lineRule="auto"/>
        <w:rPr>
          <w:rFonts w:ascii="Times New Roman" w:hAnsi="Times New Roman" w:cs="Times New Roman"/>
          <w:sz w:val="24"/>
          <w:szCs w:val="24"/>
        </w:rPr>
      </w:pPr>
      <w:r w:rsidRPr="00F218A8">
        <w:rPr>
          <w:rFonts w:ascii="Times New Roman" w:hAnsi="Times New Roman" w:cs="Times New Roman"/>
          <w:sz w:val="24"/>
          <w:szCs w:val="24"/>
        </w:rPr>
        <w:t>Zα = Represents the desired level of statistical significance (typically 1.96).</w:t>
      </w:r>
    </w:p>
    <w:p w14:paraId="757F4FC8" w14:textId="77777777" w:rsidR="00DC7716" w:rsidRPr="00F218A8" w:rsidRDefault="00DC7716" w:rsidP="0050256F">
      <w:pPr>
        <w:spacing w:after="0" w:line="240" w:lineRule="auto"/>
        <w:rPr>
          <w:rFonts w:ascii="Times New Roman" w:hAnsi="Times New Roman" w:cs="Times New Roman"/>
          <w:sz w:val="24"/>
          <w:szCs w:val="24"/>
        </w:rPr>
      </w:pPr>
      <w:r w:rsidRPr="00F218A8">
        <w:rPr>
          <w:rFonts w:ascii="Times New Roman" w:hAnsi="Times New Roman" w:cs="Times New Roman"/>
          <w:sz w:val="24"/>
          <w:szCs w:val="24"/>
        </w:rPr>
        <w:t>Þ = A measure of variability (similar to standard deviation) ((P1-P2)/2)</w:t>
      </w:r>
    </w:p>
    <w:p w14:paraId="3024ACC2" w14:textId="77777777" w:rsidR="00DC7716" w:rsidRPr="00F218A8" w:rsidRDefault="00DC7716" w:rsidP="0050256F">
      <w:pPr>
        <w:spacing w:after="0" w:line="240" w:lineRule="auto"/>
        <w:rPr>
          <w:rFonts w:ascii="Times New Roman" w:hAnsi="Times New Roman" w:cs="Times New Roman"/>
          <w:sz w:val="24"/>
          <w:szCs w:val="24"/>
        </w:rPr>
      </w:pPr>
      <w:r w:rsidRPr="00F218A8">
        <w:rPr>
          <w:rFonts w:ascii="Times New Roman" w:hAnsi="Times New Roman" w:cs="Times New Roman"/>
          <w:sz w:val="24"/>
          <w:szCs w:val="24"/>
        </w:rPr>
        <w:t xml:space="preserve">(P1 – P2)2 = Effect Size (the difference in proportions) P1 is the proportion of cases exposed. </w:t>
      </w:r>
    </w:p>
    <w:p w14:paraId="0A04671F" w14:textId="77777777" w:rsidR="00DC7716" w:rsidRPr="00F218A8" w:rsidRDefault="00DC7716" w:rsidP="0050256F">
      <w:pPr>
        <w:spacing w:after="0" w:line="240" w:lineRule="auto"/>
        <w:rPr>
          <w:rFonts w:ascii="Times New Roman" w:hAnsi="Times New Roman" w:cs="Times New Roman"/>
          <w:sz w:val="24"/>
          <w:szCs w:val="24"/>
          <w:vertAlign w:val="superscript"/>
        </w:rPr>
      </w:pPr>
      <w:r w:rsidRPr="00F218A8">
        <w:rPr>
          <w:rFonts w:ascii="Times New Roman" w:hAnsi="Times New Roman" w:cs="Times New Roman"/>
          <w:sz w:val="24"/>
          <w:szCs w:val="24"/>
        </w:rPr>
        <w:t>P2 is the proportion of exposed cases in the control group which is 10% (0.10</w:t>
      </w:r>
      <w:proofErr w:type="gramStart"/>
      <w:r w:rsidRPr="00F218A8">
        <w:rPr>
          <w:rFonts w:ascii="Times New Roman" w:hAnsi="Times New Roman" w:cs="Times New Roman"/>
          <w:sz w:val="24"/>
          <w:szCs w:val="24"/>
        </w:rPr>
        <w:t>).</w:t>
      </w:r>
      <w:r w:rsidR="006256CE" w:rsidRPr="00F218A8">
        <w:rPr>
          <w:rFonts w:ascii="Times New Roman" w:hAnsi="Times New Roman" w:cs="Times New Roman"/>
          <w:sz w:val="24"/>
          <w:szCs w:val="24"/>
          <w:vertAlign w:val="superscript"/>
        </w:rPr>
        <w:t>[</w:t>
      </w:r>
      <w:proofErr w:type="gramEnd"/>
      <w:r w:rsidR="006256CE" w:rsidRPr="00F218A8">
        <w:rPr>
          <w:rFonts w:ascii="Times New Roman" w:hAnsi="Times New Roman" w:cs="Times New Roman"/>
          <w:sz w:val="24"/>
          <w:szCs w:val="24"/>
          <w:vertAlign w:val="superscript"/>
        </w:rPr>
        <w:t>14]</w:t>
      </w:r>
    </w:p>
    <w:p w14:paraId="65F4BF2A" w14:textId="77777777" w:rsidR="00DC7716" w:rsidRPr="00F218A8" w:rsidRDefault="00DC7716" w:rsidP="0050256F">
      <w:pPr>
        <w:spacing w:after="0" w:line="240" w:lineRule="auto"/>
        <w:rPr>
          <w:rFonts w:ascii="Times New Roman" w:hAnsi="Times New Roman" w:cs="Times New Roman"/>
          <w:sz w:val="24"/>
          <w:szCs w:val="24"/>
        </w:rPr>
      </w:pPr>
      <w:r w:rsidRPr="00F218A8">
        <w:rPr>
          <w:rFonts w:ascii="Times New Roman" w:hAnsi="Times New Roman" w:cs="Times New Roman"/>
          <w:sz w:val="24"/>
          <w:szCs w:val="24"/>
        </w:rPr>
        <w:t>To get the proportion of cases exposed, P1 = OR P1/(P1(OR-1) +1)</w:t>
      </w:r>
    </w:p>
    <w:p w14:paraId="7956A338" w14:textId="77777777" w:rsidR="00DC7716" w:rsidRPr="00F218A8" w:rsidRDefault="00DC7716" w:rsidP="0050256F">
      <w:pPr>
        <w:spacing w:after="0" w:line="240" w:lineRule="auto"/>
        <w:rPr>
          <w:rFonts w:ascii="Times New Roman" w:hAnsi="Times New Roman" w:cs="Times New Roman"/>
          <w:sz w:val="24"/>
          <w:szCs w:val="24"/>
        </w:rPr>
      </w:pPr>
      <w:r w:rsidRPr="00F218A8">
        <w:rPr>
          <w:rFonts w:ascii="Times New Roman" w:hAnsi="Times New Roman" w:cs="Times New Roman"/>
          <w:sz w:val="24"/>
          <w:szCs w:val="24"/>
        </w:rPr>
        <w:t>The odds ratio (OR) for those exposed in the control group is 4.0.</w:t>
      </w:r>
    </w:p>
    <w:p w14:paraId="0BC089F1" w14:textId="77777777" w:rsidR="00DC7716" w:rsidRPr="00F218A8" w:rsidRDefault="00DC7716" w:rsidP="0050256F">
      <w:pPr>
        <w:spacing w:after="0" w:line="240" w:lineRule="auto"/>
        <w:rPr>
          <w:rFonts w:ascii="Times New Roman" w:hAnsi="Times New Roman" w:cs="Times New Roman"/>
          <w:sz w:val="24"/>
          <w:szCs w:val="24"/>
        </w:rPr>
      </w:pPr>
      <w:r w:rsidRPr="00F218A8">
        <w:rPr>
          <w:rFonts w:ascii="Times New Roman" w:hAnsi="Times New Roman" w:cs="Times New Roman"/>
          <w:sz w:val="24"/>
          <w:szCs w:val="24"/>
        </w:rPr>
        <w:t>Therefore, P1 = (4.0) ((0.10))/ (0.10(4.0-1) +1)</w:t>
      </w:r>
    </w:p>
    <w:p w14:paraId="747899EB" w14:textId="77777777" w:rsidR="00DC7716" w:rsidRPr="00F218A8" w:rsidRDefault="00DC7716" w:rsidP="0050256F">
      <w:pPr>
        <w:spacing w:after="0" w:line="240" w:lineRule="auto"/>
        <w:rPr>
          <w:rFonts w:ascii="Times New Roman" w:hAnsi="Times New Roman" w:cs="Times New Roman"/>
          <w:sz w:val="24"/>
          <w:szCs w:val="24"/>
        </w:rPr>
      </w:pPr>
      <w:r w:rsidRPr="00F218A8">
        <w:rPr>
          <w:rFonts w:ascii="Times New Roman" w:hAnsi="Times New Roman" w:cs="Times New Roman"/>
          <w:sz w:val="24"/>
          <w:szCs w:val="24"/>
        </w:rPr>
        <w:t>P1 = 0.31</w:t>
      </w:r>
    </w:p>
    <w:p w14:paraId="51B5D57D" w14:textId="77777777" w:rsidR="00DC7716" w:rsidRPr="00F218A8" w:rsidRDefault="00DC7716" w:rsidP="0050256F">
      <w:pPr>
        <w:spacing w:after="0" w:line="240" w:lineRule="auto"/>
        <w:rPr>
          <w:rFonts w:ascii="Times New Roman" w:hAnsi="Times New Roman" w:cs="Times New Roman"/>
          <w:sz w:val="24"/>
          <w:szCs w:val="24"/>
        </w:rPr>
      </w:pPr>
      <w:r w:rsidRPr="00F218A8">
        <w:rPr>
          <w:rFonts w:ascii="Times New Roman" w:hAnsi="Times New Roman" w:cs="Times New Roman"/>
          <w:sz w:val="24"/>
          <w:szCs w:val="24"/>
        </w:rPr>
        <w:t>Þ = (P1+P2)/2 = (0.31+0.10)/2 = 0.21</w:t>
      </w:r>
    </w:p>
    <w:p w14:paraId="47CC05D6" w14:textId="77777777" w:rsidR="00DC7716" w:rsidRPr="00F218A8" w:rsidRDefault="00DC7716" w:rsidP="0050256F">
      <w:pPr>
        <w:spacing w:after="0" w:line="240" w:lineRule="auto"/>
        <w:rPr>
          <w:rFonts w:ascii="Times New Roman" w:hAnsi="Times New Roman" w:cs="Times New Roman"/>
          <w:sz w:val="24"/>
          <w:szCs w:val="24"/>
        </w:rPr>
      </w:pPr>
      <w:r w:rsidRPr="00F218A8">
        <w:rPr>
          <w:rFonts w:ascii="Times New Roman" w:hAnsi="Times New Roman" w:cs="Times New Roman"/>
          <w:sz w:val="24"/>
          <w:szCs w:val="24"/>
        </w:rPr>
        <w:t>Therefore, n = (1+1)/1 ((0.21) (1-0.</w:t>
      </w:r>
      <w:r w:rsidR="00310D40" w:rsidRPr="00F218A8">
        <w:rPr>
          <w:rFonts w:ascii="Times New Roman" w:hAnsi="Times New Roman" w:cs="Times New Roman"/>
          <w:sz w:val="24"/>
          <w:szCs w:val="24"/>
        </w:rPr>
        <w:t>21) (0.84+1.</w:t>
      </w:r>
      <w:proofErr w:type="gramStart"/>
      <w:r w:rsidR="00310D40" w:rsidRPr="00F218A8">
        <w:rPr>
          <w:rFonts w:ascii="Times New Roman" w:hAnsi="Times New Roman" w:cs="Times New Roman"/>
          <w:sz w:val="24"/>
          <w:szCs w:val="24"/>
        </w:rPr>
        <w:t>96)²</w:t>
      </w:r>
      <w:proofErr w:type="gramEnd"/>
      <w:r w:rsidR="00310D40" w:rsidRPr="00F218A8">
        <w:rPr>
          <w:rFonts w:ascii="Times New Roman" w:hAnsi="Times New Roman" w:cs="Times New Roman"/>
          <w:sz w:val="24"/>
          <w:szCs w:val="24"/>
        </w:rPr>
        <w:t>/(0.31 – 0.10)</w:t>
      </w:r>
      <w:r w:rsidRPr="00F218A8">
        <w:rPr>
          <w:rFonts w:ascii="Times New Roman" w:hAnsi="Times New Roman" w:cs="Times New Roman"/>
          <w:sz w:val="24"/>
          <w:szCs w:val="24"/>
        </w:rPr>
        <w:t>²</w:t>
      </w:r>
    </w:p>
    <w:p w14:paraId="7908AC05" w14:textId="77777777" w:rsidR="00DC7716" w:rsidRPr="00F218A8" w:rsidRDefault="00DC7716" w:rsidP="0050256F">
      <w:pPr>
        <w:spacing w:after="0" w:line="240" w:lineRule="auto"/>
        <w:rPr>
          <w:rFonts w:ascii="Times New Roman" w:hAnsi="Times New Roman" w:cs="Times New Roman"/>
          <w:sz w:val="24"/>
          <w:szCs w:val="24"/>
        </w:rPr>
      </w:pPr>
      <w:r w:rsidRPr="00F218A8">
        <w:rPr>
          <w:rFonts w:ascii="Times New Roman" w:hAnsi="Times New Roman" w:cs="Times New Roman"/>
          <w:sz w:val="24"/>
          <w:szCs w:val="24"/>
        </w:rPr>
        <w:t>n = 59</w:t>
      </w:r>
    </w:p>
    <w:p w14:paraId="5CBC2E61" w14:textId="77777777" w:rsidR="00DC7716" w:rsidRPr="00F218A8" w:rsidRDefault="00DC7716" w:rsidP="00767608">
      <w:pPr>
        <w:spacing w:after="0" w:line="240" w:lineRule="auto"/>
        <w:jc w:val="both"/>
        <w:rPr>
          <w:rFonts w:ascii="Times New Roman" w:eastAsia="Times New Roman" w:hAnsi="Times New Roman" w:cs="Times New Roman"/>
          <w:sz w:val="24"/>
          <w:szCs w:val="24"/>
        </w:rPr>
      </w:pPr>
      <w:r w:rsidRPr="00F218A8">
        <w:rPr>
          <w:rFonts w:ascii="Times New Roman" w:eastAsia="Times New Roman" w:hAnsi="Times New Roman" w:cs="Times New Roman"/>
          <w:sz w:val="24"/>
          <w:szCs w:val="24"/>
        </w:rPr>
        <w:t>Accounting for a possible maximum non-response rate of 10% in the study,</w:t>
      </w:r>
    </w:p>
    <w:p w14:paraId="3A4C351A" w14:textId="77777777" w:rsidR="00DC7716" w:rsidRPr="00F218A8" w:rsidRDefault="00DC7716" w:rsidP="00767608">
      <w:pPr>
        <w:spacing w:after="0" w:line="240" w:lineRule="auto"/>
        <w:jc w:val="both"/>
        <w:rPr>
          <w:rFonts w:ascii="Times New Roman" w:eastAsia="Times New Roman" w:hAnsi="Times New Roman" w:cs="Times New Roman"/>
          <w:sz w:val="24"/>
          <w:szCs w:val="24"/>
        </w:rPr>
      </w:pPr>
      <w:r w:rsidRPr="00F218A8">
        <w:rPr>
          <w:rFonts w:ascii="Times New Roman" w:eastAsia="Times New Roman" w:hAnsi="Times New Roman" w:cs="Times New Roman"/>
          <w:sz w:val="24"/>
          <w:szCs w:val="24"/>
        </w:rPr>
        <w:t>q = 100/100 – F</w:t>
      </w:r>
    </w:p>
    <w:p w14:paraId="189DF593" w14:textId="1AC0013C" w:rsidR="00DC7716" w:rsidRPr="00F218A8" w:rsidRDefault="00DC7716" w:rsidP="00767608">
      <w:pPr>
        <w:spacing w:after="0" w:line="240" w:lineRule="auto"/>
        <w:jc w:val="both"/>
        <w:rPr>
          <w:rFonts w:ascii="Times New Roman" w:eastAsia="Times New Roman" w:hAnsi="Times New Roman" w:cs="Times New Roman"/>
          <w:sz w:val="24"/>
          <w:szCs w:val="24"/>
        </w:rPr>
      </w:pPr>
      <w:r w:rsidRPr="00F218A8">
        <w:rPr>
          <w:rFonts w:ascii="Times New Roman" w:eastAsia="Times New Roman" w:hAnsi="Times New Roman" w:cs="Times New Roman"/>
          <w:sz w:val="24"/>
          <w:szCs w:val="24"/>
        </w:rPr>
        <w:t>Where q is the adjustment factor</w:t>
      </w:r>
      <w:r w:rsidR="00F80667" w:rsidRPr="00F218A8">
        <w:rPr>
          <w:rFonts w:ascii="Times New Roman" w:eastAsia="Times New Roman" w:hAnsi="Times New Roman" w:cs="Times New Roman"/>
          <w:sz w:val="24"/>
          <w:szCs w:val="24"/>
        </w:rPr>
        <w:t>,</w:t>
      </w:r>
      <w:r w:rsidRPr="00F218A8">
        <w:rPr>
          <w:rFonts w:ascii="Times New Roman" w:eastAsia="Times New Roman" w:hAnsi="Times New Roman" w:cs="Times New Roman"/>
          <w:sz w:val="24"/>
          <w:szCs w:val="24"/>
        </w:rPr>
        <w:t xml:space="preserve"> and F represents the estimated non-response rate.</w:t>
      </w:r>
    </w:p>
    <w:p w14:paraId="7EE2B4AE" w14:textId="77777777" w:rsidR="00DC7716" w:rsidRPr="00F218A8" w:rsidRDefault="00DC7716" w:rsidP="00767608">
      <w:pPr>
        <w:spacing w:after="0" w:line="240" w:lineRule="auto"/>
        <w:jc w:val="both"/>
        <w:rPr>
          <w:rFonts w:ascii="Times New Roman" w:eastAsia="Times New Roman" w:hAnsi="Times New Roman" w:cs="Times New Roman"/>
          <w:sz w:val="24"/>
          <w:szCs w:val="24"/>
        </w:rPr>
      </w:pPr>
      <w:r w:rsidRPr="00F218A8">
        <w:rPr>
          <w:rFonts w:ascii="Times New Roman" w:eastAsia="Times New Roman" w:hAnsi="Times New Roman" w:cs="Times New Roman"/>
          <w:sz w:val="24"/>
          <w:szCs w:val="24"/>
        </w:rPr>
        <w:t>q = 100/100 – 10</w:t>
      </w:r>
    </w:p>
    <w:p w14:paraId="5A3A84D3" w14:textId="77777777" w:rsidR="00DC7716" w:rsidRPr="00F218A8" w:rsidRDefault="00DC7716" w:rsidP="00767608">
      <w:pPr>
        <w:spacing w:after="0" w:line="240" w:lineRule="auto"/>
        <w:jc w:val="both"/>
        <w:rPr>
          <w:rFonts w:ascii="Times New Roman" w:eastAsia="Times New Roman" w:hAnsi="Times New Roman" w:cs="Times New Roman"/>
          <w:sz w:val="24"/>
          <w:szCs w:val="24"/>
        </w:rPr>
      </w:pPr>
      <w:r w:rsidRPr="00F218A8">
        <w:rPr>
          <w:rFonts w:ascii="Times New Roman" w:eastAsia="Times New Roman" w:hAnsi="Times New Roman" w:cs="Times New Roman"/>
          <w:sz w:val="24"/>
          <w:szCs w:val="24"/>
        </w:rPr>
        <w:t>= 1.11</w:t>
      </w:r>
    </w:p>
    <w:p w14:paraId="1206782F" w14:textId="77777777" w:rsidR="00DC7716" w:rsidRPr="00F218A8" w:rsidRDefault="00DC7716" w:rsidP="00767608">
      <w:pPr>
        <w:spacing w:after="0" w:line="240" w:lineRule="auto"/>
        <w:jc w:val="both"/>
        <w:rPr>
          <w:rFonts w:ascii="Times New Roman" w:eastAsia="Times New Roman" w:hAnsi="Times New Roman" w:cs="Times New Roman"/>
          <w:sz w:val="24"/>
          <w:szCs w:val="24"/>
        </w:rPr>
      </w:pPr>
      <w:r w:rsidRPr="00F218A8">
        <w:rPr>
          <w:rFonts w:ascii="Times New Roman" w:eastAsia="Times New Roman" w:hAnsi="Times New Roman" w:cs="Times New Roman"/>
          <w:sz w:val="24"/>
          <w:szCs w:val="24"/>
        </w:rPr>
        <w:lastRenderedPageBreak/>
        <w:t>= 59 x 1.11</w:t>
      </w:r>
    </w:p>
    <w:p w14:paraId="1D3D5B46" w14:textId="77777777" w:rsidR="00DC7716" w:rsidRPr="00F218A8" w:rsidRDefault="00DC7716" w:rsidP="00767608">
      <w:pPr>
        <w:spacing w:after="0" w:line="240" w:lineRule="auto"/>
        <w:jc w:val="both"/>
        <w:rPr>
          <w:rFonts w:ascii="Times New Roman" w:eastAsia="Times New Roman" w:hAnsi="Times New Roman" w:cs="Times New Roman"/>
          <w:sz w:val="24"/>
          <w:szCs w:val="24"/>
        </w:rPr>
      </w:pPr>
      <w:r w:rsidRPr="00F218A8">
        <w:rPr>
          <w:rFonts w:ascii="Times New Roman" w:eastAsia="Times New Roman" w:hAnsi="Times New Roman" w:cs="Times New Roman"/>
          <w:sz w:val="24"/>
          <w:szCs w:val="24"/>
        </w:rPr>
        <w:t>= 65</w:t>
      </w:r>
    </w:p>
    <w:p w14:paraId="55E348BF" w14:textId="3EFF8F74" w:rsidR="00DC7716" w:rsidRPr="00F218A8" w:rsidRDefault="00DC7716" w:rsidP="00FA272A">
      <w:pPr>
        <w:spacing w:after="0" w:line="240" w:lineRule="auto"/>
        <w:jc w:val="both"/>
        <w:rPr>
          <w:rFonts w:ascii="Times New Roman" w:eastAsia="Times New Roman" w:hAnsi="Times New Roman" w:cs="Times New Roman"/>
          <w:sz w:val="24"/>
          <w:szCs w:val="24"/>
        </w:rPr>
      </w:pPr>
      <w:r w:rsidRPr="00F218A8">
        <w:rPr>
          <w:rFonts w:ascii="Times New Roman" w:eastAsia="Times New Roman" w:hAnsi="Times New Roman" w:cs="Times New Roman"/>
          <w:sz w:val="24"/>
          <w:szCs w:val="24"/>
        </w:rPr>
        <w:t>Therefore, for accuracy</w:t>
      </w:r>
      <w:r w:rsidR="00F80667" w:rsidRPr="00F218A8">
        <w:rPr>
          <w:rFonts w:ascii="Times New Roman" w:eastAsia="Times New Roman" w:hAnsi="Times New Roman" w:cs="Times New Roman"/>
          <w:sz w:val="24"/>
          <w:szCs w:val="24"/>
        </w:rPr>
        <w:t>,</w:t>
      </w:r>
      <w:r w:rsidRPr="00F218A8">
        <w:rPr>
          <w:rFonts w:ascii="Times New Roman" w:eastAsia="Times New Roman" w:hAnsi="Times New Roman" w:cs="Times New Roman"/>
          <w:sz w:val="24"/>
          <w:szCs w:val="24"/>
        </w:rPr>
        <w:t xml:space="preserve"> 65 subjects</w:t>
      </w:r>
      <w:r w:rsidR="00FA272A" w:rsidRPr="00F218A8">
        <w:rPr>
          <w:rFonts w:ascii="Times New Roman" w:eastAsia="Times New Roman" w:hAnsi="Times New Roman" w:cs="Times New Roman"/>
          <w:sz w:val="24"/>
          <w:szCs w:val="24"/>
        </w:rPr>
        <w:t xml:space="preserve"> were selected</w:t>
      </w:r>
      <w:r w:rsidRPr="00F218A8">
        <w:rPr>
          <w:rFonts w:ascii="Times New Roman" w:eastAsia="Times New Roman" w:hAnsi="Times New Roman" w:cs="Times New Roman"/>
          <w:sz w:val="24"/>
          <w:szCs w:val="24"/>
        </w:rPr>
        <w:t xml:space="preserve"> in </w:t>
      </w:r>
      <w:r w:rsidR="00FA272A" w:rsidRPr="00F218A8">
        <w:rPr>
          <w:rFonts w:ascii="Times New Roman" w:eastAsia="Times New Roman" w:hAnsi="Times New Roman" w:cs="Times New Roman"/>
          <w:sz w:val="24"/>
          <w:szCs w:val="24"/>
        </w:rPr>
        <w:t>each group (cases and controls).</w:t>
      </w:r>
      <w:r w:rsidR="00F80667" w:rsidRPr="00F218A8">
        <w:rPr>
          <w:rFonts w:ascii="Times New Roman" w:eastAsia="Times New Roman" w:hAnsi="Times New Roman" w:cs="Times New Roman"/>
          <w:sz w:val="24"/>
          <w:szCs w:val="24"/>
        </w:rPr>
        <w:t xml:space="preserve"> </w:t>
      </w:r>
      <w:r w:rsidRPr="00F218A8">
        <w:rPr>
          <w:rFonts w:ascii="Times New Roman" w:hAnsi="Times New Roman" w:cs="Times New Roman"/>
          <w:sz w:val="24"/>
          <w:szCs w:val="24"/>
        </w:rPr>
        <w:t>Thus, from the calculated sample size</w:t>
      </w:r>
      <w:r w:rsidR="00F80667" w:rsidRPr="00F218A8">
        <w:rPr>
          <w:rFonts w:ascii="Times New Roman" w:hAnsi="Times New Roman" w:cs="Times New Roman"/>
          <w:sz w:val="24"/>
          <w:szCs w:val="24"/>
        </w:rPr>
        <w:t>,</w:t>
      </w:r>
      <w:r w:rsidRPr="00F218A8">
        <w:rPr>
          <w:rFonts w:ascii="Times New Roman" w:hAnsi="Times New Roman" w:cs="Times New Roman"/>
          <w:sz w:val="24"/>
          <w:szCs w:val="24"/>
        </w:rPr>
        <w:t xml:space="preserve"> sixty-five (65) patients with infertility coming into the infertility /gynaecology clinics were enrolled into the study using </w:t>
      </w:r>
      <w:r w:rsidR="00F80667" w:rsidRPr="00F218A8">
        <w:rPr>
          <w:rFonts w:ascii="Times New Roman" w:hAnsi="Times New Roman" w:cs="Times New Roman"/>
          <w:sz w:val="24"/>
          <w:szCs w:val="24"/>
        </w:rPr>
        <w:t xml:space="preserve">a </w:t>
      </w:r>
      <w:r w:rsidRPr="00F218A8">
        <w:rPr>
          <w:rFonts w:ascii="Times New Roman" w:hAnsi="Times New Roman" w:cs="Times New Roman"/>
          <w:sz w:val="24"/>
          <w:szCs w:val="24"/>
        </w:rPr>
        <w:t>random sampling technique</w:t>
      </w:r>
      <w:r w:rsidR="00F80667" w:rsidRPr="00F218A8">
        <w:rPr>
          <w:rFonts w:ascii="Times New Roman" w:hAnsi="Times New Roman" w:cs="Times New Roman"/>
          <w:sz w:val="24"/>
          <w:szCs w:val="24"/>
        </w:rPr>
        <w:t>,</w:t>
      </w:r>
      <w:r w:rsidRPr="00F218A8">
        <w:rPr>
          <w:rFonts w:ascii="Times New Roman" w:hAnsi="Times New Roman" w:cs="Times New Roman"/>
          <w:sz w:val="24"/>
          <w:szCs w:val="24"/>
        </w:rPr>
        <w:t xml:space="preserve"> while sixty-five (65) women of proven fertility</w:t>
      </w:r>
      <w:r w:rsidR="00F80667" w:rsidRPr="00F218A8">
        <w:rPr>
          <w:rFonts w:ascii="Times New Roman" w:hAnsi="Times New Roman" w:cs="Times New Roman"/>
          <w:sz w:val="24"/>
          <w:szCs w:val="24"/>
        </w:rPr>
        <w:t>,</w:t>
      </w:r>
      <w:r w:rsidRPr="00F218A8">
        <w:rPr>
          <w:rFonts w:ascii="Times New Roman" w:hAnsi="Times New Roman" w:cs="Times New Roman"/>
          <w:sz w:val="24"/>
          <w:szCs w:val="24"/>
        </w:rPr>
        <w:t xml:space="preserve"> matched for age</w:t>
      </w:r>
      <w:r w:rsidR="00F80667" w:rsidRPr="00F218A8">
        <w:rPr>
          <w:rFonts w:ascii="Times New Roman" w:hAnsi="Times New Roman" w:cs="Times New Roman"/>
          <w:sz w:val="24"/>
          <w:szCs w:val="24"/>
        </w:rPr>
        <w:t>,</w:t>
      </w:r>
      <w:r w:rsidRPr="00F218A8">
        <w:rPr>
          <w:rFonts w:ascii="Times New Roman" w:hAnsi="Times New Roman" w:cs="Times New Roman"/>
          <w:sz w:val="24"/>
          <w:szCs w:val="24"/>
        </w:rPr>
        <w:t xml:space="preserve"> we</w:t>
      </w:r>
      <w:r w:rsidR="00FA272A" w:rsidRPr="00F218A8">
        <w:rPr>
          <w:rFonts w:ascii="Times New Roman" w:hAnsi="Times New Roman" w:cs="Times New Roman"/>
          <w:sz w:val="24"/>
          <w:szCs w:val="24"/>
        </w:rPr>
        <w:t>re selected randomly as control</w:t>
      </w:r>
      <w:r w:rsidR="00F80667" w:rsidRPr="00F218A8">
        <w:rPr>
          <w:rFonts w:ascii="Times New Roman" w:hAnsi="Times New Roman" w:cs="Times New Roman"/>
          <w:sz w:val="24"/>
          <w:szCs w:val="24"/>
        </w:rPr>
        <w:t>s</w:t>
      </w:r>
      <w:r w:rsidRPr="00F218A8">
        <w:rPr>
          <w:rFonts w:ascii="Times New Roman" w:hAnsi="Times New Roman" w:cs="Times New Roman"/>
          <w:sz w:val="24"/>
          <w:szCs w:val="24"/>
        </w:rPr>
        <w:t xml:space="preserve">.    </w:t>
      </w:r>
    </w:p>
    <w:p w14:paraId="0B6AA9B2" w14:textId="77777777" w:rsidR="00DC7716" w:rsidRPr="00F218A8" w:rsidRDefault="00DC7716" w:rsidP="00767608">
      <w:pPr>
        <w:spacing w:line="240" w:lineRule="auto"/>
        <w:jc w:val="both"/>
        <w:rPr>
          <w:rFonts w:ascii="Times New Roman" w:hAnsi="Times New Roman" w:cs="Times New Roman"/>
          <w:sz w:val="24"/>
          <w:szCs w:val="24"/>
        </w:rPr>
      </w:pPr>
      <w:r w:rsidRPr="00F218A8">
        <w:rPr>
          <w:rFonts w:ascii="Times New Roman" w:hAnsi="Times New Roman" w:cs="Times New Roman"/>
          <w:sz w:val="24"/>
          <w:szCs w:val="24"/>
        </w:rPr>
        <w:t>Patients who present</w:t>
      </w:r>
      <w:r w:rsidR="00DF4B74" w:rsidRPr="00F218A8">
        <w:rPr>
          <w:rFonts w:ascii="Times New Roman" w:hAnsi="Times New Roman" w:cs="Times New Roman"/>
          <w:sz w:val="24"/>
          <w:szCs w:val="24"/>
        </w:rPr>
        <w:t>ed</w:t>
      </w:r>
      <w:r w:rsidRPr="00F218A8">
        <w:rPr>
          <w:rFonts w:ascii="Times New Roman" w:hAnsi="Times New Roman" w:cs="Times New Roman"/>
          <w:sz w:val="24"/>
          <w:szCs w:val="24"/>
        </w:rPr>
        <w:t xml:space="preserve"> with infertility aged 21 – 45years with normal regular menstrual cycle (21 – 35) days</w:t>
      </w:r>
      <w:r w:rsidR="00DF4B74" w:rsidRPr="00F218A8">
        <w:rPr>
          <w:rFonts w:ascii="Times New Roman" w:hAnsi="Times New Roman" w:cs="Times New Roman"/>
          <w:sz w:val="24"/>
          <w:szCs w:val="24"/>
        </w:rPr>
        <w:t>, patients who ga</w:t>
      </w:r>
      <w:r w:rsidRPr="00F218A8">
        <w:rPr>
          <w:rFonts w:ascii="Times New Roman" w:hAnsi="Times New Roman" w:cs="Times New Roman"/>
          <w:sz w:val="24"/>
          <w:szCs w:val="24"/>
        </w:rPr>
        <w:t>ve informed consent</w:t>
      </w:r>
      <w:r w:rsidR="00DF4B74" w:rsidRPr="00F218A8">
        <w:rPr>
          <w:rFonts w:ascii="Times New Roman" w:hAnsi="Times New Roman" w:cs="Times New Roman"/>
          <w:sz w:val="24"/>
          <w:szCs w:val="24"/>
        </w:rPr>
        <w:t>, p</w:t>
      </w:r>
      <w:r w:rsidRPr="00F218A8">
        <w:rPr>
          <w:rFonts w:ascii="Times New Roman" w:hAnsi="Times New Roman" w:cs="Times New Roman"/>
          <w:sz w:val="24"/>
          <w:szCs w:val="24"/>
        </w:rPr>
        <w:t>atient</w:t>
      </w:r>
      <w:r w:rsidR="00DF4B74" w:rsidRPr="00F218A8">
        <w:rPr>
          <w:rFonts w:ascii="Times New Roman" w:hAnsi="Times New Roman" w:cs="Times New Roman"/>
          <w:sz w:val="24"/>
          <w:szCs w:val="24"/>
        </w:rPr>
        <w:t>s</w:t>
      </w:r>
      <w:r w:rsidRPr="00F218A8">
        <w:rPr>
          <w:rFonts w:ascii="Times New Roman" w:hAnsi="Times New Roman" w:cs="Times New Roman"/>
          <w:sz w:val="24"/>
          <w:szCs w:val="24"/>
        </w:rPr>
        <w:t xml:space="preserve"> already diagnosed with premature ovarian failure</w:t>
      </w:r>
      <w:r w:rsidR="004662F7" w:rsidRPr="00F218A8">
        <w:rPr>
          <w:rFonts w:ascii="Times New Roman" w:hAnsi="Times New Roman" w:cs="Times New Roman"/>
          <w:sz w:val="24"/>
          <w:szCs w:val="24"/>
        </w:rPr>
        <w:t>, p</w:t>
      </w:r>
      <w:r w:rsidRPr="00F218A8">
        <w:rPr>
          <w:rFonts w:ascii="Times New Roman" w:hAnsi="Times New Roman" w:cs="Times New Roman"/>
          <w:sz w:val="24"/>
          <w:szCs w:val="24"/>
        </w:rPr>
        <w:t>atients below 21years and those above 45years of age</w:t>
      </w:r>
      <w:r w:rsidR="00EC14F9" w:rsidRPr="00F218A8">
        <w:rPr>
          <w:rFonts w:ascii="Times New Roman" w:hAnsi="Times New Roman" w:cs="Times New Roman"/>
          <w:sz w:val="24"/>
          <w:szCs w:val="24"/>
        </w:rPr>
        <w:t>, p</w:t>
      </w:r>
      <w:r w:rsidRPr="00F218A8">
        <w:rPr>
          <w:rFonts w:ascii="Times New Roman" w:hAnsi="Times New Roman" w:cs="Times New Roman"/>
          <w:sz w:val="24"/>
          <w:szCs w:val="24"/>
        </w:rPr>
        <w:t>atient</w:t>
      </w:r>
      <w:r w:rsidR="00EC14F9" w:rsidRPr="00F218A8">
        <w:rPr>
          <w:rFonts w:ascii="Times New Roman" w:hAnsi="Times New Roman" w:cs="Times New Roman"/>
          <w:sz w:val="24"/>
          <w:szCs w:val="24"/>
        </w:rPr>
        <w:t>s</w:t>
      </w:r>
      <w:r w:rsidRPr="00F218A8">
        <w:rPr>
          <w:rFonts w:ascii="Times New Roman" w:hAnsi="Times New Roman" w:cs="Times New Roman"/>
          <w:sz w:val="24"/>
          <w:szCs w:val="24"/>
        </w:rPr>
        <w:t xml:space="preserve"> with tubal infertility</w:t>
      </w:r>
      <w:r w:rsidR="00EC14F9" w:rsidRPr="00F218A8">
        <w:rPr>
          <w:rFonts w:ascii="Times New Roman" w:hAnsi="Times New Roman" w:cs="Times New Roman"/>
          <w:sz w:val="24"/>
          <w:szCs w:val="24"/>
        </w:rPr>
        <w:t>, p</w:t>
      </w:r>
      <w:r w:rsidRPr="00F218A8">
        <w:rPr>
          <w:rFonts w:ascii="Times New Roman" w:hAnsi="Times New Roman" w:cs="Times New Roman"/>
          <w:sz w:val="24"/>
          <w:szCs w:val="24"/>
        </w:rPr>
        <w:t>atient</w:t>
      </w:r>
      <w:r w:rsidR="00EC14F9" w:rsidRPr="00F218A8">
        <w:rPr>
          <w:rFonts w:ascii="Times New Roman" w:hAnsi="Times New Roman" w:cs="Times New Roman"/>
          <w:sz w:val="24"/>
          <w:szCs w:val="24"/>
        </w:rPr>
        <w:t>s</w:t>
      </w:r>
      <w:r w:rsidRPr="00F218A8">
        <w:rPr>
          <w:rFonts w:ascii="Times New Roman" w:hAnsi="Times New Roman" w:cs="Times New Roman"/>
          <w:sz w:val="24"/>
          <w:szCs w:val="24"/>
        </w:rPr>
        <w:t xml:space="preserve"> with previous uterine, tubal and ovarian surgeries</w:t>
      </w:r>
      <w:r w:rsidR="00EC14F9" w:rsidRPr="00F218A8">
        <w:rPr>
          <w:rFonts w:ascii="Times New Roman" w:hAnsi="Times New Roman" w:cs="Times New Roman"/>
          <w:sz w:val="24"/>
          <w:szCs w:val="24"/>
        </w:rPr>
        <w:t>, p</w:t>
      </w:r>
      <w:r w:rsidRPr="00F218A8">
        <w:rPr>
          <w:rFonts w:ascii="Times New Roman" w:hAnsi="Times New Roman" w:cs="Times New Roman"/>
          <w:sz w:val="24"/>
          <w:szCs w:val="24"/>
        </w:rPr>
        <w:t xml:space="preserve">atients on medications capable of influencing serum levels of target hormone </w:t>
      </w:r>
      <w:proofErr w:type="spellStart"/>
      <w:r w:rsidRPr="00F218A8">
        <w:rPr>
          <w:rFonts w:ascii="Times New Roman" w:hAnsi="Times New Roman" w:cs="Times New Roman"/>
          <w:sz w:val="24"/>
          <w:szCs w:val="24"/>
        </w:rPr>
        <w:t>e.g</w:t>
      </w:r>
      <w:proofErr w:type="spellEnd"/>
      <w:r w:rsidRPr="00F218A8">
        <w:rPr>
          <w:rFonts w:ascii="Times New Roman" w:hAnsi="Times New Roman" w:cs="Times New Roman"/>
          <w:sz w:val="24"/>
          <w:szCs w:val="24"/>
        </w:rPr>
        <w:t xml:space="preserve"> hormonal contraceptives, anticonvulsants, steroids and</w:t>
      </w:r>
      <w:bookmarkStart w:id="1" w:name="_Hlk54355965"/>
      <w:r w:rsidR="00EC14F9" w:rsidRPr="00F218A8">
        <w:rPr>
          <w:rFonts w:ascii="Times New Roman" w:hAnsi="Times New Roman" w:cs="Times New Roman"/>
          <w:sz w:val="24"/>
          <w:szCs w:val="24"/>
        </w:rPr>
        <w:t xml:space="preserve"> hormonal replacement therapies, p</w:t>
      </w:r>
      <w:r w:rsidRPr="00F218A8">
        <w:rPr>
          <w:rFonts w:ascii="Times New Roman" w:hAnsi="Times New Roman" w:cs="Times New Roman"/>
          <w:sz w:val="24"/>
          <w:szCs w:val="24"/>
        </w:rPr>
        <w:t>atients with systemic diseases such as diabetes mellitus, hypertension, thyroid disorders etc</w:t>
      </w:r>
      <w:bookmarkEnd w:id="1"/>
      <w:r w:rsidR="00EC14F9" w:rsidRPr="00F218A8">
        <w:rPr>
          <w:rFonts w:ascii="Times New Roman" w:hAnsi="Times New Roman" w:cs="Times New Roman"/>
          <w:sz w:val="24"/>
          <w:szCs w:val="24"/>
        </w:rPr>
        <w:t xml:space="preserve">, were all excluded from this study. </w:t>
      </w:r>
      <w:r w:rsidRPr="00F218A8">
        <w:rPr>
          <w:rFonts w:ascii="Times New Roman" w:hAnsi="Times New Roman" w:cs="Times New Roman"/>
          <w:b/>
          <w:bCs/>
          <w:sz w:val="24"/>
          <w:szCs w:val="24"/>
        </w:rPr>
        <w:t xml:space="preserve"> </w:t>
      </w:r>
    </w:p>
    <w:p w14:paraId="15FCD122" w14:textId="21B41F48" w:rsidR="00DC7716" w:rsidRPr="00F218A8" w:rsidRDefault="00DC7716" w:rsidP="003A2FB9">
      <w:pPr>
        <w:spacing w:line="240" w:lineRule="auto"/>
        <w:jc w:val="both"/>
        <w:rPr>
          <w:rFonts w:ascii="Times New Roman" w:hAnsi="Times New Roman" w:cs="Times New Roman"/>
          <w:sz w:val="24"/>
          <w:szCs w:val="24"/>
        </w:rPr>
      </w:pPr>
      <w:r w:rsidRPr="00F218A8">
        <w:rPr>
          <w:rFonts w:ascii="Times New Roman" w:hAnsi="Times New Roman" w:cs="Times New Roman"/>
          <w:sz w:val="24"/>
          <w:szCs w:val="24"/>
        </w:rPr>
        <w:t>Ethical co</w:t>
      </w:r>
      <w:r w:rsidR="00860FC8" w:rsidRPr="00F218A8">
        <w:rPr>
          <w:rFonts w:ascii="Times New Roman" w:hAnsi="Times New Roman" w:cs="Times New Roman"/>
          <w:sz w:val="24"/>
          <w:szCs w:val="24"/>
        </w:rPr>
        <w:t>nsideration in the study was</w:t>
      </w:r>
      <w:r w:rsidRPr="00F218A8">
        <w:rPr>
          <w:rFonts w:ascii="Times New Roman" w:hAnsi="Times New Roman" w:cs="Times New Roman"/>
          <w:sz w:val="24"/>
          <w:szCs w:val="24"/>
        </w:rPr>
        <w:t xml:space="preserve"> based on ethical principles as outlined by the Helsinki </w:t>
      </w:r>
      <w:r w:rsidR="00F80667" w:rsidRPr="00F218A8">
        <w:rPr>
          <w:rFonts w:ascii="Times New Roman" w:hAnsi="Times New Roman" w:cs="Times New Roman"/>
          <w:sz w:val="24"/>
          <w:szCs w:val="24"/>
        </w:rPr>
        <w:t xml:space="preserve">Declaration </w:t>
      </w:r>
      <w:r w:rsidRPr="00F218A8">
        <w:rPr>
          <w:rFonts w:ascii="Times New Roman" w:hAnsi="Times New Roman" w:cs="Times New Roman"/>
          <w:sz w:val="24"/>
          <w:szCs w:val="24"/>
        </w:rPr>
        <w:t>on biomedical research on human subjects. These entail respect for persons, beneficence, non-malfeasance and justice.</w:t>
      </w:r>
      <w:r w:rsidR="003A2FB9" w:rsidRPr="00F218A8">
        <w:rPr>
          <w:rFonts w:ascii="Times New Roman" w:hAnsi="Times New Roman" w:cs="Times New Roman"/>
          <w:sz w:val="24"/>
          <w:szCs w:val="24"/>
        </w:rPr>
        <w:t xml:space="preserve"> </w:t>
      </w:r>
    </w:p>
    <w:p w14:paraId="1EEFB30F" w14:textId="77777777" w:rsidR="00DC7716" w:rsidRPr="00F218A8" w:rsidRDefault="00DC7716" w:rsidP="00767608">
      <w:pPr>
        <w:spacing w:line="240" w:lineRule="auto"/>
        <w:jc w:val="both"/>
        <w:rPr>
          <w:rFonts w:ascii="Times New Roman" w:hAnsi="Times New Roman" w:cs="Times New Roman"/>
          <w:b/>
          <w:bCs/>
          <w:sz w:val="24"/>
          <w:szCs w:val="24"/>
        </w:rPr>
      </w:pPr>
      <w:r w:rsidRPr="00F218A8">
        <w:rPr>
          <w:rFonts w:ascii="Times New Roman" w:hAnsi="Times New Roman" w:cs="Times New Roman"/>
          <w:b/>
          <w:bCs/>
          <w:sz w:val="24"/>
          <w:szCs w:val="24"/>
        </w:rPr>
        <w:t xml:space="preserve"> </w:t>
      </w:r>
      <w:r w:rsidR="00310D40" w:rsidRPr="00F218A8">
        <w:rPr>
          <w:rFonts w:ascii="Times New Roman" w:hAnsi="Times New Roman" w:cs="Times New Roman"/>
          <w:b/>
          <w:bCs/>
          <w:sz w:val="24"/>
          <w:szCs w:val="24"/>
        </w:rPr>
        <w:t>Procedure</w:t>
      </w:r>
    </w:p>
    <w:p w14:paraId="6CB518A5" w14:textId="6AC5C24E" w:rsidR="00DC7716" w:rsidRPr="00F218A8" w:rsidRDefault="00DC7716" w:rsidP="00767608">
      <w:pPr>
        <w:spacing w:line="240" w:lineRule="auto"/>
        <w:jc w:val="both"/>
        <w:rPr>
          <w:rFonts w:ascii="Times New Roman" w:hAnsi="Times New Roman" w:cs="Times New Roman"/>
          <w:sz w:val="24"/>
          <w:szCs w:val="24"/>
        </w:rPr>
      </w:pPr>
      <w:r w:rsidRPr="00F218A8">
        <w:rPr>
          <w:rFonts w:ascii="Times New Roman" w:hAnsi="Times New Roman" w:cs="Times New Roman"/>
          <w:sz w:val="24"/>
          <w:szCs w:val="24"/>
        </w:rPr>
        <w:t>A structured proforma (questionnaire) was administered to selected patients to collect data</w:t>
      </w:r>
      <w:r w:rsidR="00F80667" w:rsidRPr="00F218A8">
        <w:rPr>
          <w:rFonts w:ascii="Times New Roman" w:hAnsi="Times New Roman" w:cs="Times New Roman"/>
          <w:sz w:val="24"/>
          <w:szCs w:val="24"/>
        </w:rPr>
        <w:t>,</w:t>
      </w:r>
      <w:r w:rsidRPr="00F218A8">
        <w:rPr>
          <w:rFonts w:ascii="Times New Roman" w:hAnsi="Times New Roman" w:cs="Times New Roman"/>
          <w:sz w:val="24"/>
          <w:szCs w:val="24"/>
        </w:rPr>
        <w:t xml:space="preserve"> which included socio-demographics, past medical history, reproductive history, and relevant medical history. A general examination</w:t>
      </w:r>
      <w:r w:rsidR="00F80667" w:rsidRPr="00F218A8">
        <w:rPr>
          <w:rFonts w:ascii="Times New Roman" w:hAnsi="Times New Roman" w:cs="Times New Roman"/>
          <w:sz w:val="24"/>
          <w:szCs w:val="24"/>
        </w:rPr>
        <w:t>,</w:t>
      </w:r>
      <w:r w:rsidRPr="00F218A8">
        <w:rPr>
          <w:rFonts w:ascii="Times New Roman" w:hAnsi="Times New Roman" w:cs="Times New Roman"/>
          <w:sz w:val="24"/>
          <w:szCs w:val="24"/>
        </w:rPr>
        <w:t xml:space="preserve"> including weight and blood pressure measurement</w:t>
      </w:r>
      <w:r w:rsidR="00F80667" w:rsidRPr="00F218A8">
        <w:rPr>
          <w:rFonts w:ascii="Times New Roman" w:hAnsi="Times New Roman" w:cs="Times New Roman"/>
          <w:sz w:val="24"/>
          <w:szCs w:val="24"/>
        </w:rPr>
        <w:t>,</w:t>
      </w:r>
      <w:r w:rsidRPr="00F218A8">
        <w:rPr>
          <w:rFonts w:ascii="Times New Roman" w:hAnsi="Times New Roman" w:cs="Times New Roman"/>
          <w:sz w:val="24"/>
          <w:szCs w:val="24"/>
        </w:rPr>
        <w:t xml:space="preserve"> was also carried out before specimen collection. </w:t>
      </w:r>
      <w:r w:rsidR="00767608" w:rsidRPr="00F218A8">
        <w:rPr>
          <w:rFonts w:ascii="Times New Roman" w:hAnsi="Times New Roman" w:cs="Times New Roman"/>
          <w:sz w:val="24"/>
          <w:szCs w:val="24"/>
        </w:rPr>
        <w:t xml:space="preserve"> </w:t>
      </w:r>
      <w:r w:rsidRPr="00F218A8">
        <w:rPr>
          <w:rFonts w:ascii="Times New Roman" w:hAnsi="Times New Roman" w:cs="Times New Roman"/>
          <w:sz w:val="24"/>
          <w:szCs w:val="24"/>
        </w:rPr>
        <w:t xml:space="preserve">The patient was comfortably seated with the forearm extended; a tourniquet was applied </w:t>
      </w:r>
      <w:r w:rsidR="00F80667" w:rsidRPr="00F218A8">
        <w:rPr>
          <w:rFonts w:ascii="Times New Roman" w:hAnsi="Times New Roman" w:cs="Times New Roman"/>
          <w:sz w:val="24"/>
          <w:szCs w:val="24"/>
        </w:rPr>
        <w:t xml:space="preserve">to </w:t>
      </w:r>
      <w:r w:rsidRPr="00F218A8">
        <w:rPr>
          <w:rFonts w:ascii="Times New Roman" w:hAnsi="Times New Roman" w:cs="Times New Roman"/>
          <w:sz w:val="24"/>
          <w:szCs w:val="24"/>
        </w:rPr>
        <w:t xml:space="preserve">the upper arm to distend the antecubital vein. Using standard sterile procedure, three </w:t>
      </w:r>
      <w:r w:rsidRPr="00F218A8">
        <w:rPr>
          <w:rFonts w:ascii="Times New Roman" w:hAnsi="Times New Roman" w:cs="Times New Roman"/>
          <w:color w:val="FF0000"/>
          <w:sz w:val="24"/>
          <w:szCs w:val="24"/>
        </w:rPr>
        <w:t>millilit</w:t>
      </w:r>
      <w:r w:rsidR="00C5034C" w:rsidRPr="00F218A8">
        <w:rPr>
          <w:rFonts w:ascii="Times New Roman" w:hAnsi="Times New Roman" w:cs="Times New Roman"/>
          <w:color w:val="FF0000"/>
          <w:sz w:val="24"/>
          <w:szCs w:val="24"/>
        </w:rPr>
        <w:t>re</w:t>
      </w:r>
      <w:r w:rsidRPr="00F218A8">
        <w:rPr>
          <w:rFonts w:ascii="Times New Roman" w:hAnsi="Times New Roman" w:cs="Times New Roman"/>
          <w:color w:val="FF0000"/>
          <w:sz w:val="24"/>
          <w:szCs w:val="24"/>
        </w:rPr>
        <w:t xml:space="preserve">s </w:t>
      </w:r>
      <w:r w:rsidRPr="00F218A8">
        <w:rPr>
          <w:rFonts w:ascii="Times New Roman" w:hAnsi="Times New Roman" w:cs="Times New Roman"/>
          <w:sz w:val="24"/>
          <w:szCs w:val="24"/>
        </w:rPr>
        <w:t xml:space="preserve">(3mls) of venous blood was collected into a properly </w:t>
      </w:r>
      <w:r w:rsidRPr="00F218A8">
        <w:rPr>
          <w:rFonts w:ascii="Times New Roman" w:hAnsi="Times New Roman" w:cs="Times New Roman"/>
          <w:color w:val="FF0000"/>
          <w:sz w:val="24"/>
          <w:szCs w:val="24"/>
        </w:rPr>
        <w:t>label</w:t>
      </w:r>
      <w:r w:rsidR="00C5034C" w:rsidRPr="00F218A8">
        <w:rPr>
          <w:rFonts w:ascii="Times New Roman" w:hAnsi="Times New Roman" w:cs="Times New Roman"/>
          <w:color w:val="FF0000"/>
          <w:sz w:val="24"/>
          <w:szCs w:val="24"/>
        </w:rPr>
        <w:t>l</w:t>
      </w:r>
      <w:r w:rsidRPr="00F218A8">
        <w:rPr>
          <w:rFonts w:ascii="Times New Roman" w:hAnsi="Times New Roman" w:cs="Times New Roman"/>
          <w:color w:val="FF0000"/>
          <w:sz w:val="24"/>
          <w:szCs w:val="24"/>
        </w:rPr>
        <w:t xml:space="preserve">ed </w:t>
      </w:r>
      <w:r w:rsidRPr="00F218A8">
        <w:rPr>
          <w:rFonts w:ascii="Times New Roman" w:hAnsi="Times New Roman" w:cs="Times New Roman"/>
          <w:sz w:val="24"/>
          <w:szCs w:val="24"/>
        </w:rPr>
        <w:t>plain container/vacutainer tube. The collected samples were allowed to stand for one and a half hours to give room for clotting and clot retraction before being centrifuged at a speed of 4000rpm for 10minutes to separate the clot from the serum. The supernatant is decanted into appropriately labelled plain containers for immediate refrigeration.</w:t>
      </w:r>
    </w:p>
    <w:p w14:paraId="7A7F55BE" w14:textId="3FBC23DF" w:rsidR="00DC7716" w:rsidRPr="00F218A8" w:rsidRDefault="00DC7716" w:rsidP="00767608">
      <w:pPr>
        <w:spacing w:line="240" w:lineRule="auto"/>
        <w:jc w:val="both"/>
        <w:rPr>
          <w:rFonts w:ascii="Times New Roman" w:hAnsi="Times New Roman" w:cs="Times New Roman"/>
          <w:sz w:val="24"/>
          <w:szCs w:val="24"/>
        </w:rPr>
      </w:pPr>
      <w:r w:rsidRPr="00F218A8">
        <w:rPr>
          <w:rFonts w:ascii="Times New Roman" w:hAnsi="Times New Roman" w:cs="Times New Roman"/>
          <w:sz w:val="24"/>
          <w:szCs w:val="24"/>
        </w:rPr>
        <w:t xml:space="preserve">Specimen storage: separated samples were kept frozen at -20°C in an external </w:t>
      </w:r>
      <w:r w:rsidR="00F80667" w:rsidRPr="00F218A8">
        <w:rPr>
          <w:rFonts w:ascii="Times New Roman" w:hAnsi="Times New Roman" w:cs="Times New Roman"/>
          <w:sz w:val="24"/>
          <w:szCs w:val="24"/>
        </w:rPr>
        <w:t>thermometer-</w:t>
      </w:r>
      <w:r w:rsidRPr="00F218A8">
        <w:rPr>
          <w:rFonts w:ascii="Times New Roman" w:hAnsi="Times New Roman" w:cs="Times New Roman"/>
          <w:sz w:val="24"/>
          <w:szCs w:val="24"/>
        </w:rPr>
        <w:t>monitored freezer until analysis.</w:t>
      </w:r>
      <w:r w:rsidR="00767608" w:rsidRPr="00F218A8">
        <w:rPr>
          <w:rFonts w:ascii="Times New Roman" w:hAnsi="Times New Roman" w:cs="Times New Roman"/>
          <w:sz w:val="24"/>
          <w:szCs w:val="24"/>
        </w:rPr>
        <w:t xml:space="preserve"> </w:t>
      </w:r>
      <w:r w:rsidRPr="00F218A8">
        <w:rPr>
          <w:rFonts w:ascii="Times New Roman" w:hAnsi="Times New Roman" w:cs="Times New Roman"/>
          <w:sz w:val="24"/>
          <w:szCs w:val="24"/>
        </w:rPr>
        <w:t>Blood samples from control subjects were collected on day 3 of their menstrual cycle, using the same procedure as that of the test subjects.</w:t>
      </w:r>
    </w:p>
    <w:p w14:paraId="02095822" w14:textId="54D8D208" w:rsidR="00DC7716" w:rsidRPr="00F218A8" w:rsidRDefault="00DC7716" w:rsidP="00767608">
      <w:pPr>
        <w:spacing w:line="240" w:lineRule="auto"/>
        <w:jc w:val="both"/>
        <w:rPr>
          <w:rFonts w:ascii="Times New Roman" w:hAnsi="Times New Roman" w:cs="Times New Roman"/>
          <w:color w:val="FF0000"/>
          <w:sz w:val="24"/>
          <w:szCs w:val="24"/>
        </w:rPr>
      </w:pPr>
      <w:r w:rsidRPr="00F218A8">
        <w:rPr>
          <w:rFonts w:ascii="Times New Roman" w:hAnsi="Times New Roman" w:cs="Times New Roman"/>
          <w:sz w:val="24"/>
          <w:szCs w:val="24"/>
        </w:rPr>
        <w:t xml:space="preserve">Samples collected were assayed for Anti-Mullerian hormone (AMH), </w:t>
      </w:r>
      <w:r w:rsidR="00F80667" w:rsidRPr="00F218A8">
        <w:rPr>
          <w:rFonts w:ascii="Times New Roman" w:hAnsi="Times New Roman" w:cs="Times New Roman"/>
          <w:sz w:val="24"/>
          <w:szCs w:val="24"/>
        </w:rPr>
        <w:t>follicle-</w:t>
      </w:r>
      <w:r w:rsidRPr="00F218A8">
        <w:rPr>
          <w:rFonts w:ascii="Times New Roman" w:hAnsi="Times New Roman" w:cs="Times New Roman"/>
          <w:sz w:val="24"/>
          <w:szCs w:val="24"/>
        </w:rPr>
        <w:t xml:space="preserve">stimulating hormone (FSH), luteinizing hormone (LH), </w:t>
      </w:r>
      <w:r w:rsidR="00C5034C" w:rsidRPr="00F218A8">
        <w:rPr>
          <w:rFonts w:ascii="Times New Roman" w:hAnsi="Times New Roman" w:cs="Times New Roman"/>
          <w:color w:val="FF0000"/>
          <w:sz w:val="24"/>
          <w:szCs w:val="24"/>
        </w:rPr>
        <w:t>o</w:t>
      </w:r>
      <w:r w:rsidRPr="00F218A8">
        <w:rPr>
          <w:rFonts w:ascii="Times New Roman" w:hAnsi="Times New Roman" w:cs="Times New Roman"/>
          <w:color w:val="FF0000"/>
          <w:sz w:val="24"/>
          <w:szCs w:val="24"/>
        </w:rPr>
        <w:t>estradiol,</w:t>
      </w:r>
      <w:r w:rsidRPr="00F218A8">
        <w:rPr>
          <w:rFonts w:ascii="Times New Roman" w:hAnsi="Times New Roman" w:cs="Times New Roman"/>
          <w:sz w:val="24"/>
          <w:szCs w:val="24"/>
        </w:rPr>
        <w:t xml:space="preserve"> progesterone, and prolactin assay levels.</w:t>
      </w:r>
      <w:r w:rsidR="00767608" w:rsidRPr="00F218A8">
        <w:rPr>
          <w:rFonts w:ascii="Times New Roman" w:hAnsi="Times New Roman" w:cs="Times New Roman"/>
          <w:sz w:val="24"/>
          <w:szCs w:val="24"/>
        </w:rPr>
        <w:t xml:space="preserve"> </w:t>
      </w:r>
      <w:r w:rsidRPr="00F218A8">
        <w:rPr>
          <w:rFonts w:ascii="Times New Roman" w:hAnsi="Times New Roman" w:cs="Times New Roman"/>
          <w:sz w:val="24"/>
          <w:szCs w:val="24"/>
        </w:rPr>
        <w:t xml:space="preserve">Anti-Mullerian hormone (AMH) was assayed using </w:t>
      </w:r>
      <w:proofErr w:type="spellStart"/>
      <w:r w:rsidRPr="00F218A8">
        <w:rPr>
          <w:rFonts w:ascii="Times New Roman" w:hAnsi="Times New Roman" w:cs="Times New Roman"/>
          <w:color w:val="FF0000"/>
          <w:sz w:val="24"/>
          <w:szCs w:val="24"/>
        </w:rPr>
        <w:t>Calbiotech</w:t>
      </w:r>
      <w:proofErr w:type="spellEnd"/>
      <w:r w:rsidRPr="00F218A8">
        <w:rPr>
          <w:rFonts w:ascii="Times New Roman" w:hAnsi="Times New Roman" w:cs="Times New Roman"/>
          <w:color w:val="FF0000"/>
          <w:sz w:val="24"/>
          <w:szCs w:val="24"/>
        </w:rPr>
        <w:t xml:space="preserve"> </w:t>
      </w:r>
      <w:r w:rsidRPr="00F218A8">
        <w:rPr>
          <w:rFonts w:ascii="Times New Roman" w:hAnsi="Times New Roman" w:cs="Times New Roman"/>
          <w:sz w:val="24"/>
          <w:szCs w:val="24"/>
        </w:rPr>
        <w:t>Inc. El Cajon, CA</w:t>
      </w:r>
      <w:r w:rsidR="00F80667" w:rsidRPr="00F218A8">
        <w:rPr>
          <w:rFonts w:ascii="Times New Roman" w:hAnsi="Times New Roman" w:cs="Times New Roman"/>
          <w:sz w:val="24"/>
          <w:szCs w:val="24"/>
        </w:rPr>
        <w:t>,</w:t>
      </w:r>
      <w:r w:rsidRPr="00F218A8">
        <w:rPr>
          <w:rFonts w:ascii="Times New Roman" w:hAnsi="Times New Roman" w:cs="Times New Roman"/>
          <w:sz w:val="24"/>
          <w:szCs w:val="24"/>
        </w:rPr>
        <w:t xml:space="preserve"> USA </w:t>
      </w:r>
      <w:r w:rsidR="00F80667" w:rsidRPr="00F218A8">
        <w:rPr>
          <w:rFonts w:ascii="Times New Roman" w:hAnsi="Times New Roman" w:cs="Times New Roman"/>
          <w:sz w:val="24"/>
          <w:szCs w:val="24"/>
        </w:rPr>
        <w:t>enzyme-</w:t>
      </w:r>
      <w:r w:rsidRPr="00F218A8">
        <w:rPr>
          <w:rFonts w:ascii="Times New Roman" w:hAnsi="Times New Roman" w:cs="Times New Roman"/>
          <w:sz w:val="24"/>
          <w:szCs w:val="24"/>
        </w:rPr>
        <w:t xml:space="preserve">linked immunosorbent assay (ELISA) kit on </w:t>
      </w:r>
      <w:bookmarkStart w:id="2" w:name="_Hlk55227700"/>
      <w:r w:rsidRPr="00F218A8">
        <w:rPr>
          <w:rFonts w:ascii="Times New Roman" w:hAnsi="Times New Roman" w:cs="Times New Roman"/>
          <w:sz w:val="24"/>
          <w:szCs w:val="24"/>
        </w:rPr>
        <w:t xml:space="preserve">an </w:t>
      </w:r>
      <w:proofErr w:type="spellStart"/>
      <w:r w:rsidRPr="00F218A8">
        <w:rPr>
          <w:rFonts w:ascii="Times New Roman" w:hAnsi="Times New Roman" w:cs="Times New Roman"/>
          <w:sz w:val="24"/>
          <w:szCs w:val="24"/>
        </w:rPr>
        <w:t>Adaltis</w:t>
      </w:r>
      <w:proofErr w:type="spellEnd"/>
      <w:r w:rsidRPr="00F218A8">
        <w:rPr>
          <w:rFonts w:ascii="Times New Roman" w:hAnsi="Times New Roman" w:cs="Times New Roman"/>
          <w:sz w:val="24"/>
          <w:szCs w:val="24"/>
        </w:rPr>
        <w:t xml:space="preserve"> fully automated immunoassay </w:t>
      </w:r>
      <w:bookmarkEnd w:id="2"/>
      <w:r w:rsidRPr="00F218A8">
        <w:rPr>
          <w:rFonts w:ascii="Times New Roman" w:hAnsi="Times New Roman" w:cs="Times New Roman"/>
          <w:color w:val="FF0000"/>
          <w:sz w:val="24"/>
          <w:szCs w:val="24"/>
        </w:rPr>
        <w:t>analy</w:t>
      </w:r>
      <w:r w:rsidR="00C5034C" w:rsidRPr="00F218A8">
        <w:rPr>
          <w:rFonts w:ascii="Times New Roman" w:hAnsi="Times New Roman" w:cs="Times New Roman"/>
          <w:color w:val="FF0000"/>
          <w:sz w:val="24"/>
          <w:szCs w:val="24"/>
        </w:rPr>
        <w:t>s</w:t>
      </w:r>
      <w:r w:rsidRPr="00F218A8">
        <w:rPr>
          <w:rFonts w:ascii="Times New Roman" w:hAnsi="Times New Roman" w:cs="Times New Roman"/>
          <w:color w:val="FF0000"/>
          <w:sz w:val="24"/>
          <w:szCs w:val="24"/>
        </w:rPr>
        <w:t>er</w:t>
      </w:r>
    </w:p>
    <w:p w14:paraId="3B86B870" w14:textId="1CFE4FEE" w:rsidR="00DC7716" w:rsidRPr="00F218A8" w:rsidRDefault="00F80667" w:rsidP="00767608">
      <w:pPr>
        <w:spacing w:line="240" w:lineRule="auto"/>
        <w:jc w:val="both"/>
        <w:rPr>
          <w:rFonts w:ascii="Times New Roman" w:hAnsi="Times New Roman" w:cs="Times New Roman"/>
          <w:b/>
          <w:sz w:val="24"/>
          <w:szCs w:val="24"/>
        </w:rPr>
      </w:pPr>
      <w:r w:rsidRPr="00F218A8">
        <w:rPr>
          <w:rFonts w:ascii="Times New Roman" w:hAnsi="Times New Roman" w:cs="Times New Roman"/>
          <w:sz w:val="24"/>
          <w:szCs w:val="24"/>
        </w:rPr>
        <w:t>Follicle-</w:t>
      </w:r>
      <w:r w:rsidR="00DC7716" w:rsidRPr="00F218A8">
        <w:rPr>
          <w:rFonts w:ascii="Times New Roman" w:hAnsi="Times New Roman" w:cs="Times New Roman"/>
          <w:sz w:val="24"/>
          <w:szCs w:val="24"/>
        </w:rPr>
        <w:t>stimulating hormone (FSH)</w:t>
      </w:r>
      <w:r w:rsidR="00767608" w:rsidRPr="00F218A8">
        <w:rPr>
          <w:rFonts w:ascii="Times New Roman" w:hAnsi="Times New Roman" w:cs="Times New Roman"/>
          <w:sz w:val="24"/>
          <w:szCs w:val="24"/>
        </w:rPr>
        <w:t xml:space="preserve">, luteinizing hormone (LH), </w:t>
      </w:r>
      <w:r w:rsidR="00C5034C" w:rsidRPr="00F218A8">
        <w:rPr>
          <w:rFonts w:ascii="Times New Roman" w:hAnsi="Times New Roman" w:cs="Times New Roman"/>
          <w:color w:val="FF0000"/>
          <w:sz w:val="24"/>
          <w:szCs w:val="24"/>
        </w:rPr>
        <w:t>o</w:t>
      </w:r>
      <w:r w:rsidR="00767608" w:rsidRPr="00F218A8">
        <w:rPr>
          <w:rFonts w:ascii="Times New Roman" w:hAnsi="Times New Roman" w:cs="Times New Roman"/>
          <w:color w:val="FF0000"/>
          <w:sz w:val="24"/>
          <w:szCs w:val="24"/>
        </w:rPr>
        <w:t>estradiol</w:t>
      </w:r>
      <w:r w:rsidR="00767608" w:rsidRPr="00F218A8">
        <w:rPr>
          <w:rFonts w:ascii="Times New Roman" w:hAnsi="Times New Roman" w:cs="Times New Roman"/>
          <w:sz w:val="24"/>
          <w:szCs w:val="24"/>
        </w:rPr>
        <w:t>, progesterone, and prolactin were</w:t>
      </w:r>
      <w:r w:rsidR="00DC7716" w:rsidRPr="00F218A8">
        <w:rPr>
          <w:rFonts w:ascii="Times New Roman" w:hAnsi="Times New Roman" w:cs="Times New Roman"/>
          <w:sz w:val="24"/>
          <w:szCs w:val="24"/>
        </w:rPr>
        <w:t xml:space="preserve"> assayed using DRG instrumen</w:t>
      </w:r>
      <w:r w:rsidR="00767608" w:rsidRPr="00F218A8">
        <w:rPr>
          <w:rFonts w:ascii="Times New Roman" w:hAnsi="Times New Roman" w:cs="Times New Roman"/>
          <w:sz w:val="24"/>
          <w:szCs w:val="24"/>
        </w:rPr>
        <w:t xml:space="preserve">ts GmbH, Germany, enzyme linked </w:t>
      </w:r>
      <w:r w:rsidR="00DC7716" w:rsidRPr="00F218A8">
        <w:rPr>
          <w:rFonts w:ascii="Times New Roman" w:hAnsi="Times New Roman" w:cs="Times New Roman"/>
          <w:sz w:val="24"/>
          <w:szCs w:val="24"/>
        </w:rPr>
        <w:t xml:space="preserve">immunosorbent assay (ELISA) kit on an </w:t>
      </w:r>
      <w:proofErr w:type="spellStart"/>
      <w:r w:rsidR="00DC7716" w:rsidRPr="00F218A8">
        <w:rPr>
          <w:rFonts w:ascii="Times New Roman" w:hAnsi="Times New Roman" w:cs="Times New Roman"/>
          <w:sz w:val="24"/>
          <w:szCs w:val="24"/>
        </w:rPr>
        <w:t>Adaltis</w:t>
      </w:r>
      <w:proofErr w:type="spellEnd"/>
      <w:r w:rsidR="00DC7716" w:rsidRPr="00F218A8">
        <w:rPr>
          <w:rFonts w:ascii="Times New Roman" w:hAnsi="Times New Roman" w:cs="Times New Roman"/>
          <w:sz w:val="24"/>
          <w:szCs w:val="24"/>
        </w:rPr>
        <w:t xml:space="preserve"> fully automated immunoassay </w:t>
      </w:r>
      <w:r w:rsidR="00767608" w:rsidRPr="00F218A8">
        <w:rPr>
          <w:rFonts w:ascii="Times New Roman" w:hAnsi="Times New Roman" w:cs="Times New Roman"/>
          <w:sz w:val="24"/>
          <w:szCs w:val="24"/>
        </w:rPr>
        <w:t xml:space="preserve">analyser by </w:t>
      </w:r>
      <w:proofErr w:type="spellStart"/>
      <w:r w:rsidR="00767608" w:rsidRPr="00F218A8">
        <w:rPr>
          <w:rFonts w:ascii="Times New Roman" w:hAnsi="Times New Roman" w:cs="Times New Roman"/>
          <w:sz w:val="24"/>
          <w:szCs w:val="24"/>
        </w:rPr>
        <w:t>Adaltis</w:t>
      </w:r>
      <w:proofErr w:type="spellEnd"/>
      <w:r w:rsidR="00767608" w:rsidRPr="00F218A8">
        <w:rPr>
          <w:rFonts w:ascii="Times New Roman" w:hAnsi="Times New Roman" w:cs="Times New Roman"/>
          <w:sz w:val="24"/>
          <w:szCs w:val="24"/>
        </w:rPr>
        <w:t xml:space="preserve"> </w:t>
      </w:r>
      <w:proofErr w:type="spellStart"/>
      <w:r w:rsidR="00767608" w:rsidRPr="00F218A8">
        <w:rPr>
          <w:rFonts w:ascii="Times New Roman" w:hAnsi="Times New Roman" w:cs="Times New Roman"/>
          <w:sz w:val="24"/>
          <w:szCs w:val="24"/>
        </w:rPr>
        <w:t>S.r.L</w:t>
      </w:r>
      <w:proofErr w:type="spellEnd"/>
      <w:r w:rsidR="00767608" w:rsidRPr="00F218A8">
        <w:rPr>
          <w:rFonts w:ascii="Times New Roman" w:hAnsi="Times New Roman" w:cs="Times New Roman"/>
          <w:sz w:val="24"/>
          <w:szCs w:val="24"/>
        </w:rPr>
        <w:t xml:space="preserve"> international company in Rome, Italy.</w:t>
      </w:r>
    </w:p>
    <w:p w14:paraId="3A5E8159" w14:textId="77777777" w:rsidR="00DC7716" w:rsidRPr="00F218A8" w:rsidRDefault="00DC7716" w:rsidP="00767608">
      <w:pPr>
        <w:spacing w:line="240" w:lineRule="auto"/>
        <w:jc w:val="both"/>
        <w:rPr>
          <w:rFonts w:ascii="Times New Roman" w:hAnsi="Times New Roman" w:cs="Times New Roman"/>
          <w:sz w:val="24"/>
          <w:szCs w:val="24"/>
        </w:rPr>
      </w:pPr>
      <w:r w:rsidRPr="00F218A8">
        <w:rPr>
          <w:rFonts w:ascii="Times New Roman" w:hAnsi="Times New Roman" w:cs="Times New Roman"/>
          <w:sz w:val="24"/>
          <w:szCs w:val="24"/>
        </w:rPr>
        <w:t>Quality control: was done at 3 levels, low, normal and high control. Each batch of samples was assayed with the 3 levels of control to validate the performance of the equipment, reagents, analytical method and personnel.</w:t>
      </w:r>
    </w:p>
    <w:p w14:paraId="569509F3" w14:textId="34FEBF58" w:rsidR="00DC7716" w:rsidRPr="00F218A8" w:rsidRDefault="00DC7716" w:rsidP="00767608">
      <w:pPr>
        <w:spacing w:line="240" w:lineRule="auto"/>
        <w:jc w:val="both"/>
        <w:rPr>
          <w:rFonts w:ascii="Times New Roman" w:hAnsi="Times New Roman" w:cs="Times New Roman"/>
          <w:sz w:val="24"/>
          <w:szCs w:val="24"/>
        </w:rPr>
      </w:pPr>
      <w:r w:rsidRPr="00F218A8">
        <w:rPr>
          <w:rFonts w:ascii="Times New Roman" w:hAnsi="Times New Roman" w:cs="Times New Roman"/>
          <w:sz w:val="24"/>
          <w:szCs w:val="24"/>
        </w:rPr>
        <w:lastRenderedPageBreak/>
        <w:t xml:space="preserve">The biochemical values and other data collected was entered into a spreadsheet using numerical codes and subsequently </w:t>
      </w:r>
      <w:r w:rsidR="00F80667" w:rsidRPr="00F218A8">
        <w:rPr>
          <w:rFonts w:ascii="Times New Roman" w:hAnsi="Times New Roman" w:cs="Times New Roman"/>
          <w:sz w:val="24"/>
          <w:szCs w:val="24"/>
        </w:rPr>
        <w:t>cross-</w:t>
      </w:r>
      <w:r w:rsidRPr="00F218A8">
        <w:rPr>
          <w:rFonts w:ascii="Times New Roman" w:hAnsi="Times New Roman" w:cs="Times New Roman"/>
          <w:sz w:val="24"/>
          <w:szCs w:val="24"/>
        </w:rPr>
        <w:t>tabulated. Final data analysis was carried out using statistical package for social science (SPSS) version</w:t>
      </w:r>
      <w:r w:rsidR="00FE3058" w:rsidRPr="00F218A8">
        <w:rPr>
          <w:rFonts w:ascii="Times New Roman" w:hAnsi="Times New Roman" w:cs="Times New Roman"/>
          <w:sz w:val="24"/>
          <w:szCs w:val="24"/>
        </w:rPr>
        <w:t xml:space="preserve"> </w:t>
      </w:r>
      <w:r w:rsidRPr="00F218A8">
        <w:rPr>
          <w:rFonts w:ascii="Times New Roman" w:hAnsi="Times New Roman" w:cs="Times New Roman"/>
          <w:sz w:val="24"/>
          <w:szCs w:val="24"/>
        </w:rPr>
        <w:t xml:space="preserve">21.00. Descriptive statistics of frequencies and percentages </w:t>
      </w:r>
      <w:r w:rsidR="00F80667" w:rsidRPr="00F218A8">
        <w:rPr>
          <w:rFonts w:ascii="Times New Roman" w:hAnsi="Times New Roman" w:cs="Times New Roman"/>
          <w:sz w:val="24"/>
          <w:szCs w:val="24"/>
        </w:rPr>
        <w:t xml:space="preserve">were </w:t>
      </w:r>
      <w:r w:rsidRPr="00F218A8">
        <w:rPr>
          <w:rFonts w:ascii="Times New Roman" w:hAnsi="Times New Roman" w:cs="Times New Roman"/>
          <w:sz w:val="24"/>
          <w:szCs w:val="24"/>
        </w:rPr>
        <w:t xml:space="preserve">applied. Means and standard deviations of </w:t>
      </w:r>
      <w:r w:rsidR="00F80667" w:rsidRPr="00F218A8">
        <w:rPr>
          <w:rFonts w:ascii="Times New Roman" w:hAnsi="Times New Roman" w:cs="Times New Roman"/>
          <w:sz w:val="24"/>
          <w:szCs w:val="24"/>
        </w:rPr>
        <w:t xml:space="preserve">the </w:t>
      </w:r>
      <w:r w:rsidRPr="00F218A8">
        <w:rPr>
          <w:rFonts w:ascii="Times New Roman" w:hAnsi="Times New Roman" w:cs="Times New Roman"/>
          <w:sz w:val="24"/>
          <w:szCs w:val="24"/>
        </w:rPr>
        <w:t xml:space="preserve">test and control groups </w:t>
      </w:r>
      <w:r w:rsidR="00F80667" w:rsidRPr="00F218A8">
        <w:rPr>
          <w:rFonts w:ascii="Times New Roman" w:hAnsi="Times New Roman" w:cs="Times New Roman"/>
          <w:sz w:val="24"/>
          <w:szCs w:val="24"/>
        </w:rPr>
        <w:t xml:space="preserve">were </w:t>
      </w:r>
      <w:r w:rsidRPr="00F218A8">
        <w:rPr>
          <w:rFonts w:ascii="Times New Roman" w:hAnsi="Times New Roman" w:cs="Times New Roman"/>
          <w:sz w:val="24"/>
          <w:szCs w:val="24"/>
        </w:rPr>
        <w:t xml:space="preserve">compared using </w:t>
      </w:r>
      <w:r w:rsidR="00F80667" w:rsidRPr="00F218A8">
        <w:rPr>
          <w:rFonts w:ascii="Times New Roman" w:hAnsi="Times New Roman" w:cs="Times New Roman"/>
          <w:sz w:val="24"/>
          <w:szCs w:val="24"/>
        </w:rPr>
        <w:t xml:space="preserve">a </w:t>
      </w:r>
      <w:r w:rsidRPr="00F218A8">
        <w:rPr>
          <w:rFonts w:ascii="Times New Roman" w:hAnsi="Times New Roman" w:cs="Times New Roman"/>
          <w:sz w:val="24"/>
          <w:szCs w:val="24"/>
        </w:rPr>
        <w:t xml:space="preserve">paired T-test and </w:t>
      </w:r>
      <w:r w:rsidR="00F80667" w:rsidRPr="00F218A8">
        <w:rPr>
          <w:rFonts w:ascii="Times New Roman" w:hAnsi="Times New Roman" w:cs="Times New Roman"/>
          <w:sz w:val="24"/>
          <w:szCs w:val="24"/>
        </w:rPr>
        <w:t>chi-</w:t>
      </w:r>
      <w:r w:rsidRPr="00F218A8">
        <w:rPr>
          <w:rFonts w:ascii="Times New Roman" w:hAnsi="Times New Roman" w:cs="Times New Roman"/>
          <w:sz w:val="24"/>
          <w:szCs w:val="24"/>
        </w:rPr>
        <w:t xml:space="preserve">square. A confidence level of 95% will be used with the level of significance set at a p-value of &lt;0.05. Results will be presented in tables, chart and graphs.    </w:t>
      </w:r>
    </w:p>
    <w:p w14:paraId="2EAB8838" w14:textId="77777777" w:rsidR="00DC7716" w:rsidRPr="00F218A8" w:rsidRDefault="00DC7716">
      <w:pPr>
        <w:rPr>
          <w:rFonts w:ascii="Times New Roman" w:hAnsi="Times New Roman" w:cs="Times New Roman"/>
          <w:sz w:val="24"/>
        </w:rPr>
      </w:pPr>
    </w:p>
    <w:p w14:paraId="05959720" w14:textId="77777777" w:rsidR="004A5AFD" w:rsidRPr="00F218A8" w:rsidRDefault="004A5AFD" w:rsidP="004A5AFD">
      <w:pPr>
        <w:spacing w:line="360" w:lineRule="auto"/>
        <w:rPr>
          <w:rFonts w:ascii="Times New Roman" w:hAnsi="Times New Roman" w:cs="Times New Roman"/>
          <w:b/>
          <w:bCs/>
          <w:sz w:val="24"/>
          <w:szCs w:val="24"/>
        </w:rPr>
      </w:pPr>
      <w:r w:rsidRPr="00F218A8">
        <w:rPr>
          <w:rFonts w:ascii="Times New Roman" w:hAnsi="Times New Roman" w:cs="Times New Roman"/>
          <w:b/>
          <w:bCs/>
          <w:sz w:val="24"/>
          <w:szCs w:val="24"/>
        </w:rPr>
        <w:t>RESULTS</w:t>
      </w:r>
    </w:p>
    <w:p w14:paraId="56D364BD" w14:textId="6B2368AC" w:rsidR="004A5AFD" w:rsidRPr="00F218A8" w:rsidRDefault="004A5AFD" w:rsidP="00767608">
      <w:pPr>
        <w:spacing w:line="240" w:lineRule="auto"/>
        <w:jc w:val="both"/>
        <w:rPr>
          <w:rFonts w:ascii="Times New Roman" w:hAnsi="Times New Roman" w:cs="Times New Roman"/>
          <w:color w:val="000000" w:themeColor="text1"/>
          <w:sz w:val="24"/>
          <w:szCs w:val="24"/>
        </w:rPr>
      </w:pPr>
      <w:r w:rsidRPr="00F218A8">
        <w:rPr>
          <w:rFonts w:ascii="Times New Roman" w:hAnsi="Times New Roman" w:cs="Times New Roman"/>
          <w:sz w:val="24"/>
          <w:szCs w:val="24"/>
        </w:rPr>
        <w:t xml:space="preserve">A total of 65 infertile and </w:t>
      </w:r>
      <w:r w:rsidR="00F80667" w:rsidRPr="00F218A8">
        <w:rPr>
          <w:rFonts w:ascii="Times New Roman" w:hAnsi="Times New Roman" w:cs="Times New Roman"/>
          <w:sz w:val="24"/>
          <w:szCs w:val="24"/>
        </w:rPr>
        <w:t>age-</w:t>
      </w:r>
      <w:r w:rsidRPr="00F218A8">
        <w:rPr>
          <w:rFonts w:ascii="Times New Roman" w:hAnsi="Times New Roman" w:cs="Times New Roman"/>
          <w:sz w:val="24"/>
          <w:szCs w:val="24"/>
        </w:rPr>
        <w:t xml:space="preserve">matched fertile women were recruited into the study. </w:t>
      </w:r>
      <w:r w:rsidR="00F80667" w:rsidRPr="00F218A8">
        <w:rPr>
          <w:rFonts w:ascii="Times New Roman" w:hAnsi="Times New Roman" w:cs="Times New Roman"/>
          <w:sz w:val="24"/>
          <w:szCs w:val="24"/>
        </w:rPr>
        <w:t xml:space="preserve">The most </w:t>
      </w:r>
      <w:r w:rsidRPr="00F218A8">
        <w:rPr>
          <w:rFonts w:ascii="Times New Roman" w:hAnsi="Times New Roman" w:cs="Times New Roman"/>
          <w:sz w:val="24"/>
          <w:szCs w:val="24"/>
        </w:rPr>
        <w:t xml:space="preserve">represented age range </w:t>
      </w:r>
      <w:r w:rsidR="00F80667" w:rsidRPr="00F218A8">
        <w:rPr>
          <w:rFonts w:ascii="Times New Roman" w:hAnsi="Times New Roman" w:cs="Times New Roman"/>
          <w:sz w:val="24"/>
          <w:szCs w:val="24"/>
        </w:rPr>
        <w:t xml:space="preserve">was </w:t>
      </w:r>
      <w:r w:rsidRPr="00F218A8">
        <w:rPr>
          <w:rFonts w:ascii="Times New Roman" w:hAnsi="Times New Roman" w:cs="Times New Roman"/>
          <w:sz w:val="24"/>
          <w:szCs w:val="24"/>
        </w:rPr>
        <w:t>26-30 (30.8%) in each group</w:t>
      </w:r>
      <w:r w:rsidR="00F80667" w:rsidRPr="00F218A8">
        <w:rPr>
          <w:rFonts w:ascii="Times New Roman" w:hAnsi="Times New Roman" w:cs="Times New Roman"/>
          <w:sz w:val="24"/>
          <w:szCs w:val="24"/>
        </w:rPr>
        <w:t>,</w:t>
      </w:r>
      <w:r w:rsidRPr="00F218A8">
        <w:rPr>
          <w:rFonts w:ascii="Times New Roman" w:hAnsi="Times New Roman" w:cs="Times New Roman"/>
          <w:sz w:val="24"/>
          <w:szCs w:val="24"/>
        </w:rPr>
        <w:t xml:space="preserve"> with a mean age of 31</w:t>
      </w:r>
      <w:r w:rsidRPr="00F218A8">
        <w:rPr>
          <w:rFonts w:ascii="Times New Roman" w:hAnsi="Times New Roman" w:cs="Times New Roman"/>
          <w:color w:val="000000" w:themeColor="text1"/>
          <w:sz w:val="24"/>
          <w:szCs w:val="24"/>
        </w:rPr>
        <w:t>.97±6.0 and 31.63± 5.0 for the fertile and infertile group</w:t>
      </w:r>
      <w:r w:rsidR="00F80667" w:rsidRPr="00F218A8">
        <w:rPr>
          <w:rFonts w:ascii="Times New Roman" w:hAnsi="Times New Roman" w:cs="Times New Roman"/>
          <w:color w:val="000000" w:themeColor="text1"/>
          <w:sz w:val="24"/>
          <w:szCs w:val="24"/>
        </w:rPr>
        <w:t>,</w:t>
      </w:r>
      <w:r w:rsidRPr="00F218A8">
        <w:rPr>
          <w:rFonts w:ascii="Times New Roman" w:hAnsi="Times New Roman" w:cs="Times New Roman"/>
          <w:color w:val="000000" w:themeColor="text1"/>
          <w:sz w:val="24"/>
          <w:szCs w:val="24"/>
        </w:rPr>
        <w:t xml:space="preserve"> respectively. </w:t>
      </w:r>
      <w:r w:rsidR="00F80667" w:rsidRPr="00F218A8">
        <w:rPr>
          <w:rFonts w:ascii="Times New Roman" w:hAnsi="Times New Roman" w:cs="Times New Roman"/>
          <w:color w:val="000000" w:themeColor="text1"/>
          <w:sz w:val="24"/>
          <w:szCs w:val="24"/>
        </w:rPr>
        <w:t xml:space="preserve">The majority </w:t>
      </w:r>
      <w:r w:rsidRPr="00F218A8">
        <w:rPr>
          <w:rFonts w:ascii="Times New Roman" w:hAnsi="Times New Roman" w:cs="Times New Roman"/>
          <w:color w:val="000000" w:themeColor="text1"/>
          <w:sz w:val="24"/>
          <w:szCs w:val="24"/>
        </w:rPr>
        <w:t>(55.4%) had tertiary education (55.4%) and are Christian (86.2%). The mean duration of marriage was 6.55±2.6 and 6.24±2.8 in infertile and fertile women</w:t>
      </w:r>
      <w:r w:rsidR="00F80667" w:rsidRPr="00F218A8">
        <w:rPr>
          <w:rFonts w:ascii="Times New Roman" w:hAnsi="Times New Roman" w:cs="Times New Roman"/>
          <w:color w:val="000000" w:themeColor="text1"/>
          <w:sz w:val="24"/>
          <w:szCs w:val="24"/>
        </w:rPr>
        <w:t>,</w:t>
      </w:r>
      <w:r w:rsidRPr="00F218A8">
        <w:rPr>
          <w:rFonts w:ascii="Times New Roman" w:hAnsi="Times New Roman" w:cs="Times New Roman"/>
          <w:color w:val="000000" w:themeColor="text1"/>
          <w:sz w:val="24"/>
          <w:szCs w:val="24"/>
        </w:rPr>
        <w:t xml:space="preserve"> respectively. There was no significant difference in socio-demographics between infertile and fertile women groups (p&gt;0.05).</w:t>
      </w:r>
    </w:p>
    <w:p w14:paraId="06CC96C2" w14:textId="77777777" w:rsidR="004A5AFD" w:rsidRPr="00F218A8" w:rsidRDefault="004A5AFD" w:rsidP="004A5AFD">
      <w:pPr>
        <w:spacing w:line="360" w:lineRule="auto"/>
        <w:jc w:val="both"/>
        <w:rPr>
          <w:rFonts w:ascii="Times New Roman" w:hAnsi="Times New Roman" w:cs="Times New Roman"/>
          <w:color w:val="000000" w:themeColor="text1"/>
          <w:sz w:val="24"/>
          <w:szCs w:val="24"/>
        </w:rPr>
      </w:pPr>
    </w:p>
    <w:p w14:paraId="71C039C2" w14:textId="77777777" w:rsidR="004A5AFD" w:rsidRPr="00F218A8" w:rsidRDefault="004A5AFD" w:rsidP="004A5AFD">
      <w:pPr>
        <w:rPr>
          <w:rFonts w:ascii="Times New Roman" w:hAnsi="Times New Roman" w:cs="Times New Roman"/>
          <w:b/>
          <w:bCs/>
          <w:sz w:val="24"/>
          <w:szCs w:val="24"/>
        </w:rPr>
      </w:pPr>
      <w:bookmarkStart w:id="3" w:name="_Hlk127867795"/>
      <w:r w:rsidRPr="00F218A8">
        <w:rPr>
          <w:rFonts w:ascii="Times New Roman" w:hAnsi="Times New Roman" w:cs="Times New Roman"/>
          <w:b/>
          <w:bCs/>
          <w:sz w:val="24"/>
          <w:szCs w:val="24"/>
        </w:rPr>
        <w:t>Table 1: Socio-demographic and clinical characteristics of participants</w:t>
      </w:r>
    </w:p>
    <w:bookmarkEnd w:id="3"/>
    <w:tbl>
      <w:tblPr>
        <w:tblW w:w="5000" w:type="pct"/>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2906"/>
        <w:gridCol w:w="1671"/>
        <w:gridCol w:w="1408"/>
        <w:gridCol w:w="1329"/>
        <w:gridCol w:w="959"/>
        <w:gridCol w:w="969"/>
      </w:tblGrid>
      <w:tr w:rsidR="004A5AFD" w:rsidRPr="00F218A8" w14:paraId="1DF241EF" w14:textId="77777777" w:rsidTr="004A5AFD">
        <w:tc>
          <w:tcPr>
            <w:tcW w:w="1572" w:type="pct"/>
            <w:tcBorders>
              <w:top w:val="single" w:sz="4" w:space="0" w:color="auto"/>
              <w:left w:val="nil"/>
              <w:bottom w:val="nil"/>
              <w:right w:val="nil"/>
            </w:tcBorders>
            <w:shd w:val="clear" w:color="auto" w:fill="FFFFFF" w:themeFill="background1"/>
          </w:tcPr>
          <w:p w14:paraId="7674CAE6" w14:textId="77777777" w:rsidR="004A5AFD" w:rsidRPr="00F218A8" w:rsidRDefault="004A5AFD">
            <w:pPr>
              <w:autoSpaceDE w:val="0"/>
              <w:autoSpaceDN w:val="0"/>
              <w:adjustRightInd w:val="0"/>
              <w:spacing w:after="0" w:line="480" w:lineRule="auto"/>
              <w:rPr>
                <w:rFonts w:ascii="Times New Roman" w:hAnsi="Times New Roman" w:cs="Times New Roman"/>
                <w:color w:val="000000" w:themeColor="text1"/>
                <w:sz w:val="24"/>
                <w:szCs w:val="24"/>
                <w:lang w:val="en-US"/>
              </w:rPr>
            </w:pPr>
          </w:p>
        </w:tc>
        <w:tc>
          <w:tcPr>
            <w:tcW w:w="904" w:type="pct"/>
            <w:tcBorders>
              <w:top w:val="single" w:sz="4" w:space="0" w:color="auto"/>
              <w:left w:val="nil"/>
              <w:bottom w:val="nil"/>
              <w:right w:val="nil"/>
            </w:tcBorders>
            <w:shd w:val="clear" w:color="auto" w:fill="FFFFFF" w:themeFill="background1"/>
            <w:hideMark/>
          </w:tcPr>
          <w:p w14:paraId="7998CA78" w14:textId="77777777" w:rsidR="004A5AFD" w:rsidRPr="00F218A8" w:rsidRDefault="004A5AFD">
            <w:pPr>
              <w:autoSpaceDE w:val="0"/>
              <w:autoSpaceDN w:val="0"/>
              <w:adjustRightInd w:val="0"/>
              <w:spacing w:after="0"/>
              <w:jc w:val="center"/>
              <w:rPr>
                <w:rFonts w:ascii="Times New Roman" w:hAnsi="Times New Roman" w:cs="Times New Roman"/>
                <w:b/>
                <w:bCs/>
                <w:color w:val="000000" w:themeColor="text1"/>
                <w:sz w:val="24"/>
                <w:szCs w:val="24"/>
              </w:rPr>
            </w:pPr>
            <w:r w:rsidRPr="00F218A8">
              <w:rPr>
                <w:rFonts w:ascii="Times New Roman" w:hAnsi="Times New Roman" w:cs="Times New Roman"/>
                <w:b/>
                <w:bCs/>
                <w:color w:val="000000" w:themeColor="text1"/>
                <w:sz w:val="24"/>
                <w:szCs w:val="24"/>
              </w:rPr>
              <w:t xml:space="preserve">Infertile </w:t>
            </w:r>
          </w:p>
          <w:p w14:paraId="759C539A" w14:textId="77777777" w:rsidR="004A5AFD" w:rsidRPr="00F218A8" w:rsidRDefault="004A5AFD">
            <w:pPr>
              <w:autoSpaceDE w:val="0"/>
              <w:autoSpaceDN w:val="0"/>
              <w:adjustRightInd w:val="0"/>
              <w:spacing w:after="0" w:line="256" w:lineRule="auto"/>
              <w:jc w:val="center"/>
              <w:rPr>
                <w:rFonts w:ascii="Times New Roman" w:hAnsi="Times New Roman" w:cs="Times New Roman"/>
                <w:b/>
                <w:bCs/>
                <w:color w:val="000000" w:themeColor="text1"/>
                <w:sz w:val="24"/>
                <w:szCs w:val="24"/>
                <w:lang w:val="en-US"/>
              </w:rPr>
            </w:pPr>
            <w:r w:rsidRPr="00F218A8">
              <w:rPr>
                <w:rFonts w:ascii="Times New Roman" w:hAnsi="Times New Roman" w:cs="Times New Roman"/>
                <w:b/>
                <w:bCs/>
                <w:color w:val="000000" w:themeColor="text1"/>
                <w:sz w:val="24"/>
                <w:szCs w:val="24"/>
              </w:rPr>
              <w:t>(n=65)</w:t>
            </w:r>
          </w:p>
        </w:tc>
        <w:tc>
          <w:tcPr>
            <w:tcW w:w="762" w:type="pct"/>
            <w:tcBorders>
              <w:top w:val="single" w:sz="4" w:space="0" w:color="auto"/>
              <w:left w:val="nil"/>
              <w:bottom w:val="nil"/>
              <w:right w:val="nil"/>
            </w:tcBorders>
            <w:shd w:val="clear" w:color="auto" w:fill="FFFFFF" w:themeFill="background1"/>
            <w:vAlign w:val="bottom"/>
            <w:hideMark/>
          </w:tcPr>
          <w:p w14:paraId="09403E73" w14:textId="77777777" w:rsidR="004A5AFD" w:rsidRPr="00F218A8" w:rsidRDefault="004A5AFD">
            <w:pPr>
              <w:autoSpaceDE w:val="0"/>
              <w:autoSpaceDN w:val="0"/>
              <w:adjustRightInd w:val="0"/>
              <w:spacing w:after="0"/>
              <w:jc w:val="center"/>
              <w:rPr>
                <w:rFonts w:ascii="Times New Roman" w:hAnsi="Times New Roman" w:cs="Times New Roman"/>
                <w:b/>
                <w:bCs/>
                <w:color w:val="000000" w:themeColor="text1"/>
                <w:sz w:val="24"/>
                <w:szCs w:val="24"/>
              </w:rPr>
            </w:pPr>
            <w:r w:rsidRPr="00F218A8">
              <w:rPr>
                <w:rFonts w:ascii="Times New Roman" w:hAnsi="Times New Roman" w:cs="Times New Roman"/>
                <w:b/>
                <w:bCs/>
                <w:color w:val="000000" w:themeColor="text1"/>
                <w:sz w:val="24"/>
                <w:szCs w:val="24"/>
              </w:rPr>
              <w:t>Fertile</w:t>
            </w:r>
          </w:p>
          <w:p w14:paraId="00A86CDE" w14:textId="77777777" w:rsidR="004A5AFD" w:rsidRPr="00F218A8" w:rsidRDefault="004A5AFD">
            <w:pPr>
              <w:autoSpaceDE w:val="0"/>
              <w:autoSpaceDN w:val="0"/>
              <w:adjustRightInd w:val="0"/>
              <w:spacing w:after="0" w:line="256" w:lineRule="auto"/>
              <w:jc w:val="center"/>
              <w:rPr>
                <w:rFonts w:ascii="Times New Roman" w:hAnsi="Times New Roman" w:cs="Times New Roman"/>
                <w:b/>
                <w:bCs/>
                <w:color w:val="000000" w:themeColor="text1"/>
                <w:sz w:val="24"/>
                <w:szCs w:val="24"/>
                <w:lang w:val="en-US"/>
              </w:rPr>
            </w:pPr>
            <w:r w:rsidRPr="00F218A8">
              <w:rPr>
                <w:rFonts w:ascii="Times New Roman" w:hAnsi="Times New Roman" w:cs="Times New Roman"/>
                <w:b/>
                <w:bCs/>
                <w:color w:val="000000" w:themeColor="text1"/>
                <w:sz w:val="24"/>
                <w:szCs w:val="24"/>
              </w:rPr>
              <w:t>(n=65)</w:t>
            </w:r>
          </w:p>
        </w:tc>
        <w:tc>
          <w:tcPr>
            <w:tcW w:w="719" w:type="pct"/>
            <w:tcBorders>
              <w:top w:val="single" w:sz="4" w:space="0" w:color="auto"/>
              <w:left w:val="nil"/>
              <w:bottom w:val="nil"/>
              <w:right w:val="nil"/>
            </w:tcBorders>
            <w:shd w:val="clear" w:color="auto" w:fill="FFFFFF" w:themeFill="background1"/>
            <w:hideMark/>
          </w:tcPr>
          <w:p w14:paraId="58651EC5" w14:textId="77777777" w:rsidR="004A5AFD" w:rsidRPr="00F218A8" w:rsidRDefault="004A5AFD">
            <w:pPr>
              <w:autoSpaceDE w:val="0"/>
              <w:autoSpaceDN w:val="0"/>
              <w:adjustRightInd w:val="0"/>
              <w:spacing w:after="0"/>
              <w:rPr>
                <w:rFonts w:ascii="Times New Roman" w:hAnsi="Times New Roman" w:cs="Times New Roman"/>
                <w:b/>
                <w:bCs/>
                <w:color w:val="000000" w:themeColor="text1"/>
                <w:sz w:val="24"/>
                <w:szCs w:val="24"/>
              </w:rPr>
            </w:pPr>
            <w:r w:rsidRPr="00F218A8">
              <w:rPr>
                <w:rFonts w:ascii="Times New Roman" w:hAnsi="Times New Roman" w:cs="Times New Roman"/>
                <w:b/>
                <w:bCs/>
                <w:color w:val="000000" w:themeColor="text1"/>
                <w:sz w:val="24"/>
                <w:szCs w:val="24"/>
              </w:rPr>
              <w:t xml:space="preserve">     Total</w:t>
            </w:r>
          </w:p>
          <w:p w14:paraId="3A5A4628" w14:textId="77777777" w:rsidR="004A5AFD" w:rsidRPr="00F218A8" w:rsidRDefault="004A5AFD">
            <w:pPr>
              <w:autoSpaceDE w:val="0"/>
              <w:autoSpaceDN w:val="0"/>
              <w:adjustRightInd w:val="0"/>
              <w:spacing w:after="0" w:line="256" w:lineRule="auto"/>
              <w:jc w:val="center"/>
              <w:rPr>
                <w:rFonts w:ascii="Times New Roman" w:hAnsi="Times New Roman" w:cs="Times New Roman"/>
                <w:color w:val="000000" w:themeColor="text1"/>
                <w:sz w:val="24"/>
                <w:szCs w:val="24"/>
                <w:lang w:val="en-US"/>
              </w:rPr>
            </w:pPr>
            <w:r w:rsidRPr="00F218A8">
              <w:rPr>
                <w:rFonts w:ascii="Times New Roman" w:hAnsi="Times New Roman" w:cs="Times New Roman"/>
                <w:b/>
                <w:bCs/>
                <w:color w:val="000000" w:themeColor="text1"/>
                <w:sz w:val="24"/>
                <w:szCs w:val="24"/>
              </w:rPr>
              <w:t>(n=130)</w:t>
            </w:r>
          </w:p>
        </w:tc>
        <w:tc>
          <w:tcPr>
            <w:tcW w:w="519" w:type="pct"/>
            <w:vMerge w:val="restart"/>
            <w:tcBorders>
              <w:top w:val="single" w:sz="4" w:space="0" w:color="auto"/>
              <w:left w:val="nil"/>
              <w:bottom w:val="single" w:sz="4" w:space="0" w:color="auto"/>
              <w:right w:val="nil"/>
            </w:tcBorders>
            <w:shd w:val="clear" w:color="auto" w:fill="FFFFFF" w:themeFill="background1"/>
            <w:hideMark/>
          </w:tcPr>
          <w:p w14:paraId="344242A0" w14:textId="77777777" w:rsidR="004A5AFD" w:rsidRPr="00F218A8" w:rsidRDefault="004A5AFD">
            <w:pPr>
              <w:autoSpaceDE w:val="0"/>
              <w:autoSpaceDN w:val="0"/>
              <w:adjustRightInd w:val="0"/>
              <w:spacing w:after="0" w:line="256" w:lineRule="auto"/>
              <w:jc w:val="center"/>
              <w:rPr>
                <w:rFonts w:ascii="Times New Roman" w:hAnsi="Times New Roman" w:cs="Times New Roman"/>
                <w:color w:val="000000" w:themeColor="text1"/>
                <w:sz w:val="24"/>
                <w:szCs w:val="24"/>
                <w:lang w:val="en-US"/>
              </w:rPr>
            </w:pPr>
            <w:r w:rsidRPr="00F218A8">
              <w:rPr>
                <w:rFonts w:ascii="Times New Roman" w:hAnsi="Times New Roman" w:cs="Times New Roman"/>
                <w:b/>
                <w:bCs/>
                <w:color w:val="000000" w:themeColor="text1"/>
                <w:sz w:val="24"/>
                <w:szCs w:val="24"/>
              </w:rPr>
              <w:t>χ</w:t>
            </w:r>
            <w:r w:rsidRPr="00F218A8">
              <w:rPr>
                <w:rFonts w:ascii="Times New Roman" w:hAnsi="Times New Roman" w:cs="Times New Roman"/>
                <w:b/>
                <w:bCs/>
                <w:color w:val="000000" w:themeColor="text1"/>
                <w:sz w:val="24"/>
                <w:szCs w:val="24"/>
                <w:vertAlign w:val="superscript"/>
              </w:rPr>
              <w:t>2</w:t>
            </w:r>
          </w:p>
        </w:tc>
        <w:tc>
          <w:tcPr>
            <w:tcW w:w="524" w:type="pct"/>
            <w:vMerge w:val="restart"/>
            <w:tcBorders>
              <w:top w:val="single" w:sz="4" w:space="0" w:color="auto"/>
              <w:left w:val="nil"/>
              <w:bottom w:val="single" w:sz="4" w:space="0" w:color="auto"/>
              <w:right w:val="nil"/>
            </w:tcBorders>
            <w:shd w:val="clear" w:color="auto" w:fill="FFFFFF" w:themeFill="background1"/>
            <w:hideMark/>
          </w:tcPr>
          <w:p w14:paraId="6D02C2A6" w14:textId="77777777" w:rsidR="004A5AFD" w:rsidRPr="00F218A8" w:rsidRDefault="004A5AFD">
            <w:pPr>
              <w:autoSpaceDE w:val="0"/>
              <w:autoSpaceDN w:val="0"/>
              <w:adjustRightInd w:val="0"/>
              <w:spacing w:after="0" w:line="256" w:lineRule="auto"/>
              <w:jc w:val="center"/>
              <w:rPr>
                <w:rFonts w:ascii="Times New Roman" w:hAnsi="Times New Roman" w:cs="Times New Roman"/>
                <w:color w:val="000000" w:themeColor="text1"/>
                <w:sz w:val="24"/>
                <w:szCs w:val="24"/>
                <w:lang w:val="en-US"/>
              </w:rPr>
            </w:pPr>
            <w:r w:rsidRPr="00F218A8">
              <w:rPr>
                <w:rFonts w:ascii="Times New Roman" w:hAnsi="Times New Roman" w:cs="Times New Roman"/>
                <w:b/>
                <w:bCs/>
                <w:color w:val="000000" w:themeColor="text1"/>
                <w:sz w:val="24"/>
                <w:szCs w:val="24"/>
              </w:rPr>
              <w:t>p value</w:t>
            </w:r>
          </w:p>
        </w:tc>
      </w:tr>
      <w:tr w:rsidR="004A5AFD" w:rsidRPr="00F218A8" w14:paraId="08009830" w14:textId="77777777" w:rsidTr="004A5AFD">
        <w:tc>
          <w:tcPr>
            <w:tcW w:w="1572" w:type="pct"/>
            <w:tcBorders>
              <w:top w:val="nil"/>
              <w:left w:val="nil"/>
              <w:bottom w:val="single" w:sz="4" w:space="0" w:color="auto"/>
              <w:right w:val="nil"/>
            </w:tcBorders>
            <w:shd w:val="clear" w:color="auto" w:fill="FFFFFF" w:themeFill="background1"/>
          </w:tcPr>
          <w:p w14:paraId="71D82964" w14:textId="77777777" w:rsidR="004A5AFD" w:rsidRPr="00F218A8" w:rsidRDefault="004A5AFD">
            <w:pPr>
              <w:autoSpaceDE w:val="0"/>
              <w:autoSpaceDN w:val="0"/>
              <w:adjustRightInd w:val="0"/>
              <w:spacing w:after="0" w:line="480" w:lineRule="auto"/>
              <w:rPr>
                <w:rFonts w:ascii="Times New Roman" w:hAnsi="Times New Roman" w:cs="Times New Roman"/>
                <w:color w:val="000000" w:themeColor="text1"/>
                <w:sz w:val="24"/>
                <w:szCs w:val="24"/>
                <w:lang w:val="en-US"/>
              </w:rPr>
            </w:pPr>
          </w:p>
        </w:tc>
        <w:tc>
          <w:tcPr>
            <w:tcW w:w="904" w:type="pct"/>
            <w:tcBorders>
              <w:top w:val="nil"/>
              <w:left w:val="nil"/>
              <w:bottom w:val="single" w:sz="4" w:space="0" w:color="auto"/>
              <w:right w:val="nil"/>
            </w:tcBorders>
            <w:shd w:val="clear" w:color="auto" w:fill="FFFFFF" w:themeFill="background1"/>
            <w:hideMark/>
          </w:tcPr>
          <w:p w14:paraId="0CB8CAAE" w14:textId="77777777" w:rsidR="004A5AFD" w:rsidRPr="00F218A8" w:rsidRDefault="004A5AFD">
            <w:pPr>
              <w:autoSpaceDE w:val="0"/>
              <w:autoSpaceDN w:val="0"/>
              <w:adjustRightInd w:val="0"/>
              <w:spacing w:after="0" w:line="256" w:lineRule="auto"/>
              <w:jc w:val="center"/>
              <w:rPr>
                <w:rFonts w:ascii="Times New Roman" w:hAnsi="Times New Roman" w:cs="Times New Roman"/>
                <w:b/>
                <w:bCs/>
                <w:color w:val="000000" w:themeColor="text1"/>
                <w:sz w:val="24"/>
                <w:szCs w:val="24"/>
                <w:lang w:val="en-US"/>
              </w:rPr>
            </w:pPr>
            <w:r w:rsidRPr="00F218A8">
              <w:rPr>
                <w:rFonts w:ascii="Times New Roman" w:hAnsi="Times New Roman" w:cs="Times New Roman"/>
                <w:b/>
                <w:bCs/>
                <w:color w:val="000000" w:themeColor="text1"/>
                <w:sz w:val="24"/>
                <w:szCs w:val="24"/>
              </w:rPr>
              <w:t>n (%)</w:t>
            </w:r>
          </w:p>
        </w:tc>
        <w:tc>
          <w:tcPr>
            <w:tcW w:w="762" w:type="pct"/>
            <w:tcBorders>
              <w:top w:val="nil"/>
              <w:left w:val="nil"/>
              <w:bottom w:val="single" w:sz="4" w:space="0" w:color="auto"/>
              <w:right w:val="nil"/>
            </w:tcBorders>
            <w:shd w:val="clear" w:color="auto" w:fill="FFFFFF" w:themeFill="background1"/>
            <w:hideMark/>
          </w:tcPr>
          <w:p w14:paraId="284437AD" w14:textId="77777777" w:rsidR="004A5AFD" w:rsidRPr="00F218A8" w:rsidRDefault="004A5AFD">
            <w:pPr>
              <w:autoSpaceDE w:val="0"/>
              <w:autoSpaceDN w:val="0"/>
              <w:adjustRightInd w:val="0"/>
              <w:spacing w:after="0" w:line="256" w:lineRule="auto"/>
              <w:jc w:val="center"/>
              <w:rPr>
                <w:rFonts w:ascii="Times New Roman" w:hAnsi="Times New Roman" w:cs="Times New Roman"/>
                <w:b/>
                <w:bCs/>
                <w:color w:val="000000" w:themeColor="text1"/>
                <w:sz w:val="24"/>
                <w:szCs w:val="24"/>
                <w:lang w:val="en-US"/>
              </w:rPr>
            </w:pPr>
            <w:r w:rsidRPr="00F218A8">
              <w:rPr>
                <w:rFonts w:ascii="Times New Roman" w:hAnsi="Times New Roman" w:cs="Times New Roman"/>
                <w:b/>
                <w:bCs/>
                <w:color w:val="000000" w:themeColor="text1"/>
                <w:sz w:val="24"/>
                <w:szCs w:val="24"/>
              </w:rPr>
              <w:t>n (%)</w:t>
            </w:r>
          </w:p>
        </w:tc>
        <w:tc>
          <w:tcPr>
            <w:tcW w:w="719" w:type="pct"/>
            <w:tcBorders>
              <w:top w:val="nil"/>
              <w:left w:val="nil"/>
              <w:bottom w:val="single" w:sz="4" w:space="0" w:color="auto"/>
              <w:right w:val="nil"/>
            </w:tcBorders>
            <w:shd w:val="clear" w:color="auto" w:fill="FFFFFF" w:themeFill="background1"/>
            <w:hideMark/>
          </w:tcPr>
          <w:p w14:paraId="5C189FBE" w14:textId="77777777" w:rsidR="004A5AFD" w:rsidRPr="00F218A8" w:rsidRDefault="004A5AFD">
            <w:pPr>
              <w:autoSpaceDE w:val="0"/>
              <w:autoSpaceDN w:val="0"/>
              <w:adjustRightInd w:val="0"/>
              <w:spacing w:after="0" w:line="256" w:lineRule="auto"/>
              <w:jc w:val="center"/>
              <w:rPr>
                <w:rFonts w:ascii="Times New Roman" w:hAnsi="Times New Roman" w:cs="Times New Roman"/>
                <w:b/>
                <w:bCs/>
                <w:color w:val="000000" w:themeColor="text1"/>
                <w:sz w:val="24"/>
                <w:szCs w:val="24"/>
                <w:lang w:val="en-US"/>
              </w:rPr>
            </w:pPr>
            <w:r w:rsidRPr="00F218A8">
              <w:rPr>
                <w:rFonts w:ascii="Times New Roman" w:hAnsi="Times New Roman" w:cs="Times New Roman"/>
                <w:b/>
                <w:bCs/>
                <w:color w:val="000000" w:themeColor="text1"/>
                <w:sz w:val="24"/>
                <w:szCs w:val="24"/>
              </w:rPr>
              <w:t>n (%)</w:t>
            </w:r>
          </w:p>
        </w:tc>
        <w:tc>
          <w:tcPr>
            <w:tcW w:w="0" w:type="auto"/>
            <w:vMerge/>
            <w:tcBorders>
              <w:top w:val="single" w:sz="4" w:space="0" w:color="auto"/>
              <w:left w:val="nil"/>
              <w:bottom w:val="single" w:sz="4" w:space="0" w:color="auto"/>
              <w:right w:val="nil"/>
            </w:tcBorders>
            <w:shd w:val="clear" w:color="auto" w:fill="FFFFFF" w:themeFill="background1"/>
            <w:vAlign w:val="center"/>
            <w:hideMark/>
          </w:tcPr>
          <w:p w14:paraId="37B52932" w14:textId="77777777" w:rsidR="004A5AFD" w:rsidRPr="00F218A8" w:rsidRDefault="004A5AFD">
            <w:pPr>
              <w:spacing w:after="0" w:line="240" w:lineRule="auto"/>
              <w:rPr>
                <w:rFonts w:ascii="Times New Roman" w:hAnsi="Times New Roman" w:cs="Times New Roman"/>
                <w:color w:val="000000" w:themeColor="text1"/>
                <w:sz w:val="24"/>
                <w:szCs w:val="24"/>
                <w:lang w:val="en-US"/>
              </w:rPr>
            </w:pPr>
          </w:p>
        </w:tc>
        <w:tc>
          <w:tcPr>
            <w:tcW w:w="0" w:type="auto"/>
            <w:vMerge/>
            <w:tcBorders>
              <w:top w:val="single" w:sz="4" w:space="0" w:color="auto"/>
              <w:left w:val="nil"/>
              <w:bottom w:val="single" w:sz="4" w:space="0" w:color="auto"/>
              <w:right w:val="nil"/>
            </w:tcBorders>
            <w:shd w:val="clear" w:color="auto" w:fill="FFFFFF" w:themeFill="background1"/>
            <w:vAlign w:val="center"/>
            <w:hideMark/>
          </w:tcPr>
          <w:p w14:paraId="3BFA2F97" w14:textId="77777777" w:rsidR="004A5AFD" w:rsidRPr="00F218A8" w:rsidRDefault="004A5AFD">
            <w:pPr>
              <w:spacing w:after="0" w:line="240" w:lineRule="auto"/>
              <w:rPr>
                <w:rFonts w:ascii="Times New Roman" w:hAnsi="Times New Roman" w:cs="Times New Roman"/>
                <w:color w:val="000000" w:themeColor="text1"/>
                <w:sz w:val="24"/>
                <w:szCs w:val="24"/>
                <w:lang w:val="en-US"/>
              </w:rPr>
            </w:pPr>
          </w:p>
        </w:tc>
      </w:tr>
      <w:tr w:rsidR="004A5AFD" w:rsidRPr="00F218A8" w14:paraId="0C2AD840" w14:textId="77777777" w:rsidTr="004A5AFD">
        <w:tc>
          <w:tcPr>
            <w:tcW w:w="1572" w:type="pct"/>
            <w:tcBorders>
              <w:top w:val="nil"/>
              <w:left w:val="nil"/>
              <w:bottom w:val="nil"/>
              <w:right w:val="nil"/>
            </w:tcBorders>
            <w:shd w:val="clear" w:color="auto" w:fill="FFFFFF" w:themeFill="background1"/>
            <w:hideMark/>
          </w:tcPr>
          <w:p w14:paraId="19DB253C" w14:textId="77777777" w:rsidR="004A5AFD" w:rsidRPr="00F218A8" w:rsidRDefault="004A5AFD">
            <w:pPr>
              <w:autoSpaceDE w:val="0"/>
              <w:autoSpaceDN w:val="0"/>
              <w:adjustRightInd w:val="0"/>
              <w:spacing w:after="0" w:line="360" w:lineRule="auto"/>
              <w:rPr>
                <w:rFonts w:ascii="Times New Roman" w:hAnsi="Times New Roman" w:cs="Times New Roman"/>
                <w:b/>
                <w:color w:val="000000" w:themeColor="text1"/>
                <w:sz w:val="24"/>
                <w:szCs w:val="24"/>
              </w:rPr>
            </w:pPr>
            <w:r w:rsidRPr="00F218A8">
              <w:rPr>
                <w:rFonts w:ascii="Times New Roman" w:hAnsi="Times New Roman" w:cs="Times New Roman"/>
                <w:b/>
                <w:color w:val="000000" w:themeColor="text1"/>
                <w:sz w:val="24"/>
                <w:szCs w:val="24"/>
              </w:rPr>
              <w:t>Age group (years)</w:t>
            </w:r>
          </w:p>
          <w:p w14:paraId="07302054" w14:textId="77777777" w:rsidR="004A5AFD" w:rsidRPr="00F218A8" w:rsidRDefault="004A5AFD">
            <w:pPr>
              <w:autoSpaceDE w:val="0"/>
              <w:autoSpaceDN w:val="0"/>
              <w:adjustRightInd w:val="0"/>
              <w:spacing w:after="0" w:line="360" w:lineRule="auto"/>
              <w:rPr>
                <w:rFonts w:ascii="Times New Roman" w:hAnsi="Times New Roman" w:cs="Times New Roman"/>
                <w:color w:val="000000" w:themeColor="text1"/>
                <w:sz w:val="24"/>
                <w:szCs w:val="24"/>
              </w:rPr>
            </w:pPr>
            <w:r w:rsidRPr="00F218A8">
              <w:rPr>
                <w:rFonts w:ascii="Times New Roman" w:hAnsi="Times New Roman" w:cs="Times New Roman"/>
                <w:color w:val="000000" w:themeColor="text1"/>
                <w:sz w:val="24"/>
                <w:szCs w:val="24"/>
              </w:rPr>
              <w:t>21-25</w:t>
            </w:r>
          </w:p>
          <w:p w14:paraId="5C54EC76" w14:textId="77777777" w:rsidR="004A5AFD" w:rsidRPr="00F218A8" w:rsidRDefault="004A5AFD">
            <w:pPr>
              <w:autoSpaceDE w:val="0"/>
              <w:autoSpaceDN w:val="0"/>
              <w:adjustRightInd w:val="0"/>
              <w:spacing w:after="0" w:line="360" w:lineRule="auto"/>
              <w:rPr>
                <w:rFonts w:ascii="Times New Roman" w:hAnsi="Times New Roman" w:cs="Times New Roman"/>
                <w:color w:val="000000" w:themeColor="text1"/>
                <w:sz w:val="24"/>
                <w:szCs w:val="24"/>
              </w:rPr>
            </w:pPr>
            <w:r w:rsidRPr="00F218A8">
              <w:rPr>
                <w:rFonts w:ascii="Times New Roman" w:hAnsi="Times New Roman" w:cs="Times New Roman"/>
                <w:color w:val="000000" w:themeColor="text1"/>
                <w:sz w:val="24"/>
                <w:szCs w:val="24"/>
              </w:rPr>
              <w:t>26-30</w:t>
            </w:r>
          </w:p>
          <w:p w14:paraId="410062AE" w14:textId="77777777" w:rsidR="004A5AFD" w:rsidRPr="00F218A8" w:rsidRDefault="004A5AFD">
            <w:pPr>
              <w:autoSpaceDE w:val="0"/>
              <w:autoSpaceDN w:val="0"/>
              <w:adjustRightInd w:val="0"/>
              <w:spacing w:after="0" w:line="360" w:lineRule="auto"/>
              <w:rPr>
                <w:rFonts w:ascii="Times New Roman" w:hAnsi="Times New Roman" w:cs="Times New Roman"/>
                <w:color w:val="000000" w:themeColor="text1"/>
                <w:sz w:val="24"/>
                <w:szCs w:val="24"/>
              </w:rPr>
            </w:pPr>
            <w:r w:rsidRPr="00F218A8">
              <w:rPr>
                <w:rFonts w:ascii="Times New Roman" w:hAnsi="Times New Roman" w:cs="Times New Roman"/>
                <w:color w:val="000000" w:themeColor="text1"/>
                <w:sz w:val="24"/>
                <w:szCs w:val="24"/>
              </w:rPr>
              <w:t>31-35</w:t>
            </w:r>
          </w:p>
          <w:p w14:paraId="46D671B2" w14:textId="77777777" w:rsidR="004A5AFD" w:rsidRPr="00F218A8" w:rsidRDefault="004A5AFD">
            <w:pPr>
              <w:autoSpaceDE w:val="0"/>
              <w:autoSpaceDN w:val="0"/>
              <w:adjustRightInd w:val="0"/>
              <w:spacing w:after="0" w:line="360" w:lineRule="auto"/>
              <w:rPr>
                <w:rFonts w:ascii="Times New Roman" w:hAnsi="Times New Roman" w:cs="Times New Roman"/>
                <w:color w:val="000000" w:themeColor="text1"/>
                <w:sz w:val="24"/>
                <w:szCs w:val="24"/>
              </w:rPr>
            </w:pPr>
            <w:r w:rsidRPr="00F218A8">
              <w:rPr>
                <w:rFonts w:ascii="Times New Roman" w:hAnsi="Times New Roman" w:cs="Times New Roman"/>
                <w:color w:val="000000" w:themeColor="text1"/>
                <w:sz w:val="24"/>
                <w:szCs w:val="24"/>
              </w:rPr>
              <w:t>36-40</w:t>
            </w:r>
          </w:p>
          <w:p w14:paraId="2BD49441" w14:textId="77777777" w:rsidR="004A5AFD" w:rsidRPr="00F218A8" w:rsidRDefault="004A5AFD">
            <w:pPr>
              <w:autoSpaceDE w:val="0"/>
              <w:autoSpaceDN w:val="0"/>
              <w:adjustRightInd w:val="0"/>
              <w:spacing w:after="0" w:line="360" w:lineRule="auto"/>
              <w:rPr>
                <w:rFonts w:ascii="Times New Roman" w:hAnsi="Times New Roman" w:cs="Times New Roman"/>
                <w:color w:val="000000" w:themeColor="text1"/>
                <w:sz w:val="24"/>
                <w:szCs w:val="24"/>
              </w:rPr>
            </w:pPr>
            <w:r w:rsidRPr="00F218A8">
              <w:rPr>
                <w:rFonts w:ascii="Times New Roman" w:hAnsi="Times New Roman" w:cs="Times New Roman"/>
                <w:color w:val="000000" w:themeColor="text1"/>
                <w:sz w:val="24"/>
                <w:szCs w:val="24"/>
              </w:rPr>
              <w:t>&gt;40</w:t>
            </w:r>
          </w:p>
          <w:p w14:paraId="15484C3F" w14:textId="77777777" w:rsidR="004A5AFD" w:rsidRPr="00F218A8" w:rsidRDefault="004A5AFD">
            <w:pPr>
              <w:autoSpaceDE w:val="0"/>
              <w:autoSpaceDN w:val="0"/>
              <w:adjustRightInd w:val="0"/>
              <w:spacing w:after="0" w:line="360" w:lineRule="auto"/>
              <w:rPr>
                <w:rFonts w:ascii="Times New Roman" w:hAnsi="Times New Roman" w:cs="Times New Roman"/>
                <w:color w:val="000000" w:themeColor="text1"/>
                <w:sz w:val="24"/>
                <w:szCs w:val="24"/>
                <w:lang w:val="en-US"/>
              </w:rPr>
            </w:pPr>
            <w:proofErr w:type="spellStart"/>
            <w:r w:rsidRPr="00F218A8">
              <w:rPr>
                <w:rFonts w:ascii="Times New Roman" w:hAnsi="Times New Roman" w:cs="Times New Roman"/>
                <w:color w:val="000000" w:themeColor="text1"/>
                <w:sz w:val="24"/>
                <w:szCs w:val="24"/>
              </w:rPr>
              <w:t>Mean</w:t>
            </w:r>
            <w:r w:rsidRPr="00F218A8">
              <w:rPr>
                <w:rFonts w:asciiTheme="minorEastAsia" w:hAnsiTheme="minorEastAsia" w:cstheme="minorEastAsia"/>
                <w:color w:val="000000" w:themeColor="text1"/>
                <w:sz w:val="24"/>
                <w:szCs w:val="24"/>
              </w:rPr>
              <w:t>±</w:t>
            </w:r>
            <w:r w:rsidRPr="00F218A8">
              <w:rPr>
                <w:rFonts w:ascii="Times New Roman" w:hAnsi="Times New Roman" w:cs="Times New Roman"/>
                <w:color w:val="000000" w:themeColor="text1"/>
                <w:sz w:val="24"/>
                <w:szCs w:val="24"/>
              </w:rPr>
              <w:t>SD</w:t>
            </w:r>
            <w:proofErr w:type="spellEnd"/>
          </w:p>
        </w:tc>
        <w:tc>
          <w:tcPr>
            <w:tcW w:w="904" w:type="pct"/>
            <w:tcBorders>
              <w:top w:val="nil"/>
              <w:left w:val="nil"/>
              <w:bottom w:val="nil"/>
              <w:right w:val="nil"/>
            </w:tcBorders>
            <w:shd w:val="clear" w:color="auto" w:fill="FFFFFF" w:themeFill="background1"/>
          </w:tcPr>
          <w:p w14:paraId="11A1BD12"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04DF0727"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sidRPr="00F218A8">
              <w:rPr>
                <w:rFonts w:ascii="Times New Roman" w:hAnsi="Times New Roman" w:cs="Times New Roman"/>
                <w:color w:val="000000" w:themeColor="text1"/>
                <w:sz w:val="24"/>
                <w:szCs w:val="24"/>
              </w:rPr>
              <w:t>12(18.5)</w:t>
            </w:r>
          </w:p>
          <w:p w14:paraId="7B220BB3"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sidRPr="00F218A8">
              <w:rPr>
                <w:rFonts w:ascii="Times New Roman" w:hAnsi="Times New Roman" w:cs="Times New Roman"/>
                <w:color w:val="000000" w:themeColor="text1"/>
                <w:sz w:val="24"/>
                <w:szCs w:val="24"/>
              </w:rPr>
              <w:t>20(30.8)</w:t>
            </w:r>
          </w:p>
          <w:p w14:paraId="6427DC7E"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sidRPr="00F218A8">
              <w:rPr>
                <w:rFonts w:ascii="Times New Roman" w:hAnsi="Times New Roman" w:cs="Times New Roman"/>
                <w:color w:val="000000" w:themeColor="text1"/>
                <w:sz w:val="24"/>
                <w:szCs w:val="24"/>
              </w:rPr>
              <w:t>16(24.6)</w:t>
            </w:r>
          </w:p>
          <w:p w14:paraId="6842C163"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sidRPr="00F218A8">
              <w:rPr>
                <w:rFonts w:ascii="Times New Roman" w:hAnsi="Times New Roman" w:cs="Times New Roman"/>
                <w:color w:val="000000" w:themeColor="text1"/>
                <w:sz w:val="24"/>
                <w:szCs w:val="24"/>
              </w:rPr>
              <w:t>11(16.9)</w:t>
            </w:r>
          </w:p>
          <w:p w14:paraId="6401D738"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sidRPr="00F218A8">
              <w:rPr>
                <w:rFonts w:ascii="Times New Roman" w:hAnsi="Times New Roman" w:cs="Times New Roman"/>
                <w:color w:val="000000" w:themeColor="text1"/>
                <w:sz w:val="24"/>
                <w:szCs w:val="24"/>
              </w:rPr>
              <w:t>6(9.2)</w:t>
            </w:r>
          </w:p>
          <w:p w14:paraId="35AA5A88"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sidRPr="00F218A8">
              <w:rPr>
                <w:rFonts w:ascii="Times New Roman" w:hAnsi="Times New Roman" w:cs="Times New Roman"/>
                <w:color w:val="000000" w:themeColor="text1"/>
                <w:sz w:val="24"/>
                <w:szCs w:val="24"/>
              </w:rPr>
              <w:t>31.97</w:t>
            </w:r>
            <w:r w:rsidRPr="00F218A8">
              <w:rPr>
                <w:rFonts w:asciiTheme="minorEastAsia" w:hAnsiTheme="minorEastAsia" w:cstheme="minorEastAsia"/>
                <w:color w:val="000000" w:themeColor="text1"/>
                <w:sz w:val="24"/>
                <w:szCs w:val="24"/>
              </w:rPr>
              <w:t>±</w:t>
            </w:r>
            <w:r w:rsidRPr="00F218A8">
              <w:rPr>
                <w:rFonts w:asciiTheme="minorEastAsia" w:hAnsiTheme="minorEastAsia" w:cstheme="minorEastAsia" w:hint="eastAsia"/>
                <w:color w:val="000000" w:themeColor="text1"/>
                <w:sz w:val="24"/>
                <w:szCs w:val="24"/>
              </w:rPr>
              <w:t>6.0</w:t>
            </w:r>
          </w:p>
        </w:tc>
        <w:tc>
          <w:tcPr>
            <w:tcW w:w="762" w:type="pct"/>
            <w:tcBorders>
              <w:top w:val="nil"/>
              <w:left w:val="nil"/>
              <w:bottom w:val="nil"/>
              <w:right w:val="nil"/>
            </w:tcBorders>
            <w:shd w:val="clear" w:color="auto" w:fill="FFFFFF" w:themeFill="background1"/>
          </w:tcPr>
          <w:p w14:paraId="635FEF6B"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7270B7CE"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sidRPr="00F218A8">
              <w:rPr>
                <w:rFonts w:ascii="Times New Roman" w:hAnsi="Times New Roman" w:cs="Times New Roman"/>
                <w:color w:val="000000" w:themeColor="text1"/>
                <w:sz w:val="24"/>
                <w:szCs w:val="24"/>
              </w:rPr>
              <w:t>12(18.5)</w:t>
            </w:r>
          </w:p>
          <w:p w14:paraId="6948552A"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sidRPr="00F218A8">
              <w:rPr>
                <w:rFonts w:ascii="Times New Roman" w:hAnsi="Times New Roman" w:cs="Times New Roman"/>
                <w:color w:val="000000" w:themeColor="text1"/>
                <w:sz w:val="24"/>
                <w:szCs w:val="24"/>
              </w:rPr>
              <w:t>20(30.8)</w:t>
            </w:r>
          </w:p>
          <w:p w14:paraId="16F82BDD"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sidRPr="00F218A8">
              <w:rPr>
                <w:rFonts w:ascii="Times New Roman" w:hAnsi="Times New Roman" w:cs="Times New Roman"/>
                <w:color w:val="000000" w:themeColor="text1"/>
                <w:sz w:val="24"/>
                <w:szCs w:val="24"/>
              </w:rPr>
              <w:t>16(24.6)</w:t>
            </w:r>
          </w:p>
          <w:p w14:paraId="49B77D93"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sidRPr="00F218A8">
              <w:rPr>
                <w:rFonts w:ascii="Times New Roman" w:hAnsi="Times New Roman" w:cs="Times New Roman"/>
                <w:color w:val="000000" w:themeColor="text1"/>
                <w:sz w:val="24"/>
                <w:szCs w:val="24"/>
              </w:rPr>
              <w:t>11(16.9)</w:t>
            </w:r>
          </w:p>
          <w:p w14:paraId="1F594466"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sidRPr="00F218A8">
              <w:rPr>
                <w:rFonts w:ascii="Times New Roman" w:hAnsi="Times New Roman" w:cs="Times New Roman"/>
                <w:color w:val="000000" w:themeColor="text1"/>
                <w:sz w:val="24"/>
                <w:szCs w:val="24"/>
              </w:rPr>
              <w:t>6(9.2)</w:t>
            </w:r>
          </w:p>
          <w:p w14:paraId="3EA1C848"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sidRPr="00F218A8">
              <w:rPr>
                <w:rFonts w:ascii="Times New Roman" w:hAnsi="Times New Roman" w:cs="Times New Roman"/>
                <w:color w:val="000000" w:themeColor="text1"/>
                <w:sz w:val="24"/>
                <w:szCs w:val="24"/>
              </w:rPr>
              <w:t>31.63</w:t>
            </w:r>
            <w:r w:rsidRPr="00F218A8">
              <w:rPr>
                <w:rFonts w:asciiTheme="minorEastAsia" w:hAnsiTheme="minorEastAsia" w:cstheme="minorEastAsia"/>
                <w:color w:val="000000" w:themeColor="text1"/>
                <w:sz w:val="24"/>
                <w:szCs w:val="24"/>
              </w:rPr>
              <w:t>±</w:t>
            </w:r>
            <w:r w:rsidRPr="00F218A8">
              <w:rPr>
                <w:rFonts w:asciiTheme="minorEastAsia" w:hAnsiTheme="minorEastAsia" w:cstheme="minorEastAsia" w:hint="eastAsia"/>
                <w:color w:val="000000" w:themeColor="text1"/>
                <w:sz w:val="24"/>
                <w:szCs w:val="24"/>
              </w:rPr>
              <w:t>5.0</w:t>
            </w:r>
          </w:p>
        </w:tc>
        <w:tc>
          <w:tcPr>
            <w:tcW w:w="719" w:type="pct"/>
            <w:tcBorders>
              <w:top w:val="nil"/>
              <w:left w:val="nil"/>
              <w:bottom w:val="nil"/>
              <w:right w:val="nil"/>
            </w:tcBorders>
            <w:shd w:val="clear" w:color="auto" w:fill="FFFFFF" w:themeFill="background1"/>
          </w:tcPr>
          <w:p w14:paraId="5F8D5A15"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4CC5AEFF"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sidRPr="00F218A8">
              <w:rPr>
                <w:rFonts w:ascii="Times New Roman" w:hAnsi="Times New Roman" w:cs="Times New Roman"/>
                <w:color w:val="000000" w:themeColor="text1"/>
                <w:sz w:val="24"/>
                <w:szCs w:val="24"/>
              </w:rPr>
              <w:t>24(18.5)</w:t>
            </w:r>
          </w:p>
          <w:p w14:paraId="56D73E88"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sidRPr="00F218A8">
              <w:rPr>
                <w:rFonts w:ascii="Times New Roman" w:hAnsi="Times New Roman" w:cs="Times New Roman"/>
                <w:color w:val="000000" w:themeColor="text1"/>
                <w:sz w:val="24"/>
                <w:szCs w:val="24"/>
              </w:rPr>
              <w:t>40(30.8)</w:t>
            </w:r>
          </w:p>
          <w:p w14:paraId="1A86D5B4"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sidRPr="00F218A8">
              <w:rPr>
                <w:rFonts w:ascii="Times New Roman" w:hAnsi="Times New Roman" w:cs="Times New Roman"/>
                <w:color w:val="000000" w:themeColor="text1"/>
                <w:sz w:val="24"/>
                <w:szCs w:val="24"/>
              </w:rPr>
              <w:t>32(24.6)</w:t>
            </w:r>
          </w:p>
          <w:p w14:paraId="41C11C41"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sidRPr="00F218A8">
              <w:rPr>
                <w:rFonts w:ascii="Times New Roman" w:hAnsi="Times New Roman" w:cs="Times New Roman"/>
                <w:color w:val="000000" w:themeColor="text1"/>
                <w:sz w:val="24"/>
                <w:szCs w:val="24"/>
              </w:rPr>
              <w:t>22(16.9)</w:t>
            </w:r>
          </w:p>
          <w:p w14:paraId="2865B67E"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sidRPr="00F218A8">
              <w:rPr>
                <w:rFonts w:ascii="Times New Roman" w:hAnsi="Times New Roman" w:cs="Times New Roman"/>
                <w:color w:val="000000" w:themeColor="text1"/>
                <w:sz w:val="24"/>
                <w:szCs w:val="24"/>
              </w:rPr>
              <w:t>12(9.2)</w:t>
            </w:r>
          </w:p>
        </w:tc>
        <w:tc>
          <w:tcPr>
            <w:tcW w:w="519" w:type="pct"/>
            <w:tcBorders>
              <w:top w:val="nil"/>
              <w:left w:val="nil"/>
              <w:bottom w:val="nil"/>
              <w:right w:val="nil"/>
            </w:tcBorders>
            <w:shd w:val="clear" w:color="auto" w:fill="FFFFFF" w:themeFill="background1"/>
          </w:tcPr>
          <w:p w14:paraId="6116C12F"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40FE17DE"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sidRPr="00F218A8">
              <w:rPr>
                <w:rFonts w:ascii="Times New Roman" w:hAnsi="Times New Roman" w:cs="Times New Roman"/>
                <w:color w:val="000000" w:themeColor="text1"/>
                <w:sz w:val="24"/>
                <w:szCs w:val="24"/>
              </w:rPr>
              <w:t>0.000</w:t>
            </w:r>
          </w:p>
          <w:p w14:paraId="6EE679C9"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1ADB0191"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5ED7E0BB"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1AD54399"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028EFA03"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sidRPr="00F218A8">
              <w:rPr>
                <w:rFonts w:ascii="Times New Roman" w:hAnsi="Times New Roman" w:cs="Times New Roman"/>
                <w:color w:val="000000" w:themeColor="text1"/>
                <w:sz w:val="24"/>
                <w:szCs w:val="24"/>
              </w:rPr>
              <w:t>0.347*</w:t>
            </w:r>
          </w:p>
        </w:tc>
        <w:tc>
          <w:tcPr>
            <w:tcW w:w="524" w:type="pct"/>
            <w:tcBorders>
              <w:top w:val="nil"/>
              <w:left w:val="nil"/>
              <w:bottom w:val="nil"/>
              <w:right w:val="nil"/>
            </w:tcBorders>
            <w:shd w:val="clear" w:color="auto" w:fill="FFFFFF" w:themeFill="background1"/>
          </w:tcPr>
          <w:p w14:paraId="4219E5C2" w14:textId="77777777" w:rsidR="004A5AFD" w:rsidRPr="00F218A8" w:rsidRDefault="004A5AFD">
            <w:pPr>
              <w:autoSpaceDE w:val="0"/>
              <w:autoSpaceDN w:val="0"/>
              <w:adjustRightInd w:val="0"/>
              <w:spacing w:after="0" w:line="360" w:lineRule="auto"/>
              <w:jc w:val="center"/>
              <w:rPr>
                <w:rFonts w:ascii="Times New Roman" w:hAnsi="Times New Roman" w:cs="Times New Roman"/>
                <w:bCs/>
                <w:color w:val="000000" w:themeColor="text1"/>
                <w:sz w:val="24"/>
                <w:szCs w:val="24"/>
              </w:rPr>
            </w:pPr>
          </w:p>
          <w:p w14:paraId="769024CF" w14:textId="77777777" w:rsidR="004A5AFD" w:rsidRPr="00F218A8" w:rsidRDefault="004A5AFD">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F218A8">
              <w:rPr>
                <w:rFonts w:ascii="Times New Roman" w:hAnsi="Times New Roman" w:cs="Times New Roman"/>
                <w:bCs/>
                <w:color w:val="000000" w:themeColor="text1"/>
                <w:sz w:val="24"/>
                <w:szCs w:val="24"/>
              </w:rPr>
              <w:t>1.000</w:t>
            </w:r>
          </w:p>
          <w:p w14:paraId="12E1082C" w14:textId="77777777" w:rsidR="004A5AFD" w:rsidRPr="00F218A8" w:rsidRDefault="004A5AFD">
            <w:pPr>
              <w:autoSpaceDE w:val="0"/>
              <w:autoSpaceDN w:val="0"/>
              <w:adjustRightInd w:val="0"/>
              <w:spacing w:after="0" w:line="360" w:lineRule="auto"/>
              <w:jc w:val="center"/>
              <w:rPr>
                <w:rFonts w:ascii="Times New Roman" w:hAnsi="Times New Roman" w:cs="Times New Roman"/>
                <w:bCs/>
                <w:color w:val="000000" w:themeColor="text1"/>
                <w:sz w:val="24"/>
                <w:szCs w:val="24"/>
              </w:rPr>
            </w:pPr>
          </w:p>
          <w:p w14:paraId="5E0333E8" w14:textId="77777777" w:rsidR="004A5AFD" w:rsidRPr="00F218A8" w:rsidRDefault="004A5AFD">
            <w:pPr>
              <w:autoSpaceDE w:val="0"/>
              <w:autoSpaceDN w:val="0"/>
              <w:adjustRightInd w:val="0"/>
              <w:spacing w:after="0" w:line="360" w:lineRule="auto"/>
              <w:jc w:val="center"/>
              <w:rPr>
                <w:rFonts w:ascii="Times New Roman" w:hAnsi="Times New Roman" w:cs="Times New Roman"/>
                <w:bCs/>
                <w:color w:val="000000" w:themeColor="text1"/>
                <w:sz w:val="24"/>
                <w:szCs w:val="24"/>
              </w:rPr>
            </w:pPr>
          </w:p>
          <w:p w14:paraId="3BEB46C3" w14:textId="77777777" w:rsidR="004A5AFD" w:rsidRPr="00F218A8" w:rsidRDefault="004A5AFD">
            <w:pPr>
              <w:autoSpaceDE w:val="0"/>
              <w:autoSpaceDN w:val="0"/>
              <w:adjustRightInd w:val="0"/>
              <w:spacing w:after="0" w:line="360" w:lineRule="auto"/>
              <w:jc w:val="center"/>
              <w:rPr>
                <w:rFonts w:ascii="Times New Roman" w:hAnsi="Times New Roman" w:cs="Times New Roman"/>
                <w:bCs/>
                <w:color w:val="000000" w:themeColor="text1"/>
                <w:sz w:val="24"/>
                <w:szCs w:val="24"/>
              </w:rPr>
            </w:pPr>
          </w:p>
          <w:p w14:paraId="4C068DDE" w14:textId="77777777" w:rsidR="004A5AFD" w:rsidRPr="00F218A8" w:rsidRDefault="004A5AFD">
            <w:pPr>
              <w:autoSpaceDE w:val="0"/>
              <w:autoSpaceDN w:val="0"/>
              <w:adjustRightInd w:val="0"/>
              <w:spacing w:after="0" w:line="360" w:lineRule="auto"/>
              <w:jc w:val="center"/>
              <w:rPr>
                <w:rFonts w:ascii="Times New Roman" w:hAnsi="Times New Roman" w:cs="Times New Roman"/>
                <w:bCs/>
                <w:color w:val="000000" w:themeColor="text1"/>
                <w:sz w:val="24"/>
                <w:szCs w:val="24"/>
              </w:rPr>
            </w:pPr>
          </w:p>
          <w:p w14:paraId="327D4E1F" w14:textId="77777777" w:rsidR="004A5AFD" w:rsidRPr="00F218A8" w:rsidRDefault="004A5AFD">
            <w:pPr>
              <w:autoSpaceDE w:val="0"/>
              <w:autoSpaceDN w:val="0"/>
              <w:adjustRightInd w:val="0"/>
              <w:spacing w:after="0" w:line="360" w:lineRule="auto"/>
              <w:jc w:val="center"/>
              <w:rPr>
                <w:rFonts w:ascii="Times New Roman" w:hAnsi="Times New Roman" w:cs="Times New Roman"/>
                <w:bCs/>
                <w:color w:val="000000" w:themeColor="text1"/>
                <w:sz w:val="24"/>
                <w:szCs w:val="24"/>
                <w:lang w:val="en-US"/>
              </w:rPr>
            </w:pPr>
            <w:r w:rsidRPr="00F218A8">
              <w:rPr>
                <w:rFonts w:ascii="Times New Roman" w:hAnsi="Times New Roman" w:cs="Times New Roman"/>
                <w:bCs/>
                <w:color w:val="000000" w:themeColor="text1"/>
                <w:sz w:val="24"/>
                <w:szCs w:val="24"/>
              </w:rPr>
              <w:t>0.729</w:t>
            </w:r>
          </w:p>
        </w:tc>
      </w:tr>
      <w:tr w:rsidR="004A5AFD" w:rsidRPr="00F218A8" w14:paraId="1A65979C" w14:textId="77777777" w:rsidTr="004A5AFD">
        <w:tc>
          <w:tcPr>
            <w:tcW w:w="1572" w:type="pct"/>
            <w:tcBorders>
              <w:top w:val="nil"/>
              <w:left w:val="nil"/>
              <w:bottom w:val="nil"/>
              <w:right w:val="nil"/>
            </w:tcBorders>
            <w:shd w:val="clear" w:color="auto" w:fill="FFFFFF" w:themeFill="background1"/>
            <w:hideMark/>
          </w:tcPr>
          <w:p w14:paraId="62B6D2AF" w14:textId="77777777" w:rsidR="004A5AFD" w:rsidRPr="00F218A8" w:rsidRDefault="004A5AFD">
            <w:pPr>
              <w:autoSpaceDE w:val="0"/>
              <w:autoSpaceDN w:val="0"/>
              <w:adjustRightInd w:val="0"/>
              <w:spacing w:after="0" w:line="360" w:lineRule="auto"/>
              <w:rPr>
                <w:rFonts w:ascii="Times New Roman" w:hAnsi="Times New Roman" w:cs="Times New Roman"/>
                <w:b/>
                <w:color w:val="000000" w:themeColor="text1"/>
                <w:sz w:val="24"/>
                <w:szCs w:val="24"/>
              </w:rPr>
            </w:pPr>
            <w:r w:rsidRPr="00F218A8">
              <w:rPr>
                <w:rFonts w:ascii="Times New Roman" w:hAnsi="Times New Roman" w:cs="Times New Roman"/>
                <w:b/>
                <w:color w:val="000000" w:themeColor="text1"/>
                <w:sz w:val="24"/>
                <w:szCs w:val="24"/>
              </w:rPr>
              <w:t>Educational level</w:t>
            </w:r>
          </w:p>
          <w:p w14:paraId="1ABD6FB3" w14:textId="77777777" w:rsidR="004A5AFD" w:rsidRPr="00F218A8" w:rsidRDefault="004A5AFD">
            <w:pPr>
              <w:autoSpaceDE w:val="0"/>
              <w:autoSpaceDN w:val="0"/>
              <w:adjustRightInd w:val="0"/>
              <w:spacing w:after="0" w:line="360" w:lineRule="auto"/>
              <w:rPr>
                <w:rFonts w:ascii="Times New Roman" w:hAnsi="Times New Roman" w:cs="Times New Roman"/>
                <w:bCs/>
                <w:color w:val="000000" w:themeColor="text1"/>
                <w:sz w:val="24"/>
                <w:szCs w:val="24"/>
              </w:rPr>
            </w:pPr>
            <w:r w:rsidRPr="00F218A8">
              <w:rPr>
                <w:rFonts w:ascii="Times New Roman" w:hAnsi="Times New Roman" w:cs="Times New Roman"/>
                <w:bCs/>
                <w:color w:val="000000" w:themeColor="text1"/>
                <w:sz w:val="24"/>
                <w:szCs w:val="24"/>
              </w:rPr>
              <w:t>Primary</w:t>
            </w:r>
          </w:p>
          <w:p w14:paraId="7072DD9F" w14:textId="77777777" w:rsidR="004A5AFD" w:rsidRPr="00F218A8" w:rsidRDefault="004A5AFD">
            <w:pPr>
              <w:autoSpaceDE w:val="0"/>
              <w:autoSpaceDN w:val="0"/>
              <w:adjustRightInd w:val="0"/>
              <w:spacing w:after="0" w:line="360" w:lineRule="auto"/>
              <w:rPr>
                <w:rFonts w:ascii="Times New Roman" w:hAnsi="Times New Roman" w:cs="Times New Roman"/>
                <w:bCs/>
                <w:color w:val="000000" w:themeColor="text1"/>
                <w:sz w:val="24"/>
                <w:szCs w:val="24"/>
              </w:rPr>
            </w:pPr>
            <w:r w:rsidRPr="00F218A8">
              <w:rPr>
                <w:rFonts w:ascii="Times New Roman" w:hAnsi="Times New Roman" w:cs="Times New Roman"/>
                <w:bCs/>
                <w:color w:val="000000" w:themeColor="text1"/>
                <w:sz w:val="24"/>
                <w:szCs w:val="24"/>
              </w:rPr>
              <w:t>Secondary</w:t>
            </w:r>
          </w:p>
          <w:p w14:paraId="01AD146D" w14:textId="77777777" w:rsidR="004A5AFD" w:rsidRPr="00F218A8" w:rsidRDefault="004A5AFD">
            <w:pPr>
              <w:autoSpaceDE w:val="0"/>
              <w:autoSpaceDN w:val="0"/>
              <w:adjustRightInd w:val="0"/>
              <w:spacing w:after="0" w:line="360" w:lineRule="auto"/>
              <w:rPr>
                <w:rFonts w:ascii="Times New Roman" w:hAnsi="Times New Roman" w:cs="Times New Roman"/>
                <w:bCs/>
                <w:color w:val="000000" w:themeColor="text1"/>
                <w:sz w:val="24"/>
                <w:szCs w:val="24"/>
                <w:lang w:val="en-US"/>
              </w:rPr>
            </w:pPr>
            <w:r w:rsidRPr="00F218A8">
              <w:rPr>
                <w:rFonts w:ascii="Times New Roman" w:hAnsi="Times New Roman" w:cs="Times New Roman"/>
                <w:bCs/>
                <w:color w:val="000000" w:themeColor="text1"/>
                <w:sz w:val="24"/>
                <w:szCs w:val="24"/>
              </w:rPr>
              <w:t>Tertiary</w:t>
            </w:r>
          </w:p>
        </w:tc>
        <w:tc>
          <w:tcPr>
            <w:tcW w:w="904" w:type="pct"/>
            <w:tcBorders>
              <w:top w:val="nil"/>
              <w:left w:val="nil"/>
              <w:bottom w:val="nil"/>
              <w:right w:val="nil"/>
            </w:tcBorders>
            <w:shd w:val="clear" w:color="auto" w:fill="FFFFFF" w:themeFill="background1"/>
          </w:tcPr>
          <w:p w14:paraId="67F55038"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49135E25"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sidRPr="00F218A8">
              <w:rPr>
                <w:rFonts w:ascii="Times New Roman" w:hAnsi="Times New Roman" w:cs="Times New Roman"/>
                <w:color w:val="000000" w:themeColor="text1"/>
                <w:sz w:val="24"/>
                <w:szCs w:val="24"/>
              </w:rPr>
              <w:t>10(15.4)</w:t>
            </w:r>
          </w:p>
          <w:p w14:paraId="070F8E35"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sidRPr="00F218A8">
              <w:rPr>
                <w:rFonts w:ascii="Times New Roman" w:hAnsi="Times New Roman" w:cs="Times New Roman"/>
                <w:color w:val="000000" w:themeColor="text1"/>
                <w:sz w:val="24"/>
                <w:szCs w:val="24"/>
              </w:rPr>
              <w:t>21(32.3)</w:t>
            </w:r>
          </w:p>
          <w:p w14:paraId="7ACF35C8"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sidRPr="00F218A8">
              <w:rPr>
                <w:rFonts w:ascii="Times New Roman" w:hAnsi="Times New Roman" w:cs="Times New Roman"/>
                <w:color w:val="000000" w:themeColor="text1"/>
                <w:sz w:val="24"/>
                <w:szCs w:val="24"/>
              </w:rPr>
              <w:t>34(52.3)</w:t>
            </w:r>
          </w:p>
        </w:tc>
        <w:tc>
          <w:tcPr>
            <w:tcW w:w="762" w:type="pct"/>
            <w:tcBorders>
              <w:top w:val="nil"/>
              <w:left w:val="nil"/>
              <w:bottom w:val="nil"/>
              <w:right w:val="nil"/>
            </w:tcBorders>
            <w:shd w:val="clear" w:color="auto" w:fill="FFFFFF" w:themeFill="background1"/>
          </w:tcPr>
          <w:p w14:paraId="7A4F3223"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4B436BEA"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sidRPr="00F218A8">
              <w:rPr>
                <w:rFonts w:ascii="Times New Roman" w:hAnsi="Times New Roman" w:cs="Times New Roman"/>
                <w:color w:val="000000" w:themeColor="text1"/>
                <w:sz w:val="24"/>
                <w:szCs w:val="24"/>
              </w:rPr>
              <w:t>15(23.1)</w:t>
            </w:r>
          </w:p>
          <w:p w14:paraId="748FCBF1"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sidRPr="00F218A8">
              <w:rPr>
                <w:rFonts w:ascii="Times New Roman" w:hAnsi="Times New Roman" w:cs="Times New Roman"/>
                <w:color w:val="000000" w:themeColor="text1"/>
                <w:sz w:val="24"/>
                <w:szCs w:val="24"/>
              </w:rPr>
              <w:t>12(18.5)</w:t>
            </w:r>
          </w:p>
          <w:p w14:paraId="4B8FD7E2"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sidRPr="00F218A8">
              <w:rPr>
                <w:rFonts w:ascii="Times New Roman" w:hAnsi="Times New Roman" w:cs="Times New Roman"/>
                <w:color w:val="000000" w:themeColor="text1"/>
                <w:sz w:val="24"/>
                <w:szCs w:val="24"/>
              </w:rPr>
              <w:t>38(58.5)</w:t>
            </w:r>
          </w:p>
        </w:tc>
        <w:tc>
          <w:tcPr>
            <w:tcW w:w="719" w:type="pct"/>
            <w:tcBorders>
              <w:top w:val="nil"/>
              <w:left w:val="nil"/>
              <w:bottom w:val="nil"/>
              <w:right w:val="nil"/>
            </w:tcBorders>
            <w:shd w:val="clear" w:color="auto" w:fill="FFFFFF" w:themeFill="background1"/>
          </w:tcPr>
          <w:p w14:paraId="6859D257"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58E73A42"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sidRPr="00F218A8">
              <w:rPr>
                <w:rFonts w:ascii="Times New Roman" w:hAnsi="Times New Roman" w:cs="Times New Roman"/>
                <w:color w:val="000000" w:themeColor="text1"/>
                <w:sz w:val="24"/>
                <w:szCs w:val="24"/>
              </w:rPr>
              <w:t>25(19.2)</w:t>
            </w:r>
          </w:p>
          <w:p w14:paraId="39B2C9F9"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sidRPr="00F218A8">
              <w:rPr>
                <w:rFonts w:ascii="Times New Roman" w:hAnsi="Times New Roman" w:cs="Times New Roman"/>
                <w:color w:val="000000" w:themeColor="text1"/>
                <w:sz w:val="24"/>
                <w:szCs w:val="24"/>
              </w:rPr>
              <w:t>33(25.4)</w:t>
            </w:r>
          </w:p>
          <w:p w14:paraId="1AFB20B0"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sidRPr="00F218A8">
              <w:rPr>
                <w:rFonts w:ascii="Times New Roman" w:hAnsi="Times New Roman" w:cs="Times New Roman"/>
                <w:color w:val="000000" w:themeColor="text1"/>
                <w:sz w:val="24"/>
                <w:szCs w:val="24"/>
              </w:rPr>
              <w:t>72(55.4)</w:t>
            </w:r>
          </w:p>
        </w:tc>
        <w:tc>
          <w:tcPr>
            <w:tcW w:w="519" w:type="pct"/>
            <w:tcBorders>
              <w:top w:val="nil"/>
              <w:left w:val="nil"/>
              <w:bottom w:val="nil"/>
              <w:right w:val="nil"/>
            </w:tcBorders>
            <w:shd w:val="clear" w:color="auto" w:fill="FFFFFF" w:themeFill="background1"/>
          </w:tcPr>
          <w:p w14:paraId="2F21C180"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3D0922DE"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sidRPr="00F218A8">
              <w:rPr>
                <w:rFonts w:ascii="Times New Roman" w:hAnsi="Times New Roman" w:cs="Times New Roman"/>
                <w:color w:val="000000" w:themeColor="text1"/>
                <w:sz w:val="24"/>
                <w:szCs w:val="24"/>
              </w:rPr>
              <w:t>3.677</w:t>
            </w:r>
          </w:p>
        </w:tc>
        <w:tc>
          <w:tcPr>
            <w:tcW w:w="524" w:type="pct"/>
            <w:tcBorders>
              <w:top w:val="nil"/>
              <w:left w:val="nil"/>
              <w:bottom w:val="nil"/>
              <w:right w:val="nil"/>
            </w:tcBorders>
            <w:shd w:val="clear" w:color="auto" w:fill="FFFFFF" w:themeFill="background1"/>
          </w:tcPr>
          <w:p w14:paraId="228B708C" w14:textId="77777777" w:rsidR="004A5AFD" w:rsidRPr="00F218A8" w:rsidRDefault="004A5AFD">
            <w:pPr>
              <w:autoSpaceDE w:val="0"/>
              <w:autoSpaceDN w:val="0"/>
              <w:adjustRightInd w:val="0"/>
              <w:spacing w:after="0" w:line="360" w:lineRule="auto"/>
              <w:jc w:val="center"/>
              <w:rPr>
                <w:rFonts w:ascii="Times New Roman" w:hAnsi="Times New Roman" w:cs="Times New Roman"/>
                <w:bCs/>
                <w:color w:val="000000" w:themeColor="text1"/>
                <w:sz w:val="24"/>
                <w:szCs w:val="24"/>
              </w:rPr>
            </w:pPr>
          </w:p>
          <w:p w14:paraId="5A6972CA" w14:textId="77777777" w:rsidR="004A5AFD" w:rsidRPr="00F218A8" w:rsidRDefault="004A5AFD">
            <w:pPr>
              <w:autoSpaceDE w:val="0"/>
              <w:autoSpaceDN w:val="0"/>
              <w:adjustRightInd w:val="0"/>
              <w:spacing w:after="0" w:line="360" w:lineRule="auto"/>
              <w:jc w:val="center"/>
              <w:rPr>
                <w:rFonts w:ascii="Times New Roman" w:hAnsi="Times New Roman" w:cs="Times New Roman"/>
                <w:bCs/>
                <w:color w:val="000000" w:themeColor="text1"/>
                <w:sz w:val="24"/>
                <w:szCs w:val="24"/>
                <w:lang w:val="en-US"/>
              </w:rPr>
            </w:pPr>
            <w:r w:rsidRPr="00F218A8">
              <w:rPr>
                <w:rFonts w:ascii="Times New Roman" w:hAnsi="Times New Roman" w:cs="Times New Roman"/>
                <w:bCs/>
                <w:color w:val="000000" w:themeColor="text1"/>
                <w:sz w:val="24"/>
                <w:szCs w:val="24"/>
              </w:rPr>
              <w:t>0.159</w:t>
            </w:r>
          </w:p>
        </w:tc>
      </w:tr>
      <w:tr w:rsidR="004A5AFD" w:rsidRPr="00F218A8" w14:paraId="392D943A" w14:textId="77777777" w:rsidTr="004A5AFD">
        <w:tc>
          <w:tcPr>
            <w:tcW w:w="1572" w:type="pct"/>
            <w:tcBorders>
              <w:top w:val="nil"/>
              <w:left w:val="nil"/>
              <w:bottom w:val="nil"/>
              <w:right w:val="nil"/>
            </w:tcBorders>
            <w:shd w:val="clear" w:color="auto" w:fill="FFFFFF" w:themeFill="background1"/>
            <w:hideMark/>
          </w:tcPr>
          <w:p w14:paraId="4676088C" w14:textId="77777777" w:rsidR="004A5AFD" w:rsidRPr="00F218A8" w:rsidRDefault="004A5AFD">
            <w:pPr>
              <w:autoSpaceDE w:val="0"/>
              <w:autoSpaceDN w:val="0"/>
              <w:adjustRightInd w:val="0"/>
              <w:spacing w:after="0" w:line="360" w:lineRule="auto"/>
              <w:rPr>
                <w:rFonts w:ascii="Times New Roman" w:hAnsi="Times New Roman" w:cs="Times New Roman"/>
                <w:b/>
                <w:color w:val="000000" w:themeColor="text1"/>
                <w:sz w:val="24"/>
                <w:szCs w:val="24"/>
              </w:rPr>
            </w:pPr>
            <w:r w:rsidRPr="00F218A8">
              <w:rPr>
                <w:rFonts w:ascii="Times New Roman" w:hAnsi="Times New Roman" w:cs="Times New Roman"/>
                <w:b/>
                <w:color w:val="000000" w:themeColor="text1"/>
                <w:sz w:val="24"/>
                <w:szCs w:val="24"/>
              </w:rPr>
              <w:t>Religion</w:t>
            </w:r>
          </w:p>
          <w:p w14:paraId="3932CAA3" w14:textId="77777777" w:rsidR="004A5AFD" w:rsidRPr="00F218A8" w:rsidRDefault="004A5AFD">
            <w:pPr>
              <w:autoSpaceDE w:val="0"/>
              <w:autoSpaceDN w:val="0"/>
              <w:adjustRightInd w:val="0"/>
              <w:spacing w:after="0" w:line="360" w:lineRule="auto"/>
              <w:rPr>
                <w:rFonts w:ascii="Times New Roman" w:hAnsi="Times New Roman" w:cs="Times New Roman"/>
                <w:bCs/>
                <w:color w:val="000000" w:themeColor="text1"/>
                <w:sz w:val="24"/>
                <w:szCs w:val="24"/>
              </w:rPr>
            </w:pPr>
            <w:r w:rsidRPr="00F218A8">
              <w:rPr>
                <w:rFonts w:ascii="Times New Roman" w:hAnsi="Times New Roman" w:cs="Times New Roman"/>
                <w:bCs/>
                <w:color w:val="000000" w:themeColor="text1"/>
                <w:sz w:val="24"/>
                <w:szCs w:val="24"/>
              </w:rPr>
              <w:t>Christianity</w:t>
            </w:r>
          </w:p>
          <w:p w14:paraId="6C9498A4" w14:textId="77777777" w:rsidR="004A5AFD" w:rsidRPr="00F218A8" w:rsidRDefault="004A5AFD">
            <w:pPr>
              <w:autoSpaceDE w:val="0"/>
              <w:autoSpaceDN w:val="0"/>
              <w:adjustRightInd w:val="0"/>
              <w:spacing w:after="0" w:line="360" w:lineRule="auto"/>
              <w:rPr>
                <w:rFonts w:ascii="Times New Roman" w:hAnsi="Times New Roman" w:cs="Times New Roman"/>
                <w:bCs/>
                <w:color w:val="000000" w:themeColor="text1"/>
                <w:sz w:val="24"/>
                <w:szCs w:val="24"/>
                <w:lang w:val="en-US"/>
              </w:rPr>
            </w:pPr>
            <w:r w:rsidRPr="00F218A8">
              <w:rPr>
                <w:rFonts w:ascii="Times New Roman" w:hAnsi="Times New Roman" w:cs="Times New Roman"/>
                <w:bCs/>
                <w:color w:val="000000" w:themeColor="text1"/>
                <w:sz w:val="24"/>
                <w:szCs w:val="24"/>
              </w:rPr>
              <w:t>Islam</w:t>
            </w:r>
          </w:p>
        </w:tc>
        <w:tc>
          <w:tcPr>
            <w:tcW w:w="904" w:type="pct"/>
            <w:tcBorders>
              <w:top w:val="nil"/>
              <w:left w:val="nil"/>
              <w:bottom w:val="nil"/>
              <w:right w:val="nil"/>
            </w:tcBorders>
            <w:shd w:val="clear" w:color="auto" w:fill="FFFFFF" w:themeFill="background1"/>
          </w:tcPr>
          <w:p w14:paraId="1BB0CC15"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689208E2"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sidRPr="00F218A8">
              <w:rPr>
                <w:rFonts w:ascii="Times New Roman" w:hAnsi="Times New Roman" w:cs="Times New Roman"/>
                <w:color w:val="000000" w:themeColor="text1"/>
                <w:sz w:val="24"/>
                <w:szCs w:val="24"/>
              </w:rPr>
              <w:t>55(84.6)</w:t>
            </w:r>
          </w:p>
          <w:p w14:paraId="456BBC57"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sidRPr="00F218A8">
              <w:rPr>
                <w:rFonts w:ascii="Times New Roman" w:hAnsi="Times New Roman" w:cs="Times New Roman"/>
                <w:color w:val="000000" w:themeColor="text1"/>
                <w:sz w:val="24"/>
                <w:szCs w:val="24"/>
              </w:rPr>
              <w:t>10(15.4)</w:t>
            </w:r>
          </w:p>
        </w:tc>
        <w:tc>
          <w:tcPr>
            <w:tcW w:w="762" w:type="pct"/>
            <w:tcBorders>
              <w:top w:val="nil"/>
              <w:left w:val="nil"/>
              <w:bottom w:val="nil"/>
              <w:right w:val="nil"/>
            </w:tcBorders>
            <w:shd w:val="clear" w:color="auto" w:fill="FFFFFF" w:themeFill="background1"/>
          </w:tcPr>
          <w:p w14:paraId="51252135"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1877D2A9"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sidRPr="00F218A8">
              <w:rPr>
                <w:rFonts w:ascii="Times New Roman" w:hAnsi="Times New Roman" w:cs="Times New Roman"/>
                <w:color w:val="000000" w:themeColor="text1"/>
                <w:sz w:val="24"/>
                <w:szCs w:val="24"/>
              </w:rPr>
              <w:t>57(87.7)</w:t>
            </w:r>
          </w:p>
          <w:p w14:paraId="47D96028"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sidRPr="00F218A8">
              <w:rPr>
                <w:rFonts w:ascii="Times New Roman" w:hAnsi="Times New Roman" w:cs="Times New Roman"/>
                <w:color w:val="000000" w:themeColor="text1"/>
                <w:sz w:val="24"/>
                <w:szCs w:val="24"/>
              </w:rPr>
              <w:t>8(12.3)</w:t>
            </w:r>
          </w:p>
        </w:tc>
        <w:tc>
          <w:tcPr>
            <w:tcW w:w="719" w:type="pct"/>
            <w:tcBorders>
              <w:top w:val="nil"/>
              <w:left w:val="nil"/>
              <w:bottom w:val="nil"/>
              <w:right w:val="nil"/>
            </w:tcBorders>
            <w:shd w:val="clear" w:color="auto" w:fill="FFFFFF" w:themeFill="background1"/>
          </w:tcPr>
          <w:p w14:paraId="794AB24C"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41A710A9"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sidRPr="00F218A8">
              <w:rPr>
                <w:rFonts w:ascii="Times New Roman" w:hAnsi="Times New Roman" w:cs="Times New Roman"/>
                <w:color w:val="000000" w:themeColor="text1"/>
                <w:sz w:val="24"/>
                <w:szCs w:val="24"/>
              </w:rPr>
              <w:t>112(86.2)</w:t>
            </w:r>
          </w:p>
          <w:p w14:paraId="4136F165"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sidRPr="00F218A8">
              <w:rPr>
                <w:rFonts w:ascii="Times New Roman" w:hAnsi="Times New Roman" w:cs="Times New Roman"/>
                <w:color w:val="000000" w:themeColor="text1"/>
                <w:sz w:val="24"/>
                <w:szCs w:val="24"/>
              </w:rPr>
              <w:t>18(13.8)</w:t>
            </w:r>
          </w:p>
        </w:tc>
        <w:tc>
          <w:tcPr>
            <w:tcW w:w="519" w:type="pct"/>
            <w:tcBorders>
              <w:top w:val="nil"/>
              <w:left w:val="nil"/>
              <w:bottom w:val="nil"/>
              <w:right w:val="nil"/>
            </w:tcBorders>
            <w:shd w:val="clear" w:color="auto" w:fill="FFFFFF" w:themeFill="background1"/>
          </w:tcPr>
          <w:p w14:paraId="73D78CE6"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2F455243"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sidRPr="00F218A8">
              <w:rPr>
                <w:rFonts w:ascii="Times New Roman" w:hAnsi="Times New Roman" w:cs="Times New Roman"/>
                <w:color w:val="000000" w:themeColor="text1"/>
                <w:sz w:val="24"/>
                <w:szCs w:val="24"/>
              </w:rPr>
              <w:t>0.258</w:t>
            </w:r>
          </w:p>
        </w:tc>
        <w:tc>
          <w:tcPr>
            <w:tcW w:w="524" w:type="pct"/>
            <w:tcBorders>
              <w:top w:val="nil"/>
              <w:left w:val="nil"/>
              <w:bottom w:val="nil"/>
              <w:right w:val="nil"/>
            </w:tcBorders>
            <w:shd w:val="clear" w:color="auto" w:fill="FFFFFF" w:themeFill="background1"/>
          </w:tcPr>
          <w:p w14:paraId="11718DD0" w14:textId="77777777" w:rsidR="004A5AFD" w:rsidRPr="00F218A8" w:rsidRDefault="004A5AFD">
            <w:pPr>
              <w:autoSpaceDE w:val="0"/>
              <w:autoSpaceDN w:val="0"/>
              <w:adjustRightInd w:val="0"/>
              <w:spacing w:after="0" w:line="360" w:lineRule="auto"/>
              <w:jc w:val="center"/>
              <w:rPr>
                <w:rFonts w:ascii="Times New Roman" w:hAnsi="Times New Roman" w:cs="Times New Roman"/>
                <w:bCs/>
                <w:color w:val="000000" w:themeColor="text1"/>
                <w:sz w:val="24"/>
                <w:szCs w:val="24"/>
              </w:rPr>
            </w:pPr>
          </w:p>
          <w:p w14:paraId="4C5A2440" w14:textId="77777777" w:rsidR="004A5AFD" w:rsidRPr="00F218A8" w:rsidRDefault="004A5AFD">
            <w:pPr>
              <w:autoSpaceDE w:val="0"/>
              <w:autoSpaceDN w:val="0"/>
              <w:adjustRightInd w:val="0"/>
              <w:spacing w:after="0" w:line="360" w:lineRule="auto"/>
              <w:jc w:val="center"/>
              <w:rPr>
                <w:rFonts w:ascii="Times New Roman" w:hAnsi="Times New Roman" w:cs="Times New Roman"/>
                <w:bCs/>
                <w:color w:val="000000" w:themeColor="text1"/>
                <w:sz w:val="24"/>
                <w:szCs w:val="24"/>
                <w:lang w:val="en-US"/>
              </w:rPr>
            </w:pPr>
            <w:r w:rsidRPr="00F218A8">
              <w:rPr>
                <w:rFonts w:ascii="Times New Roman" w:hAnsi="Times New Roman" w:cs="Times New Roman"/>
                <w:bCs/>
                <w:color w:val="000000" w:themeColor="text1"/>
                <w:sz w:val="24"/>
                <w:szCs w:val="24"/>
              </w:rPr>
              <w:t>0.612</w:t>
            </w:r>
          </w:p>
        </w:tc>
      </w:tr>
      <w:tr w:rsidR="004A5AFD" w:rsidRPr="00F218A8" w14:paraId="0B9CA3C3" w14:textId="77777777" w:rsidTr="004A5AFD">
        <w:tc>
          <w:tcPr>
            <w:tcW w:w="1572" w:type="pct"/>
            <w:tcBorders>
              <w:top w:val="nil"/>
              <w:left w:val="nil"/>
              <w:bottom w:val="single" w:sz="4" w:space="0" w:color="auto"/>
              <w:right w:val="nil"/>
            </w:tcBorders>
            <w:shd w:val="clear" w:color="auto" w:fill="FFFFFF" w:themeFill="background1"/>
            <w:hideMark/>
          </w:tcPr>
          <w:p w14:paraId="249C3AE8" w14:textId="77777777" w:rsidR="004A5AFD" w:rsidRPr="00F218A8" w:rsidRDefault="004A5AFD">
            <w:pPr>
              <w:autoSpaceDE w:val="0"/>
              <w:autoSpaceDN w:val="0"/>
              <w:adjustRightInd w:val="0"/>
              <w:spacing w:after="0" w:line="360" w:lineRule="auto"/>
              <w:rPr>
                <w:rFonts w:ascii="Times New Roman" w:hAnsi="Times New Roman" w:cs="Times New Roman"/>
                <w:b/>
                <w:color w:val="000000" w:themeColor="text1"/>
                <w:sz w:val="24"/>
                <w:szCs w:val="24"/>
                <w:lang w:val="en-US"/>
              </w:rPr>
            </w:pPr>
            <w:r w:rsidRPr="00F218A8">
              <w:rPr>
                <w:rFonts w:ascii="Times New Roman" w:hAnsi="Times New Roman" w:cs="Times New Roman"/>
                <w:b/>
                <w:color w:val="000000" w:themeColor="text1"/>
                <w:sz w:val="24"/>
                <w:szCs w:val="24"/>
              </w:rPr>
              <w:t xml:space="preserve">Duration of marriage </w:t>
            </w:r>
            <w:r w:rsidRPr="00F218A8">
              <w:rPr>
                <w:rFonts w:ascii="Times New Roman" w:hAnsi="Times New Roman" w:cs="Times New Roman"/>
                <w:b/>
                <w:color w:val="000000" w:themeColor="text1"/>
                <w:sz w:val="24"/>
                <w:szCs w:val="24"/>
              </w:rPr>
              <w:lastRenderedPageBreak/>
              <w:t>(years)</w:t>
            </w:r>
          </w:p>
        </w:tc>
        <w:tc>
          <w:tcPr>
            <w:tcW w:w="904" w:type="pct"/>
            <w:tcBorders>
              <w:top w:val="nil"/>
              <w:left w:val="nil"/>
              <w:bottom w:val="single" w:sz="4" w:space="0" w:color="auto"/>
              <w:right w:val="nil"/>
            </w:tcBorders>
            <w:shd w:val="clear" w:color="auto" w:fill="FFFFFF" w:themeFill="background1"/>
            <w:hideMark/>
          </w:tcPr>
          <w:p w14:paraId="188C94D9"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sidRPr="00F218A8">
              <w:rPr>
                <w:rFonts w:ascii="Times New Roman" w:hAnsi="Times New Roman" w:cs="Times New Roman"/>
                <w:color w:val="000000" w:themeColor="text1"/>
                <w:sz w:val="24"/>
                <w:szCs w:val="24"/>
              </w:rPr>
              <w:lastRenderedPageBreak/>
              <w:t>6.55</w:t>
            </w:r>
            <w:r w:rsidRPr="00F218A8">
              <w:rPr>
                <w:rFonts w:asciiTheme="minorEastAsia" w:hAnsiTheme="minorEastAsia" w:cstheme="minorEastAsia"/>
                <w:color w:val="000000" w:themeColor="text1"/>
                <w:sz w:val="24"/>
                <w:szCs w:val="24"/>
              </w:rPr>
              <w:t>±</w:t>
            </w:r>
            <w:r w:rsidRPr="00F218A8">
              <w:rPr>
                <w:rFonts w:asciiTheme="minorEastAsia" w:hAnsiTheme="minorEastAsia" w:cstheme="minorEastAsia" w:hint="eastAsia"/>
                <w:color w:val="000000" w:themeColor="text1"/>
                <w:sz w:val="24"/>
                <w:szCs w:val="24"/>
              </w:rPr>
              <w:t>2.6</w:t>
            </w:r>
          </w:p>
        </w:tc>
        <w:tc>
          <w:tcPr>
            <w:tcW w:w="762" w:type="pct"/>
            <w:tcBorders>
              <w:top w:val="nil"/>
              <w:left w:val="nil"/>
              <w:bottom w:val="single" w:sz="4" w:space="0" w:color="auto"/>
              <w:right w:val="nil"/>
            </w:tcBorders>
            <w:shd w:val="clear" w:color="auto" w:fill="FFFFFF" w:themeFill="background1"/>
            <w:hideMark/>
          </w:tcPr>
          <w:p w14:paraId="64371602"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sidRPr="00F218A8">
              <w:rPr>
                <w:rFonts w:ascii="Times New Roman" w:hAnsi="Times New Roman" w:cs="Times New Roman"/>
                <w:color w:val="000000" w:themeColor="text1"/>
                <w:sz w:val="24"/>
                <w:szCs w:val="24"/>
              </w:rPr>
              <w:t>6.24</w:t>
            </w:r>
            <w:r w:rsidRPr="00F218A8">
              <w:rPr>
                <w:rFonts w:asciiTheme="minorEastAsia" w:hAnsiTheme="minorEastAsia" w:cstheme="minorEastAsia"/>
                <w:color w:val="000000" w:themeColor="text1"/>
                <w:sz w:val="24"/>
                <w:szCs w:val="24"/>
              </w:rPr>
              <w:t>±</w:t>
            </w:r>
            <w:r w:rsidRPr="00F218A8">
              <w:rPr>
                <w:rFonts w:asciiTheme="minorEastAsia" w:hAnsiTheme="minorEastAsia" w:cstheme="minorEastAsia" w:hint="eastAsia"/>
                <w:color w:val="000000" w:themeColor="text1"/>
                <w:sz w:val="24"/>
                <w:szCs w:val="24"/>
              </w:rPr>
              <w:t>2.8</w:t>
            </w:r>
          </w:p>
        </w:tc>
        <w:tc>
          <w:tcPr>
            <w:tcW w:w="719" w:type="pct"/>
            <w:tcBorders>
              <w:top w:val="nil"/>
              <w:left w:val="nil"/>
              <w:bottom w:val="single" w:sz="4" w:space="0" w:color="auto"/>
              <w:right w:val="nil"/>
            </w:tcBorders>
            <w:shd w:val="clear" w:color="auto" w:fill="FFFFFF" w:themeFill="background1"/>
          </w:tcPr>
          <w:p w14:paraId="30542803"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p>
        </w:tc>
        <w:tc>
          <w:tcPr>
            <w:tcW w:w="519" w:type="pct"/>
            <w:tcBorders>
              <w:top w:val="nil"/>
              <w:left w:val="nil"/>
              <w:bottom w:val="single" w:sz="4" w:space="0" w:color="auto"/>
              <w:right w:val="nil"/>
            </w:tcBorders>
            <w:shd w:val="clear" w:color="auto" w:fill="FFFFFF" w:themeFill="background1"/>
            <w:hideMark/>
          </w:tcPr>
          <w:p w14:paraId="278FDA67" w14:textId="77777777" w:rsidR="004A5AFD" w:rsidRPr="00F218A8"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sidRPr="00F218A8">
              <w:rPr>
                <w:rFonts w:ascii="Times New Roman" w:hAnsi="Times New Roman" w:cs="Times New Roman"/>
                <w:color w:val="000000" w:themeColor="text1"/>
                <w:sz w:val="24"/>
                <w:szCs w:val="24"/>
              </w:rPr>
              <w:t>1.084*</w:t>
            </w:r>
          </w:p>
        </w:tc>
        <w:tc>
          <w:tcPr>
            <w:tcW w:w="524" w:type="pct"/>
            <w:tcBorders>
              <w:top w:val="nil"/>
              <w:left w:val="nil"/>
              <w:bottom w:val="single" w:sz="4" w:space="0" w:color="auto"/>
              <w:right w:val="nil"/>
            </w:tcBorders>
            <w:shd w:val="clear" w:color="auto" w:fill="FFFFFF" w:themeFill="background1"/>
            <w:hideMark/>
          </w:tcPr>
          <w:p w14:paraId="54BA56B1" w14:textId="77777777" w:rsidR="004A5AFD" w:rsidRPr="00F218A8" w:rsidRDefault="004A5AFD">
            <w:pPr>
              <w:autoSpaceDE w:val="0"/>
              <w:autoSpaceDN w:val="0"/>
              <w:adjustRightInd w:val="0"/>
              <w:spacing w:after="0" w:line="360" w:lineRule="auto"/>
              <w:jc w:val="center"/>
              <w:rPr>
                <w:rFonts w:ascii="Times New Roman" w:hAnsi="Times New Roman" w:cs="Times New Roman"/>
                <w:bCs/>
                <w:color w:val="000000" w:themeColor="text1"/>
                <w:sz w:val="24"/>
                <w:szCs w:val="24"/>
                <w:lang w:val="en-US"/>
              </w:rPr>
            </w:pPr>
            <w:r w:rsidRPr="00F218A8">
              <w:rPr>
                <w:rFonts w:ascii="Times New Roman" w:hAnsi="Times New Roman" w:cs="Times New Roman"/>
                <w:bCs/>
                <w:color w:val="000000" w:themeColor="text1"/>
                <w:sz w:val="24"/>
                <w:szCs w:val="24"/>
              </w:rPr>
              <w:t>0.692</w:t>
            </w:r>
          </w:p>
        </w:tc>
      </w:tr>
    </w:tbl>
    <w:p w14:paraId="1343330E" w14:textId="77777777" w:rsidR="004A5AFD" w:rsidRPr="00F218A8" w:rsidRDefault="004A5AFD" w:rsidP="004A5AFD">
      <w:pPr>
        <w:rPr>
          <w:rFonts w:ascii="Times New Roman" w:hAnsi="Times New Roman" w:cs="Times New Roman"/>
          <w:sz w:val="24"/>
          <w:szCs w:val="24"/>
          <w:lang w:val="en-US"/>
        </w:rPr>
      </w:pPr>
      <w:r w:rsidRPr="00F218A8">
        <w:rPr>
          <w:rFonts w:ascii="Times New Roman" w:hAnsi="Times New Roman" w:cs="Times New Roman"/>
          <w:sz w:val="24"/>
          <w:szCs w:val="24"/>
        </w:rPr>
        <w:t>*Independent student t test; SD=Standard deviation</w:t>
      </w:r>
    </w:p>
    <w:p w14:paraId="140A50F1" w14:textId="77777777" w:rsidR="004A5AFD" w:rsidRPr="00F218A8" w:rsidRDefault="004A5AFD">
      <w:pPr>
        <w:rPr>
          <w:rFonts w:ascii="Times New Roman" w:hAnsi="Times New Roman" w:cs="Times New Roman"/>
          <w:sz w:val="24"/>
        </w:rPr>
      </w:pPr>
    </w:p>
    <w:p w14:paraId="6ACFF182" w14:textId="134CF23D" w:rsidR="004A5AFD" w:rsidRPr="00F218A8" w:rsidRDefault="004A5AFD" w:rsidP="00767608">
      <w:pPr>
        <w:spacing w:line="240" w:lineRule="auto"/>
        <w:jc w:val="both"/>
        <w:rPr>
          <w:rFonts w:ascii="Times New Roman" w:hAnsi="Times New Roman" w:cs="Times New Roman"/>
          <w:sz w:val="24"/>
          <w:szCs w:val="24"/>
        </w:rPr>
      </w:pPr>
      <w:r w:rsidRPr="00F218A8">
        <w:rPr>
          <w:rFonts w:ascii="Times New Roman" w:hAnsi="Times New Roman" w:cs="Times New Roman"/>
          <w:sz w:val="24"/>
          <w:szCs w:val="24"/>
        </w:rPr>
        <w:t>Mean AMH levels (3.80±5.8 vs 2.07±4.6), FSH (7.45±2.5 vs 12.36±13.4), LH (8.73±2.3 vs 13.93±12.6), E</w:t>
      </w:r>
      <w:r w:rsidRPr="00F218A8">
        <w:rPr>
          <w:rFonts w:ascii="Times New Roman" w:hAnsi="Times New Roman" w:cs="Times New Roman"/>
          <w:sz w:val="24"/>
          <w:szCs w:val="24"/>
          <w:vertAlign w:val="subscript"/>
        </w:rPr>
        <w:t>2</w:t>
      </w:r>
      <w:r w:rsidRPr="00F218A8">
        <w:rPr>
          <w:rFonts w:ascii="Times New Roman" w:hAnsi="Times New Roman" w:cs="Times New Roman"/>
          <w:sz w:val="24"/>
          <w:szCs w:val="24"/>
        </w:rPr>
        <w:t xml:space="preserve"> (63.50±16.3 vs 73.05±30.7), and prolactin (8.01±5.8 vs 12.55±8.8) </w:t>
      </w:r>
      <w:r w:rsidR="00F80667" w:rsidRPr="00F218A8">
        <w:rPr>
          <w:rFonts w:ascii="Times New Roman" w:hAnsi="Times New Roman" w:cs="Times New Roman"/>
          <w:sz w:val="24"/>
          <w:szCs w:val="24"/>
        </w:rPr>
        <w:t xml:space="preserve">were </w:t>
      </w:r>
      <w:r w:rsidRPr="00F218A8">
        <w:rPr>
          <w:rFonts w:ascii="Times New Roman" w:hAnsi="Times New Roman" w:cs="Times New Roman"/>
          <w:sz w:val="24"/>
          <w:szCs w:val="24"/>
        </w:rPr>
        <w:t>significantly higher in the infertile women (p&lt;0.05) than the f</w:t>
      </w:r>
      <w:r w:rsidR="009C2E77" w:rsidRPr="00F218A8">
        <w:rPr>
          <w:rFonts w:ascii="Times New Roman" w:hAnsi="Times New Roman" w:cs="Times New Roman"/>
          <w:sz w:val="24"/>
          <w:szCs w:val="24"/>
        </w:rPr>
        <w:t>ertile women</w:t>
      </w:r>
      <w:r w:rsidR="00F80667" w:rsidRPr="00F218A8">
        <w:rPr>
          <w:rFonts w:ascii="Times New Roman" w:hAnsi="Times New Roman" w:cs="Times New Roman"/>
          <w:sz w:val="24"/>
          <w:szCs w:val="24"/>
        </w:rPr>
        <w:t>,</w:t>
      </w:r>
      <w:r w:rsidR="009C2E77" w:rsidRPr="00F218A8">
        <w:rPr>
          <w:rFonts w:ascii="Times New Roman" w:hAnsi="Times New Roman" w:cs="Times New Roman"/>
          <w:sz w:val="24"/>
          <w:szCs w:val="24"/>
        </w:rPr>
        <w:t xml:space="preserve"> as shown in </w:t>
      </w:r>
      <w:r w:rsidR="00F80667" w:rsidRPr="00F218A8">
        <w:rPr>
          <w:rFonts w:ascii="Times New Roman" w:hAnsi="Times New Roman" w:cs="Times New Roman"/>
          <w:sz w:val="24"/>
          <w:szCs w:val="24"/>
        </w:rPr>
        <w:t xml:space="preserve">Table </w:t>
      </w:r>
      <w:r w:rsidR="009C2E77" w:rsidRPr="00F218A8">
        <w:rPr>
          <w:rFonts w:ascii="Times New Roman" w:hAnsi="Times New Roman" w:cs="Times New Roman"/>
          <w:sz w:val="24"/>
          <w:szCs w:val="24"/>
        </w:rPr>
        <w:t>2</w:t>
      </w:r>
      <w:r w:rsidRPr="00F218A8">
        <w:rPr>
          <w:rFonts w:ascii="Times New Roman" w:hAnsi="Times New Roman" w:cs="Times New Roman"/>
          <w:sz w:val="24"/>
          <w:szCs w:val="24"/>
        </w:rPr>
        <w:t>.</w:t>
      </w:r>
    </w:p>
    <w:p w14:paraId="4670FEC3" w14:textId="77777777" w:rsidR="004A5AFD" w:rsidRPr="00F218A8" w:rsidRDefault="009C2E77" w:rsidP="004A5AFD">
      <w:pPr>
        <w:rPr>
          <w:rFonts w:ascii="Times New Roman" w:hAnsi="Times New Roman" w:cs="Times New Roman"/>
          <w:b/>
          <w:bCs/>
          <w:sz w:val="24"/>
          <w:szCs w:val="24"/>
        </w:rPr>
      </w:pPr>
      <w:r w:rsidRPr="00F218A8">
        <w:rPr>
          <w:rFonts w:ascii="Times New Roman" w:hAnsi="Times New Roman" w:cs="Times New Roman"/>
          <w:b/>
          <w:bCs/>
          <w:sz w:val="24"/>
          <w:szCs w:val="24"/>
        </w:rPr>
        <w:t>Table 2</w:t>
      </w:r>
      <w:r w:rsidR="004A5AFD" w:rsidRPr="00F218A8">
        <w:rPr>
          <w:rFonts w:ascii="Times New Roman" w:hAnsi="Times New Roman" w:cs="Times New Roman"/>
          <w:b/>
          <w:bCs/>
          <w:sz w:val="24"/>
          <w:szCs w:val="24"/>
        </w:rPr>
        <w:t>: Mean values of AMH and other reproductive hormone profiles in infertile and fertile subjects.</w:t>
      </w:r>
    </w:p>
    <w:p w14:paraId="77EA6676" w14:textId="77777777" w:rsidR="004A5AFD" w:rsidRPr="00F218A8" w:rsidRDefault="004A5AFD" w:rsidP="004A5AFD">
      <w:pPr>
        <w:rPr>
          <w:rFonts w:ascii="Times New Roman" w:hAnsi="Times New Roman" w:cs="Times New Roman"/>
          <w:b/>
          <w:bCs/>
          <w:sz w:val="24"/>
          <w:szCs w:val="24"/>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736"/>
        <w:gridCol w:w="2126"/>
        <w:gridCol w:w="1953"/>
        <w:gridCol w:w="1414"/>
        <w:gridCol w:w="1013"/>
      </w:tblGrid>
      <w:tr w:rsidR="004A5AFD" w:rsidRPr="00F218A8" w14:paraId="3B1247DF" w14:textId="77777777" w:rsidTr="004A5AFD">
        <w:tc>
          <w:tcPr>
            <w:tcW w:w="2779" w:type="dxa"/>
            <w:vMerge w:val="restart"/>
            <w:tcBorders>
              <w:top w:val="single" w:sz="4" w:space="0" w:color="auto"/>
              <w:left w:val="nil"/>
              <w:bottom w:val="single" w:sz="4" w:space="0" w:color="auto"/>
              <w:right w:val="nil"/>
            </w:tcBorders>
          </w:tcPr>
          <w:p w14:paraId="7669C515" w14:textId="77777777" w:rsidR="004A5AFD" w:rsidRPr="00F218A8" w:rsidRDefault="004A5AFD">
            <w:pPr>
              <w:spacing w:after="160" w:line="256" w:lineRule="auto"/>
              <w:rPr>
                <w:rFonts w:ascii="Times New Roman" w:hAnsi="Times New Roman" w:cs="Times New Roman"/>
                <w:b/>
                <w:bCs/>
                <w:sz w:val="24"/>
                <w:szCs w:val="24"/>
              </w:rPr>
            </w:pPr>
          </w:p>
        </w:tc>
        <w:tc>
          <w:tcPr>
            <w:tcW w:w="2155" w:type="dxa"/>
            <w:tcBorders>
              <w:top w:val="single" w:sz="4" w:space="0" w:color="auto"/>
              <w:left w:val="nil"/>
              <w:bottom w:val="single" w:sz="4" w:space="0" w:color="auto"/>
              <w:right w:val="nil"/>
            </w:tcBorders>
            <w:hideMark/>
          </w:tcPr>
          <w:p w14:paraId="52BABF86" w14:textId="77777777" w:rsidR="004A5AFD" w:rsidRPr="00F218A8" w:rsidRDefault="004A5AFD">
            <w:pPr>
              <w:autoSpaceDE w:val="0"/>
              <w:autoSpaceDN w:val="0"/>
              <w:adjustRightInd w:val="0"/>
              <w:jc w:val="center"/>
              <w:rPr>
                <w:rFonts w:ascii="Times New Roman" w:hAnsi="Times New Roman" w:cs="Times New Roman"/>
                <w:b/>
                <w:bCs/>
                <w:color w:val="000000" w:themeColor="text1"/>
                <w:sz w:val="24"/>
                <w:szCs w:val="24"/>
              </w:rPr>
            </w:pPr>
            <w:r w:rsidRPr="00F218A8">
              <w:rPr>
                <w:rFonts w:ascii="Times New Roman" w:hAnsi="Times New Roman" w:cs="Times New Roman"/>
                <w:b/>
                <w:bCs/>
                <w:color w:val="000000" w:themeColor="text1"/>
                <w:sz w:val="24"/>
                <w:szCs w:val="24"/>
              </w:rPr>
              <w:t>Infertile</w:t>
            </w:r>
          </w:p>
          <w:p w14:paraId="61524C1F" w14:textId="77777777" w:rsidR="004A5AFD" w:rsidRPr="00F218A8" w:rsidRDefault="004A5AFD">
            <w:pPr>
              <w:spacing w:after="160" w:line="256" w:lineRule="auto"/>
              <w:jc w:val="center"/>
              <w:rPr>
                <w:rFonts w:ascii="Times New Roman" w:hAnsi="Times New Roman" w:cs="Times New Roman"/>
                <w:b/>
                <w:bCs/>
                <w:sz w:val="24"/>
                <w:szCs w:val="24"/>
              </w:rPr>
            </w:pPr>
            <w:r w:rsidRPr="00F218A8">
              <w:rPr>
                <w:rFonts w:ascii="Times New Roman" w:hAnsi="Times New Roman" w:cs="Times New Roman"/>
                <w:b/>
                <w:bCs/>
                <w:color w:val="000000" w:themeColor="text1"/>
                <w:sz w:val="24"/>
                <w:szCs w:val="24"/>
              </w:rPr>
              <w:t>(n=65)</w:t>
            </w:r>
          </w:p>
        </w:tc>
        <w:tc>
          <w:tcPr>
            <w:tcW w:w="1976" w:type="dxa"/>
            <w:tcBorders>
              <w:top w:val="single" w:sz="4" w:space="0" w:color="auto"/>
              <w:left w:val="nil"/>
              <w:bottom w:val="single" w:sz="4" w:space="0" w:color="auto"/>
              <w:right w:val="nil"/>
            </w:tcBorders>
            <w:vAlign w:val="bottom"/>
            <w:hideMark/>
          </w:tcPr>
          <w:p w14:paraId="2D3F364D" w14:textId="77777777" w:rsidR="004A5AFD" w:rsidRPr="00F218A8" w:rsidRDefault="004A5AFD">
            <w:pPr>
              <w:autoSpaceDE w:val="0"/>
              <w:autoSpaceDN w:val="0"/>
              <w:adjustRightInd w:val="0"/>
              <w:jc w:val="center"/>
              <w:rPr>
                <w:rFonts w:ascii="Times New Roman" w:hAnsi="Times New Roman" w:cs="Times New Roman"/>
                <w:b/>
                <w:bCs/>
                <w:color w:val="000000" w:themeColor="text1"/>
                <w:sz w:val="24"/>
                <w:szCs w:val="24"/>
              </w:rPr>
            </w:pPr>
            <w:r w:rsidRPr="00F218A8">
              <w:rPr>
                <w:rFonts w:ascii="Times New Roman" w:hAnsi="Times New Roman" w:cs="Times New Roman"/>
                <w:b/>
                <w:bCs/>
                <w:color w:val="000000" w:themeColor="text1"/>
                <w:sz w:val="24"/>
                <w:szCs w:val="24"/>
              </w:rPr>
              <w:t>Fertile</w:t>
            </w:r>
          </w:p>
          <w:p w14:paraId="6D12F72B" w14:textId="77777777" w:rsidR="004A5AFD" w:rsidRPr="00F218A8" w:rsidRDefault="004A5AFD">
            <w:pPr>
              <w:spacing w:after="160" w:line="256" w:lineRule="auto"/>
              <w:jc w:val="center"/>
              <w:rPr>
                <w:rFonts w:ascii="Times New Roman" w:hAnsi="Times New Roman" w:cs="Times New Roman"/>
                <w:b/>
                <w:bCs/>
                <w:sz w:val="24"/>
                <w:szCs w:val="24"/>
              </w:rPr>
            </w:pPr>
            <w:r w:rsidRPr="00F218A8">
              <w:rPr>
                <w:rFonts w:ascii="Times New Roman" w:hAnsi="Times New Roman" w:cs="Times New Roman"/>
                <w:b/>
                <w:bCs/>
                <w:color w:val="000000" w:themeColor="text1"/>
                <w:sz w:val="24"/>
                <w:szCs w:val="24"/>
              </w:rPr>
              <w:t>(n=65)</w:t>
            </w:r>
          </w:p>
        </w:tc>
        <w:tc>
          <w:tcPr>
            <w:tcW w:w="1437" w:type="dxa"/>
            <w:vMerge w:val="restart"/>
            <w:tcBorders>
              <w:top w:val="single" w:sz="4" w:space="0" w:color="auto"/>
              <w:left w:val="nil"/>
              <w:bottom w:val="single" w:sz="4" w:space="0" w:color="auto"/>
              <w:right w:val="nil"/>
            </w:tcBorders>
            <w:hideMark/>
          </w:tcPr>
          <w:p w14:paraId="0BA12C9A" w14:textId="77777777" w:rsidR="004A5AFD" w:rsidRPr="00F218A8" w:rsidRDefault="004A5AFD">
            <w:pPr>
              <w:spacing w:after="160" w:line="256" w:lineRule="auto"/>
              <w:rPr>
                <w:rFonts w:ascii="Times New Roman" w:hAnsi="Times New Roman" w:cs="Times New Roman"/>
                <w:b/>
                <w:bCs/>
                <w:sz w:val="24"/>
                <w:szCs w:val="24"/>
              </w:rPr>
            </w:pPr>
            <w:r w:rsidRPr="00F218A8">
              <w:rPr>
                <w:rFonts w:ascii="Times New Roman" w:hAnsi="Times New Roman" w:cs="Times New Roman"/>
                <w:b/>
                <w:bCs/>
                <w:sz w:val="24"/>
                <w:szCs w:val="24"/>
              </w:rPr>
              <w:t>t-value</w:t>
            </w:r>
          </w:p>
        </w:tc>
        <w:tc>
          <w:tcPr>
            <w:tcW w:w="1013" w:type="dxa"/>
            <w:vMerge w:val="restart"/>
            <w:tcBorders>
              <w:top w:val="single" w:sz="4" w:space="0" w:color="auto"/>
              <w:left w:val="nil"/>
              <w:bottom w:val="single" w:sz="4" w:space="0" w:color="auto"/>
              <w:right w:val="nil"/>
            </w:tcBorders>
            <w:hideMark/>
          </w:tcPr>
          <w:p w14:paraId="4138CCB6" w14:textId="77777777" w:rsidR="004A5AFD" w:rsidRPr="00F218A8" w:rsidRDefault="004A5AFD">
            <w:pPr>
              <w:spacing w:after="160" w:line="256" w:lineRule="auto"/>
              <w:rPr>
                <w:rFonts w:ascii="Times New Roman" w:hAnsi="Times New Roman" w:cs="Times New Roman"/>
                <w:b/>
                <w:bCs/>
                <w:sz w:val="24"/>
                <w:szCs w:val="24"/>
              </w:rPr>
            </w:pPr>
            <w:r w:rsidRPr="00F218A8">
              <w:rPr>
                <w:rFonts w:ascii="Times New Roman" w:hAnsi="Times New Roman" w:cs="Times New Roman"/>
                <w:b/>
                <w:bCs/>
                <w:sz w:val="24"/>
                <w:szCs w:val="24"/>
              </w:rPr>
              <w:t>p-value</w:t>
            </w:r>
          </w:p>
        </w:tc>
      </w:tr>
      <w:tr w:rsidR="004A5AFD" w:rsidRPr="00F218A8" w14:paraId="157E4BBC" w14:textId="77777777" w:rsidTr="004A5AFD">
        <w:tc>
          <w:tcPr>
            <w:tcW w:w="0" w:type="auto"/>
            <w:vMerge/>
            <w:tcBorders>
              <w:top w:val="single" w:sz="4" w:space="0" w:color="auto"/>
              <w:left w:val="nil"/>
              <w:bottom w:val="single" w:sz="4" w:space="0" w:color="auto"/>
              <w:right w:val="nil"/>
            </w:tcBorders>
            <w:vAlign w:val="center"/>
            <w:hideMark/>
          </w:tcPr>
          <w:p w14:paraId="475C031D" w14:textId="77777777" w:rsidR="004A5AFD" w:rsidRPr="00F218A8" w:rsidRDefault="004A5AFD">
            <w:pPr>
              <w:rPr>
                <w:rFonts w:ascii="Times New Roman" w:hAnsi="Times New Roman" w:cs="Times New Roman"/>
                <w:b/>
                <w:bCs/>
                <w:sz w:val="24"/>
                <w:szCs w:val="24"/>
              </w:rPr>
            </w:pPr>
          </w:p>
        </w:tc>
        <w:tc>
          <w:tcPr>
            <w:tcW w:w="2155" w:type="dxa"/>
            <w:tcBorders>
              <w:top w:val="single" w:sz="4" w:space="0" w:color="auto"/>
              <w:left w:val="nil"/>
              <w:bottom w:val="single" w:sz="4" w:space="0" w:color="auto"/>
              <w:right w:val="nil"/>
            </w:tcBorders>
            <w:hideMark/>
          </w:tcPr>
          <w:p w14:paraId="2FF045DB" w14:textId="77777777" w:rsidR="004A5AFD" w:rsidRPr="00F218A8" w:rsidRDefault="004A5AFD">
            <w:pPr>
              <w:spacing w:after="160" w:line="256" w:lineRule="auto"/>
              <w:jc w:val="center"/>
              <w:rPr>
                <w:rFonts w:ascii="Times New Roman" w:hAnsi="Times New Roman" w:cs="Times New Roman"/>
                <w:b/>
                <w:bCs/>
                <w:sz w:val="24"/>
                <w:szCs w:val="24"/>
              </w:rPr>
            </w:pPr>
            <w:proofErr w:type="spellStart"/>
            <w:r w:rsidRPr="00F218A8">
              <w:rPr>
                <w:rFonts w:ascii="Times New Roman" w:hAnsi="Times New Roman" w:cs="Times New Roman"/>
                <w:b/>
                <w:bCs/>
                <w:sz w:val="24"/>
                <w:szCs w:val="24"/>
              </w:rPr>
              <w:t>Mean</w:t>
            </w:r>
            <w:r w:rsidRPr="00F218A8">
              <w:rPr>
                <w:rFonts w:asciiTheme="minorEastAsia" w:hAnsiTheme="minorEastAsia" w:cstheme="minorEastAsia"/>
                <w:b/>
                <w:bCs/>
                <w:sz w:val="24"/>
                <w:szCs w:val="24"/>
              </w:rPr>
              <w:t>±</w:t>
            </w:r>
            <w:r w:rsidRPr="00F218A8">
              <w:rPr>
                <w:rFonts w:ascii="Times New Roman" w:hAnsi="Times New Roman" w:cs="Times New Roman"/>
                <w:b/>
                <w:bCs/>
                <w:sz w:val="24"/>
                <w:szCs w:val="24"/>
              </w:rPr>
              <w:t>SD</w:t>
            </w:r>
            <w:proofErr w:type="spellEnd"/>
          </w:p>
        </w:tc>
        <w:tc>
          <w:tcPr>
            <w:tcW w:w="1976" w:type="dxa"/>
            <w:tcBorders>
              <w:top w:val="single" w:sz="4" w:space="0" w:color="auto"/>
              <w:left w:val="nil"/>
              <w:bottom w:val="single" w:sz="4" w:space="0" w:color="auto"/>
              <w:right w:val="nil"/>
            </w:tcBorders>
            <w:hideMark/>
          </w:tcPr>
          <w:p w14:paraId="2FB49FA0" w14:textId="77777777" w:rsidR="004A5AFD" w:rsidRPr="00F218A8" w:rsidRDefault="004A5AFD">
            <w:pPr>
              <w:spacing w:after="160" w:line="256" w:lineRule="auto"/>
              <w:jc w:val="center"/>
              <w:rPr>
                <w:rFonts w:ascii="Times New Roman" w:hAnsi="Times New Roman" w:cs="Times New Roman"/>
                <w:b/>
                <w:bCs/>
                <w:sz w:val="24"/>
                <w:szCs w:val="24"/>
              </w:rPr>
            </w:pPr>
            <w:proofErr w:type="spellStart"/>
            <w:r w:rsidRPr="00F218A8">
              <w:rPr>
                <w:rFonts w:ascii="Times New Roman" w:hAnsi="Times New Roman" w:cs="Times New Roman"/>
                <w:b/>
                <w:bCs/>
                <w:sz w:val="24"/>
                <w:szCs w:val="24"/>
              </w:rPr>
              <w:t>Mean</w:t>
            </w:r>
            <w:r w:rsidRPr="00F218A8">
              <w:rPr>
                <w:rFonts w:asciiTheme="minorEastAsia" w:hAnsiTheme="minorEastAsia" w:cstheme="minorEastAsia"/>
                <w:b/>
                <w:bCs/>
                <w:sz w:val="24"/>
                <w:szCs w:val="24"/>
              </w:rPr>
              <w:t>±</w:t>
            </w:r>
            <w:r w:rsidRPr="00F218A8">
              <w:rPr>
                <w:rFonts w:ascii="Times New Roman" w:hAnsi="Times New Roman" w:cs="Times New Roman"/>
                <w:b/>
                <w:bCs/>
                <w:sz w:val="24"/>
                <w:szCs w:val="24"/>
              </w:rPr>
              <w:t>SD</w:t>
            </w:r>
            <w:proofErr w:type="spellEnd"/>
          </w:p>
        </w:tc>
        <w:tc>
          <w:tcPr>
            <w:tcW w:w="0" w:type="auto"/>
            <w:vMerge/>
            <w:tcBorders>
              <w:top w:val="single" w:sz="4" w:space="0" w:color="auto"/>
              <w:left w:val="nil"/>
              <w:bottom w:val="single" w:sz="4" w:space="0" w:color="auto"/>
              <w:right w:val="nil"/>
            </w:tcBorders>
            <w:vAlign w:val="center"/>
            <w:hideMark/>
          </w:tcPr>
          <w:p w14:paraId="3F5C9863" w14:textId="77777777" w:rsidR="004A5AFD" w:rsidRPr="00F218A8" w:rsidRDefault="004A5AFD">
            <w:pPr>
              <w:rPr>
                <w:rFonts w:ascii="Times New Roman" w:hAnsi="Times New Roman" w:cs="Times New Roman"/>
                <w:b/>
                <w:bCs/>
                <w:sz w:val="24"/>
                <w:szCs w:val="24"/>
              </w:rPr>
            </w:pPr>
          </w:p>
        </w:tc>
        <w:tc>
          <w:tcPr>
            <w:tcW w:w="0" w:type="auto"/>
            <w:vMerge/>
            <w:tcBorders>
              <w:top w:val="single" w:sz="4" w:space="0" w:color="auto"/>
              <w:left w:val="nil"/>
              <w:bottom w:val="single" w:sz="4" w:space="0" w:color="auto"/>
              <w:right w:val="nil"/>
            </w:tcBorders>
            <w:vAlign w:val="center"/>
            <w:hideMark/>
          </w:tcPr>
          <w:p w14:paraId="5E4EF0F2" w14:textId="77777777" w:rsidR="004A5AFD" w:rsidRPr="00F218A8" w:rsidRDefault="004A5AFD">
            <w:pPr>
              <w:rPr>
                <w:rFonts w:ascii="Times New Roman" w:hAnsi="Times New Roman" w:cs="Times New Roman"/>
                <w:b/>
                <w:bCs/>
                <w:sz w:val="24"/>
                <w:szCs w:val="24"/>
              </w:rPr>
            </w:pPr>
          </w:p>
        </w:tc>
      </w:tr>
      <w:tr w:rsidR="004A5AFD" w:rsidRPr="00F218A8" w14:paraId="1A6A2C00" w14:textId="77777777" w:rsidTr="004A5AFD">
        <w:tc>
          <w:tcPr>
            <w:tcW w:w="2779" w:type="dxa"/>
            <w:tcBorders>
              <w:top w:val="single" w:sz="4" w:space="0" w:color="auto"/>
              <w:left w:val="nil"/>
              <w:bottom w:val="nil"/>
              <w:right w:val="nil"/>
            </w:tcBorders>
            <w:hideMark/>
          </w:tcPr>
          <w:p w14:paraId="292C1A47" w14:textId="77777777" w:rsidR="004A5AFD" w:rsidRPr="00F218A8" w:rsidRDefault="004A5AFD">
            <w:pPr>
              <w:spacing w:after="160" w:line="256" w:lineRule="auto"/>
              <w:rPr>
                <w:rFonts w:ascii="Times New Roman" w:hAnsi="Times New Roman" w:cs="Times New Roman"/>
                <w:b/>
                <w:bCs/>
                <w:sz w:val="24"/>
                <w:szCs w:val="24"/>
              </w:rPr>
            </w:pPr>
            <w:r w:rsidRPr="00F218A8">
              <w:rPr>
                <w:rFonts w:ascii="Times New Roman" w:hAnsi="Times New Roman" w:cs="Times New Roman"/>
                <w:b/>
                <w:bCs/>
                <w:sz w:val="24"/>
                <w:szCs w:val="24"/>
              </w:rPr>
              <w:t>AMH (ng/ml)</w:t>
            </w:r>
          </w:p>
        </w:tc>
        <w:tc>
          <w:tcPr>
            <w:tcW w:w="2155" w:type="dxa"/>
            <w:tcBorders>
              <w:top w:val="single" w:sz="4" w:space="0" w:color="auto"/>
              <w:left w:val="nil"/>
              <w:bottom w:val="nil"/>
              <w:right w:val="nil"/>
            </w:tcBorders>
            <w:hideMark/>
          </w:tcPr>
          <w:p w14:paraId="1BF8EB5D" w14:textId="77777777" w:rsidR="004A5AFD" w:rsidRPr="00F218A8" w:rsidRDefault="004A5AFD">
            <w:pPr>
              <w:spacing w:after="160" w:line="256" w:lineRule="auto"/>
              <w:jc w:val="center"/>
              <w:rPr>
                <w:rFonts w:ascii="Times New Roman" w:hAnsi="Times New Roman" w:cs="Times New Roman"/>
                <w:sz w:val="24"/>
                <w:szCs w:val="24"/>
              </w:rPr>
            </w:pPr>
            <w:r w:rsidRPr="00F218A8">
              <w:rPr>
                <w:rFonts w:ascii="Times New Roman" w:hAnsi="Times New Roman" w:cs="Times New Roman"/>
                <w:sz w:val="24"/>
                <w:szCs w:val="24"/>
              </w:rPr>
              <w:t>2.07</w:t>
            </w:r>
            <w:r w:rsidRPr="00F218A8">
              <w:rPr>
                <w:rFonts w:asciiTheme="minorEastAsia" w:hAnsiTheme="minorEastAsia" w:cstheme="minorEastAsia"/>
                <w:sz w:val="24"/>
                <w:szCs w:val="24"/>
              </w:rPr>
              <w:t>±</w:t>
            </w:r>
            <w:r w:rsidRPr="00F218A8">
              <w:rPr>
                <w:rFonts w:asciiTheme="minorEastAsia" w:hAnsiTheme="minorEastAsia" w:cstheme="minorEastAsia" w:hint="eastAsia"/>
                <w:sz w:val="24"/>
                <w:szCs w:val="24"/>
              </w:rPr>
              <w:t>4.6</w:t>
            </w:r>
          </w:p>
        </w:tc>
        <w:tc>
          <w:tcPr>
            <w:tcW w:w="1976" w:type="dxa"/>
            <w:tcBorders>
              <w:top w:val="single" w:sz="4" w:space="0" w:color="auto"/>
              <w:left w:val="nil"/>
              <w:bottom w:val="nil"/>
              <w:right w:val="nil"/>
            </w:tcBorders>
            <w:hideMark/>
          </w:tcPr>
          <w:p w14:paraId="376A12E5" w14:textId="77777777" w:rsidR="004A5AFD" w:rsidRPr="00F218A8" w:rsidRDefault="004A5AFD">
            <w:pPr>
              <w:spacing w:after="160" w:line="256" w:lineRule="auto"/>
              <w:jc w:val="center"/>
              <w:rPr>
                <w:rFonts w:ascii="Times New Roman" w:hAnsi="Times New Roman" w:cs="Times New Roman"/>
                <w:sz w:val="24"/>
                <w:szCs w:val="24"/>
              </w:rPr>
            </w:pPr>
            <w:bookmarkStart w:id="4" w:name="_Hlk126173471"/>
            <w:r w:rsidRPr="00F218A8">
              <w:rPr>
                <w:rFonts w:ascii="Times New Roman" w:hAnsi="Times New Roman" w:cs="Times New Roman"/>
                <w:sz w:val="24"/>
                <w:szCs w:val="24"/>
              </w:rPr>
              <w:t>3.80</w:t>
            </w:r>
            <w:r w:rsidRPr="00F218A8">
              <w:rPr>
                <w:rFonts w:asciiTheme="minorEastAsia" w:hAnsiTheme="minorEastAsia" w:cstheme="minorEastAsia"/>
                <w:sz w:val="24"/>
                <w:szCs w:val="24"/>
              </w:rPr>
              <w:t>±</w:t>
            </w:r>
            <w:r w:rsidRPr="00F218A8">
              <w:rPr>
                <w:rFonts w:asciiTheme="minorEastAsia" w:hAnsiTheme="minorEastAsia" w:cstheme="minorEastAsia" w:hint="eastAsia"/>
                <w:sz w:val="24"/>
                <w:szCs w:val="24"/>
              </w:rPr>
              <w:t>5.8</w:t>
            </w:r>
            <w:bookmarkEnd w:id="4"/>
          </w:p>
        </w:tc>
        <w:tc>
          <w:tcPr>
            <w:tcW w:w="1437" w:type="dxa"/>
            <w:tcBorders>
              <w:top w:val="single" w:sz="4" w:space="0" w:color="auto"/>
              <w:left w:val="nil"/>
              <w:bottom w:val="nil"/>
              <w:right w:val="nil"/>
            </w:tcBorders>
            <w:hideMark/>
          </w:tcPr>
          <w:p w14:paraId="7B63B94C" w14:textId="77777777" w:rsidR="004A5AFD" w:rsidRPr="00F218A8" w:rsidRDefault="004A5AFD">
            <w:pPr>
              <w:spacing w:after="160" w:line="256" w:lineRule="auto"/>
              <w:rPr>
                <w:rFonts w:ascii="Times New Roman" w:hAnsi="Times New Roman" w:cs="Times New Roman"/>
                <w:sz w:val="24"/>
                <w:szCs w:val="24"/>
              </w:rPr>
            </w:pPr>
            <w:r w:rsidRPr="00F218A8">
              <w:rPr>
                <w:rFonts w:ascii="Times New Roman" w:hAnsi="Times New Roman" w:cs="Times New Roman"/>
                <w:sz w:val="24"/>
                <w:szCs w:val="24"/>
              </w:rPr>
              <w:t>-5.810</w:t>
            </w:r>
          </w:p>
        </w:tc>
        <w:tc>
          <w:tcPr>
            <w:tcW w:w="1013" w:type="dxa"/>
            <w:tcBorders>
              <w:top w:val="single" w:sz="4" w:space="0" w:color="auto"/>
              <w:left w:val="nil"/>
              <w:bottom w:val="nil"/>
              <w:right w:val="nil"/>
            </w:tcBorders>
            <w:hideMark/>
          </w:tcPr>
          <w:p w14:paraId="3BC89E35" w14:textId="77777777" w:rsidR="004A5AFD" w:rsidRPr="00F218A8" w:rsidRDefault="004A5AFD">
            <w:pPr>
              <w:spacing w:after="160" w:line="256" w:lineRule="auto"/>
              <w:rPr>
                <w:rFonts w:ascii="Times New Roman" w:hAnsi="Times New Roman" w:cs="Times New Roman"/>
                <w:b/>
                <w:bCs/>
                <w:sz w:val="24"/>
                <w:szCs w:val="24"/>
              </w:rPr>
            </w:pPr>
            <w:r w:rsidRPr="00F218A8">
              <w:rPr>
                <w:rFonts w:ascii="Times New Roman" w:hAnsi="Times New Roman" w:cs="Times New Roman"/>
                <w:b/>
                <w:bCs/>
                <w:sz w:val="24"/>
                <w:szCs w:val="24"/>
              </w:rPr>
              <w:t>&lt;0.001*</w:t>
            </w:r>
          </w:p>
        </w:tc>
      </w:tr>
      <w:tr w:rsidR="004A5AFD" w:rsidRPr="00F218A8" w14:paraId="7B569949" w14:textId="77777777" w:rsidTr="004A5AFD">
        <w:tc>
          <w:tcPr>
            <w:tcW w:w="2779" w:type="dxa"/>
            <w:tcBorders>
              <w:top w:val="nil"/>
              <w:left w:val="nil"/>
              <w:bottom w:val="nil"/>
              <w:right w:val="nil"/>
            </w:tcBorders>
            <w:hideMark/>
          </w:tcPr>
          <w:p w14:paraId="7626C02F" w14:textId="77777777" w:rsidR="004A5AFD" w:rsidRPr="00F218A8" w:rsidRDefault="004A5AFD">
            <w:pPr>
              <w:spacing w:after="160" w:line="256" w:lineRule="auto"/>
              <w:rPr>
                <w:rFonts w:ascii="Times New Roman" w:hAnsi="Times New Roman" w:cs="Times New Roman"/>
                <w:b/>
                <w:bCs/>
                <w:sz w:val="24"/>
                <w:szCs w:val="24"/>
              </w:rPr>
            </w:pPr>
            <w:r w:rsidRPr="00F218A8">
              <w:rPr>
                <w:rFonts w:ascii="Times New Roman" w:hAnsi="Times New Roman" w:cs="Times New Roman"/>
                <w:b/>
                <w:bCs/>
                <w:sz w:val="24"/>
                <w:szCs w:val="24"/>
              </w:rPr>
              <w:t>FSH (</w:t>
            </w:r>
            <w:proofErr w:type="spellStart"/>
            <w:r w:rsidRPr="00F218A8">
              <w:rPr>
                <w:rFonts w:ascii="Times New Roman" w:hAnsi="Times New Roman" w:cs="Times New Roman"/>
                <w:b/>
                <w:bCs/>
                <w:sz w:val="24"/>
                <w:szCs w:val="24"/>
              </w:rPr>
              <w:t>mlU</w:t>
            </w:r>
            <w:proofErr w:type="spellEnd"/>
            <w:r w:rsidRPr="00F218A8">
              <w:rPr>
                <w:rFonts w:ascii="Times New Roman" w:hAnsi="Times New Roman" w:cs="Times New Roman"/>
                <w:b/>
                <w:bCs/>
                <w:sz w:val="24"/>
                <w:szCs w:val="24"/>
              </w:rPr>
              <w:t>/ml)</w:t>
            </w:r>
          </w:p>
        </w:tc>
        <w:tc>
          <w:tcPr>
            <w:tcW w:w="2155" w:type="dxa"/>
            <w:tcBorders>
              <w:top w:val="nil"/>
              <w:left w:val="nil"/>
              <w:bottom w:val="nil"/>
              <w:right w:val="nil"/>
            </w:tcBorders>
            <w:hideMark/>
          </w:tcPr>
          <w:p w14:paraId="47A7B027" w14:textId="77777777" w:rsidR="004A5AFD" w:rsidRPr="00F218A8" w:rsidRDefault="004A5AFD">
            <w:pPr>
              <w:spacing w:after="160" w:line="256" w:lineRule="auto"/>
              <w:jc w:val="center"/>
              <w:rPr>
                <w:rFonts w:ascii="Times New Roman" w:hAnsi="Times New Roman" w:cs="Times New Roman"/>
                <w:sz w:val="24"/>
                <w:szCs w:val="24"/>
              </w:rPr>
            </w:pPr>
            <w:bookmarkStart w:id="5" w:name="_Hlk126173586"/>
            <w:r w:rsidRPr="00F218A8">
              <w:rPr>
                <w:rFonts w:ascii="Times New Roman" w:hAnsi="Times New Roman" w:cs="Times New Roman"/>
                <w:sz w:val="24"/>
                <w:szCs w:val="24"/>
              </w:rPr>
              <w:t>12.36</w:t>
            </w:r>
            <w:r w:rsidRPr="00F218A8">
              <w:rPr>
                <w:rFonts w:asciiTheme="minorEastAsia" w:hAnsiTheme="minorEastAsia" w:cstheme="minorEastAsia"/>
                <w:sz w:val="24"/>
                <w:szCs w:val="24"/>
              </w:rPr>
              <w:t>±</w:t>
            </w:r>
            <w:r w:rsidRPr="00F218A8">
              <w:rPr>
                <w:rFonts w:asciiTheme="minorEastAsia" w:hAnsiTheme="minorEastAsia" w:cstheme="minorEastAsia" w:hint="eastAsia"/>
                <w:sz w:val="24"/>
                <w:szCs w:val="24"/>
              </w:rPr>
              <w:t>13.4</w:t>
            </w:r>
            <w:bookmarkEnd w:id="5"/>
          </w:p>
        </w:tc>
        <w:tc>
          <w:tcPr>
            <w:tcW w:w="1976" w:type="dxa"/>
            <w:tcBorders>
              <w:top w:val="nil"/>
              <w:left w:val="nil"/>
              <w:bottom w:val="nil"/>
              <w:right w:val="nil"/>
            </w:tcBorders>
            <w:hideMark/>
          </w:tcPr>
          <w:p w14:paraId="071DA35C" w14:textId="77777777" w:rsidR="004A5AFD" w:rsidRPr="00F218A8" w:rsidRDefault="004A5AFD">
            <w:pPr>
              <w:spacing w:after="160" w:line="256" w:lineRule="auto"/>
              <w:jc w:val="center"/>
              <w:rPr>
                <w:rFonts w:ascii="Times New Roman" w:hAnsi="Times New Roman" w:cs="Times New Roman"/>
                <w:sz w:val="24"/>
                <w:szCs w:val="24"/>
              </w:rPr>
            </w:pPr>
            <w:bookmarkStart w:id="6" w:name="_Hlk126173563"/>
            <w:r w:rsidRPr="00F218A8">
              <w:rPr>
                <w:rFonts w:ascii="Times New Roman" w:hAnsi="Times New Roman" w:cs="Times New Roman"/>
                <w:sz w:val="24"/>
                <w:szCs w:val="24"/>
              </w:rPr>
              <w:t>7.45</w:t>
            </w:r>
            <w:r w:rsidRPr="00F218A8">
              <w:rPr>
                <w:rFonts w:asciiTheme="minorEastAsia" w:hAnsiTheme="minorEastAsia" w:cstheme="minorEastAsia"/>
                <w:sz w:val="24"/>
                <w:szCs w:val="24"/>
              </w:rPr>
              <w:t>±</w:t>
            </w:r>
            <w:r w:rsidRPr="00F218A8">
              <w:rPr>
                <w:rFonts w:asciiTheme="minorEastAsia" w:hAnsiTheme="minorEastAsia" w:cstheme="minorEastAsia" w:hint="eastAsia"/>
                <w:sz w:val="24"/>
                <w:szCs w:val="24"/>
              </w:rPr>
              <w:t>2.5</w:t>
            </w:r>
            <w:bookmarkEnd w:id="6"/>
          </w:p>
        </w:tc>
        <w:tc>
          <w:tcPr>
            <w:tcW w:w="1437" w:type="dxa"/>
            <w:tcBorders>
              <w:top w:val="nil"/>
              <w:left w:val="nil"/>
              <w:bottom w:val="nil"/>
              <w:right w:val="nil"/>
            </w:tcBorders>
            <w:hideMark/>
          </w:tcPr>
          <w:p w14:paraId="1710B613" w14:textId="77777777" w:rsidR="004A5AFD" w:rsidRPr="00F218A8" w:rsidRDefault="004A5AFD">
            <w:pPr>
              <w:spacing w:after="160" w:line="256" w:lineRule="auto"/>
              <w:rPr>
                <w:rFonts w:ascii="Times New Roman" w:hAnsi="Times New Roman" w:cs="Times New Roman"/>
                <w:sz w:val="24"/>
                <w:szCs w:val="24"/>
              </w:rPr>
            </w:pPr>
            <w:r w:rsidRPr="00F218A8">
              <w:rPr>
                <w:rFonts w:ascii="Times New Roman" w:hAnsi="Times New Roman" w:cs="Times New Roman"/>
                <w:sz w:val="24"/>
                <w:szCs w:val="24"/>
              </w:rPr>
              <w:t>2.905</w:t>
            </w:r>
          </w:p>
        </w:tc>
        <w:tc>
          <w:tcPr>
            <w:tcW w:w="1013" w:type="dxa"/>
            <w:tcBorders>
              <w:top w:val="nil"/>
              <w:left w:val="nil"/>
              <w:bottom w:val="nil"/>
              <w:right w:val="nil"/>
            </w:tcBorders>
            <w:hideMark/>
          </w:tcPr>
          <w:p w14:paraId="7725AC79" w14:textId="77777777" w:rsidR="004A5AFD" w:rsidRPr="00F218A8" w:rsidRDefault="004A5AFD">
            <w:pPr>
              <w:spacing w:after="160" w:line="256" w:lineRule="auto"/>
              <w:rPr>
                <w:rFonts w:ascii="Times New Roman" w:hAnsi="Times New Roman" w:cs="Times New Roman"/>
                <w:b/>
                <w:bCs/>
                <w:sz w:val="24"/>
                <w:szCs w:val="24"/>
              </w:rPr>
            </w:pPr>
            <w:r w:rsidRPr="00F218A8">
              <w:rPr>
                <w:rFonts w:ascii="Times New Roman" w:hAnsi="Times New Roman" w:cs="Times New Roman"/>
                <w:b/>
                <w:bCs/>
                <w:sz w:val="24"/>
                <w:szCs w:val="24"/>
              </w:rPr>
              <w:t>0.004*</w:t>
            </w:r>
          </w:p>
        </w:tc>
      </w:tr>
      <w:tr w:rsidR="004A5AFD" w:rsidRPr="00F218A8" w14:paraId="22CC312D" w14:textId="77777777" w:rsidTr="004A5AFD">
        <w:tc>
          <w:tcPr>
            <w:tcW w:w="2779" w:type="dxa"/>
            <w:tcBorders>
              <w:top w:val="nil"/>
              <w:left w:val="nil"/>
              <w:bottom w:val="nil"/>
              <w:right w:val="nil"/>
            </w:tcBorders>
            <w:hideMark/>
          </w:tcPr>
          <w:p w14:paraId="4443851F" w14:textId="77777777" w:rsidR="004A5AFD" w:rsidRPr="00F218A8" w:rsidRDefault="004A5AFD">
            <w:pPr>
              <w:spacing w:after="160" w:line="256" w:lineRule="auto"/>
              <w:rPr>
                <w:rFonts w:ascii="Times New Roman" w:hAnsi="Times New Roman" w:cs="Times New Roman"/>
                <w:b/>
                <w:bCs/>
                <w:sz w:val="24"/>
                <w:szCs w:val="24"/>
              </w:rPr>
            </w:pPr>
            <w:proofErr w:type="gramStart"/>
            <w:r w:rsidRPr="00F218A8">
              <w:rPr>
                <w:rFonts w:ascii="Times New Roman" w:hAnsi="Times New Roman" w:cs="Times New Roman"/>
                <w:b/>
                <w:bCs/>
                <w:sz w:val="24"/>
                <w:szCs w:val="24"/>
              </w:rPr>
              <w:t>LH  (</w:t>
            </w:r>
            <w:proofErr w:type="spellStart"/>
            <w:proofErr w:type="gramEnd"/>
            <w:r w:rsidRPr="00F218A8">
              <w:rPr>
                <w:rFonts w:ascii="Times New Roman" w:hAnsi="Times New Roman" w:cs="Times New Roman"/>
                <w:b/>
                <w:bCs/>
                <w:sz w:val="24"/>
                <w:szCs w:val="24"/>
              </w:rPr>
              <w:t>mlU</w:t>
            </w:r>
            <w:proofErr w:type="spellEnd"/>
            <w:r w:rsidRPr="00F218A8">
              <w:rPr>
                <w:rFonts w:ascii="Times New Roman" w:hAnsi="Times New Roman" w:cs="Times New Roman"/>
                <w:b/>
                <w:bCs/>
                <w:sz w:val="24"/>
                <w:szCs w:val="24"/>
              </w:rPr>
              <w:t>/ml)</w:t>
            </w:r>
          </w:p>
        </w:tc>
        <w:tc>
          <w:tcPr>
            <w:tcW w:w="2155" w:type="dxa"/>
            <w:tcBorders>
              <w:top w:val="nil"/>
              <w:left w:val="nil"/>
              <w:bottom w:val="nil"/>
              <w:right w:val="nil"/>
            </w:tcBorders>
            <w:hideMark/>
          </w:tcPr>
          <w:p w14:paraId="6D56DCFC" w14:textId="77777777" w:rsidR="004A5AFD" w:rsidRPr="00F218A8" w:rsidRDefault="004A5AFD">
            <w:pPr>
              <w:spacing w:after="160" w:line="256" w:lineRule="auto"/>
              <w:jc w:val="center"/>
              <w:rPr>
                <w:rFonts w:ascii="Times New Roman" w:hAnsi="Times New Roman" w:cs="Times New Roman"/>
                <w:sz w:val="24"/>
                <w:szCs w:val="24"/>
              </w:rPr>
            </w:pPr>
            <w:bookmarkStart w:id="7" w:name="_Hlk126173649"/>
            <w:r w:rsidRPr="00F218A8">
              <w:rPr>
                <w:rFonts w:ascii="Times New Roman" w:hAnsi="Times New Roman" w:cs="Times New Roman"/>
                <w:sz w:val="24"/>
                <w:szCs w:val="24"/>
              </w:rPr>
              <w:t>13.93</w:t>
            </w:r>
            <w:r w:rsidRPr="00F218A8">
              <w:rPr>
                <w:rFonts w:asciiTheme="minorEastAsia" w:hAnsiTheme="minorEastAsia" w:cstheme="minorEastAsia"/>
                <w:sz w:val="24"/>
                <w:szCs w:val="24"/>
              </w:rPr>
              <w:t>±</w:t>
            </w:r>
            <w:r w:rsidRPr="00F218A8">
              <w:rPr>
                <w:rFonts w:asciiTheme="minorEastAsia" w:hAnsiTheme="minorEastAsia" w:cstheme="minorEastAsia" w:hint="eastAsia"/>
                <w:sz w:val="24"/>
                <w:szCs w:val="24"/>
              </w:rPr>
              <w:t>12.6</w:t>
            </w:r>
            <w:bookmarkEnd w:id="7"/>
          </w:p>
        </w:tc>
        <w:tc>
          <w:tcPr>
            <w:tcW w:w="1976" w:type="dxa"/>
            <w:tcBorders>
              <w:top w:val="nil"/>
              <w:left w:val="nil"/>
              <w:bottom w:val="nil"/>
              <w:right w:val="nil"/>
            </w:tcBorders>
            <w:hideMark/>
          </w:tcPr>
          <w:p w14:paraId="3868B0E0" w14:textId="77777777" w:rsidR="004A5AFD" w:rsidRPr="00F218A8" w:rsidRDefault="004A5AFD">
            <w:pPr>
              <w:spacing w:after="160" w:line="256" w:lineRule="auto"/>
              <w:jc w:val="center"/>
              <w:rPr>
                <w:rFonts w:ascii="Times New Roman" w:hAnsi="Times New Roman" w:cs="Times New Roman"/>
                <w:sz w:val="24"/>
                <w:szCs w:val="24"/>
              </w:rPr>
            </w:pPr>
            <w:bookmarkStart w:id="8" w:name="_Hlk126173621"/>
            <w:r w:rsidRPr="00F218A8">
              <w:rPr>
                <w:rFonts w:ascii="Times New Roman" w:hAnsi="Times New Roman" w:cs="Times New Roman"/>
                <w:sz w:val="24"/>
                <w:szCs w:val="24"/>
              </w:rPr>
              <w:t>8.73</w:t>
            </w:r>
            <w:r w:rsidRPr="00F218A8">
              <w:rPr>
                <w:rFonts w:asciiTheme="minorEastAsia" w:hAnsiTheme="minorEastAsia" w:cstheme="minorEastAsia"/>
                <w:sz w:val="24"/>
                <w:szCs w:val="24"/>
              </w:rPr>
              <w:t>±</w:t>
            </w:r>
            <w:r w:rsidRPr="00F218A8">
              <w:rPr>
                <w:rFonts w:asciiTheme="minorEastAsia" w:hAnsiTheme="minorEastAsia" w:cstheme="minorEastAsia" w:hint="eastAsia"/>
                <w:sz w:val="24"/>
                <w:szCs w:val="24"/>
              </w:rPr>
              <w:t>2.3</w:t>
            </w:r>
            <w:bookmarkEnd w:id="8"/>
          </w:p>
        </w:tc>
        <w:tc>
          <w:tcPr>
            <w:tcW w:w="1437" w:type="dxa"/>
            <w:tcBorders>
              <w:top w:val="nil"/>
              <w:left w:val="nil"/>
              <w:bottom w:val="nil"/>
              <w:right w:val="nil"/>
            </w:tcBorders>
            <w:hideMark/>
          </w:tcPr>
          <w:p w14:paraId="235648A2" w14:textId="77777777" w:rsidR="004A5AFD" w:rsidRPr="00F218A8" w:rsidRDefault="004A5AFD">
            <w:pPr>
              <w:spacing w:after="160" w:line="256" w:lineRule="auto"/>
              <w:rPr>
                <w:rFonts w:ascii="Times New Roman" w:hAnsi="Times New Roman" w:cs="Times New Roman"/>
                <w:sz w:val="24"/>
                <w:szCs w:val="24"/>
              </w:rPr>
            </w:pPr>
            <w:r w:rsidRPr="00F218A8">
              <w:rPr>
                <w:rFonts w:ascii="Times New Roman" w:hAnsi="Times New Roman" w:cs="Times New Roman"/>
                <w:sz w:val="24"/>
                <w:szCs w:val="24"/>
              </w:rPr>
              <w:t>3.260</w:t>
            </w:r>
          </w:p>
        </w:tc>
        <w:tc>
          <w:tcPr>
            <w:tcW w:w="1013" w:type="dxa"/>
            <w:tcBorders>
              <w:top w:val="nil"/>
              <w:left w:val="nil"/>
              <w:bottom w:val="nil"/>
              <w:right w:val="nil"/>
            </w:tcBorders>
            <w:hideMark/>
          </w:tcPr>
          <w:p w14:paraId="402D3EBA" w14:textId="77777777" w:rsidR="004A5AFD" w:rsidRPr="00F218A8" w:rsidRDefault="004A5AFD">
            <w:pPr>
              <w:spacing w:after="160" w:line="256" w:lineRule="auto"/>
              <w:rPr>
                <w:rFonts w:ascii="Times New Roman" w:hAnsi="Times New Roman" w:cs="Times New Roman"/>
                <w:b/>
                <w:bCs/>
                <w:sz w:val="24"/>
                <w:szCs w:val="24"/>
              </w:rPr>
            </w:pPr>
            <w:r w:rsidRPr="00F218A8">
              <w:rPr>
                <w:rFonts w:ascii="Times New Roman" w:hAnsi="Times New Roman" w:cs="Times New Roman"/>
                <w:b/>
                <w:bCs/>
                <w:sz w:val="24"/>
                <w:szCs w:val="24"/>
              </w:rPr>
              <w:t>0.001*</w:t>
            </w:r>
          </w:p>
        </w:tc>
      </w:tr>
      <w:tr w:rsidR="004A5AFD" w:rsidRPr="00F218A8" w14:paraId="25FDBFF0" w14:textId="77777777" w:rsidTr="004A5AFD">
        <w:tc>
          <w:tcPr>
            <w:tcW w:w="2779" w:type="dxa"/>
            <w:tcBorders>
              <w:top w:val="nil"/>
              <w:left w:val="nil"/>
              <w:bottom w:val="nil"/>
              <w:right w:val="nil"/>
            </w:tcBorders>
            <w:hideMark/>
          </w:tcPr>
          <w:p w14:paraId="0E874964" w14:textId="77777777" w:rsidR="004A5AFD" w:rsidRPr="00F218A8" w:rsidRDefault="004A5AFD">
            <w:pPr>
              <w:spacing w:after="160" w:line="256" w:lineRule="auto"/>
              <w:rPr>
                <w:rFonts w:ascii="Times New Roman" w:hAnsi="Times New Roman" w:cs="Times New Roman"/>
                <w:b/>
                <w:bCs/>
                <w:sz w:val="24"/>
                <w:szCs w:val="24"/>
              </w:rPr>
            </w:pPr>
            <w:r w:rsidRPr="00F218A8">
              <w:rPr>
                <w:rFonts w:ascii="Times New Roman" w:hAnsi="Times New Roman" w:cs="Times New Roman"/>
                <w:b/>
                <w:bCs/>
                <w:sz w:val="24"/>
                <w:szCs w:val="24"/>
              </w:rPr>
              <w:t>Estradiol (</w:t>
            </w:r>
            <w:proofErr w:type="spellStart"/>
            <w:r w:rsidRPr="00F218A8">
              <w:rPr>
                <w:rFonts w:ascii="Times New Roman" w:hAnsi="Times New Roman" w:cs="Times New Roman"/>
                <w:b/>
                <w:bCs/>
                <w:sz w:val="24"/>
                <w:szCs w:val="24"/>
              </w:rPr>
              <w:t>pg</w:t>
            </w:r>
            <w:proofErr w:type="spellEnd"/>
            <w:r w:rsidRPr="00F218A8">
              <w:rPr>
                <w:rFonts w:ascii="Times New Roman" w:hAnsi="Times New Roman" w:cs="Times New Roman"/>
                <w:b/>
                <w:bCs/>
                <w:sz w:val="24"/>
                <w:szCs w:val="24"/>
              </w:rPr>
              <w:t>/ml)</w:t>
            </w:r>
          </w:p>
        </w:tc>
        <w:tc>
          <w:tcPr>
            <w:tcW w:w="2155" w:type="dxa"/>
            <w:tcBorders>
              <w:top w:val="nil"/>
              <w:left w:val="nil"/>
              <w:bottom w:val="nil"/>
              <w:right w:val="nil"/>
            </w:tcBorders>
            <w:hideMark/>
          </w:tcPr>
          <w:p w14:paraId="77174416" w14:textId="77777777" w:rsidR="004A5AFD" w:rsidRPr="00F218A8" w:rsidRDefault="004A5AFD">
            <w:pPr>
              <w:spacing w:after="160" w:line="256" w:lineRule="auto"/>
              <w:jc w:val="center"/>
              <w:rPr>
                <w:rFonts w:ascii="Times New Roman" w:hAnsi="Times New Roman" w:cs="Times New Roman"/>
                <w:sz w:val="24"/>
                <w:szCs w:val="24"/>
              </w:rPr>
            </w:pPr>
            <w:bookmarkStart w:id="9" w:name="_Hlk126173747"/>
            <w:r w:rsidRPr="00F218A8">
              <w:rPr>
                <w:rFonts w:ascii="Times New Roman" w:hAnsi="Times New Roman" w:cs="Times New Roman"/>
                <w:sz w:val="24"/>
                <w:szCs w:val="24"/>
              </w:rPr>
              <w:t>73.05</w:t>
            </w:r>
            <w:r w:rsidRPr="00F218A8">
              <w:rPr>
                <w:rFonts w:asciiTheme="minorEastAsia" w:hAnsiTheme="minorEastAsia" w:cstheme="minorEastAsia"/>
                <w:sz w:val="24"/>
                <w:szCs w:val="24"/>
              </w:rPr>
              <w:t>±</w:t>
            </w:r>
            <w:r w:rsidRPr="00F218A8">
              <w:rPr>
                <w:rFonts w:asciiTheme="minorEastAsia" w:hAnsiTheme="minorEastAsia" w:cstheme="minorEastAsia" w:hint="eastAsia"/>
                <w:sz w:val="24"/>
                <w:szCs w:val="24"/>
              </w:rPr>
              <w:t>30.7</w:t>
            </w:r>
            <w:bookmarkEnd w:id="9"/>
          </w:p>
        </w:tc>
        <w:tc>
          <w:tcPr>
            <w:tcW w:w="1976" w:type="dxa"/>
            <w:tcBorders>
              <w:top w:val="nil"/>
              <w:left w:val="nil"/>
              <w:bottom w:val="nil"/>
              <w:right w:val="nil"/>
            </w:tcBorders>
            <w:hideMark/>
          </w:tcPr>
          <w:p w14:paraId="529BFA20" w14:textId="77777777" w:rsidR="004A5AFD" w:rsidRPr="00F218A8" w:rsidRDefault="004A5AFD">
            <w:pPr>
              <w:spacing w:after="160" w:line="256" w:lineRule="auto"/>
              <w:jc w:val="center"/>
              <w:rPr>
                <w:rFonts w:ascii="Times New Roman" w:hAnsi="Times New Roman" w:cs="Times New Roman"/>
                <w:sz w:val="24"/>
                <w:szCs w:val="24"/>
              </w:rPr>
            </w:pPr>
            <w:bookmarkStart w:id="10" w:name="_Hlk126173719"/>
            <w:r w:rsidRPr="00F218A8">
              <w:rPr>
                <w:rFonts w:ascii="Times New Roman" w:hAnsi="Times New Roman" w:cs="Times New Roman"/>
                <w:sz w:val="24"/>
                <w:szCs w:val="24"/>
              </w:rPr>
              <w:t>63.50</w:t>
            </w:r>
            <w:r w:rsidRPr="00F218A8">
              <w:rPr>
                <w:rFonts w:asciiTheme="minorEastAsia" w:hAnsiTheme="minorEastAsia" w:cstheme="minorEastAsia"/>
                <w:sz w:val="24"/>
                <w:szCs w:val="24"/>
              </w:rPr>
              <w:t>±</w:t>
            </w:r>
            <w:r w:rsidRPr="00F218A8">
              <w:rPr>
                <w:rFonts w:asciiTheme="minorEastAsia" w:hAnsiTheme="minorEastAsia" w:cstheme="minorEastAsia" w:hint="eastAsia"/>
                <w:sz w:val="24"/>
                <w:szCs w:val="24"/>
              </w:rPr>
              <w:t>16.3</w:t>
            </w:r>
            <w:bookmarkEnd w:id="10"/>
          </w:p>
        </w:tc>
        <w:tc>
          <w:tcPr>
            <w:tcW w:w="1437" w:type="dxa"/>
            <w:tcBorders>
              <w:top w:val="nil"/>
              <w:left w:val="nil"/>
              <w:bottom w:val="nil"/>
              <w:right w:val="nil"/>
            </w:tcBorders>
            <w:hideMark/>
          </w:tcPr>
          <w:p w14:paraId="44D77A76" w14:textId="77777777" w:rsidR="004A5AFD" w:rsidRPr="00F218A8" w:rsidRDefault="004A5AFD">
            <w:pPr>
              <w:spacing w:after="160" w:line="256" w:lineRule="auto"/>
              <w:rPr>
                <w:rFonts w:ascii="Times New Roman" w:hAnsi="Times New Roman" w:cs="Times New Roman"/>
                <w:sz w:val="24"/>
                <w:szCs w:val="24"/>
              </w:rPr>
            </w:pPr>
            <w:r w:rsidRPr="00F218A8">
              <w:rPr>
                <w:rFonts w:ascii="Times New Roman" w:hAnsi="Times New Roman" w:cs="Times New Roman"/>
                <w:sz w:val="24"/>
                <w:szCs w:val="24"/>
              </w:rPr>
              <w:t>2.212</w:t>
            </w:r>
          </w:p>
        </w:tc>
        <w:tc>
          <w:tcPr>
            <w:tcW w:w="1013" w:type="dxa"/>
            <w:tcBorders>
              <w:top w:val="nil"/>
              <w:left w:val="nil"/>
              <w:bottom w:val="nil"/>
              <w:right w:val="nil"/>
            </w:tcBorders>
            <w:hideMark/>
          </w:tcPr>
          <w:p w14:paraId="1981DCBB" w14:textId="77777777" w:rsidR="004A5AFD" w:rsidRPr="00F218A8" w:rsidRDefault="004A5AFD">
            <w:pPr>
              <w:spacing w:after="160" w:line="256" w:lineRule="auto"/>
              <w:rPr>
                <w:rFonts w:ascii="Times New Roman" w:hAnsi="Times New Roman" w:cs="Times New Roman"/>
                <w:b/>
                <w:bCs/>
                <w:sz w:val="24"/>
                <w:szCs w:val="24"/>
              </w:rPr>
            </w:pPr>
            <w:r w:rsidRPr="00F218A8">
              <w:rPr>
                <w:rFonts w:ascii="Times New Roman" w:hAnsi="Times New Roman" w:cs="Times New Roman"/>
                <w:b/>
                <w:bCs/>
                <w:sz w:val="24"/>
                <w:szCs w:val="24"/>
              </w:rPr>
              <w:t>0.002*</w:t>
            </w:r>
          </w:p>
        </w:tc>
      </w:tr>
      <w:tr w:rsidR="004A5AFD" w:rsidRPr="00F218A8" w14:paraId="463C362D" w14:textId="77777777" w:rsidTr="004A5AFD">
        <w:tc>
          <w:tcPr>
            <w:tcW w:w="2779" w:type="dxa"/>
            <w:tcBorders>
              <w:top w:val="nil"/>
              <w:left w:val="nil"/>
              <w:bottom w:val="nil"/>
              <w:right w:val="nil"/>
            </w:tcBorders>
            <w:hideMark/>
          </w:tcPr>
          <w:p w14:paraId="12B9110A" w14:textId="77777777" w:rsidR="004A5AFD" w:rsidRPr="00F218A8" w:rsidRDefault="004A5AFD">
            <w:pPr>
              <w:spacing w:after="160" w:line="256" w:lineRule="auto"/>
              <w:rPr>
                <w:rFonts w:ascii="Times New Roman" w:hAnsi="Times New Roman" w:cs="Times New Roman"/>
                <w:b/>
                <w:bCs/>
                <w:sz w:val="24"/>
                <w:szCs w:val="24"/>
              </w:rPr>
            </w:pPr>
            <w:r w:rsidRPr="00F218A8">
              <w:rPr>
                <w:rFonts w:ascii="Times New Roman" w:hAnsi="Times New Roman" w:cs="Times New Roman"/>
                <w:b/>
                <w:bCs/>
                <w:sz w:val="24"/>
                <w:szCs w:val="24"/>
              </w:rPr>
              <w:t>Progesterone (ng/ml)</w:t>
            </w:r>
          </w:p>
        </w:tc>
        <w:tc>
          <w:tcPr>
            <w:tcW w:w="2155" w:type="dxa"/>
            <w:tcBorders>
              <w:top w:val="nil"/>
              <w:left w:val="nil"/>
              <w:bottom w:val="nil"/>
              <w:right w:val="nil"/>
            </w:tcBorders>
            <w:hideMark/>
          </w:tcPr>
          <w:p w14:paraId="60CF5E9C" w14:textId="77777777" w:rsidR="004A5AFD" w:rsidRPr="00F218A8" w:rsidRDefault="004A5AFD">
            <w:pPr>
              <w:spacing w:after="160" w:line="256" w:lineRule="auto"/>
              <w:jc w:val="center"/>
              <w:rPr>
                <w:rFonts w:ascii="Times New Roman" w:hAnsi="Times New Roman" w:cs="Times New Roman"/>
                <w:sz w:val="24"/>
                <w:szCs w:val="24"/>
              </w:rPr>
            </w:pPr>
            <w:r w:rsidRPr="00F218A8">
              <w:rPr>
                <w:rFonts w:ascii="Times New Roman" w:hAnsi="Times New Roman" w:cs="Times New Roman"/>
                <w:sz w:val="24"/>
                <w:szCs w:val="24"/>
              </w:rPr>
              <w:t>1.96</w:t>
            </w:r>
            <w:r w:rsidRPr="00F218A8">
              <w:rPr>
                <w:rFonts w:asciiTheme="minorEastAsia" w:hAnsiTheme="minorEastAsia" w:cstheme="minorEastAsia"/>
                <w:sz w:val="24"/>
                <w:szCs w:val="24"/>
              </w:rPr>
              <w:t>±</w:t>
            </w:r>
            <w:r w:rsidRPr="00F218A8">
              <w:rPr>
                <w:rFonts w:asciiTheme="minorEastAsia" w:hAnsiTheme="minorEastAsia" w:cstheme="minorEastAsia" w:hint="eastAsia"/>
                <w:sz w:val="24"/>
                <w:szCs w:val="24"/>
              </w:rPr>
              <w:t>1.7</w:t>
            </w:r>
          </w:p>
        </w:tc>
        <w:tc>
          <w:tcPr>
            <w:tcW w:w="1976" w:type="dxa"/>
            <w:tcBorders>
              <w:top w:val="nil"/>
              <w:left w:val="nil"/>
              <w:bottom w:val="nil"/>
              <w:right w:val="nil"/>
            </w:tcBorders>
            <w:hideMark/>
          </w:tcPr>
          <w:p w14:paraId="0E6D666F" w14:textId="77777777" w:rsidR="004A5AFD" w:rsidRPr="00F218A8" w:rsidRDefault="004A5AFD">
            <w:pPr>
              <w:spacing w:after="160" w:line="256" w:lineRule="auto"/>
              <w:jc w:val="center"/>
              <w:rPr>
                <w:rFonts w:ascii="Times New Roman" w:hAnsi="Times New Roman" w:cs="Times New Roman"/>
                <w:sz w:val="24"/>
                <w:szCs w:val="24"/>
              </w:rPr>
            </w:pPr>
            <w:r w:rsidRPr="00F218A8">
              <w:rPr>
                <w:rFonts w:ascii="Times New Roman" w:hAnsi="Times New Roman" w:cs="Times New Roman"/>
                <w:sz w:val="24"/>
                <w:szCs w:val="24"/>
              </w:rPr>
              <w:t>1.70</w:t>
            </w:r>
            <w:r w:rsidRPr="00F218A8">
              <w:rPr>
                <w:rFonts w:asciiTheme="minorEastAsia" w:hAnsiTheme="minorEastAsia" w:cstheme="minorEastAsia"/>
                <w:sz w:val="24"/>
                <w:szCs w:val="24"/>
              </w:rPr>
              <w:t>±</w:t>
            </w:r>
            <w:r w:rsidRPr="00F218A8">
              <w:rPr>
                <w:rFonts w:asciiTheme="minorEastAsia" w:hAnsiTheme="minorEastAsia" w:cstheme="minorEastAsia" w:hint="eastAsia"/>
                <w:sz w:val="24"/>
                <w:szCs w:val="24"/>
              </w:rPr>
              <w:t>1.4</w:t>
            </w:r>
          </w:p>
        </w:tc>
        <w:tc>
          <w:tcPr>
            <w:tcW w:w="1437" w:type="dxa"/>
            <w:tcBorders>
              <w:top w:val="nil"/>
              <w:left w:val="nil"/>
              <w:bottom w:val="nil"/>
              <w:right w:val="nil"/>
            </w:tcBorders>
            <w:hideMark/>
          </w:tcPr>
          <w:p w14:paraId="15FF690C" w14:textId="77777777" w:rsidR="004A5AFD" w:rsidRPr="00F218A8" w:rsidRDefault="004A5AFD">
            <w:pPr>
              <w:spacing w:after="160" w:line="256" w:lineRule="auto"/>
              <w:rPr>
                <w:rFonts w:ascii="Times New Roman" w:hAnsi="Times New Roman" w:cs="Times New Roman"/>
                <w:sz w:val="24"/>
                <w:szCs w:val="24"/>
              </w:rPr>
            </w:pPr>
            <w:r w:rsidRPr="00F218A8">
              <w:rPr>
                <w:rFonts w:ascii="Times New Roman" w:hAnsi="Times New Roman" w:cs="Times New Roman"/>
                <w:sz w:val="24"/>
                <w:szCs w:val="24"/>
              </w:rPr>
              <w:t>0.944</w:t>
            </w:r>
          </w:p>
        </w:tc>
        <w:tc>
          <w:tcPr>
            <w:tcW w:w="1013" w:type="dxa"/>
            <w:tcBorders>
              <w:top w:val="nil"/>
              <w:left w:val="nil"/>
              <w:bottom w:val="nil"/>
              <w:right w:val="nil"/>
            </w:tcBorders>
            <w:hideMark/>
          </w:tcPr>
          <w:p w14:paraId="026DB819" w14:textId="77777777" w:rsidR="004A5AFD" w:rsidRPr="00F218A8" w:rsidRDefault="004A5AFD">
            <w:pPr>
              <w:spacing w:after="160" w:line="256" w:lineRule="auto"/>
              <w:rPr>
                <w:rFonts w:ascii="Times New Roman" w:hAnsi="Times New Roman" w:cs="Times New Roman"/>
                <w:sz w:val="24"/>
                <w:szCs w:val="24"/>
              </w:rPr>
            </w:pPr>
            <w:r w:rsidRPr="00F218A8">
              <w:rPr>
                <w:rFonts w:ascii="Times New Roman" w:hAnsi="Times New Roman" w:cs="Times New Roman"/>
                <w:sz w:val="24"/>
                <w:szCs w:val="24"/>
              </w:rPr>
              <w:t>0.347</w:t>
            </w:r>
          </w:p>
        </w:tc>
      </w:tr>
      <w:tr w:rsidR="004A5AFD" w:rsidRPr="00F218A8" w14:paraId="61715C4B" w14:textId="77777777" w:rsidTr="004A5AFD">
        <w:tc>
          <w:tcPr>
            <w:tcW w:w="2779" w:type="dxa"/>
            <w:tcBorders>
              <w:top w:val="nil"/>
              <w:left w:val="nil"/>
              <w:bottom w:val="single" w:sz="4" w:space="0" w:color="auto"/>
              <w:right w:val="nil"/>
            </w:tcBorders>
            <w:hideMark/>
          </w:tcPr>
          <w:p w14:paraId="0EF744CE" w14:textId="77777777" w:rsidR="004A5AFD" w:rsidRPr="00F218A8" w:rsidRDefault="004A5AFD">
            <w:pPr>
              <w:spacing w:after="160" w:line="256" w:lineRule="auto"/>
              <w:rPr>
                <w:rFonts w:ascii="Times New Roman" w:hAnsi="Times New Roman" w:cs="Times New Roman"/>
                <w:b/>
                <w:bCs/>
                <w:sz w:val="24"/>
                <w:szCs w:val="24"/>
              </w:rPr>
            </w:pPr>
            <w:r w:rsidRPr="00F218A8">
              <w:rPr>
                <w:rFonts w:ascii="Times New Roman" w:hAnsi="Times New Roman" w:cs="Times New Roman"/>
                <w:b/>
                <w:bCs/>
                <w:sz w:val="24"/>
                <w:szCs w:val="24"/>
              </w:rPr>
              <w:t>PRL (ng/ml)</w:t>
            </w:r>
          </w:p>
        </w:tc>
        <w:tc>
          <w:tcPr>
            <w:tcW w:w="2155" w:type="dxa"/>
            <w:tcBorders>
              <w:top w:val="nil"/>
              <w:left w:val="nil"/>
              <w:bottom w:val="single" w:sz="4" w:space="0" w:color="auto"/>
              <w:right w:val="nil"/>
            </w:tcBorders>
            <w:hideMark/>
          </w:tcPr>
          <w:p w14:paraId="3F173EE5" w14:textId="77777777" w:rsidR="004A5AFD" w:rsidRPr="00F218A8" w:rsidRDefault="004A5AFD">
            <w:pPr>
              <w:spacing w:after="160" w:line="256" w:lineRule="auto"/>
              <w:jc w:val="center"/>
              <w:rPr>
                <w:rFonts w:ascii="Times New Roman" w:hAnsi="Times New Roman" w:cs="Times New Roman"/>
                <w:sz w:val="24"/>
                <w:szCs w:val="24"/>
              </w:rPr>
            </w:pPr>
            <w:bookmarkStart w:id="11" w:name="_Hlk126173860"/>
            <w:r w:rsidRPr="00F218A8">
              <w:rPr>
                <w:rFonts w:ascii="Times New Roman" w:hAnsi="Times New Roman" w:cs="Times New Roman"/>
                <w:sz w:val="24"/>
                <w:szCs w:val="24"/>
              </w:rPr>
              <w:t>12.55</w:t>
            </w:r>
            <w:r w:rsidRPr="00F218A8">
              <w:rPr>
                <w:rFonts w:asciiTheme="minorEastAsia" w:hAnsiTheme="minorEastAsia" w:cstheme="minorEastAsia"/>
                <w:sz w:val="24"/>
                <w:szCs w:val="24"/>
              </w:rPr>
              <w:t>±</w:t>
            </w:r>
            <w:r w:rsidRPr="00F218A8">
              <w:rPr>
                <w:rFonts w:asciiTheme="minorEastAsia" w:hAnsiTheme="minorEastAsia" w:cstheme="minorEastAsia" w:hint="eastAsia"/>
                <w:sz w:val="24"/>
                <w:szCs w:val="24"/>
              </w:rPr>
              <w:t>8.8</w:t>
            </w:r>
            <w:bookmarkEnd w:id="11"/>
          </w:p>
        </w:tc>
        <w:tc>
          <w:tcPr>
            <w:tcW w:w="1976" w:type="dxa"/>
            <w:tcBorders>
              <w:top w:val="nil"/>
              <w:left w:val="nil"/>
              <w:bottom w:val="single" w:sz="4" w:space="0" w:color="auto"/>
              <w:right w:val="nil"/>
            </w:tcBorders>
            <w:hideMark/>
          </w:tcPr>
          <w:p w14:paraId="79D4A989" w14:textId="77777777" w:rsidR="004A5AFD" w:rsidRPr="00F218A8" w:rsidRDefault="004A5AFD">
            <w:pPr>
              <w:spacing w:after="160" w:line="256" w:lineRule="auto"/>
              <w:jc w:val="center"/>
              <w:rPr>
                <w:rFonts w:ascii="Times New Roman" w:hAnsi="Times New Roman" w:cs="Times New Roman"/>
                <w:sz w:val="24"/>
                <w:szCs w:val="24"/>
              </w:rPr>
            </w:pPr>
            <w:bookmarkStart w:id="12" w:name="_Hlk126173825"/>
            <w:r w:rsidRPr="00F218A8">
              <w:rPr>
                <w:rFonts w:ascii="Times New Roman" w:hAnsi="Times New Roman" w:cs="Times New Roman"/>
                <w:sz w:val="24"/>
                <w:szCs w:val="24"/>
              </w:rPr>
              <w:t>8.01</w:t>
            </w:r>
            <w:r w:rsidRPr="00F218A8">
              <w:rPr>
                <w:rFonts w:asciiTheme="minorEastAsia" w:hAnsiTheme="minorEastAsia" w:cstheme="minorEastAsia"/>
                <w:sz w:val="24"/>
                <w:szCs w:val="24"/>
              </w:rPr>
              <w:t>±</w:t>
            </w:r>
            <w:r w:rsidRPr="00F218A8">
              <w:rPr>
                <w:rFonts w:asciiTheme="minorEastAsia" w:hAnsiTheme="minorEastAsia" w:cstheme="minorEastAsia" w:hint="eastAsia"/>
                <w:sz w:val="24"/>
                <w:szCs w:val="24"/>
              </w:rPr>
              <w:t>5.8</w:t>
            </w:r>
            <w:bookmarkEnd w:id="12"/>
          </w:p>
        </w:tc>
        <w:tc>
          <w:tcPr>
            <w:tcW w:w="1437" w:type="dxa"/>
            <w:tcBorders>
              <w:top w:val="nil"/>
              <w:left w:val="nil"/>
              <w:bottom w:val="single" w:sz="4" w:space="0" w:color="auto"/>
              <w:right w:val="nil"/>
            </w:tcBorders>
            <w:hideMark/>
          </w:tcPr>
          <w:p w14:paraId="6E78DE82" w14:textId="77777777" w:rsidR="004A5AFD" w:rsidRPr="00F218A8" w:rsidRDefault="004A5AFD">
            <w:pPr>
              <w:spacing w:after="160" w:line="256" w:lineRule="auto"/>
              <w:rPr>
                <w:rFonts w:ascii="Times New Roman" w:hAnsi="Times New Roman" w:cs="Times New Roman"/>
                <w:sz w:val="24"/>
                <w:szCs w:val="24"/>
              </w:rPr>
            </w:pPr>
            <w:r w:rsidRPr="00F218A8">
              <w:rPr>
                <w:rFonts w:ascii="Times New Roman" w:hAnsi="Times New Roman" w:cs="Times New Roman"/>
                <w:sz w:val="24"/>
                <w:szCs w:val="24"/>
              </w:rPr>
              <w:t>3.485</w:t>
            </w:r>
          </w:p>
        </w:tc>
        <w:tc>
          <w:tcPr>
            <w:tcW w:w="1013" w:type="dxa"/>
            <w:tcBorders>
              <w:top w:val="nil"/>
              <w:left w:val="nil"/>
              <w:bottom w:val="single" w:sz="4" w:space="0" w:color="auto"/>
              <w:right w:val="nil"/>
            </w:tcBorders>
            <w:hideMark/>
          </w:tcPr>
          <w:p w14:paraId="2DFD173D" w14:textId="77777777" w:rsidR="004A5AFD" w:rsidRPr="00F218A8" w:rsidRDefault="004A5AFD">
            <w:pPr>
              <w:spacing w:after="160" w:line="256" w:lineRule="auto"/>
              <w:rPr>
                <w:rFonts w:ascii="Times New Roman" w:hAnsi="Times New Roman" w:cs="Times New Roman"/>
                <w:b/>
                <w:bCs/>
                <w:sz w:val="24"/>
                <w:szCs w:val="24"/>
              </w:rPr>
            </w:pPr>
            <w:r w:rsidRPr="00F218A8">
              <w:rPr>
                <w:rFonts w:ascii="Times New Roman" w:hAnsi="Times New Roman" w:cs="Times New Roman"/>
                <w:b/>
                <w:bCs/>
                <w:sz w:val="24"/>
                <w:szCs w:val="24"/>
              </w:rPr>
              <w:t>0.001*</w:t>
            </w:r>
          </w:p>
        </w:tc>
      </w:tr>
    </w:tbl>
    <w:p w14:paraId="54EEA0FB" w14:textId="77777777" w:rsidR="004A5AFD" w:rsidRPr="00F218A8" w:rsidRDefault="004A5AFD" w:rsidP="004A5AFD">
      <w:pPr>
        <w:rPr>
          <w:rFonts w:ascii="Times New Roman" w:hAnsi="Times New Roman" w:cs="Times New Roman"/>
          <w:b/>
          <w:bCs/>
          <w:sz w:val="24"/>
          <w:szCs w:val="24"/>
          <w:lang w:val="en-US"/>
        </w:rPr>
      </w:pPr>
      <w:r w:rsidRPr="00F218A8">
        <w:rPr>
          <w:rFonts w:ascii="Times New Roman" w:hAnsi="Times New Roman" w:cs="Times New Roman"/>
          <w:b/>
          <w:bCs/>
          <w:sz w:val="24"/>
          <w:szCs w:val="24"/>
        </w:rPr>
        <w:t>*Significant; t-value=Independent student t test</w:t>
      </w:r>
    </w:p>
    <w:p w14:paraId="61A2A110" w14:textId="77777777" w:rsidR="004A5AFD" w:rsidRPr="00F218A8" w:rsidRDefault="004A5AFD">
      <w:pPr>
        <w:rPr>
          <w:rFonts w:ascii="Times New Roman" w:hAnsi="Times New Roman" w:cs="Times New Roman"/>
          <w:sz w:val="24"/>
        </w:rPr>
      </w:pPr>
    </w:p>
    <w:p w14:paraId="3709C186" w14:textId="77777777" w:rsidR="004A5AFD" w:rsidRPr="00F218A8" w:rsidRDefault="009C2E77" w:rsidP="00767608">
      <w:pPr>
        <w:spacing w:line="240" w:lineRule="auto"/>
        <w:jc w:val="both"/>
        <w:rPr>
          <w:rFonts w:ascii="Times New Roman" w:hAnsi="Times New Roman" w:cs="Times New Roman"/>
          <w:b/>
          <w:bCs/>
          <w:sz w:val="24"/>
          <w:szCs w:val="24"/>
        </w:rPr>
      </w:pPr>
      <w:r w:rsidRPr="00F218A8">
        <w:rPr>
          <w:rFonts w:ascii="Times New Roman" w:hAnsi="Times New Roman" w:cs="Times New Roman"/>
          <w:sz w:val="24"/>
          <w:szCs w:val="24"/>
        </w:rPr>
        <w:t xml:space="preserve">Figure 1 </w:t>
      </w:r>
      <w:r w:rsidR="004A5AFD" w:rsidRPr="00F218A8">
        <w:rPr>
          <w:rFonts w:ascii="Times New Roman" w:hAnsi="Times New Roman" w:cs="Times New Roman"/>
          <w:sz w:val="24"/>
          <w:szCs w:val="24"/>
        </w:rPr>
        <w:t>shows area under the curve (AUC) of reproductive hormone in predicting ovarian reserve. AMH showed the highest predictive ability while prolactin has the lowest predictive ability.</w:t>
      </w:r>
    </w:p>
    <w:p w14:paraId="0C51FBF0" w14:textId="77777777" w:rsidR="004A5AFD" w:rsidRPr="00F218A8" w:rsidRDefault="004A5AFD" w:rsidP="004A5AFD">
      <w:pPr>
        <w:rPr>
          <w:rFonts w:ascii="Times New Roman" w:hAnsi="Times New Roman" w:cs="Times New Roman"/>
          <w:b/>
          <w:bCs/>
          <w:sz w:val="24"/>
          <w:szCs w:val="24"/>
        </w:rPr>
      </w:pPr>
    </w:p>
    <w:p w14:paraId="403AD9E3" w14:textId="77777777" w:rsidR="004A5AFD" w:rsidRPr="00F218A8" w:rsidRDefault="004A5AFD" w:rsidP="004A5AFD">
      <w:pPr>
        <w:rPr>
          <w:rFonts w:ascii="Times New Roman" w:hAnsi="Times New Roman" w:cs="Times New Roman"/>
          <w:b/>
          <w:bCs/>
          <w:sz w:val="24"/>
          <w:szCs w:val="24"/>
        </w:rPr>
      </w:pPr>
    </w:p>
    <w:p w14:paraId="2CC5C00B" w14:textId="77777777" w:rsidR="004A5AFD" w:rsidRPr="00F218A8" w:rsidRDefault="004A5AFD" w:rsidP="004A5AFD">
      <w:pPr>
        <w:autoSpaceDE w:val="0"/>
        <w:autoSpaceDN w:val="0"/>
        <w:adjustRightInd w:val="0"/>
        <w:spacing w:after="0" w:line="240" w:lineRule="auto"/>
        <w:rPr>
          <w:rFonts w:ascii="Times New Roman" w:hAnsi="Times New Roman" w:cs="Times New Roman"/>
          <w:sz w:val="24"/>
          <w:szCs w:val="24"/>
        </w:rPr>
      </w:pPr>
      <w:r w:rsidRPr="00F218A8">
        <w:rPr>
          <w:rFonts w:ascii="Times New Roman" w:hAnsi="Times New Roman" w:cs="Times New Roman"/>
          <w:noProof/>
          <w:sz w:val="24"/>
          <w:szCs w:val="24"/>
          <w:lang w:eastAsia="en-GB"/>
        </w:rPr>
        <w:lastRenderedPageBreak/>
        <w:drawing>
          <wp:inline distT="0" distB="0" distL="0" distR="0" wp14:anchorId="1B1EC96C" wp14:editId="0721FFD7">
            <wp:extent cx="5943600" cy="34988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498850"/>
                    </a:xfrm>
                    <a:prstGeom prst="rect">
                      <a:avLst/>
                    </a:prstGeom>
                    <a:noFill/>
                    <a:ln>
                      <a:noFill/>
                    </a:ln>
                  </pic:spPr>
                </pic:pic>
              </a:graphicData>
            </a:graphic>
          </wp:inline>
        </w:drawing>
      </w:r>
    </w:p>
    <w:p w14:paraId="39653306" w14:textId="77777777" w:rsidR="004A5AFD" w:rsidRPr="00F218A8" w:rsidRDefault="004A5AFD" w:rsidP="004A5AFD">
      <w:pPr>
        <w:autoSpaceDE w:val="0"/>
        <w:autoSpaceDN w:val="0"/>
        <w:adjustRightInd w:val="0"/>
        <w:spacing w:after="0" w:line="240" w:lineRule="auto"/>
        <w:rPr>
          <w:rFonts w:ascii="Times New Roman" w:hAnsi="Times New Roman" w:cs="Times New Roman"/>
          <w:sz w:val="24"/>
          <w:szCs w:val="24"/>
        </w:rPr>
      </w:pPr>
    </w:p>
    <w:p w14:paraId="7A633C87" w14:textId="0DEA8445" w:rsidR="004A5AFD" w:rsidRPr="00F218A8" w:rsidRDefault="004A5AFD" w:rsidP="004A5AFD">
      <w:pPr>
        <w:autoSpaceDE w:val="0"/>
        <w:autoSpaceDN w:val="0"/>
        <w:adjustRightInd w:val="0"/>
        <w:spacing w:after="0" w:line="400" w:lineRule="atLeast"/>
        <w:rPr>
          <w:rFonts w:ascii="Times New Roman" w:hAnsi="Times New Roman" w:cs="Times New Roman"/>
          <w:b/>
          <w:bCs/>
          <w:sz w:val="24"/>
          <w:szCs w:val="24"/>
        </w:rPr>
      </w:pPr>
      <w:bookmarkStart w:id="13" w:name="_Hlk127868333"/>
      <w:r w:rsidRPr="00F218A8">
        <w:rPr>
          <w:rFonts w:ascii="Times New Roman" w:hAnsi="Times New Roman" w:cs="Times New Roman"/>
          <w:b/>
          <w:bCs/>
          <w:sz w:val="24"/>
          <w:szCs w:val="24"/>
        </w:rPr>
        <w:t xml:space="preserve">Figure </w:t>
      </w:r>
      <w:r w:rsidR="00131AEF" w:rsidRPr="00F218A8">
        <w:rPr>
          <w:rFonts w:ascii="Times New Roman" w:hAnsi="Times New Roman" w:cs="Times New Roman"/>
          <w:b/>
          <w:bCs/>
          <w:sz w:val="24"/>
          <w:szCs w:val="24"/>
        </w:rPr>
        <w:t>1</w:t>
      </w:r>
      <w:r w:rsidRPr="00F218A8">
        <w:rPr>
          <w:rFonts w:ascii="Times New Roman" w:hAnsi="Times New Roman" w:cs="Times New Roman"/>
          <w:b/>
          <w:bCs/>
          <w:sz w:val="24"/>
          <w:szCs w:val="24"/>
        </w:rPr>
        <w:t>: ROC curve showing AUC of reproductive hormone profiles in predicting ovarian reserve</w:t>
      </w:r>
    </w:p>
    <w:bookmarkEnd w:id="13"/>
    <w:p w14:paraId="4C15EE98" w14:textId="77777777" w:rsidR="004A5AFD" w:rsidRPr="00F218A8" w:rsidRDefault="004A5AFD" w:rsidP="004A5AFD">
      <w:pPr>
        <w:autoSpaceDE w:val="0"/>
        <w:autoSpaceDN w:val="0"/>
        <w:adjustRightInd w:val="0"/>
        <w:spacing w:after="0" w:line="400" w:lineRule="atLeast"/>
        <w:rPr>
          <w:rFonts w:ascii="Times New Roman" w:hAnsi="Times New Roman" w:cs="Times New Roman"/>
          <w:sz w:val="24"/>
          <w:szCs w:val="24"/>
        </w:rPr>
      </w:pPr>
    </w:p>
    <w:p w14:paraId="006F1843" w14:textId="77777777" w:rsidR="004A5AFD" w:rsidRPr="00F218A8" w:rsidRDefault="004A5AFD" w:rsidP="00AF2173">
      <w:pPr>
        <w:autoSpaceDE w:val="0"/>
        <w:autoSpaceDN w:val="0"/>
        <w:adjustRightInd w:val="0"/>
        <w:spacing w:after="0" w:line="400" w:lineRule="atLeast"/>
        <w:jc w:val="both"/>
        <w:rPr>
          <w:rFonts w:ascii="Times New Roman" w:hAnsi="Times New Roman" w:cs="Times New Roman"/>
          <w:b/>
          <w:bCs/>
          <w:sz w:val="24"/>
          <w:szCs w:val="24"/>
        </w:rPr>
      </w:pPr>
    </w:p>
    <w:p w14:paraId="41026A0D" w14:textId="77777777" w:rsidR="004A5AFD" w:rsidRPr="00F218A8" w:rsidRDefault="00AF2173" w:rsidP="00767608">
      <w:pPr>
        <w:spacing w:line="240" w:lineRule="auto"/>
        <w:jc w:val="both"/>
        <w:rPr>
          <w:rFonts w:ascii="Times New Roman" w:hAnsi="Times New Roman" w:cs="Times New Roman"/>
          <w:sz w:val="24"/>
          <w:szCs w:val="24"/>
        </w:rPr>
      </w:pPr>
      <w:r w:rsidRPr="00F218A8">
        <w:rPr>
          <w:rFonts w:ascii="Times New Roman" w:hAnsi="Times New Roman" w:cs="Times New Roman"/>
          <w:sz w:val="24"/>
          <w:szCs w:val="24"/>
        </w:rPr>
        <w:t>Table 3</w:t>
      </w:r>
      <w:r w:rsidR="004A5AFD" w:rsidRPr="00F218A8">
        <w:rPr>
          <w:rFonts w:ascii="Times New Roman" w:hAnsi="Times New Roman" w:cs="Times New Roman"/>
          <w:sz w:val="24"/>
          <w:szCs w:val="24"/>
        </w:rPr>
        <w:t xml:space="preserve"> shows a receiver operator characteristic (ROC) curve and table revealing that AMH with an area under the curve of 0.721(0.630 – 0.812) was a better predictor of ovarian reserve when compared to FSH with an AUC of 0.614 (0.513 – 0.715), LH with an AUC of 0.664(0.562 – 0.765), </w:t>
      </w:r>
      <w:proofErr w:type="spellStart"/>
      <w:r w:rsidR="004A5AFD" w:rsidRPr="00F218A8">
        <w:rPr>
          <w:rFonts w:ascii="Times New Roman" w:hAnsi="Times New Roman" w:cs="Times New Roman"/>
          <w:sz w:val="24"/>
          <w:szCs w:val="24"/>
        </w:rPr>
        <w:t>Estradiol</w:t>
      </w:r>
      <w:proofErr w:type="spellEnd"/>
      <w:r w:rsidR="004A5AFD" w:rsidRPr="00F218A8">
        <w:rPr>
          <w:rFonts w:ascii="Times New Roman" w:hAnsi="Times New Roman" w:cs="Times New Roman"/>
          <w:sz w:val="24"/>
          <w:szCs w:val="24"/>
        </w:rPr>
        <w:t xml:space="preserve"> with AUC of 0.597(0.498 – 0.696), Progesterone with an AUC of 0.499(0.395 – 0.603), and Prolactin with an AUC of  0.232(0.152 – 0.312) respectively.</w:t>
      </w:r>
    </w:p>
    <w:p w14:paraId="14AB58E8" w14:textId="77777777" w:rsidR="004A5AFD" w:rsidRPr="00F218A8" w:rsidRDefault="004A5AFD" w:rsidP="004A5AFD">
      <w:pPr>
        <w:autoSpaceDE w:val="0"/>
        <w:autoSpaceDN w:val="0"/>
        <w:adjustRightInd w:val="0"/>
        <w:spacing w:after="0" w:line="400" w:lineRule="atLeast"/>
        <w:rPr>
          <w:rFonts w:ascii="Times New Roman" w:hAnsi="Times New Roman" w:cs="Times New Roman"/>
          <w:b/>
          <w:bCs/>
          <w:sz w:val="24"/>
          <w:szCs w:val="24"/>
        </w:rPr>
      </w:pPr>
    </w:p>
    <w:p w14:paraId="0C7E759B" w14:textId="77777777" w:rsidR="004A5AFD" w:rsidRPr="00F218A8" w:rsidRDefault="00AF2173" w:rsidP="004A5AFD">
      <w:pPr>
        <w:autoSpaceDE w:val="0"/>
        <w:autoSpaceDN w:val="0"/>
        <w:adjustRightInd w:val="0"/>
        <w:spacing w:after="0" w:line="400" w:lineRule="atLeast"/>
        <w:rPr>
          <w:rFonts w:ascii="Times New Roman" w:hAnsi="Times New Roman" w:cs="Times New Roman"/>
          <w:sz w:val="24"/>
          <w:szCs w:val="24"/>
        </w:rPr>
      </w:pPr>
      <w:bookmarkStart w:id="14" w:name="_Hlk127868389"/>
      <w:r w:rsidRPr="00F218A8">
        <w:rPr>
          <w:rFonts w:ascii="Times New Roman" w:hAnsi="Times New Roman" w:cs="Times New Roman"/>
          <w:b/>
          <w:bCs/>
          <w:sz w:val="24"/>
          <w:szCs w:val="24"/>
        </w:rPr>
        <w:t>Table 3</w:t>
      </w:r>
      <w:r w:rsidR="004A5AFD" w:rsidRPr="00F218A8">
        <w:rPr>
          <w:rFonts w:ascii="Times New Roman" w:hAnsi="Times New Roman" w:cs="Times New Roman"/>
          <w:b/>
          <w:bCs/>
          <w:sz w:val="24"/>
          <w:szCs w:val="24"/>
        </w:rPr>
        <w:t>: Diagnostic accuracy of reproductive hormones in predicting ovarian reserve in women</w:t>
      </w:r>
    </w:p>
    <w:bookmarkEnd w:id="14"/>
    <w:p w14:paraId="6A726D0F" w14:textId="77777777" w:rsidR="004A5AFD" w:rsidRPr="00F218A8" w:rsidRDefault="004A5AFD" w:rsidP="004A5AFD">
      <w:pPr>
        <w:autoSpaceDE w:val="0"/>
        <w:autoSpaceDN w:val="0"/>
        <w:adjustRightInd w:val="0"/>
        <w:spacing w:after="0" w:line="400" w:lineRule="atLeast"/>
        <w:rPr>
          <w:rFonts w:ascii="Times New Roman" w:hAnsi="Times New Roman" w:cs="Times New Roman"/>
          <w:sz w:val="24"/>
          <w:szCs w:val="24"/>
        </w:rPr>
      </w:pPr>
    </w:p>
    <w:tbl>
      <w:tblPr>
        <w:tblStyle w:val="TableGrid"/>
        <w:tblW w:w="0" w:type="auto"/>
        <w:tblInd w:w="-185" w:type="dxa"/>
        <w:tblBorders>
          <w:left w:val="none" w:sz="0" w:space="0" w:color="auto"/>
          <w:right w:val="none" w:sz="0" w:space="0" w:color="auto"/>
          <w:insideV w:val="none" w:sz="0" w:space="0" w:color="auto"/>
        </w:tblBorders>
        <w:tblLook w:val="04A0" w:firstRow="1" w:lastRow="0" w:firstColumn="1" w:lastColumn="0" w:noHBand="0" w:noVBand="1"/>
      </w:tblPr>
      <w:tblGrid>
        <w:gridCol w:w="1620"/>
        <w:gridCol w:w="2520"/>
        <w:gridCol w:w="1800"/>
        <w:gridCol w:w="1800"/>
        <w:gridCol w:w="1530"/>
      </w:tblGrid>
      <w:tr w:rsidR="004A5AFD" w:rsidRPr="00F218A8" w14:paraId="3692E653" w14:textId="77777777" w:rsidTr="004A5AFD">
        <w:tc>
          <w:tcPr>
            <w:tcW w:w="1620" w:type="dxa"/>
            <w:tcBorders>
              <w:top w:val="single" w:sz="4" w:space="0" w:color="auto"/>
              <w:left w:val="nil"/>
              <w:bottom w:val="single" w:sz="4" w:space="0" w:color="auto"/>
              <w:right w:val="nil"/>
            </w:tcBorders>
          </w:tcPr>
          <w:p w14:paraId="42CEC9AB" w14:textId="77777777" w:rsidR="004A5AFD" w:rsidRPr="00F218A8" w:rsidRDefault="004A5AFD">
            <w:pPr>
              <w:autoSpaceDE w:val="0"/>
              <w:autoSpaceDN w:val="0"/>
              <w:adjustRightInd w:val="0"/>
              <w:spacing w:line="400" w:lineRule="atLeast"/>
              <w:rPr>
                <w:rFonts w:ascii="Times New Roman" w:hAnsi="Times New Roman" w:cs="Times New Roman"/>
                <w:b/>
                <w:bCs/>
                <w:sz w:val="24"/>
                <w:szCs w:val="24"/>
              </w:rPr>
            </w:pPr>
          </w:p>
        </w:tc>
        <w:tc>
          <w:tcPr>
            <w:tcW w:w="2520" w:type="dxa"/>
            <w:tcBorders>
              <w:top w:val="single" w:sz="4" w:space="0" w:color="auto"/>
              <w:left w:val="nil"/>
              <w:bottom w:val="single" w:sz="4" w:space="0" w:color="auto"/>
              <w:right w:val="nil"/>
            </w:tcBorders>
            <w:hideMark/>
          </w:tcPr>
          <w:p w14:paraId="121B6A35" w14:textId="77777777" w:rsidR="004A5AFD" w:rsidRPr="00F218A8" w:rsidRDefault="004A5AFD">
            <w:pPr>
              <w:autoSpaceDE w:val="0"/>
              <w:autoSpaceDN w:val="0"/>
              <w:adjustRightInd w:val="0"/>
              <w:spacing w:line="400" w:lineRule="atLeast"/>
              <w:rPr>
                <w:rFonts w:ascii="Times New Roman" w:hAnsi="Times New Roman" w:cs="Times New Roman"/>
                <w:b/>
                <w:bCs/>
                <w:sz w:val="24"/>
                <w:szCs w:val="24"/>
              </w:rPr>
            </w:pPr>
            <w:r w:rsidRPr="00F218A8">
              <w:rPr>
                <w:rFonts w:ascii="Times New Roman" w:hAnsi="Times New Roman" w:cs="Times New Roman"/>
                <w:b/>
                <w:bCs/>
                <w:sz w:val="24"/>
                <w:szCs w:val="24"/>
              </w:rPr>
              <w:t>AUC (95%)</w:t>
            </w:r>
          </w:p>
        </w:tc>
        <w:tc>
          <w:tcPr>
            <w:tcW w:w="1800" w:type="dxa"/>
            <w:tcBorders>
              <w:top w:val="single" w:sz="4" w:space="0" w:color="auto"/>
              <w:left w:val="nil"/>
              <w:bottom w:val="single" w:sz="4" w:space="0" w:color="auto"/>
              <w:right w:val="nil"/>
            </w:tcBorders>
            <w:hideMark/>
          </w:tcPr>
          <w:p w14:paraId="40C638DD" w14:textId="77777777" w:rsidR="004A5AFD" w:rsidRPr="00F218A8" w:rsidRDefault="004A5AFD">
            <w:pPr>
              <w:autoSpaceDE w:val="0"/>
              <w:autoSpaceDN w:val="0"/>
              <w:adjustRightInd w:val="0"/>
              <w:spacing w:line="400" w:lineRule="atLeast"/>
              <w:rPr>
                <w:rFonts w:ascii="Times New Roman" w:hAnsi="Times New Roman" w:cs="Times New Roman"/>
                <w:b/>
                <w:bCs/>
                <w:sz w:val="24"/>
                <w:szCs w:val="24"/>
              </w:rPr>
            </w:pPr>
            <w:r w:rsidRPr="00F218A8">
              <w:rPr>
                <w:rFonts w:ascii="Times New Roman" w:hAnsi="Times New Roman" w:cs="Times New Roman"/>
                <w:b/>
                <w:bCs/>
                <w:sz w:val="24"/>
                <w:szCs w:val="24"/>
              </w:rPr>
              <w:t>Sensitivity</w:t>
            </w:r>
          </w:p>
        </w:tc>
        <w:tc>
          <w:tcPr>
            <w:tcW w:w="1800" w:type="dxa"/>
            <w:tcBorders>
              <w:top w:val="single" w:sz="4" w:space="0" w:color="auto"/>
              <w:left w:val="nil"/>
              <w:bottom w:val="single" w:sz="4" w:space="0" w:color="auto"/>
              <w:right w:val="nil"/>
            </w:tcBorders>
            <w:hideMark/>
          </w:tcPr>
          <w:p w14:paraId="0F804650" w14:textId="77777777" w:rsidR="004A5AFD" w:rsidRPr="00F218A8" w:rsidRDefault="004A5AFD">
            <w:pPr>
              <w:autoSpaceDE w:val="0"/>
              <w:autoSpaceDN w:val="0"/>
              <w:adjustRightInd w:val="0"/>
              <w:spacing w:line="400" w:lineRule="atLeast"/>
              <w:rPr>
                <w:rFonts w:ascii="Times New Roman" w:hAnsi="Times New Roman" w:cs="Times New Roman"/>
                <w:b/>
                <w:bCs/>
                <w:sz w:val="24"/>
                <w:szCs w:val="24"/>
              </w:rPr>
            </w:pPr>
            <w:r w:rsidRPr="00F218A8">
              <w:rPr>
                <w:rFonts w:ascii="Times New Roman" w:hAnsi="Times New Roman" w:cs="Times New Roman"/>
                <w:b/>
                <w:bCs/>
                <w:sz w:val="24"/>
                <w:szCs w:val="24"/>
              </w:rPr>
              <w:t>Specificity</w:t>
            </w:r>
          </w:p>
        </w:tc>
        <w:tc>
          <w:tcPr>
            <w:tcW w:w="1530" w:type="dxa"/>
            <w:tcBorders>
              <w:top w:val="single" w:sz="4" w:space="0" w:color="auto"/>
              <w:left w:val="nil"/>
              <w:bottom w:val="single" w:sz="4" w:space="0" w:color="auto"/>
              <w:right w:val="nil"/>
            </w:tcBorders>
            <w:hideMark/>
          </w:tcPr>
          <w:p w14:paraId="47161E3D" w14:textId="77777777" w:rsidR="004A5AFD" w:rsidRPr="00F218A8" w:rsidRDefault="004A5AFD">
            <w:pPr>
              <w:autoSpaceDE w:val="0"/>
              <w:autoSpaceDN w:val="0"/>
              <w:adjustRightInd w:val="0"/>
              <w:spacing w:line="400" w:lineRule="atLeast"/>
              <w:rPr>
                <w:rFonts w:ascii="Times New Roman" w:hAnsi="Times New Roman" w:cs="Times New Roman"/>
                <w:b/>
                <w:bCs/>
                <w:sz w:val="24"/>
                <w:szCs w:val="24"/>
              </w:rPr>
            </w:pPr>
            <w:r w:rsidRPr="00F218A8">
              <w:rPr>
                <w:rFonts w:ascii="Times New Roman" w:hAnsi="Times New Roman" w:cs="Times New Roman"/>
                <w:b/>
                <w:bCs/>
                <w:sz w:val="24"/>
                <w:szCs w:val="24"/>
              </w:rPr>
              <w:t>p-value</w:t>
            </w:r>
          </w:p>
        </w:tc>
      </w:tr>
      <w:tr w:rsidR="004A5AFD" w:rsidRPr="00F218A8" w14:paraId="34F450C7" w14:textId="77777777" w:rsidTr="004A5AFD">
        <w:tc>
          <w:tcPr>
            <w:tcW w:w="1620" w:type="dxa"/>
            <w:tcBorders>
              <w:top w:val="single" w:sz="4" w:space="0" w:color="auto"/>
              <w:left w:val="nil"/>
              <w:bottom w:val="nil"/>
              <w:right w:val="nil"/>
            </w:tcBorders>
            <w:hideMark/>
          </w:tcPr>
          <w:p w14:paraId="3C9AC1AA" w14:textId="77777777" w:rsidR="004A5AFD" w:rsidRPr="00F218A8" w:rsidRDefault="004A5AFD">
            <w:pPr>
              <w:autoSpaceDE w:val="0"/>
              <w:autoSpaceDN w:val="0"/>
              <w:adjustRightInd w:val="0"/>
              <w:spacing w:line="480" w:lineRule="auto"/>
              <w:rPr>
                <w:rFonts w:ascii="Times New Roman" w:hAnsi="Times New Roman" w:cs="Times New Roman"/>
                <w:sz w:val="24"/>
                <w:szCs w:val="24"/>
              </w:rPr>
            </w:pPr>
            <w:r w:rsidRPr="00F218A8">
              <w:rPr>
                <w:rFonts w:ascii="Times New Roman" w:hAnsi="Times New Roman" w:cs="Times New Roman"/>
                <w:b/>
                <w:bCs/>
                <w:sz w:val="24"/>
                <w:szCs w:val="24"/>
              </w:rPr>
              <w:t>AMH</w:t>
            </w:r>
          </w:p>
        </w:tc>
        <w:tc>
          <w:tcPr>
            <w:tcW w:w="2520" w:type="dxa"/>
            <w:tcBorders>
              <w:top w:val="single" w:sz="4" w:space="0" w:color="auto"/>
              <w:left w:val="nil"/>
              <w:bottom w:val="nil"/>
              <w:right w:val="nil"/>
            </w:tcBorders>
            <w:hideMark/>
          </w:tcPr>
          <w:p w14:paraId="1804637D" w14:textId="77777777" w:rsidR="004A5AFD" w:rsidRPr="00F218A8" w:rsidRDefault="004A5AFD">
            <w:pPr>
              <w:autoSpaceDE w:val="0"/>
              <w:autoSpaceDN w:val="0"/>
              <w:adjustRightInd w:val="0"/>
              <w:spacing w:line="480" w:lineRule="auto"/>
              <w:rPr>
                <w:rFonts w:ascii="Times New Roman" w:hAnsi="Times New Roman" w:cs="Times New Roman"/>
                <w:sz w:val="24"/>
                <w:szCs w:val="24"/>
              </w:rPr>
            </w:pPr>
            <w:r w:rsidRPr="00F218A8">
              <w:rPr>
                <w:rFonts w:ascii="Times New Roman" w:hAnsi="Times New Roman" w:cs="Times New Roman"/>
                <w:sz w:val="24"/>
                <w:szCs w:val="24"/>
              </w:rPr>
              <w:t>0.721 (0.630-0.812)</w:t>
            </w:r>
          </w:p>
        </w:tc>
        <w:tc>
          <w:tcPr>
            <w:tcW w:w="1800" w:type="dxa"/>
            <w:tcBorders>
              <w:top w:val="single" w:sz="4" w:space="0" w:color="auto"/>
              <w:left w:val="nil"/>
              <w:bottom w:val="nil"/>
              <w:right w:val="nil"/>
            </w:tcBorders>
            <w:hideMark/>
          </w:tcPr>
          <w:p w14:paraId="7B6965E2" w14:textId="77777777" w:rsidR="004A5AFD" w:rsidRPr="00F218A8" w:rsidRDefault="004A5AFD">
            <w:pPr>
              <w:autoSpaceDE w:val="0"/>
              <w:autoSpaceDN w:val="0"/>
              <w:adjustRightInd w:val="0"/>
              <w:spacing w:line="480" w:lineRule="auto"/>
              <w:rPr>
                <w:rFonts w:ascii="Times New Roman" w:hAnsi="Times New Roman" w:cs="Times New Roman"/>
                <w:sz w:val="24"/>
                <w:szCs w:val="24"/>
              </w:rPr>
            </w:pPr>
            <w:r w:rsidRPr="00F218A8">
              <w:rPr>
                <w:rFonts w:ascii="Times New Roman" w:hAnsi="Times New Roman" w:cs="Times New Roman"/>
                <w:sz w:val="24"/>
                <w:szCs w:val="24"/>
              </w:rPr>
              <w:t>0.754</w:t>
            </w:r>
          </w:p>
        </w:tc>
        <w:tc>
          <w:tcPr>
            <w:tcW w:w="1800" w:type="dxa"/>
            <w:tcBorders>
              <w:top w:val="single" w:sz="4" w:space="0" w:color="auto"/>
              <w:left w:val="nil"/>
              <w:bottom w:val="nil"/>
              <w:right w:val="nil"/>
            </w:tcBorders>
            <w:hideMark/>
          </w:tcPr>
          <w:p w14:paraId="15768724" w14:textId="77777777" w:rsidR="004A5AFD" w:rsidRPr="00F218A8" w:rsidRDefault="004A5AFD">
            <w:pPr>
              <w:autoSpaceDE w:val="0"/>
              <w:autoSpaceDN w:val="0"/>
              <w:adjustRightInd w:val="0"/>
              <w:spacing w:line="480" w:lineRule="auto"/>
              <w:rPr>
                <w:rFonts w:ascii="Times New Roman" w:hAnsi="Times New Roman" w:cs="Times New Roman"/>
                <w:sz w:val="24"/>
                <w:szCs w:val="24"/>
              </w:rPr>
            </w:pPr>
            <w:r w:rsidRPr="00F218A8">
              <w:rPr>
                <w:rFonts w:ascii="Times New Roman" w:hAnsi="Times New Roman" w:cs="Times New Roman"/>
                <w:sz w:val="24"/>
                <w:szCs w:val="24"/>
              </w:rPr>
              <w:t>0.723</w:t>
            </w:r>
          </w:p>
        </w:tc>
        <w:tc>
          <w:tcPr>
            <w:tcW w:w="1530" w:type="dxa"/>
            <w:tcBorders>
              <w:top w:val="single" w:sz="4" w:space="0" w:color="auto"/>
              <w:left w:val="nil"/>
              <w:bottom w:val="nil"/>
              <w:right w:val="nil"/>
            </w:tcBorders>
            <w:hideMark/>
          </w:tcPr>
          <w:p w14:paraId="7F2B2340" w14:textId="77777777" w:rsidR="004A5AFD" w:rsidRPr="00F218A8" w:rsidRDefault="004A5AFD">
            <w:pPr>
              <w:autoSpaceDE w:val="0"/>
              <w:autoSpaceDN w:val="0"/>
              <w:adjustRightInd w:val="0"/>
              <w:spacing w:line="480" w:lineRule="auto"/>
              <w:rPr>
                <w:rFonts w:ascii="Times New Roman" w:hAnsi="Times New Roman" w:cs="Times New Roman"/>
                <w:b/>
                <w:bCs/>
                <w:sz w:val="24"/>
                <w:szCs w:val="24"/>
              </w:rPr>
            </w:pPr>
            <w:r w:rsidRPr="00F218A8">
              <w:rPr>
                <w:rFonts w:ascii="Times New Roman" w:hAnsi="Times New Roman" w:cs="Times New Roman"/>
                <w:b/>
                <w:bCs/>
                <w:sz w:val="24"/>
                <w:szCs w:val="24"/>
              </w:rPr>
              <w:t>&lt;0.001*</w:t>
            </w:r>
          </w:p>
        </w:tc>
      </w:tr>
      <w:tr w:rsidR="004A5AFD" w:rsidRPr="00F218A8" w14:paraId="70472610" w14:textId="77777777" w:rsidTr="004A5AFD">
        <w:tc>
          <w:tcPr>
            <w:tcW w:w="1620" w:type="dxa"/>
            <w:tcBorders>
              <w:top w:val="nil"/>
              <w:left w:val="nil"/>
              <w:bottom w:val="nil"/>
              <w:right w:val="nil"/>
            </w:tcBorders>
            <w:hideMark/>
          </w:tcPr>
          <w:p w14:paraId="1BCBA5F5" w14:textId="77777777" w:rsidR="004A5AFD" w:rsidRPr="00F218A8" w:rsidRDefault="004A5AFD">
            <w:pPr>
              <w:autoSpaceDE w:val="0"/>
              <w:autoSpaceDN w:val="0"/>
              <w:adjustRightInd w:val="0"/>
              <w:spacing w:line="480" w:lineRule="auto"/>
              <w:rPr>
                <w:rFonts w:ascii="Times New Roman" w:hAnsi="Times New Roman" w:cs="Times New Roman"/>
                <w:sz w:val="24"/>
                <w:szCs w:val="24"/>
              </w:rPr>
            </w:pPr>
            <w:r w:rsidRPr="00F218A8">
              <w:rPr>
                <w:rFonts w:ascii="Times New Roman" w:hAnsi="Times New Roman" w:cs="Times New Roman"/>
                <w:b/>
                <w:bCs/>
                <w:sz w:val="24"/>
                <w:szCs w:val="24"/>
              </w:rPr>
              <w:t xml:space="preserve">FSH </w:t>
            </w:r>
          </w:p>
        </w:tc>
        <w:tc>
          <w:tcPr>
            <w:tcW w:w="2520" w:type="dxa"/>
            <w:tcBorders>
              <w:top w:val="nil"/>
              <w:left w:val="nil"/>
              <w:bottom w:val="nil"/>
              <w:right w:val="nil"/>
            </w:tcBorders>
            <w:hideMark/>
          </w:tcPr>
          <w:p w14:paraId="6EAA5C4D" w14:textId="77777777" w:rsidR="004A5AFD" w:rsidRPr="00F218A8" w:rsidRDefault="004A5AFD">
            <w:pPr>
              <w:autoSpaceDE w:val="0"/>
              <w:autoSpaceDN w:val="0"/>
              <w:adjustRightInd w:val="0"/>
              <w:spacing w:line="480" w:lineRule="auto"/>
              <w:rPr>
                <w:rFonts w:ascii="Times New Roman" w:hAnsi="Times New Roman" w:cs="Times New Roman"/>
                <w:sz w:val="24"/>
                <w:szCs w:val="24"/>
              </w:rPr>
            </w:pPr>
            <w:r w:rsidRPr="00F218A8">
              <w:rPr>
                <w:rFonts w:ascii="Times New Roman" w:hAnsi="Times New Roman" w:cs="Times New Roman"/>
                <w:sz w:val="24"/>
                <w:szCs w:val="24"/>
              </w:rPr>
              <w:t>0.614 (0.513-0.715)</w:t>
            </w:r>
          </w:p>
        </w:tc>
        <w:tc>
          <w:tcPr>
            <w:tcW w:w="1800" w:type="dxa"/>
            <w:tcBorders>
              <w:top w:val="nil"/>
              <w:left w:val="nil"/>
              <w:bottom w:val="nil"/>
              <w:right w:val="nil"/>
            </w:tcBorders>
            <w:hideMark/>
          </w:tcPr>
          <w:p w14:paraId="18A3EDF0" w14:textId="77777777" w:rsidR="004A5AFD" w:rsidRPr="00F218A8" w:rsidRDefault="004A5AFD">
            <w:pPr>
              <w:autoSpaceDE w:val="0"/>
              <w:autoSpaceDN w:val="0"/>
              <w:adjustRightInd w:val="0"/>
              <w:spacing w:line="480" w:lineRule="auto"/>
              <w:rPr>
                <w:rFonts w:ascii="Times New Roman" w:hAnsi="Times New Roman" w:cs="Times New Roman"/>
                <w:sz w:val="24"/>
                <w:szCs w:val="24"/>
              </w:rPr>
            </w:pPr>
            <w:r w:rsidRPr="00F218A8">
              <w:rPr>
                <w:rFonts w:ascii="Times New Roman" w:hAnsi="Times New Roman" w:cs="Times New Roman"/>
                <w:sz w:val="24"/>
                <w:szCs w:val="24"/>
              </w:rPr>
              <w:t>0.600</w:t>
            </w:r>
          </w:p>
        </w:tc>
        <w:tc>
          <w:tcPr>
            <w:tcW w:w="1800" w:type="dxa"/>
            <w:tcBorders>
              <w:top w:val="nil"/>
              <w:left w:val="nil"/>
              <w:bottom w:val="nil"/>
              <w:right w:val="nil"/>
            </w:tcBorders>
            <w:hideMark/>
          </w:tcPr>
          <w:p w14:paraId="63EBBC52" w14:textId="77777777" w:rsidR="004A5AFD" w:rsidRPr="00F218A8" w:rsidRDefault="004A5AFD">
            <w:pPr>
              <w:autoSpaceDE w:val="0"/>
              <w:autoSpaceDN w:val="0"/>
              <w:adjustRightInd w:val="0"/>
              <w:spacing w:line="480" w:lineRule="auto"/>
              <w:rPr>
                <w:rFonts w:ascii="Times New Roman" w:hAnsi="Times New Roman" w:cs="Times New Roman"/>
                <w:sz w:val="24"/>
                <w:szCs w:val="24"/>
              </w:rPr>
            </w:pPr>
            <w:r w:rsidRPr="00F218A8">
              <w:rPr>
                <w:rFonts w:ascii="Times New Roman" w:hAnsi="Times New Roman" w:cs="Times New Roman"/>
                <w:sz w:val="24"/>
                <w:szCs w:val="24"/>
              </w:rPr>
              <w:t>0.938</w:t>
            </w:r>
          </w:p>
        </w:tc>
        <w:tc>
          <w:tcPr>
            <w:tcW w:w="1530" w:type="dxa"/>
            <w:tcBorders>
              <w:top w:val="nil"/>
              <w:left w:val="nil"/>
              <w:bottom w:val="nil"/>
              <w:right w:val="nil"/>
            </w:tcBorders>
            <w:hideMark/>
          </w:tcPr>
          <w:p w14:paraId="65A46F1A" w14:textId="77777777" w:rsidR="004A5AFD" w:rsidRPr="00F218A8" w:rsidRDefault="004A5AFD">
            <w:pPr>
              <w:autoSpaceDE w:val="0"/>
              <w:autoSpaceDN w:val="0"/>
              <w:adjustRightInd w:val="0"/>
              <w:spacing w:line="480" w:lineRule="auto"/>
              <w:rPr>
                <w:rFonts w:ascii="Times New Roman" w:hAnsi="Times New Roman" w:cs="Times New Roman"/>
                <w:b/>
                <w:bCs/>
                <w:sz w:val="24"/>
                <w:szCs w:val="24"/>
              </w:rPr>
            </w:pPr>
            <w:r w:rsidRPr="00F218A8">
              <w:rPr>
                <w:rFonts w:ascii="Times New Roman" w:hAnsi="Times New Roman" w:cs="Times New Roman"/>
                <w:b/>
                <w:bCs/>
                <w:sz w:val="24"/>
                <w:szCs w:val="24"/>
              </w:rPr>
              <w:t>0.025*</w:t>
            </w:r>
          </w:p>
        </w:tc>
      </w:tr>
      <w:tr w:rsidR="004A5AFD" w:rsidRPr="00F218A8" w14:paraId="0B8608D6" w14:textId="77777777" w:rsidTr="004A5AFD">
        <w:tc>
          <w:tcPr>
            <w:tcW w:w="1620" w:type="dxa"/>
            <w:tcBorders>
              <w:top w:val="nil"/>
              <w:left w:val="nil"/>
              <w:bottom w:val="nil"/>
              <w:right w:val="nil"/>
            </w:tcBorders>
            <w:hideMark/>
          </w:tcPr>
          <w:p w14:paraId="748C2A0C" w14:textId="77777777" w:rsidR="004A5AFD" w:rsidRPr="00F218A8" w:rsidRDefault="004A5AFD">
            <w:pPr>
              <w:autoSpaceDE w:val="0"/>
              <w:autoSpaceDN w:val="0"/>
              <w:adjustRightInd w:val="0"/>
              <w:spacing w:line="480" w:lineRule="auto"/>
              <w:rPr>
                <w:rFonts w:ascii="Times New Roman" w:hAnsi="Times New Roman" w:cs="Times New Roman"/>
                <w:sz w:val="24"/>
                <w:szCs w:val="24"/>
              </w:rPr>
            </w:pPr>
            <w:r w:rsidRPr="00F218A8">
              <w:rPr>
                <w:rFonts w:ascii="Times New Roman" w:hAnsi="Times New Roman" w:cs="Times New Roman"/>
                <w:b/>
                <w:bCs/>
                <w:sz w:val="24"/>
                <w:szCs w:val="24"/>
              </w:rPr>
              <w:t xml:space="preserve">LH </w:t>
            </w:r>
          </w:p>
        </w:tc>
        <w:tc>
          <w:tcPr>
            <w:tcW w:w="2520" w:type="dxa"/>
            <w:tcBorders>
              <w:top w:val="nil"/>
              <w:left w:val="nil"/>
              <w:bottom w:val="nil"/>
              <w:right w:val="nil"/>
            </w:tcBorders>
            <w:hideMark/>
          </w:tcPr>
          <w:p w14:paraId="4036007A" w14:textId="77777777" w:rsidR="004A5AFD" w:rsidRPr="00F218A8" w:rsidRDefault="004A5AFD">
            <w:pPr>
              <w:autoSpaceDE w:val="0"/>
              <w:autoSpaceDN w:val="0"/>
              <w:adjustRightInd w:val="0"/>
              <w:spacing w:line="480" w:lineRule="auto"/>
              <w:rPr>
                <w:rFonts w:ascii="Times New Roman" w:hAnsi="Times New Roman" w:cs="Times New Roman"/>
                <w:sz w:val="24"/>
                <w:szCs w:val="24"/>
              </w:rPr>
            </w:pPr>
            <w:r w:rsidRPr="00F218A8">
              <w:rPr>
                <w:rFonts w:ascii="Times New Roman" w:hAnsi="Times New Roman" w:cs="Times New Roman"/>
                <w:sz w:val="24"/>
                <w:szCs w:val="24"/>
              </w:rPr>
              <w:t>0.664 (0.562-0.765)</w:t>
            </w:r>
          </w:p>
        </w:tc>
        <w:tc>
          <w:tcPr>
            <w:tcW w:w="1800" w:type="dxa"/>
            <w:tcBorders>
              <w:top w:val="nil"/>
              <w:left w:val="nil"/>
              <w:bottom w:val="nil"/>
              <w:right w:val="nil"/>
            </w:tcBorders>
            <w:hideMark/>
          </w:tcPr>
          <w:p w14:paraId="72BD145F" w14:textId="77777777" w:rsidR="004A5AFD" w:rsidRPr="00F218A8" w:rsidRDefault="004A5AFD">
            <w:pPr>
              <w:autoSpaceDE w:val="0"/>
              <w:autoSpaceDN w:val="0"/>
              <w:adjustRightInd w:val="0"/>
              <w:spacing w:line="480" w:lineRule="auto"/>
              <w:rPr>
                <w:rFonts w:ascii="Times New Roman" w:hAnsi="Times New Roman" w:cs="Times New Roman"/>
                <w:sz w:val="24"/>
                <w:szCs w:val="24"/>
              </w:rPr>
            </w:pPr>
            <w:r w:rsidRPr="00F218A8">
              <w:rPr>
                <w:rFonts w:ascii="Times New Roman" w:hAnsi="Times New Roman" w:cs="Times New Roman"/>
                <w:sz w:val="24"/>
                <w:szCs w:val="24"/>
              </w:rPr>
              <w:t>0.354</w:t>
            </w:r>
          </w:p>
        </w:tc>
        <w:tc>
          <w:tcPr>
            <w:tcW w:w="1800" w:type="dxa"/>
            <w:tcBorders>
              <w:top w:val="nil"/>
              <w:left w:val="nil"/>
              <w:bottom w:val="nil"/>
              <w:right w:val="nil"/>
            </w:tcBorders>
            <w:hideMark/>
          </w:tcPr>
          <w:p w14:paraId="5AC3685C" w14:textId="77777777" w:rsidR="004A5AFD" w:rsidRPr="00F218A8" w:rsidRDefault="004A5AFD">
            <w:pPr>
              <w:autoSpaceDE w:val="0"/>
              <w:autoSpaceDN w:val="0"/>
              <w:adjustRightInd w:val="0"/>
              <w:spacing w:line="480" w:lineRule="auto"/>
              <w:rPr>
                <w:rFonts w:ascii="Times New Roman" w:hAnsi="Times New Roman" w:cs="Times New Roman"/>
                <w:sz w:val="24"/>
                <w:szCs w:val="24"/>
              </w:rPr>
            </w:pPr>
            <w:r w:rsidRPr="00F218A8">
              <w:rPr>
                <w:rFonts w:ascii="Times New Roman" w:hAnsi="Times New Roman" w:cs="Times New Roman"/>
                <w:sz w:val="24"/>
                <w:szCs w:val="24"/>
              </w:rPr>
              <w:t>0.831</w:t>
            </w:r>
          </w:p>
        </w:tc>
        <w:tc>
          <w:tcPr>
            <w:tcW w:w="1530" w:type="dxa"/>
            <w:tcBorders>
              <w:top w:val="nil"/>
              <w:left w:val="nil"/>
              <w:bottom w:val="nil"/>
              <w:right w:val="nil"/>
            </w:tcBorders>
            <w:hideMark/>
          </w:tcPr>
          <w:p w14:paraId="15878856" w14:textId="77777777" w:rsidR="004A5AFD" w:rsidRPr="00F218A8" w:rsidRDefault="004A5AFD">
            <w:pPr>
              <w:autoSpaceDE w:val="0"/>
              <w:autoSpaceDN w:val="0"/>
              <w:adjustRightInd w:val="0"/>
              <w:spacing w:line="480" w:lineRule="auto"/>
              <w:rPr>
                <w:rFonts w:ascii="Times New Roman" w:hAnsi="Times New Roman" w:cs="Times New Roman"/>
                <w:b/>
                <w:bCs/>
                <w:sz w:val="24"/>
                <w:szCs w:val="24"/>
              </w:rPr>
            </w:pPr>
            <w:r w:rsidRPr="00F218A8">
              <w:rPr>
                <w:rFonts w:ascii="Times New Roman" w:hAnsi="Times New Roman" w:cs="Times New Roman"/>
                <w:b/>
                <w:bCs/>
                <w:sz w:val="24"/>
                <w:szCs w:val="24"/>
              </w:rPr>
              <w:t>0.001*</w:t>
            </w:r>
          </w:p>
        </w:tc>
      </w:tr>
      <w:tr w:rsidR="004A5AFD" w:rsidRPr="00F218A8" w14:paraId="0867BD12" w14:textId="77777777" w:rsidTr="004A5AFD">
        <w:tc>
          <w:tcPr>
            <w:tcW w:w="1620" w:type="dxa"/>
            <w:tcBorders>
              <w:top w:val="nil"/>
              <w:left w:val="nil"/>
              <w:bottom w:val="nil"/>
              <w:right w:val="nil"/>
            </w:tcBorders>
            <w:hideMark/>
          </w:tcPr>
          <w:p w14:paraId="300DB90F" w14:textId="77777777" w:rsidR="004A5AFD" w:rsidRPr="00F218A8" w:rsidRDefault="004A5AFD">
            <w:pPr>
              <w:autoSpaceDE w:val="0"/>
              <w:autoSpaceDN w:val="0"/>
              <w:adjustRightInd w:val="0"/>
              <w:spacing w:line="480" w:lineRule="auto"/>
              <w:rPr>
                <w:rFonts w:ascii="Times New Roman" w:hAnsi="Times New Roman" w:cs="Times New Roman"/>
                <w:b/>
                <w:bCs/>
                <w:sz w:val="24"/>
                <w:szCs w:val="24"/>
              </w:rPr>
            </w:pPr>
            <w:r w:rsidRPr="00F218A8">
              <w:rPr>
                <w:rFonts w:ascii="Times New Roman" w:hAnsi="Times New Roman" w:cs="Times New Roman"/>
                <w:b/>
                <w:bCs/>
                <w:sz w:val="24"/>
                <w:szCs w:val="24"/>
              </w:rPr>
              <w:t xml:space="preserve">Estradiol </w:t>
            </w:r>
          </w:p>
        </w:tc>
        <w:tc>
          <w:tcPr>
            <w:tcW w:w="2520" w:type="dxa"/>
            <w:tcBorders>
              <w:top w:val="nil"/>
              <w:left w:val="nil"/>
              <w:bottom w:val="nil"/>
              <w:right w:val="nil"/>
            </w:tcBorders>
            <w:hideMark/>
          </w:tcPr>
          <w:p w14:paraId="19813A96" w14:textId="77777777" w:rsidR="004A5AFD" w:rsidRPr="00F218A8" w:rsidRDefault="004A5AFD">
            <w:pPr>
              <w:autoSpaceDE w:val="0"/>
              <w:autoSpaceDN w:val="0"/>
              <w:adjustRightInd w:val="0"/>
              <w:spacing w:line="480" w:lineRule="auto"/>
              <w:rPr>
                <w:rFonts w:ascii="Times New Roman" w:hAnsi="Times New Roman" w:cs="Times New Roman"/>
                <w:sz w:val="24"/>
                <w:szCs w:val="24"/>
              </w:rPr>
            </w:pPr>
            <w:r w:rsidRPr="00F218A8">
              <w:rPr>
                <w:rFonts w:ascii="Times New Roman" w:hAnsi="Times New Roman" w:cs="Times New Roman"/>
                <w:sz w:val="24"/>
                <w:szCs w:val="24"/>
              </w:rPr>
              <w:t>0.597 (0.498-0.696)</w:t>
            </w:r>
          </w:p>
        </w:tc>
        <w:tc>
          <w:tcPr>
            <w:tcW w:w="1800" w:type="dxa"/>
            <w:tcBorders>
              <w:top w:val="nil"/>
              <w:left w:val="nil"/>
              <w:bottom w:val="nil"/>
              <w:right w:val="nil"/>
            </w:tcBorders>
            <w:hideMark/>
          </w:tcPr>
          <w:p w14:paraId="0DB14092" w14:textId="77777777" w:rsidR="004A5AFD" w:rsidRPr="00F218A8" w:rsidRDefault="004A5AFD">
            <w:pPr>
              <w:autoSpaceDE w:val="0"/>
              <w:autoSpaceDN w:val="0"/>
              <w:adjustRightInd w:val="0"/>
              <w:spacing w:line="480" w:lineRule="auto"/>
              <w:rPr>
                <w:rFonts w:ascii="Times New Roman" w:hAnsi="Times New Roman" w:cs="Times New Roman"/>
                <w:sz w:val="24"/>
                <w:szCs w:val="24"/>
              </w:rPr>
            </w:pPr>
            <w:r w:rsidRPr="00F218A8">
              <w:rPr>
                <w:rFonts w:ascii="Times New Roman" w:hAnsi="Times New Roman" w:cs="Times New Roman"/>
                <w:sz w:val="24"/>
                <w:szCs w:val="24"/>
              </w:rPr>
              <w:t>0.662</w:t>
            </w:r>
          </w:p>
        </w:tc>
        <w:tc>
          <w:tcPr>
            <w:tcW w:w="1800" w:type="dxa"/>
            <w:tcBorders>
              <w:top w:val="nil"/>
              <w:left w:val="nil"/>
              <w:bottom w:val="nil"/>
              <w:right w:val="nil"/>
            </w:tcBorders>
            <w:hideMark/>
          </w:tcPr>
          <w:p w14:paraId="6406DDBB" w14:textId="77777777" w:rsidR="004A5AFD" w:rsidRPr="00F218A8" w:rsidRDefault="004A5AFD">
            <w:pPr>
              <w:autoSpaceDE w:val="0"/>
              <w:autoSpaceDN w:val="0"/>
              <w:adjustRightInd w:val="0"/>
              <w:spacing w:line="480" w:lineRule="auto"/>
              <w:rPr>
                <w:rFonts w:ascii="Times New Roman" w:hAnsi="Times New Roman" w:cs="Times New Roman"/>
                <w:sz w:val="24"/>
                <w:szCs w:val="24"/>
              </w:rPr>
            </w:pPr>
            <w:r w:rsidRPr="00F218A8">
              <w:rPr>
                <w:rFonts w:ascii="Times New Roman" w:hAnsi="Times New Roman" w:cs="Times New Roman"/>
                <w:sz w:val="24"/>
                <w:szCs w:val="24"/>
              </w:rPr>
              <w:t>0.554</w:t>
            </w:r>
          </w:p>
        </w:tc>
        <w:tc>
          <w:tcPr>
            <w:tcW w:w="1530" w:type="dxa"/>
            <w:tcBorders>
              <w:top w:val="nil"/>
              <w:left w:val="nil"/>
              <w:bottom w:val="nil"/>
              <w:right w:val="nil"/>
            </w:tcBorders>
            <w:hideMark/>
          </w:tcPr>
          <w:p w14:paraId="76752DB7" w14:textId="77777777" w:rsidR="004A5AFD" w:rsidRPr="00F218A8" w:rsidRDefault="004A5AFD">
            <w:pPr>
              <w:autoSpaceDE w:val="0"/>
              <w:autoSpaceDN w:val="0"/>
              <w:adjustRightInd w:val="0"/>
              <w:spacing w:line="480" w:lineRule="auto"/>
              <w:rPr>
                <w:rFonts w:ascii="Times New Roman" w:hAnsi="Times New Roman" w:cs="Times New Roman"/>
                <w:sz w:val="24"/>
                <w:szCs w:val="24"/>
              </w:rPr>
            </w:pPr>
            <w:r w:rsidRPr="00F218A8">
              <w:rPr>
                <w:rFonts w:ascii="Times New Roman" w:hAnsi="Times New Roman" w:cs="Times New Roman"/>
                <w:sz w:val="24"/>
                <w:szCs w:val="24"/>
              </w:rPr>
              <w:t>0.056</w:t>
            </w:r>
          </w:p>
        </w:tc>
      </w:tr>
      <w:tr w:rsidR="004A5AFD" w:rsidRPr="00F218A8" w14:paraId="1A729E77" w14:textId="77777777" w:rsidTr="004A5AFD">
        <w:tc>
          <w:tcPr>
            <w:tcW w:w="1620" w:type="dxa"/>
            <w:tcBorders>
              <w:top w:val="nil"/>
              <w:left w:val="nil"/>
              <w:bottom w:val="nil"/>
              <w:right w:val="nil"/>
            </w:tcBorders>
            <w:hideMark/>
          </w:tcPr>
          <w:p w14:paraId="0ECD0B1F" w14:textId="77777777" w:rsidR="004A5AFD" w:rsidRPr="00F218A8" w:rsidRDefault="004A5AFD">
            <w:pPr>
              <w:autoSpaceDE w:val="0"/>
              <w:autoSpaceDN w:val="0"/>
              <w:adjustRightInd w:val="0"/>
              <w:spacing w:line="480" w:lineRule="auto"/>
              <w:rPr>
                <w:rFonts w:ascii="Times New Roman" w:hAnsi="Times New Roman" w:cs="Times New Roman"/>
                <w:b/>
                <w:bCs/>
                <w:sz w:val="24"/>
                <w:szCs w:val="24"/>
              </w:rPr>
            </w:pPr>
            <w:r w:rsidRPr="00F218A8">
              <w:rPr>
                <w:rFonts w:ascii="Times New Roman" w:hAnsi="Times New Roman" w:cs="Times New Roman"/>
                <w:b/>
                <w:bCs/>
                <w:sz w:val="24"/>
                <w:szCs w:val="24"/>
              </w:rPr>
              <w:lastRenderedPageBreak/>
              <w:t xml:space="preserve">Progesterone </w:t>
            </w:r>
          </w:p>
        </w:tc>
        <w:tc>
          <w:tcPr>
            <w:tcW w:w="2520" w:type="dxa"/>
            <w:tcBorders>
              <w:top w:val="nil"/>
              <w:left w:val="nil"/>
              <w:bottom w:val="nil"/>
              <w:right w:val="nil"/>
            </w:tcBorders>
            <w:hideMark/>
          </w:tcPr>
          <w:p w14:paraId="6B3064D9" w14:textId="77777777" w:rsidR="004A5AFD" w:rsidRPr="00F218A8" w:rsidRDefault="004A5AFD">
            <w:pPr>
              <w:autoSpaceDE w:val="0"/>
              <w:autoSpaceDN w:val="0"/>
              <w:adjustRightInd w:val="0"/>
              <w:spacing w:line="480" w:lineRule="auto"/>
              <w:rPr>
                <w:rFonts w:ascii="Times New Roman" w:hAnsi="Times New Roman" w:cs="Times New Roman"/>
                <w:sz w:val="24"/>
                <w:szCs w:val="24"/>
              </w:rPr>
            </w:pPr>
            <w:r w:rsidRPr="00F218A8">
              <w:rPr>
                <w:rFonts w:ascii="Times New Roman" w:hAnsi="Times New Roman" w:cs="Times New Roman"/>
                <w:sz w:val="24"/>
                <w:szCs w:val="24"/>
              </w:rPr>
              <w:t>0.499 (0.395-0.603)</w:t>
            </w:r>
          </w:p>
        </w:tc>
        <w:tc>
          <w:tcPr>
            <w:tcW w:w="1800" w:type="dxa"/>
            <w:tcBorders>
              <w:top w:val="nil"/>
              <w:left w:val="nil"/>
              <w:bottom w:val="nil"/>
              <w:right w:val="nil"/>
            </w:tcBorders>
            <w:hideMark/>
          </w:tcPr>
          <w:p w14:paraId="3A99C8B3" w14:textId="77777777" w:rsidR="004A5AFD" w:rsidRPr="00F218A8" w:rsidRDefault="004A5AFD">
            <w:pPr>
              <w:autoSpaceDE w:val="0"/>
              <w:autoSpaceDN w:val="0"/>
              <w:adjustRightInd w:val="0"/>
              <w:spacing w:line="480" w:lineRule="auto"/>
              <w:rPr>
                <w:rFonts w:ascii="Times New Roman" w:hAnsi="Times New Roman" w:cs="Times New Roman"/>
                <w:sz w:val="24"/>
                <w:szCs w:val="24"/>
              </w:rPr>
            </w:pPr>
            <w:r w:rsidRPr="00F218A8">
              <w:rPr>
                <w:rFonts w:ascii="Times New Roman" w:hAnsi="Times New Roman" w:cs="Times New Roman"/>
                <w:sz w:val="24"/>
                <w:szCs w:val="24"/>
              </w:rPr>
              <w:t>0.559</w:t>
            </w:r>
          </w:p>
        </w:tc>
        <w:tc>
          <w:tcPr>
            <w:tcW w:w="1800" w:type="dxa"/>
            <w:tcBorders>
              <w:top w:val="nil"/>
              <w:left w:val="nil"/>
              <w:bottom w:val="nil"/>
              <w:right w:val="nil"/>
            </w:tcBorders>
            <w:hideMark/>
          </w:tcPr>
          <w:p w14:paraId="38B55C36" w14:textId="77777777" w:rsidR="004A5AFD" w:rsidRPr="00F218A8" w:rsidRDefault="004A5AFD">
            <w:pPr>
              <w:autoSpaceDE w:val="0"/>
              <w:autoSpaceDN w:val="0"/>
              <w:adjustRightInd w:val="0"/>
              <w:spacing w:line="480" w:lineRule="auto"/>
              <w:rPr>
                <w:rFonts w:ascii="Times New Roman" w:hAnsi="Times New Roman" w:cs="Times New Roman"/>
                <w:sz w:val="24"/>
                <w:szCs w:val="24"/>
              </w:rPr>
            </w:pPr>
            <w:r w:rsidRPr="00F218A8">
              <w:rPr>
                <w:rFonts w:ascii="Times New Roman" w:hAnsi="Times New Roman" w:cs="Times New Roman"/>
                <w:sz w:val="24"/>
                <w:szCs w:val="24"/>
              </w:rPr>
              <w:t>0.569</w:t>
            </w:r>
          </w:p>
        </w:tc>
        <w:tc>
          <w:tcPr>
            <w:tcW w:w="1530" w:type="dxa"/>
            <w:tcBorders>
              <w:top w:val="nil"/>
              <w:left w:val="nil"/>
              <w:bottom w:val="nil"/>
              <w:right w:val="nil"/>
            </w:tcBorders>
            <w:hideMark/>
          </w:tcPr>
          <w:p w14:paraId="209F4DA6" w14:textId="77777777" w:rsidR="004A5AFD" w:rsidRPr="00F218A8" w:rsidRDefault="004A5AFD">
            <w:pPr>
              <w:autoSpaceDE w:val="0"/>
              <w:autoSpaceDN w:val="0"/>
              <w:adjustRightInd w:val="0"/>
              <w:spacing w:line="480" w:lineRule="auto"/>
              <w:rPr>
                <w:rFonts w:ascii="Times New Roman" w:hAnsi="Times New Roman" w:cs="Times New Roman"/>
                <w:sz w:val="24"/>
                <w:szCs w:val="24"/>
              </w:rPr>
            </w:pPr>
            <w:r w:rsidRPr="00F218A8">
              <w:rPr>
                <w:rFonts w:ascii="Times New Roman" w:hAnsi="Times New Roman" w:cs="Times New Roman"/>
                <w:sz w:val="24"/>
                <w:szCs w:val="24"/>
              </w:rPr>
              <w:t>0.983</w:t>
            </w:r>
          </w:p>
        </w:tc>
      </w:tr>
      <w:tr w:rsidR="004A5AFD" w:rsidRPr="00F218A8" w14:paraId="4E6E6C3A" w14:textId="77777777" w:rsidTr="004A5AFD">
        <w:tc>
          <w:tcPr>
            <w:tcW w:w="1620" w:type="dxa"/>
            <w:tcBorders>
              <w:top w:val="nil"/>
              <w:left w:val="nil"/>
              <w:bottom w:val="single" w:sz="4" w:space="0" w:color="auto"/>
              <w:right w:val="nil"/>
            </w:tcBorders>
            <w:hideMark/>
          </w:tcPr>
          <w:p w14:paraId="3A3607CF" w14:textId="77777777" w:rsidR="004A5AFD" w:rsidRPr="00F218A8" w:rsidRDefault="004A5AFD">
            <w:pPr>
              <w:autoSpaceDE w:val="0"/>
              <w:autoSpaceDN w:val="0"/>
              <w:adjustRightInd w:val="0"/>
              <w:spacing w:line="480" w:lineRule="auto"/>
              <w:rPr>
                <w:rFonts w:ascii="Times New Roman" w:hAnsi="Times New Roman" w:cs="Times New Roman"/>
                <w:b/>
                <w:bCs/>
                <w:sz w:val="24"/>
                <w:szCs w:val="24"/>
              </w:rPr>
            </w:pPr>
            <w:r w:rsidRPr="00F218A8">
              <w:rPr>
                <w:rFonts w:ascii="Times New Roman" w:hAnsi="Times New Roman" w:cs="Times New Roman"/>
                <w:b/>
                <w:bCs/>
                <w:sz w:val="24"/>
                <w:szCs w:val="24"/>
              </w:rPr>
              <w:t>PRL</w:t>
            </w:r>
          </w:p>
        </w:tc>
        <w:tc>
          <w:tcPr>
            <w:tcW w:w="2520" w:type="dxa"/>
            <w:tcBorders>
              <w:top w:val="nil"/>
              <w:left w:val="nil"/>
              <w:bottom w:val="single" w:sz="4" w:space="0" w:color="auto"/>
              <w:right w:val="nil"/>
            </w:tcBorders>
            <w:hideMark/>
          </w:tcPr>
          <w:p w14:paraId="45D65C1A" w14:textId="77777777" w:rsidR="004A5AFD" w:rsidRPr="00F218A8" w:rsidRDefault="004A5AFD">
            <w:pPr>
              <w:autoSpaceDE w:val="0"/>
              <w:autoSpaceDN w:val="0"/>
              <w:adjustRightInd w:val="0"/>
              <w:spacing w:line="480" w:lineRule="auto"/>
              <w:rPr>
                <w:rFonts w:ascii="Times New Roman" w:hAnsi="Times New Roman" w:cs="Times New Roman"/>
                <w:sz w:val="24"/>
                <w:szCs w:val="24"/>
              </w:rPr>
            </w:pPr>
            <w:r w:rsidRPr="00F218A8">
              <w:rPr>
                <w:rFonts w:ascii="Times New Roman" w:hAnsi="Times New Roman" w:cs="Times New Roman"/>
                <w:sz w:val="24"/>
                <w:szCs w:val="24"/>
              </w:rPr>
              <w:t>0.232 (0.152-0.312)</w:t>
            </w:r>
          </w:p>
        </w:tc>
        <w:tc>
          <w:tcPr>
            <w:tcW w:w="1800" w:type="dxa"/>
            <w:tcBorders>
              <w:top w:val="nil"/>
              <w:left w:val="nil"/>
              <w:bottom w:val="single" w:sz="4" w:space="0" w:color="auto"/>
              <w:right w:val="nil"/>
            </w:tcBorders>
            <w:hideMark/>
          </w:tcPr>
          <w:p w14:paraId="4B982B5C" w14:textId="77777777" w:rsidR="004A5AFD" w:rsidRPr="00F218A8" w:rsidRDefault="004A5AFD">
            <w:pPr>
              <w:autoSpaceDE w:val="0"/>
              <w:autoSpaceDN w:val="0"/>
              <w:adjustRightInd w:val="0"/>
              <w:spacing w:line="480" w:lineRule="auto"/>
              <w:rPr>
                <w:rFonts w:ascii="Times New Roman" w:hAnsi="Times New Roman" w:cs="Times New Roman"/>
                <w:sz w:val="24"/>
                <w:szCs w:val="24"/>
              </w:rPr>
            </w:pPr>
            <w:r w:rsidRPr="00F218A8">
              <w:rPr>
                <w:rFonts w:ascii="Times New Roman" w:hAnsi="Times New Roman" w:cs="Times New Roman"/>
                <w:sz w:val="24"/>
                <w:szCs w:val="24"/>
              </w:rPr>
              <w:t>0.485</w:t>
            </w:r>
          </w:p>
        </w:tc>
        <w:tc>
          <w:tcPr>
            <w:tcW w:w="1800" w:type="dxa"/>
            <w:tcBorders>
              <w:top w:val="nil"/>
              <w:left w:val="nil"/>
              <w:bottom w:val="single" w:sz="4" w:space="0" w:color="auto"/>
              <w:right w:val="nil"/>
            </w:tcBorders>
            <w:hideMark/>
          </w:tcPr>
          <w:p w14:paraId="27C44110" w14:textId="77777777" w:rsidR="004A5AFD" w:rsidRPr="00F218A8" w:rsidRDefault="004A5AFD">
            <w:pPr>
              <w:autoSpaceDE w:val="0"/>
              <w:autoSpaceDN w:val="0"/>
              <w:adjustRightInd w:val="0"/>
              <w:spacing w:line="480" w:lineRule="auto"/>
              <w:rPr>
                <w:rFonts w:ascii="Times New Roman" w:hAnsi="Times New Roman" w:cs="Times New Roman"/>
                <w:sz w:val="24"/>
                <w:szCs w:val="24"/>
              </w:rPr>
            </w:pPr>
            <w:r w:rsidRPr="00F218A8">
              <w:rPr>
                <w:rFonts w:ascii="Times New Roman" w:hAnsi="Times New Roman" w:cs="Times New Roman"/>
                <w:sz w:val="24"/>
                <w:szCs w:val="24"/>
              </w:rPr>
              <w:t>0.112</w:t>
            </w:r>
          </w:p>
        </w:tc>
        <w:tc>
          <w:tcPr>
            <w:tcW w:w="1530" w:type="dxa"/>
            <w:tcBorders>
              <w:top w:val="nil"/>
              <w:left w:val="nil"/>
              <w:bottom w:val="single" w:sz="4" w:space="0" w:color="auto"/>
              <w:right w:val="nil"/>
            </w:tcBorders>
            <w:hideMark/>
          </w:tcPr>
          <w:p w14:paraId="2F00D815" w14:textId="77777777" w:rsidR="004A5AFD" w:rsidRPr="00F218A8" w:rsidRDefault="004A5AFD">
            <w:pPr>
              <w:autoSpaceDE w:val="0"/>
              <w:autoSpaceDN w:val="0"/>
              <w:adjustRightInd w:val="0"/>
              <w:spacing w:line="480" w:lineRule="auto"/>
              <w:rPr>
                <w:rFonts w:ascii="Times New Roman" w:hAnsi="Times New Roman" w:cs="Times New Roman"/>
                <w:b/>
                <w:bCs/>
                <w:sz w:val="24"/>
                <w:szCs w:val="24"/>
              </w:rPr>
            </w:pPr>
            <w:r w:rsidRPr="00F218A8">
              <w:rPr>
                <w:rFonts w:ascii="Times New Roman" w:hAnsi="Times New Roman" w:cs="Times New Roman"/>
                <w:b/>
                <w:bCs/>
                <w:sz w:val="24"/>
                <w:szCs w:val="24"/>
              </w:rPr>
              <w:t>&lt;0.001*</w:t>
            </w:r>
          </w:p>
        </w:tc>
      </w:tr>
    </w:tbl>
    <w:p w14:paraId="7D3ADBA9" w14:textId="77777777" w:rsidR="004A5AFD" w:rsidRPr="00F218A8" w:rsidRDefault="004A5AFD" w:rsidP="004A5AFD">
      <w:pPr>
        <w:autoSpaceDE w:val="0"/>
        <w:autoSpaceDN w:val="0"/>
        <w:adjustRightInd w:val="0"/>
        <w:spacing w:after="0" w:line="400" w:lineRule="atLeast"/>
        <w:rPr>
          <w:rFonts w:ascii="Times New Roman" w:hAnsi="Times New Roman" w:cs="Times New Roman"/>
          <w:sz w:val="24"/>
          <w:szCs w:val="24"/>
          <w:lang w:val="en-US"/>
        </w:rPr>
      </w:pPr>
    </w:p>
    <w:p w14:paraId="5609E67E" w14:textId="77777777" w:rsidR="000427FF" w:rsidRPr="00F218A8" w:rsidRDefault="000427FF">
      <w:pPr>
        <w:rPr>
          <w:rFonts w:ascii="Times New Roman" w:hAnsi="Times New Roman" w:cs="Times New Roman"/>
          <w:sz w:val="24"/>
        </w:rPr>
      </w:pPr>
    </w:p>
    <w:p w14:paraId="54DC529A" w14:textId="77777777" w:rsidR="004A5AFD" w:rsidRPr="00F218A8" w:rsidRDefault="000427FF">
      <w:pPr>
        <w:rPr>
          <w:rFonts w:ascii="Times New Roman" w:hAnsi="Times New Roman" w:cs="Times New Roman"/>
          <w:b/>
          <w:sz w:val="24"/>
        </w:rPr>
      </w:pPr>
      <w:r w:rsidRPr="00F218A8">
        <w:rPr>
          <w:rFonts w:ascii="Times New Roman" w:hAnsi="Times New Roman" w:cs="Times New Roman"/>
          <w:b/>
          <w:sz w:val="24"/>
        </w:rPr>
        <w:t xml:space="preserve">DISCUSSION </w:t>
      </w:r>
    </w:p>
    <w:p w14:paraId="2359CE31" w14:textId="77777777" w:rsidR="000427FF" w:rsidRPr="00F218A8" w:rsidRDefault="000427FF" w:rsidP="000427FF">
      <w:pPr>
        <w:jc w:val="both"/>
        <w:rPr>
          <w:rFonts w:ascii="Times New Roman" w:hAnsi="Times New Roman" w:cs="Times New Roman"/>
          <w:sz w:val="24"/>
        </w:rPr>
      </w:pPr>
      <w:r w:rsidRPr="00F218A8">
        <w:rPr>
          <w:rFonts w:ascii="Times New Roman" w:hAnsi="Times New Roman" w:cs="Times New Roman"/>
          <w:sz w:val="24"/>
        </w:rPr>
        <w:t xml:space="preserve">This study was done to determine the serum Anti-Mullerian hormone levels as a marker of ovarian reserve among infertile women, and this involved a total study population of 130 participants made up of 65 participants who had been diagnosed with infertility and 65 fertile women as controls. </w:t>
      </w:r>
    </w:p>
    <w:p w14:paraId="4747E506" w14:textId="4B06A555" w:rsidR="000427FF" w:rsidRPr="00F218A8" w:rsidRDefault="000427FF" w:rsidP="00C20F8E">
      <w:pPr>
        <w:jc w:val="both"/>
        <w:rPr>
          <w:rFonts w:ascii="Times New Roman" w:hAnsi="Times New Roman" w:cs="Times New Roman"/>
          <w:sz w:val="24"/>
        </w:rPr>
      </w:pPr>
      <w:r w:rsidRPr="00F218A8">
        <w:rPr>
          <w:rFonts w:ascii="Times New Roman" w:hAnsi="Times New Roman" w:cs="Times New Roman"/>
          <w:sz w:val="24"/>
        </w:rPr>
        <w:t xml:space="preserve">In this study, the most represented age group was found to be the age range of between 26 </w:t>
      </w:r>
      <w:r w:rsidR="00F80667" w:rsidRPr="00F218A8">
        <w:rPr>
          <w:rFonts w:ascii="Times New Roman" w:hAnsi="Times New Roman" w:cs="Times New Roman"/>
          <w:sz w:val="24"/>
        </w:rPr>
        <w:t xml:space="preserve">and </w:t>
      </w:r>
      <w:r w:rsidRPr="00F218A8">
        <w:rPr>
          <w:rFonts w:ascii="Times New Roman" w:hAnsi="Times New Roman" w:cs="Times New Roman"/>
          <w:sz w:val="24"/>
        </w:rPr>
        <w:t xml:space="preserve">30 years. This is similar to the findings in the study done by </w:t>
      </w:r>
      <w:proofErr w:type="spellStart"/>
      <w:r w:rsidRPr="00F218A8">
        <w:rPr>
          <w:rFonts w:ascii="Times New Roman" w:hAnsi="Times New Roman" w:cs="Times New Roman"/>
          <w:sz w:val="24"/>
        </w:rPr>
        <w:t>Oke</w:t>
      </w:r>
      <w:proofErr w:type="spellEnd"/>
      <w:r w:rsidRPr="00F218A8">
        <w:rPr>
          <w:rFonts w:ascii="Times New Roman" w:hAnsi="Times New Roman" w:cs="Times New Roman"/>
          <w:sz w:val="24"/>
        </w:rPr>
        <w:t xml:space="preserve"> </w:t>
      </w:r>
      <w:proofErr w:type="gramStart"/>
      <w:r w:rsidRPr="00F218A8">
        <w:rPr>
          <w:rFonts w:ascii="Times New Roman" w:hAnsi="Times New Roman" w:cs="Times New Roman"/>
          <w:sz w:val="24"/>
        </w:rPr>
        <w:t>et al.</w:t>
      </w:r>
      <w:r w:rsidR="00C20F8E" w:rsidRPr="00F218A8">
        <w:rPr>
          <w:rFonts w:ascii="Times New Roman" w:hAnsi="Times New Roman" w:cs="Times New Roman"/>
          <w:sz w:val="24"/>
          <w:vertAlign w:val="superscript"/>
        </w:rPr>
        <w:t>[</w:t>
      </w:r>
      <w:proofErr w:type="gramEnd"/>
      <w:r w:rsidR="00C20F8E" w:rsidRPr="00F218A8">
        <w:rPr>
          <w:rFonts w:ascii="Times New Roman" w:hAnsi="Times New Roman" w:cs="Times New Roman"/>
          <w:sz w:val="24"/>
          <w:vertAlign w:val="superscript"/>
        </w:rPr>
        <w:t>15]</w:t>
      </w:r>
      <w:r w:rsidRPr="00F218A8">
        <w:rPr>
          <w:rFonts w:ascii="Times New Roman" w:hAnsi="Times New Roman" w:cs="Times New Roman"/>
          <w:sz w:val="24"/>
        </w:rPr>
        <w:t xml:space="preserve"> And there was no statistically significant difference between the educational status, religion and duration of marriage between the test (infertile) and control </w:t>
      </w:r>
      <w:r w:rsidR="00C20F8E" w:rsidRPr="00F218A8">
        <w:rPr>
          <w:rFonts w:ascii="Times New Roman" w:hAnsi="Times New Roman" w:cs="Times New Roman"/>
          <w:sz w:val="24"/>
        </w:rPr>
        <w:t>(fertile) groups</w:t>
      </w:r>
      <w:r w:rsidR="00F80667" w:rsidRPr="00F218A8">
        <w:rPr>
          <w:rFonts w:ascii="Times New Roman" w:hAnsi="Times New Roman" w:cs="Times New Roman"/>
          <w:sz w:val="24"/>
        </w:rPr>
        <w:t>,</w:t>
      </w:r>
      <w:r w:rsidR="00C20F8E" w:rsidRPr="00F218A8">
        <w:rPr>
          <w:rFonts w:ascii="Times New Roman" w:hAnsi="Times New Roman" w:cs="Times New Roman"/>
          <w:sz w:val="24"/>
        </w:rPr>
        <w:t xml:space="preserve"> respectively. </w:t>
      </w:r>
      <w:r w:rsidRPr="00F218A8">
        <w:rPr>
          <w:rFonts w:ascii="Times New Roman" w:hAnsi="Times New Roman" w:cs="Times New Roman"/>
          <w:sz w:val="24"/>
          <w:szCs w:val="24"/>
        </w:rPr>
        <w:t>The mean serum AMH level in women presenting with infertility in the study was 2.07±4.6ng/ml</w:t>
      </w:r>
      <w:r w:rsidR="00F80667" w:rsidRPr="00F218A8">
        <w:rPr>
          <w:rFonts w:ascii="Times New Roman" w:hAnsi="Times New Roman" w:cs="Times New Roman"/>
          <w:sz w:val="24"/>
          <w:szCs w:val="24"/>
        </w:rPr>
        <w:t>,</w:t>
      </w:r>
      <w:r w:rsidRPr="00F218A8">
        <w:rPr>
          <w:rFonts w:ascii="Times New Roman" w:hAnsi="Times New Roman" w:cs="Times New Roman"/>
          <w:sz w:val="24"/>
          <w:szCs w:val="24"/>
        </w:rPr>
        <w:t xml:space="preserve"> which is similar to 2.66±</w:t>
      </w:r>
      <w:r w:rsidR="00C20F8E" w:rsidRPr="00F218A8">
        <w:rPr>
          <w:rFonts w:ascii="Times New Roman" w:hAnsi="Times New Roman" w:cs="Times New Roman"/>
          <w:sz w:val="24"/>
          <w:szCs w:val="24"/>
        </w:rPr>
        <w:t xml:space="preserve">4.23ng/ml reported by </w:t>
      </w:r>
      <w:proofErr w:type="spellStart"/>
      <w:r w:rsidR="00C20F8E" w:rsidRPr="00F218A8">
        <w:rPr>
          <w:rFonts w:ascii="Times New Roman" w:hAnsi="Times New Roman" w:cs="Times New Roman"/>
          <w:sz w:val="24"/>
          <w:szCs w:val="24"/>
        </w:rPr>
        <w:t>Oke</w:t>
      </w:r>
      <w:proofErr w:type="spellEnd"/>
      <w:r w:rsidR="00C20F8E" w:rsidRPr="00F218A8">
        <w:rPr>
          <w:rFonts w:ascii="Times New Roman" w:hAnsi="Times New Roman" w:cs="Times New Roman"/>
          <w:sz w:val="24"/>
          <w:szCs w:val="24"/>
        </w:rPr>
        <w:t xml:space="preserve"> et al</w:t>
      </w:r>
      <w:r w:rsidR="00F80667" w:rsidRPr="00F218A8">
        <w:rPr>
          <w:rFonts w:ascii="Times New Roman" w:hAnsi="Times New Roman" w:cs="Times New Roman"/>
          <w:sz w:val="24"/>
          <w:szCs w:val="24"/>
        </w:rPr>
        <w:t xml:space="preserve"> </w:t>
      </w:r>
      <w:r w:rsidR="00F80667" w:rsidRPr="00F218A8">
        <w:rPr>
          <w:rFonts w:ascii="Times New Roman" w:hAnsi="Times New Roman" w:cs="Times New Roman"/>
          <w:sz w:val="24"/>
          <w:szCs w:val="24"/>
          <w:vertAlign w:val="superscript"/>
        </w:rPr>
        <w:t>[</w:t>
      </w:r>
      <w:r w:rsidR="00C20F8E" w:rsidRPr="00F218A8">
        <w:rPr>
          <w:rFonts w:ascii="Times New Roman" w:hAnsi="Times New Roman" w:cs="Times New Roman"/>
          <w:sz w:val="24"/>
          <w:szCs w:val="24"/>
          <w:vertAlign w:val="superscript"/>
        </w:rPr>
        <w:t>15]</w:t>
      </w:r>
      <w:r w:rsidRPr="00F218A8">
        <w:rPr>
          <w:rFonts w:ascii="Times New Roman" w:hAnsi="Times New Roman" w:cs="Times New Roman"/>
          <w:sz w:val="24"/>
          <w:szCs w:val="24"/>
        </w:rPr>
        <w:t xml:space="preserve"> in 2019 among infertile women in Osun state</w:t>
      </w:r>
      <w:r w:rsidR="00F80667" w:rsidRPr="00F218A8">
        <w:rPr>
          <w:rFonts w:ascii="Times New Roman" w:hAnsi="Times New Roman" w:cs="Times New Roman"/>
          <w:sz w:val="24"/>
          <w:szCs w:val="24"/>
        </w:rPr>
        <w:t>,</w:t>
      </w:r>
      <w:r w:rsidRPr="00F218A8">
        <w:rPr>
          <w:rFonts w:ascii="Times New Roman" w:hAnsi="Times New Roman" w:cs="Times New Roman"/>
          <w:sz w:val="24"/>
          <w:szCs w:val="24"/>
        </w:rPr>
        <w:t xml:space="preserve"> Nigeria and 2.91±0.98ng/ml reported by </w:t>
      </w:r>
      <w:proofErr w:type="spellStart"/>
      <w:r w:rsidRPr="00F218A8">
        <w:rPr>
          <w:rFonts w:ascii="Times New Roman" w:hAnsi="Times New Roman" w:cs="Times New Roman"/>
          <w:sz w:val="24"/>
          <w:szCs w:val="24"/>
        </w:rPr>
        <w:t>Kalaiselvi</w:t>
      </w:r>
      <w:proofErr w:type="spellEnd"/>
      <w:r w:rsidRPr="00F218A8">
        <w:rPr>
          <w:rFonts w:ascii="Times New Roman" w:hAnsi="Times New Roman" w:cs="Times New Roman"/>
          <w:sz w:val="24"/>
          <w:szCs w:val="24"/>
        </w:rPr>
        <w:t xml:space="preserve"> et al</w:t>
      </w:r>
      <w:r w:rsidR="00C20F8E" w:rsidRPr="00F218A8">
        <w:rPr>
          <w:rFonts w:ascii="Times New Roman" w:hAnsi="Times New Roman" w:cs="Times New Roman"/>
          <w:sz w:val="24"/>
          <w:szCs w:val="24"/>
        </w:rPr>
        <w:t xml:space="preserve"> </w:t>
      </w:r>
      <w:r w:rsidR="00C20F8E" w:rsidRPr="00F218A8">
        <w:rPr>
          <w:rFonts w:ascii="Times New Roman" w:hAnsi="Times New Roman" w:cs="Times New Roman"/>
          <w:sz w:val="24"/>
          <w:szCs w:val="24"/>
          <w:vertAlign w:val="superscript"/>
        </w:rPr>
        <w:t>[16]</w:t>
      </w:r>
      <w:r w:rsidRPr="00F218A8">
        <w:rPr>
          <w:rFonts w:ascii="Times New Roman" w:hAnsi="Times New Roman" w:cs="Times New Roman"/>
          <w:sz w:val="24"/>
          <w:szCs w:val="24"/>
        </w:rPr>
        <w:t xml:space="preserve">   among Indians in 2012.  Women with proven fertility had a mean AMH of 3.80±5.8ng/ml, </w:t>
      </w:r>
      <w:r w:rsidR="00F80667" w:rsidRPr="00F218A8">
        <w:rPr>
          <w:rFonts w:ascii="Times New Roman" w:hAnsi="Times New Roman" w:cs="Times New Roman"/>
          <w:sz w:val="24"/>
          <w:szCs w:val="24"/>
        </w:rPr>
        <w:t xml:space="preserve">which </w:t>
      </w:r>
      <w:r w:rsidRPr="00F218A8">
        <w:rPr>
          <w:rFonts w:ascii="Times New Roman" w:hAnsi="Times New Roman" w:cs="Times New Roman"/>
          <w:sz w:val="24"/>
          <w:szCs w:val="24"/>
        </w:rPr>
        <w:t xml:space="preserve">is similar to values by </w:t>
      </w:r>
      <w:proofErr w:type="spellStart"/>
      <w:r w:rsidRPr="00F218A8">
        <w:rPr>
          <w:rFonts w:ascii="Times New Roman" w:hAnsi="Times New Roman" w:cs="Times New Roman"/>
          <w:sz w:val="24"/>
          <w:szCs w:val="24"/>
        </w:rPr>
        <w:t>Kalaiselvi</w:t>
      </w:r>
      <w:proofErr w:type="spellEnd"/>
      <w:r w:rsidRPr="00F218A8">
        <w:rPr>
          <w:rFonts w:ascii="Times New Roman" w:hAnsi="Times New Roman" w:cs="Times New Roman"/>
          <w:sz w:val="24"/>
          <w:szCs w:val="24"/>
        </w:rPr>
        <w:t xml:space="preserve"> et al (3,70±1.6ng/ml</w:t>
      </w:r>
      <w:proofErr w:type="gramStart"/>
      <w:r w:rsidRPr="00F218A8">
        <w:rPr>
          <w:rFonts w:ascii="Times New Roman" w:hAnsi="Times New Roman" w:cs="Times New Roman"/>
          <w:sz w:val="24"/>
          <w:szCs w:val="24"/>
        </w:rPr>
        <w:t>)</w:t>
      </w:r>
      <w:r w:rsidR="00C20F8E" w:rsidRPr="00F218A8">
        <w:rPr>
          <w:rFonts w:ascii="Times New Roman" w:hAnsi="Times New Roman" w:cs="Times New Roman"/>
          <w:sz w:val="24"/>
          <w:szCs w:val="24"/>
        </w:rPr>
        <w:t>.</w:t>
      </w:r>
      <w:r w:rsidR="00C20F8E" w:rsidRPr="00F218A8">
        <w:rPr>
          <w:rFonts w:ascii="Times New Roman" w:hAnsi="Times New Roman" w:cs="Times New Roman"/>
          <w:sz w:val="24"/>
          <w:szCs w:val="24"/>
          <w:vertAlign w:val="superscript"/>
        </w:rPr>
        <w:t>[</w:t>
      </w:r>
      <w:proofErr w:type="gramEnd"/>
      <w:r w:rsidR="00FE3058" w:rsidRPr="00F218A8">
        <w:rPr>
          <w:rFonts w:ascii="Times New Roman" w:hAnsi="Times New Roman" w:cs="Times New Roman"/>
          <w:sz w:val="24"/>
          <w:szCs w:val="24"/>
          <w:vertAlign w:val="superscript"/>
        </w:rPr>
        <w:t>15</w:t>
      </w:r>
      <w:r w:rsidR="00C20F8E" w:rsidRPr="00F218A8">
        <w:rPr>
          <w:rFonts w:ascii="Times New Roman" w:hAnsi="Times New Roman" w:cs="Times New Roman"/>
          <w:sz w:val="24"/>
          <w:szCs w:val="24"/>
          <w:vertAlign w:val="superscript"/>
        </w:rPr>
        <w:t>]</w:t>
      </w:r>
      <w:r w:rsidRPr="00F218A8">
        <w:rPr>
          <w:rFonts w:ascii="Times New Roman" w:hAnsi="Times New Roman" w:cs="Times New Roman"/>
          <w:sz w:val="24"/>
          <w:szCs w:val="24"/>
        </w:rPr>
        <w:t xml:space="preserve"> However, this is in </w:t>
      </w:r>
      <w:r w:rsidR="00FE3058" w:rsidRPr="00F218A8">
        <w:rPr>
          <w:rFonts w:ascii="Times New Roman" w:hAnsi="Times New Roman" w:cs="Times New Roman"/>
          <w:sz w:val="24"/>
          <w:szCs w:val="24"/>
        </w:rPr>
        <w:t xml:space="preserve">disagreement with the study by </w:t>
      </w:r>
      <w:proofErr w:type="spellStart"/>
      <w:r w:rsidRPr="00F218A8">
        <w:rPr>
          <w:rFonts w:ascii="Times New Roman" w:hAnsi="Times New Roman" w:cs="Times New Roman"/>
          <w:sz w:val="24"/>
          <w:szCs w:val="24"/>
        </w:rPr>
        <w:t>Oke</w:t>
      </w:r>
      <w:proofErr w:type="spellEnd"/>
      <w:r w:rsidRPr="00F218A8">
        <w:rPr>
          <w:rFonts w:ascii="Times New Roman" w:hAnsi="Times New Roman" w:cs="Times New Roman"/>
          <w:sz w:val="24"/>
          <w:szCs w:val="24"/>
        </w:rPr>
        <w:t xml:space="preserve"> et al</w:t>
      </w:r>
      <w:r w:rsidR="00F80667" w:rsidRPr="00F218A8">
        <w:rPr>
          <w:rFonts w:ascii="Times New Roman" w:hAnsi="Times New Roman" w:cs="Times New Roman"/>
          <w:sz w:val="24"/>
          <w:szCs w:val="24"/>
        </w:rPr>
        <w:t xml:space="preserve">. </w:t>
      </w:r>
      <w:r w:rsidR="00F80667" w:rsidRPr="00F218A8">
        <w:rPr>
          <w:rFonts w:ascii="Times New Roman" w:hAnsi="Times New Roman" w:cs="Times New Roman"/>
          <w:sz w:val="24"/>
          <w:szCs w:val="24"/>
          <w:vertAlign w:val="superscript"/>
        </w:rPr>
        <w:t>[</w:t>
      </w:r>
      <w:r w:rsidR="00C20F8E" w:rsidRPr="00F218A8">
        <w:rPr>
          <w:rFonts w:ascii="Times New Roman" w:hAnsi="Times New Roman" w:cs="Times New Roman"/>
          <w:sz w:val="24"/>
          <w:szCs w:val="24"/>
          <w:vertAlign w:val="superscript"/>
        </w:rPr>
        <w:t>15]</w:t>
      </w:r>
      <w:r w:rsidRPr="00F218A8">
        <w:rPr>
          <w:rFonts w:ascii="Times New Roman" w:hAnsi="Times New Roman" w:cs="Times New Roman"/>
          <w:sz w:val="24"/>
          <w:szCs w:val="24"/>
        </w:rPr>
        <w:t xml:space="preserve"> who reported a mean AMH </w:t>
      </w:r>
      <w:r w:rsidR="00F80667" w:rsidRPr="00F218A8">
        <w:rPr>
          <w:rFonts w:ascii="Times New Roman" w:hAnsi="Times New Roman" w:cs="Times New Roman"/>
          <w:sz w:val="24"/>
          <w:szCs w:val="24"/>
        </w:rPr>
        <w:t xml:space="preserve">of </w:t>
      </w:r>
      <w:r w:rsidRPr="00F218A8">
        <w:rPr>
          <w:rFonts w:ascii="Times New Roman" w:hAnsi="Times New Roman" w:cs="Times New Roman"/>
          <w:sz w:val="24"/>
          <w:szCs w:val="24"/>
        </w:rPr>
        <w:t xml:space="preserve">10.32±5.85ng/ml in </w:t>
      </w:r>
      <w:r w:rsidR="00F80667" w:rsidRPr="00F218A8">
        <w:rPr>
          <w:rFonts w:ascii="Times New Roman" w:hAnsi="Times New Roman" w:cs="Times New Roman"/>
          <w:sz w:val="24"/>
          <w:szCs w:val="24"/>
        </w:rPr>
        <w:t xml:space="preserve">their </w:t>
      </w:r>
      <w:r w:rsidRPr="00F218A8">
        <w:rPr>
          <w:rFonts w:ascii="Times New Roman" w:hAnsi="Times New Roman" w:cs="Times New Roman"/>
          <w:sz w:val="24"/>
          <w:szCs w:val="24"/>
        </w:rPr>
        <w:t>own study population.</w:t>
      </w:r>
    </w:p>
    <w:p w14:paraId="2C29EC00" w14:textId="15863A1B" w:rsidR="000427FF" w:rsidRPr="00F218A8" w:rsidRDefault="000427FF" w:rsidP="000427FF">
      <w:pPr>
        <w:spacing w:line="240" w:lineRule="auto"/>
        <w:jc w:val="both"/>
        <w:rPr>
          <w:rFonts w:ascii="Times New Roman" w:hAnsi="Times New Roman" w:cs="Times New Roman"/>
          <w:sz w:val="24"/>
          <w:szCs w:val="24"/>
        </w:rPr>
      </w:pPr>
      <w:r w:rsidRPr="00F218A8">
        <w:rPr>
          <w:rFonts w:ascii="Times New Roman" w:hAnsi="Times New Roman" w:cs="Times New Roman"/>
          <w:sz w:val="24"/>
          <w:szCs w:val="24"/>
        </w:rPr>
        <w:t xml:space="preserve">This study observed that mean serum AMH levels when compared between the infertile and fertile subjects were statistically significant (p=0.001), and it is believed that the early reduction in the </w:t>
      </w:r>
      <w:proofErr w:type="gramStart"/>
      <w:r w:rsidRPr="00F218A8">
        <w:rPr>
          <w:rFonts w:ascii="Times New Roman" w:hAnsi="Times New Roman" w:cs="Times New Roman"/>
          <w:sz w:val="24"/>
          <w:szCs w:val="24"/>
        </w:rPr>
        <w:t>amount</w:t>
      </w:r>
      <w:proofErr w:type="gramEnd"/>
      <w:r w:rsidRPr="00F218A8">
        <w:rPr>
          <w:rFonts w:ascii="Times New Roman" w:hAnsi="Times New Roman" w:cs="Times New Roman"/>
          <w:sz w:val="24"/>
          <w:szCs w:val="24"/>
        </w:rPr>
        <w:t xml:space="preserve"> of primordial follicles remaining in the ovaries may be responsible for the observed difference, thus pointing to a decline in ovarian reserve in infertile subjects. This is </w:t>
      </w:r>
      <w:r w:rsidR="00F80667" w:rsidRPr="00F218A8">
        <w:rPr>
          <w:rFonts w:ascii="Times New Roman" w:hAnsi="Times New Roman" w:cs="Times New Roman"/>
          <w:sz w:val="24"/>
          <w:szCs w:val="24"/>
        </w:rPr>
        <w:t xml:space="preserve">also </w:t>
      </w:r>
      <w:r w:rsidRPr="00F218A8">
        <w:rPr>
          <w:rFonts w:ascii="Times New Roman" w:hAnsi="Times New Roman" w:cs="Times New Roman"/>
          <w:sz w:val="24"/>
          <w:szCs w:val="24"/>
        </w:rPr>
        <w:t xml:space="preserve">in agreement with the studies done by </w:t>
      </w:r>
      <w:proofErr w:type="spellStart"/>
      <w:r w:rsidRPr="00F218A8">
        <w:rPr>
          <w:rFonts w:ascii="Times New Roman" w:hAnsi="Times New Roman" w:cs="Times New Roman"/>
          <w:sz w:val="24"/>
          <w:szCs w:val="24"/>
        </w:rPr>
        <w:t>Oke</w:t>
      </w:r>
      <w:proofErr w:type="spellEnd"/>
      <w:r w:rsidRPr="00F218A8">
        <w:rPr>
          <w:rFonts w:ascii="Times New Roman" w:hAnsi="Times New Roman" w:cs="Times New Roman"/>
          <w:sz w:val="24"/>
          <w:szCs w:val="24"/>
        </w:rPr>
        <w:t xml:space="preserve"> et al</w:t>
      </w:r>
      <w:r w:rsidR="00C20F8E" w:rsidRPr="00F218A8">
        <w:rPr>
          <w:rFonts w:ascii="Times New Roman" w:hAnsi="Times New Roman" w:cs="Times New Roman"/>
          <w:sz w:val="24"/>
          <w:szCs w:val="24"/>
        </w:rPr>
        <w:t xml:space="preserve"> </w:t>
      </w:r>
      <w:r w:rsidR="00C20F8E" w:rsidRPr="00F218A8">
        <w:rPr>
          <w:rFonts w:ascii="Times New Roman" w:hAnsi="Times New Roman" w:cs="Times New Roman"/>
          <w:sz w:val="24"/>
          <w:szCs w:val="24"/>
          <w:vertAlign w:val="superscript"/>
        </w:rPr>
        <w:t>[15]</w:t>
      </w:r>
      <w:r w:rsidRPr="00F218A8">
        <w:rPr>
          <w:rFonts w:ascii="Times New Roman" w:hAnsi="Times New Roman" w:cs="Times New Roman"/>
          <w:sz w:val="24"/>
          <w:szCs w:val="24"/>
        </w:rPr>
        <w:t xml:space="preserve"> and </w:t>
      </w:r>
      <w:proofErr w:type="spellStart"/>
      <w:r w:rsidRPr="00F218A8">
        <w:rPr>
          <w:rFonts w:ascii="Times New Roman" w:hAnsi="Times New Roman" w:cs="Times New Roman"/>
          <w:sz w:val="24"/>
          <w:szCs w:val="24"/>
        </w:rPr>
        <w:t>Kalaiselvi</w:t>
      </w:r>
      <w:proofErr w:type="spellEnd"/>
      <w:r w:rsidRPr="00F218A8">
        <w:rPr>
          <w:rFonts w:ascii="Times New Roman" w:hAnsi="Times New Roman" w:cs="Times New Roman"/>
          <w:sz w:val="24"/>
          <w:szCs w:val="24"/>
        </w:rPr>
        <w:t xml:space="preserve"> </w:t>
      </w:r>
      <w:proofErr w:type="gramStart"/>
      <w:r w:rsidRPr="00F218A8">
        <w:rPr>
          <w:rFonts w:ascii="Times New Roman" w:hAnsi="Times New Roman" w:cs="Times New Roman"/>
          <w:sz w:val="24"/>
          <w:szCs w:val="24"/>
        </w:rPr>
        <w:t>et al</w:t>
      </w:r>
      <w:r w:rsidR="00C20F8E" w:rsidRPr="00F218A8">
        <w:rPr>
          <w:rFonts w:ascii="Times New Roman" w:hAnsi="Times New Roman" w:cs="Times New Roman"/>
          <w:sz w:val="24"/>
          <w:szCs w:val="24"/>
        </w:rPr>
        <w:t>.</w:t>
      </w:r>
      <w:r w:rsidR="00C20F8E" w:rsidRPr="00F218A8">
        <w:rPr>
          <w:rFonts w:ascii="Times New Roman" w:hAnsi="Times New Roman" w:cs="Times New Roman"/>
          <w:sz w:val="24"/>
          <w:szCs w:val="24"/>
          <w:vertAlign w:val="superscript"/>
        </w:rPr>
        <w:t>[</w:t>
      </w:r>
      <w:proofErr w:type="gramEnd"/>
      <w:r w:rsidR="00C20F8E" w:rsidRPr="00F218A8">
        <w:rPr>
          <w:rFonts w:ascii="Times New Roman" w:hAnsi="Times New Roman" w:cs="Times New Roman"/>
          <w:sz w:val="24"/>
          <w:szCs w:val="24"/>
          <w:vertAlign w:val="superscript"/>
        </w:rPr>
        <w:t>16]</w:t>
      </w:r>
    </w:p>
    <w:p w14:paraId="5F4F8727" w14:textId="52A4350B" w:rsidR="000427FF" w:rsidRPr="00F218A8" w:rsidRDefault="000427FF" w:rsidP="000427FF">
      <w:pPr>
        <w:spacing w:line="240" w:lineRule="auto"/>
        <w:jc w:val="both"/>
        <w:rPr>
          <w:rFonts w:ascii="Times New Roman" w:hAnsi="Times New Roman" w:cs="Times New Roman"/>
          <w:sz w:val="24"/>
          <w:szCs w:val="24"/>
        </w:rPr>
      </w:pPr>
      <w:r w:rsidRPr="00F218A8">
        <w:rPr>
          <w:rFonts w:ascii="Times New Roman" w:hAnsi="Times New Roman" w:cs="Times New Roman"/>
          <w:sz w:val="24"/>
          <w:szCs w:val="24"/>
        </w:rPr>
        <w:t xml:space="preserve">In this study, it was observed that mean FSH values were significantly different between the infertile and the fertile participants (p=0.025). </w:t>
      </w:r>
      <w:r w:rsidR="00C20F8E" w:rsidRPr="00F218A8">
        <w:rPr>
          <w:rFonts w:ascii="Times New Roman" w:hAnsi="Times New Roman" w:cs="Times New Roman"/>
          <w:sz w:val="24"/>
          <w:szCs w:val="24"/>
        </w:rPr>
        <w:t>This</w:t>
      </w:r>
      <w:r w:rsidRPr="00F218A8">
        <w:rPr>
          <w:rFonts w:ascii="Times New Roman" w:hAnsi="Times New Roman" w:cs="Times New Roman"/>
          <w:sz w:val="24"/>
          <w:szCs w:val="24"/>
        </w:rPr>
        <w:t xml:space="preserve"> is similar to the findings by </w:t>
      </w:r>
      <w:proofErr w:type="spellStart"/>
      <w:r w:rsidRPr="00F218A8">
        <w:rPr>
          <w:rFonts w:ascii="Times New Roman" w:hAnsi="Times New Roman" w:cs="Times New Roman"/>
          <w:sz w:val="24"/>
          <w:szCs w:val="24"/>
        </w:rPr>
        <w:t>Oke</w:t>
      </w:r>
      <w:proofErr w:type="spellEnd"/>
      <w:r w:rsidRPr="00F218A8">
        <w:rPr>
          <w:rFonts w:ascii="Times New Roman" w:hAnsi="Times New Roman" w:cs="Times New Roman"/>
          <w:sz w:val="24"/>
          <w:szCs w:val="24"/>
        </w:rPr>
        <w:t xml:space="preserve"> et al</w:t>
      </w:r>
      <w:r w:rsidR="00C20F8E" w:rsidRPr="00F218A8">
        <w:rPr>
          <w:rFonts w:ascii="Times New Roman" w:hAnsi="Times New Roman" w:cs="Times New Roman"/>
          <w:sz w:val="24"/>
          <w:szCs w:val="24"/>
          <w:vertAlign w:val="superscript"/>
        </w:rPr>
        <w:t xml:space="preserve"> [15]</w:t>
      </w:r>
      <w:r w:rsidRPr="00F218A8">
        <w:rPr>
          <w:rFonts w:ascii="Times New Roman" w:hAnsi="Times New Roman" w:cs="Times New Roman"/>
          <w:sz w:val="24"/>
          <w:szCs w:val="24"/>
        </w:rPr>
        <w:t xml:space="preserve"> and </w:t>
      </w:r>
      <w:proofErr w:type="spellStart"/>
      <w:r w:rsidRPr="00F218A8">
        <w:rPr>
          <w:rFonts w:ascii="Times New Roman" w:hAnsi="Times New Roman" w:cs="Times New Roman"/>
          <w:sz w:val="24"/>
          <w:szCs w:val="24"/>
        </w:rPr>
        <w:t>Kalaiselvi</w:t>
      </w:r>
      <w:proofErr w:type="spellEnd"/>
      <w:r w:rsidRPr="00F218A8">
        <w:rPr>
          <w:rFonts w:ascii="Times New Roman" w:hAnsi="Times New Roman" w:cs="Times New Roman"/>
          <w:sz w:val="24"/>
          <w:szCs w:val="24"/>
        </w:rPr>
        <w:t xml:space="preserve"> et al</w:t>
      </w:r>
      <w:r w:rsidR="00C20F8E" w:rsidRPr="00F218A8">
        <w:rPr>
          <w:rFonts w:ascii="Times New Roman" w:hAnsi="Times New Roman" w:cs="Times New Roman"/>
          <w:sz w:val="24"/>
          <w:szCs w:val="24"/>
        </w:rPr>
        <w:t>.</w:t>
      </w:r>
      <w:r w:rsidR="00C20F8E" w:rsidRPr="00F218A8">
        <w:rPr>
          <w:rFonts w:ascii="Times New Roman" w:hAnsi="Times New Roman" w:cs="Times New Roman"/>
          <w:sz w:val="24"/>
          <w:szCs w:val="24"/>
          <w:vertAlign w:val="superscript"/>
        </w:rPr>
        <w:t>[16]</w:t>
      </w:r>
      <w:r w:rsidRPr="00F218A8">
        <w:rPr>
          <w:rFonts w:ascii="Times New Roman" w:hAnsi="Times New Roman" w:cs="Times New Roman"/>
          <w:sz w:val="24"/>
          <w:szCs w:val="24"/>
        </w:rPr>
        <w:t xml:space="preserve"> An elevated FSH level is an indication of declining ovarian reserve</w:t>
      </w:r>
      <w:r w:rsidR="00F80667" w:rsidRPr="00F218A8">
        <w:rPr>
          <w:rFonts w:ascii="Times New Roman" w:hAnsi="Times New Roman" w:cs="Times New Roman"/>
          <w:sz w:val="24"/>
          <w:szCs w:val="24"/>
        </w:rPr>
        <w:t>,</w:t>
      </w:r>
      <w:r w:rsidRPr="00F218A8">
        <w:rPr>
          <w:rFonts w:ascii="Times New Roman" w:hAnsi="Times New Roman" w:cs="Times New Roman"/>
          <w:sz w:val="24"/>
          <w:szCs w:val="24"/>
        </w:rPr>
        <w:t xml:space="preserve"> with levels as high as 10 – 15mIU/ml suggestive of a definitive reduction in ovarian reserve</w:t>
      </w:r>
      <w:r w:rsidR="00C20F8E" w:rsidRPr="00F218A8">
        <w:rPr>
          <w:rFonts w:ascii="Times New Roman" w:hAnsi="Times New Roman" w:cs="Times New Roman"/>
          <w:sz w:val="24"/>
          <w:szCs w:val="24"/>
        </w:rPr>
        <w:t xml:space="preserve"> </w:t>
      </w:r>
      <w:r w:rsidR="00C20F8E" w:rsidRPr="00F218A8">
        <w:rPr>
          <w:rFonts w:ascii="Times New Roman" w:hAnsi="Times New Roman" w:cs="Times New Roman"/>
          <w:sz w:val="24"/>
          <w:szCs w:val="24"/>
          <w:vertAlign w:val="superscript"/>
        </w:rPr>
        <w:t>[17]</w:t>
      </w:r>
      <w:r w:rsidRPr="00F218A8">
        <w:rPr>
          <w:rFonts w:ascii="Times New Roman" w:hAnsi="Times New Roman" w:cs="Times New Roman"/>
          <w:sz w:val="24"/>
          <w:szCs w:val="24"/>
          <w:vertAlign w:val="superscript"/>
        </w:rPr>
        <w:t xml:space="preserve"> </w:t>
      </w:r>
      <w:r w:rsidRPr="00F218A8">
        <w:rPr>
          <w:rFonts w:ascii="Times New Roman" w:hAnsi="Times New Roman" w:cs="Times New Roman"/>
          <w:sz w:val="24"/>
          <w:szCs w:val="24"/>
        </w:rPr>
        <w:t>and level ≥15mIU/ml may suggest that the occurrence of pregnancy will be less frequent</w:t>
      </w:r>
      <w:r w:rsidR="00C20F8E" w:rsidRPr="00F218A8">
        <w:rPr>
          <w:rFonts w:ascii="Times New Roman" w:hAnsi="Times New Roman" w:cs="Times New Roman"/>
          <w:sz w:val="24"/>
          <w:szCs w:val="24"/>
        </w:rPr>
        <w:t>.</w:t>
      </w:r>
      <w:r w:rsidR="00C20F8E" w:rsidRPr="00F218A8">
        <w:rPr>
          <w:rFonts w:ascii="Times New Roman" w:hAnsi="Times New Roman" w:cs="Times New Roman"/>
          <w:sz w:val="24"/>
          <w:szCs w:val="24"/>
          <w:vertAlign w:val="superscript"/>
        </w:rPr>
        <w:t>[18]</w:t>
      </w:r>
      <w:r w:rsidRPr="00F218A8">
        <w:rPr>
          <w:rFonts w:ascii="Times New Roman" w:hAnsi="Times New Roman" w:cs="Times New Roman"/>
          <w:sz w:val="24"/>
          <w:szCs w:val="24"/>
        </w:rPr>
        <w:t xml:space="preserve"> There is also a statistically significant elevation of prolactin in the test population (infertile women) compared to the control (fertile women) (p=0.001). Significantly elevated prolactin decreases the level of </w:t>
      </w:r>
      <w:proofErr w:type="spellStart"/>
      <w:r w:rsidRPr="00F218A8">
        <w:rPr>
          <w:rFonts w:ascii="Times New Roman" w:hAnsi="Times New Roman" w:cs="Times New Roman"/>
          <w:sz w:val="24"/>
          <w:szCs w:val="24"/>
        </w:rPr>
        <w:t>estrogen</w:t>
      </w:r>
      <w:proofErr w:type="spellEnd"/>
      <w:r w:rsidRPr="00F218A8">
        <w:rPr>
          <w:rFonts w:ascii="Times New Roman" w:hAnsi="Times New Roman" w:cs="Times New Roman"/>
          <w:sz w:val="24"/>
          <w:szCs w:val="24"/>
        </w:rPr>
        <w:t xml:space="preserve"> production. This may be through an inhibitory effect on the hypothalamic gonadotropin-releasing hormone, thereby reducing the secretion of FSH and LH, with a subsequent direct negative effect on the </w:t>
      </w:r>
      <w:proofErr w:type="gramStart"/>
      <w:r w:rsidRPr="00F218A8">
        <w:rPr>
          <w:rFonts w:ascii="Times New Roman" w:hAnsi="Times New Roman" w:cs="Times New Roman"/>
          <w:sz w:val="24"/>
          <w:szCs w:val="24"/>
        </w:rPr>
        <w:t>ovary</w:t>
      </w:r>
      <w:r w:rsidR="00C20F8E" w:rsidRPr="00F218A8">
        <w:rPr>
          <w:rFonts w:ascii="Times New Roman" w:hAnsi="Times New Roman" w:cs="Times New Roman"/>
          <w:sz w:val="24"/>
          <w:szCs w:val="24"/>
        </w:rPr>
        <w:t>.</w:t>
      </w:r>
      <w:r w:rsidR="00C20F8E" w:rsidRPr="00F218A8">
        <w:rPr>
          <w:rFonts w:ascii="Times New Roman" w:hAnsi="Times New Roman" w:cs="Times New Roman"/>
          <w:sz w:val="24"/>
          <w:szCs w:val="24"/>
          <w:vertAlign w:val="superscript"/>
        </w:rPr>
        <w:t>[</w:t>
      </w:r>
      <w:proofErr w:type="gramEnd"/>
      <w:r w:rsidR="00C20F8E" w:rsidRPr="00F218A8">
        <w:rPr>
          <w:rFonts w:ascii="Times New Roman" w:hAnsi="Times New Roman" w:cs="Times New Roman"/>
          <w:sz w:val="24"/>
          <w:szCs w:val="24"/>
          <w:vertAlign w:val="superscript"/>
        </w:rPr>
        <w:t>19]</w:t>
      </w:r>
      <w:r w:rsidRPr="00F218A8">
        <w:rPr>
          <w:rFonts w:ascii="Times New Roman" w:hAnsi="Times New Roman" w:cs="Times New Roman"/>
          <w:sz w:val="24"/>
          <w:szCs w:val="24"/>
        </w:rPr>
        <w:t xml:space="preserve">. There is also </w:t>
      </w:r>
      <w:r w:rsidR="00F80667" w:rsidRPr="00F218A8">
        <w:rPr>
          <w:rFonts w:ascii="Times New Roman" w:hAnsi="Times New Roman" w:cs="Times New Roman"/>
          <w:sz w:val="24"/>
          <w:szCs w:val="24"/>
        </w:rPr>
        <w:t xml:space="preserve">a </w:t>
      </w:r>
      <w:r w:rsidRPr="00F218A8">
        <w:rPr>
          <w:rFonts w:ascii="Times New Roman" w:hAnsi="Times New Roman" w:cs="Times New Roman"/>
          <w:sz w:val="24"/>
          <w:szCs w:val="24"/>
        </w:rPr>
        <w:t>statistically significant</w:t>
      </w:r>
      <w:r w:rsidR="00F80667" w:rsidRPr="00F218A8">
        <w:rPr>
          <w:rFonts w:ascii="Times New Roman" w:hAnsi="Times New Roman" w:cs="Times New Roman"/>
          <w:sz w:val="24"/>
          <w:szCs w:val="24"/>
        </w:rPr>
        <w:t>ly</w:t>
      </w:r>
      <w:r w:rsidRPr="00F218A8">
        <w:rPr>
          <w:rFonts w:ascii="Times New Roman" w:hAnsi="Times New Roman" w:cs="Times New Roman"/>
          <w:sz w:val="24"/>
          <w:szCs w:val="24"/>
        </w:rPr>
        <w:t xml:space="preserve"> higher mean level of LH among the infertile participants in the study when compared with the fertile participants (13.93±12.6 vs 8.73±2.3) (p=0.001), and this could be associated with failure of conception, increased risk of spontaneous miscarriages, and reduction in the rate of </w:t>
      </w:r>
      <w:proofErr w:type="gramStart"/>
      <w:r w:rsidR="00F80667" w:rsidRPr="00F218A8">
        <w:rPr>
          <w:rFonts w:ascii="Times New Roman" w:hAnsi="Times New Roman" w:cs="Times New Roman"/>
          <w:sz w:val="24"/>
          <w:szCs w:val="24"/>
        </w:rPr>
        <w:t>fertilisation</w:t>
      </w:r>
      <w:r w:rsidR="00AA3BEE" w:rsidRPr="00F218A8">
        <w:rPr>
          <w:rFonts w:ascii="Times New Roman" w:hAnsi="Times New Roman" w:cs="Times New Roman"/>
          <w:sz w:val="24"/>
          <w:szCs w:val="24"/>
        </w:rPr>
        <w:t>.</w:t>
      </w:r>
      <w:r w:rsidR="00AA3BEE" w:rsidRPr="00F218A8">
        <w:rPr>
          <w:rFonts w:ascii="Times New Roman" w:hAnsi="Times New Roman" w:cs="Times New Roman"/>
          <w:sz w:val="24"/>
          <w:szCs w:val="24"/>
          <w:vertAlign w:val="superscript"/>
        </w:rPr>
        <w:t>[</w:t>
      </w:r>
      <w:proofErr w:type="gramEnd"/>
      <w:r w:rsidR="00AA3BEE" w:rsidRPr="00F218A8">
        <w:rPr>
          <w:rFonts w:ascii="Times New Roman" w:hAnsi="Times New Roman" w:cs="Times New Roman"/>
          <w:sz w:val="24"/>
          <w:szCs w:val="24"/>
          <w:vertAlign w:val="superscript"/>
        </w:rPr>
        <w:t>20]</w:t>
      </w:r>
      <w:r w:rsidRPr="00F218A8">
        <w:rPr>
          <w:rFonts w:ascii="Times New Roman" w:hAnsi="Times New Roman" w:cs="Times New Roman"/>
          <w:sz w:val="24"/>
          <w:szCs w:val="24"/>
        </w:rPr>
        <w:t xml:space="preserve"> This could be a contributory factor for the infertility in the participants. Also, the mean level of </w:t>
      </w:r>
      <w:proofErr w:type="spellStart"/>
      <w:r w:rsidRPr="00F218A8">
        <w:rPr>
          <w:rFonts w:ascii="Times New Roman" w:hAnsi="Times New Roman" w:cs="Times New Roman"/>
          <w:sz w:val="24"/>
          <w:szCs w:val="24"/>
        </w:rPr>
        <w:t>estradiol</w:t>
      </w:r>
      <w:proofErr w:type="spellEnd"/>
      <w:r w:rsidRPr="00F218A8">
        <w:rPr>
          <w:rFonts w:ascii="Times New Roman" w:hAnsi="Times New Roman" w:cs="Times New Roman"/>
          <w:sz w:val="24"/>
          <w:szCs w:val="24"/>
        </w:rPr>
        <w:t xml:space="preserve"> (E</w:t>
      </w:r>
      <w:r w:rsidRPr="00F218A8">
        <w:rPr>
          <w:rFonts w:ascii="Times New Roman" w:hAnsi="Times New Roman" w:cs="Times New Roman"/>
          <w:sz w:val="24"/>
          <w:szCs w:val="24"/>
          <w:vertAlign w:val="subscript"/>
        </w:rPr>
        <w:t>2</w:t>
      </w:r>
      <w:r w:rsidRPr="00F218A8">
        <w:rPr>
          <w:rFonts w:ascii="Times New Roman" w:hAnsi="Times New Roman" w:cs="Times New Roman"/>
          <w:sz w:val="24"/>
          <w:szCs w:val="24"/>
        </w:rPr>
        <w:t>)</w:t>
      </w:r>
      <w:r w:rsidRPr="00F218A8">
        <w:rPr>
          <w:rFonts w:ascii="Times New Roman" w:hAnsi="Times New Roman" w:cs="Times New Roman"/>
          <w:sz w:val="24"/>
          <w:szCs w:val="24"/>
          <w:vertAlign w:val="subscript"/>
        </w:rPr>
        <w:t xml:space="preserve"> </w:t>
      </w:r>
      <w:r w:rsidRPr="00F218A8">
        <w:rPr>
          <w:rFonts w:ascii="Times New Roman" w:hAnsi="Times New Roman" w:cs="Times New Roman"/>
          <w:sz w:val="24"/>
          <w:szCs w:val="24"/>
        </w:rPr>
        <w:t xml:space="preserve">between the infertile and the fertile subjects statistically </w:t>
      </w:r>
      <w:r w:rsidR="00F80667" w:rsidRPr="00F218A8">
        <w:rPr>
          <w:rFonts w:ascii="Times New Roman" w:hAnsi="Times New Roman" w:cs="Times New Roman"/>
          <w:sz w:val="24"/>
          <w:szCs w:val="24"/>
        </w:rPr>
        <w:t xml:space="preserve">varies </w:t>
      </w:r>
      <w:r w:rsidRPr="00F218A8">
        <w:rPr>
          <w:rFonts w:ascii="Times New Roman" w:hAnsi="Times New Roman" w:cs="Times New Roman"/>
          <w:sz w:val="24"/>
          <w:szCs w:val="24"/>
        </w:rPr>
        <w:t xml:space="preserve">at 73,05±30.7 vs 63.50±16.3 (p=0.002). The higher level of </w:t>
      </w:r>
      <w:proofErr w:type="spellStart"/>
      <w:r w:rsidRPr="00F218A8">
        <w:rPr>
          <w:rFonts w:ascii="Times New Roman" w:hAnsi="Times New Roman" w:cs="Times New Roman"/>
          <w:sz w:val="24"/>
          <w:szCs w:val="24"/>
        </w:rPr>
        <w:lastRenderedPageBreak/>
        <w:t>estradiol</w:t>
      </w:r>
      <w:proofErr w:type="spellEnd"/>
      <w:r w:rsidRPr="00F218A8">
        <w:rPr>
          <w:rFonts w:ascii="Times New Roman" w:hAnsi="Times New Roman" w:cs="Times New Roman"/>
          <w:sz w:val="24"/>
          <w:szCs w:val="24"/>
        </w:rPr>
        <w:t xml:space="preserve"> (E</w:t>
      </w:r>
      <w:r w:rsidRPr="00F218A8">
        <w:rPr>
          <w:rFonts w:ascii="Times New Roman" w:hAnsi="Times New Roman" w:cs="Times New Roman"/>
          <w:sz w:val="24"/>
          <w:szCs w:val="24"/>
          <w:vertAlign w:val="subscript"/>
        </w:rPr>
        <w:t>2)</w:t>
      </w:r>
      <w:r w:rsidRPr="00F218A8">
        <w:rPr>
          <w:rFonts w:ascii="Times New Roman" w:hAnsi="Times New Roman" w:cs="Times New Roman"/>
          <w:sz w:val="24"/>
          <w:szCs w:val="24"/>
        </w:rPr>
        <w:t xml:space="preserve"> in the infertile participants may be an indication of declining ovarian reserve. Day 3 </w:t>
      </w:r>
      <w:proofErr w:type="spellStart"/>
      <w:r w:rsidRPr="00F218A8">
        <w:rPr>
          <w:rFonts w:ascii="Times New Roman" w:hAnsi="Times New Roman" w:cs="Times New Roman"/>
          <w:sz w:val="24"/>
          <w:szCs w:val="24"/>
        </w:rPr>
        <w:t>estradiol</w:t>
      </w:r>
      <w:proofErr w:type="spellEnd"/>
      <w:r w:rsidRPr="00F218A8">
        <w:rPr>
          <w:rFonts w:ascii="Times New Roman" w:hAnsi="Times New Roman" w:cs="Times New Roman"/>
          <w:sz w:val="24"/>
          <w:szCs w:val="24"/>
        </w:rPr>
        <w:t xml:space="preserve"> values between 75 – 80pg/mL </w:t>
      </w:r>
      <w:r w:rsidR="00B52804" w:rsidRPr="00F218A8">
        <w:rPr>
          <w:rFonts w:ascii="Times New Roman" w:hAnsi="Times New Roman" w:cs="Times New Roman"/>
          <w:sz w:val="24"/>
          <w:szCs w:val="24"/>
        </w:rPr>
        <w:t xml:space="preserve">are </w:t>
      </w:r>
      <w:r w:rsidRPr="00F218A8">
        <w:rPr>
          <w:rFonts w:ascii="Times New Roman" w:hAnsi="Times New Roman" w:cs="Times New Roman"/>
          <w:sz w:val="24"/>
          <w:szCs w:val="24"/>
        </w:rPr>
        <w:t xml:space="preserve">said to be suggestive of reduced ovarian </w:t>
      </w:r>
      <w:proofErr w:type="gramStart"/>
      <w:r w:rsidRPr="00F218A8">
        <w:rPr>
          <w:rFonts w:ascii="Times New Roman" w:hAnsi="Times New Roman" w:cs="Times New Roman"/>
          <w:sz w:val="24"/>
          <w:szCs w:val="24"/>
        </w:rPr>
        <w:t>reserve</w:t>
      </w:r>
      <w:r w:rsidR="00AA3BEE" w:rsidRPr="00F218A8">
        <w:rPr>
          <w:rFonts w:ascii="Times New Roman" w:hAnsi="Times New Roman" w:cs="Times New Roman"/>
          <w:sz w:val="24"/>
          <w:szCs w:val="24"/>
        </w:rPr>
        <w:t>.</w:t>
      </w:r>
      <w:r w:rsidR="00AA3BEE" w:rsidRPr="00F218A8">
        <w:rPr>
          <w:rFonts w:ascii="Times New Roman" w:hAnsi="Times New Roman" w:cs="Times New Roman"/>
          <w:sz w:val="24"/>
          <w:szCs w:val="24"/>
          <w:vertAlign w:val="superscript"/>
        </w:rPr>
        <w:t>[</w:t>
      </w:r>
      <w:proofErr w:type="gramEnd"/>
      <w:r w:rsidR="00AA3BEE" w:rsidRPr="00F218A8">
        <w:rPr>
          <w:rFonts w:ascii="Times New Roman" w:hAnsi="Times New Roman" w:cs="Times New Roman"/>
          <w:sz w:val="24"/>
          <w:szCs w:val="24"/>
          <w:vertAlign w:val="superscript"/>
        </w:rPr>
        <w:t>21]</w:t>
      </w:r>
      <w:r w:rsidRPr="00F218A8">
        <w:rPr>
          <w:rFonts w:ascii="Times New Roman" w:hAnsi="Times New Roman" w:cs="Times New Roman"/>
          <w:sz w:val="24"/>
          <w:szCs w:val="24"/>
        </w:rPr>
        <w:t xml:space="preserve"> This finding is similar to that </w:t>
      </w:r>
      <w:r w:rsidR="00B52804" w:rsidRPr="00F218A8">
        <w:rPr>
          <w:rFonts w:ascii="Times New Roman" w:hAnsi="Times New Roman" w:cs="Times New Roman"/>
          <w:sz w:val="24"/>
          <w:szCs w:val="24"/>
        </w:rPr>
        <w:t xml:space="preserve">of </w:t>
      </w:r>
      <w:r w:rsidRPr="00F218A8">
        <w:rPr>
          <w:rFonts w:ascii="Times New Roman" w:hAnsi="Times New Roman" w:cs="Times New Roman"/>
          <w:sz w:val="24"/>
          <w:szCs w:val="24"/>
        </w:rPr>
        <w:t>other studies where the E</w:t>
      </w:r>
      <w:r w:rsidRPr="00F218A8">
        <w:rPr>
          <w:rFonts w:ascii="Times New Roman" w:hAnsi="Times New Roman" w:cs="Times New Roman"/>
          <w:sz w:val="24"/>
          <w:szCs w:val="24"/>
          <w:vertAlign w:val="subscript"/>
        </w:rPr>
        <w:t>2</w:t>
      </w:r>
      <w:r w:rsidRPr="00F218A8">
        <w:rPr>
          <w:rFonts w:ascii="Times New Roman" w:hAnsi="Times New Roman" w:cs="Times New Roman"/>
          <w:sz w:val="24"/>
          <w:szCs w:val="24"/>
        </w:rPr>
        <w:t xml:space="preserve"> in participants with infertility were found to be higher than that of fertile control participants</w:t>
      </w:r>
      <w:r w:rsidR="00AA3BEE" w:rsidRPr="00F218A8">
        <w:rPr>
          <w:rFonts w:ascii="Times New Roman" w:hAnsi="Times New Roman" w:cs="Times New Roman"/>
          <w:sz w:val="24"/>
          <w:szCs w:val="24"/>
        </w:rPr>
        <w:t>.</w:t>
      </w:r>
      <w:r w:rsidR="00AA3BEE" w:rsidRPr="00F218A8">
        <w:rPr>
          <w:rFonts w:ascii="Times New Roman" w:hAnsi="Times New Roman" w:cs="Times New Roman"/>
          <w:sz w:val="24"/>
          <w:szCs w:val="24"/>
          <w:vertAlign w:val="superscript"/>
        </w:rPr>
        <w:t>[15,16]</w:t>
      </w:r>
      <w:r w:rsidRPr="00F218A8">
        <w:rPr>
          <w:rFonts w:ascii="Times New Roman" w:hAnsi="Times New Roman" w:cs="Times New Roman"/>
          <w:sz w:val="24"/>
          <w:szCs w:val="24"/>
        </w:rPr>
        <w:t xml:space="preserve"> There was no significant difference in the mean levels of progesterone between the study groups.</w:t>
      </w:r>
    </w:p>
    <w:p w14:paraId="0900C421" w14:textId="4A360F32" w:rsidR="00B5449D" w:rsidRPr="00F218A8" w:rsidRDefault="00B5449D" w:rsidP="00B5449D">
      <w:pPr>
        <w:spacing w:line="240" w:lineRule="auto"/>
        <w:jc w:val="both"/>
        <w:rPr>
          <w:rFonts w:ascii="Times New Roman" w:hAnsi="Times New Roman" w:cs="Times New Roman"/>
          <w:sz w:val="24"/>
          <w:szCs w:val="24"/>
        </w:rPr>
      </w:pPr>
      <w:r w:rsidRPr="00F218A8">
        <w:rPr>
          <w:rFonts w:ascii="Times New Roman" w:hAnsi="Times New Roman" w:cs="Times New Roman"/>
          <w:sz w:val="24"/>
          <w:szCs w:val="24"/>
        </w:rPr>
        <w:t>In predicting ovarian reserve, this study found that AMH demonstrated a high predictive value with an area under the curve of 0.721(0.630 – 0.812)</w:t>
      </w:r>
      <w:r w:rsidR="003D6BAF" w:rsidRPr="00F218A8">
        <w:rPr>
          <w:rFonts w:ascii="Times New Roman" w:hAnsi="Times New Roman" w:cs="Times New Roman"/>
          <w:sz w:val="24"/>
          <w:szCs w:val="24"/>
        </w:rPr>
        <w:t xml:space="preserve"> p&lt;0.001, even when compared to</w:t>
      </w:r>
      <w:r w:rsidRPr="00F218A8">
        <w:rPr>
          <w:rFonts w:ascii="Times New Roman" w:hAnsi="Times New Roman" w:cs="Times New Roman"/>
          <w:sz w:val="24"/>
          <w:szCs w:val="24"/>
        </w:rPr>
        <w:t xml:space="preserve"> the traditionally used FSH</w:t>
      </w:r>
      <w:r w:rsidR="00B52804" w:rsidRPr="00F218A8">
        <w:rPr>
          <w:rFonts w:ascii="Times New Roman" w:hAnsi="Times New Roman" w:cs="Times New Roman"/>
          <w:sz w:val="24"/>
          <w:szCs w:val="24"/>
        </w:rPr>
        <w:t>,</w:t>
      </w:r>
      <w:r w:rsidRPr="00F218A8">
        <w:rPr>
          <w:rFonts w:ascii="Times New Roman" w:hAnsi="Times New Roman" w:cs="Times New Roman"/>
          <w:sz w:val="24"/>
          <w:szCs w:val="24"/>
        </w:rPr>
        <w:t xml:space="preserve"> which had an AUC of 0.614(0.13 – 0.715) p=0.025. This is comparable to studies done by </w:t>
      </w:r>
      <w:proofErr w:type="spellStart"/>
      <w:r w:rsidRPr="00F218A8">
        <w:rPr>
          <w:rFonts w:ascii="Times New Roman" w:hAnsi="Times New Roman" w:cs="Times New Roman"/>
          <w:sz w:val="24"/>
          <w:szCs w:val="24"/>
        </w:rPr>
        <w:t>Kalaiselvi</w:t>
      </w:r>
      <w:proofErr w:type="spellEnd"/>
      <w:r w:rsidRPr="00F218A8">
        <w:rPr>
          <w:rFonts w:ascii="Times New Roman" w:hAnsi="Times New Roman" w:cs="Times New Roman"/>
          <w:sz w:val="24"/>
          <w:szCs w:val="24"/>
        </w:rPr>
        <w:t xml:space="preserve"> VS et al</w:t>
      </w:r>
      <w:r w:rsidRPr="00F218A8">
        <w:rPr>
          <w:rFonts w:ascii="Times New Roman" w:hAnsi="Times New Roman" w:cs="Times New Roman"/>
          <w:sz w:val="24"/>
          <w:szCs w:val="24"/>
          <w:vertAlign w:val="superscript"/>
        </w:rPr>
        <w:t>99</w:t>
      </w:r>
      <w:r w:rsidRPr="00F218A8">
        <w:rPr>
          <w:rFonts w:ascii="Times New Roman" w:hAnsi="Times New Roman" w:cs="Times New Roman"/>
          <w:sz w:val="24"/>
          <w:szCs w:val="24"/>
        </w:rPr>
        <w:t xml:space="preserve"> and Wang X </w:t>
      </w:r>
      <w:proofErr w:type="gramStart"/>
      <w:r w:rsidRPr="00F218A8">
        <w:rPr>
          <w:rFonts w:ascii="Times New Roman" w:hAnsi="Times New Roman" w:cs="Times New Roman"/>
          <w:sz w:val="24"/>
          <w:szCs w:val="24"/>
        </w:rPr>
        <w:t>et al</w:t>
      </w:r>
      <w:r w:rsidR="00AA3BEE" w:rsidRPr="00F218A8">
        <w:rPr>
          <w:rFonts w:ascii="Times New Roman" w:hAnsi="Times New Roman" w:cs="Times New Roman"/>
          <w:sz w:val="24"/>
          <w:szCs w:val="24"/>
        </w:rPr>
        <w:t>.</w:t>
      </w:r>
      <w:r w:rsidR="00AA3BEE" w:rsidRPr="00F218A8">
        <w:rPr>
          <w:rFonts w:ascii="Times New Roman" w:hAnsi="Times New Roman" w:cs="Times New Roman"/>
          <w:sz w:val="24"/>
          <w:szCs w:val="24"/>
          <w:vertAlign w:val="superscript"/>
        </w:rPr>
        <w:t>[</w:t>
      </w:r>
      <w:proofErr w:type="gramEnd"/>
      <w:r w:rsidR="00AA3BEE" w:rsidRPr="00F218A8">
        <w:rPr>
          <w:rFonts w:ascii="Times New Roman" w:hAnsi="Times New Roman" w:cs="Times New Roman"/>
          <w:sz w:val="24"/>
          <w:szCs w:val="24"/>
          <w:vertAlign w:val="superscript"/>
        </w:rPr>
        <w:t>22]</w:t>
      </w:r>
    </w:p>
    <w:p w14:paraId="7D70DB1C" w14:textId="77777777" w:rsidR="00371494" w:rsidRPr="00F218A8" w:rsidRDefault="00371494" w:rsidP="00371494">
      <w:pPr>
        <w:jc w:val="both"/>
        <w:rPr>
          <w:rFonts w:ascii="Times New Roman" w:hAnsi="Times New Roman" w:cs="Times New Roman"/>
          <w:b/>
          <w:sz w:val="24"/>
        </w:rPr>
      </w:pPr>
      <w:r w:rsidRPr="00F218A8">
        <w:rPr>
          <w:rFonts w:ascii="Times New Roman" w:hAnsi="Times New Roman" w:cs="Times New Roman"/>
          <w:b/>
          <w:sz w:val="24"/>
        </w:rPr>
        <w:t xml:space="preserve">CONCLUSION    </w:t>
      </w:r>
    </w:p>
    <w:p w14:paraId="6D92B90E" w14:textId="0093CEA0" w:rsidR="00356BCC" w:rsidRPr="00F218A8" w:rsidRDefault="00371494" w:rsidP="00371494">
      <w:pPr>
        <w:jc w:val="both"/>
        <w:rPr>
          <w:rFonts w:ascii="Times New Roman" w:hAnsi="Times New Roman" w:cs="Times New Roman"/>
          <w:sz w:val="24"/>
        </w:rPr>
      </w:pPr>
      <w:r w:rsidRPr="00F218A8">
        <w:rPr>
          <w:rFonts w:ascii="Times New Roman" w:hAnsi="Times New Roman" w:cs="Times New Roman"/>
          <w:sz w:val="24"/>
        </w:rPr>
        <w:t xml:space="preserve">This study found that the mean AMH </w:t>
      </w:r>
      <w:r w:rsidR="00F43264" w:rsidRPr="00F218A8">
        <w:rPr>
          <w:rFonts w:ascii="Times New Roman" w:hAnsi="Times New Roman" w:cs="Times New Roman"/>
          <w:sz w:val="24"/>
        </w:rPr>
        <w:t>level was</w:t>
      </w:r>
      <w:r w:rsidRPr="00F218A8">
        <w:rPr>
          <w:rFonts w:ascii="Times New Roman" w:hAnsi="Times New Roman" w:cs="Times New Roman"/>
          <w:sz w:val="24"/>
        </w:rPr>
        <w:t xml:space="preserve"> significantly lower in infertile subjects when compared to the fertile ones. AMH is a valuable biomarker of ovarian reserve because it is cycle independent when compared with other reproductive hormones, with low levels seen in infertile women</w:t>
      </w:r>
      <w:r w:rsidR="00B52804" w:rsidRPr="00F218A8">
        <w:rPr>
          <w:rFonts w:ascii="Times New Roman" w:hAnsi="Times New Roman" w:cs="Times New Roman"/>
          <w:sz w:val="24"/>
        </w:rPr>
        <w:t>. S</w:t>
      </w:r>
      <w:r w:rsidRPr="00F218A8">
        <w:rPr>
          <w:rFonts w:ascii="Times New Roman" w:hAnsi="Times New Roman" w:cs="Times New Roman"/>
          <w:sz w:val="24"/>
        </w:rPr>
        <w:t xml:space="preserve">uch women should be encouraged to </w:t>
      </w:r>
      <w:r w:rsidR="00F43264" w:rsidRPr="00F218A8">
        <w:rPr>
          <w:rFonts w:ascii="Times New Roman" w:hAnsi="Times New Roman" w:cs="Times New Roman"/>
          <w:sz w:val="24"/>
        </w:rPr>
        <w:t>take advantage</w:t>
      </w:r>
      <w:r w:rsidRPr="00F218A8">
        <w:rPr>
          <w:rFonts w:ascii="Times New Roman" w:hAnsi="Times New Roman" w:cs="Times New Roman"/>
          <w:sz w:val="24"/>
        </w:rPr>
        <w:t xml:space="preserve"> </w:t>
      </w:r>
      <w:r w:rsidR="00F43264" w:rsidRPr="00F218A8">
        <w:rPr>
          <w:rFonts w:ascii="Times New Roman" w:hAnsi="Times New Roman" w:cs="Times New Roman"/>
          <w:sz w:val="24"/>
        </w:rPr>
        <w:t>of</w:t>
      </w:r>
      <w:r w:rsidRPr="00F218A8">
        <w:rPr>
          <w:rFonts w:ascii="Times New Roman" w:hAnsi="Times New Roman" w:cs="Times New Roman"/>
          <w:sz w:val="24"/>
        </w:rPr>
        <w:t xml:space="preserve"> assisted reproductive technology to enhance their ability to conceive.  </w:t>
      </w:r>
    </w:p>
    <w:p w14:paraId="30D23FE7" w14:textId="77777777" w:rsidR="00356BCC" w:rsidRPr="00F218A8" w:rsidRDefault="00356BCC" w:rsidP="00356BCC">
      <w:pPr>
        <w:jc w:val="both"/>
        <w:rPr>
          <w:rFonts w:ascii="Times New Roman" w:hAnsi="Times New Roman" w:cs="Times New Roman"/>
          <w:b/>
          <w:sz w:val="24"/>
        </w:rPr>
      </w:pPr>
      <w:r w:rsidRPr="00F218A8">
        <w:rPr>
          <w:rFonts w:ascii="Times New Roman" w:hAnsi="Times New Roman" w:cs="Times New Roman"/>
          <w:b/>
          <w:sz w:val="24"/>
        </w:rPr>
        <w:t>Limitation of the study</w:t>
      </w:r>
    </w:p>
    <w:p w14:paraId="0CEA5777" w14:textId="416A8B9E" w:rsidR="00524C49" w:rsidRPr="00F218A8" w:rsidRDefault="00356BCC" w:rsidP="00356BCC">
      <w:pPr>
        <w:jc w:val="both"/>
        <w:rPr>
          <w:rFonts w:ascii="Times New Roman" w:hAnsi="Times New Roman" w:cs="Times New Roman"/>
          <w:sz w:val="24"/>
        </w:rPr>
      </w:pPr>
      <w:r w:rsidRPr="00F218A8">
        <w:rPr>
          <w:rFonts w:ascii="Times New Roman" w:hAnsi="Times New Roman" w:cs="Times New Roman"/>
          <w:sz w:val="24"/>
        </w:rPr>
        <w:t xml:space="preserve">The study was restricted to a single hospital where there was </w:t>
      </w:r>
      <w:r w:rsidR="00B52804" w:rsidRPr="00F218A8">
        <w:rPr>
          <w:rFonts w:ascii="Times New Roman" w:hAnsi="Times New Roman" w:cs="Times New Roman"/>
          <w:sz w:val="24"/>
        </w:rPr>
        <w:t xml:space="preserve">a </w:t>
      </w:r>
      <w:r w:rsidRPr="00F218A8">
        <w:rPr>
          <w:rFonts w:ascii="Times New Roman" w:hAnsi="Times New Roman" w:cs="Times New Roman"/>
          <w:sz w:val="24"/>
        </w:rPr>
        <w:t>tendency of missing out on a certain population of women who presented in the study. Some participants could have sought alternative means or method</w:t>
      </w:r>
      <w:r w:rsidR="00B52804" w:rsidRPr="00F218A8">
        <w:rPr>
          <w:rFonts w:ascii="Times New Roman" w:hAnsi="Times New Roman" w:cs="Times New Roman"/>
          <w:sz w:val="24"/>
        </w:rPr>
        <w:t>s</w:t>
      </w:r>
      <w:r w:rsidRPr="00F218A8">
        <w:rPr>
          <w:rFonts w:ascii="Times New Roman" w:hAnsi="Times New Roman" w:cs="Times New Roman"/>
          <w:sz w:val="24"/>
        </w:rPr>
        <w:t xml:space="preserve"> of managing their infertility in addition to hospital management</w:t>
      </w:r>
      <w:r w:rsidR="00B52804" w:rsidRPr="00F218A8">
        <w:rPr>
          <w:rFonts w:ascii="Times New Roman" w:hAnsi="Times New Roman" w:cs="Times New Roman"/>
          <w:sz w:val="24"/>
        </w:rPr>
        <w:t>,</w:t>
      </w:r>
      <w:r w:rsidRPr="00F218A8">
        <w:rPr>
          <w:rFonts w:ascii="Times New Roman" w:hAnsi="Times New Roman" w:cs="Times New Roman"/>
          <w:sz w:val="24"/>
        </w:rPr>
        <w:t xml:space="preserve"> thereby affecting t</w:t>
      </w:r>
      <w:r w:rsidR="003A090E" w:rsidRPr="00F218A8">
        <w:rPr>
          <w:rFonts w:ascii="Times New Roman" w:hAnsi="Times New Roman" w:cs="Times New Roman"/>
          <w:sz w:val="24"/>
        </w:rPr>
        <w:t>he result</w:t>
      </w:r>
      <w:r w:rsidR="00B52804" w:rsidRPr="00F218A8">
        <w:rPr>
          <w:rFonts w:ascii="Times New Roman" w:hAnsi="Times New Roman" w:cs="Times New Roman"/>
          <w:sz w:val="24"/>
        </w:rPr>
        <w:t>s</w:t>
      </w:r>
      <w:r w:rsidR="003A090E" w:rsidRPr="00F218A8">
        <w:rPr>
          <w:rFonts w:ascii="Times New Roman" w:hAnsi="Times New Roman" w:cs="Times New Roman"/>
          <w:sz w:val="24"/>
        </w:rPr>
        <w:t xml:space="preserve"> that were arrived at. Also, d</w:t>
      </w:r>
      <w:r w:rsidRPr="00F218A8">
        <w:rPr>
          <w:rFonts w:ascii="Times New Roman" w:hAnsi="Times New Roman" w:cs="Times New Roman"/>
          <w:sz w:val="24"/>
        </w:rPr>
        <w:t xml:space="preserve">emographic data (age, religion, etc.) provided by participants could not </w:t>
      </w:r>
      <w:r w:rsidR="003A090E" w:rsidRPr="00F218A8">
        <w:rPr>
          <w:rFonts w:ascii="Times New Roman" w:hAnsi="Times New Roman" w:cs="Times New Roman"/>
          <w:sz w:val="24"/>
        </w:rPr>
        <w:t xml:space="preserve">be </w:t>
      </w:r>
      <w:r w:rsidRPr="00F218A8">
        <w:rPr>
          <w:rFonts w:ascii="Times New Roman" w:hAnsi="Times New Roman" w:cs="Times New Roman"/>
          <w:sz w:val="24"/>
        </w:rPr>
        <w:t>confirmed or verified</w:t>
      </w:r>
      <w:r w:rsidR="003A090E" w:rsidRPr="00F218A8">
        <w:rPr>
          <w:rFonts w:ascii="Times New Roman" w:hAnsi="Times New Roman" w:cs="Times New Roman"/>
          <w:sz w:val="24"/>
        </w:rPr>
        <w:t>.</w:t>
      </w:r>
    </w:p>
    <w:p w14:paraId="275DC2B6" w14:textId="06A9627D" w:rsidR="00F218A8" w:rsidRPr="00F218A8" w:rsidRDefault="00F218A8" w:rsidP="00371494">
      <w:pPr>
        <w:jc w:val="both"/>
        <w:rPr>
          <w:rFonts w:ascii="Times New Roman" w:hAnsi="Times New Roman" w:cs="Times New Roman"/>
          <w:b/>
          <w:sz w:val="24"/>
        </w:rPr>
      </w:pPr>
      <w:r w:rsidRPr="00F218A8">
        <w:rPr>
          <w:rFonts w:ascii="Times New Roman" w:hAnsi="Times New Roman" w:cs="Times New Roman"/>
          <w:b/>
          <w:sz w:val="24"/>
        </w:rPr>
        <w:t>Ethical Approval</w:t>
      </w:r>
    </w:p>
    <w:p w14:paraId="54338C50" w14:textId="6C0217F3" w:rsidR="00AD3511" w:rsidRPr="00F218A8" w:rsidRDefault="00F218A8" w:rsidP="00371494">
      <w:pPr>
        <w:jc w:val="both"/>
        <w:rPr>
          <w:rFonts w:ascii="Times New Roman" w:hAnsi="Times New Roman" w:cs="Times New Roman"/>
          <w:b/>
          <w:sz w:val="24"/>
        </w:rPr>
      </w:pPr>
      <w:r w:rsidRPr="00F218A8">
        <w:rPr>
          <w:rFonts w:ascii="Times New Roman" w:hAnsi="Times New Roman" w:cs="Times New Roman"/>
          <w:b/>
          <w:sz w:val="24"/>
        </w:rPr>
        <w:t>Approval for the study was obtained from the hospital research and ethics review committee of ISTH (NHREC/29/03/2017) with approval number ISTH/HREC/20201112/137.</w:t>
      </w:r>
    </w:p>
    <w:p w14:paraId="0678C19D" w14:textId="77777777" w:rsidR="00F218A8" w:rsidRPr="00F218A8" w:rsidRDefault="00F218A8" w:rsidP="00F218A8">
      <w:pPr>
        <w:jc w:val="both"/>
        <w:rPr>
          <w:rFonts w:ascii="Times New Roman" w:hAnsi="Times New Roman" w:cs="Times New Roman"/>
          <w:b/>
          <w:sz w:val="24"/>
        </w:rPr>
      </w:pPr>
      <w:r w:rsidRPr="00F218A8">
        <w:rPr>
          <w:rFonts w:ascii="Times New Roman" w:hAnsi="Times New Roman" w:cs="Times New Roman"/>
          <w:b/>
          <w:sz w:val="24"/>
        </w:rPr>
        <w:t xml:space="preserve">Consent </w:t>
      </w:r>
    </w:p>
    <w:p w14:paraId="5B8D38D6" w14:textId="61A860F3" w:rsidR="00F218A8" w:rsidRPr="00F218A8" w:rsidRDefault="00F218A8" w:rsidP="00F218A8">
      <w:pPr>
        <w:jc w:val="both"/>
        <w:rPr>
          <w:rFonts w:ascii="Times New Roman" w:hAnsi="Times New Roman" w:cs="Times New Roman"/>
          <w:b/>
          <w:sz w:val="24"/>
        </w:rPr>
      </w:pPr>
      <w:r w:rsidRPr="00F218A8">
        <w:rPr>
          <w:rFonts w:ascii="Times New Roman" w:hAnsi="Times New Roman" w:cs="Times New Roman"/>
          <w:b/>
          <w:sz w:val="24"/>
        </w:rPr>
        <w:t>As per international standards or university standards, patient(s) written consent has been collected and preserved by the author(s).</w:t>
      </w:r>
    </w:p>
    <w:p w14:paraId="1CC883B3" w14:textId="77777777" w:rsidR="00F218A8" w:rsidRPr="00F218A8" w:rsidRDefault="00F218A8" w:rsidP="00F218A8">
      <w:pPr>
        <w:jc w:val="both"/>
        <w:rPr>
          <w:rFonts w:ascii="Times New Roman" w:hAnsi="Times New Roman" w:cs="Times New Roman"/>
          <w:b/>
          <w:sz w:val="24"/>
        </w:rPr>
      </w:pPr>
      <w:r w:rsidRPr="00F218A8">
        <w:rPr>
          <w:rFonts w:ascii="Times New Roman" w:hAnsi="Times New Roman" w:cs="Times New Roman"/>
          <w:b/>
          <w:sz w:val="24"/>
        </w:rPr>
        <w:t>Disclaimer (Artificial intelligence)</w:t>
      </w:r>
    </w:p>
    <w:p w14:paraId="537128D1" w14:textId="77777777" w:rsidR="00F218A8" w:rsidRPr="00F218A8" w:rsidRDefault="00F218A8" w:rsidP="00F218A8">
      <w:pPr>
        <w:jc w:val="both"/>
        <w:rPr>
          <w:rFonts w:ascii="Times New Roman" w:hAnsi="Times New Roman" w:cs="Times New Roman"/>
          <w:b/>
          <w:sz w:val="24"/>
        </w:rPr>
      </w:pPr>
      <w:r w:rsidRPr="00F218A8">
        <w:rPr>
          <w:rFonts w:ascii="Times New Roman" w:hAnsi="Times New Roman" w:cs="Times New Roman"/>
          <w:b/>
          <w:sz w:val="24"/>
        </w:rPr>
        <w:t xml:space="preserve">Option 1: </w:t>
      </w:r>
    </w:p>
    <w:p w14:paraId="3737BC02" w14:textId="77777777" w:rsidR="00F218A8" w:rsidRPr="00F218A8" w:rsidRDefault="00F218A8" w:rsidP="00F218A8">
      <w:pPr>
        <w:jc w:val="both"/>
        <w:rPr>
          <w:rFonts w:ascii="Times New Roman" w:hAnsi="Times New Roman" w:cs="Times New Roman"/>
          <w:b/>
          <w:sz w:val="24"/>
        </w:rPr>
      </w:pPr>
      <w:r w:rsidRPr="00F218A8">
        <w:rPr>
          <w:rFonts w:ascii="Times New Roman" w:hAnsi="Times New Roman" w:cs="Times New Roman"/>
          <w:b/>
          <w:sz w:val="24"/>
        </w:rPr>
        <w:t>Author(s) hereby declare that NO generative AI technologies such as Large Language Models (</w:t>
      </w:r>
      <w:proofErr w:type="spellStart"/>
      <w:r w:rsidRPr="00F218A8">
        <w:rPr>
          <w:rFonts w:ascii="Times New Roman" w:hAnsi="Times New Roman" w:cs="Times New Roman"/>
          <w:b/>
          <w:sz w:val="24"/>
        </w:rPr>
        <w:t>ChatGPT</w:t>
      </w:r>
      <w:proofErr w:type="spellEnd"/>
      <w:r w:rsidRPr="00F218A8">
        <w:rPr>
          <w:rFonts w:ascii="Times New Roman" w:hAnsi="Times New Roman" w:cs="Times New Roman"/>
          <w:b/>
          <w:sz w:val="24"/>
        </w:rPr>
        <w:t xml:space="preserve">, COPILOT, etc.) and text-to-image generators have been used during the writing or editing of this manuscript. </w:t>
      </w:r>
    </w:p>
    <w:p w14:paraId="703469A6" w14:textId="77777777" w:rsidR="00F218A8" w:rsidRPr="00F218A8" w:rsidRDefault="00F218A8" w:rsidP="00F218A8">
      <w:pPr>
        <w:jc w:val="both"/>
        <w:rPr>
          <w:rFonts w:ascii="Times New Roman" w:hAnsi="Times New Roman" w:cs="Times New Roman"/>
          <w:b/>
          <w:sz w:val="24"/>
        </w:rPr>
      </w:pPr>
      <w:r w:rsidRPr="00F218A8">
        <w:rPr>
          <w:rFonts w:ascii="Times New Roman" w:hAnsi="Times New Roman" w:cs="Times New Roman"/>
          <w:b/>
          <w:sz w:val="24"/>
        </w:rPr>
        <w:t xml:space="preserve">Option 2: </w:t>
      </w:r>
    </w:p>
    <w:p w14:paraId="25C5E5BD" w14:textId="77777777" w:rsidR="00F218A8" w:rsidRPr="00F218A8" w:rsidRDefault="00F218A8" w:rsidP="00F218A8">
      <w:pPr>
        <w:jc w:val="both"/>
        <w:rPr>
          <w:rFonts w:ascii="Times New Roman" w:hAnsi="Times New Roman" w:cs="Times New Roman"/>
          <w:b/>
          <w:sz w:val="24"/>
        </w:rPr>
      </w:pPr>
      <w:r w:rsidRPr="00F218A8">
        <w:rPr>
          <w:rFonts w:ascii="Times New Roman" w:hAnsi="Times New Roman" w:cs="Times New Roman"/>
          <w:b/>
          <w:sz w:val="24"/>
        </w:rPr>
        <w:t xml:space="preserve">Author(s) hereby declare that generative AI technologies such as Large Language Models, etc. have been used during the writing or editing of manuscripts. This </w:t>
      </w:r>
      <w:r w:rsidRPr="00F218A8">
        <w:rPr>
          <w:rFonts w:ascii="Times New Roman" w:hAnsi="Times New Roman" w:cs="Times New Roman"/>
          <w:b/>
          <w:sz w:val="24"/>
        </w:rPr>
        <w:lastRenderedPageBreak/>
        <w:t>explanation will include the name, version, model, and source of the generative AI technology and as well as all input prompts provided to the generative AI technology</w:t>
      </w:r>
    </w:p>
    <w:p w14:paraId="340B54CF" w14:textId="77777777" w:rsidR="00F218A8" w:rsidRPr="00F218A8" w:rsidRDefault="00F218A8" w:rsidP="00F218A8">
      <w:pPr>
        <w:jc w:val="both"/>
        <w:rPr>
          <w:rFonts w:ascii="Times New Roman" w:hAnsi="Times New Roman" w:cs="Times New Roman"/>
          <w:b/>
          <w:sz w:val="24"/>
        </w:rPr>
      </w:pPr>
      <w:r w:rsidRPr="00F218A8">
        <w:rPr>
          <w:rFonts w:ascii="Times New Roman" w:hAnsi="Times New Roman" w:cs="Times New Roman"/>
          <w:b/>
          <w:sz w:val="24"/>
        </w:rPr>
        <w:t>Details of the AI usage are given below:</w:t>
      </w:r>
    </w:p>
    <w:p w14:paraId="31C1582D" w14:textId="77777777" w:rsidR="00F218A8" w:rsidRPr="00F218A8" w:rsidRDefault="00F218A8" w:rsidP="00F218A8">
      <w:pPr>
        <w:jc w:val="both"/>
        <w:rPr>
          <w:rFonts w:ascii="Times New Roman" w:hAnsi="Times New Roman" w:cs="Times New Roman"/>
          <w:b/>
          <w:sz w:val="24"/>
        </w:rPr>
      </w:pPr>
      <w:r w:rsidRPr="00F218A8">
        <w:rPr>
          <w:rFonts w:ascii="Times New Roman" w:hAnsi="Times New Roman" w:cs="Times New Roman"/>
          <w:b/>
          <w:sz w:val="24"/>
        </w:rPr>
        <w:t>1.</w:t>
      </w:r>
    </w:p>
    <w:p w14:paraId="61607B0E" w14:textId="77777777" w:rsidR="00F218A8" w:rsidRPr="00F218A8" w:rsidRDefault="00F218A8" w:rsidP="00F218A8">
      <w:pPr>
        <w:jc w:val="both"/>
        <w:rPr>
          <w:rFonts w:ascii="Times New Roman" w:hAnsi="Times New Roman" w:cs="Times New Roman"/>
          <w:b/>
          <w:sz w:val="24"/>
        </w:rPr>
      </w:pPr>
      <w:r w:rsidRPr="00F218A8">
        <w:rPr>
          <w:rFonts w:ascii="Times New Roman" w:hAnsi="Times New Roman" w:cs="Times New Roman"/>
          <w:b/>
          <w:sz w:val="24"/>
        </w:rPr>
        <w:t>2.</w:t>
      </w:r>
    </w:p>
    <w:p w14:paraId="122AB5D2" w14:textId="4D5DB794" w:rsidR="00F218A8" w:rsidRPr="00F218A8" w:rsidRDefault="00F218A8" w:rsidP="00F218A8">
      <w:pPr>
        <w:jc w:val="both"/>
        <w:rPr>
          <w:rFonts w:ascii="Times New Roman" w:hAnsi="Times New Roman" w:cs="Times New Roman"/>
          <w:b/>
          <w:sz w:val="24"/>
        </w:rPr>
      </w:pPr>
      <w:r w:rsidRPr="00F218A8">
        <w:rPr>
          <w:rFonts w:ascii="Times New Roman" w:hAnsi="Times New Roman" w:cs="Times New Roman"/>
          <w:b/>
          <w:sz w:val="24"/>
        </w:rPr>
        <w:t>3.</w:t>
      </w:r>
    </w:p>
    <w:p w14:paraId="6D40F2B9" w14:textId="083AD615" w:rsidR="00524C49" w:rsidRPr="00F218A8" w:rsidRDefault="00524C49" w:rsidP="00371494">
      <w:pPr>
        <w:jc w:val="both"/>
        <w:rPr>
          <w:rFonts w:ascii="Times New Roman" w:hAnsi="Times New Roman" w:cs="Times New Roman"/>
          <w:b/>
          <w:sz w:val="24"/>
        </w:rPr>
      </w:pPr>
      <w:r w:rsidRPr="00F218A8">
        <w:rPr>
          <w:rFonts w:ascii="Times New Roman" w:hAnsi="Times New Roman" w:cs="Times New Roman"/>
          <w:b/>
          <w:sz w:val="24"/>
        </w:rPr>
        <w:t>REFERENCES</w:t>
      </w:r>
    </w:p>
    <w:p w14:paraId="6FAC9565" w14:textId="579D3780" w:rsidR="00956A5B" w:rsidRPr="00F218A8" w:rsidRDefault="009A3335" w:rsidP="00956A5B">
      <w:pPr>
        <w:pStyle w:val="ListParagraph"/>
        <w:numPr>
          <w:ilvl w:val="0"/>
          <w:numId w:val="5"/>
        </w:numPr>
        <w:ind w:left="90" w:hanging="180"/>
        <w:jc w:val="both"/>
        <w:rPr>
          <w:rFonts w:ascii="Times New Roman" w:hAnsi="Times New Roman" w:cs="Times New Roman"/>
          <w:sz w:val="24"/>
        </w:rPr>
      </w:pPr>
      <w:proofErr w:type="spellStart"/>
      <w:r w:rsidRPr="00F218A8">
        <w:rPr>
          <w:rFonts w:ascii="Times New Roman" w:hAnsi="Times New Roman" w:cs="Times New Roman"/>
          <w:sz w:val="24"/>
          <w:szCs w:val="24"/>
        </w:rPr>
        <w:t>DeCherney</w:t>
      </w:r>
      <w:proofErr w:type="spellEnd"/>
      <w:r w:rsidRPr="00F218A8">
        <w:rPr>
          <w:rFonts w:ascii="Times New Roman" w:hAnsi="Times New Roman" w:cs="Times New Roman"/>
          <w:sz w:val="24"/>
          <w:szCs w:val="24"/>
        </w:rPr>
        <w:t xml:space="preserve">, A. H., Nathan, L., Laufer, N., &amp; Roman, A. S. (Eds.). (2013). Current diagnosis &amp; treatment: Obstetrics &amp; gynecology (11th ed.). McGraw-Hill Education. </w:t>
      </w:r>
      <w:hyperlink r:id="rId9" w:history="1">
        <w:r w:rsidRPr="00F218A8">
          <w:rPr>
            <w:rStyle w:val="Hyperlink"/>
            <w:rFonts w:ascii="Times New Roman" w:hAnsi="Times New Roman" w:cs="Times New Roman"/>
            <w:sz w:val="24"/>
            <w:szCs w:val="24"/>
          </w:rPr>
          <w:t>https://accessmedicine.mhmedical.com/book.aspx?bookid=498</w:t>
        </w:r>
      </w:hyperlink>
      <w:r w:rsidRPr="00F218A8">
        <w:rPr>
          <w:rFonts w:ascii="Times New Roman" w:hAnsi="Times New Roman" w:cs="Times New Roman"/>
          <w:sz w:val="24"/>
          <w:szCs w:val="24"/>
        </w:rPr>
        <w:t xml:space="preserve"> </w:t>
      </w:r>
      <w:r w:rsidR="00B16A00" w:rsidRPr="00F218A8">
        <w:rPr>
          <w:rFonts w:ascii="Times New Roman" w:hAnsi="Times New Roman" w:cs="Times New Roman"/>
          <w:sz w:val="24"/>
          <w:szCs w:val="24"/>
        </w:rPr>
        <w:t xml:space="preserve"> </w:t>
      </w:r>
    </w:p>
    <w:p w14:paraId="4AEC3D00" w14:textId="5364E180" w:rsidR="00956A5B" w:rsidRPr="00F218A8" w:rsidRDefault="00FB63C1" w:rsidP="00371494">
      <w:pPr>
        <w:pStyle w:val="ListParagraph"/>
        <w:numPr>
          <w:ilvl w:val="0"/>
          <w:numId w:val="5"/>
        </w:numPr>
        <w:ind w:left="90" w:hanging="180"/>
        <w:jc w:val="both"/>
        <w:rPr>
          <w:rFonts w:ascii="Times New Roman" w:hAnsi="Times New Roman" w:cs="Times New Roman"/>
          <w:sz w:val="24"/>
        </w:rPr>
      </w:pPr>
      <w:r w:rsidRPr="00F218A8">
        <w:rPr>
          <w:rFonts w:ascii="Times New Roman" w:hAnsi="Times New Roman" w:cs="Times New Roman"/>
          <w:sz w:val="24"/>
          <w:szCs w:val="24"/>
        </w:rPr>
        <w:t xml:space="preserve">Cui, W. (2010). Mother or nothing: The agony of infertility. Bulletin of the World Health Organization, 88(12), 881-882. </w:t>
      </w:r>
      <w:hyperlink r:id="rId10" w:history="1">
        <w:r w:rsidRPr="00F218A8">
          <w:rPr>
            <w:rStyle w:val="Hyperlink"/>
            <w:rFonts w:ascii="Times New Roman" w:hAnsi="Times New Roman" w:cs="Times New Roman"/>
            <w:sz w:val="24"/>
            <w:szCs w:val="24"/>
          </w:rPr>
          <w:t>https://doi.org/10.2471/BLT.10.011210</w:t>
        </w:r>
      </w:hyperlink>
      <w:r w:rsidRPr="00F218A8">
        <w:rPr>
          <w:rFonts w:ascii="Times New Roman" w:hAnsi="Times New Roman" w:cs="Times New Roman"/>
          <w:sz w:val="24"/>
          <w:szCs w:val="24"/>
        </w:rPr>
        <w:t xml:space="preserve"> </w:t>
      </w:r>
      <w:r w:rsidR="00B16A00" w:rsidRPr="00F218A8">
        <w:rPr>
          <w:rFonts w:ascii="Times New Roman" w:hAnsi="Times New Roman" w:cs="Times New Roman"/>
          <w:sz w:val="24"/>
          <w:szCs w:val="24"/>
        </w:rPr>
        <w:t>.</w:t>
      </w:r>
      <w:r w:rsidR="00371494" w:rsidRPr="00F218A8">
        <w:rPr>
          <w:rFonts w:ascii="Times New Roman" w:hAnsi="Times New Roman" w:cs="Times New Roman"/>
          <w:b/>
          <w:sz w:val="24"/>
        </w:rPr>
        <w:t xml:space="preserve">   </w:t>
      </w:r>
    </w:p>
    <w:p w14:paraId="63ED05D6" w14:textId="77777777" w:rsidR="00956A5B" w:rsidRPr="00F218A8" w:rsidRDefault="00B16A00" w:rsidP="00371494">
      <w:pPr>
        <w:pStyle w:val="ListParagraph"/>
        <w:numPr>
          <w:ilvl w:val="0"/>
          <w:numId w:val="5"/>
        </w:numPr>
        <w:ind w:left="90" w:hanging="180"/>
        <w:jc w:val="both"/>
        <w:rPr>
          <w:rFonts w:ascii="Times New Roman" w:hAnsi="Times New Roman" w:cs="Times New Roman"/>
          <w:sz w:val="24"/>
        </w:rPr>
      </w:pPr>
      <w:r w:rsidRPr="00F218A8">
        <w:rPr>
          <w:rFonts w:ascii="Times New Roman" w:hAnsi="Times New Roman" w:cs="Times New Roman"/>
          <w:sz w:val="24"/>
        </w:rPr>
        <w:t>Macro O R C, WHO. Sexual and reproductive health: Infecundity, infertility and childlessness in the developing countries. Demographic and Health Survey (DHS) Comparative report 9. 2004:74-75.</w:t>
      </w:r>
      <w:r w:rsidR="00371494" w:rsidRPr="00F218A8">
        <w:rPr>
          <w:rFonts w:ascii="Times New Roman" w:hAnsi="Times New Roman" w:cs="Times New Roman"/>
          <w:sz w:val="24"/>
        </w:rPr>
        <w:t xml:space="preserve"> </w:t>
      </w:r>
    </w:p>
    <w:p w14:paraId="1705BE9B" w14:textId="7ABE2274" w:rsidR="00956A5B" w:rsidRPr="00F218A8" w:rsidRDefault="00741921" w:rsidP="00371494">
      <w:pPr>
        <w:pStyle w:val="ListParagraph"/>
        <w:numPr>
          <w:ilvl w:val="0"/>
          <w:numId w:val="5"/>
        </w:numPr>
        <w:ind w:left="90" w:hanging="180"/>
        <w:jc w:val="both"/>
        <w:rPr>
          <w:rFonts w:ascii="Times New Roman" w:hAnsi="Times New Roman" w:cs="Times New Roman"/>
          <w:sz w:val="24"/>
        </w:rPr>
      </w:pPr>
      <w:proofErr w:type="spellStart"/>
      <w:r w:rsidRPr="00F218A8">
        <w:rPr>
          <w:rFonts w:ascii="Times New Roman" w:hAnsi="Times New Roman" w:cs="Times New Roman"/>
          <w:sz w:val="24"/>
        </w:rPr>
        <w:t>Araoye</w:t>
      </w:r>
      <w:proofErr w:type="spellEnd"/>
      <w:r w:rsidRPr="00F218A8">
        <w:rPr>
          <w:rFonts w:ascii="Times New Roman" w:hAnsi="Times New Roman" w:cs="Times New Roman"/>
          <w:sz w:val="24"/>
        </w:rPr>
        <w:t xml:space="preserve">, M. O. (2003). Epidemiology of infertility: social problems of the infertile couples. West African Journal of Medicine, 22(2), 190–196. </w:t>
      </w:r>
      <w:hyperlink r:id="rId11" w:history="1">
        <w:r w:rsidRPr="00F218A8">
          <w:rPr>
            <w:rStyle w:val="Hyperlink"/>
            <w:rFonts w:ascii="Times New Roman" w:hAnsi="Times New Roman" w:cs="Times New Roman"/>
            <w:sz w:val="24"/>
          </w:rPr>
          <w:t>https://doi.org/10.4314/wajm.v22i2.27946</w:t>
        </w:r>
      </w:hyperlink>
      <w:r w:rsidRPr="00F218A8">
        <w:rPr>
          <w:rFonts w:ascii="Times New Roman" w:hAnsi="Times New Roman" w:cs="Times New Roman"/>
          <w:sz w:val="24"/>
        </w:rPr>
        <w:t xml:space="preserve"> </w:t>
      </w:r>
    </w:p>
    <w:p w14:paraId="526E0E4F" w14:textId="2CF9E37C" w:rsidR="00956A5B" w:rsidRPr="00F218A8" w:rsidRDefault="00884939" w:rsidP="00371494">
      <w:pPr>
        <w:pStyle w:val="ListParagraph"/>
        <w:numPr>
          <w:ilvl w:val="0"/>
          <w:numId w:val="5"/>
        </w:numPr>
        <w:ind w:left="90" w:hanging="180"/>
        <w:jc w:val="both"/>
        <w:rPr>
          <w:rFonts w:ascii="Times New Roman" w:hAnsi="Times New Roman" w:cs="Times New Roman"/>
          <w:sz w:val="24"/>
        </w:rPr>
      </w:pPr>
      <w:proofErr w:type="spellStart"/>
      <w:r w:rsidRPr="00F218A8">
        <w:rPr>
          <w:rFonts w:ascii="Times New Roman" w:hAnsi="Times New Roman" w:cs="Times New Roman"/>
          <w:sz w:val="24"/>
        </w:rPr>
        <w:t>Etuk</w:t>
      </w:r>
      <w:proofErr w:type="spellEnd"/>
      <w:r w:rsidRPr="00F218A8">
        <w:rPr>
          <w:rFonts w:ascii="Times New Roman" w:hAnsi="Times New Roman" w:cs="Times New Roman"/>
          <w:sz w:val="24"/>
        </w:rPr>
        <w:t xml:space="preserve">, S. J. (2009). Reproductive health: global infertility trend. Niger J </w:t>
      </w:r>
      <w:proofErr w:type="spellStart"/>
      <w:r w:rsidRPr="00F218A8">
        <w:rPr>
          <w:rFonts w:ascii="Times New Roman" w:hAnsi="Times New Roman" w:cs="Times New Roman"/>
          <w:sz w:val="24"/>
        </w:rPr>
        <w:t>Physiol</w:t>
      </w:r>
      <w:proofErr w:type="spellEnd"/>
      <w:r w:rsidRPr="00F218A8">
        <w:rPr>
          <w:rFonts w:ascii="Times New Roman" w:hAnsi="Times New Roman" w:cs="Times New Roman"/>
          <w:sz w:val="24"/>
        </w:rPr>
        <w:t xml:space="preserve"> Sci, 24(2), 85–90. </w:t>
      </w:r>
      <w:hyperlink r:id="rId12" w:history="1">
        <w:r w:rsidRPr="00F218A8">
          <w:rPr>
            <w:rStyle w:val="Hyperlink"/>
            <w:rFonts w:ascii="Times New Roman" w:hAnsi="Times New Roman" w:cs="Times New Roman"/>
            <w:sz w:val="24"/>
          </w:rPr>
          <w:t>https://doi.org/10.4314/njps.v24i2.52920</w:t>
        </w:r>
      </w:hyperlink>
      <w:r w:rsidRPr="00F218A8">
        <w:rPr>
          <w:rFonts w:ascii="Times New Roman" w:hAnsi="Times New Roman" w:cs="Times New Roman"/>
          <w:sz w:val="24"/>
        </w:rPr>
        <w:t xml:space="preserve"> </w:t>
      </w:r>
      <w:r w:rsidR="00F24023" w:rsidRPr="00F218A8">
        <w:rPr>
          <w:rFonts w:ascii="Times New Roman" w:hAnsi="Times New Roman" w:cs="Times New Roman"/>
          <w:sz w:val="24"/>
        </w:rPr>
        <w:t xml:space="preserve"> </w:t>
      </w:r>
      <w:r w:rsidR="00371494" w:rsidRPr="00F218A8">
        <w:rPr>
          <w:rFonts w:ascii="Times New Roman" w:hAnsi="Times New Roman" w:cs="Times New Roman"/>
          <w:sz w:val="24"/>
        </w:rPr>
        <w:t xml:space="preserve"> </w:t>
      </w:r>
    </w:p>
    <w:p w14:paraId="6327C9E8" w14:textId="72289297" w:rsidR="00956A5B" w:rsidRPr="00F218A8" w:rsidRDefault="00A87353" w:rsidP="00C73D52">
      <w:pPr>
        <w:pStyle w:val="ListParagraph"/>
        <w:numPr>
          <w:ilvl w:val="0"/>
          <w:numId w:val="5"/>
        </w:numPr>
        <w:ind w:left="90" w:hanging="180"/>
        <w:jc w:val="both"/>
        <w:rPr>
          <w:rFonts w:ascii="Times New Roman" w:hAnsi="Times New Roman" w:cs="Times New Roman"/>
          <w:sz w:val="24"/>
        </w:rPr>
      </w:pPr>
      <w:proofErr w:type="spellStart"/>
      <w:r w:rsidRPr="00F218A8">
        <w:rPr>
          <w:rFonts w:ascii="Times New Roman" w:hAnsi="Times New Roman" w:cs="Times New Roman"/>
          <w:sz w:val="24"/>
          <w:szCs w:val="24"/>
        </w:rPr>
        <w:t>Baheti</w:t>
      </w:r>
      <w:proofErr w:type="spellEnd"/>
      <w:r w:rsidRPr="00F218A8">
        <w:rPr>
          <w:rFonts w:ascii="Times New Roman" w:hAnsi="Times New Roman" w:cs="Times New Roman"/>
          <w:sz w:val="24"/>
          <w:szCs w:val="24"/>
        </w:rPr>
        <w:t xml:space="preserve">, S., Verma, A., &amp; Sharma, M. (2019). Premature ovarian failure incidence, risk factors and its relation to BMI and infertility. International Journal of Reproduction, Contraception, Obstetrics and Gynecology, 8(3), 947–950. </w:t>
      </w:r>
      <w:hyperlink r:id="rId13" w:history="1">
        <w:r w:rsidRPr="00F218A8">
          <w:rPr>
            <w:rStyle w:val="Hyperlink"/>
            <w:rFonts w:ascii="Times New Roman" w:hAnsi="Times New Roman" w:cs="Times New Roman"/>
            <w:sz w:val="24"/>
            <w:szCs w:val="24"/>
          </w:rPr>
          <w:t>https://doi.org/10.18203/2320-1770.ijrcog20190862</w:t>
        </w:r>
      </w:hyperlink>
      <w:r w:rsidRPr="00F218A8">
        <w:rPr>
          <w:rFonts w:ascii="Times New Roman" w:hAnsi="Times New Roman" w:cs="Times New Roman"/>
          <w:sz w:val="24"/>
          <w:szCs w:val="24"/>
        </w:rPr>
        <w:t xml:space="preserve"> </w:t>
      </w:r>
    </w:p>
    <w:p w14:paraId="0879C7FD" w14:textId="7418A9D0" w:rsidR="00956A5B" w:rsidRPr="00F218A8" w:rsidRDefault="00C73D52" w:rsidP="00C73D52">
      <w:pPr>
        <w:pStyle w:val="ListParagraph"/>
        <w:numPr>
          <w:ilvl w:val="0"/>
          <w:numId w:val="5"/>
        </w:numPr>
        <w:ind w:left="90" w:hanging="180"/>
        <w:jc w:val="both"/>
        <w:rPr>
          <w:rFonts w:ascii="Times New Roman" w:hAnsi="Times New Roman" w:cs="Times New Roman"/>
          <w:sz w:val="24"/>
        </w:rPr>
      </w:pPr>
      <w:r w:rsidRPr="00F218A8">
        <w:rPr>
          <w:rFonts w:ascii="Times New Roman" w:hAnsi="Times New Roman" w:cs="Times New Roman"/>
          <w:sz w:val="24"/>
          <w:szCs w:val="24"/>
        </w:rPr>
        <w:t xml:space="preserve"> </w:t>
      </w:r>
      <w:proofErr w:type="spellStart"/>
      <w:r w:rsidR="00404022" w:rsidRPr="00F218A8">
        <w:rPr>
          <w:rFonts w:ascii="Times New Roman" w:hAnsi="Times New Roman" w:cs="Times New Roman"/>
          <w:sz w:val="24"/>
          <w:szCs w:val="24"/>
        </w:rPr>
        <w:t>Broekmans</w:t>
      </w:r>
      <w:proofErr w:type="spellEnd"/>
      <w:r w:rsidR="00404022" w:rsidRPr="00F218A8">
        <w:rPr>
          <w:rFonts w:ascii="Times New Roman" w:hAnsi="Times New Roman" w:cs="Times New Roman"/>
          <w:sz w:val="24"/>
          <w:szCs w:val="24"/>
        </w:rPr>
        <w:t xml:space="preserve">, F. J., </w:t>
      </w:r>
      <w:proofErr w:type="spellStart"/>
      <w:r w:rsidR="00404022" w:rsidRPr="00F218A8">
        <w:rPr>
          <w:rFonts w:ascii="Times New Roman" w:hAnsi="Times New Roman" w:cs="Times New Roman"/>
          <w:sz w:val="24"/>
          <w:szCs w:val="24"/>
        </w:rPr>
        <w:t>Scheffer</w:t>
      </w:r>
      <w:proofErr w:type="spellEnd"/>
      <w:r w:rsidR="00404022" w:rsidRPr="00F218A8">
        <w:rPr>
          <w:rFonts w:ascii="Times New Roman" w:hAnsi="Times New Roman" w:cs="Times New Roman"/>
          <w:sz w:val="24"/>
          <w:szCs w:val="24"/>
        </w:rPr>
        <w:t xml:space="preserve">, G. J., </w:t>
      </w:r>
      <w:proofErr w:type="spellStart"/>
      <w:r w:rsidR="00404022" w:rsidRPr="00F218A8">
        <w:rPr>
          <w:rFonts w:ascii="Times New Roman" w:hAnsi="Times New Roman" w:cs="Times New Roman"/>
          <w:sz w:val="24"/>
          <w:szCs w:val="24"/>
        </w:rPr>
        <w:t>Bancsi</w:t>
      </w:r>
      <w:proofErr w:type="spellEnd"/>
      <w:r w:rsidR="00404022" w:rsidRPr="00F218A8">
        <w:rPr>
          <w:rFonts w:ascii="Times New Roman" w:hAnsi="Times New Roman" w:cs="Times New Roman"/>
          <w:sz w:val="24"/>
          <w:szCs w:val="24"/>
        </w:rPr>
        <w:t xml:space="preserve">, L. F., Dorland, M., </w:t>
      </w:r>
      <w:proofErr w:type="spellStart"/>
      <w:r w:rsidR="00404022" w:rsidRPr="00F218A8">
        <w:rPr>
          <w:rFonts w:ascii="Times New Roman" w:hAnsi="Times New Roman" w:cs="Times New Roman"/>
          <w:sz w:val="24"/>
          <w:szCs w:val="24"/>
        </w:rPr>
        <w:t>Blankenstein</w:t>
      </w:r>
      <w:proofErr w:type="spellEnd"/>
      <w:r w:rsidR="00404022" w:rsidRPr="00F218A8">
        <w:rPr>
          <w:rFonts w:ascii="Times New Roman" w:hAnsi="Times New Roman" w:cs="Times New Roman"/>
          <w:sz w:val="24"/>
          <w:szCs w:val="24"/>
        </w:rPr>
        <w:t xml:space="preserve">, M. A., &amp; </w:t>
      </w:r>
      <w:proofErr w:type="spellStart"/>
      <w:r w:rsidR="00404022" w:rsidRPr="00F218A8">
        <w:rPr>
          <w:rFonts w:ascii="Times New Roman" w:hAnsi="Times New Roman" w:cs="Times New Roman"/>
          <w:sz w:val="24"/>
          <w:szCs w:val="24"/>
        </w:rPr>
        <w:t>te</w:t>
      </w:r>
      <w:proofErr w:type="spellEnd"/>
      <w:r w:rsidR="00404022" w:rsidRPr="00F218A8">
        <w:rPr>
          <w:rFonts w:ascii="Times New Roman" w:hAnsi="Times New Roman" w:cs="Times New Roman"/>
          <w:sz w:val="24"/>
          <w:szCs w:val="24"/>
        </w:rPr>
        <w:t xml:space="preserve"> Velde, E. R. (1998). Ovarian reserve tests in infertility practice and normal fertile women. </w:t>
      </w:r>
      <w:proofErr w:type="spellStart"/>
      <w:r w:rsidR="00404022" w:rsidRPr="00F218A8">
        <w:rPr>
          <w:rFonts w:ascii="Times New Roman" w:hAnsi="Times New Roman" w:cs="Times New Roman"/>
          <w:sz w:val="24"/>
          <w:szCs w:val="24"/>
        </w:rPr>
        <w:t>Maturitas</w:t>
      </w:r>
      <w:proofErr w:type="spellEnd"/>
      <w:r w:rsidR="00404022" w:rsidRPr="00F218A8">
        <w:rPr>
          <w:rFonts w:ascii="Times New Roman" w:hAnsi="Times New Roman" w:cs="Times New Roman"/>
          <w:sz w:val="24"/>
          <w:szCs w:val="24"/>
        </w:rPr>
        <w:t xml:space="preserve">, 30(2), 205–214. </w:t>
      </w:r>
      <w:hyperlink r:id="rId14" w:history="1">
        <w:r w:rsidR="00404022" w:rsidRPr="00F218A8">
          <w:rPr>
            <w:rStyle w:val="Hyperlink"/>
            <w:rFonts w:ascii="Times New Roman" w:hAnsi="Times New Roman" w:cs="Times New Roman"/>
            <w:sz w:val="24"/>
            <w:szCs w:val="24"/>
          </w:rPr>
          <w:t>https://doi.org/10.1016/s0378-5122(98)00075-9</w:t>
        </w:r>
      </w:hyperlink>
      <w:r w:rsidR="00404022" w:rsidRPr="00F218A8">
        <w:rPr>
          <w:rFonts w:ascii="Times New Roman" w:hAnsi="Times New Roman" w:cs="Times New Roman"/>
          <w:sz w:val="24"/>
          <w:szCs w:val="24"/>
        </w:rPr>
        <w:t xml:space="preserve"> </w:t>
      </w:r>
    </w:p>
    <w:p w14:paraId="42F9EE4E" w14:textId="780BBD5A" w:rsidR="00956A5B" w:rsidRPr="00F218A8" w:rsidRDefault="00E6214F" w:rsidP="00C73D52">
      <w:pPr>
        <w:pStyle w:val="ListParagraph"/>
        <w:numPr>
          <w:ilvl w:val="0"/>
          <w:numId w:val="5"/>
        </w:numPr>
        <w:ind w:left="90" w:hanging="180"/>
        <w:jc w:val="both"/>
        <w:rPr>
          <w:rFonts w:ascii="Times New Roman" w:hAnsi="Times New Roman" w:cs="Times New Roman"/>
          <w:sz w:val="24"/>
        </w:rPr>
      </w:pPr>
      <w:proofErr w:type="spellStart"/>
      <w:r w:rsidRPr="00F218A8">
        <w:rPr>
          <w:rFonts w:ascii="Times New Roman" w:hAnsi="Times New Roman" w:cs="Times New Roman"/>
          <w:sz w:val="24"/>
          <w:szCs w:val="24"/>
        </w:rPr>
        <w:t>te</w:t>
      </w:r>
      <w:proofErr w:type="spellEnd"/>
      <w:r w:rsidRPr="00F218A8">
        <w:rPr>
          <w:rFonts w:ascii="Times New Roman" w:hAnsi="Times New Roman" w:cs="Times New Roman"/>
          <w:sz w:val="24"/>
          <w:szCs w:val="24"/>
        </w:rPr>
        <w:t xml:space="preserve"> Velde, E. R., </w:t>
      </w:r>
      <w:proofErr w:type="spellStart"/>
      <w:r w:rsidRPr="00F218A8">
        <w:rPr>
          <w:rFonts w:ascii="Times New Roman" w:hAnsi="Times New Roman" w:cs="Times New Roman"/>
          <w:sz w:val="24"/>
          <w:szCs w:val="24"/>
        </w:rPr>
        <w:t>Scheffer</w:t>
      </w:r>
      <w:proofErr w:type="spellEnd"/>
      <w:r w:rsidRPr="00F218A8">
        <w:rPr>
          <w:rFonts w:ascii="Times New Roman" w:hAnsi="Times New Roman" w:cs="Times New Roman"/>
          <w:sz w:val="24"/>
          <w:szCs w:val="24"/>
        </w:rPr>
        <w:t xml:space="preserve">, G. J., Dorland, M., </w:t>
      </w:r>
      <w:proofErr w:type="spellStart"/>
      <w:r w:rsidRPr="00F218A8">
        <w:rPr>
          <w:rFonts w:ascii="Times New Roman" w:hAnsi="Times New Roman" w:cs="Times New Roman"/>
          <w:sz w:val="24"/>
          <w:szCs w:val="24"/>
        </w:rPr>
        <w:t>Broekmans</w:t>
      </w:r>
      <w:proofErr w:type="spellEnd"/>
      <w:r w:rsidRPr="00F218A8">
        <w:rPr>
          <w:rFonts w:ascii="Times New Roman" w:hAnsi="Times New Roman" w:cs="Times New Roman"/>
          <w:sz w:val="24"/>
          <w:szCs w:val="24"/>
        </w:rPr>
        <w:t xml:space="preserve">, F. J., &amp; </w:t>
      </w:r>
      <w:proofErr w:type="spellStart"/>
      <w:r w:rsidRPr="00F218A8">
        <w:rPr>
          <w:rFonts w:ascii="Times New Roman" w:hAnsi="Times New Roman" w:cs="Times New Roman"/>
          <w:sz w:val="24"/>
          <w:szCs w:val="24"/>
        </w:rPr>
        <w:t>Fauser</w:t>
      </w:r>
      <w:proofErr w:type="spellEnd"/>
      <w:r w:rsidRPr="00F218A8">
        <w:rPr>
          <w:rFonts w:ascii="Times New Roman" w:hAnsi="Times New Roman" w:cs="Times New Roman"/>
          <w:sz w:val="24"/>
          <w:szCs w:val="24"/>
        </w:rPr>
        <w:t xml:space="preserve">, B. C. (1998). Developmental and endocrine aspects of normal ovarian aging. Molecular and Cellular Endocrinology. </w:t>
      </w:r>
      <w:hyperlink r:id="rId15" w:history="1">
        <w:r w:rsidRPr="00F218A8">
          <w:rPr>
            <w:rStyle w:val="Hyperlink"/>
            <w:rFonts w:ascii="Times New Roman" w:hAnsi="Times New Roman" w:cs="Times New Roman"/>
            <w:sz w:val="24"/>
            <w:szCs w:val="24"/>
          </w:rPr>
          <w:t>https://doi.org/10.1016/s0303-7207(98)00171-3</w:t>
        </w:r>
      </w:hyperlink>
      <w:r w:rsidRPr="00F218A8">
        <w:rPr>
          <w:rFonts w:ascii="Times New Roman" w:hAnsi="Times New Roman" w:cs="Times New Roman"/>
          <w:sz w:val="24"/>
          <w:szCs w:val="24"/>
        </w:rPr>
        <w:t xml:space="preserve"> </w:t>
      </w:r>
    </w:p>
    <w:p w14:paraId="0938056C" w14:textId="48A61E67" w:rsidR="00956A5B" w:rsidRPr="00F218A8" w:rsidRDefault="00590510" w:rsidP="00956A5B">
      <w:pPr>
        <w:pStyle w:val="ListParagraph"/>
        <w:numPr>
          <w:ilvl w:val="0"/>
          <w:numId w:val="5"/>
        </w:numPr>
        <w:ind w:left="90" w:hanging="180"/>
        <w:jc w:val="both"/>
        <w:rPr>
          <w:rFonts w:ascii="Times New Roman" w:hAnsi="Times New Roman" w:cs="Times New Roman"/>
          <w:sz w:val="24"/>
        </w:rPr>
      </w:pPr>
      <w:r w:rsidRPr="00F218A8">
        <w:rPr>
          <w:rFonts w:ascii="Times New Roman" w:hAnsi="Times New Roman" w:cs="Times New Roman"/>
          <w:sz w:val="24"/>
          <w:szCs w:val="24"/>
        </w:rPr>
        <w:t xml:space="preserve">Bath, L. E., Wallace, W. H., Shaw, M. P., Fitzpatrick, C., &amp; Anderson, R. A. (2003). Depletion of ovarian reserve in young women after treatment for cancer in childhood: detection by anti-Müllerian hormone, inhibin B and ovarian ultrasound. Human Reproduction, 18(11), 2368–2374. </w:t>
      </w:r>
      <w:hyperlink r:id="rId16" w:history="1">
        <w:r w:rsidRPr="00F218A8">
          <w:rPr>
            <w:rStyle w:val="Hyperlink"/>
            <w:rFonts w:ascii="Times New Roman" w:hAnsi="Times New Roman" w:cs="Times New Roman"/>
            <w:sz w:val="24"/>
            <w:szCs w:val="24"/>
          </w:rPr>
          <w:t>https://doi.org/10.1093/humrep/deg473</w:t>
        </w:r>
      </w:hyperlink>
      <w:r w:rsidRPr="00F218A8">
        <w:rPr>
          <w:rFonts w:ascii="Times New Roman" w:hAnsi="Times New Roman" w:cs="Times New Roman"/>
          <w:sz w:val="24"/>
          <w:szCs w:val="24"/>
        </w:rPr>
        <w:t xml:space="preserve"> </w:t>
      </w:r>
    </w:p>
    <w:p w14:paraId="4534C6F7" w14:textId="25F98313" w:rsidR="00133C11" w:rsidRPr="00F218A8" w:rsidRDefault="000D15CF" w:rsidP="00133C11">
      <w:pPr>
        <w:pStyle w:val="ListParagraph"/>
        <w:numPr>
          <w:ilvl w:val="0"/>
          <w:numId w:val="5"/>
        </w:numPr>
        <w:ind w:left="180"/>
        <w:jc w:val="both"/>
        <w:rPr>
          <w:rFonts w:ascii="Times New Roman" w:hAnsi="Times New Roman" w:cs="Times New Roman"/>
          <w:sz w:val="24"/>
        </w:rPr>
      </w:pPr>
      <w:proofErr w:type="spellStart"/>
      <w:r w:rsidRPr="00F218A8">
        <w:rPr>
          <w:rFonts w:ascii="Times New Roman" w:hAnsi="Times New Roman" w:cs="Times New Roman"/>
          <w:sz w:val="24"/>
          <w:szCs w:val="24"/>
        </w:rPr>
        <w:t>Scheffer</w:t>
      </w:r>
      <w:proofErr w:type="spellEnd"/>
      <w:r w:rsidRPr="00F218A8">
        <w:rPr>
          <w:rFonts w:ascii="Times New Roman" w:hAnsi="Times New Roman" w:cs="Times New Roman"/>
          <w:sz w:val="24"/>
          <w:szCs w:val="24"/>
        </w:rPr>
        <w:t xml:space="preserve">, G. J., </w:t>
      </w:r>
      <w:proofErr w:type="spellStart"/>
      <w:r w:rsidRPr="00F218A8">
        <w:rPr>
          <w:rFonts w:ascii="Times New Roman" w:hAnsi="Times New Roman" w:cs="Times New Roman"/>
          <w:sz w:val="24"/>
          <w:szCs w:val="24"/>
        </w:rPr>
        <w:t>Broekmans</w:t>
      </w:r>
      <w:proofErr w:type="spellEnd"/>
      <w:r w:rsidRPr="00F218A8">
        <w:rPr>
          <w:rFonts w:ascii="Times New Roman" w:hAnsi="Times New Roman" w:cs="Times New Roman"/>
          <w:sz w:val="24"/>
          <w:szCs w:val="24"/>
        </w:rPr>
        <w:t xml:space="preserve">, F. J., </w:t>
      </w:r>
      <w:proofErr w:type="spellStart"/>
      <w:r w:rsidRPr="00F218A8">
        <w:rPr>
          <w:rFonts w:ascii="Times New Roman" w:hAnsi="Times New Roman" w:cs="Times New Roman"/>
          <w:sz w:val="24"/>
          <w:szCs w:val="24"/>
        </w:rPr>
        <w:t>Looman</w:t>
      </w:r>
      <w:proofErr w:type="spellEnd"/>
      <w:r w:rsidRPr="00F218A8">
        <w:rPr>
          <w:rFonts w:ascii="Times New Roman" w:hAnsi="Times New Roman" w:cs="Times New Roman"/>
          <w:sz w:val="24"/>
          <w:szCs w:val="24"/>
        </w:rPr>
        <w:t xml:space="preserve">, C. W., </w:t>
      </w:r>
      <w:proofErr w:type="spellStart"/>
      <w:r w:rsidRPr="00F218A8">
        <w:rPr>
          <w:rFonts w:ascii="Times New Roman" w:hAnsi="Times New Roman" w:cs="Times New Roman"/>
          <w:sz w:val="24"/>
          <w:szCs w:val="24"/>
        </w:rPr>
        <w:t>Blankenstein</w:t>
      </w:r>
      <w:proofErr w:type="spellEnd"/>
      <w:r w:rsidRPr="00F218A8">
        <w:rPr>
          <w:rFonts w:ascii="Times New Roman" w:hAnsi="Times New Roman" w:cs="Times New Roman"/>
          <w:sz w:val="24"/>
          <w:szCs w:val="24"/>
        </w:rPr>
        <w:t xml:space="preserve">, M., </w:t>
      </w:r>
      <w:proofErr w:type="spellStart"/>
      <w:r w:rsidRPr="00F218A8">
        <w:rPr>
          <w:rFonts w:ascii="Times New Roman" w:hAnsi="Times New Roman" w:cs="Times New Roman"/>
          <w:sz w:val="24"/>
          <w:szCs w:val="24"/>
        </w:rPr>
        <w:t>Fauser</w:t>
      </w:r>
      <w:proofErr w:type="spellEnd"/>
      <w:r w:rsidRPr="00F218A8">
        <w:rPr>
          <w:rFonts w:ascii="Times New Roman" w:hAnsi="Times New Roman" w:cs="Times New Roman"/>
          <w:sz w:val="24"/>
          <w:szCs w:val="24"/>
        </w:rPr>
        <w:t xml:space="preserve">, B. C., de Jong, F. H., &amp; </w:t>
      </w:r>
      <w:proofErr w:type="spellStart"/>
      <w:r w:rsidRPr="00F218A8">
        <w:rPr>
          <w:rFonts w:ascii="Times New Roman" w:hAnsi="Times New Roman" w:cs="Times New Roman"/>
          <w:sz w:val="24"/>
          <w:szCs w:val="24"/>
        </w:rPr>
        <w:t>te</w:t>
      </w:r>
      <w:proofErr w:type="spellEnd"/>
      <w:r w:rsidRPr="00F218A8">
        <w:rPr>
          <w:rFonts w:ascii="Times New Roman" w:hAnsi="Times New Roman" w:cs="Times New Roman"/>
          <w:sz w:val="24"/>
          <w:szCs w:val="24"/>
        </w:rPr>
        <w:t xml:space="preserve"> Velde, E. R. (2003). The number of antral follicles in normal women with proven fertility is the best reflection of reproductive age. Human Reproduction, 18(4), 700–706. </w:t>
      </w:r>
      <w:hyperlink r:id="rId17" w:history="1">
        <w:r w:rsidRPr="00F218A8">
          <w:rPr>
            <w:rStyle w:val="Hyperlink"/>
            <w:rFonts w:ascii="Times New Roman" w:hAnsi="Times New Roman" w:cs="Times New Roman"/>
            <w:sz w:val="24"/>
            <w:szCs w:val="24"/>
          </w:rPr>
          <w:t>https://doi.org/10.1093/humrep/deg135</w:t>
        </w:r>
      </w:hyperlink>
      <w:r w:rsidRPr="00F218A8">
        <w:rPr>
          <w:rFonts w:ascii="Times New Roman" w:hAnsi="Times New Roman" w:cs="Times New Roman"/>
          <w:sz w:val="24"/>
          <w:szCs w:val="24"/>
        </w:rPr>
        <w:t xml:space="preserve"> </w:t>
      </w:r>
    </w:p>
    <w:p w14:paraId="14C1DD8E" w14:textId="0640B28D" w:rsidR="00133C11" w:rsidRPr="00F218A8" w:rsidRDefault="005109E6" w:rsidP="00133C11">
      <w:pPr>
        <w:pStyle w:val="ListParagraph"/>
        <w:numPr>
          <w:ilvl w:val="0"/>
          <w:numId w:val="5"/>
        </w:numPr>
        <w:ind w:left="180"/>
        <w:jc w:val="both"/>
        <w:rPr>
          <w:rFonts w:ascii="Times New Roman" w:hAnsi="Times New Roman" w:cs="Times New Roman"/>
          <w:sz w:val="24"/>
        </w:rPr>
      </w:pPr>
      <w:r w:rsidRPr="00F218A8">
        <w:rPr>
          <w:rFonts w:ascii="Times New Roman" w:hAnsi="Times New Roman" w:cs="Times New Roman"/>
          <w:sz w:val="24"/>
          <w:szCs w:val="24"/>
        </w:rPr>
        <w:t xml:space="preserve">van </w:t>
      </w:r>
      <w:proofErr w:type="spellStart"/>
      <w:r w:rsidRPr="00F218A8">
        <w:rPr>
          <w:rFonts w:ascii="Times New Roman" w:hAnsi="Times New Roman" w:cs="Times New Roman"/>
          <w:sz w:val="24"/>
          <w:szCs w:val="24"/>
        </w:rPr>
        <w:t>Rooij</w:t>
      </w:r>
      <w:proofErr w:type="spellEnd"/>
      <w:r w:rsidRPr="00F218A8">
        <w:rPr>
          <w:rFonts w:ascii="Times New Roman" w:hAnsi="Times New Roman" w:cs="Times New Roman"/>
          <w:sz w:val="24"/>
          <w:szCs w:val="24"/>
        </w:rPr>
        <w:t xml:space="preserve">, I. A. J., </w:t>
      </w:r>
      <w:proofErr w:type="spellStart"/>
      <w:r w:rsidRPr="00F218A8">
        <w:rPr>
          <w:rFonts w:ascii="Times New Roman" w:hAnsi="Times New Roman" w:cs="Times New Roman"/>
          <w:sz w:val="24"/>
          <w:szCs w:val="24"/>
        </w:rPr>
        <w:t>Broekmans</w:t>
      </w:r>
      <w:proofErr w:type="spellEnd"/>
      <w:r w:rsidRPr="00F218A8">
        <w:rPr>
          <w:rFonts w:ascii="Times New Roman" w:hAnsi="Times New Roman" w:cs="Times New Roman"/>
          <w:sz w:val="24"/>
          <w:szCs w:val="24"/>
        </w:rPr>
        <w:t xml:space="preserve">, F. J. M., </w:t>
      </w:r>
      <w:proofErr w:type="spellStart"/>
      <w:r w:rsidRPr="00F218A8">
        <w:rPr>
          <w:rFonts w:ascii="Times New Roman" w:hAnsi="Times New Roman" w:cs="Times New Roman"/>
          <w:sz w:val="24"/>
          <w:szCs w:val="24"/>
        </w:rPr>
        <w:t>te</w:t>
      </w:r>
      <w:proofErr w:type="spellEnd"/>
      <w:r w:rsidRPr="00F218A8">
        <w:rPr>
          <w:rFonts w:ascii="Times New Roman" w:hAnsi="Times New Roman" w:cs="Times New Roman"/>
          <w:sz w:val="24"/>
          <w:szCs w:val="24"/>
        </w:rPr>
        <w:t xml:space="preserve"> Velde, E. R., </w:t>
      </w:r>
      <w:proofErr w:type="spellStart"/>
      <w:r w:rsidRPr="00F218A8">
        <w:rPr>
          <w:rFonts w:ascii="Times New Roman" w:hAnsi="Times New Roman" w:cs="Times New Roman"/>
          <w:sz w:val="24"/>
          <w:szCs w:val="24"/>
        </w:rPr>
        <w:t>Fauser</w:t>
      </w:r>
      <w:proofErr w:type="spellEnd"/>
      <w:r w:rsidRPr="00F218A8">
        <w:rPr>
          <w:rFonts w:ascii="Times New Roman" w:hAnsi="Times New Roman" w:cs="Times New Roman"/>
          <w:sz w:val="24"/>
          <w:szCs w:val="24"/>
        </w:rPr>
        <w:t xml:space="preserve">, B. C. J. M., </w:t>
      </w:r>
      <w:proofErr w:type="spellStart"/>
      <w:r w:rsidRPr="00F218A8">
        <w:rPr>
          <w:rFonts w:ascii="Times New Roman" w:hAnsi="Times New Roman" w:cs="Times New Roman"/>
          <w:sz w:val="24"/>
          <w:szCs w:val="24"/>
        </w:rPr>
        <w:t>Bancsi</w:t>
      </w:r>
      <w:proofErr w:type="spellEnd"/>
      <w:r w:rsidRPr="00F218A8">
        <w:rPr>
          <w:rFonts w:ascii="Times New Roman" w:hAnsi="Times New Roman" w:cs="Times New Roman"/>
          <w:sz w:val="24"/>
          <w:szCs w:val="24"/>
        </w:rPr>
        <w:t xml:space="preserve">, L. F. J. M. M., de Jong, F. H., &amp; </w:t>
      </w:r>
      <w:proofErr w:type="spellStart"/>
      <w:r w:rsidRPr="00F218A8">
        <w:rPr>
          <w:rFonts w:ascii="Times New Roman" w:hAnsi="Times New Roman" w:cs="Times New Roman"/>
          <w:sz w:val="24"/>
          <w:szCs w:val="24"/>
        </w:rPr>
        <w:t>Themmen</w:t>
      </w:r>
      <w:proofErr w:type="spellEnd"/>
      <w:r w:rsidRPr="00F218A8">
        <w:rPr>
          <w:rFonts w:ascii="Times New Roman" w:hAnsi="Times New Roman" w:cs="Times New Roman"/>
          <w:sz w:val="24"/>
          <w:szCs w:val="24"/>
        </w:rPr>
        <w:t xml:space="preserve">, A. P. N. (2002). Serum anti-Müllerian hormone levels: a novel measure of ovarian reserve. Human Reproduction, 17(12), 3065-3071. </w:t>
      </w:r>
      <w:hyperlink r:id="rId18" w:history="1">
        <w:r w:rsidRPr="00F218A8">
          <w:rPr>
            <w:rStyle w:val="Hyperlink"/>
            <w:rFonts w:ascii="Times New Roman" w:hAnsi="Times New Roman" w:cs="Times New Roman"/>
            <w:sz w:val="24"/>
            <w:szCs w:val="24"/>
          </w:rPr>
          <w:t>https://doi.org/10.1093/humrep/17.12.3065</w:t>
        </w:r>
      </w:hyperlink>
      <w:r w:rsidRPr="00F218A8">
        <w:rPr>
          <w:rFonts w:ascii="Times New Roman" w:hAnsi="Times New Roman" w:cs="Times New Roman"/>
          <w:sz w:val="24"/>
          <w:szCs w:val="24"/>
        </w:rPr>
        <w:t xml:space="preserve"> </w:t>
      </w:r>
    </w:p>
    <w:p w14:paraId="6C5D52AC" w14:textId="00EA5164" w:rsidR="00133C11" w:rsidRPr="00F218A8" w:rsidRDefault="00262E4F" w:rsidP="00133C11">
      <w:pPr>
        <w:pStyle w:val="ListParagraph"/>
        <w:numPr>
          <w:ilvl w:val="0"/>
          <w:numId w:val="5"/>
        </w:numPr>
        <w:ind w:left="180"/>
        <w:jc w:val="both"/>
        <w:rPr>
          <w:rFonts w:ascii="Times New Roman" w:hAnsi="Times New Roman" w:cs="Times New Roman"/>
          <w:sz w:val="24"/>
        </w:rPr>
      </w:pPr>
      <w:r w:rsidRPr="00F218A8">
        <w:rPr>
          <w:rFonts w:ascii="Times New Roman" w:hAnsi="Times New Roman" w:cs="Times New Roman"/>
          <w:sz w:val="24"/>
          <w:szCs w:val="24"/>
        </w:rPr>
        <w:lastRenderedPageBreak/>
        <w:t xml:space="preserve">van </w:t>
      </w:r>
      <w:proofErr w:type="spellStart"/>
      <w:r w:rsidRPr="00F218A8">
        <w:rPr>
          <w:rFonts w:ascii="Times New Roman" w:hAnsi="Times New Roman" w:cs="Times New Roman"/>
          <w:sz w:val="24"/>
          <w:szCs w:val="24"/>
        </w:rPr>
        <w:t>Disseldorp</w:t>
      </w:r>
      <w:proofErr w:type="spellEnd"/>
      <w:r w:rsidRPr="00F218A8">
        <w:rPr>
          <w:rFonts w:ascii="Times New Roman" w:hAnsi="Times New Roman" w:cs="Times New Roman"/>
          <w:sz w:val="24"/>
          <w:szCs w:val="24"/>
        </w:rPr>
        <w:t xml:space="preserve">, J., </w:t>
      </w:r>
      <w:proofErr w:type="spellStart"/>
      <w:r w:rsidRPr="00F218A8">
        <w:rPr>
          <w:rFonts w:ascii="Times New Roman" w:hAnsi="Times New Roman" w:cs="Times New Roman"/>
          <w:sz w:val="24"/>
          <w:szCs w:val="24"/>
        </w:rPr>
        <w:t>Lambalk</w:t>
      </w:r>
      <w:proofErr w:type="spellEnd"/>
      <w:r w:rsidRPr="00F218A8">
        <w:rPr>
          <w:rFonts w:ascii="Times New Roman" w:hAnsi="Times New Roman" w:cs="Times New Roman"/>
          <w:sz w:val="24"/>
          <w:szCs w:val="24"/>
        </w:rPr>
        <w:t xml:space="preserve">, C. B., </w:t>
      </w:r>
      <w:proofErr w:type="spellStart"/>
      <w:r w:rsidRPr="00F218A8">
        <w:rPr>
          <w:rFonts w:ascii="Times New Roman" w:hAnsi="Times New Roman" w:cs="Times New Roman"/>
          <w:sz w:val="24"/>
          <w:szCs w:val="24"/>
        </w:rPr>
        <w:t>Kwee</w:t>
      </w:r>
      <w:proofErr w:type="spellEnd"/>
      <w:r w:rsidRPr="00F218A8">
        <w:rPr>
          <w:rFonts w:ascii="Times New Roman" w:hAnsi="Times New Roman" w:cs="Times New Roman"/>
          <w:sz w:val="24"/>
          <w:szCs w:val="24"/>
        </w:rPr>
        <w:t xml:space="preserve">, J., </w:t>
      </w:r>
      <w:proofErr w:type="spellStart"/>
      <w:r w:rsidRPr="00F218A8">
        <w:rPr>
          <w:rFonts w:ascii="Times New Roman" w:hAnsi="Times New Roman" w:cs="Times New Roman"/>
          <w:sz w:val="24"/>
          <w:szCs w:val="24"/>
        </w:rPr>
        <w:t>Looman</w:t>
      </w:r>
      <w:proofErr w:type="spellEnd"/>
      <w:r w:rsidRPr="00F218A8">
        <w:rPr>
          <w:rFonts w:ascii="Times New Roman" w:hAnsi="Times New Roman" w:cs="Times New Roman"/>
          <w:sz w:val="24"/>
          <w:szCs w:val="24"/>
        </w:rPr>
        <w:t xml:space="preserve">, C. W. N., </w:t>
      </w:r>
      <w:proofErr w:type="spellStart"/>
      <w:r w:rsidRPr="00F218A8">
        <w:rPr>
          <w:rFonts w:ascii="Times New Roman" w:hAnsi="Times New Roman" w:cs="Times New Roman"/>
          <w:sz w:val="24"/>
          <w:szCs w:val="24"/>
        </w:rPr>
        <w:t>Eijkemans</w:t>
      </w:r>
      <w:proofErr w:type="spellEnd"/>
      <w:r w:rsidRPr="00F218A8">
        <w:rPr>
          <w:rFonts w:ascii="Times New Roman" w:hAnsi="Times New Roman" w:cs="Times New Roman"/>
          <w:sz w:val="24"/>
          <w:szCs w:val="24"/>
        </w:rPr>
        <w:t xml:space="preserve">, M. J. C., </w:t>
      </w:r>
      <w:proofErr w:type="spellStart"/>
      <w:r w:rsidRPr="00F218A8">
        <w:rPr>
          <w:rFonts w:ascii="Times New Roman" w:hAnsi="Times New Roman" w:cs="Times New Roman"/>
          <w:sz w:val="24"/>
          <w:szCs w:val="24"/>
        </w:rPr>
        <w:t>Fauser</w:t>
      </w:r>
      <w:proofErr w:type="spellEnd"/>
      <w:r w:rsidRPr="00F218A8">
        <w:rPr>
          <w:rFonts w:ascii="Times New Roman" w:hAnsi="Times New Roman" w:cs="Times New Roman"/>
          <w:sz w:val="24"/>
          <w:szCs w:val="24"/>
        </w:rPr>
        <w:t xml:space="preserve">, B. C., &amp; </w:t>
      </w:r>
      <w:proofErr w:type="spellStart"/>
      <w:r w:rsidRPr="00F218A8">
        <w:rPr>
          <w:rFonts w:ascii="Times New Roman" w:hAnsi="Times New Roman" w:cs="Times New Roman"/>
          <w:sz w:val="24"/>
          <w:szCs w:val="24"/>
        </w:rPr>
        <w:t>Broekmans</w:t>
      </w:r>
      <w:proofErr w:type="spellEnd"/>
      <w:r w:rsidRPr="00F218A8">
        <w:rPr>
          <w:rFonts w:ascii="Times New Roman" w:hAnsi="Times New Roman" w:cs="Times New Roman"/>
          <w:sz w:val="24"/>
          <w:szCs w:val="24"/>
        </w:rPr>
        <w:t xml:space="preserve">, F. J. (2010). Comparison of inter- and intra-cycle variability of anti-Müllerian hormone and antral follicle counts. Human Reproduction, 25(1), 221–227. </w:t>
      </w:r>
      <w:hyperlink r:id="rId19" w:history="1">
        <w:r w:rsidRPr="00F218A8">
          <w:rPr>
            <w:rStyle w:val="Hyperlink"/>
            <w:rFonts w:ascii="Times New Roman" w:hAnsi="Times New Roman" w:cs="Times New Roman"/>
            <w:sz w:val="24"/>
            <w:szCs w:val="24"/>
          </w:rPr>
          <w:t>https://doi.org/10.1093/humrep/dep366</w:t>
        </w:r>
      </w:hyperlink>
      <w:r w:rsidRPr="00F218A8">
        <w:rPr>
          <w:rFonts w:ascii="Times New Roman" w:hAnsi="Times New Roman" w:cs="Times New Roman"/>
          <w:sz w:val="24"/>
          <w:szCs w:val="24"/>
        </w:rPr>
        <w:t xml:space="preserve"> </w:t>
      </w:r>
    </w:p>
    <w:p w14:paraId="53397244" w14:textId="3031DE88" w:rsidR="00A44149" w:rsidRPr="00F218A8" w:rsidRDefault="00367A16" w:rsidP="00A44149">
      <w:pPr>
        <w:pStyle w:val="ListParagraph"/>
        <w:numPr>
          <w:ilvl w:val="0"/>
          <w:numId w:val="5"/>
        </w:numPr>
        <w:ind w:left="180"/>
        <w:jc w:val="both"/>
        <w:rPr>
          <w:rFonts w:ascii="Times New Roman" w:hAnsi="Times New Roman" w:cs="Times New Roman"/>
          <w:sz w:val="24"/>
        </w:rPr>
      </w:pPr>
      <w:proofErr w:type="spellStart"/>
      <w:r w:rsidRPr="00F218A8">
        <w:rPr>
          <w:rFonts w:ascii="Times New Roman" w:hAnsi="Times New Roman" w:cs="Times New Roman"/>
          <w:sz w:val="24"/>
          <w:szCs w:val="24"/>
        </w:rPr>
        <w:t>Hajian-Tilaki</w:t>
      </w:r>
      <w:proofErr w:type="spellEnd"/>
      <w:r w:rsidRPr="00F218A8">
        <w:rPr>
          <w:rFonts w:ascii="Times New Roman" w:hAnsi="Times New Roman" w:cs="Times New Roman"/>
          <w:sz w:val="24"/>
          <w:szCs w:val="24"/>
        </w:rPr>
        <w:t xml:space="preserve">, K. (2011). Sample size estimation in epidemiologic studies. Caspian Journal of Internal Medicine, 2(4), 289–298. </w:t>
      </w:r>
      <w:hyperlink r:id="rId20" w:history="1">
        <w:r w:rsidRPr="00F218A8">
          <w:rPr>
            <w:rStyle w:val="Hyperlink"/>
            <w:rFonts w:ascii="Times New Roman" w:hAnsi="Times New Roman" w:cs="Times New Roman"/>
            <w:sz w:val="24"/>
            <w:szCs w:val="24"/>
          </w:rPr>
          <w:t>https://www.ncbi.nlm.nih.gov/pmc/articles/PMC3895825/</w:t>
        </w:r>
      </w:hyperlink>
      <w:r w:rsidRPr="00F218A8">
        <w:rPr>
          <w:rFonts w:ascii="Times New Roman" w:hAnsi="Times New Roman" w:cs="Times New Roman"/>
          <w:sz w:val="24"/>
          <w:szCs w:val="24"/>
        </w:rPr>
        <w:t xml:space="preserve"> </w:t>
      </w:r>
    </w:p>
    <w:p w14:paraId="5DE17630" w14:textId="19421969" w:rsidR="00A44149" w:rsidRPr="00F218A8" w:rsidRDefault="0010532E" w:rsidP="00A44149">
      <w:pPr>
        <w:pStyle w:val="ListParagraph"/>
        <w:numPr>
          <w:ilvl w:val="0"/>
          <w:numId w:val="5"/>
        </w:numPr>
        <w:ind w:left="180"/>
        <w:jc w:val="both"/>
        <w:rPr>
          <w:rFonts w:ascii="Times New Roman" w:hAnsi="Times New Roman" w:cs="Times New Roman"/>
          <w:sz w:val="24"/>
        </w:rPr>
      </w:pPr>
      <w:r w:rsidRPr="00F218A8">
        <w:rPr>
          <w:rFonts w:ascii="Times New Roman" w:hAnsi="Times New Roman" w:cs="Times New Roman"/>
          <w:sz w:val="24"/>
          <w:szCs w:val="24"/>
        </w:rPr>
        <w:t xml:space="preserve">Larsen, U. (2000). Primary and secondary infertility in sub-Saharan Africa. International Journal of Epidemiology, 29(2), 285-291. </w:t>
      </w:r>
      <w:hyperlink r:id="rId21" w:history="1">
        <w:r w:rsidRPr="00F218A8">
          <w:rPr>
            <w:rStyle w:val="Hyperlink"/>
            <w:rFonts w:ascii="Times New Roman" w:hAnsi="Times New Roman" w:cs="Times New Roman"/>
            <w:sz w:val="24"/>
            <w:szCs w:val="24"/>
          </w:rPr>
          <w:t>https://doi.org/10.1093/ije/29.2.285</w:t>
        </w:r>
      </w:hyperlink>
      <w:r w:rsidRPr="00F218A8">
        <w:rPr>
          <w:rFonts w:ascii="Times New Roman" w:hAnsi="Times New Roman" w:cs="Times New Roman"/>
          <w:sz w:val="24"/>
          <w:szCs w:val="24"/>
        </w:rPr>
        <w:t xml:space="preserve"> </w:t>
      </w:r>
      <w:r w:rsidR="00C73D52" w:rsidRPr="00F218A8">
        <w:rPr>
          <w:rFonts w:ascii="Times New Roman" w:hAnsi="Times New Roman" w:cs="Times New Roman"/>
          <w:sz w:val="24"/>
          <w:szCs w:val="24"/>
        </w:rPr>
        <w:t xml:space="preserve"> </w:t>
      </w:r>
    </w:p>
    <w:p w14:paraId="2D800753" w14:textId="153CF841" w:rsidR="00A44149" w:rsidRPr="00F218A8" w:rsidRDefault="00BE4C08" w:rsidP="00A44149">
      <w:pPr>
        <w:pStyle w:val="ListParagraph"/>
        <w:numPr>
          <w:ilvl w:val="0"/>
          <w:numId w:val="5"/>
        </w:numPr>
        <w:ind w:left="180"/>
        <w:jc w:val="both"/>
        <w:rPr>
          <w:rFonts w:ascii="Times New Roman" w:hAnsi="Times New Roman" w:cs="Times New Roman"/>
          <w:sz w:val="24"/>
        </w:rPr>
      </w:pPr>
      <w:proofErr w:type="spellStart"/>
      <w:r w:rsidRPr="00F218A8">
        <w:rPr>
          <w:rFonts w:ascii="Times New Roman" w:hAnsi="Times New Roman" w:cs="Times New Roman"/>
          <w:sz w:val="24"/>
        </w:rPr>
        <w:t>Oke</w:t>
      </w:r>
      <w:proofErr w:type="spellEnd"/>
      <w:r w:rsidRPr="00F218A8">
        <w:rPr>
          <w:rFonts w:ascii="Times New Roman" w:hAnsi="Times New Roman" w:cs="Times New Roman"/>
          <w:sz w:val="24"/>
        </w:rPr>
        <w:t xml:space="preserve">, E. O., </w:t>
      </w:r>
      <w:proofErr w:type="spellStart"/>
      <w:r w:rsidRPr="00F218A8">
        <w:rPr>
          <w:rFonts w:ascii="Times New Roman" w:hAnsi="Times New Roman" w:cs="Times New Roman"/>
          <w:sz w:val="24"/>
        </w:rPr>
        <w:t>Oke</w:t>
      </w:r>
      <w:proofErr w:type="spellEnd"/>
      <w:r w:rsidRPr="00F218A8">
        <w:rPr>
          <w:rFonts w:ascii="Times New Roman" w:hAnsi="Times New Roman" w:cs="Times New Roman"/>
          <w:sz w:val="24"/>
        </w:rPr>
        <w:t xml:space="preserve">, O. F., </w:t>
      </w:r>
      <w:proofErr w:type="spellStart"/>
      <w:r w:rsidRPr="00F218A8">
        <w:rPr>
          <w:rFonts w:ascii="Times New Roman" w:hAnsi="Times New Roman" w:cs="Times New Roman"/>
          <w:sz w:val="24"/>
        </w:rPr>
        <w:t>Salawu</w:t>
      </w:r>
      <w:proofErr w:type="spellEnd"/>
      <w:r w:rsidRPr="00F218A8">
        <w:rPr>
          <w:rFonts w:ascii="Times New Roman" w:hAnsi="Times New Roman" w:cs="Times New Roman"/>
          <w:sz w:val="24"/>
        </w:rPr>
        <w:t xml:space="preserve">, A. A., Akande, J. O., </w:t>
      </w:r>
      <w:proofErr w:type="spellStart"/>
      <w:r w:rsidRPr="00F218A8">
        <w:rPr>
          <w:rFonts w:ascii="Times New Roman" w:hAnsi="Times New Roman" w:cs="Times New Roman"/>
          <w:sz w:val="24"/>
        </w:rPr>
        <w:t>Oloyede</w:t>
      </w:r>
      <w:proofErr w:type="spellEnd"/>
      <w:r w:rsidRPr="00F218A8">
        <w:rPr>
          <w:rFonts w:ascii="Times New Roman" w:hAnsi="Times New Roman" w:cs="Times New Roman"/>
          <w:sz w:val="24"/>
        </w:rPr>
        <w:t xml:space="preserve">, W. T., </w:t>
      </w:r>
      <w:proofErr w:type="spellStart"/>
      <w:r w:rsidRPr="00F218A8">
        <w:rPr>
          <w:rFonts w:ascii="Times New Roman" w:hAnsi="Times New Roman" w:cs="Times New Roman"/>
          <w:sz w:val="24"/>
        </w:rPr>
        <w:t>Karem</w:t>
      </w:r>
      <w:proofErr w:type="spellEnd"/>
      <w:r w:rsidRPr="00F218A8">
        <w:rPr>
          <w:rFonts w:ascii="Times New Roman" w:hAnsi="Times New Roman" w:cs="Times New Roman"/>
          <w:sz w:val="24"/>
        </w:rPr>
        <w:t xml:space="preserve">, R. A., </w:t>
      </w:r>
      <w:proofErr w:type="spellStart"/>
      <w:r w:rsidRPr="00F218A8">
        <w:rPr>
          <w:rFonts w:ascii="Times New Roman" w:hAnsi="Times New Roman" w:cs="Times New Roman"/>
          <w:sz w:val="24"/>
        </w:rPr>
        <w:t>Owonikoko</w:t>
      </w:r>
      <w:proofErr w:type="spellEnd"/>
      <w:r w:rsidRPr="00F218A8">
        <w:rPr>
          <w:rFonts w:ascii="Times New Roman" w:hAnsi="Times New Roman" w:cs="Times New Roman"/>
          <w:sz w:val="24"/>
        </w:rPr>
        <w:t xml:space="preserve">, K. M., </w:t>
      </w:r>
      <w:proofErr w:type="spellStart"/>
      <w:r w:rsidRPr="00F218A8">
        <w:rPr>
          <w:rFonts w:ascii="Times New Roman" w:hAnsi="Times New Roman" w:cs="Times New Roman"/>
          <w:sz w:val="24"/>
        </w:rPr>
        <w:t>Akinboro</w:t>
      </w:r>
      <w:proofErr w:type="spellEnd"/>
      <w:r w:rsidRPr="00F218A8">
        <w:rPr>
          <w:rFonts w:ascii="Times New Roman" w:hAnsi="Times New Roman" w:cs="Times New Roman"/>
          <w:sz w:val="24"/>
        </w:rPr>
        <w:t xml:space="preserve">, A. O., &amp; </w:t>
      </w:r>
      <w:proofErr w:type="spellStart"/>
      <w:r w:rsidRPr="00F218A8">
        <w:rPr>
          <w:rFonts w:ascii="Times New Roman" w:hAnsi="Times New Roman" w:cs="Times New Roman"/>
          <w:sz w:val="24"/>
        </w:rPr>
        <w:t>Ogunro</w:t>
      </w:r>
      <w:proofErr w:type="spellEnd"/>
      <w:r w:rsidRPr="00F218A8">
        <w:rPr>
          <w:rFonts w:ascii="Times New Roman" w:hAnsi="Times New Roman" w:cs="Times New Roman"/>
          <w:sz w:val="24"/>
        </w:rPr>
        <w:t xml:space="preserve">, P. S. (2019). Comparison of serum level of Anti-Mullerian hormone in fertile and infertile women in South West Nigeria. International Journal of Medicine in Developing Countries, 3(1), 43–49. </w:t>
      </w:r>
      <w:hyperlink r:id="rId22" w:history="1">
        <w:r w:rsidRPr="00F218A8">
          <w:rPr>
            <w:rStyle w:val="Hyperlink"/>
            <w:rFonts w:ascii="Times New Roman" w:hAnsi="Times New Roman" w:cs="Times New Roman"/>
            <w:sz w:val="24"/>
          </w:rPr>
          <w:t>https://doi.org/10.24911/IJMDC.51-1542882156</w:t>
        </w:r>
      </w:hyperlink>
      <w:r w:rsidRPr="00F218A8">
        <w:rPr>
          <w:rFonts w:ascii="Times New Roman" w:hAnsi="Times New Roman" w:cs="Times New Roman"/>
          <w:sz w:val="24"/>
        </w:rPr>
        <w:t xml:space="preserve"> </w:t>
      </w:r>
    </w:p>
    <w:p w14:paraId="23A5C69B" w14:textId="0BCD2093" w:rsidR="00A44149" w:rsidRPr="00F218A8" w:rsidRDefault="00CB6D46" w:rsidP="00A44149">
      <w:pPr>
        <w:pStyle w:val="ListParagraph"/>
        <w:numPr>
          <w:ilvl w:val="0"/>
          <w:numId w:val="5"/>
        </w:numPr>
        <w:ind w:left="180"/>
        <w:jc w:val="both"/>
        <w:rPr>
          <w:rFonts w:ascii="Times New Roman" w:hAnsi="Times New Roman" w:cs="Times New Roman"/>
          <w:sz w:val="24"/>
        </w:rPr>
      </w:pPr>
      <w:proofErr w:type="spellStart"/>
      <w:r w:rsidRPr="00F218A8">
        <w:rPr>
          <w:rFonts w:ascii="Times New Roman" w:hAnsi="Times New Roman" w:cs="Times New Roman"/>
          <w:sz w:val="24"/>
        </w:rPr>
        <w:t>Kalaiselvi</w:t>
      </w:r>
      <w:proofErr w:type="spellEnd"/>
      <w:r w:rsidRPr="00F218A8">
        <w:rPr>
          <w:rFonts w:ascii="Times New Roman" w:hAnsi="Times New Roman" w:cs="Times New Roman"/>
          <w:sz w:val="24"/>
        </w:rPr>
        <w:t xml:space="preserve">, V. S., </w:t>
      </w:r>
      <w:proofErr w:type="spellStart"/>
      <w:r w:rsidRPr="00F218A8">
        <w:rPr>
          <w:rFonts w:ascii="Times New Roman" w:hAnsi="Times New Roman" w:cs="Times New Roman"/>
          <w:sz w:val="24"/>
        </w:rPr>
        <w:t>Saikumar</w:t>
      </w:r>
      <w:proofErr w:type="spellEnd"/>
      <w:r w:rsidRPr="00F218A8">
        <w:rPr>
          <w:rFonts w:ascii="Times New Roman" w:hAnsi="Times New Roman" w:cs="Times New Roman"/>
          <w:sz w:val="24"/>
        </w:rPr>
        <w:t xml:space="preserve">, P., </w:t>
      </w:r>
      <w:proofErr w:type="spellStart"/>
      <w:r w:rsidRPr="00F218A8">
        <w:rPr>
          <w:rFonts w:ascii="Times New Roman" w:hAnsi="Times New Roman" w:cs="Times New Roman"/>
          <w:sz w:val="24"/>
        </w:rPr>
        <w:t>Prabhu</w:t>
      </w:r>
      <w:proofErr w:type="spellEnd"/>
      <w:r w:rsidRPr="00F218A8">
        <w:rPr>
          <w:rFonts w:ascii="Times New Roman" w:hAnsi="Times New Roman" w:cs="Times New Roman"/>
          <w:sz w:val="24"/>
        </w:rPr>
        <w:t xml:space="preserve">, K., &amp; Prashanth Krishna, G. (2012). The </w:t>
      </w:r>
      <w:proofErr w:type="spellStart"/>
      <w:r w:rsidRPr="00F218A8">
        <w:rPr>
          <w:rFonts w:ascii="Times New Roman" w:hAnsi="Times New Roman" w:cs="Times New Roman"/>
          <w:sz w:val="24"/>
        </w:rPr>
        <w:t>anti mullerian</w:t>
      </w:r>
      <w:proofErr w:type="spellEnd"/>
      <w:r w:rsidRPr="00F218A8">
        <w:rPr>
          <w:rFonts w:ascii="Times New Roman" w:hAnsi="Times New Roman" w:cs="Times New Roman"/>
          <w:sz w:val="24"/>
        </w:rPr>
        <w:t xml:space="preserve"> hormone- a novel marker for assessing the ovarian reserve in women with regular menstrual cycles. Journal of Clinical and Diagnostic Research, 6(10), 1636–1639. </w:t>
      </w:r>
      <w:hyperlink r:id="rId23" w:history="1">
        <w:r w:rsidRPr="00F218A8">
          <w:rPr>
            <w:rStyle w:val="Hyperlink"/>
            <w:rFonts w:ascii="Times New Roman" w:hAnsi="Times New Roman" w:cs="Times New Roman"/>
            <w:sz w:val="24"/>
          </w:rPr>
          <w:t>https://doi.org/10.7860/JCDR/2012/5101.2624</w:t>
        </w:r>
      </w:hyperlink>
      <w:r w:rsidRPr="00F218A8">
        <w:rPr>
          <w:rFonts w:ascii="Times New Roman" w:hAnsi="Times New Roman" w:cs="Times New Roman"/>
          <w:sz w:val="24"/>
        </w:rPr>
        <w:t xml:space="preserve"> </w:t>
      </w:r>
      <w:r w:rsidR="00371494" w:rsidRPr="00F218A8">
        <w:rPr>
          <w:rFonts w:ascii="Times New Roman" w:hAnsi="Times New Roman" w:cs="Times New Roman"/>
          <w:sz w:val="24"/>
        </w:rPr>
        <w:t xml:space="preserve"> </w:t>
      </w:r>
    </w:p>
    <w:p w14:paraId="29C0FEC7" w14:textId="77777777" w:rsidR="00A44149" w:rsidRPr="00F218A8" w:rsidRDefault="00DD51AB" w:rsidP="00A44149">
      <w:pPr>
        <w:pStyle w:val="ListParagraph"/>
        <w:numPr>
          <w:ilvl w:val="0"/>
          <w:numId w:val="5"/>
        </w:numPr>
        <w:ind w:left="180"/>
        <w:jc w:val="both"/>
        <w:rPr>
          <w:rFonts w:ascii="Times New Roman" w:hAnsi="Times New Roman" w:cs="Times New Roman"/>
          <w:sz w:val="24"/>
        </w:rPr>
      </w:pPr>
      <w:r w:rsidRPr="00F218A8">
        <w:rPr>
          <w:rFonts w:ascii="Times New Roman" w:hAnsi="Times New Roman" w:cs="Times New Roman"/>
          <w:sz w:val="24"/>
        </w:rPr>
        <w:t xml:space="preserve">van der </w:t>
      </w:r>
      <w:proofErr w:type="spellStart"/>
      <w:r w:rsidRPr="00F218A8">
        <w:rPr>
          <w:rFonts w:ascii="Times New Roman" w:hAnsi="Times New Roman" w:cs="Times New Roman"/>
          <w:sz w:val="24"/>
        </w:rPr>
        <w:t>Steeg</w:t>
      </w:r>
      <w:proofErr w:type="spellEnd"/>
      <w:r w:rsidRPr="00F218A8">
        <w:rPr>
          <w:rFonts w:ascii="Times New Roman" w:hAnsi="Times New Roman" w:cs="Times New Roman"/>
          <w:sz w:val="24"/>
        </w:rPr>
        <w:t xml:space="preserve"> J W, </w:t>
      </w:r>
      <w:proofErr w:type="spellStart"/>
      <w:r w:rsidRPr="00F218A8">
        <w:rPr>
          <w:rFonts w:ascii="Times New Roman" w:hAnsi="Times New Roman" w:cs="Times New Roman"/>
          <w:sz w:val="24"/>
        </w:rPr>
        <w:t>Steures</w:t>
      </w:r>
      <w:proofErr w:type="spellEnd"/>
      <w:r w:rsidRPr="00F218A8">
        <w:rPr>
          <w:rFonts w:ascii="Times New Roman" w:hAnsi="Times New Roman" w:cs="Times New Roman"/>
          <w:sz w:val="24"/>
        </w:rPr>
        <w:t xml:space="preserve"> P, </w:t>
      </w:r>
      <w:proofErr w:type="spellStart"/>
      <w:r w:rsidRPr="00F218A8">
        <w:rPr>
          <w:rFonts w:ascii="Times New Roman" w:hAnsi="Times New Roman" w:cs="Times New Roman"/>
          <w:sz w:val="24"/>
        </w:rPr>
        <w:t>Eijkemans</w:t>
      </w:r>
      <w:proofErr w:type="spellEnd"/>
      <w:r w:rsidRPr="00F218A8">
        <w:rPr>
          <w:rFonts w:ascii="Times New Roman" w:hAnsi="Times New Roman" w:cs="Times New Roman"/>
          <w:sz w:val="24"/>
        </w:rPr>
        <w:t xml:space="preserve"> M J, </w:t>
      </w:r>
      <w:proofErr w:type="spellStart"/>
      <w:r w:rsidRPr="00F218A8">
        <w:rPr>
          <w:rFonts w:ascii="Times New Roman" w:hAnsi="Times New Roman" w:cs="Times New Roman"/>
          <w:sz w:val="24"/>
        </w:rPr>
        <w:t>Hompes</w:t>
      </w:r>
      <w:proofErr w:type="spellEnd"/>
      <w:r w:rsidRPr="00F218A8">
        <w:rPr>
          <w:rFonts w:ascii="Times New Roman" w:hAnsi="Times New Roman" w:cs="Times New Roman"/>
          <w:sz w:val="24"/>
        </w:rPr>
        <w:t xml:space="preserve"> P G, </w:t>
      </w:r>
      <w:proofErr w:type="spellStart"/>
      <w:r w:rsidRPr="00F218A8">
        <w:rPr>
          <w:rFonts w:ascii="Times New Roman" w:hAnsi="Times New Roman" w:cs="Times New Roman"/>
          <w:sz w:val="24"/>
        </w:rPr>
        <w:t>Broekmans</w:t>
      </w:r>
      <w:proofErr w:type="spellEnd"/>
      <w:r w:rsidRPr="00F218A8">
        <w:rPr>
          <w:rFonts w:ascii="Times New Roman" w:hAnsi="Times New Roman" w:cs="Times New Roman"/>
          <w:sz w:val="24"/>
        </w:rPr>
        <w:t xml:space="preserve"> F J, </w:t>
      </w:r>
      <w:proofErr w:type="spellStart"/>
      <w:r w:rsidRPr="00F218A8">
        <w:rPr>
          <w:rFonts w:ascii="Times New Roman" w:hAnsi="Times New Roman" w:cs="Times New Roman"/>
          <w:sz w:val="24"/>
        </w:rPr>
        <w:t>Bouckaert</w:t>
      </w:r>
      <w:proofErr w:type="spellEnd"/>
      <w:r w:rsidRPr="00F218A8">
        <w:rPr>
          <w:rFonts w:ascii="Times New Roman" w:hAnsi="Times New Roman" w:cs="Times New Roman"/>
          <w:sz w:val="24"/>
        </w:rPr>
        <w:t xml:space="preserve"> P X, et al. Predictive value and clinical impact of basal FSH in </w:t>
      </w:r>
      <w:proofErr w:type="spellStart"/>
      <w:r w:rsidRPr="00F218A8">
        <w:rPr>
          <w:rFonts w:ascii="Times New Roman" w:hAnsi="Times New Roman" w:cs="Times New Roman"/>
          <w:sz w:val="24"/>
        </w:rPr>
        <w:t>subfertile</w:t>
      </w:r>
      <w:proofErr w:type="spellEnd"/>
      <w:r w:rsidRPr="00F218A8">
        <w:rPr>
          <w:rFonts w:ascii="Times New Roman" w:hAnsi="Times New Roman" w:cs="Times New Roman"/>
          <w:sz w:val="24"/>
        </w:rPr>
        <w:t xml:space="preserve">, ovulatory women. J Clin Endocrinol </w:t>
      </w:r>
      <w:proofErr w:type="spellStart"/>
      <w:r w:rsidRPr="00F218A8">
        <w:rPr>
          <w:rFonts w:ascii="Times New Roman" w:hAnsi="Times New Roman" w:cs="Times New Roman"/>
          <w:sz w:val="24"/>
        </w:rPr>
        <w:t>Metab</w:t>
      </w:r>
      <w:proofErr w:type="spellEnd"/>
      <w:r w:rsidRPr="00F218A8">
        <w:rPr>
          <w:rFonts w:ascii="Times New Roman" w:hAnsi="Times New Roman" w:cs="Times New Roman"/>
          <w:sz w:val="24"/>
        </w:rPr>
        <w:t>. 2007;92(6):2163-2168.</w:t>
      </w:r>
    </w:p>
    <w:p w14:paraId="6BFAE34B" w14:textId="016F5686" w:rsidR="00A44149" w:rsidRPr="00F218A8" w:rsidRDefault="00520E0C" w:rsidP="00A44149">
      <w:pPr>
        <w:pStyle w:val="ListParagraph"/>
        <w:numPr>
          <w:ilvl w:val="0"/>
          <w:numId w:val="5"/>
        </w:numPr>
        <w:ind w:left="180"/>
        <w:jc w:val="both"/>
        <w:rPr>
          <w:rFonts w:ascii="Times New Roman" w:hAnsi="Times New Roman" w:cs="Times New Roman"/>
          <w:sz w:val="24"/>
        </w:rPr>
      </w:pPr>
      <w:r w:rsidRPr="00F218A8">
        <w:rPr>
          <w:rFonts w:ascii="Times New Roman" w:hAnsi="Times New Roman" w:cs="Times New Roman"/>
          <w:sz w:val="24"/>
        </w:rPr>
        <w:t xml:space="preserve">Ledger, W. L. (2012). The menstrual cycle. In D. K. Edmonds (Ed.), Dewhurst's textbook of obstetrics and </w:t>
      </w:r>
      <w:proofErr w:type="spellStart"/>
      <w:r w:rsidRPr="00F218A8">
        <w:rPr>
          <w:rFonts w:ascii="Times New Roman" w:hAnsi="Times New Roman" w:cs="Times New Roman"/>
          <w:sz w:val="24"/>
        </w:rPr>
        <w:t>gynaecology</w:t>
      </w:r>
      <w:proofErr w:type="spellEnd"/>
      <w:r w:rsidRPr="00F218A8">
        <w:rPr>
          <w:rFonts w:ascii="Times New Roman" w:hAnsi="Times New Roman" w:cs="Times New Roman"/>
          <w:sz w:val="24"/>
        </w:rPr>
        <w:t xml:space="preserve"> (8th ed., pp. 487-494). Wiley-Blackwell. </w:t>
      </w:r>
      <w:hyperlink r:id="rId24" w:history="1">
        <w:r w:rsidRPr="00F218A8">
          <w:rPr>
            <w:rStyle w:val="Hyperlink"/>
            <w:rFonts w:ascii="Times New Roman" w:hAnsi="Times New Roman" w:cs="Times New Roman"/>
            <w:sz w:val="24"/>
          </w:rPr>
          <w:t>https://tools.ovid.com/ovidweb/ovidbook.cgi?T=JB&amp;MODE=ovid&amp;NEWS=N&amp;PAGE=toc&amp;D=books&amp;AN=01600000%231%2f1</w:t>
        </w:r>
      </w:hyperlink>
      <w:r w:rsidRPr="00F218A8">
        <w:rPr>
          <w:rFonts w:ascii="Times New Roman" w:hAnsi="Times New Roman" w:cs="Times New Roman"/>
          <w:sz w:val="24"/>
        </w:rPr>
        <w:t xml:space="preserve"> </w:t>
      </w:r>
      <w:r w:rsidR="003C1AD9" w:rsidRPr="00F218A8">
        <w:rPr>
          <w:rFonts w:ascii="Times New Roman" w:hAnsi="Times New Roman" w:cs="Times New Roman"/>
          <w:sz w:val="24"/>
        </w:rPr>
        <w:t xml:space="preserve">  </w:t>
      </w:r>
    </w:p>
    <w:p w14:paraId="12EEADA2" w14:textId="4D8D5406" w:rsidR="00A44149" w:rsidRPr="00F218A8" w:rsidRDefault="00116D42" w:rsidP="00A44149">
      <w:pPr>
        <w:pStyle w:val="ListParagraph"/>
        <w:numPr>
          <w:ilvl w:val="0"/>
          <w:numId w:val="5"/>
        </w:numPr>
        <w:ind w:left="180"/>
        <w:jc w:val="both"/>
        <w:rPr>
          <w:rFonts w:ascii="Times New Roman" w:hAnsi="Times New Roman" w:cs="Times New Roman"/>
          <w:sz w:val="24"/>
        </w:rPr>
      </w:pPr>
      <w:proofErr w:type="spellStart"/>
      <w:r w:rsidRPr="00F218A8">
        <w:rPr>
          <w:rFonts w:ascii="Times New Roman" w:hAnsi="Times New Roman" w:cs="Times New Roman"/>
          <w:sz w:val="24"/>
        </w:rPr>
        <w:t>Schlechte</w:t>
      </w:r>
      <w:proofErr w:type="spellEnd"/>
      <w:r w:rsidRPr="00F218A8">
        <w:rPr>
          <w:rFonts w:ascii="Times New Roman" w:hAnsi="Times New Roman" w:cs="Times New Roman"/>
          <w:sz w:val="24"/>
        </w:rPr>
        <w:t xml:space="preserve">, J. A. (2007). Long-term management of prolactinomas. *Journal of Clinical Endocrinology &amp; Metabolism*, *92*(8), 2861–2865. </w:t>
      </w:r>
      <w:hyperlink r:id="rId25" w:history="1">
        <w:r w:rsidRPr="00F218A8">
          <w:rPr>
            <w:rStyle w:val="Hyperlink"/>
            <w:rFonts w:ascii="Times New Roman" w:hAnsi="Times New Roman" w:cs="Times New Roman"/>
            <w:sz w:val="24"/>
          </w:rPr>
          <w:t>https://doi.org/10.1210/jc.2007-0836</w:t>
        </w:r>
      </w:hyperlink>
      <w:r w:rsidRPr="00F218A8">
        <w:rPr>
          <w:rFonts w:ascii="Times New Roman" w:hAnsi="Times New Roman" w:cs="Times New Roman"/>
          <w:sz w:val="24"/>
        </w:rPr>
        <w:t xml:space="preserve"> </w:t>
      </w:r>
      <w:r w:rsidR="003C1AD9" w:rsidRPr="00F218A8">
        <w:rPr>
          <w:rFonts w:ascii="Times New Roman" w:hAnsi="Times New Roman" w:cs="Times New Roman"/>
          <w:sz w:val="24"/>
        </w:rPr>
        <w:t xml:space="preserve">  </w:t>
      </w:r>
    </w:p>
    <w:p w14:paraId="6987DD37" w14:textId="45E69630" w:rsidR="00A44149" w:rsidRPr="00F218A8" w:rsidRDefault="005C2C3F" w:rsidP="00A44149">
      <w:pPr>
        <w:pStyle w:val="ListParagraph"/>
        <w:numPr>
          <w:ilvl w:val="0"/>
          <w:numId w:val="5"/>
        </w:numPr>
        <w:ind w:left="180"/>
        <w:jc w:val="both"/>
        <w:rPr>
          <w:rFonts w:ascii="Times New Roman" w:hAnsi="Times New Roman" w:cs="Times New Roman"/>
          <w:sz w:val="24"/>
        </w:rPr>
      </w:pPr>
      <w:r w:rsidRPr="00F218A8">
        <w:rPr>
          <w:rFonts w:ascii="Times New Roman" w:hAnsi="Times New Roman" w:cs="Times New Roman"/>
          <w:sz w:val="24"/>
        </w:rPr>
        <w:t xml:space="preserve">Kumar, P., &amp; </w:t>
      </w:r>
      <w:proofErr w:type="spellStart"/>
      <w:r w:rsidRPr="00F218A8">
        <w:rPr>
          <w:rFonts w:ascii="Times New Roman" w:hAnsi="Times New Roman" w:cs="Times New Roman"/>
          <w:sz w:val="24"/>
        </w:rPr>
        <w:t>Sait</w:t>
      </w:r>
      <w:proofErr w:type="spellEnd"/>
      <w:r w:rsidRPr="00F218A8">
        <w:rPr>
          <w:rFonts w:ascii="Times New Roman" w:hAnsi="Times New Roman" w:cs="Times New Roman"/>
          <w:sz w:val="24"/>
        </w:rPr>
        <w:t xml:space="preserve">, S. F. (2011). Luteinizing hormone and its dilemma in ovulation induction. Journal of Human Reproductive Sciences, 4(1), 2–7. </w:t>
      </w:r>
      <w:hyperlink r:id="rId26" w:history="1">
        <w:r w:rsidRPr="00F218A8">
          <w:rPr>
            <w:rStyle w:val="Hyperlink"/>
            <w:rFonts w:ascii="Times New Roman" w:hAnsi="Times New Roman" w:cs="Times New Roman"/>
            <w:sz w:val="24"/>
          </w:rPr>
          <w:t>https://doi.org/10.4103/0974-1208.82351</w:t>
        </w:r>
      </w:hyperlink>
      <w:r w:rsidRPr="00F218A8">
        <w:rPr>
          <w:rFonts w:ascii="Times New Roman" w:hAnsi="Times New Roman" w:cs="Times New Roman"/>
          <w:sz w:val="24"/>
        </w:rPr>
        <w:t xml:space="preserve"> </w:t>
      </w:r>
      <w:r w:rsidR="003C1AD9" w:rsidRPr="00F218A8">
        <w:rPr>
          <w:rFonts w:ascii="Times New Roman" w:hAnsi="Times New Roman" w:cs="Times New Roman"/>
          <w:sz w:val="24"/>
        </w:rPr>
        <w:t>.</w:t>
      </w:r>
      <w:r w:rsidR="00371494" w:rsidRPr="00F218A8">
        <w:rPr>
          <w:rFonts w:ascii="Times New Roman" w:hAnsi="Times New Roman" w:cs="Times New Roman"/>
          <w:sz w:val="24"/>
        </w:rPr>
        <w:t xml:space="preserve">  </w:t>
      </w:r>
    </w:p>
    <w:p w14:paraId="1C3E7E1E" w14:textId="77777777" w:rsidR="00EC1B89" w:rsidRPr="00F218A8" w:rsidRDefault="00D8177B" w:rsidP="00A44149">
      <w:pPr>
        <w:pStyle w:val="ListParagraph"/>
        <w:numPr>
          <w:ilvl w:val="0"/>
          <w:numId w:val="5"/>
        </w:numPr>
        <w:ind w:left="180"/>
        <w:jc w:val="both"/>
        <w:rPr>
          <w:rFonts w:ascii="Times New Roman" w:hAnsi="Times New Roman" w:cs="Times New Roman"/>
          <w:sz w:val="24"/>
        </w:rPr>
      </w:pPr>
      <w:proofErr w:type="spellStart"/>
      <w:r w:rsidRPr="00F218A8">
        <w:rPr>
          <w:rFonts w:ascii="Times New Roman" w:hAnsi="Times New Roman" w:cs="Times New Roman"/>
          <w:sz w:val="24"/>
        </w:rPr>
        <w:t>Mellveen</w:t>
      </w:r>
      <w:proofErr w:type="spellEnd"/>
      <w:r w:rsidRPr="00F218A8">
        <w:rPr>
          <w:rFonts w:ascii="Times New Roman" w:hAnsi="Times New Roman" w:cs="Times New Roman"/>
          <w:sz w:val="24"/>
        </w:rPr>
        <w:t xml:space="preserve"> M, Skull J O, Ledger W L. Evaluation of the utility of multiple endocrine and ultrasound measure of ovarian reserve in the prediction of cycle cancellation in high risk IVF population. Hum </w:t>
      </w:r>
      <w:proofErr w:type="spellStart"/>
      <w:r w:rsidRPr="00F218A8">
        <w:rPr>
          <w:rFonts w:ascii="Times New Roman" w:hAnsi="Times New Roman" w:cs="Times New Roman"/>
          <w:sz w:val="24"/>
        </w:rPr>
        <w:t>Reprod</w:t>
      </w:r>
      <w:proofErr w:type="spellEnd"/>
      <w:r w:rsidRPr="00F218A8">
        <w:rPr>
          <w:rFonts w:ascii="Times New Roman" w:hAnsi="Times New Roman" w:cs="Times New Roman"/>
          <w:sz w:val="24"/>
        </w:rPr>
        <w:t>. 2006; 22(3):778–785.</w:t>
      </w:r>
      <w:r w:rsidR="00371494" w:rsidRPr="00F218A8">
        <w:rPr>
          <w:rFonts w:ascii="Times New Roman" w:hAnsi="Times New Roman" w:cs="Times New Roman"/>
          <w:sz w:val="24"/>
        </w:rPr>
        <w:t xml:space="preserve">    </w:t>
      </w:r>
    </w:p>
    <w:p w14:paraId="77D7FBE3" w14:textId="77777777" w:rsidR="00195CC2" w:rsidRPr="00F218A8" w:rsidRDefault="00B93481" w:rsidP="00A44149">
      <w:pPr>
        <w:pStyle w:val="ListParagraph"/>
        <w:numPr>
          <w:ilvl w:val="0"/>
          <w:numId w:val="5"/>
        </w:numPr>
        <w:ind w:left="180"/>
        <w:jc w:val="both"/>
        <w:rPr>
          <w:rFonts w:ascii="Times New Roman" w:hAnsi="Times New Roman" w:cs="Times New Roman"/>
          <w:sz w:val="24"/>
        </w:rPr>
      </w:pPr>
      <w:r w:rsidRPr="00F218A8">
        <w:rPr>
          <w:rFonts w:ascii="Times New Roman" w:hAnsi="Times New Roman" w:cs="Times New Roman"/>
          <w:sz w:val="24"/>
        </w:rPr>
        <w:t xml:space="preserve">Wang, X., </w:t>
      </w:r>
      <w:proofErr w:type="spellStart"/>
      <w:r w:rsidRPr="00F218A8">
        <w:rPr>
          <w:rFonts w:ascii="Times New Roman" w:hAnsi="Times New Roman" w:cs="Times New Roman"/>
          <w:sz w:val="24"/>
        </w:rPr>
        <w:t>Jin</w:t>
      </w:r>
      <w:proofErr w:type="spellEnd"/>
      <w:r w:rsidRPr="00F218A8">
        <w:rPr>
          <w:rFonts w:ascii="Times New Roman" w:hAnsi="Times New Roman" w:cs="Times New Roman"/>
          <w:sz w:val="24"/>
        </w:rPr>
        <w:t xml:space="preserve">, L., Mao, Y., Shi, J., Huang, R., Jiang, Y., Zhang, C., &amp; Liang, X. (2021). Evaluation of Ovarian Reserve Tests and Age in the Prediction of Poor Ovarian Response to Controlled Ovarian Stimulation-A Real-World Data Analysis of 89,002 Patients. *Frontiers in Endocrinology*, *12*, 702061. </w:t>
      </w:r>
      <w:hyperlink r:id="rId27" w:history="1">
        <w:r w:rsidRPr="00F218A8">
          <w:rPr>
            <w:rStyle w:val="Hyperlink"/>
            <w:rFonts w:ascii="Times New Roman" w:hAnsi="Times New Roman" w:cs="Times New Roman"/>
            <w:sz w:val="24"/>
          </w:rPr>
          <w:t>https://doi.org/10.3389/fendo.2021.702061</w:t>
        </w:r>
      </w:hyperlink>
      <w:r w:rsidRPr="00F218A8">
        <w:rPr>
          <w:rFonts w:ascii="Times New Roman" w:hAnsi="Times New Roman" w:cs="Times New Roman"/>
          <w:sz w:val="24"/>
        </w:rPr>
        <w:t xml:space="preserve"> </w:t>
      </w:r>
      <w:r w:rsidR="00D8177B" w:rsidRPr="00F218A8">
        <w:rPr>
          <w:rFonts w:ascii="Times New Roman" w:hAnsi="Times New Roman" w:cs="Times New Roman"/>
          <w:sz w:val="24"/>
        </w:rPr>
        <w:t xml:space="preserve">. </w:t>
      </w:r>
    </w:p>
    <w:p w14:paraId="53A14F99" w14:textId="77777777" w:rsidR="00F14DDD" w:rsidRPr="00F218A8" w:rsidRDefault="00D01BE9" w:rsidP="00A44149">
      <w:pPr>
        <w:pStyle w:val="ListParagraph"/>
        <w:numPr>
          <w:ilvl w:val="0"/>
          <w:numId w:val="5"/>
        </w:numPr>
        <w:ind w:left="180"/>
        <w:jc w:val="both"/>
        <w:rPr>
          <w:rFonts w:ascii="Times New Roman" w:hAnsi="Times New Roman" w:cs="Times New Roman"/>
          <w:sz w:val="24"/>
        </w:rPr>
      </w:pPr>
      <w:r w:rsidRPr="00F218A8">
        <w:rPr>
          <w:rFonts w:ascii="Times New Roman" w:hAnsi="Times New Roman" w:cs="Times New Roman"/>
          <w:sz w:val="24"/>
        </w:rPr>
        <w:t xml:space="preserve">Webber, L., Davies, M., Anderson, R., Bartlett, J., </w:t>
      </w:r>
      <w:proofErr w:type="spellStart"/>
      <w:r w:rsidRPr="00F218A8">
        <w:rPr>
          <w:rFonts w:ascii="Times New Roman" w:hAnsi="Times New Roman" w:cs="Times New Roman"/>
          <w:sz w:val="24"/>
        </w:rPr>
        <w:t>Braat</w:t>
      </w:r>
      <w:proofErr w:type="spellEnd"/>
      <w:r w:rsidRPr="00F218A8">
        <w:rPr>
          <w:rFonts w:ascii="Times New Roman" w:hAnsi="Times New Roman" w:cs="Times New Roman"/>
          <w:sz w:val="24"/>
        </w:rPr>
        <w:t xml:space="preserve">, D., Cartwright, B., ... &amp; Vermeulen, N. (2016). European Society for Human Reproduction and Embryology (ESHRE) Guideline Group on POI. ESHRE Guideline: management of women with premature ovarian insufficiency. Hum </w:t>
      </w:r>
      <w:proofErr w:type="spellStart"/>
      <w:r w:rsidRPr="00F218A8">
        <w:rPr>
          <w:rFonts w:ascii="Times New Roman" w:hAnsi="Times New Roman" w:cs="Times New Roman"/>
          <w:sz w:val="24"/>
        </w:rPr>
        <w:t>Reprod</w:t>
      </w:r>
      <w:proofErr w:type="spellEnd"/>
      <w:r w:rsidRPr="00F218A8">
        <w:rPr>
          <w:rFonts w:ascii="Times New Roman" w:hAnsi="Times New Roman" w:cs="Times New Roman"/>
          <w:sz w:val="24"/>
        </w:rPr>
        <w:t xml:space="preserve">, 31(5), 926-937. </w:t>
      </w:r>
      <w:r w:rsidR="00371494" w:rsidRPr="00F218A8">
        <w:rPr>
          <w:rFonts w:ascii="Times New Roman" w:hAnsi="Times New Roman" w:cs="Times New Roman"/>
          <w:sz w:val="24"/>
        </w:rPr>
        <w:t xml:space="preserve"> </w:t>
      </w:r>
    </w:p>
    <w:p w14:paraId="6E777240" w14:textId="77777777" w:rsidR="00F14DDD" w:rsidRPr="00F218A8" w:rsidRDefault="00F14DDD" w:rsidP="00F14DDD">
      <w:pPr>
        <w:pStyle w:val="ListParagraph"/>
        <w:numPr>
          <w:ilvl w:val="0"/>
          <w:numId w:val="5"/>
        </w:numPr>
        <w:ind w:left="180"/>
        <w:jc w:val="both"/>
        <w:rPr>
          <w:rFonts w:ascii="Times New Roman" w:hAnsi="Times New Roman" w:cs="Times New Roman"/>
          <w:sz w:val="24"/>
        </w:rPr>
      </w:pPr>
      <w:r w:rsidRPr="00F218A8">
        <w:rPr>
          <w:rFonts w:ascii="Times New Roman" w:hAnsi="Times New Roman" w:cs="Times New Roman"/>
          <w:sz w:val="24"/>
        </w:rPr>
        <w:t xml:space="preserve">Man, L., </w:t>
      </w:r>
      <w:proofErr w:type="spellStart"/>
      <w:r w:rsidRPr="00F218A8">
        <w:rPr>
          <w:rFonts w:ascii="Times New Roman" w:hAnsi="Times New Roman" w:cs="Times New Roman"/>
          <w:sz w:val="24"/>
        </w:rPr>
        <w:t>Lustgarten</w:t>
      </w:r>
      <w:proofErr w:type="spellEnd"/>
      <w:r w:rsidRPr="00F218A8">
        <w:rPr>
          <w:rFonts w:ascii="Times New Roman" w:hAnsi="Times New Roman" w:cs="Times New Roman"/>
          <w:sz w:val="24"/>
        </w:rPr>
        <w:t xml:space="preserve"> </w:t>
      </w:r>
      <w:proofErr w:type="spellStart"/>
      <w:r w:rsidRPr="00F218A8">
        <w:rPr>
          <w:rFonts w:ascii="Times New Roman" w:hAnsi="Times New Roman" w:cs="Times New Roman"/>
          <w:sz w:val="24"/>
        </w:rPr>
        <w:t>Guahmich</w:t>
      </w:r>
      <w:proofErr w:type="spellEnd"/>
      <w:r w:rsidRPr="00F218A8">
        <w:rPr>
          <w:rFonts w:ascii="Times New Roman" w:hAnsi="Times New Roman" w:cs="Times New Roman"/>
          <w:sz w:val="24"/>
        </w:rPr>
        <w:t xml:space="preserve">, N., Vyas, N., Tsai, S., </w:t>
      </w:r>
      <w:proofErr w:type="spellStart"/>
      <w:r w:rsidRPr="00F218A8">
        <w:rPr>
          <w:rFonts w:ascii="Times New Roman" w:hAnsi="Times New Roman" w:cs="Times New Roman"/>
          <w:sz w:val="24"/>
        </w:rPr>
        <w:t>Arazi</w:t>
      </w:r>
      <w:proofErr w:type="spellEnd"/>
      <w:r w:rsidRPr="00F218A8">
        <w:rPr>
          <w:rFonts w:ascii="Times New Roman" w:hAnsi="Times New Roman" w:cs="Times New Roman"/>
          <w:sz w:val="24"/>
        </w:rPr>
        <w:t xml:space="preserve">, L., Lilienthal, D., ... &amp; James, D. (2022). Ovarian reserve disorders, can we prevent them? A review. International journal of molecular sciences, 23(23), 15426.  </w:t>
      </w:r>
      <w:hyperlink r:id="rId28" w:history="1">
        <w:r w:rsidRPr="00F218A8">
          <w:rPr>
            <w:rStyle w:val="Hyperlink"/>
            <w:rFonts w:ascii="Times New Roman" w:hAnsi="Times New Roman" w:cs="Times New Roman"/>
            <w:sz w:val="24"/>
          </w:rPr>
          <w:t>https://doi.org/10.3390/ijms232315426</w:t>
        </w:r>
      </w:hyperlink>
      <w:r w:rsidRPr="00F218A8">
        <w:rPr>
          <w:rFonts w:ascii="Times New Roman" w:hAnsi="Times New Roman" w:cs="Times New Roman"/>
          <w:sz w:val="24"/>
        </w:rPr>
        <w:t xml:space="preserve"> </w:t>
      </w:r>
    </w:p>
    <w:p w14:paraId="24791766" w14:textId="1BFAB49B" w:rsidR="000427FF" w:rsidRPr="00F218A8" w:rsidRDefault="00FC329B" w:rsidP="00A44149">
      <w:pPr>
        <w:pStyle w:val="ListParagraph"/>
        <w:numPr>
          <w:ilvl w:val="0"/>
          <w:numId w:val="5"/>
        </w:numPr>
        <w:ind w:left="180"/>
        <w:jc w:val="both"/>
        <w:rPr>
          <w:rFonts w:ascii="Times New Roman" w:hAnsi="Times New Roman" w:cs="Times New Roman"/>
          <w:sz w:val="24"/>
        </w:rPr>
      </w:pPr>
      <w:proofErr w:type="spellStart"/>
      <w:r w:rsidRPr="00F218A8">
        <w:rPr>
          <w:rFonts w:ascii="Times New Roman" w:hAnsi="Times New Roman" w:cs="Times New Roman"/>
          <w:sz w:val="24"/>
        </w:rPr>
        <w:t>Ebirien-Agana</w:t>
      </w:r>
      <w:proofErr w:type="spellEnd"/>
      <w:r w:rsidRPr="00F218A8">
        <w:rPr>
          <w:rFonts w:ascii="Times New Roman" w:hAnsi="Times New Roman" w:cs="Times New Roman"/>
          <w:sz w:val="24"/>
        </w:rPr>
        <w:t xml:space="preserve"> S. Bartimaeus, Chukwuma E. J. Obi, Felix O. </w:t>
      </w:r>
      <w:proofErr w:type="spellStart"/>
      <w:r w:rsidRPr="00F218A8">
        <w:rPr>
          <w:rFonts w:ascii="Times New Roman" w:hAnsi="Times New Roman" w:cs="Times New Roman"/>
          <w:sz w:val="24"/>
        </w:rPr>
        <w:t>Igwe</w:t>
      </w:r>
      <w:proofErr w:type="spellEnd"/>
      <w:r w:rsidRPr="00F218A8">
        <w:rPr>
          <w:rFonts w:ascii="Times New Roman" w:hAnsi="Times New Roman" w:cs="Times New Roman"/>
          <w:sz w:val="24"/>
        </w:rPr>
        <w:t xml:space="preserve"> &amp; Edna O. </w:t>
      </w:r>
      <w:proofErr w:type="spellStart"/>
      <w:r w:rsidRPr="00F218A8">
        <w:rPr>
          <w:rFonts w:ascii="Times New Roman" w:hAnsi="Times New Roman" w:cs="Times New Roman"/>
          <w:sz w:val="24"/>
        </w:rPr>
        <w:t>Nwachuku</w:t>
      </w:r>
      <w:proofErr w:type="spellEnd"/>
      <w:r w:rsidRPr="00F218A8">
        <w:rPr>
          <w:rFonts w:ascii="Times New Roman" w:hAnsi="Times New Roman" w:cs="Times New Roman"/>
          <w:sz w:val="24"/>
        </w:rPr>
        <w:t>. (2020). Assessment of Serum Anti-</w:t>
      </w:r>
      <w:proofErr w:type="spellStart"/>
      <w:r w:rsidRPr="00F218A8">
        <w:rPr>
          <w:rFonts w:ascii="Times New Roman" w:hAnsi="Times New Roman" w:cs="Times New Roman"/>
          <w:sz w:val="24"/>
        </w:rPr>
        <w:t>mullerian</w:t>
      </w:r>
      <w:proofErr w:type="spellEnd"/>
      <w:r w:rsidRPr="00F218A8">
        <w:rPr>
          <w:rFonts w:ascii="Times New Roman" w:hAnsi="Times New Roman" w:cs="Times New Roman"/>
          <w:sz w:val="24"/>
        </w:rPr>
        <w:t xml:space="preserve"> Hormone Level, Antral Follicle Count and </w:t>
      </w:r>
      <w:r w:rsidRPr="00F218A8">
        <w:rPr>
          <w:rFonts w:ascii="Times New Roman" w:hAnsi="Times New Roman" w:cs="Times New Roman"/>
          <w:sz w:val="24"/>
        </w:rPr>
        <w:lastRenderedPageBreak/>
        <w:t xml:space="preserve">Age as Indicators of Ovarian Reserve Response in Women Diagnosed with Infertility in </w:t>
      </w:r>
      <w:proofErr w:type="spellStart"/>
      <w:r w:rsidRPr="00F218A8">
        <w:rPr>
          <w:rFonts w:ascii="Times New Roman" w:hAnsi="Times New Roman" w:cs="Times New Roman"/>
          <w:sz w:val="24"/>
        </w:rPr>
        <w:t>Abia</w:t>
      </w:r>
      <w:proofErr w:type="spellEnd"/>
      <w:r w:rsidRPr="00F218A8">
        <w:rPr>
          <w:rFonts w:ascii="Times New Roman" w:hAnsi="Times New Roman" w:cs="Times New Roman"/>
          <w:sz w:val="24"/>
        </w:rPr>
        <w:t xml:space="preserve"> State, South Eastern Nigeria. Journal of Advances in Medicine and Medical Research, 31(12), 1–11. </w:t>
      </w:r>
      <w:hyperlink r:id="rId29" w:history="1">
        <w:r w:rsidRPr="00F218A8">
          <w:rPr>
            <w:rStyle w:val="Hyperlink"/>
            <w:rFonts w:ascii="Times New Roman" w:hAnsi="Times New Roman" w:cs="Times New Roman"/>
            <w:sz w:val="24"/>
          </w:rPr>
          <w:t>https://doi.org/10.9734/jammr/2019/v31i1230338</w:t>
        </w:r>
      </w:hyperlink>
      <w:r w:rsidRPr="00F218A8">
        <w:rPr>
          <w:rFonts w:ascii="Times New Roman" w:hAnsi="Times New Roman" w:cs="Times New Roman"/>
          <w:sz w:val="24"/>
        </w:rPr>
        <w:t xml:space="preserve"> </w:t>
      </w:r>
      <w:r w:rsidR="00371494" w:rsidRPr="00F218A8">
        <w:rPr>
          <w:rFonts w:ascii="Times New Roman" w:hAnsi="Times New Roman" w:cs="Times New Roman"/>
          <w:sz w:val="24"/>
        </w:rPr>
        <w:t xml:space="preserve">                        </w:t>
      </w:r>
    </w:p>
    <w:sectPr w:rsidR="000427FF" w:rsidRPr="00F218A8">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C3351" w14:textId="77777777" w:rsidR="003D25B3" w:rsidRDefault="003D25B3" w:rsidP="00AD3511">
      <w:pPr>
        <w:spacing w:after="0" w:line="240" w:lineRule="auto"/>
      </w:pPr>
      <w:r>
        <w:separator/>
      </w:r>
    </w:p>
  </w:endnote>
  <w:endnote w:type="continuationSeparator" w:id="0">
    <w:p w14:paraId="1FE88332" w14:textId="77777777" w:rsidR="003D25B3" w:rsidRDefault="003D25B3" w:rsidP="00AD3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B524E" w14:textId="77777777" w:rsidR="00AD3511" w:rsidRDefault="00AD35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F6D2A" w14:textId="77777777" w:rsidR="00AD3511" w:rsidRDefault="00AD35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9C8B5" w14:textId="77777777" w:rsidR="00AD3511" w:rsidRDefault="00AD3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61B7C" w14:textId="77777777" w:rsidR="003D25B3" w:rsidRDefault="003D25B3" w:rsidP="00AD3511">
      <w:pPr>
        <w:spacing w:after="0" w:line="240" w:lineRule="auto"/>
      </w:pPr>
      <w:r>
        <w:separator/>
      </w:r>
    </w:p>
  </w:footnote>
  <w:footnote w:type="continuationSeparator" w:id="0">
    <w:p w14:paraId="412041A7" w14:textId="77777777" w:rsidR="003D25B3" w:rsidRDefault="003D25B3" w:rsidP="00AD3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B5579" w14:textId="6EFF3922" w:rsidR="00AD3511" w:rsidRDefault="008950C4">
    <w:pPr>
      <w:pStyle w:val="Header"/>
    </w:pPr>
    <w:r>
      <w:rPr>
        <w:noProof/>
      </w:rPr>
      <w:pict w14:anchorId="4A8F1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682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3A90F" w14:textId="2F0B9E2E" w:rsidR="00AD3511" w:rsidRDefault="008950C4">
    <w:pPr>
      <w:pStyle w:val="Header"/>
    </w:pPr>
    <w:r>
      <w:rPr>
        <w:noProof/>
      </w:rPr>
      <w:pict w14:anchorId="70029B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682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AA33A" w14:textId="770A4EDE" w:rsidR="00AD3511" w:rsidRDefault="008950C4">
    <w:pPr>
      <w:pStyle w:val="Header"/>
    </w:pPr>
    <w:r>
      <w:rPr>
        <w:noProof/>
      </w:rPr>
      <w:pict w14:anchorId="45D77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682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45261"/>
    <w:multiLevelType w:val="multilevel"/>
    <w:tmpl w:val="049452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EE4F08"/>
    <w:multiLevelType w:val="multilevel"/>
    <w:tmpl w:val="2CEE4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5561516"/>
    <w:multiLevelType w:val="multilevel"/>
    <w:tmpl w:val="555615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63D4535"/>
    <w:multiLevelType w:val="multilevel"/>
    <w:tmpl w:val="763D45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E636835"/>
    <w:multiLevelType w:val="hybridMultilevel"/>
    <w:tmpl w:val="37BA3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1MzcyszQzMDGwNDVW0lEKTi0uzszPAykwrAUAinki6CwAAAA="/>
  </w:docVars>
  <w:rsids>
    <w:rsidRoot w:val="009C66C3"/>
    <w:rsid w:val="0001330E"/>
    <w:rsid w:val="00034089"/>
    <w:rsid w:val="000427FF"/>
    <w:rsid w:val="00053888"/>
    <w:rsid w:val="0007112B"/>
    <w:rsid w:val="00071DE2"/>
    <w:rsid w:val="000770D4"/>
    <w:rsid w:val="00081C98"/>
    <w:rsid w:val="000937D2"/>
    <w:rsid w:val="000B54B4"/>
    <w:rsid w:val="000D15CF"/>
    <w:rsid w:val="0010532E"/>
    <w:rsid w:val="00116D42"/>
    <w:rsid w:val="00120AE2"/>
    <w:rsid w:val="00131AEF"/>
    <w:rsid w:val="00133C11"/>
    <w:rsid w:val="001504F1"/>
    <w:rsid w:val="001770AC"/>
    <w:rsid w:val="00191518"/>
    <w:rsid w:val="00195CC2"/>
    <w:rsid w:val="001C4DE7"/>
    <w:rsid w:val="001D3379"/>
    <w:rsid w:val="001E41E9"/>
    <w:rsid w:val="002477EB"/>
    <w:rsid w:val="00262E4F"/>
    <w:rsid w:val="002975C5"/>
    <w:rsid w:val="002A296E"/>
    <w:rsid w:val="002A51FF"/>
    <w:rsid w:val="002E0AF7"/>
    <w:rsid w:val="002E7B24"/>
    <w:rsid w:val="00310D40"/>
    <w:rsid w:val="00356BCC"/>
    <w:rsid w:val="00367A16"/>
    <w:rsid w:val="003702FC"/>
    <w:rsid w:val="00371494"/>
    <w:rsid w:val="003A090E"/>
    <w:rsid w:val="003A2FB9"/>
    <w:rsid w:val="003C1AD9"/>
    <w:rsid w:val="003D25B3"/>
    <w:rsid w:val="003D5C5F"/>
    <w:rsid w:val="003D6BAF"/>
    <w:rsid w:val="00404022"/>
    <w:rsid w:val="004662F7"/>
    <w:rsid w:val="00467F75"/>
    <w:rsid w:val="00471C19"/>
    <w:rsid w:val="00477365"/>
    <w:rsid w:val="004A09E9"/>
    <w:rsid w:val="004A5AFD"/>
    <w:rsid w:val="004B481A"/>
    <w:rsid w:val="0050256F"/>
    <w:rsid w:val="00505A75"/>
    <w:rsid w:val="005109E6"/>
    <w:rsid w:val="00520E0C"/>
    <w:rsid w:val="00524C49"/>
    <w:rsid w:val="0057348F"/>
    <w:rsid w:val="00590510"/>
    <w:rsid w:val="00596908"/>
    <w:rsid w:val="005B1495"/>
    <w:rsid w:val="005B2F04"/>
    <w:rsid w:val="005C2C3F"/>
    <w:rsid w:val="005D0756"/>
    <w:rsid w:val="005F2CDB"/>
    <w:rsid w:val="00606141"/>
    <w:rsid w:val="0061145C"/>
    <w:rsid w:val="006256CE"/>
    <w:rsid w:val="0067193E"/>
    <w:rsid w:val="0067328F"/>
    <w:rsid w:val="00685AD1"/>
    <w:rsid w:val="006A7576"/>
    <w:rsid w:val="0070042E"/>
    <w:rsid w:val="00704930"/>
    <w:rsid w:val="00741921"/>
    <w:rsid w:val="00767608"/>
    <w:rsid w:val="00777BFD"/>
    <w:rsid w:val="007E0CD1"/>
    <w:rsid w:val="00801ACA"/>
    <w:rsid w:val="00804AD0"/>
    <w:rsid w:val="008077BF"/>
    <w:rsid w:val="00824AA1"/>
    <w:rsid w:val="00850D4F"/>
    <w:rsid w:val="00860FC8"/>
    <w:rsid w:val="008826C6"/>
    <w:rsid w:val="00884939"/>
    <w:rsid w:val="008927BE"/>
    <w:rsid w:val="008950C4"/>
    <w:rsid w:val="008C6E13"/>
    <w:rsid w:val="008D00A0"/>
    <w:rsid w:val="008D3F85"/>
    <w:rsid w:val="00923FB5"/>
    <w:rsid w:val="00953648"/>
    <w:rsid w:val="00956A5B"/>
    <w:rsid w:val="00966BDD"/>
    <w:rsid w:val="009908DC"/>
    <w:rsid w:val="009A3335"/>
    <w:rsid w:val="009C2E77"/>
    <w:rsid w:val="009C530E"/>
    <w:rsid w:val="009C66C3"/>
    <w:rsid w:val="00A118F5"/>
    <w:rsid w:val="00A22A00"/>
    <w:rsid w:val="00A44149"/>
    <w:rsid w:val="00A57749"/>
    <w:rsid w:val="00A64BBA"/>
    <w:rsid w:val="00A87353"/>
    <w:rsid w:val="00A9411C"/>
    <w:rsid w:val="00AA3BEE"/>
    <w:rsid w:val="00AC2A16"/>
    <w:rsid w:val="00AD3511"/>
    <w:rsid w:val="00AE0E90"/>
    <w:rsid w:val="00AF2173"/>
    <w:rsid w:val="00B12F46"/>
    <w:rsid w:val="00B16A00"/>
    <w:rsid w:val="00B40407"/>
    <w:rsid w:val="00B52804"/>
    <w:rsid w:val="00B5449D"/>
    <w:rsid w:val="00B75DCF"/>
    <w:rsid w:val="00B93481"/>
    <w:rsid w:val="00BD0D3C"/>
    <w:rsid w:val="00BE4C08"/>
    <w:rsid w:val="00C20F8E"/>
    <w:rsid w:val="00C5034C"/>
    <w:rsid w:val="00C73D52"/>
    <w:rsid w:val="00C9523D"/>
    <w:rsid w:val="00CA4020"/>
    <w:rsid w:val="00CB0EAE"/>
    <w:rsid w:val="00CB681A"/>
    <w:rsid w:val="00CB6D46"/>
    <w:rsid w:val="00D01BE9"/>
    <w:rsid w:val="00D8177B"/>
    <w:rsid w:val="00D85EDF"/>
    <w:rsid w:val="00DC7716"/>
    <w:rsid w:val="00DD2660"/>
    <w:rsid w:val="00DD51AB"/>
    <w:rsid w:val="00DF4B74"/>
    <w:rsid w:val="00E06FF9"/>
    <w:rsid w:val="00E6214F"/>
    <w:rsid w:val="00E76640"/>
    <w:rsid w:val="00E966B2"/>
    <w:rsid w:val="00EB3C58"/>
    <w:rsid w:val="00EC14F9"/>
    <w:rsid w:val="00EC1B89"/>
    <w:rsid w:val="00ED74A8"/>
    <w:rsid w:val="00EF14F7"/>
    <w:rsid w:val="00F14DDD"/>
    <w:rsid w:val="00F218A8"/>
    <w:rsid w:val="00F24023"/>
    <w:rsid w:val="00F250E2"/>
    <w:rsid w:val="00F43264"/>
    <w:rsid w:val="00F6368C"/>
    <w:rsid w:val="00F80667"/>
    <w:rsid w:val="00F84DD7"/>
    <w:rsid w:val="00F96187"/>
    <w:rsid w:val="00FA272A"/>
    <w:rsid w:val="00FB63C1"/>
    <w:rsid w:val="00FC329B"/>
    <w:rsid w:val="00FE3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F4B991A"/>
  <w15:docId w15:val="{68981198-BF99-4126-B4EB-ED9B0874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A5AFD"/>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AFD"/>
    <w:rPr>
      <w:rFonts w:ascii="Tahoma" w:hAnsi="Tahoma" w:cs="Tahoma"/>
      <w:sz w:val="16"/>
      <w:szCs w:val="16"/>
    </w:rPr>
  </w:style>
  <w:style w:type="paragraph" w:styleId="ListParagraph">
    <w:name w:val="List Paragraph"/>
    <w:basedOn w:val="Normal"/>
    <w:uiPriority w:val="34"/>
    <w:qFormat/>
    <w:rsid w:val="00DC7716"/>
    <w:pPr>
      <w:spacing w:after="160" w:line="259" w:lineRule="auto"/>
      <w:ind w:left="720"/>
      <w:contextualSpacing/>
    </w:pPr>
    <w:rPr>
      <w:lang w:val="en-US"/>
    </w:rPr>
  </w:style>
  <w:style w:type="character" w:styleId="Hyperlink">
    <w:name w:val="Hyperlink"/>
    <w:basedOn w:val="DefaultParagraphFont"/>
    <w:uiPriority w:val="99"/>
    <w:unhideWhenUsed/>
    <w:rsid w:val="00467F75"/>
    <w:rPr>
      <w:color w:val="0000FF" w:themeColor="hyperlink"/>
      <w:u w:val="single"/>
    </w:rPr>
  </w:style>
  <w:style w:type="character" w:styleId="UnresolvedMention">
    <w:name w:val="Unresolved Mention"/>
    <w:basedOn w:val="DefaultParagraphFont"/>
    <w:uiPriority w:val="99"/>
    <w:semiHidden/>
    <w:unhideWhenUsed/>
    <w:rsid w:val="00467F75"/>
    <w:rPr>
      <w:color w:val="605E5C"/>
      <w:shd w:val="clear" w:color="auto" w:fill="E1DFDD"/>
    </w:rPr>
  </w:style>
  <w:style w:type="paragraph" w:styleId="Header">
    <w:name w:val="header"/>
    <w:basedOn w:val="Normal"/>
    <w:link w:val="HeaderChar"/>
    <w:uiPriority w:val="99"/>
    <w:unhideWhenUsed/>
    <w:rsid w:val="00AD3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511"/>
  </w:style>
  <w:style w:type="paragraph" w:styleId="Footer">
    <w:name w:val="footer"/>
    <w:basedOn w:val="Normal"/>
    <w:link w:val="FooterChar"/>
    <w:uiPriority w:val="99"/>
    <w:unhideWhenUsed/>
    <w:rsid w:val="00AD3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001354">
      <w:bodyDiv w:val="1"/>
      <w:marLeft w:val="0"/>
      <w:marRight w:val="0"/>
      <w:marTop w:val="0"/>
      <w:marBottom w:val="0"/>
      <w:divBdr>
        <w:top w:val="none" w:sz="0" w:space="0" w:color="auto"/>
        <w:left w:val="none" w:sz="0" w:space="0" w:color="auto"/>
        <w:bottom w:val="none" w:sz="0" w:space="0" w:color="auto"/>
        <w:right w:val="none" w:sz="0" w:space="0" w:color="auto"/>
      </w:divBdr>
    </w:div>
    <w:div w:id="551427883">
      <w:bodyDiv w:val="1"/>
      <w:marLeft w:val="0"/>
      <w:marRight w:val="0"/>
      <w:marTop w:val="0"/>
      <w:marBottom w:val="0"/>
      <w:divBdr>
        <w:top w:val="none" w:sz="0" w:space="0" w:color="auto"/>
        <w:left w:val="none" w:sz="0" w:space="0" w:color="auto"/>
        <w:bottom w:val="none" w:sz="0" w:space="0" w:color="auto"/>
        <w:right w:val="none" w:sz="0" w:space="0" w:color="auto"/>
      </w:divBdr>
    </w:div>
    <w:div w:id="932511787">
      <w:bodyDiv w:val="1"/>
      <w:marLeft w:val="0"/>
      <w:marRight w:val="0"/>
      <w:marTop w:val="0"/>
      <w:marBottom w:val="0"/>
      <w:divBdr>
        <w:top w:val="none" w:sz="0" w:space="0" w:color="auto"/>
        <w:left w:val="none" w:sz="0" w:space="0" w:color="auto"/>
        <w:bottom w:val="none" w:sz="0" w:space="0" w:color="auto"/>
        <w:right w:val="none" w:sz="0" w:space="0" w:color="auto"/>
      </w:divBdr>
    </w:div>
    <w:div w:id="1515729844">
      <w:bodyDiv w:val="1"/>
      <w:marLeft w:val="0"/>
      <w:marRight w:val="0"/>
      <w:marTop w:val="0"/>
      <w:marBottom w:val="0"/>
      <w:divBdr>
        <w:top w:val="none" w:sz="0" w:space="0" w:color="auto"/>
        <w:left w:val="none" w:sz="0" w:space="0" w:color="auto"/>
        <w:bottom w:val="none" w:sz="0" w:space="0" w:color="auto"/>
        <w:right w:val="none" w:sz="0" w:space="0" w:color="auto"/>
      </w:divBdr>
    </w:div>
    <w:div w:id="1832594683">
      <w:bodyDiv w:val="1"/>
      <w:marLeft w:val="0"/>
      <w:marRight w:val="0"/>
      <w:marTop w:val="0"/>
      <w:marBottom w:val="0"/>
      <w:divBdr>
        <w:top w:val="none" w:sz="0" w:space="0" w:color="auto"/>
        <w:left w:val="none" w:sz="0" w:space="0" w:color="auto"/>
        <w:bottom w:val="none" w:sz="0" w:space="0" w:color="auto"/>
        <w:right w:val="none" w:sz="0" w:space="0" w:color="auto"/>
      </w:divBdr>
    </w:div>
    <w:div w:id="2000188610">
      <w:bodyDiv w:val="1"/>
      <w:marLeft w:val="0"/>
      <w:marRight w:val="0"/>
      <w:marTop w:val="0"/>
      <w:marBottom w:val="0"/>
      <w:divBdr>
        <w:top w:val="none" w:sz="0" w:space="0" w:color="auto"/>
        <w:left w:val="none" w:sz="0" w:space="0" w:color="auto"/>
        <w:bottom w:val="none" w:sz="0" w:space="0" w:color="auto"/>
        <w:right w:val="none" w:sz="0" w:space="0" w:color="auto"/>
      </w:divBdr>
    </w:div>
    <w:div w:id="2009282750">
      <w:bodyDiv w:val="1"/>
      <w:marLeft w:val="0"/>
      <w:marRight w:val="0"/>
      <w:marTop w:val="0"/>
      <w:marBottom w:val="0"/>
      <w:divBdr>
        <w:top w:val="none" w:sz="0" w:space="0" w:color="auto"/>
        <w:left w:val="none" w:sz="0" w:space="0" w:color="auto"/>
        <w:bottom w:val="none" w:sz="0" w:space="0" w:color="auto"/>
        <w:right w:val="none" w:sz="0" w:space="0" w:color="auto"/>
      </w:divBdr>
    </w:div>
    <w:div w:id="2045909042">
      <w:bodyDiv w:val="1"/>
      <w:marLeft w:val="0"/>
      <w:marRight w:val="0"/>
      <w:marTop w:val="0"/>
      <w:marBottom w:val="0"/>
      <w:divBdr>
        <w:top w:val="none" w:sz="0" w:space="0" w:color="auto"/>
        <w:left w:val="none" w:sz="0" w:space="0" w:color="auto"/>
        <w:bottom w:val="none" w:sz="0" w:space="0" w:color="auto"/>
        <w:right w:val="none" w:sz="0" w:space="0" w:color="auto"/>
      </w:divBdr>
    </w:div>
    <w:div w:id="2052997821">
      <w:bodyDiv w:val="1"/>
      <w:marLeft w:val="0"/>
      <w:marRight w:val="0"/>
      <w:marTop w:val="0"/>
      <w:marBottom w:val="0"/>
      <w:divBdr>
        <w:top w:val="none" w:sz="0" w:space="0" w:color="auto"/>
        <w:left w:val="none" w:sz="0" w:space="0" w:color="auto"/>
        <w:bottom w:val="none" w:sz="0" w:space="0" w:color="auto"/>
        <w:right w:val="none" w:sz="0" w:space="0" w:color="auto"/>
      </w:divBdr>
    </w:div>
    <w:div w:id="213990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8203/2320-1770.ijrcog20190862" TargetMode="External"/><Relationship Id="rId18" Type="http://schemas.openxmlformats.org/officeDocument/2006/relationships/hyperlink" Target="https://doi.org/10.1093/humrep/17.12.3065" TargetMode="External"/><Relationship Id="rId26" Type="http://schemas.openxmlformats.org/officeDocument/2006/relationships/hyperlink" Target="https://doi.org/10.4103/0974-1208.82351" TargetMode="External"/><Relationship Id="rId21" Type="http://schemas.openxmlformats.org/officeDocument/2006/relationships/hyperlink" Target="https://doi.org/10.1093/ije/29.2.285" TargetMode="External"/><Relationship Id="rId34" Type="http://schemas.openxmlformats.org/officeDocument/2006/relationships/header" Target="header3.xml"/><Relationship Id="rId7" Type="http://schemas.openxmlformats.org/officeDocument/2006/relationships/image" Target="media/image1.emf"/><Relationship Id="rId12" Type="http://schemas.openxmlformats.org/officeDocument/2006/relationships/hyperlink" Target="https://doi.org/10.4314/njps.v24i2.52920" TargetMode="External"/><Relationship Id="rId17" Type="http://schemas.openxmlformats.org/officeDocument/2006/relationships/hyperlink" Target="https://doi.org/10.1093/humrep/deg135" TargetMode="External"/><Relationship Id="rId25" Type="http://schemas.openxmlformats.org/officeDocument/2006/relationships/hyperlink" Target="https://doi.org/10.1210/jc.2007-0836"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93/humrep/deg473" TargetMode="External"/><Relationship Id="rId20" Type="http://schemas.openxmlformats.org/officeDocument/2006/relationships/hyperlink" Target="https://www.ncbi.nlm.nih.gov/pmc/articles/PMC3895825/" TargetMode="External"/><Relationship Id="rId29" Type="http://schemas.openxmlformats.org/officeDocument/2006/relationships/hyperlink" Target="https://doi.org/10.9734/jammr/2019/v31i12303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314/wajm.v22i2.27946" TargetMode="External"/><Relationship Id="rId24" Type="http://schemas.openxmlformats.org/officeDocument/2006/relationships/hyperlink" Target="https://tools.ovid.com/ovidweb/ovidbook.cgi?T=JB&amp;MODE=ovid&amp;NEWS=N&amp;PAGE=toc&amp;D=books&amp;AN=01600000%231%2f1"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s0303-7207(98)00171-3" TargetMode="External"/><Relationship Id="rId23" Type="http://schemas.openxmlformats.org/officeDocument/2006/relationships/hyperlink" Target="https://doi.org/10.7860/JCDR/2012/5101.2624" TargetMode="External"/><Relationship Id="rId28" Type="http://schemas.openxmlformats.org/officeDocument/2006/relationships/hyperlink" Target="https://doi.org/10.3390/ijms232315426" TargetMode="External"/><Relationship Id="rId36" Type="http://schemas.openxmlformats.org/officeDocument/2006/relationships/fontTable" Target="fontTable.xml"/><Relationship Id="rId10" Type="http://schemas.openxmlformats.org/officeDocument/2006/relationships/hyperlink" Target="https://doi.org/10.2471/BLT.10.011210" TargetMode="External"/><Relationship Id="rId19" Type="http://schemas.openxmlformats.org/officeDocument/2006/relationships/hyperlink" Target="https://doi.org/10.1093/humrep/dep366"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accessmedicine.mhmedical.com/book.aspx?bookid=498" TargetMode="External"/><Relationship Id="rId14" Type="http://schemas.openxmlformats.org/officeDocument/2006/relationships/hyperlink" Target="https://doi.org/10.1016/s0378-5122(98)00075-9" TargetMode="External"/><Relationship Id="rId22" Type="http://schemas.openxmlformats.org/officeDocument/2006/relationships/hyperlink" Target="https://doi.org/10.24911/IJMDC.51-1542882156" TargetMode="External"/><Relationship Id="rId27" Type="http://schemas.openxmlformats.org/officeDocument/2006/relationships/hyperlink" Target="https://doi.org/10.3389/fendo.2021.702061"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952</TotalTime>
  <Pages>12</Pages>
  <Words>4674</Words>
  <Characters>26643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EVIDENCE EKPOMA</dc:creator>
  <cp:lastModifiedBy>SDI PC New 16</cp:lastModifiedBy>
  <cp:revision>139</cp:revision>
  <dcterms:created xsi:type="dcterms:W3CDTF">2025-01-02T16:01:00Z</dcterms:created>
  <dcterms:modified xsi:type="dcterms:W3CDTF">2026-01-01T11:16:00Z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d75f04ea186eebdcc8d401041b3060e2ba6b35773cfe2eddb389cd2e50e52d03</vt:lpwstr>
  </property>
</Properties>
</file>