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4A30" w:rsidRDefault="00F857D2" w:rsidP="00F018DD">
      <w:pPr>
        <w:pStyle w:val="Heading1"/>
        <w:jc w:val="center"/>
        <w:rPr>
          <w:color w:val="000000" w:themeColor="text1"/>
        </w:rPr>
      </w:pPr>
      <w:bookmarkStart w:id="0" w:name="X44f9d4b10df107be8524b915985e3c55fc0caf9"/>
      <w:r w:rsidRPr="00F018DD">
        <w:rPr>
          <w:color w:val="000000" w:themeColor="text1"/>
        </w:rPr>
        <w:t xml:space="preserve">Multidrug-Resistant </w:t>
      </w:r>
      <w:proofErr w:type="spellStart"/>
      <w:r w:rsidRPr="00F018DD">
        <w:rPr>
          <w:color w:val="000000" w:themeColor="text1"/>
        </w:rPr>
        <w:t>Uropathogens</w:t>
      </w:r>
      <w:proofErr w:type="spellEnd"/>
      <w:r w:rsidRPr="00F018DD">
        <w:rPr>
          <w:color w:val="000000" w:themeColor="text1"/>
        </w:rPr>
        <w:t xml:space="preserve"> in Urinary Tract Infection Patients: A Comprehensive Study at Al-Rifai Teaching Hospital</w:t>
      </w:r>
      <w:r w:rsidR="00EE5F5C">
        <w:rPr>
          <w:color w:val="000000" w:themeColor="text1"/>
        </w:rPr>
        <w:t xml:space="preserve">, </w:t>
      </w:r>
      <w:r w:rsidR="00EE5F5C">
        <w:rPr>
          <w:rFonts w:ascii="Arial" w:hAnsi="Arial" w:cs="Arial"/>
          <w:color w:val="001D35"/>
          <w:shd w:val="clear" w:color="auto" w:fill="FFFFFF"/>
        </w:rPr>
        <w:t>Iraq</w:t>
      </w:r>
      <w:bookmarkStart w:id="1" w:name="_GoBack"/>
      <w:bookmarkEnd w:id="1"/>
    </w:p>
    <w:p w:rsidR="00A34E2C" w:rsidRPr="0048465E" w:rsidRDefault="00A34E2C" w:rsidP="004569A7">
      <w:pPr>
        <w:pStyle w:val="BodyText"/>
        <w:spacing w:line="276" w:lineRule="auto"/>
        <w:rPr>
          <w:rFonts w:asciiTheme="majorHAnsi" w:eastAsiaTheme="majorEastAsia" w:hAnsiTheme="majorHAnsi" w:cstheme="majorBidi"/>
          <w:b/>
          <w:bCs/>
          <w:color w:val="000000" w:themeColor="text1"/>
        </w:rPr>
      </w:pPr>
      <w:bookmarkStart w:id="2" w:name="aim-of-the-study"/>
      <w:proofErr w:type="gramStart"/>
      <w:r w:rsidRPr="0048465E">
        <w:rPr>
          <w:rFonts w:asciiTheme="majorHAnsi" w:eastAsiaTheme="majorEastAsia" w:hAnsiTheme="majorHAnsi" w:cstheme="majorBidi"/>
          <w:b/>
          <w:bCs/>
          <w:color w:val="000000" w:themeColor="text1"/>
        </w:rPr>
        <w:t>Abstract</w:t>
      </w:r>
      <w:r w:rsidR="00D91111" w:rsidRPr="0048465E">
        <w:rPr>
          <w:rFonts w:asciiTheme="majorHAnsi" w:eastAsiaTheme="majorEastAsia" w:hAnsiTheme="majorHAnsi" w:cstheme="majorBidi"/>
          <w:b/>
          <w:bCs/>
          <w:color w:val="000000" w:themeColor="text1"/>
        </w:rPr>
        <w:t xml:space="preserve"> :</w:t>
      </w:r>
      <w:proofErr w:type="gramEnd"/>
    </w:p>
    <w:p w:rsidR="00A34E2C" w:rsidRPr="0048465E" w:rsidRDefault="00D91111" w:rsidP="00F26B9A">
      <w:pPr>
        <w:pStyle w:val="BodyText"/>
        <w:spacing w:line="276" w:lineRule="auto"/>
        <w:jc w:val="both"/>
        <w:rPr>
          <w:rFonts w:asciiTheme="majorHAnsi" w:eastAsiaTheme="majorEastAsia" w:hAnsiTheme="majorHAnsi" w:cstheme="majorBidi"/>
          <w:color w:val="000000" w:themeColor="text1"/>
          <w:lang w:bidi="ar-IQ"/>
        </w:rPr>
      </w:pPr>
      <w:r w:rsidRPr="0048465E">
        <w:rPr>
          <w:rFonts w:asciiTheme="majorHAnsi" w:eastAsiaTheme="majorEastAsia" w:hAnsiTheme="majorHAnsi" w:cstheme="majorBidi"/>
          <w:color w:val="000000" w:themeColor="text1"/>
        </w:rPr>
        <w:t xml:space="preserve">    </w:t>
      </w:r>
      <w:r w:rsidR="00F26B9A" w:rsidRPr="0048465E">
        <w:rPr>
          <w:rFonts w:asciiTheme="majorHAnsi" w:eastAsiaTheme="majorEastAsia" w:hAnsiTheme="majorHAnsi" w:cstheme="majorBidi"/>
          <w:color w:val="000000" w:themeColor="text1"/>
          <w:highlight w:val="yellow"/>
          <w:lang w:bidi="ar-IQ"/>
        </w:rPr>
        <w:t xml:space="preserve">Urinary tract infections (UTIs) rank among the most common bacterial infections globally and increasingly pose a public health threat due to the emergence of multidrug-resistant </w:t>
      </w:r>
      <w:proofErr w:type="spellStart"/>
      <w:r w:rsidR="00F26B9A" w:rsidRPr="0048465E">
        <w:rPr>
          <w:rFonts w:asciiTheme="majorHAnsi" w:eastAsiaTheme="majorEastAsia" w:hAnsiTheme="majorHAnsi" w:cstheme="majorBidi"/>
          <w:color w:val="000000" w:themeColor="text1"/>
          <w:highlight w:val="yellow"/>
          <w:lang w:bidi="ar-IQ"/>
        </w:rPr>
        <w:t>uropathogens</w:t>
      </w:r>
      <w:proofErr w:type="spellEnd"/>
      <w:r w:rsidR="00F26B9A" w:rsidRPr="0048465E">
        <w:rPr>
          <w:rFonts w:asciiTheme="majorHAnsi" w:eastAsiaTheme="majorEastAsia" w:hAnsiTheme="majorHAnsi" w:cstheme="majorBidi"/>
          <w:color w:val="000000" w:themeColor="text1"/>
          <w:highlight w:val="yellow"/>
          <w:lang w:bidi="ar-IQ"/>
        </w:rPr>
        <w:t xml:space="preserve">. The present study was conducted to determine the prevalence, causative agents, and antimicrobial resistance patterns of </w:t>
      </w:r>
      <w:proofErr w:type="spellStart"/>
      <w:r w:rsidR="00F26B9A" w:rsidRPr="0048465E">
        <w:rPr>
          <w:rFonts w:asciiTheme="majorHAnsi" w:eastAsiaTheme="majorEastAsia" w:hAnsiTheme="majorHAnsi" w:cstheme="majorBidi"/>
          <w:color w:val="000000" w:themeColor="text1"/>
          <w:highlight w:val="yellow"/>
          <w:lang w:bidi="ar-IQ"/>
        </w:rPr>
        <w:t>uropathogens</w:t>
      </w:r>
      <w:proofErr w:type="spellEnd"/>
      <w:r w:rsidR="00F26B9A" w:rsidRPr="0048465E">
        <w:rPr>
          <w:rFonts w:asciiTheme="majorHAnsi" w:eastAsiaTheme="majorEastAsia" w:hAnsiTheme="majorHAnsi" w:cstheme="majorBidi"/>
          <w:color w:val="000000" w:themeColor="text1"/>
          <w:highlight w:val="yellow"/>
          <w:lang w:bidi="ar-IQ"/>
        </w:rPr>
        <w:t xml:space="preserve"> isolated from outpatients with symptoms of UTI at Al-Rifai Teaching Hospital. Ninety urine samples were collected; eighty-two samples showed positive bacterial growth. Bacterial isolation and identification were performed by standard microbiological culture methods. Antimicrobial susceptibility testing was carried out using the </w:t>
      </w:r>
      <w:proofErr w:type="spellStart"/>
      <w:r w:rsidR="00F26B9A" w:rsidRPr="0048465E">
        <w:rPr>
          <w:rFonts w:asciiTheme="majorHAnsi" w:eastAsiaTheme="majorEastAsia" w:hAnsiTheme="majorHAnsi" w:cstheme="majorBidi"/>
          <w:color w:val="000000" w:themeColor="text1"/>
          <w:highlight w:val="yellow"/>
          <w:lang w:bidi="ar-IQ"/>
        </w:rPr>
        <w:t>Vitek</w:t>
      </w:r>
      <w:proofErr w:type="spellEnd"/>
      <w:r w:rsidR="00F26B9A" w:rsidRPr="0048465E">
        <w:rPr>
          <w:rFonts w:asciiTheme="majorHAnsi" w:eastAsiaTheme="majorEastAsia" w:hAnsiTheme="majorHAnsi" w:cstheme="majorBidi"/>
          <w:color w:val="000000" w:themeColor="text1"/>
          <w:highlight w:val="yellow"/>
          <w:lang w:bidi="ar-IQ"/>
        </w:rPr>
        <w:t xml:space="preserve"> automated system according to laboratory guidelines. Statistical analysis in this study involved comparing infection rate differences between male and female patients. The study found a high prevalence of multidrug-resistant </w:t>
      </w:r>
      <w:proofErr w:type="spellStart"/>
      <w:r w:rsidR="00F26B9A" w:rsidRPr="0048465E">
        <w:rPr>
          <w:rFonts w:asciiTheme="majorHAnsi" w:eastAsiaTheme="majorEastAsia" w:hAnsiTheme="majorHAnsi" w:cstheme="majorBidi"/>
          <w:color w:val="000000" w:themeColor="text1"/>
          <w:highlight w:val="yellow"/>
          <w:lang w:bidi="ar-IQ"/>
        </w:rPr>
        <w:t>uropathogens</w:t>
      </w:r>
      <w:proofErr w:type="spellEnd"/>
      <w:r w:rsidR="00F26B9A" w:rsidRPr="0048465E">
        <w:rPr>
          <w:rFonts w:asciiTheme="majorHAnsi" w:eastAsiaTheme="majorEastAsia" w:hAnsiTheme="majorHAnsi" w:cstheme="majorBidi"/>
          <w:color w:val="000000" w:themeColor="text1"/>
          <w:highlight w:val="yellow"/>
          <w:lang w:bidi="ar-IQ"/>
        </w:rPr>
        <w:t xml:space="preserve"> with a significantly higher proportion among females. There is an urgent necessity for continuous surveillance on antimicrobial resistance and implementation of evidence-based antibiotic policies to improve clinical management of urinary tract infections.</w:t>
      </w:r>
    </w:p>
    <w:p w:rsidR="00F26B9A" w:rsidRPr="0048465E" w:rsidRDefault="00F26B9A" w:rsidP="00F26B9A">
      <w:pPr>
        <w:pStyle w:val="BodyText"/>
        <w:spacing w:line="276" w:lineRule="auto"/>
        <w:jc w:val="both"/>
        <w:rPr>
          <w:rtl/>
        </w:rPr>
      </w:pPr>
      <w:r w:rsidRPr="0048465E">
        <w:rPr>
          <w:b/>
          <w:bCs/>
        </w:rPr>
        <w:t>Keywords:</w:t>
      </w:r>
      <w:r w:rsidRPr="0048465E">
        <w:t xml:space="preserve"> Multidrug resistance; UTI; </w:t>
      </w:r>
      <w:proofErr w:type="spellStart"/>
      <w:r w:rsidRPr="0048465E">
        <w:t>uropathogens</w:t>
      </w:r>
      <w:proofErr w:type="spellEnd"/>
      <w:r w:rsidRPr="0048465E">
        <w:t>; &amp; antimicrobial susceptibility and prevalence.</w:t>
      </w:r>
    </w:p>
    <w:p w:rsidR="00A34E2C" w:rsidRPr="0048465E" w:rsidRDefault="00A34E2C" w:rsidP="004569A7">
      <w:pPr>
        <w:pStyle w:val="BodyText"/>
        <w:spacing w:line="276" w:lineRule="auto"/>
        <w:rPr>
          <w:rFonts w:asciiTheme="majorHAnsi" w:eastAsiaTheme="majorEastAsia" w:hAnsiTheme="majorHAnsi" w:cstheme="majorBidi"/>
          <w:b/>
          <w:bCs/>
          <w:color w:val="000000" w:themeColor="text1"/>
        </w:rPr>
      </w:pPr>
      <w:r w:rsidRPr="0048465E">
        <w:rPr>
          <w:rFonts w:asciiTheme="majorHAnsi" w:eastAsiaTheme="majorEastAsia" w:hAnsiTheme="majorHAnsi" w:cstheme="majorBidi"/>
          <w:b/>
          <w:bCs/>
          <w:color w:val="000000" w:themeColor="text1"/>
        </w:rPr>
        <w:t>Introduction</w:t>
      </w:r>
    </w:p>
    <w:p w:rsidR="00A34E2C" w:rsidRPr="0048465E" w:rsidRDefault="00D91111" w:rsidP="004569A7">
      <w:pPr>
        <w:pStyle w:val="BodyText"/>
        <w:spacing w:line="276" w:lineRule="auto"/>
        <w:jc w:val="both"/>
        <w:rPr>
          <w:rFonts w:asciiTheme="majorHAnsi" w:eastAsiaTheme="majorEastAsia" w:hAnsiTheme="majorHAnsi" w:cstheme="majorBidi"/>
          <w:color w:val="000000" w:themeColor="text1"/>
        </w:rPr>
      </w:pPr>
      <w:r w:rsidRPr="0048465E">
        <w:rPr>
          <w:rFonts w:asciiTheme="majorHAnsi" w:eastAsiaTheme="majorEastAsia" w:hAnsiTheme="majorHAnsi" w:cstheme="majorBidi"/>
          <w:color w:val="000000" w:themeColor="text1"/>
        </w:rPr>
        <w:t xml:space="preserve">      </w:t>
      </w:r>
      <w:r w:rsidR="007D2E54" w:rsidRPr="0048465E">
        <w:rPr>
          <w:rFonts w:asciiTheme="majorHAnsi" w:eastAsiaTheme="majorEastAsia" w:hAnsiTheme="majorHAnsi" w:cstheme="majorBidi"/>
          <w:color w:val="000000" w:themeColor="text1"/>
        </w:rPr>
        <w:t xml:space="preserve">Urinary Tract Infections (UTIs) rank among the </w:t>
      </w:r>
      <w:r w:rsidR="004678B5" w:rsidRPr="0048465E">
        <w:rPr>
          <w:rFonts w:asciiTheme="majorHAnsi" w:eastAsiaTheme="majorEastAsia" w:hAnsiTheme="majorHAnsi" w:cstheme="majorBidi"/>
          <w:color w:val="000000" w:themeColor="text1"/>
        </w:rPr>
        <w:t xml:space="preserve">most </w:t>
      </w:r>
      <w:r w:rsidR="007D2E54" w:rsidRPr="0048465E">
        <w:rPr>
          <w:rFonts w:asciiTheme="majorHAnsi" w:eastAsiaTheme="majorEastAsia" w:hAnsiTheme="majorHAnsi" w:cstheme="majorBidi"/>
          <w:color w:val="000000" w:themeColor="text1"/>
        </w:rPr>
        <w:t>frequent types of infectious diseases identified not only within the healthcare facility, but also among the community, with millions of cases doc</w:t>
      </w:r>
      <w:r w:rsidR="00F26B9A" w:rsidRPr="0048465E">
        <w:rPr>
          <w:rFonts w:asciiTheme="majorHAnsi" w:eastAsiaTheme="majorEastAsia" w:hAnsiTheme="majorHAnsi" w:cstheme="majorBidi"/>
          <w:color w:val="000000" w:themeColor="text1"/>
        </w:rPr>
        <w:t>umented annually worldwide [1,2,3,</w:t>
      </w:r>
      <w:r w:rsidR="007D2E54" w:rsidRPr="0048465E">
        <w:rPr>
          <w:rFonts w:asciiTheme="majorHAnsi" w:eastAsiaTheme="majorEastAsia" w:hAnsiTheme="majorHAnsi" w:cstheme="majorBidi"/>
          <w:color w:val="000000" w:themeColor="text1"/>
        </w:rPr>
        <w:t xml:space="preserve">4]. The rising cases of Multidrug-resistant (MDR) bacteria have posed numerous challenges, including decreased treatment success and the rising morbidity, healthcare-associated </w:t>
      </w:r>
      <w:r w:rsidR="00F26B9A" w:rsidRPr="0048465E">
        <w:rPr>
          <w:rFonts w:asciiTheme="majorHAnsi" w:eastAsiaTheme="majorEastAsia" w:hAnsiTheme="majorHAnsi" w:cstheme="majorBidi"/>
          <w:color w:val="000000" w:themeColor="text1"/>
        </w:rPr>
        <w:t>costs, and mortality rates [5,6,</w:t>
      </w:r>
      <w:r w:rsidR="007D2E54" w:rsidRPr="0048465E">
        <w:rPr>
          <w:rFonts w:asciiTheme="majorHAnsi" w:eastAsiaTheme="majorEastAsia" w:hAnsiTheme="majorHAnsi" w:cstheme="majorBidi"/>
          <w:color w:val="000000" w:themeColor="text1"/>
        </w:rPr>
        <w:t>7].</w:t>
      </w:r>
      <w:r w:rsidR="004678B5" w:rsidRPr="0048465E">
        <w:rPr>
          <w:rFonts w:asciiTheme="majorHAnsi" w:eastAsiaTheme="majorEastAsia" w:hAnsiTheme="majorHAnsi" w:cstheme="majorBidi"/>
          <w:color w:val="000000" w:themeColor="text1"/>
        </w:rPr>
        <w:t xml:space="preserve"> </w:t>
      </w:r>
      <w:proofErr w:type="spellStart"/>
      <w:r w:rsidR="00A34E2C" w:rsidRPr="0048465E">
        <w:rPr>
          <w:rFonts w:asciiTheme="majorHAnsi" w:eastAsiaTheme="majorEastAsia" w:hAnsiTheme="majorHAnsi" w:cstheme="majorBidi"/>
          <w:color w:val="000000" w:themeColor="text1"/>
        </w:rPr>
        <w:t>Uropathogenic</w:t>
      </w:r>
      <w:proofErr w:type="spellEnd"/>
      <w:r w:rsidR="00A34E2C" w:rsidRPr="0048465E">
        <w:rPr>
          <w:rFonts w:asciiTheme="majorHAnsi" w:eastAsiaTheme="majorEastAsia" w:hAnsiTheme="majorHAnsi" w:cstheme="majorBidi"/>
          <w:color w:val="000000" w:themeColor="text1"/>
        </w:rPr>
        <w:t xml:space="preserve"> Escherichia coli (UPEC) is recognized as the main causative agent of UTIs, but other Gram-negative and Gram-positive bacteria have also been recognized, especially </w:t>
      </w:r>
      <w:r w:rsidR="004678B5" w:rsidRPr="0048465E">
        <w:rPr>
          <w:rFonts w:asciiTheme="majorHAnsi" w:eastAsiaTheme="majorEastAsia" w:hAnsiTheme="majorHAnsi" w:cstheme="majorBidi"/>
          <w:color w:val="000000" w:themeColor="text1"/>
        </w:rPr>
        <w:t>from</w:t>
      </w:r>
      <w:r w:rsidR="00A34E2C" w:rsidRPr="0048465E">
        <w:rPr>
          <w:rFonts w:asciiTheme="majorHAnsi" w:eastAsiaTheme="majorEastAsia" w:hAnsiTheme="majorHAnsi" w:cstheme="majorBidi"/>
          <w:color w:val="000000" w:themeColor="text1"/>
        </w:rPr>
        <w:t xml:space="preserve"> the pers</w:t>
      </w:r>
      <w:r w:rsidR="00F26B9A" w:rsidRPr="0048465E">
        <w:rPr>
          <w:rFonts w:asciiTheme="majorHAnsi" w:eastAsiaTheme="majorEastAsia" w:hAnsiTheme="majorHAnsi" w:cstheme="majorBidi"/>
          <w:color w:val="000000" w:themeColor="text1"/>
        </w:rPr>
        <w:t>pective of drug resistance [8,9,</w:t>
      </w:r>
      <w:r w:rsidR="00A34E2C" w:rsidRPr="0048465E">
        <w:rPr>
          <w:rFonts w:asciiTheme="majorHAnsi" w:eastAsiaTheme="majorEastAsia" w:hAnsiTheme="majorHAnsi" w:cstheme="majorBidi"/>
          <w:color w:val="000000" w:themeColor="text1"/>
        </w:rPr>
        <w:t>10].</w:t>
      </w:r>
    </w:p>
    <w:p w:rsidR="00A34E2C" w:rsidRPr="0048465E" w:rsidRDefault="00A34E2C" w:rsidP="004569A7">
      <w:pPr>
        <w:pStyle w:val="BodyText"/>
        <w:spacing w:line="276" w:lineRule="auto"/>
        <w:jc w:val="both"/>
        <w:rPr>
          <w:rFonts w:asciiTheme="majorHAnsi" w:eastAsiaTheme="majorEastAsia" w:hAnsiTheme="majorHAnsi" w:cstheme="majorBidi"/>
          <w:color w:val="000000" w:themeColor="text1"/>
        </w:rPr>
      </w:pPr>
      <w:r w:rsidRPr="0048465E">
        <w:rPr>
          <w:rFonts w:asciiTheme="majorHAnsi" w:eastAsiaTheme="majorEastAsia" w:hAnsiTheme="majorHAnsi" w:cstheme="majorBidi"/>
          <w:color w:val="000000" w:themeColor="text1"/>
        </w:rPr>
        <w:t>MDR organisms are rising because of the overuse and misuse of antibiotics, poor infection control practices, and the ability of bacteria to spread resistance gene</w:t>
      </w:r>
      <w:r w:rsidR="00F26B9A" w:rsidRPr="0048465E">
        <w:rPr>
          <w:rFonts w:asciiTheme="majorHAnsi" w:eastAsiaTheme="majorEastAsia" w:hAnsiTheme="majorHAnsi" w:cstheme="majorBidi"/>
          <w:color w:val="000000" w:themeColor="text1"/>
        </w:rPr>
        <w:t>s [11,12,</w:t>
      </w:r>
      <w:r w:rsidRPr="0048465E">
        <w:rPr>
          <w:rFonts w:asciiTheme="majorHAnsi" w:eastAsiaTheme="majorEastAsia" w:hAnsiTheme="majorHAnsi" w:cstheme="majorBidi"/>
          <w:color w:val="000000" w:themeColor="text1"/>
        </w:rPr>
        <w:t>13]. For example, the problem of UTIs and MDR bacteria is made worse by resource deficiencies, the practice of self-medication, and the lack of effective antimicrobial stewardship programs, especially in the develop</w:t>
      </w:r>
      <w:r w:rsidR="00F26B9A" w:rsidRPr="0048465E">
        <w:rPr>
          <w:rFonts w:asciiTheme="majorHAnsi" w:eastAsiaTheme="majorEastAsia" w:hAnsiTheme="majorHAnsi" w:cstheme="majorBidi"/>
          <w:color w:val="000000" w:themeColor="text1"/>
        </w:rPr>
        <w:t>ing world, including Iraq [14,15,</w:t>
      </w:r>
      <w:r w:rsidRPr="0048465E">
        <w:rPr>
          <w:rFonts w:asciiTheme="majorHAnsi" w:eastAsiaTheme="majorEastAsia" w:hAnsiTheme="majorHAnsi" w:cstheme="majorBidi"/>
          <w:color w:val="000000" w:themeColor="text1"/>
        </w:rPr>
        <w:t xml:space="preserve">16]. Local epidemiology, resistance patterns, and demographic prevalence of </w:t>
      </w:r>
      <w:proofErr w:type="spellStart"/>
      <w:r w:rsidRPr="0048465E">
        <w:rPr>
          <w:rFonts w:asciiTheme="majorHAnsi" w:eastAsiaTheme="majorEastAsia" w:hAnsiTheme="majorHAnsi" w:cstheme="majorBidi"/>
          <w:color w:val="000000" w:themeColor="text1"/>
        </w:rPr>
        <w:t>uropathogens</w:t>
      </w:r>
      <w:proofErr w:type="spellEnd"/>
      <w:r w:rsidRPr="0048465E">
        <w:rPr>
          <w:rFonts w:asciiTheme="majorHAnsi" w:eastAsiaTheme="majorEastAsia" w:hAnsiTheme="majorHAnsi" w:cstheme="majorBidi"/>
          <w:color w:val="000000" w:themeColor="text1"/>
        </w:rPr>
        <w:t xml:space="preserve"> must be known for empirical treatment regimens and p</w:t>
      </w:r>
      <w:r w:rsidR="00F26B9A" w:rsidRPr="0048465E">
        <w:rPr>
          <w:rFonts w:asciiTheme="majorHAnsi" w:eastAsiaTheme="majorEastAsia" w:hAnsiTheme="majorHAnsi" w:cstheme="majorBidi"/>
          <w:color w:val="000000" w:themeColor="text1"/>
        </w:rPr>
        <w:t>ublic health initiatives [17,</w:t>
      </w:r>
      <w:r w:rsidRPr="0048465E">
        <w:rPr>
          <w:rFonts w:asciiTheme="majorHAnsi" w:eastAsiaTheme="majorEastAsia" w:hAnsiTheme="majorHAnsi" w:cstheme="majorBidi"/>
          <w:color w:val="000000" w:themeColor="text1"/>
        </w:rPr>
        <w:t>18].</w:t>
      </w:r>
    </w:p>
    <w:p w:rsidR="004569A7" w:rsidRPr="0048465E" w:rsidRDefault="004569A7" w:rsidP="004569A7">
      <w:pPr>
        <w:pStyle w:val="BodyText"/>
        <w:spacing w:line="276" w:lineRule="auto"/>
        <w:jc w:val="both"/>
        <w:rPr>
          <w:rFonts w:asciiTheme="majorHAnsi" w:eastAsiaTheme="majorEastAsia" w:hAnsiTheme="majorHAnsi" w:cstheme="majorBidi"/>
          <w:color w:val="000000" w:themeColor="text1"/>
        </w:rPr>
      </w:pPr>
      <w:r w:rsidRPr="0048465E">
        <w:rPr>
          <w:rFonts w:asciiTheme="majorHAnsi" w:eastAsiaTheme="majorEastAsia" w:hAnsiTheme="majorHAnsi" w:cstheme="majorBidi"/>
          <w:color w:val="000000" w:themeColor="text1"/>
          <w:highlight w:val="yellow"/>
        </w:rPr>
        <w:lastRenderedPageBreak/>
        <w:t xml:space="preserve">This paper is important to scientists and doctors because it shows, based on hospital evidence, how common multidrug-resistant </w:t>
      </w:r>
      <w:proofErr w:type="spellStart"/>
      <w:r w:rsidRPr="0048465E">
        <w:rPr>
          <w:rFonts w:asciiTheme="majorHAnsi" w:eastAsiaTheme="majorEastAsia" w:hAnsiTheme="majorHAnsi" w:cstheme="majorBidi"/>
          <w:color w:val="000000" w:themeColor="text1"/>
          <w:highlight w:val="yellow"/>
        </w:rPr>
        <w:t>uropathogens</w:t>
      </w:r>
      <w:proofErr w:type="spellEnd"/>
      <w:r w:rsidRPr="0048465E">
        <w:rPr>
          <w:rFonts w:asciiTheme="majorHAnsi" w:eastAsiaTheme="majorEastAsia" w:hAnsiTheme="majorHAnsi" w:cstheme="majorBidi"/>
          <w:color w:val="000000" w:themeColor="text1"/>
          <w:highlight w:val="yellow"/>
        </w:rPr>
        <w:t xml:space="preserve"> are among urinary tract infection patients at Al-Rifai Teaching Hospital and what the antimicrobial resistance pattern against them is. Local resistance trends appear to be slightly better understood through this finding of the study, which will help guide empirical therapy as well as enhance antibiotic stewardship programs. The same program provides useful information for clinicians or public health officials engaged in infection control strategies aimed at optimizing treatment outcomes, wherein a critical yet escalating global health challenge is addressed, thereby providing region-specific insight into broader literature on antimicrobial resistance.</w:t>
      </w:r>
    </w:p>
    <w:p w:rsidR="00A34E2C" w:rsidRPr="0048465E" w:rsidRDefault="00A34E2C" w:rsidP="004569A7">
      <w:pPr>
        <w:pStyle w:val="BodyText"/>
        <w:spacing w:line="276" w:lineRule="auto"/>
        <w:jc w:val="both"/>
      </w:pPr>
      <w:r w:rsidRPr="0048465E">
        <w:rPr>
          <w:rFonts w:asciiTheme="majorHAnsi" w:eastAsiaTheme="majorEastAsia" w:hAnsiTheme="majorHAnsi" w:cstheme="majorBidi"/>
          <w:color w:val="000000" w:themeColor="text1"/>
        </w:rPr>
        <w:t xml:space="preserve">This work was carried out at Al-Rifai Teaching Hospital, a large referral hospital that deals with a wide range of patients. To the best of our knowledge, it is the first study that assessed </w:t>
      </w:r>
      <w:proofErr w:type="spellStart"/>
      <w:r w:rsidRPr="0048465E">
        <w:rPr>
          <w:rFonts w:asciiTheme="majorHAnsi" w:eastAsiaTheme="majorEastAsia" w:hAnsiTheme="majorHAnsi" w:cstheme="majorBidi"/>
          <w:color w:val="000000" w:themeColor="text1"/>
        </w:rPr>
        <w:t>uropathogens</w:t>
      </w:r>
      <w:proofErr w:type="spellEnd"/>
      <w:r w:rsidRPr="0048465E">
        <w:rPr>
          <w:rFonts w:asciiTheme="majorHAnsi" w:eastAsiaTheme="majorEastAsia" w:hAnsiTheme="majorHAnsi" w:cstheme="majorBidi"/>
          <w:color w:val="000000" w:themeColor="text1"/>
        </w:rPr>
        <w:t xml:space="preserve"> identified using both conventional and automated (VITEK) systems for UTI patients on a regional level. Our findings add new data to the increasing literature regarding MDR </w:t>
      </w:r>
      <w:proofErr w:type="spellStart"/>
      <w:r w:rsidRPr="0048465E">
        <w:rPr>
          <w:rFonts w:asciiTheme="majorHAnsi" w:eastAsiaTheme="majorEastAsia" w:hAnsiTheme="majorHAnsi" w:cstheme="majorBidi"/>
          <w:color w:val="000000" w:themeColor="text1"/>
        </w:rPr>
        <w:t>uropathogens</w:t>
      </w:r>
      <w:proofErr w:type="spellEnd"/>
      <w:r w:rsidRPr="0048465E">
        <w:rPr>
          <w:rFonts w:asciiTheme="majorHAnsi" w:eastAsiaTheme="majorEastAsia" w:hAnsiTheme="majorHAnsi" w:cstheme="majorBidi"/>
          <w:color w:val="000000" w:themeColor="text1"/>
        </w:rPr>
        <w:t xml:space="preserve">. The main aims of the study were to identify the prevalence, bacterial causes, and resistance patterns of </w:t>
      </w:r>
      <w:proofErr w:type="spellStart"/>
      <w:r w:rsidRPr="0048465E">
        <w:rPr>
          <w:rFonts w:asciiTheme="majorHAnsi" w:eastAsiaTheme="majorEastAsia" w:hAnsiTheme="majorHAnsi" w:cstheme="majorBidi"/>
          <w:color w:val="000000" w:themeColor="text1"/>
        </w:rPr>
        <w:t>uropathogens</w:t>
      </w:r>
      <w:proofErr w:type="spellEnd"/>
      <w:r w:rsidRPr="0048465E">
        <w:rPr>
          <w:rFonts w:asciiTheme="majorHAnsi" w:eastAsiaTheme="majorEastAsia" w:hAnsiTheme="majorHAnsi" w:cstheme="majorBidi"/>
          <w:color w:val="000000" w:themeColor="text1"/>
        </w:rPr>
        <w:t xml:space="preserve"> among the outpatient patients with UTIs and isolated from their urinary samples at Al-Rifai Teaching Hospital. Additionally, the study sought to evaluate the gender differences in the rates of UTIs, types of MDR organisms, and their implications for empirical treatment.</w:t>
      </w:r>
    </w:p>
    <w:p w:rsidR="0048465E" w:rsidRDefault="00F857D2" w:rsidP="0048465E">
      <w:pPr>
        <w:pStyle w:val="BodyText"/>
        <w:spacing w:line="276" w:lineRule="auto"/>
        <w:jc w:val="both"/>
        <w:rPr>
          <w:rFonts w:asciiTheme="minorBidi" w:eastAsiaTheme="majorEastAsia" w:hAnsiTheme="minorBidi"/>
          <w:b/>
          <w:bCs/>
          <w:color w:val="000000" w:themeColor="text1"/>
        </w:rPr>
      </w:pPr>
      <w:bookmarkStart w:id="3" w:name="materials-and-methods"/>
      <w:bookmarkEnd w:id="2"/>
      <w:r w:rsidRPr="0048465E">
        <w:rPr>
          <w:rFonts w:asciiTheme="minorBidi" w:eastAsiaTheme="majorEastAsia" w:hAnsiTheme="minorBidi"/>
          <w:b/>
          <w:bCs/>
          <w:color w:val="000000" w:themeColor="text1"/>
        </w:rPr>
        <w:t xml:space="preserve">Materials and </w:t>
      </w:r>
      <w:proofErr w:type="gramStart"/>
      <w:r w:rsidRPr="0048465E">
        <w:rPr>
          <w:rFonts w:asciiTheme="minorBidi" w:eastAsiaTheme="majorEastAsia" w:hAnsiTheme="minorBidi"/>
          <w:b/>
          <w:bCs/>
          <w:color w:val="000000" w:themeColor="text1"/>
        </w:rPr>
        <w:t>Methods</w:t>
      </w:r>
      <w:r w:rsidR="00182A15" w:rsidRPr="0048465E">
        <w:rPr>
          <w:rFonts w:asciiTheme="minorBidi" w:eastAsiaTheme="majorEastAsia" w:hAnsiTheme="minorBidi"/>
          <w:b/>
          <w:bCs/>
          <w:color w:val="000000" w:themeColor="text1"/>
        </w:rPr>
        <w:t xml:space="preserve"> :</w:t>
      </w:r>
      <w:bookmarkStart w:id="4" w:name="results"/>
      <w:bookmarkEnd w:id="3"/>
      <w:proofErr w:type="gramEnd"/>
    </w:p>
    <w:p w:rsidR="0048465E" w:rsidRDefault="000B6EE8" w:rsidP="0048465E">
      <w:pPr>
        <w:pStyle w:val="BodyText"/>
        <w:spacing w:line="276" w:lineRule="auto"/>
        <w:jc w:val="both"/>
        <w:rPr>
          <w:rFonts w:asciiTheme="minorBidi" w:hAnsiTheme="minorBidi"/>
          <w:color w:val="000000" w:themeColor="text1"/>
        </w:rPr>
      </w:pPr>
      <w:r w:rsidRPr="0048465E">
        <w:rPr>
          <w:rFonts w:asciiTheme="minorBidi" w:hAnsiTheme="minorBidi"/>
          <w:color w:val="000000" w:themeColor="text1"/>
        </w:rPr>
        <w:t>This cross-sectional, descriptive study was carried out between January and December 2023 at Al-Rifai Teaching Hosp</w:t>
      </w:r>
      <w:r w:rsidR="00BE2A87" w:rsidRPr="0048465E">
        <w:rPr>
          <w:rFonts w:asciiTheme="minorBidi" w:hAnsiTheme="minorBidi"/>
          <w:color w:val="000000" w:themeColor="text1"/>
        </w:rPr>
        <w:t xml:space="preserve">ital, which is situated in the </w:t>
      </w:r>
      <w:proofErr w:type="spellStart"/>
      <w:r w:rsidR="00BE2A87" w:rsidRPr="0048465E">
        <w:rPr>
          <w:rFonts w:asciiTheme="minorBidi" w:hAnsiTheme="minorBidi"/>
          <w:color w:val="000000" w:themeColor="text1"/>
        </w:rPr>
        <w:t>T</w:t>
      </w:r>
      <w:r w:rsidRPr="0048465E">
        <w:rPr>
          <w:rFonts w:asciiTheme="minorBidi" w:hAnsiTheme="minorBidi"/>
          <w:color w:val="000000" w:themeColor="text1"/>
        </w:rPr>
        <w:t>hi</w:t>
      </w:r>
      <w:proofErr w:type="spellEnd"/>
      <w:r w:rsidRPr="0048465E">
        <w:rPr>
          <w:rFonts w:asciiTheme="minorBidi" w:hAnsiTheme="minorBidi"/>
          <w:color w:val="000000" w:themeColor="text1"/>
        </w:rPr>
        <w:t xml:space="preserve"> </w:t>
      </w:r>
      <w:proofErr w:type="spellStart"/>
      <w:r w:rsidRPr="0048465E">
        <w:rPr>
          <w:rFonts w:asciiTheme="minorBidi" w:hAnsiTheme="minorBidi"/>
          <w:color w:val="000000" w:themeColor="text1"/>
        </w:rPr>
        <w:t>Qar</w:t>
      </w:r>
      <w:proofErr w:type="spellEnd"/>
      <w:r w:rsidRPr="0048465E">
        <w:rPr>
          <w:rFonts w:asciiTheme="minorBidi" w:hAnsiTheme="minorBidi"/>
          <w:color w:val="000000" w:themeColor="text1"/>
        </w:rPr>
        <w:t xml:space="preserve"> Governorate of the country of Iraq. It is a reference hospital for urological diseases, and it provides healthcare services for both urban and rural areas.</w:t>
      </w:r>
    </w:p>
    <w:p w:rsidR="0048465E" w:rsidRDefault="000B6EE8" w:rsidP="0048465E">
      <w:pPr>
        <w:pStyle w:val="BodyText"/>
        <w:spacing w:line="276" w:lineRule="auto"/>
        <w:jc w:val="both"/>
        <w:rPr>
          <w:rFonts w:asciiTheme="minorBidi" w:hAnsiTheme="minorBidi"/>
          <w:b/>
          <w:bCs/>
          <w:color w:val="000000" w:themeColor="text1"/>
        </w:rPr>
      </w:pPr>
      <w:r w:rsidRPr="0048465E">
        <w:rPr>
          <w:rFonts w:asciiTheme="minorBidi" w:hAnsiTheme="minorBidi"/>
          <w:b/>
          <w:bCs/>
          <w:color w:val="000000" w:themeColor="text1"/>
        </w:rPr>
        <w:t>Study Population &amp; Sample Collection:</w:t>
      </w:r>
    </w:p>
    <w:p w:rsidR="000B6EE8" w:rsidRPr="0048465E" w:rsidRDefault="000B6EE8" w:rsidP="0048465E">
      <w:pPr>
        <w:pStyle w:val="BodyText"/>
        <w:spacing w:line="276" w:lineRule="auto"/>
        <w:jc w:val="both"/>
        <w:rPr>
          <w:rFonts w:asciiTheme="minorBidi" w:eastAsiaTheme="majorEastAsia" w:hAnsiTheme="minorBidi"/>
          <w:b/>
          <w:bCs/>
          <w:color w:val="000000" w:themeColor="text1"/>
        </w:rPr>
      </w:pPr>
      <w:r w:rsidRPr="0048465E">
        <w:rPr>
          <w:rFonts w:asciiTheme="minorBidi" w:hAnsiTheme="minorBidi"/>
          <w:color w:val="000000" w:themeColor="text1"/>
        </w:rPr>
        <w:t xml:space="preserve">The population of interest was patients attending the urology clinic on outpatient sessions with symptoms of urinary tract infections, for example, dysuria, frequency, urgency, suprapubic discomfort, and fever. The inclusion criteria included patients aged 18 years and above, with no antibiotics taken in the last two weeks, and </w:t>
      </w:r>
      <w:r w:rsidR="004678B5" w:rsidRPr="006C2FF5">
        <w:rPr>
          <w:rFonts w:asciiTheme="minorBidi" w:hAnsiTheme="minorBidi"/>
          <w:color w:val="000000" w:themeColor="text1"/>
        </w:rPr>
        <w:t>a</w:t>
      </w:r>
      <w:r w:rsidR="004678B5" w:rsidRPr="0048465E">
        <w:rPr>
          <w:rFonts w:asciiTheme="minorBidi" w:hAnsiTheme="minorBidi"/>
          <w:b/>
          <w:bCs/>
          <w:color w:val="000000" w:themeColor="text1"/>
        </w:rPr>
        <w:t xml:space="preserve"> </w:t>
      </w:r>
      <w:r w:rsidRPr="0048465E">
        <w:rPr>
          <w:rFonts w:asciiTheme="minorBidi" w:hAnsiTheme="minorBidi"/>
          <w:color w:val="000000" w:themeColor="text1"/>
        </w:rPr>
        <w:t>willingness to participate. The criteria for exclusion included recent catheterization, existing urologic abnormalities, and patients hospitalized within the last month.</w:t>
      </w:r>
    </w:p>
    <w:p w:rsidR="000B6EE8" w:rsidRPr="0048465E" w:rsidRDefault="000B6EE8" w:rsidP="004569A7">
      <w:pPr>
        <w:pStyle w:val="Heading2"/>
        <w:spacing w:line="276" w:lineRule="auto"/>
        <w:jc w:val="both"/>
        <w:rPr>
          <w:rFonts w:asciiTheme="minorBidi" w:hAnsiTheme="minorBidi" w:cstheme="minorBidi"/>
          <w:b w:val="0"/>
          <w:bCs w:val="0"/>
          <w:color w:val="000000" w:themeColor="text1"/>
          <w:sz w:val="24"/>
          <w:szCs w:val="24"/>
        </w:rPr>
      </w:pPr>
      <w:r w:rsidRPr="0048465E">
        <w:rPr>
          <w:rFonts w:asciiTheme="minorBidi" w:hAnsiTheme="minorBidi" w:cstheme="minorBidi"/>
          <w:b w:val="0"/>
          <w:bCs w:val="0"/>
          <w:color w:val="000000" w:themeColor="text1"/>
          <w:sz w:val="24"/>
          <w:szCs w:val="24"/>
        </w:rPr>
        <w:lastRenderedPageBreak/>
        <w:t>A total of 90 samples of mid-stream urine were collected using sterile containers following</w:t>
      </w:r>
      <w:r w:rsidR="00F26B9A" w:rsidRPr="0048465E">
        <w:rPr>
          <w:rFonts w:asciiTheme="minorBidi" w:hAnsiTheme="minorBidi" w:cstheme="minorBidi"/>
          <w:b w:val="0"/>
          <w:bCs w:val="0"/>
          <w:color w:val="000000" w:themeColor="text1"/>
          <w:sz w:val="24"/>
          <w:szCs w:val="24"/>
        </w:rPr>
        <w:t xml:space="preserve"> the clean-catch </w:t>
      </w:r>
      <w:proofErr w:type="gramStart"/>
      <w:r w:rsidR="00F26B9A" w:rsidRPr="0048465E">
        <w:rPr>
          <w:rFonts w:asciiTheme="minorBidi" w:hAnsiTheme="minorBidi" w:cstheme="minorBidi"/>
          <w:b w:val="0"/>
          <w:bCs w:val="0"/>
          <w:color w:val="000000" w:themeColor="text1"/>
          <w:sz w:val="24"/>
          <w:szCs w:val="24"/>
        </w:rPr>
        <w:t>technique[</w:t>
      </w:r>
      <w:proofErr w:type="gramEnd"/>
      <w:r w:rsidR="00F26B9A" w:rsidRPr="0048465E">
        <w:rPr>
          <w:rFonts w:asciiTheme="minorBidi" w:hAnsiTheme="minorBidi" w:cstheme="minorBidi"/>
          <w:b w:val="0"/>
          <w:bCs w:val="0"/>
          <w:color w:val="000000" w:themeColor="text1"/>
          <w:sz w:val="24"/>
          <w:szCs w:val="24"/>
        </w:rPr>
        <w:t>19,</w:t>
      </w:r>
      <w:r w:rsidRPr="0048465E">
        <w:rPr>
          <w:rFonts w:asciiTheme="minorBidi" w:hAnsiTheme="minorBidi" w:cstheme="minorBidi"/>
          <w:b w:val="0"/>
          <w:bCs w:val="0"/>
          <w:color w:val="000000" w:themeColor="text1"/>
          <w:sz w:val="24"/>
          <w:szCs w:val="24"/>
        </w:rPr>
        <w:t>20]. Patients were given training on how to collect the samples safely. Samples were transported to the microbiology laboratory within two hours of their collection or refrigerated at 4°C when transport was delayed.</w:t>
      </w:r>
    </w:p>
    <w:p w:rsidR="000B6EE8" w:rsidRPr="0048465E" w:rsidRDefault="000B6EE8" w:rsidP="004569A7">
      <w:pPr>
        <w:pStyle w:val="Heading2"/>
        <w:spacing w:line="276" w:lineRule="auto"/>
        <w:rPr>
          <w:rFonts w:asciiTheme="minorBidi" w:hAnsiTheme="minorBidi" w:cstheme="minorBidi"/>
          <w:color w:val="000000" w:themeColor="text1"/>
          <w:sz w:val="24"/>
          <w:szCs w:val="24"/>
        </w:rPr>
      </w:pPr>
      <w:r w:rsidRPr="0048465E">
        <w:rPr>
          <w:rFonts w:asciiTheme="minorBidi" w:hAnsiTheme="minorBidi" w:cstheme="minorBidi"/>
          <w:color w:val="000000" w:themeColor="text1"/>
          <w:sz w:val="24"/>
          <w:szCs w:val="24"/>
        </w:rPr>
        <w:t>Bacterial Isolation &amp; Identification:</w:t>
      </w:r>
    </w:p>
    <w:p w:rsidR="00532559" w:rsidRPr="0048465E" w:rsidRDefault="000B6EE8" w:rsidP="004569A7">
      <w:pPr>
        <w:pStyle w:val="Heading2"/>
        <w:spacing w:line="276" w:lineRule="auto"/>
        <w:jc w:val="both"/>
        <w:rPr>
          <w:rFonts w:asciiTheme="minorBidi" w:hAnsiTheme="minorBidi" w:cstheme="minorBidi"/>
          <w:b w:val="0"/>
          <w:bCs w:val="0"/>
          <w:color w:val="000000" w:themeColor="text1"/>
          <w:sz w:val="24"/>
          <w:szCs w:val="24"/>
        </w:rPr>
      </w:pPr>
      <w:r w:rsidRPr="0048465E">
        <w:rPr>
          <w:rFonts w:asciiTheme="minorBidi" w:hAnsiTheme="minorBidi" w:cstheme="minorBidi"/>
          <w:b w:val="0"/>
          <w:bCs w:val="0"/>
          <w:color w:val="000000" w:themeColor="text1"/>
          <w:sz w:val="24"/>
          <w:szCs w:val="24"/>
        </w:rPr>
        <w:t xml:space="preserve">The urine samples were cultured onto blood agar and MacConkey agar plates using a calibrated loop with a volume of 0.001 </w:t>
      </w:r>
      <w:proofErr w:type="spellStart"/>
      <w:r w:rsidRPr="0048465E">
        <w:rPr>
          <w:rFonts w:asciiTheme="minorBidi" w:hAnsiTheme="minorBidi" w:cstheme="minorBidi"/>
          <w:b w:val="0"/>
          <w:bCs w:val="0"/>
          <w:color w:val="000000" w:themeColor="text1"/>
          <w:sz w:val="24"/>
          <w:szCs w:val="24"/>
        </w:rPr>
        <w:t>mL.</w:t>
      </w:r>
      <w:proofErr w:type="spellEnd"/>
      <w:r w:rsidRPr="0048465E">
        <w:rPr>
          <w:rFonts w:asciiTheme="minorBidi" w:hAnsiTheme="minorBidi" w:cstheme="minorBidi"/>
          <w:b w:val="0"/>
          <w:bCs w:val="0"/>
          <w:color w:val="000000" w:themeColor="text1"/>
          <w:sz w:val="24"/>
          <w:szCs w:val="24"/>
        </w:rPr>
        <w:t xml:space="preserve"> The plates were aerobically incub</w:t>
      </w:r>
      <w:r w:rsidR="00F26B9A" w:rsidRPr="0048465E">
        <w:rPr>
          <w:rFonts w:asciiTheme="minorBidi" w:hAnsiTheme="minorBidi" w:cstheme="minorBidi"/>
          <w:b w:val="0"/>
          <w:bCs w:val="0"/>
          <w:color w:val="000000" w:themeColor="text1"/>
          <w:sz w:val="24"/>
          <w:szCs w:val="24"/>
        </w:rPr>
        <w:t>ated at 37°C for 24 hours [21,</w:t>
      </w:r>
      <w:r w:rsidRPr="0048465E">
        <w:rPr>
          <w:rFonts w:asciiTheme="minorBidi" w:hAnsiTheme="minorBidi" w:cstheme="minorBidi"/>
          <w:b w:val="0"/>
          <w:bCs w:val="0"/>
          <w:color w:val="000000" w:themeColor="text1"/>
          <w:sz w:val="24"/>
          <w:szCs w:val="24"/>
        </w:rPr>
        <w:t xml:space="preserve">22]. </w:t>
      </w:r>
      <w:r w:rsidR="00687101" w:rsidRPr="0048465E">
        <w:rPr>
          <w:rFonts w:asciiTheme="minorBidi" w:hAnsiTheme="minorBidi" w:cstheme="minorBidi"/>
          <w:b w:val="0"/>
          <w:bCs w:val="0"/>
          <w:color w:val="000000" w:themeColor="text1"/>
          <w:sz w:val="24"/>
          <w:szCs w:val="24"/>
        </w:rPr>
        <w:t xml:space="preserve">The cutoff for significant bacteriuria was specified at ≥ 10^5 CFU per milliliter. Preliminary identification of species was performed </w:t>
      </w:r>
      <w:r w:rsidR="004678B5" w:rsidRPr="0048465E">
        <w:rPr>
          <w:rFonts w:asciiTheme="minorBidi" w:hAnsiTheme="minorBidi" w:cstheme="minorBidi"/>
          <w:b w:val="0"/>
          <w:bCs w:val="0"/>
          <w:color w:val="000000" w:themeColor="text1"/>
          <w:sz w:val="24"/>
          <w:szCs w:val="24"/>
        </w:rPr>
        <w:t>based on</w:t>
      </w:r>
      <w:r w:rsidR="00687101" w:rsidRPr="0048465E">
        <w:rPr>
          <w:rFonts w:asciiTheme="minorBidi" w:hAnsiTheme="minorBidi" w:cstheme="minorBidi"/>
          <w:b w:val="0"/>
          <w:bCs w:val="0"/>
          <w:color w:val="000000" w:themeColor="text1"/>
          <w:sz w:val="24"/>
          <w:szCs w:val="24"/>
        </w:rPr>
        <w:t xml:space="preserve"> colony morphology, Gram stain, and </w:t>
      </w:r>
      <w:r w:rsidR="004678B5" w:rsidRPr="0048465E">
        <w:rPr>
          <w:rFonts w:asciiTheme="minorBidi" w:hAnsiTheme="minorBidi" w:cstheme="minorBidi"/>
          <w:b w:val="0"/>
          <w:bCs w:val="0"/>
          <w:color w:val="000000" w:themeColor="text1"/>
          <w:sz w:val="24"/>
          <w:szCs w:val="24"/>
        </w:rPr>
        <w:t>several</w:t>
      </w:r>
      <w:r w:rsidR="00687101" w:rsidRPr="0048465E">
        <w:rPr>
          <w:rFonts w:asciiTheme="minorBidi" w:hAnsiTheme="minorBidi" w:cstheme="minorBidi"/>
          <w:b w:val="0"/>
          <w:bCs w:val="0"/>
          <w:color w:val="000000" w:themeColor="text1"/>
          <w:sz w:val="24"/>
          <w:szCs w:val="24"/>
        </w:rPr>
        <w:t xml:space="preserve"> standard biochemical reactions, involving the following: catalase, oxidase, indole, citrate, urease,</w:t>
      </w:r>
      <w:r w:rsidR="00F26B9A" w:rsidRPr="0048465E">
        <w:rPr>
          <w:rFonts w:asciiTheme="minorBidi" w:hAnsiTheme="minorBidi" w:cstheme="minorBidi"/>
          <w:b w:val="0"/>
          <w:bCs w:val="0"/>
          <w:color w:val="000000" w:themeColor="text1"/>
          <w:sz w:val="24"/>
          <w:szCs w:val="24"/>
        </w:rPr>
        <w:t xml:space="preserve"> and coagulase reactions [23,</w:t>
      </w:r>
      <w:r w:rsidR="00687101" w:rsidRPr="0048465E">
        <w:rPr>
          <w:rFonts w:asciiTheme="minorBidi" w:hAnsiTheme="minorBidi" w:cstheme="minorBidi"/>
          <w:b w:val="0"/>
          <w:bCs w:val="0"/>
          <w:color w:val="000000" w:themeColor="text1"/>
          <w:sz w:val="24"/>
          <w:szCs w:val="24"/>
        </w:rPr>
        <w:t>24]. For species identification and antimicrobial resistance, the bacteria were analyzed using the VITEK 2 Compact system (</w:t>
      </w:r>
      <w:proofErr w:type="spellStart"/>
      <w:r w:rsidR="00687101" w:rsidRPr="0048465E">
        <w:rPr>
          <w:rFonts w:asciiTheme="minorBidi" w:hAnsiTheme="minorBidi" w:cstheme="minorBidi"/>
          <w:b w:val="0"/>
          <w:bCs w:val="0"/>
          <w:color w:val="000000" w:themeColor="text1"/>
          <w:sz w:val="24"/>
          <w:szCs w:val="24"/>
        </w:rPr>
        <w:t>bioMérieux</w:t>
      </w:r>
      <w:proofErr w:type="spellEnd"/>
      <w:r w:rsidR="00687101" w:rsidRPr="0048465E">
        <w:rPr>
          <w:rFonts w:asciiTheme="minorBidi" w:hAnsiTheme="minorBidi" w:cstheme="minorBidi"/>
          <w:b w:val="0"/>
          <w:bCs w:val="0"/>
          <w:color w:val="000000" w:themeColor="text1"/>
          <w:sz w:val="24"/>
          <w:szCs w:val="24"/>
        </w:rPr>
        <w:t>).</w:t>
      </w:r>
    </w:p>
    <w:p w:rsidR="000B6EE8" w:rsidRPr="0048465E" w:rsidRDefault="000B6EE8" w:rsidP="004569A7">
      <w:pPr>
        <w:pStyle w:val="Heading2"/>
        <w:spacing w:line="276" w:lineRule="auto"/>
        <w:jc w:val="both"/>
        <w:rPr>
          <w:rFonts w:asciiTheme="minorBidi" w:hAnsiTheme="minorBidi" w:cstheme="minorBidi"/>
          <w:b w:val="0"/>
          <w:bCs w:val="0"/>
          <w:color w:val="000000" w:themeColor="text1"/>
          <w:sz w:val="24"/>
          <w:szCs w:val="24"/>
        </w:rPr>
      </w:pPr>
      <w:r w:rsidRPr="0048465E">
        <w:rPr>
          <w:rFonts w:asciiTheme="minorBidi" w:hAnsiTheme="minorBidi" w:cstheme="minorBidi"/>
          <w:b w:val="0"/>
          <w:bCs w:val="0"/>
          <w:color w:val="000000" w:themeColor="text1"/>
          <w:sz w:val="24"/>
          <w:szCs w:val="24"/>
        </w:rPr>
        <w:t xml:space="preserve">Quality control organisms (ATCC Escherichia coli 25922 and </w:t>
      </w:r>
      <w:r w:rsidRPr="0048465E">
        <w:rPr>
          <w:rFonts w:asciiTheme="minorBidi" w:hAnsiTheme="minorBidi" w:cstheme="minorBidi"/>
          <w:b w:val="0"/>
          <w:bCs w:val="0"/>
          <w:i/>
          <w:iCs/>
          <w:color w:val="000000" w:themeColor="text1"/>
          <w:sz w:val="24"/>
          <w:szCs w:val="24"/>
        </w:rPr>
        <w:t>Staphylococcus</w:t>
      </w:r>
      <w:r w:rsidRPr="0048465E">
        <w:rPr>
          <w:rFonts w:asciiTheme="minorBidi" w:hAnsiTheme="minorBidi" w:cstheme="minorBidi"/>
          <w:b w:val="0"/>
          <w:bCs w:val="0"/>
          <w:color w:val="000000" w:themeColor="text1"/>
          <w:sz w:val="24"/>
          <w:szCs w:val="24"/>
        </w:rPr>
        <w:t xml:space="preserve"> </w:t>
      </w:r>
      <w:r w:rsidRPr="0048465E">
        <w:rPr>
          <w:rFonts w:asciiTheme="minorBidi" w:hAnsiTheme="minorBidi" w:cstheme="minorBidi"/>
          <w:b w:val="0"/>
          <w:bCs w:val="0"/>
          <w:i/>
          <w:iCs/>
          <w:color w:val="000000" w:themeColor="text1"/>
          <w:sz w:val="24"/>
          <w:szCs w:val="24"/>
        </w:rPr>
        <w:t>aureus</w:t>
      </w:r>
      <w:r w:rsidRPr="0048465E">
        <w:rPr>
          <w:rFonts w:asciiTheme="minorBidi" w:hAnsiTheme="minorBidi" w:cstheme="minorBidi"/>
          <w:b w:val="0"/>
          <w:bCs w:val="0"/>
          <w:color w:val="000000" w:themeColor="text1"/>
          <w:sz w:val="24"/>
          <w:szCs w:val="24"/>
        </w:rPr>
        <w:t xml:space="preserve"> ATCC 25923) were used on the system.</w:t>
      </w:r>
    </w:p>
    <w:p w:rsidR="000B6EE8" w:rsidRPr="0048465E" w:rsidRDefault="000B6EE8" w:rsidP="004569A7">
      <w:pPr>
        <w:pStyle w:val="Heading2"/>
        <w:spacing w:line="276" w:lineRule="auto"/>
        <w:rPr>
          <w:rFonts w:asciiTheme="minorBidi" w:hAnsiTheme="minorBidi" w:cstheme="minorBidi"/>
          <w:color w:val="000000" w:themeColor="text1"/>
          <w:sz w:val="24"/>
          <w:szCs w:val="24"/>
        </w:rPr>
      </w:pPr>
      <w:r w:rsidRPr="0048465E">
        <w:rPr>
          <w:rFonts w:asciiTheme="minorBidi" w:hAnsiTheme="minorBidi" w:cstheme="minorBidi"/>
          <w:color w:val="000000" w:themeColor="text1"/>
          <w:sz w:val="24"/>
          <w:szCs w:val="24"/>
        </w:rPr>
        <w:t xml:space="preserve">Antibiotic Susceptibility </w:t>
      </w:r>
      <w:proofErr w:type="gramStart"/>
      <w:r w:rsidRPr="0048465E">
        <w:rPr>
          <w:rFonts w:asciiTheme="minorBidi" w:hAnsiTheme="minorBidi" w:cstheme="minorBidi"/>
          <w:color w:val="000000" w:themeColor="text1"/>
          <w:sz w:val="24"/>
          <w:szCs w:val="24"/>
        </w:rPr>
        <w:t>Testing</w:t>
      </w:r>
      <w:r w:rsidR="00BE2A87" w:rsidRPr="0048465E">
        <w:rPr>
          <w:rFonts w:asciiTheme="minorBidi" w:hAnsiTheme="minorBidi" w:cstheme="minorBidi"/>
          <w:color w:val="000000" w:themeColor="text1"/>
          <w:sz w:val="24"/>
          <w:szCs w:val="24"/>
        </w:rPr>
        <w:t xml:space="preserve"> :</w:t>
      </w:r>
      <w:proofErr w:type="gramEnd"/>
    </w:p>
    <w:p w:rsidR="000B6EE8" w:rsidRPr="0048465E" w:rsidRDefault="000B6EE8" w:rsidP="004569A7">
      <w:pPr>
        <w:pStyle w:val="Heading2"/>
        <w:spacing w:line="276" w:lineRule="auto"/>
        <w:jc w:val="both"/>
        <w:rPr>
          <w:rFonts w:asciiTheme="minorBidi" w:hAnsiTheme="minorBidi" w:cstheme="minorBidi"/>
          <w:b w:val="0"/>
          <w:bCs w:val="0"/>
          <w:color w:val="000000" w:themeColor="text1"/>
          <w:sz w:val="24"/>
          <w:szCs w:val="24"/>
        </w:rPr>
      </w:pPr>
      <w:r w:rsidRPr="0048465E">
        <w:rPr>
          <w:rFonts w:asciiTheme="minorBidi" w:hAnsiTheme="minorBidi" w:cstheme="minorBidi"/>
          <w:b w:val="0"/>
          <w:bCs w:val="0"/>
          <w:color w:val="000000" w:themeColor="text1"/>
          <w:sz w:val="24"/>
          <w:szCs w:val="24"/>
        </w:rPr>
        <w:t>Susceptibilities to antimicrobials were evaluated using the Clinical and Laboratory Standards Institute (CLSI) guidelines [26]. The following results were generated using the VITEK 2 system, including Minimum inhibitory concentration (MIC) susceptibility interpretations for commonly used antibiotics:</w:t>
      </w:r>
    </w:p>
    <w:p w:rsidR="000B6EE8" w:rsidRPr="0048465E" w:rsidRDefault="000B6EE8" w:rsidP="004569A7">
      <w:pPr>
        <w:pStyle w:val="Heading2"/>
        <w:spacing w:line="276" w:lineRule="auto"/>
        <w:rPr>
          <w:rFonts w:asciiTheme="minorBidi" w:hAnsiTheme="minorBidi" w:cstheme="minorBidi"/>
          <w:color w:val="000000" w:themeColor="text1"/>
          <w:sz w:val="24"/>
          <w:szCs w:val="24"/>
        </w:rPr>
      </w:pPr>
      <w:r w:rsidRPr="0048465E">
        <w:rPr>
          <w:rFonts w:asciiTheme="minorBidi" w:hAnsiTheme="minorBidi" w:cstheme="minorBidi"/>
          <w:color w:val="000000" w:themeColor="text1"/>
          <w:sz w:val="24"/>
          <w:szCs w:val="24"/>
        </w:rPr>
        <w:t>- Amoxicillin</w:t>
      </w:r>
    </w:p>
    <w:p w:rsidR="000B6EE8" w:rsidRPr="0048465E" w:rsidRDefault="000B6EE8" w:rsidP="004569A7">
      <w:pPr>
        <w:pStyle w:val="Heading2"/>
        <w:spacing w:line="276" w:lineRule="auto"/>
        <w:rPr>
          <w:rFonts w:asciiTheme="minorBidi" w:hAnsiTheme="minorBidi" w:cstheme="minorBidi"/>
          <w:color w:val="000000" w:themeColor="text1"/>
          <w:sz w:val="24"/>
          <w:szCs w:val="24"/>
        </w:rPr>
      </w:pPr>
      <w:r w:rsidRPr="0048465E">
        <w:rPr>
          <w:rFonts w:asciiTheme="minorBidi" w:hAnsiTheme="minorBidi" w:cstheme="minorBidi"/>
          <w:color w:val="000000" w:themeColor="text1"/>
          <w:sz w:val="24"/>
          <w:szCs w:val="24"/>
        </w:rPr>
        <w:t xml:space="preserve">- </w:t>
      </w:r>
      <w:proofErr w:type="spellStart"/>
      <w:r w:rsidRPr="0048465E">
        <w:rPr>
          <w:rFonts w:asciiTheme="minorBidi" w:hAnsiTheme="minorBidi" w:cstheme="minorBidi"/>
          <w:color w:val="000000" w:themeColor="text1"/>
          <w:sz w:val="24"/>
          <w:szCs w:val="24"/>
        </w:rPr>
        <w:t>Ciprof</w:t>
      </w:r>
      <w:proofErr w:type="spellEnd"/>
    </w:p>
    <w:p w:rsidR="000B6EE8" w:rsidRPr="0048465E" w:rsidRDefault="000B6EE8" w:rsidP="004569A7">
      <w:pPr>
        <w:pStyle w:val="Heading2"/>
        <w:spacing w:line="276" w:lineRule="auto"/>
        <w:rPr>
          <w:rFonts w:asciiTheme="minorBidi" w:hAnsiTheme="minorBidi" w:cstheme="minorBidi"/>
          <w:color w:val="000000" w:themeColor="text1"/>
          <w:sz w:val="24"/>
          <w:szCs w:val="24"/>
        </w:rPr>
      </w:pPr>
      <w:r w:rsidRPr="0048465E">
        <w:rPr>
          <w:rFonts w:asciiTheme="minorBidi" w:hAnsiTheme="minorBidi" w:cstheme="minorBidi"/>
          <w:color w:val="000000" w:themeColor="text1"/>
          <w:sz w:val="24"/>
          <w:szCs w:val="24"/>
        </w:rPr>
        <w:t xml:space="preserve">- </w:t>
      </w:r>
      <w:proofErr w:type="spellStart"/>
      <w:r w:rsidRPr="0048465E">
        <w:rPr>
          <w:rFonts w:asciiTheme="minorBidi" w:hAnsiTheme="minorBidi" w:cstheme="minorBidi"/>
          <w:color w:val="000000" w:themeColor="text1"/>
          <w:sz w:val="24"/>
          <w:szCs w:val="24"/>
        </w:rPr>
        <w:t>Ceftr</w:t>
      </w:r>
      <w:proofErr w:type="spellEnd"/>
    </w:p>
    <w:p w:rsidR="000B6EE8" w:rsidRPr="0048465E" w:rsidRDefault="000B6EE8" w:rsidP="004569A7">
      <w:pPr>
        <w:pStyle w:val="Heading2"/>
        <w:spacing w:line="276" w:lineRule="auto"/>
        <w:rPr>
          <w:rFonts w:asciiTheme="minorBidi" w:hAnsiTheme="minorBidi" w:cstheme="minorBidi"/>
          <w:color w:val="000000" w:themeColor="text1"/>
          <w:sz w:val="24"/>
          <w:szCs w:val="24"/>
        </w:rPr>
      </w:pPr>
      <w:r w:rsidRPr="0048465E">
        <w:rPr>
          <w:rFonts w:asciiTheme="minorBidi" w:hAnsiTheme="minorBidi" w:cstheme="minorBidi"/>
          <w:color w:val="000000" w:themeColor="text1"/>
          <w:sz w:val="24"/>
          <w:szCs w:val="24"/>
        </w:rPr>
        <w:t xml:space="preserve">- </w:t>
      </w:r>
      <w:proofErr w:type="spellStart"/>
      <w:r w:rsidRPr="0048465E">
        <w:rPr>
          <w:rFonts w:asciiTheme="minorBidi" w:hAnsiTheme="minorBidi" w:cstheme="minorBidi"/>
          <w:color w:val="000000" w:themeColor="text1"/>
          <w:sz w:val="24"/>
          <w:szCs w:val="24"/>
        </w:rPr>
        <w:t>Nitrofur</w:t>
      </w:r>
      <w:proofErr w:type="spellEnd"/>
    </w:p>
    <w:p w:rsidR="000B6EE8" w:rsidRPr="0048465E" w:rsidRDefault="000B6EE8" w:rsidP="004569A7">
      <w:pPr>
        <w:pStyle w:val="Heading2"/>
        <w:spacing w:line="276" w:lineRule="auto"/>
        <w:rPr>
          <w:rFonts w:asciiTheme="minorBidi" w:hAnsiTheme="minorBidi" w:cstheme="minorBidi"/>
          <w:color w:val="000000" w:themeColor="text1"/>
          <w:sz w:val="24"/>
          <w:szCs w:val="24"/>
        </w:rPr>
      </w:pPr>
      <w:r w:rsidRPr="0048465E">
        <w:rPr>
          <w:rFonts w:asciiTheme="minorBidi" w:hAnsiTheme="minorBidi" w:cstheme="minorBidi"/>
          <w:color w:val="000000" w:themeColor="text1"/>
          <w:sz w:val="24"/>
          <w:szCs w:val="24"/>
        </w:rPr>
        <w:t>- Gentamicin</w:t>
      </w:r>
    </w:p>
    <w:p w:rsidR="000B6EE8" w:rsidRPr="0048465E" w:rsidRDefault="000B6EE8" w:rsidP="004569A7">
      <w:pPr>
        <w:pStyle w:val="Heading2"/>
        <w:spacing w:line="276" w:lineRule="auto"/>
        <w:rPr>
          <w:rFonts w:asciiTheme="minorBidi" w:hAnsiTheme="minorBidi" w:cstheme="minorBidi"/>
          <w:color w:val="000000" w:themeColor="text1"/>
          <w:sz w:val="24"/>
          <w:szCs w:val="24"/>
        </w:rPr>
      </w:pPr>
      <w:r w:rsidRPr="0048465E">
        <w:rPr>
          <w:rFonts w:asciiTheme="minorBidi" w:hAnsiTheme="minorBidi" w:cstheme="minorBidi"/>
          <w:color w:val="000000" w:themeColor="text1"/>
          <w:sz w:val="24"/>
          <w:szCs w:val="24"/>
        </w:rPr>
        <w:t xml:space="preserve">- </w:t>
      </w:r>
      <w:proofErr w:type="spellStart"/>
      <w:r w:rsidRPr="0048465E">
        <w:rPr>
          <w:rFonts w:asciiTheme="minorBidi" w:hAnsiTheme="minorBidi" w:cstheme="minorBidi"/>
          <w:color w:val="000000" w:themeColor="text1"/>
          <w:sz w:val="24"/>
          <w:szCs w:val="24"/>
        </w:rPr>
        <w:t>Imipen</w:t>
      </w:r>
      <w:proofErr w:type="spellEnd"/>
    </w:p>
    <w:p w:rsidR="000B6EE8" w:rsidRPr="0048465E" w:rsidRDefault="000B6EE8" w:rsidP="004569A7">
      <w:pPr>
        <w:pStyle w:val="Heading2"/>
        <w:spacing w:line="276" w:lineRule="auto"/>
        <w:rPr>
          <w:rFonts w:asciiTheme="minorBidi" w:hAnsiTheme="minorBidi" w:cstheme="minorBidi"/>
          <w:color w:val="000000" w:themeColor="text1"/>
          <w:sz w:val="24"/>
          <w:szCs w:val="24"/>
        </w:rPr>
      </w:pPr>
      <w:r w:rsidRPr="0048465E">
        <w:rPr>
          <w:rFonts w:asciiTheme="minorBidi" w:hAnsiTheme="minorBidi" w:cstheme="minorBidi"/>
          <w:color w:val="000000" w:themeColor="text1"/>
          <w:sz w:val="24"/>
          <w:szCs w:val="24"/>
        </w:rPr>
        <w:t>- Piperacillin</w:t>
      </w:r>
    </w:p>
    <w:p w:rsidR="000B6EE8" w:rsidRPr="0048465E" w:rsidRDefault="000B6EE8" w:rsidP="004569A7">
      <w:pPr>
        <w:pStyle w:val="Heading2"/>
        <w:spacing w:line="276" w:lineRule="auto"/>
        <w:rPr>
          <w:rFonts w:asciiTheme="minorBidi" w:hAnsiTheme="minorBidi" w:cstheme="minorBidi"/>
          <w:color w:val="000000" w:themeColor="text1"/>
          <w:sz w:val="24"/>
          <w:szCs w:val="24"/>
        </w:rPr>
      </w:pPr>
      <w:r w:rsidRPr="0048465E">
        <w:rPr>
          <w:rFonts w:asciiTheme="minorBidi" w:hAnsiTheme="minorBidi" w:cstheme="minorBidi"/>
          <w:color w:val="000000" w:themeColor="text1"/>
          <w:sz w:val="24"/>
          <w:szCs w:val="24"/>
        </w:rPr>
        <w:t xml:space="preserve">- </w:t>
      </w:r>
      <w:proofErr w:type="spellStart"/>
      <w:r w:rsidRPr="0048465E">
        <w:rPr>
          <w:rFonts w:asciiTheme="minorBidi" w:hAnsiTheme="minorBidi" w:cstheme="minorBidi"/>
          <w:color w:val="000000" w:themeColor="text1"/>
          <w:sz w:val="24"/>
          <w:szCs w:val="24"/>
        </w:rPr>
        <w:t>Trimethop</w:t>
      </w:r>
      <w:proofErr w:type="spellEnd"/>
    </w:p>
    <w:p w:rsidR="0048465E" w:rsidRDefault="0048465E" w:rsidP="004569A7">
      <w:pPr>
        <w:pStyle w:val="Heading2"/>
        <w:spacing w:line="276" w:lineRule="auto"/>
        <w:rPr>
          <w:rFonts w:asciiTheme="minorBidi" w:hAnsiTheme="minorBidi" w:cstheme="minorBidi"/>
          <w:color w:val="000000" w:themeColor="text1"/>
          <w:sz w:val="24"/>
          <w:szCs w:val="24"/>
        </w:rPr>
      </w:pPr>
    </w:p>
    <w:p w:rsidR="0048465E" w:rsidRDefault="0048465E" w:rsidP="004569A7">
      <w:pPr>
        <w:pStyle w:val="Heading2"/>
        <w:spacing w:line="276" w:lineRule="auto"/>
        <w:rPr>
          <w:rFonts w:asciiTheme="minorBidi" w:hAnsiTheme="minorBidi" w:cstheme="minorBidi"/>
          <w:color w:val="000000" w:themeColor="text1"/>
          <w:sz w:val="24"/>
          <w:szCs w:val="24"/>
        </w:rPr>
      </w:pPr>
    </w:p>
    <w:p w:rsidR="0048465E" w:rsidRDefault="0048465E" w:rsidP="004569A7">
      <w:pPr>
        <w:pStyle w:val="Heading2"/>
        <w:spacing w:line="276" w:lineRule="auto"/>
        <w:rPr>
          <w:rFonts w:asciiTheme="minorBidi" w:hAnsiTheme="minorBidi" w:cstheme="minorBidi"/>
          <w:color w:val="000000" w:themeColor="text1"/>
          <w:sz w:val="24"/>
          <w:szCs w:val="24"/>
        </w:rPr>
      </w:pPr>
    </w:p>
    <w:p w:rsidR="0048465E" w:rsidRDefault="0048465E" w:rsidP="004569A7">
      <w:pPr>
        <w:pStyle w:val="Heading2"/>
        <w:spacing w:line="276" w:lineRule="auto"/>
        <w:rPr>
          <w:rFonts w:asciiTheme="minorBidi" w:hAnsiTheme="minorBidi" w:cstheme="minorBidi"/>
          <w:color w:val="000000" w:themeColor="text1"/>
          <w:sz w:val="24"/>
          <w:szCs w:val="24"/>
        </w:rPr>
      </w:pPr>
    </w:p>
    <w:p w:rsidR="000B6EE8" w:rsidRPr="0048465E" w:rsidRDefault="000B6EE8" w:rsidP="004569A7">
      <w:pPr>
        <w:pStyle w:val="Heading2"/>
        <w:spacing w:line="276" w:lineRule="auto"/>
        <w:rPr>
          <w:rFonts w:asciiTheme="minorBidi" w:hAnsiTheme="minorBidi" w:cstheme="minorBidi"/>
          <w:color w:val="000000" w:themeColor="text1"/>
          <w:sz w:val="24"/>
          <w:szCs w:val="24"/>
        </w:rPr>
      </w:pPr>
      <w:r w:rsidRPr="0048465E">
        <w:rPr>
          <w:rFonts w:asciiTheme="minorBidi" w:hAnsiTheme="minorBidi" w:cstheme="minorBidi"/>
          <w:color w:val="000000" w:themeColor="text1"/>
          <w:sz w:val="24"/>
          <w:szCs w:val="24"/>
        </w:rPr>
        <w:lastRenderedPageBreak/>
        <w:t>Multidrug Resistance (MDR)</w:t>
      </w:r>
    </w:p>
    <w:p w:rsidR="00BE2A87" w:rsidRPr="0048465E" w:rsidRDefault="000B6EE8" w:rsidP="004569A7">
      <w:pPr>
        <w:pStyle w:val="Heading2"/>
        <w:spacing w:line="276" w:lineRule="auto"/>
        <w:jc w:val="both"/>
        <w:rPr>
          <w:rFonts w:asciiTheme="minorBidi" w:hAnsiTheme="minorBidi" w:cstheme="minorBidi"/>
          <w:b w:val="0"/>
          <w:bCs w:val="0"/>
          <w:color w:val="000000" w:themeColor="text1"/>
          <w:sz w:val="24"/>
          <w:szCs w:val="24"/>
        </w:rPr>
      </w:pPr>
      <w:r w:rsidRPr="0048465E">
        <w:rPr>
          <w:rFonts w:asciiTheme="minorBidi" w:hAnsiTheme="minorBidi" w:cstheme="minorBidi"/>
          <w:b w:val="0"/>
          <w:bCs w:val="0"/>
          <w:color w:val="000000" w:themeColor="text1"/>
          <w:sz w:val="24"/>
          <w:szCs w:val="24"/>
        </w:rPr>
        <w:t xml:space="preserve">Multidrug resistance was defined as resistance to at least one drug in three or more antimicrobial classes [27]. DATA COLLECTION AND MANAGEMENT: Patient demographic and clinical information (age, gender, symptoms) was collected. Laboratory findings were recorded on a secure database. To prevent duplication of cases, only the initial isolate per patient was used for analysis. </w:t>
      </w:r>
    </w:p>
    <w:p w:rsidR="000B6EE8" w:rsidRPr="0048465E" w:rsidRDefault="000B6EE8" w:rsidP="004569A7">
      <w:pPr>
        <w:pStyle w:val="Heading2"/>
        <w:spacing w:line="276" w:lineRule="auto"/>
        <w:rPr>
          <w:rFonts w:asciiTheme="minorBidi" w:hAnsiTheme="minorBidi" w:cstheme="minorBidi"/>
          <w:color w:val="000000" w:themeColor="text1"/>
          <w:sz w:val="24"/>
          <w:szCs w:val="24"/>
        </w:rPr>
      </w:pPr>
      <w:r w:rsidRPr="0048465E">
        <w:rPr>
          <w:rFonts w:asciiTheme="minorBidi" w:hAnsiTheme="minorBidi" w:cstheme="minorBidi"/>
          <w:color w:val="000000" w:themeColor="text1"/>
          <w:sz w:val="24"/>
          <w:szCs w:val="24"/>
        </w:rPr>
        <w:t>Statistical Analysis:</w:t>
      </w:r>
    </w:p>
    <w:p w:rsidR="00BE2A87" w:rsidRPr="0048465E" w:rsidRDefault="000B6EE8" w:rsidP="004569A7">
      <w:pPr>
        <w:pStyle w:val="Heading2"/>
        <w:spacing w:line="276" w:lineRule="auto"/>
        <w:jc w:val="both"/>
        <w:rPr>
          <w:rFonts w:asciiTheme="minorBidi" w:hAnsiTheme="minorBidi" w:cstheme="minorBidi"/>
          <w:b w:val="0"/>
          <w:bCs w:val="0"/>
          <w:color w:val="000000" w:themeColor="text1"/>
          <w:sz w:val="24"/>
          <w:szCs w:val="24"/>
        </w:rPr>
      </w:pPr>
      <w:r w:rsidRPr="0048465E">
        <w:rPr>
          <w:rFonts w:asciiTheme="minorBidi" w:hAnsiTheme="minorBidi" w:cstheme="minorBidi"/>
          <w:b w:val="0"/>
          <w:bCs w:val="0"/>
          <w:color w:val="000000" w:themeColor="text1"/>
          <w:sz w:val="24"/>
          <w:szCs w:val="24"/>
        </w:rPr>
        <w:t>The Data analysis was performed using the IBM SPSS Statistics version 26. For demographic and microbiological data, descriptive statistics (frequency, percentage, mean, and standard deviation) were used. To study the association between the categorical variables, for example, the gender of the patients and the prevalence of infections, resistance, and so on, the Chi-Square Test was employed, with a significance level of p &lt; 0.05. The proportion of MDR isolates was determined, and the OR with 95% CI was computed for the identified risk factors</w:t>
      </w:r>
      <w:r w:rsidR="00BE2A87" w:rsidRPr="0048465E">
        <w:rPr>
          <w:rFonts w:asciiTheme="minorBidi" w:hAnsiTheme="minorBidi" w:cstheme="minorBidi"/>
          <w:b w:val="0"/>
          <w:bCs w:val="0"/>
          <w:color w:val="000000" w:themeColor="text1"/>
          <w:sz w:val="24"/>
          <w:szCs w:val="24"/>
        </w:rPr>
        <w:t xml:space="preserve"> </w:t>
      </w:r>
      <w:r w:rsidR="00F26B9A" w:rsidRPr="0048465E">
        <w:rPr>
          <w:rFonts w:asciiTheme="minorBidi" w:hAnsiTheme="minorBidi" w:cstheme="minorBidi"/>
          <w:b w:val="0"/>
          <w:bCs w:val="0"/>
          <w:color w:val="000000" w:themeColor="text1"/>
          <w:sz w:val="24"/>
          <w:szCs w:val="24"/>
        </w:rPr>
        <w:t>[28,</w:t>
      </w:r>
      <w:r w:rsidRPr="0048465E">
        <w:rPr>
          <w:rFonts w:asciiTheme="minorBidi" w:hAnsiTheme="minorBidi" w:cstheme="minorBidi"/>
          <w:b w:val="0"/>
          <w:bCs w:val="0"/>
          <w:color w:val="000000" w:themeColor="text1"/>
          <w:sz w:val="24"/>
          <w:szCs w:val="24"/>
        </w:rPr>
        <w:t xml:space="preserve">29]. </w:t>
      </w:r>
    </w:p>
    <w:p w:rsidR="00134A30" w:rsidRPr="0048465E" w:rsidRDefault="00F857D2" w:rsidP="004569A7">
      <w:pPr>
        <w:pStyle w:val="Heading2"/>
        <w:spacing w:line="276" w:lineRule="auto"/>
        <w:rPr>
          <w:rFonts w:asciiTheme="minorBidi" w:hAnsiTheme="minorBidi" w:cstheme="minorBidi"/>
          <w:color w:val="000000" w:themeColor="text1"/>
          <w:sz w:val="24"/>
          <w:szCs w:val="24"/>
        </w:rPr>
      </w:pPr>
      <w:r w:rsidRPr="0048465E">
        <w:rPr>
          <w:rFonts w:asciiTheme="minorBidi" w:hAnsiTheme="minorBidi" w:cstheme="minorBidi"/>
          <w:color w:val="000000" w:themeColor="text1"/>
          <w:sz w:val="24"/>
          <w:szCs w:val="24"/>
        </w:rPr>
        <w:t>Results</w:t>
      </w:r>
      <w:r w:rsidR="00182A15" w:rsidRPr="0048465E">
        <w:rPr>
          <w:rFonts w:asciiTheme="minorBidi" w:hAnsiTheme="minorBidi" w:cstheme="minorBidi"/>
          <w:color w:val="000000" w:themeColor="text1"/>
          <w:sz w:val="24"/>
          <w:szCs w:val="24"/>
        </w:rPr>
        <w:t xml:space="preserve"> and discussion : </w:t>
      </w:r>
    </w:p>
    <w:p w:rsidR="00134A30" w:rsidRPr="0048465E" w:rsidRDefault="00F857D2" w:rsidP="004569A7">
      <w:pPr>
        <w:pStyle w:val="Heading3"/>
        <w:spacing w:line="276" w:lineRule="auto"/>
        <w:rPr>
          <w:rFonts w:asciiTheme="minorBidi" w:hAnsiTheme="minorBidi" w:cstheme="minorBidi"/>
          <w:color w:val="000000" w:themeColor="text1"/>
        </w:rPr>
      </w:pPr>
      <w:bookmarkStart w:id="5" w:name="X5e325b9f62937a2e4b0ecfe16fbf63673e0d474"/>
      <w:r w:rsidRPr="0048465E">
        <w:rPr>
          <w:rFonts w:asciiTheme="minorBidi" w:hAnsiTheme="minorBidi" w:cstheme="minorBidi"/>
          <w:color w:val="000000" w:themeColor="text1"/>
        </w:rPr>
        <w:t xml:space="preserve">Overview of Sample Collection and Culture </w:t>
      </w:r>
      <w:proofErr w:type="gramStart"/>
      <w:r w:rsidRPr="0048465E">
        <w:rPr>
          <w:rFonts w:asciiTheme="minorBidi" w:hAnsiTheme="minorBidi" w:cstheme="minorBidi"/>
          <w:color w:val="000000" w:themeColor="text1"/>
        </w:rPr>
        <w:t>Results</w:t>
      </w:r>
      <w:r w:rsidR="00182A15" w:rsidRPr="0048465E">
        <w:rPr>
          <w:rFonts w:asciiTheme="minorBidi" w:hAnsiTheme="minorBidi" w:cstheme="minorBidi"/>
          <w:color w:val="000000" w:themeColor="text1"/>
        </w:rPr>
        <w:t xml:space="preserve"> :</w:t>
      </w:r>
      <w:proofErr w:type="gramEnd"/>
    </w:p>
    <w:p w:rsidR="00134A30" w:rsidRPr="0048465E" w:rsidRDefault="00182A15" w:rsidP="004569A7">
      <w:pPr>
        <w:pStyle w:val="FirstParagraph"/>
        <w:spacing w:line="276" w:lineRule="auto"/>
        <w:jc w:val="both"/>
      </w:pPr>
      <w:r w:rsidRPr="0048465E">
        <w:t xml:space="preserve">   </w:t>
      </w:r>
      <w:r w:rsidR="004678B5" w:rsidRPr="0048465E">
        <w:t>Of t</w:t>
      </w:r>
      <w:r w:rsidR="00F857D2" w:rsidRPr="0048465E">
        <w:t>he 90 urine samples collected, 82 (91.1%) yielded significant bacterial growth, while 8 (8.9%) showed no growth or insignificant bacteriuria.</w:t>
      </w:r>
    </w:p>
    <w:p w:rsidR="00134A30" w:rsidRPr="0048465E" w:rsidRDefault="0048465E" w:rsidP="004569A7">
      <w:pPr>
        <w:pStyle w:val="Heading4"/>
        <w:spacing w:line="276" w:lineRule="auto"/>
        <w:jc w:val="center"/>
        <w:rPr>
          <w:i w:val="0"/>
          <w:iCs/>
          <w:color w:val="000000" w:themeColor="text1"/>
        </w:rPr>
      </w:pPr>
      <w:bookmarkStart w:id="6" w:name="X7528ddafb99b08ac26ce1ac4e1e7adfc39ab434"/>
      <w:r w:rsidRPr="0048465E">
        <w:rPr>
          <w:i w:val="0"/>
          <w:iCs/>
          <w:color w:val="000000" w:themeColor="text1"/>
          <w:highlight w:val="yellow"/>
        </w:rPr>
        <w:t>Table 1: A summary of the Sample Collection and Culture Information.</w:t>
      </w:r>
    </w:p>
    <w:tbl>
      <w:tblPr>
        <w:tblStyle w:val="Table"/>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2612"/>
        <w:gridCol w:w="1430"/>
        <w:gridCol w:w="1810"/>
      </w:tblGrid>
      <w:tr w:rsidR="00134A30" w:rsidRPr="0048465E" w:rsidTr="00182A15">
        <w:trPr>
          <w:cnfStyle w:val="100000000000" w:firstRow="1" w:lastRow="0" w:firstColumn="0" w:lastColumn="0" w:oddVBand="0" w:evenVBand="0" w:oddHBand="0" w:evenHBand="0" w:firstRowFirstColumn="0" w:firstRowLastColumn="0" w:lastRowFirstColumn="0" w:lastRowLastColumn="0"/>
          <w:tblHeader/>
          <w:jc w:val="center"/>
        </w:trPr>
        <w:tc>
          <w:tcPr>
            <w:tcW w:w="0" w:type="auto"/>
            <w:tcBorders>
              <w:bottom w:val="none" w:sz="0" w:space="0" w:color="auto"/>
            </w:tcBorders>
            <w:shd w:val="clear" w:color="auto" w:fill="FDE9D9" w:themeFill="accent6" w:themeFillTint="33"/>
            <w:vAlign w:val="center"/>
          </w:tcPr>
          <w:p w:rsidR="00134A30" w:rsidRPr="0048465E" w:rsidRDefault="00F857D2" w:rsidP="004569A7">
            <w:pPr>
              <w:pStyle w:val="Compact"/>
              <w:spacing w:line="276" w:lineRule="auto"/>
              <w:jc w:val="center"/>
            </w:pPr>
            <w:r w:rsidRPr="0048465E">
              <w:t>Parameter</w:t>
            </w:r>
          </w:p>
        </w:tc>
        <w:tc>
          <w:tcPr>
            <w:tcW w:w="0" w:type="auto"/>
            <w:tcBorders>
              <w:bottom w:val="none" w:sz="0" w:space="0" w:color="auto"/>
            </w:tcBorders>
            <w:shd w:val="clear" w:color="auto" w:fill="FDE9D9" w:themeFill="accent6" w:themeFillTint="33"/>
            <w:vAlign w:val="center"/>
          </w:tcPr>
          <w:p w:rsidR="00134A30" w:rsidRPr="0048465E" w:rsidRDefault="00F857D2" w:rsidP="004569A7">
            <w:pPr>
              <w:pStyle w:val="Compact"/>
              <w:spacing w:line="276" w:lineRule="auto"/>
              <w:jc w:val="center"/>
            </w:pPr>
            <w:r w:rsidRPr="0048465E">
              <w:t>Number (n)</w:t>
            </w:r>
          </w:p>
        </w:tc>
        <w:tc>
          <w:tcPr>
            <w:tcW w:w="0" w:type="auto"/>
            <w:tcBorders>
              <w:bottom w:val="none" w:sz="0" w:space="0" w:color="auto"/>
            </w:tcBorders>
            <w:shd w:val="clear" w:color="auto" w:fill="FDE9D9" w:themeFill="accent6" w:themeFillTint="33"/>
            <w:vAlign w:val="center"/>
          </w:tcPr>
          <w:p w:rsidR="00134A30" w:rsidRPr="0048465E" w:rsidRDefault="00F857D2" w:rsidP="004569A7">
            <w:pPr>
              <w:pStyle w:val="Compact"/>
              <w:spacing w:line="276" w:lineRule="auto"/>
              <w:jc w:val="center"/>
            </w:pPr>
            <w:r w:rsidRPr="0048465E">
              <w:t>Percentage (%)</w:t>
            </w:r>
          </w:p>
        </w:tc>
      </w:tr>
      <w:tr w:rsidR="00134A30" w:rsidRPr="0048465E" w:rsidTr="00182A15">
        <w:trPr>
          <w:jc w:val="center"/>
        </w:trPr>
        <w:tc>
          <w:tcPr>
            <w:tcW w:w="0" w:type="auto"/>
            <w:vAlign w:val="center"/>
          </w:tcPr>
          <w:p w:rsidR="00134A30" w:rsidRPr="0048465E" w:rsidRDefault="00F857D2" w:rsidP="004569A7">
            <w:pPr>
              <w:pStyle w:val="Compact"/>
              <w:spacing w:line="276" w:lineRule="auto"/>
              <w:jc w:val="center"/>
            </w:pPr>
            <w:r w:rsidRPr="0048465E">
              <w:t>Total samples collected</w:t>
            </w:r>
          </w:p>
        </w:tc>
        <w:tc>
          <w:tcPr>
            <w:tcW w:w="0" w:type="auto"/>
            <w:vAlign w:val="center"/>
          </w:tcPr>
          <w:p w:rsidR="00134A30" w:rsidRPr="0048465E" w:rsidRDefault="00F857D2" w:rsidP="004569A7">
            <w:pPr>
              <w:pStyle w:val="Compact"/>
              <w:spacing w:line="276" w:lineRule="auto"/>
              <w:jc w:val="center"/>
            </w:pPr>
            <w:r w:rsidRPr="0048465E">
              <w:t>90</w:t>
            </w:r>
          </w:p>
        </w:tc>
        <w:tc>
          <w:tcPr>
            <w:tcW w:w="0" w:type="auto"/>
            <w:vAlign w:val="center"/>
          </w:tcPr>
          <w:p w:rsidR="00134A30" w:rsidRPr="0048465E" w:rsidRDefault="00F857D2" w:rsidP="004569A7">
            <w:pPr>
              <w:pStyle w:val="Compact"/>
              <w:spacing w:line="276" w:lineRule="auto"/>
              <w:jc w:val="center"/>
            </w:pPr>
            <w:r w:rsidRPr="0048465E">
              <w:t>100</w:t>
            </w:r>
          </w:p>
        </w:tc>
      </w:tr>
      <w:tr w:rsidR="00134A30" w:rsidRPr="0048465E" w:rsidTr="00182A15">
        <w:trPr>
          <w:jc w:val="center"/>
        </w:trPr>
        <w:tc>
          <w:tcPr>
            <w:tcW w:w="0" w:type="auto"/>
            <w:vAlign w:val="center"/>
          </w:tcPr>
          <w:p w:rsidR="00134A30" w:rsidRPr="0048465E" w:rsidRDefault="00F857D2" w:rsidP="004569A7">
            <w:pPr>
              <w:pStyle w:val="Compact"/>
              <w:spacing w:line="276" w:lineRule="auto"/>
              <w:jc w:val="center"/>
            </w:pPr>
            <w:r w:rsidRPr="0048465E">
              <w:t>Culture positive</w:t>
            </w:r>
          </w:p>
        </w:tc>
        <w:tc>
          <w:tcPr>
            <w:tcW w:w="0" w:type="auto"/>
            <w:vAlign w:val="center"/>
          </w:tcPr>
          <w:p w:rsidR="00134A30" w:rsidRPr="0048465E" w:rsidRDefault="00F857D2" w:rsidP="004569A7">
            <w:pPr>
              <w:pStyle w:val="Compact"/>
              <w:spacing w:line="276" w:lineRule="auto"/>
              <w:jc w:val="center"/>
            </w:pPr>
            <w:r w:rsidRPr="0048465E">
              <w:t>82</w:t>
            </w:r>
          </w:p>
        </w:tc>
        <w:tc>
          <w:tcPr>
            <w:tcW w:w="0" w:type="auto"/>
            <w:vAlign w:val="center"/>
          </w:tcPr>
          <w:p w:rsidR="00134A30" w:rsidRPr="0048465E" w:rsidRDefault="00F857D2" w:rsidP="004569A7">
            <w:pPr>
              <w:pStyle w:val="Compact"/>
              <w:spacing w:line="276" w:lineRule="auto"/>
              <w:jc w:val="center"/>
            </w:pPr>
            <w:r w:rsidRPr="0048465E">
              <w:t>91.1</w:t>
            </w:r>
          </w:p>
        </w:tc>
      </w:tr>
      <w:tr w:rsidR="00134A30" w:rsidRPr="0048465E" w:rsidTr="00182A15">
        <w:trPr>
          <w:jc w:val="center"/>
        </w:trPr>
        <w:tc>
          <w:tcPr>
            <w:tcW w:w="0" w:type="auto"/>
            <w:vAlign w:val="center"/>
          </w:tcPr>
          <w:p w:rsidR="00134A30" w:rsidRPr="0048465E" w:rsidRDefault="00F857D2" w:rsidP="004569A7">
            <w:pPr>
              <w:pStyle w:val="Compact"/>
              <w:spacing w:line="276" w:lineRule="auto"/>
              <w:jc w:val="center"/>
            </w:pPr>
            <w:r w:rsidRPr="0048465E">
              <w:t>Culture negative</w:t>
            </w:r>
          </w:p>
        </w:tc>
        <w:tc>
          <w:tcPr>
            <w:tcW w:w="0" w:type="auto"/>
            <w:vAlign w:val="center"/>
          </w:tcPr>
          <w:p w:rsidR="00134A30" w:rsidRPr="0048465E" w:rsidRDefault="00F857D2" w:rsidP="004569A7">
            <w:pPr>
              <w:pStyle w:val="Compact"/>
              <w:spacing w:line="276" w:lineRule="auto"/>
              <w:jc w:val="center"/>
            </w:pPr>
            <w:r w:rsidRPr="0048465E">
              <w:t>8</w:t>
            </w:r>
          </w:p>
        </w:tc>
        <w:tc>
          <w:tcPr>
            <w:tcW w:w="0" w:type="auto"/>
            <w:vAlign w:val="center"/>
          </w:tcPr>
          <w:p w:rsidR="00134A30" w:rsidRPr="0048465E" w:rsidRDefault="00F857D2" w:rsidP="004569A7">
            <w:pPr>
              <w:pStyle w:val="Compact"/>
              <w:spacing w:line="276" w:lineRule="auto"/>
              <w:jc w:val="center"/>
            </w:pPr>
            <w:r w:rsidRPr="0048465E">
              <w:t>8.9</w:t>
            </w:r>
          </w:p>
        </w:tc>
      </w:tr>
    </w:tbl>
    <w:p w:rsidR="00134A30" w:rsidRPr="0048465E" w:rsidRDefault="00F857D2" w:rsidP="004569A7">
      <w:pPr>
        <w:pStyle w:val="Heading3"/>
        <w:spacing w:line="276" w:lineRule="auto"/>
        <w:rPr>
          <w:rFonts w:asciiTheme="minorBidi" w:hAnsiTheme="minorBidi" w:cstheme="minorBidi"/>
          <w:color w:val="000000" w:themeColor="text1"/>
        </w:rPr>
      </w:pPr>
      <w:bookmarkStart w:id="7" w:name="gender-distribution-of-positive-isolates"/>
      <w:bookmarkEnd w:id="5"/>
      <w:bookmarkEnd w:id="6"/>
      <w:r w:rsidRPr="0048465E">
        <w:rPr>
          <w:rFonts w:asciiTheme="minorBidi" w:hAnsiTheme="minorBidi" w:cstheme="minorBidi"/>
          <w:color w:val="000000" w:themeColor="text1"/>
        </w:rPr>
        <w:t xml:space="preserve">Gender Distribution of Positive </w:t>
      </w:r>
      <w:proofErr w:type="gramStart"/>
      <w:r w:rsidRPr="0048465E">
        <w:rPr>
          <w:rFonts w:asciiTheme="minorBidi" w:hAnsiTheme="minorBidi" w:cstheme="minorBidi"/>
          <w:color w:val="000000" w:themeColor="text1"/>
        </w:rPr>
        <w:t>Isolates</w:t>
      </w:r>
      <w:r w:rsidR="00182A15" w:rsidRPr="0048465E">
        <w:rPr>
          <w:rFonts w:asciiTheme="minorBidi" w:hAnsiTheme="minorBidi" w:cstheme="minorBidi"/>
          <w:color w:val="000000" w:themeColor="text1"/>
        </w:rPr>
        <w:t xml:space="preserve"> :</w:t>
      </w:r>
      <w:proofErr w:type="gramEnd"/>
    </w:p>
    <w:p w:rsidR="00134A30" w:rsidRPr="0048465E" w:rsidRDefault="00F857D2" w:rsidP="004569A7">
      <w:pPr>
        <w:pStyle w:val="FirstParagraph"/>
        <w:spacing w:line="276" w:lineRule="auto"/>
        <w:jc w:val="both"/>
      </w:pPr>
      <w:r w:rsidRPr="0048465E">
        <w:t>Among the 82 positive cultures, 44 (53.7%) were from female patients and 38 (46.3%) from male patients.</w:t>
      </w:r>
    </w:p>
    <w:p w:rsidR="00134A30" w:rsidRPr="0048465E" w:rsidRDefault="0048465E" w:rsidP="004569A7">
      <w:pPr>
        <w:pStyle w:val="Heading4"/>
        <w:spacing w:line="276" w:lineRule="auto"/>
        <w:jc w:val="center"/>
        <w:rPr>
          <w:i w:val="0"/>
          <w:iCs/>
          <w:color w:val="000000" w:themeColor="text1"/>
        </w:rPr>
      </w:pPr>
      <w:bookmarkStart w:id="8" w:name="X99f946a1c2aa708d43405d8f1df9f7f312c9eb3"/>
      <w:r w:rsidRPr="0048465E">
        <w:rPr>
          <w:i w:val="0"/>
          <w:iCs/>
          <w:color w:val="000000" w:themeColor="text1"/>
          <w:highlight w:val="yellow"/>
        </w:rPr>
        <w:t>Table 2: The distribution of genders in positive cases of UTI.</w:t>
      </w:r>
    </w:p>
    <w:tbl>
      <w:tblPr>
        <w:tblStyle w:val="Table"/>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964"/>
        <w:gridCol w:w="2158"/>
        <w:gridCol w:w="1810"/>
      </w:tblGrid>
      <w:tr w:rsidR="00134A30" w:rsidRPr="0048465E" w:rsidTr="00182A15">
        <w:trPr>
          <w:cnfStyle w:val="100000000000" w:firstRow="1" w:lastRow="0" w:firstColumn="0" w:lastColumn="0" w:oddVBand="0" w:evenVBand="0" w:oddHBand="0" w:evenHBand="0" w:firstRowFirstColumn="0" w:firstRowLastColumn="0" w:lastRowFirstColumn="0" w:lastRowLastColumn="0"/>
          <w:tblHeader/>
          <w:jc w:val="center"/>
        </w:trPr>
        <w:tc>
          <w:tcPr>
            <w:tcW w:w="0" w:type="auto"/>
            <w:tcBorders>
              <w:bottom w:val="none" w:sz="0" w:space="0" w:color="auto"/>
            </w:tcBorders>
            <w:shd w:val="clear" w:color="auto" w:fill="FDE9D9" w:themeFill="accent6" w:themeFillTint="33"/>
            <w:vAlign w:val="center"/>
          </w:tcPr>
          <w:p w:rsidR="00134A30" w:rsidRPr="0048465E" w:rsidRDefault="00F857D2" w:rsidP="004569A7">
            <w:pPr>
              <w:pStyle w:val="Compact"/>
              <w:spacing w:line="276" w:lineRule="auto"/>
              <w:jc w:val="center"/>
            </w:pPr>
            <w:r w:rsidRPr="0048465E">
              <w:t>Gender</w:t>
            </w:r>
          </w:p>
        </w:tc>
        <w:tc>
          <w:tcPr>
            <w:tcW w:w="0" w:type="auto"/>
            <w:tcBorders>
              <w:bottom w:val="none" w:sz="0" w:space="0" w:color="auto"/>
            </w:tcBorders>
            <w:shd w:val="clear" w:color="auto" w:fill="FDE9D9" w:themeFill="accent6" w:themeFillTint="33"/>
            <w:vAlign w:val="center"/>
          </w:tcPr>
          <w:p w:rsidR="00134A30" w:rsidRPr="0048465E" w:rsidRDefault="00F857D2" w:rsidP="004569A7">
            <w:pPr>
              <w:pStyle w:val="Compact"/>
              <w:spacing w:line="276" w:lineRule="auto"/>
              <w:jc w:val="center"/>
            </w:pPr>
            <w:r w:rsidRPr="0048465E">
              <w:t>Number of Isolates</w:t>
            </w:r>
          </w:p>
        </w:tc>
        <w:tc>
          <w:tcPr>
            <w:tcW w:w="0" w:type="auto"/>
            <w:tcBorders>
              <w:bottom w:val="none" w:sz="0" w:space="0" w:color="auto"/>
            </w:tcBorders>
            <w:shd w:val="clear" w:color="auto" w:fill="FDE9D9" w:themeFill="accent6" w:themeFillTint="33"/>
            <w:vAlign w:val="center"/>
          </w:tcPr>
          <w:p w:rsidR="00134A30" w:rsidRPr="0048465E" w:rsidRDefault="00F857D2" w:rsidP="004569A7">
            <w:pPr>
              <w:pStyle w:val="Compact"/>
              <w:spacing w:line="276" w:lineRule="auto"/>
              <w:jc w:val="center"/>
            </w:pPr>
            <w:r w:rsidRPr="0048465E">
              <w:t>Percentage (%)</w:t>
            </w:r>
          </w:p>
        </w:tc>
      </w:tr>
      <w:tr w:rsidR="00134A30" w:rsidRPr="0048465E" w:rsidTr="00182A15">
        <w:trPr>
          <w:jc w:val="center"/>
        </w:trPr>
        <w:tc>
          <w:tcPr>
            <w:tcW w:w="0" w:type="auto"/>
            <w:vAlign w:val="center"/>
          </w:tcPr>
          <w:p w:rsidR="00134A30" w:rsidRPr="0048465E" w:rsidRDefault="00F857D2" w:rsidP="004569A7">
            <w:pPr>
              <w:pStyle w:val="Compact"/>
              <w:spacing w:line="276" w:lineRule="auto"/>
              <w:jc w:val="center"/>
            </w:pPr>
            <w:r w:rsidRPr="0048465E">
              <w:t>Male</w:t>
            </w:r>
          </w:p>
        </w:tc>
        <w:tc>
          <w:tcPr>
            <w:tcW w:w="0" w:type="auto"/>
            <w:vAlign w:val="center"/>
          </w:tcPr>
          <w:p w:rsidR="00134A30" w:rsidRPr="0048465E" w:rsidRDefault="00F857D2" w:rsidP="004569A7">
            <w:pPr>
              <w:pStyle w:val="Compact"/>
              <w:spacing w:line="276" w:lineRule="auto"/>
              <w:jc w:val="center"/>
            </w:pPr>
            <w:r w:rsidRPr="0048465E">
              <w:t>38</w:t>
            </w:r>
          </w:p>
        </w:tc>
        <w:tc>
          <w:tcPr>
            <w:tcW w:w="0" w:type="auto"/>
            <w:vAlign w:val="center"/>
          </w:tcPr>
          <w:p w:rsidR="00134A30" w:rsidRPr="0048465E" w:rsidRDefault="00F857D2" w:rsidP="004569A7">
            <w:pPr>
              <w:pStyle w:val="Compact"/>
              <w:spacing w:line="276" w:lineRule="auto"/>
              <w:jc w:val="center"/>
            </w:pPr>
            <w:r w:rsidRPr="0048465E">
              <w:t>46.3</w:t>
            </w:r>
          </w:p>
        </w:tc>
      </w:tr>
      <w:tr w:rsidR="00134A30" w:rsidRPr="0048465E" w:rsidTr="00182A15">
        <w:trPr>
          <w:jc w:val="center"/>
        </w:trPr>
        <w:tc>
          <w:tcPr>
            <w:tcW w:w="0" w:type="auto"/>
            <w:vAlign w:val="center"/>
          </w:tcPr>
          <w:p w:rsidR="00134A30" w:rsidRPr="0048465E" w:rsidRDefault="00F857D2" w:rsidP="004569A7">
            <w:pPr>
              <w:pStyle w:val="Compact"/>
              <w:spacing w:line="276" w:lineRule="auto"/>
              <w:jc w:val="center"/>
            </w:pPr>
            <w:r w:rsidRPr="0048465E">
              <w:t>Female</w:t>
            </w:r>
          </w:p>
        </w:tc>
        <w:tc>
          <w:tcPr>
            <w:tcW w:w="0" w:type="auto"/>
            <w:vAlign w:val="center"/>
          </w:tcPr>
          <w:p w:rsidR="00134A30" w:rsidRPr="0048465E" w:rsidRDefault="00F857D2" w:rsidP="004569A7">
            <w:pPr>
              <w:pStyle w:val="Compact"/>
              <w:spacing w:line="276" w:lineRule="auto"/>
              <w:jc w:val="center"/>
            </w:pPr>
            <w:r w:rsidRPr="0048465E">
              <w:t>44</w:t>
            </w:r>
          </w:p>
        </w:tc>
        <w:tc>
          <w:tcPr>
            <w:tcW w:w="0" w:type="auto"/>
            <w:vAlign w:val="center"/>
          </w:tcPr>
          <w:p w:rsidR="00134A30" w:rsidRPr="0048465E" w:rsidRDefault="00F857D2" w:rsidP="004569A7">
            <w:pPr>
              <w:pStyle w:val="Compact"/>
              <w:spacing w:line="276" w:lineRule="auto"/>
              <w:jc w:val="center"/>
            </w:pPr>
            <w:r w:rsidRPr="0048465E">
              <w:t>53.7</w:t>
            </w:r>
          </w:p>
        </w:tc>
      </w:tr>
      <w:tr w:rsidR="00134A30" w:rsidRPr="0048465E" w:rsidTr="00182A15">
        <w:trPr>
          <w:jc w:val="center"/>
        </w:trPr>
        <w:tc>
          <w:tcPr>
            <w:tcW w:w="0" w:type="auto"/>
            <w:vAlign w:val="center"/>
          </w:tcPr>
          <w:p w:rsidR="00134A30" w:rsidRPr="0048465E" w:rsidRDefault="00F857D2" w:rsidP="004569A7">
            <w:pPr>
              <w:pStyle w:val="Compact"/>
              <w:spacing w:line="276" w:lineRule="auto"/>
              <w:jc w:val="center"/>
            </w:pPr>
            <w:r w:rsidRPr="0048465E">
              <w:t>Total</w:t>
            </w:r>
          </w:p>
        </w:tc>
        <w:tc>
          <w:tcPr>
            <w:tcW w:w="0" w:type="auto"/>
            <w:vAlign w:val="center"/>
          </w:tcPr>
          <w:p w:rsidR="00134A30" w:rsidRPr="0048465E" w:rsidRDefault="00F857D2" w:rsidP="004569A7">
            <w:pPr>
              <w:pStyle w:val="Compact"/>
              <w:spacing w:line="276" w:lineRule="auto"/>
              <w:jc w:val="center"/>
            </w:pPr>
            <w:r w:rsidRPr="0048465E">
              <w:t>82</w:t>
            </w:r>
          </w:p>
        </w:tc>
        <w:tc>
          <w:tcPr>
            <w:tcW w:w="0" w:type="auto"/>
            <w:vAlign w:val="center"/>
          </w:tcPr>
          <w:p w:rsidR="00134A30" w:rsidRPr="0048465E" w:rsidRDefault="00F857D2" w:rsidP="004569A7">
            <w:pPr>
              <w:pStyle w:val="Compact"/>
              <w:spacing w:line="276" w:lineRule="auto"/>
              <w:jc w:val="center"/>
            </w:pPr>
            <w:r w:rsidRPr="0048465E">
              <w:t>100</w:t>
            </w:r>
          </w:p>
        </w:tc>
      </w:tr>
    </w:tbl>
    <w:p w:rsidR="00134A30" w:rsidRPr="0048465E" w:rsidRDefault="00F857D2" w:rsidP="004569A7">
      <w:pPr>
        <w:pStyle w:val="BodyText"/>
        <w:spacing w:line="276" w:lineRule="auto"/>
        <w:jc w:val="both"/>
      </w:pPr>
      <w:r w:rsidRPr="0048465E">
        <w:t>Chi-square analysis revealed a higher prevalence of culture-positive UTIs among females compared to males (p = 0.03, significant).</w:t>
      </w:r>
    </w:p>
    <w:p w:rsidR="00134A30" w:rsidRPr="0048465E" w:rsidRDefault="00F857D2" w:rsidP="004569A7">
      <w:pPr>
        <w:pStyle w:val="Heading3"/>
        <w:spacing w:line="276" w:lineRule="auto"/>
        <w:jc w:val="both"/>
        <w:rPr>
          <w:rFonts w:asciiTheme="minorBidi" w:hAnsiTheme="minorBidi" w:cstheme="minorBidi"/>
          <w:color w:val="000000" w:themeColor="text1"/>
        </w:rPr>
      </w:pPr>
      <w:bookmarkStart w:id="9" w:name="bacterial-etiology"/>
      <w:bookmarkEnd w:id="7"/>
      <w:bookmarkEnd w:id="8"/>
      <w:r w:rsidRPr="0048465E">
        <w:rPr>
          <w:rFonts w:asciiTheme="minorBidi" w:hAnsiTheme="minorBidi" w:cstheme="minorBidi"/>
          <w:color w:val="000000" w:themeColor="text1"/>
        </w:rPr>
        <w:lastRenderedPageBreak/>
        <w:t xml:space="preserve">Bacterial </w:t>
      </w:r>
      <w:proofErr w:type="gramStart"/>
      <w:r w:rsidRPr="0048465E">
        <w:rPr>
          <w:rFonts w:asciiTheme="minorBidi" w:hAnsiTheme="minorBidi" w:cstheme="minorBidi"/>
          <w:color w:val="000000" w:themeColor="text1"/>
        </w:rPr>
        <w:t>Etiology</w:t>
      </w:r>
      <w:r w:rsidR="00182A15" w:rsidRPr="0048465E">
        <w:rPr>
          <w:rFonts w:asciiTheme="minorBidi" w:hAnsiTheme="minorBidi" w:cstheme="minorBidi"/>
          <w:color w:val="000000" w:themeColor="text1"/>
        </w:rPr>
        <w:t xml:space="preserve"> :</w:t>
      </w:r>
      <w:proofErr w:type="gramEnd"/>
    </w:p>
    <w:p w:rsidR="00134A30" w:rsidRPr="0048465E" w:rsidRDefault="00182A15" w:rsidP="004569A7">
      <w:pPr>
        <w:pStyle w:val="FirstParagraph"/>
        <w:spacing w:line="276" w:lineRule="auto"/>
        <w:jc w:val="both"/>
      </w:pPr>
      <w:r w:rsidRPr="0048465E">
        <w:t xml:space="preserve">    </w:t>
      </w:r>
      <w:r w:rsidR="00F857D2" w:rsidRPr="0048465E">
        <w:rPr>
          <w:i/>
          <w:iCs/>
        </w:rPr>
        <w:t>Escherichia</w:t>
      </w:r>
      <w:r w:rsidR="00F857D2" w:rsidRPr="0048465E">
        <w:t xml:space="preserve"> </w:t>
      </w:r>
      <w:r w:rsidR="00F857D2" w:rsidRPr="0048465E">
        <w:rPr>
          <w:i/>
          <w:iCs/>
        </w:rPr>
        <w:t>coli</w:t>
      </w:r>
      <w:r w:rsidR="00F857D2" w:rsidRPr="0048465E">
        <w:t xml:space="preserve"> was the most frequently isolated </w:t>
      </w:r>
      <w:proofErr w:type="spellStart"/>
      <w:r w:rsidR="00F857D2" w:rsidRPr="0048465E">
        <w:t>uropathogen</w:t>
      </w:r>
      <w:proofErr w:type="spellEnd"/>
      <w:r w:rsidR="00F857D2" w:rsidRPr="0048465E">
        <w:t xml:space="preserve">, followed by </w:t>
      </w:r>
      <w:r w:rsidR="00F857D2" w:rsidRPr="0048465E">
        <w:rPr>
          <w:i/>
          <w:iCs/>
        </w:rPr>
        <w:t>Klebsiella</w:t>
      </w:r>
      <w:r w:rsidR="00F857D2" w:rsidRPr="0048465E">
        <w:t xml:space="preserve"> </w:t>
      </w:r>
      <w:r w:rsidR="00F857D2" w:rsidRPr="0048465E">
        <w:rPr>
          <w:i/>
          <w:iCs/>
        </w:rPr>
        <w:t>pneumoniae</w:t>
      </w:r>
      <w:r w:rsidR="00F857D2" w:rsidRPr="0048465E">
        <w:t xml:space="preserve">, </w:t>
      </w:r>
      <w:r w:rsidR="00F857D2" w:rsidRPr="0048465E">
        <w:rPr>
          <w:i/>
          <w:iCs/>
        </w:rPr>
        <w:t>Proteus</w:t>
      </w:r>
      <w:r w:rsidR="00F857D2" w:rsidRPr="0048465E">
        <w:t xml:space="preserve"> </w:t>
      </w:r>
      <w:r w:rsidR="00F857D2" w:rsidRPr="0048465E">
        <w:rPr>
          <w:i/>
          <w:iCs/>
        </w:rPr>
        <w:t>mirabilis</w:t>
      </w:r>
      <w:r w:rsidR="00F857D2" w:rsidRPr="0048465E">
        <w:t xml:space="preserve">, </w:t>
      </w:r>
      <w:r w:rsidR="00F857D2" w:rsidRPr="0048465E">
        <w:rPr>
          <w:i/>
          <w:iCs/>
        </w:rPr>
        <w:t>Pseudomonas aeruginosa</w:t>
      </w:r>
      <w:r w:rsidR="00F857D2" w:rsidRPr="0048465E">
        <w:t xml:space="preserve">, and </w:t>
      </w:r>
      <w:r w:rsidR="00F857D2" w:rsidRPr="0048465E">
        <w:rPr>
          <w:i/>
          <w:iCs/>
        </w:rPr>
        <w:t>Staphylococcus</w:t>
      </w:r>
      <w:r w:rsidR="00F857D2" w:rsidRPr="0048465E">
        <w:t xml:space="preserve"> </w:t>
      </w:r>
      <w:r w:rsidR="00F857D2" w:rsidRPr="0048465E">
        <w:rPr>
          <w:i/>
          <w:iCs/>
        </w:rPr>
        <w:t>saprophyticus</w:t>
      </w:r>
      <w:r w:rsidR="00F857D2" w:rsidRPr="0048465E">
        <w:t>.</w:t>
      </w:r>
    </w:p>
    <w:p w:rsidR="00134A30" w:rsidRPr="0048465E" w:rsidRDefault="0048465E" w:rsidP="004569A7">
      <w:pPr>
        <w:pStyle w:val="Heading4"/>
        <w:spacing w:line="276" w:lineRule="auto"/>
        <w:jc w:val="center"/>
        <w:rPr>
          <w:i w:val="0"/>
          <w:iCs/>
          <w:color w:val="000000" w:themeColor="text1"/>
        </w:rPr>
      </w:pPr>
      <w:bookmarkStart w:id="10" w:name="Xe0731ce29629a0b78ab4b39d6f01db6431aa163"/>
      <w:r w:rsidRPr="0048465E">
        <w:rPr>
          <w:i w:val="0"/>
          <w:iCs/>
          <w:color w:val="000000" w:themeColor="text1"/>
          <w:highlight w:val="yellow"/>
        </w:rPr>
        <w:t xml:space="preserve">Table 3: The distribution of </w:t>
      </w:r>
      <w:proofErr w:type="spellStart"/>
      <w:r w:rsidRPr="0048465E">
        <w:rPr>
          <w:i w:val="0"/>
          <w:iCs/>
          <w:color w:val="000000" w:themeColor="text1"/>
          <w:highlight w:val="yellow"/>
        </w:rPr>
        <w:t>Uropathogens</w:t>
      </w:r>
      <w:proofErr w:type="spellEnd"/>
      <w:r w:rsidRPr="0048465E">
        <w:rPr>
          <w:i w:val="0"/>
          <w:iCs/>
          <w:color w:val="000000" w:themeColor="text1"/>
          <w:highlight w:val="yellow"/>
        </w:rPr>
        <w:t xml:space="preserve"> that were isolated from urine samples.</w:t>
      </w:r>
    </w:p>
    <w:tbl>
      <w:tblPr>
        <w:tblStyle w:val="Table"/>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3197"/>
        <w:gridCol w:w="2158"/>
        <w:gridCol w:w="1810"/>
      </w:tblGrid>
      <w:tr w:rsidR="00134A30" w:rsidRPr="0048465E" w:rsidTr="00B40A7D">
        <w:trPr>
          <w:cnfStyle w:val="100000000000" w:firstRow="1" w:lastRow="0" w:firstColumn="0" w:lastColumn="0" w:oddVBand="0" w:evenVBand="0" w:oddHBand="0" w:evenHBand="0" w:firstRowFirstColumn="0" w:firstRowLastColumn="0" w:lastRowFirstColumn="0" w:lastRowLastColumn="0"/>
          <w:tblHeader/>
          <w:jc w:val="center"/>
        </w:trPr>
        <w:tc>
          <w:tcPr>
            <w:tcW w:w="0" w:type="auto"/>
            <w:tcBorders>
              <w:bottom w:val="none" w:sz="0" w:space="0" w:color="auto"/>
            </w:tcBorders>
            <w:shd w:val="clear" w:color="auto" w:fill="FDE9D9" w:themeFill="accent6" w:themeFillTint="33"/>
            <w:vAlign w:val="center"/>
          </w:tcPr>
          <w:p w:rsidR="00134A30" w:rsidRPr="0048465E" w:rsidRDefault="00F857D2" w:rsidP="004569A7">
            <w:pPr>
              <w:pStyle w:val="Compact"/>
              <w:spacing w:line="276" w:lineRule="auto"/>
              <w:jc w:val="center"/>
            </w:pPr>
            <w:r w:rsidRPr="0048465E">
              <w:t>Bacterial Species</w:t>
            </w:r>
          </w:p>
        </w:tc>
        <w:tc>
          <w:tcPr>
            <w:tcW w:w="0" w:type="auto"/>
            <w:tcBorders>
              <w:bottom w:val="none" w:sz="0" w:space="0" w:color="auto"/>
            </w:tcBorders>
            <w:shd w:val="clear" w:color="auto" w:fill="FDE9D9" w:themeFill="accent6" w:themeFillTint="33"/>
            <w:vAlign w:val="center"/>
          </w:tcPr>
          <w:p w:rsidR="00134A30" w:rsidRPr="0048465E" w:rsidRDefault="00F857D2" w:rsidP="004569A7">
            <w:pPr>
              <w:pStyle w:val="Compact"/>
              <w:spacing w:line="276" w:lineRule="auto"/>
              <w:jc w:val="center"/>
            </w:pPr>
            <w:r w:rsidRPr="0048465E">
              <w:t>Number of Isolates</w:t>
            </w:r>
          </w:p>
        </w:tc>
        <w:tc>
          <w:tcPr>
            <w:tcW w:w="0" w:type="auto"/>
            <w:tcBorders>
              <w:bottom w:val="none" w:sz="0" w:space="0" w:color="auto"/>
            </w:tcBorders>
            <w:shd w:val="clear" w:color="auto" w:fill="FDE9D9" w:themeFill="accent6" w:themeFillTint="33"/>
            <w:vAlign w:val="center"/>
          </w:tcPr>
          <w:p w:rsidR="00134A30" w:rsidRPr="0048465E" w:rsidRDefault="00F857D2" w:rsidP="004569A7">
            <w:pPr>
              <w:pStyle w:val="Compact"/>
              <w:spacing w:line="276" w:lineRule="auto"/>
              <w:jc w:val="center"/>
            </w:pPr>
            <w:r w:rsidRPr="0048465E">
              <w:t>Percentage (%)</w:t>
            </w:r>
          </w:p>
        </w:tc>
      </w:tr>
      <w:tr w:rsidR="00134A30" w:rsidRPr="0048465E" w:rsidTr="00B40A7D">
        <w:trPr>
          <w:jc w:val="center"/>
        </w:trPr>
        <w:tc>
          <w:tcPr>
            <w:tcW w:w="0" w:type="auto"/>
            <w:vAlign w:val="center"/>
          </w:tcPr>
          <w:p w:rsidR="00134A30" w:rsidRPr="0048465E" w:rsidRDefault="00F857D2" w:rsidP="004569A7">
            <w:pPr>
              <w:pStyle w:val="Compact"/>
              <w:spacing w:line="276" w:lineRule="auto"/>
              <w:jc w:val="center"/>
              <w:rPr>
                <w:i/>
                <w:iCs/>
              </w:rPr>
            </w:pPr>
            <w:r w:rsidRPr="0048465E">
              <w:rPr>
                <w:i/>
                <w:iCs/>
              </w:rPr>
              <w:t>Escherichia coli</w:t>
            </w:r>
          </w:p>
        </w:tc>
        <w:tc>
          <w:tcPr>
            <w:tcW w:w="0" w:type="auto"/>
            <w:vAlign w:val="center"/>
          </w:tcPr>
          <w:p w:rsidR="00134A30" w:rsidRPr="0048465E" w:rsidRDefault="00F857D2" w:rsidP="004569A7">
            <w:pPr>
              <w:pStyle w:val="Compact"/>
              <w:spacing w:line="276" w:lineRule="auto"/>
              <w:jc w:val="center"/>
            </w:pPr>
            <w:r w:rsidRPr="0048465E">
              <w:t>48</w:t>
            </w:r>
          </w:p>
        </w:tc>
        <w:tc>
          <w:tcPr>
            <w:tcW w:w="0" w:type="auto"/>
            <w:vAlign w:val="center"/>
          </w:tcPr>
          <w:p w:rsidR="00134A30" w:rsidRPr="0048465E" w:rsidRDefault="00F857D2" w:rsidP="004569A7">
            <w:pPr>
              <w:pStyle w:val="Compact"/>
              <w:spacing w:line="276" w:lineRule="auto"/>
              <w:jc w:val="center"/>
            </w:pPr>
            <w:r w:rsidRPr="0048465E">
              <w:t>58.5</w:t>
            </w:r>
          </w:p>
        </w:tc>
      </w:tr>
      <w:tr w:rsidR="00134A30" w:rsidRPr="0048465E" w:rsidTr="00B40A7D">
        <w:trPr>
          <w:jc w:val="center"/>
        </w:trPr>
        <w:tc>
          <w:tcPr>
            <w:tcW w:w="0" w:type="auto"/>
            <w:vAlign w:val="center"/>
          </w:tcPr>
          <w:p w:rsidR="00134A30" w:rsidRPr="0048465E" w:rsidRDefault="00F857D2" w:rsidP="004569A7">
            <w:pPr>
              <w:pStyle w:val="Compact"/>
              <w:spacing w:line="276" w:lineRule="auto"/>
              <w:jc w:val="center"/>
              <w:rPr>
                <w:i/>
                <w:iCs/>
              </w:rPr>
            </w:pPr>
            <w:r w:rsidRPr="0048465E">
              <w:rPr>
                <w:i/>
                <w:iCs/>
              </w:rPr>
              <w:t>Klebsiella pneumoniae</w:t>
            </w:r>
          </w:p>
        </w:tc>
        <w:tc>
          <w:tcPr>
            <w:tcW w:w="0" w:type="auto"/>
            <w:vAlign w:val="center"/>
          </w:tcPr>
          <w:p w:rsidR="00134A30" w:rsidRPr="0048465E" w:rsidRDefault="00F857D2" w:rsidP="004569A7">
            <w:pPr>
              <w:pStyle w:val="Compact"/>
              <w:spacing w:line="276" w:lineRule="auto"/>
              <w:jc w:val="center"/>
            </w:pPr>
            <w:r w:rsidRPr="0048465E">
              <w:t>14</w:t>
            </w:r>
          </w:p>
        </w:tc>
        <w:tc>
          <w:tcPr>
            <w:tcW w:w="0" w:type="auto"/>
            <w:vAlign w:val="center"/>
          </w:tcPr>
          <w:p w:rsidR="00134A30" w:rsidRPr="0048465E" w:rsidRDefault="00F857D2" w:rsidP="004569A7">
            <w:pPr>
              <w:pStyle w:val="Compact"/>
              <w:spacing w:line="276" w:lineRule="auto"/>
              <w:jc w:val="center"/>
            </w:pPr>
            <w:r w:rsidRPr="0048465E">
              <w:t>17.1</w:t>
            </w:r>
          </w:p>
        </w:tc>
      </w:tr>
      <w:tr w:rsidR="00134A30" w:rsidRPr="0048465E" w:rsidTr="00B40A7D">
        <w:trPr>
          <w:jc w:val="center"/>
        </w:trPr>
        <w:tc>
          <w:tcPr>
            <w:tcW w:w="0" w:type="auto"/>
            <w:vAlign w:val="center"/>
          </w:tcPr>
          <w:p w:rsidR="00134A30" w:rsidRPr="0048465E" w:rsidRDefault="00F857D2" w:rsidP="004569A7">
            <w:pPr>
              <w:pStyle w:val="Compact"/>
              <w:spacing w:line="276" w:lineRule="auto"/>
              <w:jc w:val="center"/>
              <w:rPr>
                <w:i/>
                <w:iCs/>
              </w:rPr>
            </w:pPr>
            <w:r w:rsidRPr="0048465E">
              <w:rPr>
                <w:i/>
                <w:iCs/>
              </w:rPr>
              <w:t>Proteus mirabilis</w:t>
            </w:r>
          </w:p>
        </w:tc>
        <w:tc>
          <w:tcPr>
            <w:tcW w:w="0" w:type="auto"/>
            <w:vAlign w:val="center"/>
          </w:tcPr>
          <w:p w:rsidR="00134A30" w:rsidRPr="0048465E" w:rsidRDefault="00F857D2" w:rsidP="004569A7">
            <w:pPr>
              <w:pStyle w:val="Compact"/>
              <w:spacing w:line="276" w:lineRule="auto"/>
              <w:jc w:val="center"/>
            </w:pPr>
            <w:r w:rsidRPr="0048465E">
              <w:t>6</w:t>
            </w:r>
          </w:p>
        </w:tc>
        <w:tc>
          <w:tcPr>
            <w:tcW w:w="0" w:type="auto"/>
            <w:vAlign w:val="center"/>
          </w:tcPr>
          <w:p w:rsidR="00134A30" w:rsidRPr="0048465E" w:rsidRDefault="00F857D2" w:rsidP="004569A7">
            <w:pPr>
              <w:pStyle w:val="Compact"/>
              <w:spacing w:line="276" w:lineRule="auto"/>
              <w:jc w:val="center"/>
            </w:pPr>
            <w:r w:rsidRPr="0048465E">
              <w:t>7.3</w:t>
            </w:r>
          </w:p>
        </w:tc>
      </w:tr>
      <w:tr w:rsidR="00134A30" w:rsidRPr="0048465E" w:rsidTr="00B40A7D">
        <w:trPr>
          <w:jc w:val="center"/>
        </w:trPr>
        <w:tc>
          <w:tcPr>
            <w:tcW w:w="0" w:type="auto"/>
            <w:vAlign w:val="center"/>
          </w:tcPr>
          <w:p w:rsidR="00134A30" w:rsidRPr="0048465E" w:rsidRDefault="00F857D2" w:rsidP="004569A7">
            <w:pPr>
              <w:pStyle w:val="Compact"/>
              <w:spacing w:line="276" w:lineRule="auto"/>
              <w:jc w:val="center"/>
              <w:rPr>
                <w:i/>
                <w:iCs/>
              </w:rPr>
            </w:pPr>
            <w:r w:rsidRPr="0048465E">
              <w:rPr>
                <w:i/>
                <w:iCs/>
              </w:rPr>
              <w:t>Pseudomonas aeruginosa</w:t>
            </w:r>
          </w:p>
        </w:tc>
        <w:tc>
          <w:tcPr>
            <w:tcW w:w="0" w:type="auto"/>
            <w:vAlign w:val="center"/>
          </w:tcPr>
          <w:p w:rsidR="00134A30" w:rsidRPr="0048465E" w:rsidRDefault="00F857D2" w:rsidP="004569A7">
            <w:pPr>
              <w:pStyle w:val="Compact"/>
              <w:spacing w:line="276" w:lineRule="auto"/>
              <w:jc w:val="center"/>
            </w:pPr>
            <w:r w:rsidRPr="0048465E">
              <w:t>5</w:t>
            </w:r>
          </w:p>
        </w:tc>
        <w:tc>
          <w:tcPr>
            <w:tcW w:w="0" w:type="auto"/>
            <w:vAlign w:val="center"/>
          </w:tcPr>
          <w:p w:rsidR="00134A30" w:rsidRPr="0048465E" w:rsidRDefault="00F857D2" w:rsidP="004569A7">
            <w:pPr>
              <w:pStyle w:val="Compact"/>
              <w:spacing w:line="276" w:lineRule="auto"/>
              <w:jc w:val="center"/>
            </w:pPr>
            <w:r w:rsidRPr="0048465E">
              <w:t>6.1</w:t>
            </w:r>
          </w:p>
        </w:tc>
      </w:tr>
      <w:tr w:rsidR="00134A30" w:rsidRPr="0048465E" w:rsidTr="00B40A7D">
        <w:trPr>
          <w:jc w:val="center"/>
        </w:trPr>
        <w:tc>
          <w:tcPr>
            <w:tcW w:w="0" w:type="auto"/>
            <w:vAlign w:val="center"/>
          </w:tcPr>
          <w:p w:rsidR="00134A30" w:rsidRPr="0048465E" w:rsidRDefault="00F857D2" w:rsidP="004569A7">
            <w:pPr>
              <w:pStyle w:val="Compact"/>
              <w:spacing w:line="276" w:lineRule="auto"/>
              <w:jc w:val="center"/>
              <w:rPr>
                <w:i/>
                <w:iCs/>
              </w:rPr>
            </w:pPr>
            <w:r w:rsidRPr="0048465E">
              <w:rPr>
                <w:i/>
                <w:iCs/>
              </w:rPr>
              <w:t>Staphylococcus saprophyticus</w:t>
            </w:r>
          </w:p>
        </w:tc>
        <w:tc>
          <w:tcPr>
            <w:tcW w:w="0" w:type="auto"/>
            <w:vAlign w:val="center"/>
          </w:tcPr>
          <w:p w:rsidR="00134A30" w:rsidRPr="0048465E" w:rsidRDefault="00F857D2" w:rsidP="004569A7">
            <w:pPr>
              <w:pStyle w:val="Compact"/>
              <w:spacing w:line="276" w:lineRule="auto"/>
              <w:jc w:val="center"/>
            </w:pPr>
            <w:r w:rsidRPr="0048465E">
              <w:t>4</w:t>
            </w:r>
          </w:p>
        </w:tc>
        <w:tc>
          <w:tcPr>
            <w:tcW w:w="0" w:type="auto"/>
            <w:vAlign w:val="center"/>
          </w:tcPr>
          <w:p w:rsidR="00134A30" w:rsidRPr="0048465E" w:rsidRDefault="00F857D2" w:rsidP="004569A7">
            <w:pPr>
              <w:pStyle w:val="Compact"/>
              <w:spacing w:line="276" w:lineRule="auto"/>
              <w:jc w:val="center"/>
            </w:pPr>
            <w:r w:rsidRPr="0048465E">
              <w:t>4.9</w:t>
            </w:r>
          </w:p>
        </w:tc>
      </w:tr>
      <w:tr w:rsidR="00134A30" w:rsidRPr="0048465E" w:rsidTr="00B40A7D">
        <w:trPr>
          <w:jc w:val="center"/>
        </w:trPr>
        <w:tc>
          <w:tcPr>
            <w:tcW w:w="0" w:type="auto"/>
            <w:vAlign w:val="center"/>
          </w:tcPr>
          <w:p w:rsidR="00134A30" w:rsidRPr="0048465E" w:rsidRDefault="00F857D2" w:rsidP="004569A7">
            <w:pPr>
              <w:pStyle w:val="Compact"/>
              <w:spacing w:line="276" w:lineRule="auto"/>
              <w:jc w:val="center"/>
              <w:rPr>
                <w:i/>
                <w:iCs/>
              </w:rPr>
            </w:pPr>
            <w:r w:rsidRPr="0048465E">
              <w:rPr>
                <w:i/>
                <w:iCs/>
              </w:rPr>
              <w:t>Enterococcus faecalis</w:t>
            </w:r>
          </w:p>
        </w:tc>
        <w:tc>
          <w:tcPr>
            <w:tcW w:w="0" w:type="auto"/>
            <w:vAlign w:val="center"/>
          </w:tcPr>
          <w:p w:rsidR="00134A30" w:rsidRPr="0048465E" w:rsidRDefault="00F857D2" w:rsidP="004569A7">
            <w:pPr>
              <w:pStyle w:val="Compact"/>
              <w:spacing w:line="276" w:lineRule="auto"/>
              <w:jc w:val="center"/>
            </w:pPr>
            <w:r w:rsidRPr="0048465E">
              <w:t>3</w:t>
            </w:r>
          </w:p>
        </w:tc>
        <w:tc>
          <w:tcPr>
            <w:tcW w:w="0" w:type="auto"/>
            <w:vAlign w:val="center"/>
          </w:tcPr>
          <w:p w:rsidR="00134A30" w:rsidRPr="0048465E" w:rsidRDefault="00F857D2" w:rsidP="004569A7">
            <w:pPr>
              <w:pStyle w:val="Compact"/>
              <w:spacing w:line="276" w:lineRule="auto"/>
              <w:jc w:val="center"/>
            </w:pPr>
            <w:r w:rsidRPr="0048465E">
              <w:t>3.7</w:t>
            </w:r>
          </w:p>
        </w:tc>
      </w:tr>
      <w:tr w:rsidR="00134A30" w:rsidRPr="0048465E" w:rsidTr="00B40A7D">
        <w:trPr>
          <w:jc w:val="center"/>
        </w:trPr>
        <w:tc>
          <w:tcPr>
            <w:tcW w:w="0" w:type="auto"/>
            <w:vAlign w:val="center"/>
          </w:tcPr>
          <w:p w:rsidR="00134A30" w:rsidRPr="0048465E" w:rsidRDefault="00F857D2" w:rsidP="004569A7">
            <w:pPr>
              <w:pStyle w:val="Compact"/>
              <w:spacing w:line="276" w:lineRule="auto"/>
              <w:jc w:val="center"/>
            </w:pPr>
            <w:r w:rsidRPr="0048465E">
              <w:t>Others</w:t>
            </w:r>
          </w:p>
        </w:tc>
        <w:tc>
          <w:tcPr>
            <w:tcW w:w="0" w:type="auto"/>
            <w:vAlign w:val="center"/>
          </w:tcPr>
          <w:p w:rsidR="00134A30" w:rsidRPr="0048465E" w:rsidRDefault="00F857D2" w:rsidP="004569A7">
            <w:pPr>
              <w:pStyle w:val="Compact"/>
              <w:spacing w:line="276" w:lineRule="auto"/>
              <w:jc w:val="center"/>
            </w:pPr>
            <w:r w:rsidRPr="0048465E">
              <w:t>2</w:t>
            </w:r>
          </w:p>
        </w:tc>
        <w:tc>
          <w:tcPr>
            <w:tcW w:w="0" w:type="auto"/>
            <w:vAlign w:val="center"/>
          </w:tcPr>
          <w:p w:rsidR="00134A30" w:rsidRPr="0048465E" w:rsidRDefault="00F857D2" w:rsidP="004569A7">
            <w:pPr>
              <w:pStyle w:val="Compact"/>
              <w:spacing w:line="276" w:lineRule="auto"/>
              <w:jc w:val="center"/>
            </w:pPr>
            <w:r w:rsidRPr="0048465E">
              <w:t>2.4</w:t>
            </w:r>
          </w:p>
        </w:tc>
      </w:tr>
      <w:tr w:rsidR="00134A30" w:rsidRPr="0048465E" w:rsidTr="00B40A7D">
        <w:trPr>
          <w:jc w:val="center"/>
        </w:trPr>
        <w:tc>
          <w:tcPr>
            <w:tcW w:w="0" w:type="auto"/>
            <w:vAlign w:val="center"/>
          </w:tcPr>
          <w:p w:rsidR="00134A30" w:rsidRPr="0048465E" w:rsidRDefault="00F857D2" w:rsidP="004569A7">
            <w:pPr>
              <w:pStyle w:val="Compact"/>
              <w:spacing w:line="276" w:lineRule="auto"/>
              <w:jc w:val="center"/>
            </w:pPr>
            <w:r w:rsidRPr="0048465E">
              <w:rPr>
                <w:b/>
                <w:bCs/>
              </w:rPr>
              <w:t>Total</w:t>
            </w:r>
          </w:p>
        </w:tc>
        <w:tc>
          <w:tcPr>
            <w:tcW w:w="0" w:type="auto"/>
            <w:vAlign w:val="center"/>
          </w:tcPr>
          <w:p w:rsidR="00134A30" w:rsidRPr="0048465E" w:rsidRDefault="00F857D2" w:rsidP="004569A7">
            <w:pPr>
              <w:pStyle w:val="Compact"/>
              <w:spacing w:line="276" w:lineRule="auto"/>
              <w:jc w:val="center"/>
            </w:pPr>
            <w:r w:rsidRPr="0048465E">
              <w:rPr>
                <w:b/>
                <w:bCs/>
              </w:rPr>
              <w:t>82</w:t>
            </w:r>
          </w:p>
        </w:tc>
        <w:tc>
          <w:tcPr>
            <w:tcW w:w="0" w:type="auto"/>
            <w:vAlign w:val="center"/>
          </w:tcPr>
          <w:p w:rsidR="00134A30" w:rsidRPr="0048465E" w:rsidRDefault="00F857D2" w:rsidP="004569A7">
            <w:pPr>
              <w:pStyle w:val="Compact"/>
              <w:spacing w:line="276" w:lineRule="auto"/>
              <w:jc w:val="center"/>
            </w:pPr>
            <w:r w:rsidRPr="0048465E">
              <w:rPr>
                <w:b/>
                <w:bCs/>
              </w:rPr>
              <w:t>100</w:t>
            </w:r>
          </w:p>
        </w:tc>
      </w:tr>
    </w:tbl>
    <w:p w:rsidR="00134A30" w:rsidRPr="0048465E" w:rsidRDefault="00F857D2" w:rsidP="004569A7">
      <w:pPr>
        <w:pStyle w:val="Heading3"/>
        <w:spacing w:line="276" w:lineRule="auto"/>
        <w:rPr>
          <w:rFonts w:asciiTheme="minorBidi" w:hAnsiTheme="minorBidi" w:cstheme="minorBidi"/>
          <w:color w:val="000000" w:themeColor="text1"/>
        </w:rPr>
      </w:pPr>
      <w:bookmarkStart w:id="11" w:name="antimicrobial-susceptibility-patterns"/>
      <w:bookmarkEnd w:id="9"/>
      <w:bookmarkEnd w:id="10"/>
      <w:r w:rsidRPr="0048465E">
        <w:rPr>
          <w:rFonts w:asciiTheme="minorBidi" w:hAnsiTheme="minorBidi" w:cstheme="minorBidi"/>
          <w:color w:val="000000" w:themeColor="text1"/>
        </w:rPr>
        <w:t xml:space="preserve">Antimicrobial Susceptibility </w:t>
      </w:r>
      <w:proofErr w:type="gramStart"/>
      <w:r w:rsidRPr="0048465E">
        <w:rPr>
          <w:rFonts w:asciiTheme="minorBidi" w:hAnsiTheme="minorBidi" w:cstheme="minorBidi"/>
          <w:color w:val="000000" w:themeColor="text1"/>
        </w:rPr>
        <w:t>Patterns</w:t>
      </w:r>
      <w:r w:rsidR="00715A01" w:rsidRPr="0048465E">
        <w:rPr>
          <w:rFonts w:asciiTheme="minorBidi" w:hAnsiTheme="minorBidi" w:cstheme="minorBidi"/>
          <w:color w:val="000000" w:themeColor="text1"/>
        </w:rPr>
        <w:t xml:space="preserve"> :</w:t>
      </w:r>
      <w:proofErr w:type="gramEnd"/>
    </w:p>
    <w:p w:rsidR="00134A30" w:rsidRPr="0048465E" w:rsidRDefault="00715A01" w:rsidP="004569A7">
      <w:pPr>
        <w:pStyle w:val="FirstParagraph"/>
        <w:spacing w:line="276" w:lineRule="auto"/>
        <w:jc w:val="both"/>
      </w:pPr>
      <w:r w:rsidRPr="0048465E">
        <w:t xml:space="preserve">     </w:t>
      </w:r>
      <w:r w:rsidR="00F857D2" w:rsidRPr="0048465E">
        <w:t xml:space="preserve">The antimicrobial susceptibility profiles demonstrated high levels of resistance to commonly used antibiotics, especially among </w:t>
      </w:r>
      <w:r w:rsidR="00F857D2" w:rsidRPr="006C2FF5">
        <w:rPr>
          <w:i/>
          <w:iCs/>
        </w:rPr>
        <w:t>E. coli</w:t>
      </w:r>
      <w:r w:rsidR="00F857D2" w:rsidRPr="0048465E">
        <w:t xml:space="preserve"> and </w:t>
      </w:r>
      <w:r w:rsidR="00F857D2" w:rsidRPr="006C2FF5">
        <w:rPr>
          <w:i/>
          <w:iCs/>
        </w:rPr>
        <w:t>K. pneumoniae</w:t>
      </w:r>
      <w:r w:rsidR="00F857D2" w:rsidRPr="0048465E">
        <w:t xml:space="preserve"> isolates. The highest rates of resistance were observed for amoxicillin-clavulanate and trimethoprim-sulfamethoxazole. Imipenem and nitrofurantoin remained the most effective agents.</w:t>
      </w:r>
    </w:p>
    <w:p w:rsidR="00134A30" w:rsidRPr="0048465E" w:rsidRDefault="0048465E" w:rsidP="004569A7">
      <w:pPr>
        <w:pStyle w:val="Heading4"/>
        <w:spacing w:line="276" w:lineRule="auto"/>
        <w:jc w:val="center"/>
        <w:rPr>
          <w:i w:val="0"/>
          <w:iCs/>
          <w:color w:val="000000" w:themeColor="text1"/>
        </w:rPr>
      </w:pPr>
      <w:bookmarkStart w:id="12" w:name="X60727af332c6ce56cb9b49dd4cc37fbc04ecd56"/>
      <w:r w:rsidRPr="0048465E">
        <w:rPr>
          <w:i w:val="0"/>
          <w:iCs/>
          <w:color w:val="000000" w:themeColor="text1"/>
          <w:highlight w:val="yellow"/>
        </w:rPr>
        <w:t xml:space="preserve">Table 4: The susceptibility of major </w:t>
      </w:r>
      <w:proofErr w:type="spellStart"/>
      <w:r w:rsidRPr="0048465E">
        <w:rPr>
          <w:i w:val="0"/>
          <w:iCs/>
          <w:color w:val="000000" w:themeColor="text1"/>
          <w:highlight w:val="yellow"/>
        </w:rPr>
        <w:t>uropathogens</w:t>
      </w:r>
      <w:proofErr w:type="spellEnd"/>
      <w:r w:rsidRPr="0048465E">
        <w:rPr>
          <w:i w:val="0"/>
          <w:iCs/>
          <w:color w:val="000000" w:themeColor="text1"/>
          <w:highlight w:val="yellow"/>
        </w:rPr>
        <w:t xml:space="preserve"> to antibiotics.</w:t>
      </w:r>
    </w:p>
    <w:tbl>
      <w:tblPr>
        <w:tblStyle w:val="Tabl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2314"/>
        <w:gridCol w:w="1058"/>
        <w:gridCol w:w="1646"/>
        <w:gridCol w:w="1275"/>
        <w:gridCol w:w="1504"/>
        <w:gridCol w:w="1779"/>
      </w:tblGrid>
      <w:tr w:rsidR="00134A30" w:rsidRPr="0048465E" w:rsidTr="00715A01">
        <w:trPr>
          <w:cnfStyle w:val="100000000000" w:firstRow="1" w:lastRow="0" w:firstColumn="0" w:lastColumn="0" w:oddVBand="0" w:evenVBand="0" w:oddHBand="0" w:evenHBand="0" w:firstRowFirstColumn="0" w:firstRowLastColumn="0" w:lastRowFirstColumn="0" w:lastRowLastColumn="0"/>
          <w:tblHeader/>
        </w:trPr>
        <w:tc>
          <w:tcPr>
            <w:tcW w:w="0" w:type="auto"/>
            <w:tcBorders>
              <w:bottom w:val="none" w:sz="0" w:space="0" w:color="auto"/>
            </w:tcBorders>
            <w:shd w:val="clear" w:color="auto" w:fill="FDE9D9" w:themeFill="accent6" w:themeFillTint="33"/>
            <w:vAlign w:val="center"/>
          </w:tcPr>
          <w:p w:rsidR="00134A30" w:rsidRPr="0048465E" w:rsidRDefault="00F857D2" w:rsidP="004569A7">
            <w:pPr>
              <w:pStyle w:val="Compact"/>
              <w:spacing w:line="276" w:lineRule="auto"/>
              <w:jc w:val="center"/>
            </w:pPr>
            <w:r w:rsidRPr="0048465E">
              <w:t>Antibiotic</w:t>
            </w:r>
          </w:p>
        </w:tc>
        <w:tc>
          <w:tcPr>
            <w:tcW w:w="0" w:type="auto"/>
            <w:tcBorders>
              <w:bottom w:val="none" w:sz="0" w:space="0" w:color="auto"/>
            </w:tcBorders>
            <w:shd w:val="clear" w:color="auto" w:fill="FDE9D9" w:themeFill="accent6" w:themeFillTint="33"/>
            <w:vAlign w:val="center"/>
          </w:tcPr>
          <w:p w:rsidR="00134A30" w:rsidRPr="0048465E" w:rsidRDefault="00F857D2" w:rsidP="004569A7">
            <w:pPr>
              <w:pStyle w:val="Compact"/>
              <w:spacing w:line="276" w:lineRule="auto"/>
              <w:jc w:val="center"/>
            </w:pPr>
            <w:r w:rsidRPr="0048465E">
              <w:t>E. coli (n=48)</w:t>
            </w:r>
          </w:p>
        </w:tc>
        <w:tc>
          <w:tcPr>
            <w:tcW w:w="0" w:type="auto"/>
            <w:tcBorders>
              <w:bottom w:val="none" w:sz="0" w:space="0" w:color="auto"/>
            </w:tcBorders>
            <w:shd w:val="clear" w:color="auto" w:fill="FDE9D9" w:themeFill="accent6" w:themeFillTint="33"/>
            <w:vAlign w:val="center"/>
          </w:tcPr>
          <w:p w:rsidR="00134A30" w:rsidRPr="0048465E" w:rsidRDefault="00F857D2" w:rsidP="004569A7">
            <w:pPr>
              <w:pStyle w:val="Compact"/>
              <w:spacing w:line="276" w:lineRule="auto"/>
              <w:jc w:val="center"/>
            </w:pPr>
            <w:r w:rsidRPr="006C2FF5">
              <w:rPr>
                <w:i/>
                <w:iCs/>
              </w:rPr>
              <w:t>K. pneumoniae</w:t>
            </w:r>
            <w:r w:rsidRPr="0048465E">
              <w:t xml:space="preserve"> (n=14)</w:t>
            </w:r>
          </w:p>
        </w:tc>
        <w:tc>
          <w:tcPr>
            <w:tcW w:w="0" w:type="auto"/>
            <w:tcBorders>
              <w:bottom w:val="none" w:sz="0" w:space="0" w:color="auto"/>
            </w:tcBorders>
            <w:shd w:val="clear" w:color="auto" w:fill="FDE9D9" w:themeFill="accent6" w:themeFillTint="33"/>
            <w:vAlign w:val="center"/>
          </w:tcPr>
          <w:p w:rsidR="00134A30" w:rsidRPr="0048465E" w:rsidRDefault="00F857D2" w:rsidP="004569A7">
            <w:pPr>
              <w:pStyle w:val="Compact"/>
              <w:spacing w:line="276" w:lineRule="auto"/>
              <w:jc w:val="center"/>
            </w:pPr>
            <w:r w:rsidRPr="006C2FF5">
              <w:rPr>
                <w:i/>
                <w:iCs/>
              </w:rPr>
              <w:t>P. mirabilis</w:t>
            </w:r>
            <w:r w:rsidRPr="0048465E">
              <w:t xml:space="preserve"> (n=6)</w:t>
            </w:r>
          </w:p>
        </w:tc>
        <w:tc>
          <w:tcPr>
            <w:tcW w:w="0" w:type="auto"/>
            <w:tcBorders>
              <w:bottom w:val="none" w:sz="0" w:space="0" w:color="auto"/>
            </w:tcBorders>
            <w:shd w:val="clear" w:color="auto" w:fill="FDE9D9" w:themeFill="accent6" w:themeFillTint="33"/>
            <w:vAlign w:val="center"/>
          </w:tcPr>
          <w:p w:rsidR="00134A30" w:rsidRPr="0048465E" w:rsidRDefault="00F857D2" w:rsidP="004569A7">
            <w:pPr>
              <w:pStyle w:val="Compact"/>
              <w:spacing w:line="276" w:lineRule="auto"/>
              <w:jc w:val="center"/>
            </w:pPr>
            <w:r w:rsidRPr="006C2FF5">
              <w:rPr>
                <w:i/>
                <w:iCs/>
              </w:rPr>
              <w:t>P. aeruginosa</w:t>
            </w:r>
            <w:r w:rsidRPr="0048465E">
              <w:t xml:space="preserve"> (n=5)</w:t>
            </w:r>
          </w:p>
        </w:tc>
        <w:tc>
          <w:tcPr>
            <w:tcW w:w="0" w:type="auto"/>
            <w:tcBorders>
              <w:bottom w:val="none" w:sz="0" w:space="0" w:color="auto"/>
            </w:tcBorders>
            <w:shd w:val="clear" w:color="auto" w:fill="FDE9D9" w:themeFill="accent6" w:themeFillTint="33"/>
            <w:vAlign w:val="center"/>
          </w:tcPr>
          <w:p w:rsidR="00134A30" w:rsidRPr="0048465E" w:rsidRDefault="00F857D2" w:rsidP="004569A7">
            <w:pPr>
              <w:pStyle w:val="Compact"/>
              <w:spacing w:line="276" w:lineRule="auto"/>
              <w:jc w:val="center"/>
            </w:pPr>
            <w:r w:rsidRPr="006C2FF5">
              <w:rPr>
                <w:i/>
                <w:iCs/>
              </w:rPr>
              <w:t>S. saprophyticus</w:t>
            </w:r>
            <w:r w:rsidRPr="0048465E">
              <w:t xml:space="preserve"> (n=4)</w:t>
            </w:r>
          </w:p>
        </w:tc>
      </w:tr>
      <w:tr w:rsidR="00134A30" w:rsidRPr="0048465E" w:rsidTr="00715A01">
        <w:tc>
          <w:tcPr>
            <w:tcW w:w="0" w:type="auto"/>
            <w:vAlign w:val="center"/>
          </w:tcPr>
          <w:p w:rsidR="00134A30" w:rsidRPr="0048465E" w:rsidRDefault="00F857D2" w:rsidP="004569A7">
            <w:pPr>
              <w:pStyle w:val="Compact"/>
              <w:spacing w:line="276" w:lineRule="auto"/>
              <w:jc w:val="center"/>
            </w:pPr>
            <w:r w:rsidRPr="0048465E">
              <w:t>Amoxicillin-clavulanate</w:t>
            </w:r>
          </w:p>
        </w:tc>
        <w:tc>
          <w:tcPr>
            <w:tcW w:w="0" w:type="auto"/>
            <w:vAlign w:val="center"/>
          </w:tcPr>
          <w:p w:rsidR="00134A30" w:rsidRPr="0048465E" w:rsidRDefault="00F857D2" w:rsidP="004569A7">
            <w:pPr>
              <w:pStyle w:val="Compact"/>
              <w:spacing w:line="276" w:lineRule="auto"/>
              <w:jc w:val="center"/>
            </w:pPr>
            <w:r w:rsidRPr="0048465E">
              <w:t>16.7% S</w:t>
            </w:r>
          </w:p>
        </w:tc>
        <w:tc>
          <w:tcPr>
            <w:tcW w:w="0" w:type="auto"/>
            <w:vAlign w:val="center"/>
          </w:tcPr>
          <w:p w:rsidR="00134A30" w:rsidRPr="0048465E" w:rsidRDefault="00F857D2" w:rsidP="004569A7">
            <w:pPr>
              <w:pStyle w:val="Compact"/>
              <w:spacing w:line="276" w:lineRule="auto"/>
              <w:jc w:val="center"/>
            </w:pPr>
            <w:r w:rsidRPr="0048465E">
              <w:t>14.3% S</w:t>
            </w:r>
          </w:p>
        </w:tc>
        <w:tc>
          <w:tcPr>
            <w:tcW w:w="0" w:type="auto"/>
            <w:vAlign w:val="center"/>
          </w:tcPr>
          <w:p w:rsidR="00134A30" w:rsidRPr="0048465E" w:rsidRDefault="00F857D2" w:rsidP="004569A7">
            <w:pPr>
              <w:pStyle w:val="Compact"/>
              <w:spacing w:line="276" w:lineRule="auto"/>
              <w:jc w:val="center"/>
            </w:pPr>
            <w:r w:rsidRPr="0048465E">
              <w:t>16.7% S</w:t>
            </w:r>
          </w:p>
        </w:tc>
        <w:tc>
          <w:tcPr>
            <w:tcW w:w="0" w:type="auto"/>
            <w:vAlign w:val="center"/>
          </w:tcPr>
          <w:p w:rsidR="00134A30" w:rsidRPr="0048465E" w:rsidRDefault="00F857D2" w:rsidP="004569A7">
            <w:pPr>
              <w:pStyle w:val="Compact"/>
              <w:spacing w:line="276" w:lineRule="auto"/>
              <w:jc w:val="center"/>
            </w:pPr>
            <w:r w:rsidRPr="0048465E">
              <w:t>0% S</w:t>
            </w:r>
          </w:p>
        </w:tc>
        <w:tc>
          <w:tcPr>
            <w:tcW w:w="0" w:type="auto"/>
            <w:vAlign w:val="center"/>
          </w:tcPr>
          <w:p w:rsidR="00134A30" w:rsidRPr="0048465E" w:rsidRDefault="00F857D2" w:rsidP="004569A7">
            <w:pPr>
              <w:pStyle w:val="Compact"/>
              <w:spacing w:line="276" w:lineRule="auto"/>
              <w:jc w:val="center"/>
            </w:pPr>
            <w:r w:rsidRPr="0048465E">
              <w:t>25% S</w:t>
            </w:r>
          </w:p>
        </w:tc>
      </w:tr>
      <w:tr w:rsidR="00134A30" w:rsidRPr="0048465E" w:rsidTr="00715A01">
        <w:tc>
          <w:tcPr>
            <w:tcW w:w="0" w:type="auto"/>
            <w:vAlign w:val="center"/>
          </w:tcPr>
          <w:p w:rsidR="00134A30" w:rsidRPr="0048465E" w:rsidRDefault="00F857D2" w:rsidP="004569A7">
            <w:pPr>
              <w:pStyle w:val="Compact"/>
              <w:spacing w:line="276" w:lineRule="auto"/>
              <w:jc w:val="center"/>
            </w:pPr>
            <w:r w:rsidRPr="0048465E">
              <w:t>Ciprofloxacin</w:t>
            </w:r>
          </w:p>
        </w:tc>
        <w:tc>
          <w:tcPr>
            <w:tcW w:w="0" w:type="auto"/>
            <w:vAlign w:val="center"/>
          </w:tcPr>
          <w:p w:rsidR="00134A30" w:rsidRPr="0048465E" w:rsidRDefault="00F857D2" w:rsidP="004569A7">
            <w:pPr>
              <w:pStyle w:val="Compact"/>
              <w:spacing w:line="276" w:lineRule="auto"/>
              <w:jc w:val="center"/>
            </w:pPr>
            <w:r w:rsidRPr="0048465E">
              <w:t>37.5% S</w:t>
            </w:r>
          </w:p>
        </w:tc>
        <w:tc>
          <w:tcPr>
            <w:tcW w:w="0" w:type="auto"/>
            <w:vAlign w:val="center"/>
          </w:tcPr>
          <w:p w:rsidR="00134A30" w:rsidRPr="0048465E" w:rsidRDefault="00F857D2" w:rsidP="004569A7">
            <w:pPr>
              <w:pStyle w:val="Compact"/>
              <w:spacing w:line="276" w:lineRule="auto"/>
              <w:jc w:val="center"/>
            </w:pPr>
            <w:r w:rsidRPr="0048465E">
              <w:t>28.6% S</w:t>
            </w:r>
          </w:p>
        </w:tc>
        <w:tc>
          <w:tcPr>
            <w:tcW w:w="0" w:type="auto"/>
            <w:vAlign w:val="center"/>
          </w:tcPr>
          <w:p w:rsidR="00134A30" w:rsidRPr="0048465E" w:rsidRDefault="00F857D2" w:rsidP="004569A7">
            <w:pPr>
              <w:pStyle w:val="Compact"/>
              <w:spacing w:line="276" w:lineRule="auto"/>
              <w:jc w:val="center"/>
            </w:pPr>
            <w:r w:rsidRPr="0048465E">
              <w:t>33.3% S</w:t>
            </w:r>
          </w:p>
        </w:tc>
        <w:tc>
          <w:tcPr>
            <w:tcW w:w="0" w:type="auto"/>
            <w:vAlign w:val="center"/>
          </w:tcPr>
          <w:p w:rsidR="00134A30" w:rsidRPr="0048465E" w:rsidRDefault="00F857D2" w:rsidP="004569A7">
            <w:pPr>
              <w:pStyle w:val="Compact"/>
              <w:spacing w:line="276" w:lineRule="auto"/>
              <w:jc w:val="center"/>
            </w:pPr>
            <w:r w:rsidRPr="0048465E">
              <w:t>20% S</w:t>
            </w:r>
          </w:p>
        </w:tc>
        <w:tc>
          <w:tcPr>
            <w:tcW w:w="0" w:type="auto"/>
            <w:vAlign w:val="center"/>
          </w:tcPr>
          <w:p w:rsidR="00134A30" w:rsidRPr="0048465E" w:rsidRDefault="00F857D2" w:rsidP="004569A7">
            <w:pPr>
              <w:pStyle w:val="Compact"/>
              <w:spacing w:line="276" w:lineRule="auto"/>
              <w:jc w:val="center"/>
            </w:pPr>
            <w:r w:rsidRPr="0048465E">
              <w:t>50% S</w:t>
            </w:r>
          </w:p>
        </w:tc>
      </w:tr>
      <w:tr w:rsidR="00134A30" w:rsidRPr="0048465E" w:rsidTr="00715A01">
        <w:tc>
          <w:tcPr>
            <w:tcW w:w="0" w:type="auto"/>
            <w:vAlign w:val="center"/>
          </w:tcPr>
          <w:p w:rsidR="00134A30" w:rsidRPr="0048465E" w:rsidRDefault="00F857D2" w:rsidP="004569A7">
            <w:pPr>
              <w:pStyle w:val="Compact"/>
              <w:spacing w:line="276" w:lineRule="auto"/>
              <w:jc w:val="center"/>
            </w:pPr>
            <w:r w:rsidRPr="0048465E">
              <w:t>Ceftriaxone</w:t>
            </w:r>
          </w:p>
        </w:tc>
        <w:tc>
          <w:tcPr>
            <w:tcW w:w="0" w:type="auto"/>
            <w:vAlign w:val="center"/>
          </w:tcPr>
          <w:p w:rsidR="00134A30" w:rsidRPr="0048465E" w:rsidRDefault="00F857D2" w:rsidP="004569A7">
            <w:pPr>
              <w:pStyle w:val="Compact"/>
              <w:spacing w:line="276" w:lineRule="auto"/>
              <w:jc w:val="center"/>
            </w:pPr>
            <w:r w:rsidRPr="0048465E">
              <w:t>45.8% S</w:t>
            </w:r>
          </w:p>
        </w:tc>
        <w:tc>
          <w:tcPr>
            <w:tcW w:w="0" w:type="auto"/>
            <w:vAlign w:val="center"/>
          </w:tcPr>
          <w:p w:rsidR="00134A30" w:rsidRPr="0048465E" w:rsidRDefault="00F857D2" w:rsidP="004569A7">
            <w:pPr>
              <w:pStyle w:val="Compact"/>
              <w:spacing w:line="276" w:lineRule="auto"/>
              <w:jc w:val="center"/>
            </w:pPr>
            <w:r w:rsidRPr="0048465E">
              <w:t>35.7% S</w:t>
            </w:r>
          </w:p>
        </w:tc>
        <w:tc>
          <w:tcPr>
            <w:tcW w:w="0" w:type="auto"/>
            <w:vAlign w:val="center"/>
          </w:tcPr>
          <w:p w:rsidR="00134A30" w:rsidRPr="0048465E" w:rsidRDefault="00F857D2" w:rsidP="004569A7">
            <w:pPr>
              <w:pStyle w:val="Compact"/>
              <w:spacing w:line="276" w:lineRule="auto"/>
              <w:jc w:val="center"/>
            </w:pPr>
            <w:r w:rsidRPr="0048465E">
              <w:t>33.3% S</w:t>
            </w:r>
          </w:p>
        </w:tc>
        <w:tc>
          <w:tcPr>
            <w:tcW w:w="0" w:type="auto"/>
            <w:vAlign w:val="center"/>
          </w:tcPr>
          <w:p w:rsidR="00134A30" w:rsidRPr="0048465E" w:rsidRDefault="00F857D2" w:rsidP="004569A7">
            <w:pPr>
              <w:pStyle w:val="Compact"/>
              <w:spacing w:line="276" w:lineRule="auto"/>
              <w:jc w:val="center"/>
            </w:pPr>
            <w:r w:rsidRPr="0048465E">
              <w:t>40% S</w:t>
            </w:r>
          </w:p>
        </w:tc>
        <w:tc>
          <w:tcPr>
            <w:tcW w:w="0" w:type="auto"/>
            <w:vAlign w:val="center"/>
          </w:tcPr>
          <w:p w:rsidR="00134A30" w:rsidRPr="0048465E" w:rsidRDefault="00F857D2" w:rsidP="004569A7">
            <w:pPr>
              <w:pStyle w:val="Compact"/>
              <w:spacing w:line="276" w:lineRule="auto"/>
              <w:jc w:val="center"/>
            </w:pPr>
            <w:r w:rsidRPr="0048465E">
              <w:t>75% S</w:t>
            </w:r>
          </w:p>
        </w:tc>
      </w:tr>
      <w:tr w:rsidR="00134A30" w:rsidRPr="0048465E" w:rsidTr="00715A01">
        <w:tc>
          <w:tcPr>
            <w:tcW w:w="0" w:type="auto"/>
            <w:vAlign w:val="center"/>
          </w:tcPr>
          <w:p w:rsidR="00134A30" w:rsidRPr="0048465E" w:rsidRDefault="00F857D2" w:rsidP="004569A7">
            <w:pPr>
              <w:pStyle w:val="Compact"/>
              <w:spacing w:line="276" w:lineRule="auto"/>
              <w:jc w:val="center"/>
            </w:pPr>
            <w:r w:rsidRPr="0048465E">
              <w:t>Nitrofurantoin</w:t>
            </w:r>
          </w:p>
        </w:tc>
        <w:tc>
          <w:tcPr>
            <w:tcW w:w="0" w:type="auto"/>
            <w:vAlign w:val="center"/>
          </w:tcPr>
          <w:p w:rsidR="00134A30" w:rsidRPr="0048465E" w:rsidRDefault="00F857D2" w:rsidP="004569A7">
            <w:pPr>
              <w:pStyle w:val="Compact"/>
              <w:spacing w:line="276" w:lineRule="auto"/>
              <w:jc w:val="center"/>
            </w:pPr>
            <w:r w:rsidRPr="0048465E">
              <w:t>85.4% S</w:t>
            </w:r>
          </w:p>
        </w:tc>
        <w:tc>
          <w:tcPr>
            <w:tcW w:w="0" w:type="auto"/>
            <w:vAlign w:val="center"/>
          </w:tcPr>
          <w:p w:rsidR="00134A30" w:rsidRPr="0048465E" w:rsidRDefault="00F857D2" w:rsidP="004569A7">
            <w:pPr>
              <w:pStyle w:val="Compact"/>
              <w:spacing w:line="276" w:lineRule="auto"/>
              <w:jc w:val="center"/>
            </w:pPr>
            <w:r w:rsidRPr="0048465E">
              <w:t>71.4% S</w:t>
            </w:r>
          </w:p>
        </w:tc>
        <w:tc>
          <w:tcPr>
            <w:tcW w:w="0" w:type="auto"/>
            <w:vAlign w:val="center"/>
          </w:tcPr>
          <w:p w:rsidR="00134A30" w:rsidRPr="0048465E" w:rsidRDefault="00F857D2" w:rsidP="004569A7">
            <w:pPr>
              <w:pStyle w:val="Compact"/>
              <w:spacing w:line="276" w:lineRule="auto"/>
              <w:jc w:val="center"/>
            </w:pPr>
            <w:r w:rsidRPr="0048465E">
              <w:t>66.7% S</w:t>
            </w:r>
          </w:p>
        </w:tc>
        <w:tc>
          <w:tcPr>
            <w:tcW w:w="0" w:type="auto"/>
            <w:vAlign w:val="center"/>
          </w:tcPr>
          <w:p w:rsidR="00134A30" w:rsidRPr="0048465E" w:rsidRDefault="00F857D2" w:rsidP="004569A7">
            <w:pPr>
              <w:pStyle w:val="Compact"/>
              <w:spacing w:line="276" w:lineRule="auto"/>
              <w:jc w:val="center"/>
            </w:pPr>
            <w:r w:rsidRPr="0048465E">
              <w:t>0% S</w:t>
            </w:r>
          </w:p>
        </w:tc>
        <w:tc>
          <w:tcPr>
            <w:tcW w:w="0" w:type="auto"/>
            <w:vAlign w:val="center"/>
          </w:tcPr>
          <w:p w:rsidR="00134A30" w:rsidRPr="0048465E" w:rsidRDefault="00F857D2" w:rsidP="004569A7">
            <w:pPr>
              <w:pStyle w:val="Compact"/>
              <w:spacing w:line="276" w:lineRule="auto"/>
              <w:jc w:val="center"/>
            </w:pPr>
            <w:r w:rsidRPr="0048465E">
              <w:t>100% S</w:t>
            </w:r>
          </w:p>
        </w:tc>
      </w:tr>
      <w:tr w:rsidR="00134A30" w:rsidRPr="0048465E" w:rsidTr="00715A01">
        <w:tc>
          <w:tcPr>
            <w:tcW w:w="0" w:type="auto"/>
            <w:vAlign w:val="center"/>
          </w:tcPr>
          <w:p w:rsidR="00134A30" w:rsidRPr="0048465E" w:rsidRDefault="00F857D2" w:rsidP="004569A7">
            <w:pPr>
              <w:pStyle w:val="Compact"/>
              <w:spacing w:line="276" w:lineRule="auto"/>
              <w:jc w:val="center"/>
            </w:pPr>
            <w:r w:rsidRPr="0048465E">
              <w:t>Gentamicin</w:t>
            </w:r>
          </w:p>
        </w:tc>
        <w:tc>
          <w:tcPr>
            <w:tcW w:w="0" w:type="auto"/>
            <w:vAlign w:val="center"/>
          </w:tcPr>
          <w:p w:rsidR="00134A30" w:rsidRPr="0048465E" w:rsidRDefault="00F857D2" w:rsidP="004569A7">
            <w:pPr>
              <w:pStyle w:val="Compact"/>
              <w:spacing w:line="276" w:lineRule="auto"/>
              <w:jc w:val="center"/>
            </w:pPr>
            <w:r w:rsidRPr="0048465E">
              <w:t>60.4% S</w:t>
            </w:r>
          </w:p>
        </w:tc>
        <w:tc>
          <w:tcPr>
            <w:tcW w:w="0" w:type="auto"/>
            <w:vAlign w:val="center"/>
          </w:tcPr>
          <w:p w:rsidR="00134A30" w:rsidRPr="0048465E" w:rsidRDefault="00F857D2" w:rsidP="004569A7">
            <w:pPr>
              <w:pStyle w:val="Compact"/>
              <w:spacing w:line="276" w:lineRule="auto"/>
              <w:jc w:val="center"/>
            </w:pPr>
            <w:r w:rsidRPr="0048465E">
              <w:t>50% S</w:t>
            </w:r>
          </w:p>
        </w:tc>
        <w:tc>
          <w:tcPr>
            <w:tcW w:w="0" w:type="auto"/>
            <w:vAlign w:val="center"/>
          </w:tcPr>
          <w:p w:rsidR="00134A30" w:rsidRPr="0048465E" w:rsidRDefault="00F857D2" w:rsidP="004569A7">
            <w:pPr>
              <w:pStyle w:val="Compact"/>
              <w:spacing w:line="276" w:lineRule="auto"/>
              <w:jc w:val="center"/>
            </w:pPr>
            <w:r w:rsidRPr="0048465E">
              <w:t>50% S</w:t>
            </w:r>
          </w:p>
        </w:tc>
        <w:tc>
          <w:tcPr>
            <w:tcW w:w="0" w:type="auto"/>
            <w:vAlign w:val="center"/>
          </w:tcPr>
          <w:p w:rsidR="00134A30" w:rsidRPr="0048465E" w:rsidRDefault="00F857D2" w:rsidP="004569A7">
            <w:pPr>
              <w:pStyle w:val="Compact"/>
              <w:spacing w:line="276" w:lineRule="auto"/>
              <w:jc w:val="center"/>
            </w:pPr>
            <w:r w:rsidRPr="0048465E">
              <w:t>40% S</w:t>
            </w:r>
          </w:p>
        </w:tc>
        <w:tc>
          <w:tcPr>
            <w:tcW w:w="0" w:type="auto"/>
            <w:vAlign w:val="center"/>
          </w:tcPr>
          <w:p w:rsidR="00134A30" w:rsidRPr="0048465E" w:rsidRDefault="00F857D2" w:rsidP="004569A7">
            <w:pPr>
              <w:pStyle w:val="Compact"/>
              <w:spacing w:line="276" w:lineRule="auto"/>
              <w:jc w:val="center"/>
            </w:pPr>
            <w:r w:rsidRPr="0048465E">
              <w:t>75% S</w:t>
            </w:r>
          </w:p>
        </w:tc>
      </w:tr>
      <w:tr w:rsidR="00134A30" w:rsidRPr="0048465E" w:rsidTr="00715A01">
        <w:tc>
          <w:tcPr>
            <w:tcW w:w="0" w:type="auto"/>
            <w:vAlign w:val="center"/>
          </w:tcPr>
          <w:p w:rsidR="00134A30" w:rsidRPr="0048465E" w:rsidRDefault="00F857D2" w:rsidP="004569A7">
            <w:pPr>
              <w:pStyle w:val="Compact"/>
              <w:spacing w:line="276" w:lineRule="auto"/>
              <w:jc w:val="center"/>
            </w:pPr>
            <w:r w:rsidRPr="0048465E">
              <w:t>Imipenem</w:t>
            </w:r>
          </w:p>
        </w:tc>
        <w:tc>
          <w:tcPr>
            <w:tcW w:w="0" w:type="auto"/>
            <w:vAlign w:val="center"/>
          </w:tcPr>
          <w:p w:rsidR="00134A30" w:rsidRPr="0048465E" w:rsidRDefault="00F857D2" w:rsidP="004569A7">
            <w:pPr>
              <w:pStyle w:val="Compact"/>
              <w:spacing w:line="276" w:lineRule="auto"/>
              <w:jc w:val="center"/>
            </w:pPr>
            <w:r w:rsidRPr="0048465E">
              <w:t>95.8% S</w:t>
            </w:r>
          </w:p>
        </w:tc>
        <w:tc>
          <w:tcPr>
            <w:tcW w:w="0" w:type="auto"/>
            <w:vAlign w:val="center"/>
          </w:tcPr>
          <w:p w:rsidR="00134A30" w:rsidRPr="0048465E" w:rsidRDefault="00F857D2" w:rsidP="004569A7">
            <w:pPr>
              <w:pStyle w:val="Compact"/>
              <w:spacing w:line="276" w:lineRule="auto"/>
              <w:jc w:val="center"/>
            </w:pPr>
            <w:r w:rsidRPr="0048465E">
              <w:t>92.9% S</w:t>
            </w:r>
          </w:p>
        </w:tc>
        <w:tc>
          <w:tcPr>
            <w:tcW w:w="0" w:type="auto"/>
            <w:vAlign w:val="center"/>
          </w:tcPr>
          <w:p w:rsidR="00134A30" w:rsidRPr="0048465E" w:rsidRDefault="00F857D2" w:rsidP="004569A7">
            <w:pPr>
              <w:pStyle w:val="Compact"/>
              <w:spacing w:line="276" w:lineRule="auto"/>
              <w:jc w:val="center"/>
            </w:pPr>
            <w:r w:rsidRPr="0048465E">
              <w:t>83.3% S</w:t>
            </w:r>
          </w:p>
        </w:tc>
        <w:tc>
          <w:tcPr>
            <w:tcW w:w="0" w:type="auto"/>
            <w:vAlign w:val="center"/>
          </w:tcPr>
          <w:p w:rsidR="00134A30" w:rsidRPr="0048465E" w:rsidRDefault="00F857D2" w:rsidP="004569A7">
            <w:pPr>
              <w:pStyle w:val="Compact"/>
              <w:spacing w:line="276" w:lineRule="auto"/>
              <w:jc w:val="center"/>
            </w:pPr>
            <w:r w:rsidRPr="0048465E">
              <w:t>80% S</w:t>
            </w:r>
          </w:p>
        </w:tc>
        <w:tc>
          <w:tcPr>
            <w:tcW w:w="0" w:type="auto"/>
            <w:vAlign w:val="center"/>
          </w:tcPr>
          <w:p w:rsidR="00134A30" w:rsidRPr="0048465E" w:rsidRDefault="00F857D2" w:rsidP="004569A7">
            <w:pPr>
              <w:pStyle w:val="Compact"/>
              <w:spacing w:line="276" w:lineRule="auto"/>
              <w:jc w:val="center"/>
            </w:pPr>
            <w:r w:rsidRPr="0048465E">
              <w:t>100% S</w:t>
            </w:r>
          </w:p>
        </w:tc>
      </w:tr>
      <w:tr w:rsidR="00134A30" w:rsidRPr="0048465E" w:rsidTr="00715A01">
        <w:tc>
          <w:tcPr>
            <w:tcW w:w="0" w:type="auto"/>
            <w:vAlign w:val="center"/>
          </w:tcPr>
          <w:p w:rsidR="00134A30" w:rsidRPr="0048465E" w:rsidRDefault="00F857D2" w:rsidP="004569A7">
            <w:pPr>
              <w:pStyle w:val="Compact"/>
              <w:spacing w:line="276" w:lineRule="auto"/>
              <w:jc w:val="center"/>
            </w:pPr>
            <w:r w:rsidRPr="0048465E">
              <w:t>Piperacillin-tazobactam</w:t>
            </w:r>
          </w:p>
        </w:tc>
        <w:tc>
          <w:tcPr>
            <w:tcW w:w="0" w:type="auto"/>
            <w:vAlign w:val="center"/>
          </w:tcPr>
          <w:p w:rsidR="00134A30" w:rsidRPr="0048465E" w:rsidRDefault="00F857D2" w:rsidP="004569A7">
            <w:pPr>
              <w:pStyle w:val="Compact"/>
              <w:spacing w:line="276" w:lineRule="auto"/>
              <w:jc w:val="center"/>
            </w:pPr>
            <w:r w:rsidRPr="0048465E">
              <w:t>85.4% S</w:t>
            </w:r>
          </w:p>
        </w:tc>
        <w:tc>
          <w:tcPr>
            <w:tcW w:w="0" w:type="auto"/>
            <w:vAlign w:val="center"/>
          </w:tcPr>
          <w:p w:rsidR="00134A30" w:rsidRPr="0048465E" w:rsidRDefault="00F857D2" w:rsidP="004569A7">
            <w:pPr>
              <w:pStyle w:val="Compact"/>
              <w:spacing w:line="276" w:lineRule="auto"/>
              <w:jc w:val="center"/>
            </w:pPr>
            <w:r w:rsidRPr="0048465E">
              <w:t>71.4% S</w:t>
            </w:r>
          </w:p>
        </w:tc>
        <w:tc>
          <w:tcPr>
            <w:tcW w:w="0" w:type="auto"/>
            <w:vAlign w:val="center"/>
          </w:tcPr>
          <w:p w:rsidR="00134A30" w:rsidRPr="0048465E" w:rsidRDefault="00F857D2" w:rsidP="004569A7">
            <w:pPr>
              <w:pStyle w:val="Compact"/>
              <w:spacing w:line="276" w:lineRule="auto"/>
              <w:jc w:val="center"/>
            </w:pPr>
            <w:r w:rsidRPr="0048465E">
              <w:t>83.3% S</w:t>
            </w:r>
          </w:p>
        </w:tc>
        <w:tc>
          <w:tcPr>
            <w:tcW w:w="0" w:type="auto"/>
            <w:vAlign w:val="center"/>
          </w:tcPr>
          <w:p w:rsidR="00134A30" w:rsidRPr="0048465E" w:rsidRDefault="00F857D2" w:rsidP="004569A7">
            <w:pPr>
              <w:pStyle w:val="Compact"/>
              <w:spacing w:line="276" w:lineRule="auto"/>
              <w:jc w:val="center"/>
            </w:pPr>
            <w:r w:rsidRPr="0048465E">
              <w:t>80% S</w:t>
            </w:r>
          </w:p>
        </w:tc>
        <w:tc>
          <w:tcPr>
            <w:tcW w:w="0" w:type="auto"/>
            <w:vAlign w:val="center"/>
          </w:tcPr>
          <w:p w:rsidR="00134A30" w:rsidRPr="0048465E" w:rsidRDefault="00F857D2" w:rsidP="004569A7">
            <w:pPr>
              <w:pStyle w:val="Compact"/>
              <w:spacing w:line="276" w:lineRule="auto"/>
              <w:jc w:val="center"/>
            </w:pPr>
            <w:r w:rsidRPr="0048465E">
              <w:t>100% S</w:t>
            </w:r>
          </w:p>
        </w:tc>
      </w:tr>
      <w:tr w:rsidR="00134A30" w:rsidRPr="0048465E" w:rsidTr="00715A01">
        <w:tc>
          <w:tcPr>
            <w:tcW w:w="0" w:type="auto"/>
            <w:vAlign w:val="center"/>
          </w:tcPr>
          <w:p w:rsidR="00134A30" w:rsidRPr="0048465E" w:rsidRDefault="00F857D2" w:rsidP="004569A7">
            <w:pPr>
              <w:pStyle w:val="Compact"/>
              <w:spacing w:line="276" w:lineRule="auto"/>
              <w:jc w:val="center"/>
            </w:pPr>
            <w:r w:rsidRPr="0048465E">
              <w:t>Trimethoprim-sulfamethoxazole</w:t>
            </w:r>
          </w:p>
        </w:tc>
        <w:tc>
          <w:tcPr>
            <w:tcW w:w="0" w:type="auto"/>
            <w:vAlign w:val="center"/>
          </w:tcPr>
          <w:p w:rsidR="00134A30" w:rsidRPr="0048465E" w:rsidRDefault="00F857D2" w:rsidP="004569A7">
            <w:pPr>
              <w:pStyle w:val="Compact"/>
              <w:spacing w:line="276" w:lineRule="auto"/>
              <w:jc w:val="center"/>
            </w:pPr>
            <w:r w:rsidRPr="0048465E">
              <w:t>22.9% S</w:t>
            </w:r>
          </w:p>
        </w:tc>
        <w:tc>
          <w:tcPr>
            <w:tcW w:w="0" w:type="auto"/>
            <w:vAlign w:val="center"/>
          </w:tcPr>
          <w:p w:rsidR="00134A30" w:rsidRPr="0048465E" w:rsidRDefault="00F857D2" w:rsidP="004569A7">
            <w:pPr>
              <w:pStyle w:val="Compact"/>
              <w:spacing w:line="276" w:lineRule="auto"/>
              <w:jc w:val="center"/>
            </w:pPr>
            <w:r w:rsidRPr="0048465E">
              <w:t>14.3% S</w:t>
            </w:r>
          </w:p>
        </w:tc>
        <w:tc>
          <w:tcPr>
            <w:tcW w:w="0" w:type="auto"/>
            <w:vAlign w:val="center"/>
          </w:tcPr>
          <w:p w:rsidR="00134A30" w:rsidRPr="0048465E" w:rsidRDefault="00F857D2" w:rsidP="004569A7">
            <w:pPr>
              <w:pStyle w:val="Compact"/>
              <w:spacing w:line="276" w:lineRule="auto"/>
              <w:jc w:val="center"/>
            </w:pPr>
            <w:r w:rsidRPr="0048465E">
              <w:t>16.7% S</w:t>
            </w:r>
          </w:p>
        </w:tc>
        <w:tc>
          <w:tcPr>
            <w:tcW w:w="0" w:type="auto"/>
            <w:vAlign w:val="center"/>
          </w:tcPr>
          <w:p w:rsidR="00134A30" w:rsidRPr="0048465E" w:rsidRDefault="00F857D2" w:rsidP="004569A7">
            <w:pPr>
              <w:pStyle w:val="Compact"/>
              <w:spacing w:line="276" w:lineRule="auto"/>
              <w:jc w:val="center"/>
            </w:pPr>
            <w:r w:rsidRPr="0048465E">
              <w:t>0% S</w:t>
            </w:r>
          </w:p>
        </w:tc>
        <w:tc>
          <w:tcPr>
            <w:tcW w:w="0" w:type="auto"/>
            <w:vAlign w:val="center"/>
          </w:tcPr>
          <w:p w:rsidR="00134A30" w:rsidRPr="0048465E" w:rsidRDefault="00F857D2" w:rsidP="004569A7">
            <w:pPr>
              <w:pStyle w:val="Compact"/>
              <w:spacing w:line="276" w:lineRule="auto"/>
              <w:jc w:val="center"/>
            </w:pPr>
            <w:r w:rsidRPr="0048465E">
              <w:t>25% S</w:t>
            </w:r>
          </w:p>
        </w:tc>
      </w:tr>
    </w:tbl>
    <w:p w:rsidR="00134A30" w:rsidRPr="0048465E" w:rsidRDefault="00F857D2" w:rsidP="004569A7">
      <w:pPr>
        <w:pStyle w:val="BodyText"/>
        <w:spacing w:line="276" w:lineRule="auto"/>
      </w:pPr>
      <w:r w:rsidRPr="0048465E">
        <w:lastRenderedPageBreak/>
        <w:t>(S = Percentage of isolates susceptible)</w:t>
      </w:r>
    </w:p>
    <w:p w:rsidR="00134A30" w:rsidRPr="0048465E" w:rsidRDefault="00F857D2" w:rsidP="004569A7">
      <w:pPr>
        <w:pStyle w:val="Heading3"/>
        <w:spacing w:line="276" w:lineRule="auto"/>
        <w:rPr>
          <w:rFonts w:asciiTheme="minorBidi" w:hAnsiTheme="minorBidi" w:cstheme="minorBidi"/>
          <w:color w:val="000000" w:themeColor="text1"/>
        </w:rPr>
      </w:pPr>
      <w:bookmarkStart w:id="13" w:name="prevalence-of-multidrug-resistance"/>
      <w:bookmarkEnd w:id="11"/>
      <w:bookmarkEnd w:id="12"/>
      <w:r w:rsidRPr="0048465E">
        <w:rPr>
          <w:rFonts w:asciiTheme="minorBidi" w:hAnsiTheme="minorBidi" w:cstheme="minorBidi"/>
          <w:color w:val="000000" w:themeColor="text1"/>
        </w:rPr>
        <w:t xml:space="preserve">Prevalence of Multidrug </w:t>
      </w:r>
      <w:proofErr w:type="gramStart"/>
      <w:r w:rsidRPr="0048465E">
        <w:rPr>
          <w:rFonts w:asciiTheme="minorBidi" w:hAnsiTheme="minorBidi" w:cstheme="minorBidi"/>
          <w:color w:val="000000" w:themeColor="text1"/>
        </w:rPr>
        <w:t>Resistance</w:t>
      </w:r>
      <w:r w:rsidR="00715A01" w:rsidRPr="0048465E">
        <w:rPr>
          <w:rFonts w:asciiTheme="minorBidi" w:hAnsiTheme="minorBidi" w:cstheme="minorBidi"/>
          <w:color w:val="000000" w:themeColor="text1"/>
        </w:rPr>
        <w:t xml:space="preserve"> :</w:t>
      </w:r>
      <w:proofErr w:type="gramEnd"/>
    </w:p>
    <w:p w:rsidR="00134A30" w:rsidRPr="0048465E" w:rsidRDefault="00715A01" w:rsidP="004569A7">
      <w:pPr>
        <w:pStyle w:val="FirstParagraph"/>
        <w:spacing w:line="276" w:lineRule="auto"/>
        <w:jc w:val="both"/>
      </w:pPr>
      <w:r w:rsidRPr="0048465E">
        <w:t xml:space="preserve">    </w:t>
      </w:r>
      <w:r w:rsidR="00F857D2" w:rsidRPr="0048465E">
        <w:t xml:space="preserve">Out of 82 positive isolates, 30 (36.6%) were classified as MDR based on non-susceptibility to at least one agent in three or more classes. MDR rates were highest among </w:t>
      </w:r>
      <w:r w:rsidR="00F857D2" w:rsidRPr="0048465E">
        <w:rPr>
          <w:i/>
          <w:iCs/>
        </w:rPr>
        <w:t>E. coli and K. pneumoniae</w:t>
      </w:r>
      <w:r w:rsidR="00F857D2" w:rsidRPr="0048465E">
        <w:t>.</w:t>
      </w:r>
    </w:p>
    <w:p w:rsidR="00134A30" w:rsidRPr="0048465E" w:rsidRDefault="0048465E" w:rsidP="004569A7">
      <w:pPr>
        <w:pStyle w:val="Heading4"/>
        <w:spacing w:line="276" w:lineRule="auto"/>
        <w:jc w:val="center"/>
        <w:rPr>
          <w:i w:val="0"/>
          <w:iCs/>
          <w:color w:val="000000" w:themeColor="text1"/>
        </w:rPr>
      </w:pPr>
      <w:bookmarkStart w:id="14" w:name="X12cee70257e3841088a5d26bc9e551a2e2d2b2a"/>
      <w:r w:rsidRPr="0048465E">
        <w:rPr>
          <w:i w:val="0"/>
          <w:iCs/>
          <w:color w:val="000000" w:themeColor="text1"/>
          <w:highlight w:val="yellow"/>
        </w:rPr>
        <w:t>Table 5: The percentage of MDR organisms that are pathogenic to humans by species.</w:t>
      </w:r>
    </w:p>
    <w:tbl>
      <w:tblPr>
        <w:tblStyle w:val="Table"/>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3806"/>
        <w:gridCol w:w="1899"/>
        <w:gridCol w:w="1863"/>
        <w:gridCol w:w="2008"/>
      </w:tblGrid>
      <w:tr w:rsidR="00134A30" w:rsidRPr="0048465E" w:rsidTr="00715A01">
        <w:trPr>
          <w:cnfStyle w:val="100000000000" w:firstRow="1" w:lastRow="0" w:firstColumn="0" w:lastColumn="0" w:oddVBand="0" w:evenVBand="0" w:oddHBand="0" w:evenHBand="0" w:firstRowFirstColumn="0" w:firstRowLastColumn="0" w:lastRowFirstColumn="0" w:lastRowLastColumn="0"/>
          <w:tblHeader/>
          <w:jc w:val="center"/>
        </w:trPr>
        <w:tc>
          <w:tcPr>
            <w:tcW w:w="0" w:type="auto"/>
            <w:tcBorders>
              <w:bottom w:val="none" w:sz="0" w:space="0" w:color="auto"/>
            </w:tcBorders>
            <w:shd w:val="clear" w:color="auto" w:fill="FDE9D9" w:themeFill="accent6" w:themeFillTint="33"/>
            <w:vAlign w:val="center"/>
          </w:tcPr>
          <w:p w:rsidR="00134A30" w:rsidRPr="0048465E" w:rsidRDefault="00F857D2" w:rsidP="004569A7">
            <w:pPr>
              <w:pStyle w:val="Compact"/>
              <w:spacing w:line="276" w:lineRule="auto"/>
              <w:jc w:val="center"/>
            </w:pPr>
            <w:r w:rsidRPr="0048465E">
              <w:t>Bacterial Species</w:t>
            </w:r>
          </w:p>
        </w:tc>
        <w:tc>
          <w:tcPr>
            <w:tcW w:w="0" w:type="auto"/>
            <w:tcBorders>
              <w:bottom w:val="none" w:sz="0" w:space="0" w:color="auto"/>
            </w:tcBorders>
            <w:shd w:val="clear" w:color="auto" w:fill="FDE9D9" w:themeFill="accent6" w:themeFillTint="33"/>
            <w:vAlign w:val="center"/>
          </w:tcPr>
          <w:p w:rsidR="00134A30" w:rsidRPr="0048465E" w:rsidRDefault="00F857D2" w:rsidP="004569A7">
            <w:pPr>
              <w:pStyle w:val="Compact"/>
              <w:spacing w:line="276" w:lineRule="auto"/>
              <w:jc w:val="center"/>
            </w:pPr>
            <w:r w:rsidRPr="0048465E">
              <w:t>Total Isolates</w:t>
            </w:r>
          </w:p>
        </w:tc>
        <w:tc>
          <w:tcPr>
            <w:tcW w:w="0" w:type="auto"/>
            <w:tcBorders>
              <w:bottom w:val="none" w:sz="0" w:space="0" w:color="auto"/>
            </w:tcBorders>
            <w:shd w:val="clear" w:color="auto" w:fill="FDE9D9" w:themeFill="accent6" w:themeFillTint="33"/>
            <w:vAlign w:val="center"/>
          </w:tcPr>
          <w:p w:rsidR="00134A30" w:rsidRPr="0048465E" w:rsidRDefault="00F857D2" w:rsidP="004569A7">
            <w:pPr>
              <w:pStyle w:val="Compact"/>
              <w:spacing w:line="276" w:lineRule="auto"/>
              <w:jc w:val="center"/>
            </w:pPr>
            <w:r w:rsidRPr="0048465E">
              <w:t>MDR Isolates</w:t>
            </w:r>
          </w:p>
        </w:tc>
        <w:tc>
          <w:tcPr>
            <w:tcW w:w="0" w:type="auto"/>
            <w:tcBorders>
              <w:bottom w:val="none" w:sz="0" w:space="0" w:color="auto"/>
            </w:tcBorders>
            <w:shd w:val="clear" w:color="auto" w:fill="FDE9D9" w:themeFill="accent6" w:themeFillTint="33"/>
            <w:vAlign w:val="center"/>
          </w:tcPr>
          <w:p w:rsidR="00134A30" w:rsidRPr="0048465E" w:rsidRDefault="00F857D2" w:rsidP="004569A7">
            <w:pPr>
              <w:pStyle w:val="Compact"/>
              <w:spacing w:line="276" w:lineRule="auto"/>
              <w:jc w:val="center"/>
            </w:pPr>
            <w:r w:rsidRPr="0048465E">
              <w:t>MDR Rate (%)</w:t>
            </w:r>
          </w:p>
        </w:tc>
      </w:tr>
      <w:tr w:rsidR="00134A30" w:rsidRPr="0048465E" w:rsidTr="00715A01">
        <w:trPr>
          <w:jc w:val="center"/>
        </w:trPr>
        <w:tc>
          <w:tcPr>
            <w:tcW w:w="0" w:type="auto"/>
            <w:vAlign w:val="center"/>
          </w:tcPr>
          <w:p w:rsidR="00134A30" w:rsidRPr="0048465E" w:rsidRDefault="00F857D2" w:rsidP="004569A7">
            <w:pPr>
              <w:pStyle w:val="Compact"/>
              <w:spacing w:line="276" w:lineRule="auto"/>
              <w:jc w:val="center"/>
              <w:rPr>
                <w:i/>
                <w:iCs/>
              </w:rPr>
            </w:pPr>
            <w:r w:rsidRPr="0048465E">
              <w:rPr>
                <w:i/>
                <w:iCs/>
              </w:rPr>
              <w:t>Escherichia coli</w:t>
            </w:r>
          </w:p>
        </w:tc>
        <w:tc>
          <w:tcPr>
            <w:tcW w:w="0" w:type="auto"/>
            <w:vAlign w:val="center"/>
          </w:tcPr>
          <w:p w:rsidR="00134A30" w:rsidRPr="0048465E" w:rsidRDefault="00F857D2" w:rsidP="004569A7">
            <w:pPr>
              <w:pStyle w:val="Compact"/>
              <w:spacing w:line="276" w:lineRule="auto"/>
              <w:jc w:val="center"/>
            </w:pPr>
            <w:r w:rsidRPr="0048465E">
              <w:t>48</w:t>
            </w:r>
          </w:p>
        </w:tc>
        <w:tc>
          <w:tcPr>
            <w:tcW w:w="0" w:type="auto"/>
            <w:vAlign w:val="center"/>
          </w:tcPr>
          <w:p w:rsidR="00134A30" w:rsidRPr="0048465E" w:rsidRDefault="00F857D2" w:rsidP="004569A7">
            <w:pPr>
              <w:pStyle w:val="Compact"/>
              <w:spacing w:line="276" w:lineRule="auto"/>
              <w:jc w:val="center"/>
            </w:pPr>
            <w:r w:rsidRPr="0048465E">
              <w:t>18</w:t>
            </w:r>
          </w:p>
        </w:tc>
        <w:tc>
          <w:tcPr>
            <w:tcW w:w="0" w:type="auto"/>
            <w:vAlign w:val="center"/>
          </w:tcPr>
          <w:p w:rsidR="00134A30" w:rsidRPr="0048465E" w:rsidRDefault="00F857D2" w:rsidP="004569A7">
            <w:pPr>
              <w:pStyle w:val="Compact"/>
              <w:spacing w:line="276" w:lineRule="auto"/>
              <w:jc w:val="center"/>
            </w:pPr>
            <w:r w:rsidRPr="0048465E">
              <w:t>37.5</w:t>
            </w:r>
          </w:p>
        </w:tc>
      </w:tr>
      <w:tr w:rsidR="00134A30" w:rsidRPr="0048465E" w:rsidTr="00715A01">
        <w:trPr>
          <w:jc w:val="center"/>
        </w:trPr>
        <w:tc>
          <w:tcPr>
            <w:tcW w:w="0" w:type="auto"/>
            <w:vAlign w:val="center"/>
          </w:tcPr>
          <w:p w:rsidR="00134A30" w:rsidRPr="0048465E" w:rsidRDefault="00F857D2" w:rsidP="004569A7">
            <w:pPr>
              <w:pStyle w:val="Compact"/>
              <w:spacing w:line="276" w:lineRule="auto"/>
              <w:jc w:val="center"/>
              <w:rPr>
                <w:i/>
                <w:iCs/>
              </w:rPr>
            </w:pPr>
            <w:r w:rsidRPr="0048465E">
              <w:rPr>
                <w:i/>
                <w:iCs/>
              </w:rPr>
              <w:t>Klebsiella pneumoniae</w:t>
            </w:r>
          </w:p>
        </w:tc>
        <w:tc>
          <w:tcPr>
            <w:tcW w:w="0" w:type="auto"/>
            <w:vAlign w:val="center"/>
          </w:tcPr>
          <w:p w:rsidR="00134A30" w:rsidRPr="0048465E" w:rsidRDefault="00F857D2" w:rsidP="004569A7">
            <w:pPr>
              <w:pStyle w:val="Compact"/>
              <w:spacing w:line="276" w:lineRule="auto"/>
              <w:jc w:val="center"/>
            </w:pPr>
            <w:r w:rsidRPr="0048465E">
              <w:t>14</w:t>
            </w:r>
          </w:p>
        </w:tc>
        <w:tc>
          <w:tcPr>
            <w:tcW w:w="0" w:type="auto"/>
            <w:vAlign w:val="center"/>
          </w:tcPr>
          <w:p w:rsidR="00134A30" w:rsidRPr="0048465E" w:rsidRDefault="00F857D2" w:rsidP="004569A7">
            <w:pPr>
              <w:pStyle w:val="Compact"/>
              <w:spacing w:line="276" w:lineRule="auto"/>
              <w:jc w:val="center"/>
            </w:pPr>
            <w:r w:rsidRPr="0048465E">
              <w:t>6</w:t>
            </w:r>
          </w:p>
        </w:tc>
        <w:tc>
          <w:tcPr>
            <w:tcW w:w="0" w:type="auto"/>
            <w:vAlign w:val="center"/>
          </w:tcPr>
          <w:p w:rsidR="00134A30" w:rsidRPr="0048465E" w:rsidRDefault="00F857D2" w:rsidP="004569A7">
            <w:pPr>
              <w:pStyle w:val="Compact"/>
              <w:spacing w:line="276" w:lineRule="auto"/>
              <w:jc w:val="center"/>
            </w:pPr>
            <w:r w:rsidRPr="0048465E">
              <w:t>42.9</w:t>
            </w:r>
          </w:p>
        </w:tc>
      </w:tr>
      <w:tr w:rsidR="00134A30" w:rsidRPr="0048465E" w:rsidTr="00715A01">
        <w:trPr>
          <w:jc w:val="center"/>
        </w:trPr>
        <w:tc>
          <w:tcPr>
            <w:tcW w:w="0" w:type="auto"/>
            <w:vAlign w:val="center"/>
          </w:tcPr>
          <w:p w:rsidR="00134A30" w:rsidRPr="0048465E" w:rsidRDefault="00F857D2" w:rsidP="004569A7">
            <w:pPr>
              <w:pStyle w:val="Compact"/>
              <w:spacing w:line="276" w:lineRule="auto"/>
              <w:jc w:val="center"/>
              <w:rPr>
                <w:i/>
                <w:iCs/>
              </w:rPr>
            </w:pPr>
            <w:r w:rsidRPr="0048465E">
              <w:rPr>
                <w:i/>
                <w:iCs/>
              </w:rPr>
              <w:t>Proteus mirabilis</w:t>
            </w:r>
          </w:p>
        </w:tc>
        <w:tc>
          <w:tcPr>
            <w:tcW w:w="0" w:type="auto"/>
            <w:vAlign w:val="center"/>
          </w:tcPr>
          <w:p w:rsidR="00134A30" w:rsidRPr="0048465E" w:rsidRDefault="00F857D2" w:rsidP="004569A7">
            <w:pPr>
              <w:pStyle w:val="Compact"/>
              <w:spacing w:line="276" w:lineRule="auto"/>
              <w:jc w:val="center"/>
            </w:pPr>
            <w:r w:rsidRPr="0048465E">
              <w:t>6</w:t>
            </w:r>
          </w:p>
        </w:tc>
        <w:tc>
          <w:tcPr>
            <w:tcW w:w="0" w:type="auto"/>
            <w:vAlign w:val="center"/>
          </w:tcPr>
          <w:p w:rsidR="00134A30" w:rsidRPr="0048465E" w:rsidRDefault="00F857D2" w:rsidP="004569A7">
            <w:pPr>
              <w:pStyle w:val="Compact"/>
              <w:spacing w:line="276" w:lineRule="auto"/>
              <w:jc w:val="center"/>
            </w:pPr>
            <w:r w:rsidRPr="0048465E">
              <w:t>2</w:t>
            </w:r>
          </w:p>
        </w:tc>
        <w:tc>
          <w:tcPr>
            <w:tcW w:w="0" w:type="auto"/>
            <w:vAlign w:val="center"/>
          </w:tcPr>
          <w:p w:rsidR="00134A30" w:rsidRPr="0048465E" w:rsidRDefault="00F857D2" w:rsidP="004569A7">
            <w:pPr>
              <w:pStyle w:val="Compact"/>
              <w:spacing w:line="276" w:lineRule="auto"/>
              <w:jc w:val="center"/>
            </w:pPr>
            <w:r w:rsidRPr="0048465E">
              <w:t>33.3</w:t>
            </w:r>
          </w:p>
        </w:tc>
      </w:tr>
      <w:tr w:rsidR="00134A30" w:rsidRPr="0048465E" w:rsidTr="00715A01">
        <w:trPr>
          <w:jc w:val="center"/>
        </w:trPr>
        <w:tc>
          <w:tcPr>
            <w:tcW w:w="0" w:type="auto"/>
            <w:vAlign w:val="center"/>
          </w:tcPr>
          <w:p w:rsidR="00134A30" w:rsidRPr="0048465E" w:rsidRDefault="00F857D2" w:rsidP="004569A7">
            <w:pPr>
              <w:pStyle w:val="Compact"/>
              <w:spacing w:line="276" w:lineRule="auto"/>
              <w:jc w:val="center"/>
              <w:rPr>
                <w:i/>
                <w:iCs/>
              </w:rPr>
            </w:pPr>
            <w:r w:rsidRPr="0048465E">
              <w:rPr>
                <w:i/>
                <w:iCs/>
              </w:rPr>
              <w:t>Pseudomonas aeruginosa</w:t>
            </w:r>
          </w:p>
        </w:tc>
        <w:tc>
          <w:tcPr>
            <w:tcW w:w="0" w:type="auto"/>
            <w:vAlign w:val="center"/>
          </w:tcPr>
          <w:p w:rsidR="00134A30" w:rsidRPr="0048465E" w:rsidRDefault="00F857D2" w:rsidP="004569A7">
            <w:pPr>
              <w:pStyle w:val="Compact"/>
              <w:spacing w:line="276" w:lineRule="auto"/>
              <w:jc w:val="center"/>
            </w:pPr>
            <w:r w:rsidRPr="0048465E">
              <w:t>5</w:t>
            </w:r>
          </w:p>
        </w:tc>
        <w:tc>
          <w:tcPr>
            <w:tcW w:w="0" w:type="auto"/>
            <w:vAlign w:val="center"/>
          </w:tcPr>
          <w:p w:rsidR="00134A30" w:rsidRPr="0048465E" w:rsidRDefault="00F857D2" w:rsidP="004569A7">
            <w:pPr>
              <w:pStyle w:val="Compact"/>
              <w:spacing w:line="276" w:lineRule="auto"/>
              <w:jc w:val="center"/>
            </w:pPr>
            <w:r w:rsidRPr="0048465E">
              <w:t>2</w:t>
            </w:r>
          </w:p>
        </w:tc>
        <w:tc>
          <w:tcPr>
            <w:tcW w:w="0" w:type="auto"/>
            <w:vAlign w:val="center"/>
          </w:tcPr>
          <w:p w:rsidR="00134A30" w:rsidRPr="0048465E" w:rsidRDefault="00F857D2" w:rsidP="004569A7">
            <w:pPr>
              <w:pStyle w:val="Compact"/>
              <w:spacing w:line="276" w:lineRule="auto"/>
              <w:jc w:val="center"/>
            </w:pPr>
            <w:r w:rsidRPr="0048465E">
              <w:t>40.0</w:t>
            </w:r>
          </w:p>
        </w:tc>
      </w:tr>
      <w:tr w:rsidR="00134A30" w:rsidRPr="0048465E" w:rsidTr="00715A01">
        <w:trPr>
          <w:jc w:val="center"/>
        </w:trPr>
        <w:tc>
          <w:tcPr>
            <w:tcW w:w="0" w:type="auto"/>
            <w:vAlign w:val="center"/>
          </w:tcPr>
          <w:p w:rsidR="00134A30" w:rsidRPr="0048465E" w:rsidRDefault="00F857D2" w:rsidP="004569A7">
            <w:pPr>
              <w:pStyle w:val="Compact"/>
              <w:spacing w:line="276" w:lineRule="auto"/>
              <w:jc w:val="center"/>
              <w:rPr>
                <w:i/>
                <w:iCs/>
              </w:rPr>
            </w:pPr>
            <w:r w:rsidRPr="0048465E">
              <w:rPr>
                <w:i/>
                <w:iCs/>
              </w:rPr>
              <w:t>Staphylococcus saprophyticus</w:t>
            </w:r>
          </w:p>
        </w:tc>
        <w:tc>
          <w:tcPr>
            <w:tcW w:w="0" w:type="auto"/>
            <w:vAlign w:val="center"/>
          </w:tcPr>
          <w:p w:rsidR="00134A30" w:rsidRPr="0048465E" w:rsidRDefault="00F857D2" w:rsidP="004569A7">
            <w:pPr>
              <w:pStyle w:val="Compact"/>
              <w:spacing w:line="276" w:lineRule="auto"/>
              <w:jc w:val="center"/>
            </w:pPr>
            <w:r w:rsidRPr="0048465E">
              <w:t>4</w:t>
            </w:r>
          </w:p>
        </w:tc>
        <w:tc>
          <w:tcPr>
            <w:tcW w:w="0" w:type="auto"/>
            <w:vAlign w:val="center"/>
          </w:tcPr>
          <w:p w:rsidR="00134A30" w:rsidRPr="0048465E" w:rsidRDefault="00F857D2" w:rsidP="004569A7">
            <w:pPr>
              <w:pStyle w:val="Compact"/>
              <w:spacing w:line="276" w:lineRule="auto"/>
              <w:jc w:val="center"/>
            </w:pPr>
            <w:r w:rsidRPr="0048465E">
              <w:t>1</w:t>
            </w:r>
          </w:p>
        </w:tc>
        <w:tc>
          <w:tcPr>
            <w:tcW w:w="0" w:type="auto"/>
            <w:vAlign w:val="center"/>
          </w:tcPr>
          <w:p w:rsidR="00134A30" w:rsidRPr="0048465E" w:rsidRDefault="00F857D2" w:rsidP="004569A7">
            <w:pPr>
              <w:pStyle w:val="Compact"/>
              <w:spacing w:line="276" w:lineRule="auto"/>
              <w:jc w:val="center"/>
            </w:pPr>
            <w:r w:rsidRPr="0048465E">
              <w:t>25.0</w:t>
            </w:r>
          </w:p>
        </w:tc>
      </w:tr>
      <w:tr w:rsidR="00134A30" w:rsidRPr="0048465E" w:rsidTr="00715A01">
        <w:trPr>
          <w:jc w:val="center"/>
        </w:trPr>
        <w:tc>
          <w:tcPr>
            <w:tcW w:w="0" w:type="auto"/>
            <w:vAlign w:val="center"/>
          </w:tcPr>
          <w:p w:rsidR="00134A30" w:rsidRPr="0048465E" w:rsidRDefault="00F857D2" w:rsidP="004569A7">
            <w:pPr>
              <w:pStyle w:val="Compact"/>
              <w:spacing w:line="276" w:lineRule="auto"/>
              <w:jc w:val="center"/>
              <w:rPr>
                <w:i/>
                <w:iCs/>
              </w:rPr>
            </w:pPr>
            <w:r w:rsidRPr="0048465E">
              <w:rPr>
                <w:i/>
                <w:iCs/>
              </w:rPr>
              <w:t>Enterococcus faecalis</w:t>
            </w:r>
          </w:p>
        </w:tc>
        <w:tc>
          <w:tcPr>
            <w:tcW w:w="0" w:type="auto"/>
            <w:vAlign w:val="center"/>
          </w:tcPr>
          <w:p w:rsidR="00134A30" w:rsidRPr="0048465E" w:rsidRDefault="00F857D2" w:rsidP="004569A7">
            <w:pPr>
              <w:pStyle w:val="Compact"/>
              <w:spacing w:line="276" w:lineRule="auto"/>
              <w:jc w:val="center"/>
            </w:pPr>
            <w:r w:rsidRPr="0048465E">
              <w:t>3</w:t>
            </w:r>
          </w:p>
        </w:tc>
        <w:tc>
          <w:tcPr>
            <w:tcW w:w="0" w:type="auto"/>
            <w:vAlign w:val="center"/>
          </w:tcPr>
          <w:p w:rsidR="00134A30" w:rsidRPr="0048465E" w:rsidRDefault="00F857D2" w:rsidP="004569A7">
            <w:pPr>
              <w:pStyle w:val="Compact"/>
              <w:spacing w:line="276" w:lineRule="auto"/>
              <w:jc w:val="center"/>
            </w:pPr>
            <w:r w:rsidRPr="0048465E">
              <w:t>1</w:t>
            </w:r>
          </w:p>
        </w:tc>
        <w:tc>
          <w:tcPr>
            <w:tcW w:w="0" w:type="auto"/>
            <w:vAlign w:val="center"/>
          </w:tcPr>
          <w:p w:rsidR="00134A30" w:rsidRPr="0048465E" w:rsidRDefault="00F857D2" w:rsidP="004569A7">
            <w:pPr>
              <w:pStyle w:val="Compact"/>
              <w:spacing w:line="276" w:lineRule="auto"/>
              <w:jc w:val="center"/>
            </w:pPr>
            <w:r w:rsidRPr="0048465E">
              <w:t>33.3</w:t>
            </w:r>
          </w:p>
        </w:tc>
      </w:tr>
      <w:tr w:rsidR="00134A30" w:rsidRPr="0048465E" w:rsidTr="00715A01">
        <w:trPr>
          <w:jc w:val="center"/>
        </w:trPr>
        <w:tc>
          <w:tcPr>
            <w:tcW w:w="0" w:type="auto"/>
            <w:vAlign w:val="center"/>
          </w:tcPr>
          <w:p w:rsidR="00134A30" w:rsidRPr="0048465E" w:rsidRDefault="00F857D2" w:rsidP="004569A7">
            <w:pPr>
              <w:pStyle w:val="Compact"/>
              <w:spacing w:line="276" w:lineRule="auto"/>
              <w:jc w:val="center"/>
            </w:pPr>
            <w:r w:rsidRPr="0048465E">
              <w:t>Others</w:t>
            </w:r>
          </w:p>
        </w:tc>
        <w:tc>
          <w:tcPr>
            <w:tcW w:w="0" w:type="auto"/>
            <w:vAlign w:val="center"/>
          </w:tcPr>
          <w:p w:rsidR="00134A30" w:rsidRPr="0048465E" w:rsidRDefault="00F857D2" w:rsidP="004569A7">
            <w:pPr>
              <w:pStyle w:val="Compact"/>
              <w:spacing w:line="276" w:lineRule="auto"/>
              <w:jc w:val="center"/>
            </w:pPr>
            <w:r w:rsidRPr="0048465E">
              <w:t>2</w:t>
            </w:r>
          </w:p>
        </w:tc>
        <w:tc>
          <w:tcPr>
            <w:tcW w:w="0" w:type="auto"/>
            <w:vAlign w:val="center"/>
          </w:tcPr>
          <w:p w:rsidR="00134A30" w:rsidRPr="0048465E" w:rsidRDefault="00F857D2" w:rsidP="004569A7">
            <w:pPr>
              <w:pStyle w:val="Compact"/>
              <w:spacing w:line="276" w:lineRule="auto"/>
              <w:jc w:val="center"/>
            </w:pPr>
            <w:r w:rsidRPr="0048465E">
              <w:t>0</w:t>
            </w:r>
          </w:p>
        </w:tc>
        <w:tc>
          <w:tcPr>
            <w:tcW w:w="0" w:type="auto"/>
            <w:vAlign w:val="center"/>
          </w:tcPr>
          <w:p w:rsidR="00134A30" w:rsidRPr="0048465E" w:rsidRDefault="00F857D2" w:rsidP="004569A7">
            <w:pPr>
              <w:pStyle w:val="Compact"/>
              <w:spacing w:line="276" w:lineRule="auto"/>
              <w:jc w:val="center"/>
            </w:pPr>
            <w:r w:rsidRPr="0048465E">
              <w:t>0</w:t>
            </w:r>
          </w:p>
        </w:tc>
      </w:tr>
      <w:tr w:rsidR="00134A30" w:rsidRPr="0048465E" w:rsidTr="00715A01">
        <w:trPr>
          <w:jc w:val="center"/>
        </w:trPr>
        <w:tc>
          <w:tcPr>
            <w:tcW w:w="0" w:type="auto"/>
            <w:vAlign w:val="center"/>
          </w:tcPr>
          <w:p w:rsidR="00134A30" w:rsidRPr="0048465E" w:rsidRDefault="00F857D2" w:rsidP="004569A7">
            <w:pPr>
              <w:pStyle w:val="Compact"/>
              <w:spacing w:line="276" w:lineRule="auto"/>
              <w:jc w:val="center"/>
            </w:pPr>
            <w:r w:rsidRPr="0048465E">
              <w:rPr>
                <w:b/>
                <w:bCs/>
              </w:rPr>
              <w:t>Total</w:t>
            </w:r>
          </w:p>
        </w:tc>
        <w:tc>
          <w:tcPr>
            <w:tcW w:w="0" w:type="auto"/>
            <w:vAlign w:val="center"/>
          </w:tcPr>
          <w:p w:rsidR="00134A30" w:rsidRPr="0048465E" w:rsidRDefault="00F857D2" w:rsidP="004569A7">
            <w:pPr>
              <w:pStyle w:val="Compact"/>
              <w:spacing w:line="276" w:lineRule="auto"/>
              <w:jc w:val="center"/>
            </w:pPr>
            <w:r w:rsidRPr="0048465E">
              <w:rPr>
                <w:b/>
                <w:bCs/>
              </w:rPr>
              <w:t>82</w:t>
            </w:r>
          </w:p>
        </w:tc>
        <w:tc>
          <w:tcPr>
            <w:tcW w:w="0" w:type="auto"/>
            <w:vAlign w:val="center"/>
          </w:tcPr>
          <w:p w:rsidR="00134A30" w:rsidRPr="0048465E" w:rsidRDefault="00F857D2" w:rsidP="004569A7">
            <w:pPr>
              <w:pStyle w:val="Compact"/>
              <w:spacing w:line="276" w:lineRule="auto"/>
              <w:jc w:val="center"/>
            </w:pPr>
            <w:r w:rsidRPr="0048465E">
              <w:rPr>
                <w:b/>
                <w:bCs/>
              </w:rPr>
              <w:t>30</w:t>
            </w:r>
          </w:p>
        </w:tc>
        <w:tc>
          <w:tcPr>
            <w:tcW w:w="0" w:type="auto"/>
            <w:vAlign w:val="center"/>
          </w:tcPr>
          <w:p w:rsidR="00134A30" w:rsidRPr="0048465E" w:rsidRDefault="00F857D2" w:rsidP="004569A7">
            <w:pPr>
              <w:pStyle w:val="Compact"/>
              <w:spacing w:line="276" w:lineRule="auto"/>
              <w:jc w:val="center"/>
            </w:pPr>
            <w:r w:rsidRPr="0048465E">
              <w:rPr>
                <w:b/>
                <w:bCs/>
              </w:rPr>
              <w:t>36.6</w:t>
            </w:r>
          </w:p>
        </w:tc>
      </w:tr>
    </w:tbl>
    <w:p w:rsidR="00F74A07" w:rsidRPr="0048465E" w:rsidRDefault="00F74A07" w:rsidP="004569A7">
      <w:pPr>
        <w:pStyle w:val="Heading2"/>
        <w:spacing w:line="276" w:lineRule="auto"/>
        <w:rPr>
          <w:rFonts w:asciiTheme="minorBidi" w:hAnsiTheme="minorBidi" w:cstheme="minorBidi"/>
          <w:color w:val="000000" w:themeColor="text1"/>
          <w:sz w:val="24"/>
          <w:szCs w:val="24"/>
        </w:rPr>
      </w:pPr>
      <w:bookmarkStart w:id="15" w:name="recommendations"/>
      <w:bookmarkEnd w:id="4"/>
      <w:bookmarkEnd w:id="13"/>
      <w:bookmarkEnd w:id="14"/>
      <w:r w:rsidRPr="0048465E">
        <w:rPr>
          <w:rFonts w:asciiTheme="minorBidi" w:hAnsiTheme="minorBidi" w:cstheme="minorBidi"/>
          <w:color w:val="000000" w:themeColor="text1"/>
          <w:sz w:val="24"/>
          <w:szCs w:val="24"/>
        </w:rPr>
        <w:lastRenderedPageBreak/>
        <w:t xml:space="preserve">Differences in MDR </w:t>
      </w:r>
      <w:proofErr w:type="spellStart"/>
      <w:r w:rsidRPr="0048465E">
        <w:rPr>
          <w:rFonts w:asciiTheme="minorBidi" w:hAnsiTheme="minorBidi" w:cstheme="minorBidi"/>
          <w:color w:val="000000" w:themeColor="text1"/>
          <w:sz w:val="24"/>
          <w:szCs w:val="24"/>
        </w:rPr>
        <w:t>Uropathogen</w:t>
      </w:r>
      <w:proofErr w:type="spellEnd"/>
      <w:r w:rsidRPr="0048465E">
        <w:rPr>
          <w:rFonts w:asciiTheme="minorBidi" w:hAnsiTheme="minorBidi" w:cstheme="minorBidi"/>
          <w:color w:val="000000" w:themeColor="text1"/>
          <w:sz w:val="24"/>
          <w:szCs w:val="24"/>
        </w:rPr>
        <w:t xml:space="preserve"> Prevalence between</w:t>
      </w:r>
    </w:p>
    <w:p w:rsidR="00F74A07" w:rsidRPr="0048465E" w:rsidRDefault="001816F0" w:rsidP="004569A7">
      <w:pPr>
        <w:pStyle w:val="Heading2"/>
        <w:spacing w:line="276" w:lineRule="auto"/>
        <w:jc w:val="both"/>
        <w:rPr>
          <w:rFonts w:asciiTheme="minorBidi" w:hAnsiTheme="minorBidi" w:cstheme="minorBidi"/>
          <w:b w:val="0"/>
          <w:bCs w:val="0"/>
          <w:color w:val="000000" w:themeColor="text1"/>
          <w:sz w:val="24"/>
          <w:szCs w:val="24"/>
        </w:rPr>
      </w:pPr>
      <w:r w:rsidRPr="0048465E">
        <w:rPr>
          <w:rFonts w:asciiTheme="minorBidi" w:hAnsiTheme="minorBidi" w:cstheme="minorBidi"/>
          <w:b w:val="0"/>
          <w:bCs w:val="0"/>
          <w:color w:val="000000" w:themeColor="text1"/>
          <w:sz w:val="24"/>
          <w:szCs w:val="24"/>
        </w:rPr>
        <w:t xml:space="preserve">    </w:t>
      </w:r>
      <w:r w:rsidR="00F74A07" w:rsidRPr="0048465E">
        <w:rPr>
          <w:rFonts w:asciiTheme="minorBidi" w:hAnsiTheme="minorBidi" w:cstheme="minorBidi"/>
          <w:b w:val="0"/>
          <w:bCs w:val="0"/>
          <w:color w:val="000000" w:themeColor="text1"/>
          <w:sz w:val="24"/>
          <w:szCs w:val="24"/>
        </w:rPr>
        <w:t>Of the 30 MDR isolates, 17 (56.7%) were found in female patients, and the remaining 13 (43.3%) were found in male patients. However, the difference was not statistically significant (p=0.21). Chi-squared and Fisher</w:t>
      </w:r>
      <w:r w:rsidR="004678B5" w:rsidRPr="0048465E">
        <w:rPr>
          <w:rFonts w:asciiTheme="minorBidi" w:hAnsiTheme="minorBidi" w:cstheme="minorBidi"/>
          <w:b w:val="0"/>
          <w:bCs w:val="0"/>
          <w:color w:val="000000" w:themeColor="text1"/>
          <w:sz w:val="24"/>
          <w:szCs w:val="24"/>
        </w:rPr>
        <w:t>'s</w:t>
      </w:r>
      <w:r w:rsidR="00F74A07" w:rsidRPr="0048465E">
        <w:rPr>
          <w:rFonts w:asciiTheme="minorBidi" w:hAnsiTheme="minorBidi" w:cstheme="minorBidi"/>
          <w:b w:val="0"/>
          <w:bCs w:val="0"/>
          <w:color w:val="000000" w:themeColor="text1"/>
          <w:sz w:val="24"/>
          <w:szCs w:val="24"/>
        </w:rPr>
        <w:t xml:space="preserve"> exact tests were employed for group comparison. The proportion of MDR </w:t>
      </w:r>
      <w:proofErr w:type="spellStart"/>
      <w:r w:rsidR="00F74A07" w:rsidRPr="0048465E">
        <w:rPr>
          <w:rFonts w:asciiTheme="minorBidi" w:hAnsiTheme="minorBidi" w:cstheme="minorBidi"/>
          <w:b w:val="0"/>
          <w:bCs w:val="0"/>
          <w:color w:val="000000" w:themeColor="text1"/>
          <w:sz w:val="24"/>
          <w:szCs w:val="24"/>
        </w:rPr>
        <w:t>uropathogens</w:t>
      </w:r>
      <w:proofErr w:type="spellEnd"/>
      <w:r w:rsidR="00F74A07" w:rsidRPr="0048465E">
        <w:rPr>
          <w:rFonts w:asciiTheme="minorBidi" w:hAnsiTheme="minorBidi" w:cstheme="minorBidi"/>
          <w:b w:val="0"/>
          <w:bCs w:val="0"/>
          <w:color w:val="000000" w:themeColor="text1"/>
          <w:sz w:val="24"/>
          <w:szCs w:val="24"/>
        </w:rPr>
        <w:t xml:space="preserve"> was significantly higher for Escherichia coli and Klebsiella pneumoniae compared with other species (p &lt; 0.01). Prevalence of MDR </w:t>
      </w:r>
      <w:proofErr w:type="spellStart"/>
      <w:r w:rsidR="00F74A07" w:rsidRPr="0048465E">
        <w:rPr>
          <w:rFonts w:asciiTheme="minorBidi" w:hAnsiTheme="minorBidi" w:cstheme="minorBidi"/>
          <w:b w:val="0"/>
          <w:bCs w:val="0"/>
          <w:color w:val="000000" w:themeColor="text1"/>
          <w:sz w:val="24"/>
          <w:szCs w:val="24"/>
        </w:rPr>
        <w:t>uropathogens</w:t>
      </w:r>
      <w:proofErr w:type="spellEnd"/>
      <w:r w:rsidR="00F74A07" w:rsidRPr="0048465E">
        <w:rPr>
          <w:rFonts w:asciiTheme="minorBidi" w:hAnsiTheme="minorBidi" w:cstheme="minorBidi"/>
          <w:b w:val="0"/>
          <w:bCs w:val="0"/>
          <w:color w:val="000000" w:themeColor="text1"/>
          <w:sz w:val="24"/>
          <w:szCs w:val="24"/>
        </w:rPr>
        <w:t xml:space="preserve"> was higher among females, but the difference was not statistically significant.</w:t>
      </w:r>
    </w:p>
    <w:p w:rsidR="00F74A07" w:rsidRPr="0048465E" w:rsidRDefault="00F74A07" w:rsidP="004569A7">
      <w:pPr>
        <w:pStyle w:val="Heading2"/>
        <w:spacing w:line="276" w:lineRule="auto"/>
        <w:rPr>
          <w:rFonts w:asciiTheme="minorBidi" w:hAnsiTheme="minorBidi" w:cstheme="minorBidi"/>
          <w:color w:val="000000" w:themeColor="text1"/>
          <w:sz w:val="24"/>
          <w:szCs w:val="24"/>
        </w:rPr>
      </w:pPr>
      <w:r w:rsidRPr="0048465E">
        <w:rPr>
          <w:rFonts w:asciiTheme="minorBidi" w:hAnsiTheme="minorBidi" w:cstheme="minorBidi"/>
          <w:color w:val="000000" w:themeColor="text1"/>
          <w:sz w:val="24"/>
          <w:szCs w:val="24"/>
        </w:rPr>
        <w:t>Key findings are:</w:t>
      </w:r>
    </w:p>
    <w:p w:rsidR="00F74A07" w:rsidRPr="0048465E" w:rsidRDefault="00F74A07" w:rsidP="004569A7">
      <w:pPr>
        <w:pStyle w:val="Heading2"/>
        <w:spacing w:line="276" w:lineRule="auto"/>
        <w:jc w:val="both"/>
        <w:rPr>
          <w:rFonts w:asciiTheme="minorBidi" w:hAnsiTheme="minorBidi" w:cstheme="minorBidi"/>
          <w:b w:val="0"/>
          <w:bCs w:val="0"/>
          <w:color w:val="000000" w:themeColor="text1"/>
          <w:sz w:val="24"/>
          <w:szCs w:val="24"/>
        </w:rPr>
      </w:pPr>
      <w:r w:rsidRPr="0048465E">
        <w:rPr>
          <w:rFonts w:asciiTheme="minorBidi" w:hAnsiTheme="minorBidi" w:cstheme="minorBidi"/>
          <w:b w:val="0"/>
          <w:bCs w:val="0"/>
          <w:color w:val="000000" w:themeColor="text1"/>
          <w:sz w:val="24"/>
          <w:szCs w:val="24"/>
        </w:rPr>
        <w:t>- High prevalence of culture-proven urinary tract infections (UTIs) among symptomatic outpatients (91.1%).</w:t>
      </w:r>
    </w:p>
    <w:p w:rsidR="00F74A07" w:rsidRPr="0048465E" w:rsidRDefault="00F74A07" w:rsidP="004569A7">
      <w:pPr>
        <w:pStyle w:val="Heading2"/>
        <w:spacing w:line="276" w:lineRule="auto"/>
        <w:jc w:val="both"/>
        <w:rPr>
          <w:rFonts w:asciiTheme="minorBidi" w:hAnsiTheme="minorBidi" w:cstheme="minorBidi"/>
          <w:b w:val="0"/>
          <w:bCs w:val="0"/>
          <w:color w:val="000000" w:themeColor="text1"/>
          <w:sz w:val="24"/>
          <w:szCs w:val="24"/>
        </w:rPr>
      </w:pPr>
      <w:r w:rsidRPr="0048465E">
        <w:rPr>
          <w:rFonts w:asciiTheme="minorBidi" w:hAnsiTheme="minorBidi" w:cstheme="minorBidi"/>
          <w:b w:val="0"/>
          <w:bCs w:val="0"/>
          <w:color w:val="000000" w:themeColor="text1"/>
          <w:sz w:val="24"/>
          <w:szCs w:val="24"/>
        </w:rPr>
        <w:t>- More females developed UTI compared with males (53.7% vs. 46.3%).</w:t>
      </w:r>
    </w:p>
    <w:p w:rsidR="00F74A07" w:rsidRPr="0048465E" w:rsidRDefault="006C2FF5" w:rsidP="004569A7">
      <w:pPr>
        <w:pStyle w:val="Heading2"/>
        <w:spacing w:line="276" w:lineRule="auto"/>
        <w:jc w:val="both"/>
        <w:rPr>
          <w:rFonts w:asciiTheme="minorBidi" w:hAnsiTheme="minorBidi" w:cstheme="minorBidi"/>
          <w:b w:val="0"/>
          <w:bCs w:val="0"/>
          <w:color w:val="000000" w:themeColor="text1"/>
          <w:sz w:val="24"/>
          <w:szCs w:val="24"/>
        </w:rPr>
      </w:pPr>
      <w:r>
        <w:rPr>
          <w:rFonts w:asciiTheme="minorBidi" w:hAnsiTheme="minorBidi" w:cstheme="minorBidi"/>
          <w:b w:val="0"/>
          <w:bCs w:val="0"/>
          <w:color w:val="000000" w:themeColor="text1"/>
          <w:sz w:val="24"/>
          <w:szCs w:val="24"/>
        </w:rPr>
        <w:t xml:space="preserve">- </w:t>
      </w:r>
      <w:r w:rsidRPr="006C2FF5">
        <w:rPr>
          <w:rFonts w:asciiTheme="minorBidi" w:hAnsiTheme="minorBidi" w:cstheme="minorBidi"/>
          <w:b w:val="0"/>
          <w:bCs w:val="0"/>
          <w:i/>
          <w:iCs/>
          <w:color w:val="000000" w:themeColor="text1"/>
          <w:sz w:val="24"/>
          <w:szCs w:val="24"/>
        </w:rPr>
        <w:t>E. coli</w:t>
      </w:r>
      <w:r w:rsidR="00F74A07" w:rsidRPr="0048465E">
        <w:rPr>
          <w:rFonts w:asciiTheme="minorBidi" w:hAnsiTheme="minorBidi" w:cstheme="minorBidi"/>
          <w:b w:val="0"/>
          <w:bCs w:val="0"/>
          <w:color w:val="000000" w:themeColor="text1"/>
          <w:sz w:val="24"/>
          <w:szCs w:val="24"/>
        </w:rPr>
        <w:t xml:space="preserve"> was the predominant </w:t>
      </w:r>
      <w:proofErr w:type="spellStart"/>
      <w:r w:rsidR="00F74A07" w:rsidRPr="0048465E">
        <w:rPr>
          <w:rFonts w:asciiTheme="minorBidi" w:hAnsiTheme="minorBidi" w:cstheme="minorBidi"/>
          <w:b w:val="0"/>
          <w:bCs w:val="0"/>
          <w:color w:val="000000" w:themeColor="text1"/>
          <w:sz w:val="24"/>
          <w:szCs w:val="24"/>
        </w:rPr>
        <w:t>uropathogen</w:t>
      </w:r>
      <w:proofErr w:type="spellEnd"/>
      <w:r w:rsidR="00F74A07" w:rsidRPr="0048465E">
        <w:rPr>
          <w:rFonts w:asciiTheme="minorBidi" w:hAnsiTheme="minorBidi" w:cstheme="minorBidi"/>
          <w:b w:val="0"/>
          <w:bCs w:val="0"/>
          <w:color w:val="000000" w:themeColor="text1"/>
          <w:sz w:val="24"/>
          <w:szCs w:val="24"/>
        </w:rPr>
        <w:t>, with a high MDR rate of 37.5%.</w:t>
      </w:r>
    </w:p>
    <w:p w:rsidR="00F74A07" w:rsidRPr="0048465E" w:rsidRDefault="00F74A07" w:rsidP="004569A7">
      <w:pPr>
        <w:pStyle w:val="Heading2"/>
        <w:spacing w:line="276" w:lineRule="auto"/>
        <w:jc w:val="both"/>
        <w:rPr>
          <w:rFonts w:asciiTheme="minorBidi" w:hAnsiTheme="minorBidi" w:cstheme="minorBidi"/>
          <w:b w:val="0"/>
          <w:bCs w:val="0"/>
          <w:color w:val="000000" w:themeColor="text1"/>
          <w:sz w:val="24"/>
          <w:szCs w:val="24"/>
        </w:rPr>
      </w:pPr>
      <w:r w:rsidRPr="0048465E">
        <w:rPr>
          <w:rFonts w:asciiTheme="minorBidi" w:hAnsiTheme="minorBidi" w:cstheme="minorBidi"/>
          <w:b w:val="0"/>
          <w:bCs w:val="0"/>
          <w:color w:val="000000" w:themeColor="text1"/>
          <w:sz w:val="24"/>
          <w:szCs w:val="24"/>
        </w:rPr>
        <w:t>- Imipenem/nitrofurantoin retained high potency against the majority of the organisms</w:t>
      </w:r>
    </w:p>
    <w:p w:rsidR="00F74A07" w:rsidRPr="0048465E" w:rsidRDefault="00F74A07" w:rsidP="004569A7">
      <w:pPr>
        <w:pStyle w:val="Heading2"/>
        <w:spacing w:line="276" w:lineRule="auto"/>
        <w:jc w:val="both"/>
        <w:rPr>
          <w:rFonts w:asciiTheme="minorBidi" w:hAnsiTheme="minorBidi" w:cstheme="minorBidi"/>
          <w:b w:val="0"/>
          <w:bCs w:val="0"/>
          <w:color w:val="000000" w:themeColor="text1"/>
          <w:sz w:val="24"/>
          <w:szCs w:val="24"/>
        </w:rPr>
      </w:pPr>
      <w:r w:rsidRPr="0048465E">
        <w:rPr>
          <w:rFonts w:asciiTheme="minorBidi" w:hAnsiTheme="minorBidi" w:cstheme="minorBidi"/>
          <w:b w:val="0"/>
          <w:bCs w:val="0"/>
          <w:color w:val="000000" w:themeColor="text1"/>
          <w:sz w:val="24"/>
          <w:szCs w:val="24"/>
        </w:rPr>
        <w:t>- In total, 36.6% of the isolates were designated MDR. - No statistically significant gender difference for MDR rates.</w:t>
      </w:r>
    </w:p>
    <w:p w:rsidR="0076363D" w:rsidRPr="0048465E" w:rsidRDefault="0076363D" w:rsidP="004569A7">
      <w:pPr>
        <w:pStyle w:val="Heading2"/>
        <w:spacing w:line="276" w:lineRule="auto"/>
        <w:rPr>
          <w:rFonts w:asciiTheme="minorBidi" w:hAnsiTheme="minorBidi" w:cstheme="minorBidi"/>
          <w:color w:val="000000" w:themeColor="text1"/>
          <w:sz w:val="24"/>
          <w:szCs w:val="24"/>
        </w:rPr>
      </w:pPr>
      <w:r w:rsidRPr="0048465E">
        <w:rPr>
          <w:rFonts w:asciiTheme="minorBidi" w:hAnsiTheme="minorBidi" w:cstheme="minorBidi"/>
          <w:color w:val="000000" w:themeColor="text1"/>
          <w:sz w:val="24"/>
          <w:szCs w:val="24"/>
        </w:rPr>
        <w:t>Prevalence &amp; Demographic Distribution:</w:t>
      </w:r>
    </w:p>
    <w:p w:rsidR="00DA1DDA" w:rsidRPr="0048465E" w:rsidRDefault="0076363D" w:rsidP="006C2FF5">
      <w:pPr>
        <w:pStyle w:val="Heading2"/>
        <w:spacing w:line="276" w:lineRule="auto"/>
        <w:jc w:val="both"/>
        <w:rPr>
          <w:rFonts w:asciiTheme="minorBidi" w:hAnsiTheme="minorBidi" w:cstheme="minorBidi"/>
          <w:b w:val="0"/>
          <w:bCs w:val="0"/>
          <w:color w:val="000000" w:themeColor="text1"/>
          <w:sz w:val="24"/>
          <w:szCs w:val="24"/>
        </w:rPr>
      </w:pPr>
      <w:r w:rsidRPr="0048465E">
        <w:rPr>
          <w:rFonts w:asciiTheme="minorBidi" w:hAnsiTheme="minorBidi" w:cstheme="minorBidi"/>
          <w:b w:val="0"/>
          <w:bCs w:val="0"/>
          <w:color w:val="000000" w:themeColor="text1"/>
          <w:sz w:val="24"/>
          <w:szCs w:val="24"/>
        </w:rPr>
        <w:t>The high culture-proven UTI, at 91.1%, is consistent with other studies carried out in the Middle East and elsewhere, where UTIs are recognized as posing a significant load on the healthcare systems of these countries, according to r</w:t>
      </w:r>
      <w:r w:rsidR="00F26B9A" w:rsidRPr="0048465E">
        <w:rPr>
          <w:rFonts w:asciiTheme="minorBidi" w:hAnsiTheme="minorBidi" w:cstheme="minorBidi"/>
          <w:b w:val="0"/>
          <w:bCs w:val="0"/>
          <w:color w:val="000000" w:themeColor="text1"/>
          <w:sz w:val="24"/>
          <w:szCs w:val="24"/>
        </w:rPr>
        <w:t>eports [30,31,32,</w:t>
      </w:r>
      <w:r w:rsidRPr="0048465E">
        <w:rPr>
          <w:rFonts w:asciiTheme="minorBidi" w:hAnsiTheme="minorBidi" w:cstheme="minorBidi"/>
          <w:b w:val="0"/>
          <w:bCs w:val="0"/>
          <w:color w:val="000000" w:themeColor="text1"/>
          <w:sz w:val="24"/>
          <w:szCs w:val="24"/>
        </w:rPr>
        <w:t xml:space="preserve">33]. </w:t>
      </w:r>
      <w:r w:rsidR="0048465E" w:rsidRPr="0048465E">
        <w:rPr>
          <w:rFonts w:asciiTheme="minorBidi" w:hAnsiTheme="minorBidi" w:cstheme="minorBidi"/>
          <w:b w:val="0"/>
          <w:bCs w:val="0"/>
          <w:color w:val="000000" w:themeColor="text1"/>
          <w:sz w:val="24"/>
          <w:szCs w:val="24"/>
        </w:rPr>
        <w:t xml:space="preserve">The higher percentage of female patients (53.7%) </w:t>
      </w:r>
      <w:r w:rsidR="0048465E" w:rsidRPr="006C2FF5">
        <w:rPr>
          <w:rFonts w:asciiTheme="minorBidi" w:hAnsiTheme="minorBidi" w:cstheme="minorBidi"/>
          <w:b w:val="0"/>
          <w:bCs w:val="0"/>
          <w:color w:val="000000" w:themeColor="text1"/>
          <w:sz w:val="24"/>
          <w:szCs w:val="24"/>
          <w:highlight w:val="yellow"/>
        </w:rPr>
        <w:t xml:space="preserve">recorded in this study agrees with the already known anatomical and physiological factors predisposing women more to urinary tract infections. The relatively short female urethra favors quicker ascension of </w:t>
      </w:r>
      <w:proofErr w:type="spellStart"/>
      <w:r w:rsidR="0048465E" w:rsidRPr="006C2FF5">
        <w:rPr>
          <w:rFonts w:asciiTheme="minorBidi" w:hAnsiTheme="minorBidi" w:cstheme="minorBidi"/>
          <w:b w:val="0"/>
          <w:bCs w:val="0"/>
          <w:color w:val="000000" w:themeColor="text1"/>
          <w:sz w:val="24"/>
          <w:szCs w:val="24"/>
          <w:highlight w:val="yellow"/>
        </w:rPr>
        <w:t>uropathogens</w:t>
      </w:r>
      <w:proofErr w:type="spellEnd"/>
      <w:r w:rsidR="0048465E" w:rsidRPr="006C2FF5">
        <w:rPr>
          <w:rFonts w:asciiTheme="minorBidi" w:hAnsiTheme="minorBidi" w:cstheme="minorBidi"/>
          <w:b w:val="0"/>
          <w:bCs w:val="0"/>
          <w:color w:val="000000" w:themeColor="text1"/>
          <w:sz w:val="24"/>
          <w:szCs w:val="24"/>
          <w:highlight w:val="yellow"/>
        </w:rPr>
        <w:t xml:space="preserve"> into the bladder to facilitate infection.[34] Another factor is </w:t>
      </w:r>
      <w:r w:rsidR="006C2FF5" w:rsidRPr="006C2FF5">
        <w:rPr>
          <w:rFonts w:asciiTheme="minorBidi" w:hAnsiTheme="minorBidi" w:cstheme="minorBidi"/>
          <w:b w:val="0"/>
          <w:bCs w:val="0"/>
          <w:color w:val="000000" w:themeColor="text1"/>
          <w:sz w:val="24"/>
          <w:szCs w:val="24"/>
          <w:highlight w:val="yellow"/>
        </w:rPr>
        <w:t>the</w:t>
      </w:r>
      <w:r w:rsidR="0048465E" w:rsidRPr="006C2FF5">
        <w:rPr>
          <w:rFonts w:asciiTheme="minorBidi" w:hAnsiTheme="minorBidi" w:cstheme="minorBidi"/>
          <w:b w:val="0"/>
          <w:bCs w:val="0"/>
          <w:color w:val="000000" w:themeColor="text1"/>
          <w:sz w:val="24"/>
          <w:szCs w:val="24"/>
          <w:highlight w:val="yellow"/>
        </w:rPr>
        <w:t xml:space="preserve"> nearness of the anatomical position of the female urethral opening to the anal region, which enables easy bacterial contamination predominantly by enteric organisms.[35] Hormonal influence, sexual activity, and certain stages in a woman’s life</w:t>
      </w:r>
      <w:r w:rsidR="006C2FF5" w:rsidRPr="006C2FF5">
        <w:rPr>
          <w:rFonts w:asciiTheme="minorBidi" w:hAnsiTheme="minorBidi" w:cstheme="minorBidi"/>
          <w:b w:val="0"/>
          <w:bCs w:val="0"/>
          <w:color w:val="000000" w:themeColor="text1"/>
          <w:sz w:val="24"/>
          <w:szCs w:val="24"/>
          <w:highlight w:val="yellow"/>
        </w:rPr>
        <w:t>,</w:t>
      </w:r>
      <w:r w:rsidR="0048465E" w:rsidRPr="006C2FF5">
        <w:rPr>
          <w:rFonts w:asciiTheme="minorBidi" w:hAnsiTheme="minorBidi" w:cstheme="minorBidi"/>
          <w:b w:val="0"/>
          <w:bCs w:val="0"/>
          <w:color w:val="000000" w:themeColor="text1"/>
          <w:sz w:val="24"/>
          <w:szCs w:val="24"/>
          <w:highlight w:val="yellow"/>
        </w:rPr>
        <w:t xml:space="preserve"> such as pregnancy</w:t>
      </w:r>
      <w:r w:rsidR="006C2FF5" w:rsidRPr="006C2FF5">
        <w:rPr>
          <w:rFonts w:asciiTheme="minorBidi" w:hAnsiTheme="minorBidi" w:cstheme="minorBidi"/>
          <w:b w:val="0"/>
          <w:bCs w:val="0"/>
          <w:color w:val="000000" w:themeColor="text1"/>
          <w:sz w:val="24"/>
          <w:szCs w:val="24"/>
          <w:highlight w:val="yellow"/>
        </w:rPr>
        <w:t>,</w:t>
      </w:r>
      <w:r w:rsidR="0048465E" w:rsidRPr="006C2FF5">
        <w:rPr>
          <w:rFonts w:asciiTheme="minorBidi" w:hAnsiTheme="minorBidi" w:cstheme="minorBidi"/>
          <w:b w:val="0"/>
          <w:bCs w:val="0"/>
          <w:color w:val="000000" w:themeColor="text1"/>
          <w:sz w:val="24"/>
          <w:szCs w:val="24"/>
          <w:highlight w:val="yellow"/>
        </w:rPr>
        <w:t xml:space="preserve"> may increase women’s proneness or vulnerability to UTI</w:t>
      </w:r>
      <w:r w:rsidR="006C2FF5" w:rsidRPr="006C2FF5">
        <w:rPr>
          <w:rFonts w:asciiTheme="minorBidi" w:hAnsiTheme="minorBidi" w:cstheme="minorBidi"/>
          <w:b w:val="0"/>
          <w:bCs w:val="0"/>
          <w:color w:val="000000" w:themeColor="text1"/>
          <w:sz w:val="24"/>
          <w:szCs w:val="24"/>
          <w:highlight w:val="yellow"/>
        </w:rPr>
        <w:t>;</w:t>
      </w:r>
      <w:r w:rsidR="0048465E" w:rsidRPr="006C2FF5">
        <w:rPr>
          <w:rFonts w:asciiTheme="minorBidi" w:hAnsiTheme="minorBidi" w:cstheme="minorBidi"/>
          <w:b w:val="0"/>
          <w:bCs w:val="0"/>
          <w:color w:val="000000" w:themeColor="text1"/>
          <w:sz w:val="24"/>
          <w:szCs w:val="24"/>
          <w:highlight w:val="yellow"/>
        </w:rPr>
        <w:t xml:space="preserve"> hence</w:t>
      </w:r>
      <w:r w:rsidR="006C2FF5" w:rsidRPr="006C2FF5">
        <w:rPr>
          <w:rFonts w:asciiTheme="minorBidi" w:hAnsiTheme="minorBidi" w:cstheme="minorBidi"/>
          <w:b w:val="0"/>
          <w:bCs w:val="0"/>
          <w:color w:val="000000" w:themeColor="text1"/>
          <w:sz w:val="24"/>
          <w:szCs w:val="24"/>
          <w:highlight w:val="yellow"/>
        </w:rPr>
        <w:t>,</w:t>
      </w:r>
      <w:r w:rsidR="0048465E" w:rsidRPr="006C2FF5">
        <w:rPr>
          <w:rFonts w:asciiTheme="minorBidi" w:hAnsiTheme="minorBidi" w:cstheme="minorBidi"/>
          <w:b w:val="0"/>
          <w:bCs w:val="0"/>
          <w:color w:val="000000" w:themeColor="text1"/>
          <w:sz w:val="24"/>
          <w:szCs w:val="24"/>
          <w:highlight w:val="yellow"/>
        </w:rPr>
        <w:t xml:space="preserve"> all these explain higher proportions found among females both for infection and multidrug-resistant </w:t>
      </w:r>
      <w:proofErr w:type="spellStart"/>
      <w:r w:rsidR="0048465E" w:rsidRPr="006C2FF5">
        <w:rPr>
          <w:rFonts w:asciiTheme="minorBidi" w:hAnsiTheme="minorBidi" w:cstheme="minorBidi"/>
          <w:b w:val="0"/>
          <w:bCs w:val="0"/>
          <w:color w:val="000000" w:themeColor="text1"/>
          <w:sz w:val="24"/>
          <w:szCs w:val="24"/>
          <w:highlight w:val="yellow"/>
        </w:rPr>
        <w:t>uropathogens</w:t>
      </w:r>
      <w:proofErr w:type="spellEnd"/>
      <w:r w:rsidR="0048465E" w:rsidRPr="006C2FF5">
        <w:rPr>
          <w:rFonts w:asciiTheme="minorBidi" w:hAnsiTheme="minorBidi" w:cstheme="minorBidi"/>
          <w:b w:val="0"/>
          <w:bCs w:val="0"/>
          <w:color w:val="000000" w:themeColor="text1"/>
          <w:sz w:val="24"/>
          <w:szCs w:val="24"/>
          <w:highlight w:val="yellow"/>
        </w:rPr>
        <w:t xml:space="preserve"> in this present study. </w:t>
      </w:r>
      <w:r w:rsidR="00F26B9A" w:rsidRPr="006C2FF5">
        <w:rPr>
          <w:rFonts w:asciiTheme="minorBidi" w:hAnsiTheme="minorBidi" w:cstheme="minorBidi"/>
          <w:b w:val="0"/>
          <w:bCs w:val="0"/>
          <w:color w:val="000000" w:themeColor="text1"/>
          <w:sz w:val="24"/>
          <w:szCs w:val="24"/>
          <w:highlight w:val="yellow"/>
        </w:rPr>
        <w:t>[</w:t>
      </w:r>
      <w:r w:rsidRPr="006C2FF5">
        <w:rPr>
          <w:rFonts w:asciiTheme="minorBidi" w:hAnsiTheme="minorBidi" w:cstheme="minorBidi"/>
          <w:b w:val="0"/>
          <w:bCs w:val="0"/>
          <w:color w:val="000000" w:themeColor="text1"/>
          <w:sz w:val="24"/>
          <w:szCs w:val="24"/>
          <w:highlight w:val="yellow"/>
        </w:rPr>
        <w:t>36].</w:t>
      </w:r>
    </w:p>
    <w:p w:rsidR="006C2FF5" w:rsidRDefault="0076363D" w:rsidP="004569A7">
      <w:pPr>
        <w:pStyle w:val="Heading2"/>
        <w:spacing w:line="276" w:lineRule="auto"/>
        <w:rPr>
          <w:rFonts w:asciiTheme="minorBidi" w:hAnsiTheme="minorBidi" w:cstheme="minorBidi"/>
          <w:color w:val="000000" w:themeColor="text1"/>
          <w:sz w:val="24"/>
          <w:szCs w:val="24"/>
        </w:rPr>
      </w:pPr>
      <w:r w:rsidRPr="0048465E">
        <w:rPr>
          <w:rFonts w:asciiTheme="minorBidi" w:hAnsiTheme="minorBidi" w:cstheme="minorBidi"/>
          <w:color w:val="000000" w:themeColor="text1"/>
          <w:sz w:val="24"/>
          <w:szCs w:val="24"/>
        </w:rPr>
        <w:t xml:space="preserve">Bacterial </w:t>
      </w:r>
      <w:proofErr w:type="gramStart"/>
      <w:r w:rsidR="00A54AC4" w:rsidRPr="0048465E">
        <w:rPr>
          <w:rFonts w:asciiTheme="minorBidi" w:hAnsiTheme="minorBidi" w:cstheme="minorBidi"/>
          <w:color w:val="000000" w:themeColor="text1"/>
          <w:sz w:val="24"/>
          <w:szCs w:val="24"/>
        </w:rPr>
        <w:t>Etiology :</w:t>
      </w:r>
      <w:proofErr w:type="gramEnd"/>
    </w:p>
    <w:p w:rsidR="0076363D" w:rsidRPr="006C2FF5" w:rsidRDefault="0076363D" w:rsidP="006C2FF5">
      <w:pPr>
        <w:pStyle w:val="Heading2"/>
        <w:spacing w:line="276" w:lineRule="auto"/>
        <w:jc w:val="both"/>
        <w:rPr>
          <w:rFonts w:asciiTheme="minorBidi" w:hAnsiTheme="minorBidi" w:cstheme="minorBidi"/>
          <w:b w:val="0"/>
          <w:bCs w:val="0"/>
          <w:color w:val="000000" w:themeColor="text1"/>
          <w:sz w:val="24"/>
          <w:szCs w:val="24"/>
        </w:rPr>
      </w:pPr>
      <w:r w:rsidRPr="0048465E">
        <w:rPr>
          <w:rFonts w:asciiTheme="minorBidi" w:hAnsiTheme="minorBidi" w:cstheme="minorBidi"/>
          <w:b w:val="0"/>
          <w:bCs w:val="0"/>
          <w:color w:val="000000" w:themeColor="text1"/>
          <w:sz w:val="24"/>
          <w:szCs w:val="24"/>
        </w:rPr>
        <w:lastRenderedPageBreak/>
        <w:t xml:space="preserve">Consistent with the literature, </w:t>
      </w:r>
      <w:r w:rsidRPr="0048465E">
        <w:rPr>
          <w:rFonts w:asciiTheme="minorBidi" w:hAnsiTheme="minorBidi" w:cstheme="minorBidi"/>
          <w:b w:val="0"/>
          <w:bCs w:val="0"/>
          <w:i/>
          <w:iCs/>
          <w:color w:val="000000" w:themeColor="text1"/>
          <w:sz w:val="24"/>
          <w:szCs w:val="24"/>
        </w:rPr>
        <w:t>Escherichia</w:t>
      </w:r>
      <w:r w:rsidRPr="0048465E">
        <w:rPr>
          <w:rFonts w:asciiTheme="minorBidi" w:hAnsiTheme="minorBidi" w:cstheme="minorBidi"/>
          <w:b w:val="0"/>
          <w:bCs w:val="0"/>
          <w:color w:val="000000" w:themeColor="text1"/>
          <w:sz w:val="24"/>
          <w:szCs w:val="24"/>
        </w:rPr>
        <w:t xml:space="preserve"> </w:t>
      </w:r>
      <w:r w:rsidRPr="0048465E">
        <w:rPr>
          <w:rFonts w:asciiTheme="minorBidi" w:hAnsiTheme="minorBidi" w:cstheme="minorBidi"/>
          <w:b w:val="0"/>
          <w:bCs w:val="0"/>
          <w:i/>
          <w:iCs/>
          <w:color w:val="000000" w:themeColor="text1"/>
          <w:sz w:val="24"/>
          <w:szCs w:val="24"/>
        </w:rPr>
        <w:t>coli</w:t>
      </w:r>
      <w:r w:rsidRPr="0048465E">
        <w:rPr>
          <w:rFonts w:asciiTheme="minorBidi" w:hAnsiTheme="minorBidi" w:cstheme="minorBidi"/>
          <w:b w:val="0"/>
          <w:bCs w:val="0"/>
          <w:color w:val="000000" w:themeColor="text1"/>
          <w:sz w:val="24"/>
          <w:szCs w:val="24"/>
        </w:rPr>
        <w:t xml:space="preserve"> was the predominant </w:t>
      </w:r>
      <w:proofErr w:type="spellStart"/>
      <w:r w:rsidRPr="0048465E">
        <w:rPr>
          <w:rFonts w:asciiTheme="minorBidi" w:hAnsiTheme="minorBidi" w:cstheme="minorBidi"/>
          <w:b w:val="0"/>
          <w:bCs w:val="0"/>
          <w:color w:val="000000" w:themeColor="text1"/>
          <w:sz w:val="24"/>
          <w:szCs w:val="24"/>
        </w:rPr>
        <w:t>Uropathogen</w:t>
      </w:r>
      <w:proofErr w:type="spellEnd"/>
      <w:r w:rsidRPr="0048465E">
        <w:rPr>
          <w:rFonts w:asciiTheme="minorBidi" w:hAnsiTheme="minorBidi" w:cstheme="minorBidi"/>
          <w:b w:val="0"/>
          <w:bCs w:val="0"/>
          <w:color w:val="000000" w:themeColor="text1"/>
          <w:sz w:val="24"/>
          <w:szCs w:val="24"/>
        </w:rPr>
        <w:t>, contribut</w:t>
      </w:r>
      <w:r w:rsidR="00F26B9A" w:rsidRPr="0048465E">
        <w:rPr>
          <w:rFonts w:asciiTheme="minorBidi" w:hAnsiTheme="minorBidi" w:cstheme="minorBidi"/>
          <w:b w:val="0"/>
          <w:bCs w:val="0"/>
          <w:color w:val="000000" w:themeColor="text1"/>
          <w:sz w:val="24"/>
          <w:szCs w:val="24"/>
        </w:rPr>
        <w:t>ing 58.5% of the isolates [37</w:t>
      </w:r>
      <w:r w:rsidRPr="0048465E">
        <w:rPr>
          <w:rFonts w:asciiTheme="minorBidi" w:hAnsiTheme="minorBidi" w:cstheme="minorBidi"/>
          <w:b w:val="0"/>
          <w:bCs w:val="0"/>
          <w:color w:val="000000" w:themeColor="text1"/>
          <w:sz w:val="24"/>
          <w:szCs w:val="24"/>
        </w:rPr>
        <w:t xml:space="preserve">]. </w:t>
      </w:r>
      <w:r w:rsidR="006C2FF5" w:rsidRPr="006C2FF5">
        <w:rPr>
          <w:rFonts w:asciiTheme="minorBidi" w:hAnsiTheme="minorBidi" w:cstheme="minorBidi"/>
          <w:b w:val="0"/>
          <w:bCs w:val="0"/>
          <w:color w:val="000000" w:themeColor="text1"/>
          <w:sz w:val="24"/>
          <w:szCs w:val="24"/>
        </w:rPr>
        <w:t xml:space="preserve">This was followed by </w:t>
      </w:r>
      <w:r w:rsidR="006C2FF5" w:rsidRPr="006C2FF5">
        <w:rPr>
          <w:rFonts w:asciiTheme="minorBidi" w:hAnsiTheme="minorBidi" w:cstheme="minorBidi"/>
          <w:b w:val="0"/>
          <w:bCs w:val="0"/>
          <w:i/>
          <w:iCs/>
          <w:color w:val="000000" w:themeColor="text1"/>
          <w:sz w:val="24"/>
          <w:szCs w:val="24"/>
        </w:rPr>
        <w:t>Klebsiella pneumoniae</w:t>
      </w:r>
      <w:r w:rsidR="006C2FF5" w:rsidRPr="006C2FF5">
        <w:rPr>
          <w:rFonts w:asciiTheme="minorBidi" w:hAnsiTheme="minorBidi" w:cstheme="minorBidi"/>
          <w:b w:val="0"/>
          <w:bCs w:val="0"/>
          <w:color w:val="000000" w:themeColor="text1"/>
          <w:sz w:val="24"/>
          <w:szCs w:val="24"/>
        </w:rPr>
        <w:t xml:space="preserve">, </w:t>
      </w:r>
      <w:r w:rsidR="006C2FF5" w:rsidRPr="006C2FF5">
        <w:rPr>
          <w:rFonts w:asciiTheme="minorBidi" w:hAnsiTheme="minorBidi" w:cstheme="minorBidi"/>
          <w:b w:val="0"/>
          <w:bCs w:val="0"/>
          <w:i/>
          <w:iCs/>
          <w:color w:val="000000" w:themeColor="text1"/>
          <w:sz w:val="24"/>
          <w:szCs w:val="24"/>
        </w:rPr>
        <w:t>Proteus mirabilis</w:t>
      </w:r>
      <w:r w:rsidR="006C2FF5">
        <w:rPr>
          <w:rFonts w:asciiTheme="minorBidi" w:hAnsiTheme="minorBidi" w:cstheme="minorBidi"/>
          <w:b w:val="0"/>
          <w:bCs w:val="0"/>
          <w:color w:val="000000" w:themeColor="text1"/>
          <w:sz w:val="24"/>
          <w:szCs w:val="24"/>
        </w:rPr>
        <w:t>,</w:t>
      </w:r>
      <w:r w:rsidR="006C2FF5" w:rsidRPr="006C2FF5">
        <w:rPr>
          <w:rFonts w:asciiTheme="minorBidi" w:hAnsiTheme="minorBidi" w:cstheme="minorBidi"/>
          <w:b w:val="0"/>
          <w:bCs w:val="0"/>
          <w:color w:val="000000" w:themeColor="text1"/>
          <w:sz w:val="24"/>
          <w:szCs w:val="24"/>
        </w:rPr>
        <w:t xml:space="preserve"> and </w:t>
      </w:r>
      <w:r w:rsidR="006C2FF5" w:rsidRPr="006C2FF5">
        <w:rPr>
          <w:rFonts w:asciiTheme="minorBidi" w:hAnsiTheme="minorBidi" w:cstheme="minorBidi"/>
          <w:b w:val="0"/>
          <w:bCs w:val="0"/>
          <w:i/>
          <w:iCs/>
          <w:color w:val="000000" w:themeColor="text1"/>
          <w:sz w:val="24"/>
          <w:szCs w:val="24"/>
        </w:rPr>
        <w:t>Pseudomonas aeruginosa</w:t>
      </w:r>
      <w:r w:rsidR="006C2FF5" w:rsidRPr="006C2FF5">
        <w:rPr>
          <w:rFonts w:asciiTheme="minorBidi" w:hAnsiTheme="minorBidi" w:cstheme="minorBidi"/>
          <w:b w:val="0"/>
          <w:bCs w:val="0"/>
          <w:color w:val="000000" w:themeColor="text1"/>
          <w:sz w:val="24"/>
          <w:szCs w:val="24"/>
        </w:rPr>
        <w:t>; all are well</w:t>
      </w:r>
      <w:r w:rsidR="006C2FF5">
        <w:rPr>
          <w:rFonts w:asciiTheme="minorBidi" w:hAnsiTheme="minorBidi" w:cstheme="minorBidi"/>
          <w:b w:val="0"/>
          <w:bCs w:val="0"/>
          <w:color w:val="000000" w:themeColor="text1"/>
          <w:sz w:val="24"/>
          <w:szCs w:val="24"/>
        </w:rPr>
        <w:t>-</w:t>
      </w:r>
      <w:r w:rsidR="006C2FF5" w:rsidRPr="006C2FF5">
        <w:rPr>
          <w:rFonts w:asciiTheme="minorBidi" w:hAnsiTheme="minorBidi" w:cstheme="minorBidi"/>
          <w:b w:val="0"/>
          <w:bCs w:val="0"/>
          <w:color w:val="000000" w:themeColor="text1"/>
          <w:sz w:val="24"/>
          <w:szCs w:val="24"/>
        </w:rPr>
        <w:t xml:space="preserve">recognized </w:t>
      </w:r>
      <w:proofErr w:type="spellStart"/>
      <w:r w:rsidR="006C2FF5" w:rsidRPr="006C2FF5">
        <w:rPr>
          <w:rFonts w:asciiTheme="minorBidi" w:hAnsiTheme="minorBidi" w:cstheme="minorBidi"/>
          <w:b w:val="0"/>
          <w:bCs w:val="0"/>
          <w:color w:val="000000" w:themeColor="text1"/>
          <w:sz w:val="24"/>
          <w:szCs w:val="24"/>
        </w:rPr>
        <w:t>uropathogens</w:t>
      </w:r>
      <w:proofErr w:type="spellEnd"/>
      <w:r w:rsidR="006C2FF5" w:rsidRPr="006C2FF5">
        <w:rPr>
          <w:rFonts w:asciiTheme="minorBidi" w:hAnsiTheme="minorBidi" w:cstheme="minorBidi"/>
          <w:b w:val="0"/>
          <w:bCs w:val="0"/>
          <w:color w:val="000000" w:themeColor="text1"/>
          <w:sz w:val="24"/>
          <w:szCs w:val="24"/>
        </w:rPr>
        <w:t xml:space="preserve"> often associated with complicated urinary tract infections as well as increased antimicrobial resistance. </w:t>
      </w:r>
      <w:r w:rsidR="006C2FF5" w:rsidRPr="006C2FF5">
        <w:rPr>
          <w:rFonts w:asciiTheme="minorBidi" w:hAnsiTheme="minorBidi" w:cstheme="minorBidi"/>
          <w:b w:val="0"/>
          <w:bCs w:val="0"/>
          <w:color w:val="000000" w:themeColor="text1"/>
          <w:sz w:val="24"/>
          <w:szCs w:val="24"/>
          <w:highlight w:val="yellow"/>
        </w:rPr>
        <w:t>Even though they were recovered at lower frequencies, the isolation of Gram-positive bacteria Staphylococcus saprophyticus and Enterococcus faecalis further buttresses the diverse microbiological etiology of UTIs. The presence or apparent heterogeneity between Gram-negative and Gram-positive organisms in urinary tract infections emphasizes a comprehensive microbiological evaluation that should be undertaken, hence inappropriate therapy due to reliance on limited diagnostic approaches, reinforcing accurate identification plus antimicrobial susceptibility testing towards effective clinical management</w:t>
      </w:r>
      <w:r w:rsidR="00363CE5">
        <w:rPr>
          <w:rFonts w:asciiTheme="minorBidi" w:hAnsiTheme="minorBidi" w:cstheme="minorBidi"/>
          <w:b w:val="0"/>
          <w:bCs w:val="0"/>
          <w:color w:val="000000" w:themeColor="text1"/>
          <w:sz w:val="24"/>
          <w:szCs w:val="24"/>
          <w:highlight w:val="yellow"/>
        </w:rPr>
        <w:t xml:space="preserve"> [2].</w:t>
      </w:r>
    </w:p>
    <w:p w:rsidR="0076363D" w:rsidRPr="0048465E" w:rsidRDefault="00A54AC4" w:rsidP="004569A7">
      <w:pPr>
        <w:pStyle w:val="Heading2"/>
        <w:spacing w:line="276" w:lineRule="auto"/>
        <w:rPr>
          <w:rFonts w:asciiTheme="minorBidi" w:hAnsiTheme="minorBidi" w:cstheme="minorBidi"/>
          <w:color w:val="000000" w:themeColor="text1"/>
          <w:sz w:val="24"/>
          <w:szCs w:val="24"/>
        </w:rPr>
      </w:pPr>
      <w:r w:rsidRPr="0048465E">
        <w:rPr>
          <w:rFonts w:asciiTheme="minorBidi" w:hAnsiTheme="minorBidi" w:cstheme="minorBidi"/>
          <w:color w:val="000000" w:themeColor="text1"/>
          <w:sz w:val="24"/>
          <w:szCs w:val="24"/>
        </w:rPr>
        <w:t xml:space="preserve">Antimicrobial Susceptibility &amp; Resistance </w:t>
      </w:r>
      <w:proofErr w:type="gramStart"/>
      <w:r w:rsidRPr="0048465E">
        <w:rPr>
          <w:rFonts w:asciiTheme="minorBidi" w:hAnsiTheme="minorBidi" w:cstheme="minorBidi"/>
          <w:color w:val="000000" w:themeColor="text1"/>
          <w:sz w:val="24"/>
          <w:szCs w:val="24"/>
        </w:rPr>
        <w:t>Patterns :</w:t>
      </w:r>
      <w:proofErr w:type="gramEnd"/>
    </w:p>
    <w:p w:rsidR="00AD6749" w:rsidRPr="0048465E" w:rsidRDefault="0076363D" w:rsidP="004569A7">
      <w:pPr>
        <w:pStyle w:val="Heading2"/>
        <w:spacing w:line="276" w:lineRule="auto"/>
        <w:jc w:val="both"/>
        <w:rPr>
          <w:rFonts w:asciiTheme="minorBidi" w:hAnsiTheme="minorBidi" w:cstheme="minorBidi"/>
          <w:b w:val="0"/>
          <w:bCs w:val="0"/>
          <w:color w:val="000000" w:themeColor="text1"/>
          <w:sz w:val="24"/>
          <w:szCs w:val="24"/>
          <w:lang w:bidi="ar-IQ"/>
        </w:rPr>
      </w:pPr>
      <w:r w:rsidRPr="0048465E">
        <w:rPr>
          <w:rFonts w:asciiTheme="minorBidi" w:hAnsiTheme="minorBidi" w:cstheme="minorBidi"/>
          <w:b w:val="0"/>
          <w:bCs w:val="0"/>
          <w:color w:val="000000" w:themeColor="text1"/>
          <w:sz w:val="24"/>
          <w:szCs w:val="24"/>
        </w:rPr>
        <w:t xml:space="preserve">The antimicrobial susceptibility testing results indicated exorbitant resistance rates for the critically important drugs like amoxicillin clavulanate and trimethoprim-sulfamethoxazole, indicating a tendency seen among neighboring countries and worldwide. </w:t>
      </w:r>
      <w:r w:rsidR="00AD6749" w:rsidRPr="0048465E">
        <w:rPr>
          <w:rFonts w:asciiTheme="minorBidi" w:hAnsiTheme="minorBidi" w:cstheme="minorBidi"/>
          <w:b w:val="0"/>
          <w:bCs w:val="0"/>
          <w:color w:val="000000" w:themeColor="text1"/>
          <w:sz w:val="24"/>
          <w:szCs w:val="24"/>
        </w:rPr>
        <w:t xml:space="preserve">The good resistance profile of imipenem and nitrofurantoin allows their continued use for the initial empirical treatment, although with a rising trend in resistance, close </w:t>
      </w:r>
      <w:r w:rsidR="008731CE" w:rsidRPr="0048465E">
        <w:rPr>
          <w:rFonts w:asciiTheme="minorBidi" w:hAnsiTheme="minorBidi" w:cstheme="minorBidi"/>
          <w:b w:val="0"/>
          <w:bCs w:val="0"/>
          <w:color w:val="000000" w:themeColor="text1"/>
          <w:sz w:val="24"/>
          <w:szCs w:val="24"/>
        </w:rPr>
        <w:t>vigil should be maintained</w:t>
      </w:r>
      <w:r w:rsidR="00AD6749" w:rsidRPr="0048465E">
        <w:rPr>
          <w:rFonts w:asciiTheme="minorBidi" w:hAnsiTheme="minorBidi" w:cstheme="minorBidi"/>
          <w:b w:val="0"/>
          <w:bCs w:val="0"/>
          <w:color w:val="000000" w:themeColor="text1"/>
          <w:sz w:val="24"/>
          <w:szCs w:val="24"/>
        </w:rPr>
        <w:t>.</w:t>
      </w:r>
    </w:p>
    <w:p w:rsidR="0076363D" w:rsidRPr="0048465E" w:rsidRDefault="00AD6749" w:rsidP="004569A7">
      <w:pPr>
        <w:pStyle w:val="Heading2"/>
        <w:spacing w:line="276" w:lineRule="auto"/>
        <w:jc w:val="both"/>
        <w:rPr>
          <w:rFonts w:asciiTheme="minorBidi" w:hAnsiTheme="minorBidi" w:cstheme="minorBidi"/>
          <w:b w:val="0"/>
          <w:bCs w:val="0"/>
          <w:color w:val="000000" w:themeColor="text1"/>
          <w:sz w:val="24"/>
          <w:szCs w:val="24"/>
        </w:rPr>
      </w:pPr>
      <w:r w:rsidRPr="0048465E">
        <w:rPr>
          <w:rFonts w:asciiTheme="minorBidi" w:hAnsiTheme="minorBidi" w:cstheme="minorBidi"/>
          <w:b w:val="0"/>
          <w:bCs w:val="0"/>
          <w:color w:val="000000" w:themeColor="text1"/>
          <w:sz w:val="24"/>
          <w:szCs w:val="24"/>
        </w:rPr>
        <w:t xml:space="preserve">The MDR rate among </w:t>
      </w:r>
      <w:proofErr w:type="spellStart"/>
      <w:r w:rsidRPr="0048465E">
        <w:rPr>
          <w:rFonts w:asciiTheme="minorBidi" w:hAnsiTheme="minorBidi" w:cstheme="minorBidi"/>
          <w:b w:val="0"/>
          <w:bCs w:val="0"/>
          <w:color w:val="000000" w:themeColor="text1"/>
          <w:sz w:val="24"/>
          <w:szCs w:val="24"/>
        </w:rPr>
        <w:t>uropathogens</w:t>
      </w:r>
      <w:proofErr w:type="spellEnd"/>
      <w:r w:rsidRPr="0048465E">
        <w:rPr>
          <w:rFonts w:asciiTheme="minorBidi" w:hAnsiTheme="minorBidi" w:cstheme="minorBidi"/>
          <w:b w:val="0"/>
          <w:bCs w:val="0"/>
          <w:color w:val="000000" w:themeColor="text1"/>
          <w:sz w:val="24"/>
          <w:szCs w:val="24"/>
        </w:rPr>
        <w:t xml:space="preserve"> was as high as 36.6%, which is an alarmingly growing antibiotic-resistance issue in th</w:t>
      </w:r>
      <w:r w:rsidR="008731CE" w:rsidRPr="0048465E">
        <w:rPr>
          <w:rFonts w:asciiTheme="minorBidi" w:hAnsiTheme="minorBidi" w:cstheme="minorBidi"/>
          <w:b w:val="0"/>
          <w:bCs w:val="0"/>
          <w:color w:val="000000" w:themeColor="text1"/>
          <w:sz w:val="24"/>
          <w:szCs w:val="24"/>
        </w:rPr>
        <w:t>e Iraq region and beyond [47,</w:t>
      </w:r>
      <w:r w:rsidRPr="0048465E">
        <w:rPr>
          <w:rFonts w:asciiTheme="minorBidi" w:hAnsiTheme="minorBidi" w:cstheme="minorBidi"/>
          <w:b w:val="0"/>
          <w:bCs w:val="0"/>
          <w:color w:val="000000" w:themeColor="text1"/>
          <w:sz w:val="24"/>
          <w:szCs w:val="24"/>
        </w:rPr>
        <w:t xml:space="preserve">48]. </w:t>
      </w:r>
      <w:r w:rsidRPr="0048465E">
        <w:rPr>
          <w:rFonts w:asciiTheme="minorBidi" w:hAnsiTheme="minorBidi" w:cstheme="minorBidi"/>
          <w:b w:val="0"/>
          <w:bCs w:val="0"/>
          <w:i/>
          <w:iCs/>
          <w:color w:val="000000" w:themeColor="text1"/>
          <w:sz w:val="24"/>
          <w:szCs w:val="24"/>
        </w:rPr>
        <w:t>E. coli</w:t>
      </w:r>
      <w:r w:rsidRPr="0048465E">
        <w:rPr>
          <w:rFonts w:asciiTheme="minorBidi" w:hAnsiTheme="minorBidi" w:cstheme="minorBidi"/>
          <w:b w:val="0"/>
          <w:bCs w:val="0"/>
          <w:color w:val="000000" w:themeColor="text1"/>
          <w:sz w:val="24"/>
          <w:szCs w:val="24"/>
        </w:rPr>
        <w:t xml:space="preserve"> and </w:t>
      </w:r>
      <w:r w:rsidRPr="0048465E">
        <w:rPr>
          <w:rFonts w:asciiTheme="minorBidi" w:hAnsiTheme="minorBidi" w:cstheme="minorBidi"/>
          <w:b w:val="0"/>
          <w:bCs w:val="0"/>
          <w:i/>
          <w:iCs/>
          <w:color w:val="000000" w:themeColor="text1"/>
          <w:sz w:val="24"/>
          <w:szCs w:val="24"/>
        </w:rPr>
        <w:t>K. pneumoniae</w:t>
      </w:r>
      <w:r w:rsidRPr="0048465E">
        <w:rPr>
          <w:rFonts w:asciiTheme="minorBidi" w:hAnsiTheme="minorBidi" w:cstheme="minorBidi"/>
          <w:b w:val="0"/>
          <w:bCs w:val="0"/>
          <w:color w:val="000000" w:themeColor="text1"/>
          <w:sz w:val="24"/>
          <w:szCs w:val="24"/>
        </w:rPr>
        <w:t xml:space="preserve">, the two highly potent bacterial pathogens, then had the highest rates of MDR, possibly owing to their higher ability to take up resistance genes such as ESBLs, </w:t>
      </w:r>
      <w:proofErr w:type="spellStart"/>
      <w:r w:rsidRPr="0048465E">
        <w:rPr>
          <w:rFonts w:asciiTheme="minorBidi" w:hAnsiTheme="minorBidi" w:cstheme="minorBidi"/>
          <w:b w:val="0"/>
          <w:bCs w:val="0"/>
          <w:color w:val="000000" w:themeColor="text1"/>
          <w:sz w:val="24"/>
          <w:szCs w:val="24"/>
        </w:rPr>
        <w:t>carbapenemas</w:t>
      </w:r>
      <w:r w:rsidR="008731CE" w:rsidRPr="0048465E">
        <w:rPr>
          <w:rFonts w:asciiTheme="minorBidi" w:hAnsiTheme="minorBidi" w:cstheme="minorBidi"/>
          <w:b w:val="0"/>
          <w:bCs w:val="0"/>
          <w:color w:val="000000" w:themeColor="text1"/>
          <w:sz w:val="24"/>
          <w:szCs w:val="24"/>
        </w:rPr>
        <w:t>es</w:t>
      </w:r>
      <w:proofErr w:type="spellEnd"/>
      <w:r w:rsidR="008731CE" w:rsidRPr="0048465E">
        <w:rPr>
          <w:rFonts w:asciiTheme="minorBidi" w:hAnsiTheme="minorBidi" w:cstheme="minorBidi"/>
          <w:b w:val="0"/>
          <w:bCs w:val="0"/>
          <w:color w:val="000000" w:themeColor="text1"/>
          <w:sz w:val="24"/>
          <w:szCs w:val="24"/>
        </w:rPr>
        <w:t>, and efflux mechanisms</w:t>
      </w:r>
      <w:r w:rsidRPr="0048465E">
        <w:rPr>
          <w:rFonts w:asciiTheme="minorBidi" w:hAnsiTheme="minorBidi" w:cstheme="minorBidi"/>
          <w:b w:val="0"/>
          <w:bCs w:val="0"/>
          <w:color w:val="000000" w:themeColor="text1"/>
          <w:sz w:val="24"/>
          <w:szCs w:val="24"/>
        </w:rPr>
        <w:t>.</w:t>
      </w:r>
      <w:r w:rsidR="00363CE5">
        <w:rPr>
          <w:rFonts w:asciiTheme="minorBidi" w:hAnsiTheme="minorBidi" w:cstheme="minorBidi"/>
          <w:b w:val="0"/>
          <w:bCs w:val="0"/>
          <w:color w:val="000000" w:themeColor="text1"/>
          <w:sz w:val="24"/>
          <w:szCs w:val="24"/>
        </w:rPr>
        <w:t xml:space="preserve"> </w:t>
      </w:r>
      <w:r w:rsidR="0076363D" w:rsidRPr="0048465E">
        <w:rPr>
          <w:rFonts w:asciiTheme="minorBidi" w:hAnsiTheme="minorBidi" w:cstheme="minorBidi"/>
          <w:b w:val="0"/>
          <w:bCs w:val="0"/>
          <w:i/>
          <w:iCs/>
          <w:color w:val="000000" w:themeColor="text1"/>
          <w:sz w:val="24"/>
          <w:szCs w:val="24"/>
        </w:rPr>
        <w:t>P. aeruginosa and Enterococcus faecalis</w:t>
      </w:r>
      <w:r w:rsidR="0076363D" w:rsidRPr="0048465E">
        <w:rPr>
          <w:rFonts w:asciiTheme="minorBidi" w:hAnsiTheme="minorBidi" w:cstheme="minorBidi"/>
          <w:b w:val="0"/>
          <w:bCs w:val="0"/>
          <w:color w:val="000000" w:themeColor="text1"/>
          <w:sz w:val="24"/>
          <w:szCs w:val="24"/>
        </w:rPr>
        <w:t>, although less common, remain of concern because of their reduced</w:t>
      </w:r>
      <w:r w:rsidR="008731CE" w:rsidRPr="0048465E">
        <w:rPr>
          <w:rFonts w:asciiTheme="minorBidi" w:hAnsiTheme="minorBidi" w:cstheme="minorBidi"/>
          <w:b w:val="0"/>
          <w:bCs w:val="0"/>
          <w:color w:val="000000" w:themeColor="text1"/>
          <w:sz w:val="24"/>
          <w:szCs w:val="24"/>
        </w:rPr>
        <w:t xml:space="preserve"> treatment possibilities</w:t>
      </w:r>
      <w:r w:rsidR="00363CE5">
        <w:rPr>
          <w:rFonts w:asciiTheme="minorBidi" w:hAnsiTheme="minorBidi" w:cstheme="minorBidi"/>
          <w:b w:val="0"/>
          <w:bCs w:val="0"/>
          <w:color w:val="000000" w:themeColor="text1"/>
          <w:sz w:val="24"/>
          <w:szCs w:val="24"/>
        </w:rPr>
        <w:t>.</w:t>
      </w:r>
    </w:p>
    <w:p w:rsidR="00076989" w:rsidRPr="0048465E" w:rsidRDefault="00076989" w:rsidP="004569A7">
      <w:pPr>
        <w:pStyle w:val="Heading2"/>
        <w:spacing w:line="276" w:lineRule="auto"/>
        <w:rPr>
          <w:rFonts w:asciiTheme="minorBidi" w:hAnsiTheme="minorBidi" w:cstheme="minorBidi"/>
          <w:color w:val="000000" w:themeColor="text1"/>
          <w:sz w:val="24"/>
          <w:szCs w:val="24"/>
        </w:rPr>
      </w:pPr>
      <w:r w:rsidRPr="0048465E">
        <w:rPr>
          <w:rFonts w:asciiTheme="minorBidi" w:hAnsiTheme="minorBidi" w:cstheme="minorBidi"/>
          <w:color w:val="000000" w:themeColor="text1"/>
          <w:sz w:val="24"/>
          <w:szCs w:val="24"/>
        </w:rPr>
        <w:t>Gender Differences:</w:t>
      </w:r>
    </w:p>
    <w:p w:rsidR="006C2FF5" w:rsidRDefault="00076989" w:rsidP="008731CE">
      <w:pPr>
        <w:pStyle w:val="Heading2"/>
        <w:spacing w:line="276" w:lineRule="auto"/>
        <w:jc w:val="both"/>
        <w:rPr>
          <w:rFonts w:asciiTheme="minorBidi" w:hAnsiTheme="minorBidi" w:cstheme="minorBidi"/>
          <w:b w:val="0"/>
          <w:bCs w:val="0"/>
          <w:color w:val="000000" w:themeColor="text1"/>
          <w:sz w:val="24"/>
          <w:szCs w:val="24"/>
        </w:rPr>
      </w:pPr>
      <w:r w:rsidRPr="0048465E">
        <w:rPr>
          <w:rFonts w:asciiTheme="minorBidi" w:hAnsiTheme="minorBidi" w:cstheme="minorBidi"/>
          <w:b w:val="0"/>
          <w:bCs w:val="0"/>
          <w:color w:val="000000" w:themeColor="text1"/>
          <w:sz w:val="24"/>
          <w:szCs w:val="24"/>
        </w:rPr>
        <w:t>Even though females tended to have higher prevalence rates of urinary tract infections and multidrug-resistant bacteria, these were not significantly different. Therefore, the prevalence of resistance appears less dependent on gender per se, although perhaps on behavior or hormones, for the causative organism and the environment play</w:t>
      </w:r>
      <w:r w:rsidR="008731CE" w:rsidRPr="0048465E">
        <w:rPr>
          <w:rFonts w:asciiTheme="minorBidi" w:hAnsiTheme="minorBidi" w:cstheme="minorBidi"/>
          <w:b w:val="0"/>
          <w:bCs w:val="0"/>
          <w:color w:val="000000" w:themeColor="text1"/>
          <w:sz w:val="24"/>
          <w:szCs w:val="24"/>
        </w:rPr>
        <w:t xml:space="preserve"> a larger role</w:t>
      </w:r>
      <w:r w:rsidRPr="0048465E">
        <w:rPr>
          <w:rFonts w:asciiTheme="minorBidi" w:hAnsiTheme="minorBidi" w:cstheme="minorBidi"/>
          <w:b w:val="0"/>
          <w:bCs w:val="0"/>
          <w:color w:val="000000" w:themeColor="text1"/>
          <w:sz w:val="24"/>
          <w:szCs w:val="24"/>
        </w:rPr>
        <w:t>.</w:t>
      </w:r>
    </w:p>
    <w:p w:rsidR="00076989" w:rsidRPr="006C2FF5" w:rsidRDefault="00076989" w:rsidP="006C2FF5">
      <w:pPr>
        <w:tabs>
          <w:tab w:val="left" w:pos="1245"/>
        </w:tabs>
      </w:pPr>
    </w:p>
    <w:p w:rsidR="00076989" w:rsidRPr="0048465E" w:rsidRDefault="00076989" w:rsidP="004569A7">
      <w:pPr>
        <w:pStyle w:val="Heading2"/>
        <w:spacing w:line="276" w:lineRule="auto"/>
        <w:jc w:val="both"/>
        <w:rPr>
          <w:rFonts w:asciiTheme="minorBidi" w:hAnsiTheme="minorBidi" w:cstheme="minorBidi"/>
          <w:b w:val="0"/>
          <w:bCs w:val="0"/>
          <w:color w:val="000000" w:themeColor="text1"/>
          <w:sz w:val="24"/>
          <w:szCs w:val="24"/>
        </w:rPr>
      </w:pPr>
      <w:r w:rsidRPr="0048465E">
        <w:rPr>
          <w:rFonts w:asciiTheme="minorBidi" w:hAnsiTheme="minorBidi" w:cstheme="minorBidi"/>
          <w:b w:val="0"/>
          <w:bCs w:val="0"/>
          <w:color w:val="000000" w:themeColor="text1"/>
          <w:sz w:val="24"/>
          <w:szCs w:val="24"/>
        </w:rPr>
        <w:lastRenderedPageBreak/>
        <w:t xml:space="preserve">Comparison with Regional and Global Data: The results support previous studies carried out in Iraq, Iran, and Turkey, where a high prevalence of MDR </w:t>
      </w:r>
      <w:proofErr w:type="spellStart"/>
      <w:r w:rsidRPr="0048465E">
        <w:rPr>
          <w:rFonts w:asciiTheme="minorBidi" w:hAnsiTheme="minorBidi" w:cstheme="minorBidi"/>
          <w:b w:val="0"/>
          <w:bCs w:val="0"/>
          <w:color w:val="000000" w:themeColor="text1"/>
          <w:sz w:val="24"/>
          <w:szCs w:val="24"/>
        </w:rPr>
        <w:t>uropathogens</w:t>
      </w:r>
      <w:proofErr w:type="spellEnd"/>
      <w:r w:rsidRPr="0048465E">
        <w:rPr>
          <w:rFonts w:asciiTheme="minorBidi" w:hAnsiTheme="minorBidi" w:cstheme="minorBidi"/>
          <w:b w:val="0"/>
          <w:bCs w:val="0"/>
          <w:color w:val="000000" w:themeColor="text1"/>
          <w:sz w:val="24"/>
          <w:szCs w:val="24"/>
        </w:rPr>
        <w:t xml:space="preserve">, along with decreased susceptibility to commonly used </w:t>
      </w:r>
      <w:r w:rsidR="00C72BBD" w:rsidRPr="0048465E">
        <w:rPr>
          <w:rFonts w:asciiTheme="minorBidi" w:hAnsiTheme="minorBidi" w:cstheme="minorBidi"/>
          <w:b w:val="0"/>
          <w:bCs w:val="0"/>
          <w:color w:val="000000" w:themeColor="text1"/>
          <w:sz w:val="24"/>
          <w:szCs w:val="24"/>
        </w:rPr>
        <w:t>antibiotics, was reported</w:t>
      </w:r>
      <w:r w:rsidRPr="0048465E">
        <w:rPr>
          <w:rFonts w:asciiTheme="minorBidi" w:hAnsiTheme="minorBidi" w:cstheme="minorBidi"/>
          <w:b w:val="0"/>
          <w:bCs w:val="0"/>
          <w:color w:val="000000" w:themeColor="text1"/>
          <w:sz w:val="24"/>
          <w:szCs w:val="24"/>
        </w:rPr>
        <w:t xml:space="preserve">. The Egyptian, Saudi, and Jordanian studies also support the fact that the prevalent UTI-causing pathogen, </w:t>
      </w:r>
      <w:r w:rsidRPr="006C2FF5">
        <w:rPr>
          <w:rFonts w:asciiTheme="minorBidi" w:hAnsiTheme="minorBidi" w:cstheme="minorBidi"/>
          <w:b w:val="0"/>
          <w:bCs w:val="0"/>
          <w:i/>
          <w:iCs/>
          <w:color w:val="000000" w:themeColor="text1"/>
          <w:sz w:val="24"/>
          <w:szCs w:val="24"/>
        </w:rPr>
        <w:t>Escherichia coli</w:t>
      </w:r>
      <w:r w:rsidRPr="0048465E">
        <w:rPr>
          <w:rFonts w:asciiTheme="minorBidi" w:hAnsiTheme="minorBidi" w:cstheme="minorBidi"/>
          <w:b w:val="0"/>
          <w:bCs w:val="0"/>
          <w:color w:val="000000" w:themeColor="text1"/>
          <w:sz w:val="24"/>
          <w:szCs w:val="24"/>
        </w:rPr>
        <w:t>, reported MDR ra</w:t>
      </w:r>
      <w:r w:rsidR="008731CE" w:rsidRPr="0048465E">
        <w:rPr>
          <w:rFonts w:asciiTheme="minorBidi" w:hAnsiTheme="minorBidi" w:cstheme="minorBidi"/>
          <w:b w:val="0"/>
          <w:bCs w:val="0"/>
          <w:color w:val="000000" w:themeColor="text1"/>
          <w:sz w:val="24"/>
          <w:szCs w:val="24"/>
        </w:rPr>
        <w:t>nging between 20% and 50%</w:t>
      </w:r>
      <w:r w:rsidRPr="0048465E">
        <w:rPr>
          <w:rFonts w:asciiTheme="minorBidi" w:hAnsiTheme="minorBidi" w:cstheme="minorBidi"/>
          <w:b w:val="0"/>
          <w:bCs w:val="0"/>
          <w:color w:val="000000" w:themeColor="text1"/>
          <w:sz w:val="24"/>
          <w:szCs w:val="24"/>
        </w:rPr>
        <w:t>. The reasons for increasing MDR are numerous and include the liberal use of antibiotics, the habit of self-medication, and the poor compliance of patients with the treatment regim</w:t>
      </w:r>
      <w:r w:rsidR="008731CE" w:rsidRPr="0048465E">
        <w:rPr>
          <w:rFonts w:asciiTheme="minorBidi" w:hAnsiTheme="minorBidi" w:cstheme="minorBidi"/>
          <w:b w:val="0"/>
          <w:bCs w:val="0"/>
          <w:color w:val="000000" w:themeColor="text1"/>
          <w:sz w:val="24"/>
          <w:szCs w:val="24"/>
        </w:rPr>
        <w:t>ens, among other factors</w:t>
      </w:r>
      <w:r w:rsidRPr="0048465E">
        <w:rPr>
          <w:rFonts w:asciiTheme="minorBidi" w:hAnsiTheme="minorBidi" w:cstheme="minorBidi"/>
          <w:b w:val="0"/>
          <w:bCs w:val="0"/>
          <w:color w:val="000000" w:themeColor="text1"/>
          <w:sz w:val="24"/>
          <w:szCs w:val="24"/>
        </w:rPr>
        <w:t>.</w:t>
      </w:r>
    </w:p>
    <w:p w:rsidR="00076989" w:rsidRPr="0048465E" w:rsidRDefault="00076989" w:rsidP="004569A7">
      <w:pPr>
        <w:pStyle w:val="Heading2"/>
        <w:spacing w:line="276" w:lineRule="auto"/>
        <w:jc w:val="both"/>
        <w:rPr>
          <w:rFonts w:asciiTheme="minorBidi" w:hAnsiTheme="minorBidi" w:cstheme="minorBidi"/>
          <w:b w:val="0"/>
          <w:bCs w:val="0"/>
          <w:color w:val="000000" w:themeColor="text1"/>
          <w:sz w:val="24"/>
          <w:szCs w:val="24"/>
        </w:rPr>
      </w:pPr>
      <w:r w:rsidRPr="0048465E">
        <w:rPr>
          <w:rFonts w:asciiTheme="minorBidi" w:hAnsiTheme="minorBidi" w:cstheme="minorBidi"/>
          <w:b w:val="0"/>
          <w:bCs w:val="0"/>
          <w:color w:val="000000" w:themeColor="text1"/>
          <w:sz w:val="24"/>
          <w:szCs w:val="24"/>
        </w:rPr>
        <w:t xml:space="preserve">Clinical Practice Implications: The prevalence of MDR </w:t>
      </w:r>
      <w:proofErr w:type="spellStart"/>
      <w:r w:rsidRPr="0048465E">
        <w:rPr>
          <w:rFonts w:asciiTheme="minorBidi" w:hAnsiTheme="minorBidi" w:cstheme="minorBidi"/>
          <w:b w:val="0"/>
          <w:bCs w:val="0"/>
          <w:color w:val="000000" w:themeColor="text1"/>
          <w:sz w:val="24"/>
          <w:szCs w:val="24"/>
        </w:rPr>
        <w:t>uropathogens</w:t>
      </w:r>
      <w:proofErr w:type="spellEnd"/>
      <w:r w:rsidRPr="0048465E">
        <w:rPr>
          <w:rFonts w:asciiTheme="minorBidi" w:hAnsiTheme="minorBidi" w:cstheme="minorBidi"/>
          <w:b w:val="0"/>
          <w:bCs w:val="0"/>
          <w:color w:val="000000" w:themeColor="text1"/>
          <w:sz w:val="24"/>
          <w:szCs w:val="24"/>
        </w:rPr>
        <w:t xml:space="preserve"> mandates a rethinking of the empirical treatment of UTIs. Even though nitrofurantoin, </w:t>
      </w:r>
      <w:proofErr w:type="spellStart"/>
      <w:r w:rsidRPr="0048465E">
        <w:rPr>
          <w:rFonts w:asciiTheme="minorBidi" w:hAnsiTheme="minorBidi" w:cstheme="minorBidi"/>
          <w:b w:val="0"/>
          <w:bCs w:val="0"/>
          <w:color w:val="000000" w:themeColor="text1"/>
          <w:sz w:val="24"/>
          <w:szCs w:val="24"/>
        </w:rPr>
        <w:t>fosfomycin</w:t>
      </w:r>
      <w:proofErr w:type="spellEnd"/>
      <w:r w:rsidRPr="0048465E">
        <w:rPr>
          <w:rFonts w:asciiTheme="minorBidi" w:hAnsiTheme="minorBidi" w:cstheme="minorBidi"/>
          <w:b w:val="0"/>
          <w:bCs w:val="0"/>
          <w:color w:val="000000" w:themeColor="text1"/>
          <w:sz w:val="24"/>
          <w:szCs w:val="24"/>
        </w:rPr>
        <w:t>, and carbapenems are still valid treatments for uncomplicated UTIs, the empiric treatment strategy should take into consideration the local resistance rates and antimicrobia</w:t>
      </w:r>
      <w:r w:rsidR="008731CE" w:rsidRPr="0048465E">
        <w:rPr>
          <w:rFonts w:asciiTheme="minorBidi" w:hAnsiTheme="minorBidi" w:cstheme="minorBidi"/>
          <w:b w:val="0"/>
          <w:bCs w:val="0"/>
          <w:color w:val="000000" w:themeColor="text1"/>
          <w:sz w:val="24"/>
          <w:szCs w:val="24"/>
        </w:rPr>
        <w:t>l stewardship principles [</w:t>
      </w:r>
      <w:r w:rsidR="00363CE5">
        <w:rPr>
          <w:rFonts w:asciiTheme="minorBidi" w:hAnsiTheme="minorBidi" w:cstheme="minorBidi"/>
          <w:b w:val="0"/>
          <w:bCs w:val="0"/>
          <w:color w:val="000000" w:themeColor="text1"/>
          <w:sz w:val="24"/>
          <w:szCs w:val="24"/>
        </w:rPr>
        <w:t>3</w:t>
      </w:r>
      <w:r w:rsidR="008731CE" w:rsidRPr="0048465E">
        <w:rPr>
          <w:rFonts w:asciiTheme="minorBidi" w:hAnsiTheme="minorBidi" w:cstheme="minorBidi"/>
          <w:b w:val="0"/>
          <w:bCs w:val="0"/>
          <w:color w:val="000000" w:themeColor="text1"/>
          <w:sz w:val="24"/>
          <w:szCs w:val="24"/>
        </w:rPr>
        <w:t>8</w:t>
      </w:r>
      <w:r w:rsidRPr="0048465E">
        <w:rPr>
          <w:rFonts w:asciiTheme="minorBidi" w:hAnsiTheme="minorBidi" w:cstheme="minorBidi"/>
          <w:b w:val="0"/>
          <w:bCs w:val="0"/>
          <w:color w:val="000000" w:themeColor="text1"/>
          <w:sz w:val="24"/>
          <w:szCs w:val="24"/>
        </w:rPr>
        <w:t>]. Culture and susceptibility results are indispensable for guiding appropriate treatment, as well as reducing unnecessary use of antibiotics, thus avoiding selective pressure.</w:t>
      </w:r>
    </w:p>
    <w:p w:rsidR="00076989" w:rsidRPr="0048465E" w:rsidRDefault="00076989" w:rsidP="004569A7">
      <w:pPr>
        <w:pStyle w:val="Heading2"/>
        <w:spacing w:line="276" w:lineRule="auto"/>
        <w:jc w:val="both"/>
        <w:rPr>
          <w:rFonts w:asciiTheme="minorBidi" w:hAnsiTheme="minorBidi" w:cstheme="minorBidi"/>
          <w:b w:val="0"/>
          <w:bCs w:val="0"/>
          <w:color w:val="000000" w:themeColor="text1"/>
          <w:sz w:val="24"/>
          <w:szCs w:val="24"/>
        </w:rPr>
      </w:pPr>
      <w:r w:rsidRPr="0048465E">
        <w:rPr>
          <w:rFonts w:asciiTheme="minorBidi" w:hAnsiTheme="minorBidi" w:cstheme="minorBidi"/>
          <w:b w:val="0"/>
          <w:bCs w:val="0"/>
          <w:color w:val="000000" w:themeColor="text1"/>
          <w:sz w:val="24"/>
          <w:szCs w:val="24"/>
        </w:rPr>
        <w:t xml:space="preserve">Limitation: There are several limitations of the current study. It is a single-center study, and the sample size, although sizable, is not large enough. It does not include patients who require hospitalization </w:t>
      </w:r>
      <w:r w:rsidR="004678B5" w:rsidRPr="0048465E">
        <w:rPr>
          <w:rFonts w:asciiTheme="minorBidi" w:hAnsiTheme="minorBidi" w:cstheme="minorBidi"/>
          <w:b w:val="0"/>
          <w:bCs w:val="0"/>
          <w:color w:val="000000" w:themeColor="text1"/>
          <w:sz w:val="24"/>
          <w:szCs w:val="24"/>
        </w:rPr>
        <w:t>or</w:t>
      </w:r>
      <w:r w:rsidRPr="0048465E">
        <w:rPr>
          <w:rFonts w:asciiTheme="minorBidi" w:hAnsiTheme="minorBidi" w:cstheme="minorBidi"/>
          <w:b w:val="0"/>
          <w:bCs w:val="0"/>
          <w:color w:val="000000" w:themeColor="text1"/>
          <w:sz w:val="24"/>
          <w:szCs w:val="24"/>
        </w:rPr>
        <w:t xml:space="preserve"> children. It did not probe into the resistance mechanisms at the molecular level because of resource constraints. However, the study offers a baseline for other intervention studies.</w:t>
      </w:r>
    </w:p>
    <w:p w:rsidR="00C66323" w:rsidRPr="0048465E" w:rsidRDefault="00076989" w:rsidP="004569A7">
      <w:pPr>
        <w:pStyle w:val="Heading2"/>
        <w:spacing w:line="276" w:lineRule="auto"/>
        <w:jc w:val="both"/>
        <w:rPr>
          <w:rFonts w:asciiTheme="minorBidi" w:hAnsiTheme="minorBidi" w:cstheme="minorBidi"/>
          <w:color w:val="000000" w:themeColor="text1"/>
          <w:sz w:val="24"/>
          <w:szCs w:val="24"/>
        </w:rPr>
      </w:pPr>
      <w:r w:rsidRPr="0048465E">
        <w:rPr>
          <w:rFonts w:asciiTheme="minorBidi" w:hAnsiTheme="minorBidi" w:cstheme="minorBidi"/>
          <w:color w:val="000000" w:themeColor="text1"/>
          <w:sz w:val="24"/>
          <w:szCs w:val="24"/>
        </w:rPr>
        <w:t>Conclusions</w:t>
      </w:r>
      <w:r w:rsidR="00C66323" w:rsidRPr="0048465E">
        <w:rPr>
          <w:rFonts w:asciiTheme="minorBidi" w:hAnsiTheme="minorBidi" w:cstheme="minorBidi"/>
          <w:color w:val="000000" w:themeColor="text1"/>
          <w:sz w:val="24"/>
          <w:szCs w:val="24"/>
        </w:rPr>
        <w:t xml:space="preserve">: </w:t>
      </w:r>
    </w:p>
    <w:p w:rsidR="00C66323" w:rsidRPr="0048465E" w:rsidRDefault="00C66323" w:rsidP="004569A7">
      <w:pPr>
        <w:pStyle w:val="Heading2"/>
        <w:spacing w:line="276" w:lineRule="auto"/>
        <w:jc w:val="both"/>
        <w:rPr>
          <w:rFonts w:asciiTheme="minorBidi" w:hAnsiTheme="minorBidi" w:cstheme="minorBidi"/>
          <w:b w:val="0"/>
          <w:bCs w:val="0"/>
          <w:color w:val="000000" w:themeColor="text1"/>
          <w:sz w:val="24"/>
          <w:szCs w:val="24"/>
        </w:rPr>
      </w:pPr>
      <w:r w:rsidRPr="0048465E">
        <w:rPr>
          <w:rFonts w:asciiTheme="minorBidi" w:hAnsiTheme="minorBidi" w:cstheme="minorBidi"/>
          <w:b w:val="0"/>
          <w:bCs w:val="0"/>
          <w:color w:val="000000" w:themeColor="text1"/>
          <w:sz w:val="24"/>
          <w:szCs w:val="24"/>
        </w:rPr>
        <w:t xml:space="preserve">    </w:t>
      </w:r>
      <w:r w:rsidR="00076989" w:rsidRPr="0048465E">
        <w:rPr>
          <w:rFonts w:asciiTheme="minorBidi" w:hAnsiTheme="minorBidi" w:cstheme="minorBidi"/>
          <w:b w:val="0"/>
          <w:bCs w:val="0"/>
          <w:color w:val="000000" w:themeColor="text1"/>
          <w:sz w:val="24"/>
          <w:szCs w:val="24"/>
        </w:rPr>
        <w:t xml:space="preserve"> This study highlights the high prevalence of UTIs and MDR </w:t>
      </w:r>
      <w:proofErr w:type="spellStart"/>
      <w:r w:rsidR="00076989" w:rsidRPr="0048465E">
        <w:rPr>
          <w:rFonts w:asciiTheme="minorBidi" w:hAnsiTheme="minorBidi" w:cstheme="minorBidi"/>
          <w:b w:val="0"/>
          <w:bCs w:val="0"/>
          <w:color w:val="000000" w:themeColor="text1"/>
          <w:sz w:val="24"/>
          <w:szCs w:val="24"/>
        </w:rPr>
        <w:t>uropathogens</w:t>
      </w:r>
      <w:proofErr w:type="spellEnd"/>
      <w:r w:rsidR="00076989" w:rsidRPr="0048465E">
        <w:rPr>
          <w:rFonts w:asciiTheme="minorBidi" w:hAnsiTheme="minorBidi" w:cstheme="minorBidi"/>
          <w:b w:val="0"/>
          <w:bCs w:val="0"/>
          <w:color w:val="000000" w:themeColor="text1"/>
          <w:sz w:val="24"/>
          <w:szCs w:val="24"/>
        </w:rPr>
        <w:t xml:space="preserve"> among outpatients attending the Al-Rifai Teaching Hospital, with </w:t>
      </w:r>
      <w:r w:rsidR="00076989" w:rsidRPr="006C2FF5">
        <w:rPr>
          <w:rFonts w:asciiTheme="minorBidi" w:hAnsiTheme="minorBidi" w:cstheme="minorBidi"/>
          <w:b w:val="0"/>
          <w:bCs w:val="0"/>
          <w:i/>
          <w:iCs/>
          <w:color w:val="000000" w:themeColor="text1"/>
          <w:sz w:val="24"/>
          <w:szCs w:val="24"/>
        </w:rPr>
        <w:t>Escherichia coli</w:t>
      </w:r>
      <w:r w:rsidR="00076989" w:rsidRPr="0048465E">
        <w:rPr>
          <w:rFonts w:asciiTheme="minorBidi" w:hAnsiTheme="minorBidi" w:cstheme="minorBidi"/>
          <w:b w:val="0"/>
          <w:bCs w:val="0"/>
          <w:color w:val="000000" w:themeColor="text1"/>
          <w:sz w:val="24"/>
          <w:szCs w:val="24"/>
        </w:rPr>
        <w:t xml:space="preserve"> remaining the predominant organism, showing significant resistance patterns to the commonly used antibiotics.</w:t>
      </w:r>
      <w:r w:rsidR="004678B5" w:rsidRPr="0048465E">
        <w:rPr>
          <w:rFonts w:asciiTheme="minorBidi" w:hAnsiTheme="minorBidi" w:cstheme="minorBidi"/>
          <w:b w:val="0"/>
          <w:bCs w:val="0"/>
          <w:color w:val="000000" w:themeColor="text1"/>
          <w:sz w:val="24"/>
          <w:szCs w:val="24"/>
        </w:rPr>
        <w:t xml:space="preserve"> </w:t>
      </w:r>
      <w:r w:rsidR="0076363D" w:rsidRPr="0048465E">
        <w:rPr>
          <w:rFonts w:asciiTheme="minorBidi" w:hAnsiTheme="minorBidi" w:cstheme="minorBidi"/>
          <w:b w:val="0"/>
          <w:bCs w:val="0"/>
          <w:color w:val="000000" w:themeColor="text1"/>
          <w:sz w:val="24"/>
          <w:szCs w:val="24"/>
        </w:rPr>
        <w:t>Imipenem and nitrofurantoin are the antibiotics that retain high activity against the predominant organisms. The development of MDR organisms emphasizes the need for instruments of antimicrobial stewardship.</w:t>
      </w:r>
      <w:bookmarkStart w:id="16" w:name="references"/>
      <w:bookmarkEnd w:id="15"/>
    </w:p>
    <w:p w:rsidR="00297B17" w:rsidRPr="0048465E" w:rsidRDefault="00297B17" w:rsidP="004569A7">
      <w:pPr>
        <w:pStyle w:val="Heading2"/>
        <w:spacing w:line="276" w:lineRule="auto"/>
        <w:rPr>
          <w:rFonts w:asciiTheme="minorBidi" w:hAnsiTheme="minorBidi" w:cstheme="minorBidi"/>
          <w:color w:val="000000" w:themeColor="text1"/>
          <w:sz w:val="24"/>
          <w:szCs w:val="24"/>
        </w:rPr>
      </w:pPr>
      <w:r w:rsidRPr="0048465E">
        <w:rPr>
          <w:rFonts w:asciiTheme="minorBidi" w:hAnsiTheme="minorBidi" w:cstheme="minorBidi"/>
          <w:color w:val="000000" w:themeColor="text1"/>
          <w:sz w:val="24"/>
          <w:szCs w:val="24"/>
        </w:rPr>
        <w:t>Recommendations:</w:t>
      </w:r>
    </w:p>
    <w:p w:rsidR="00297B17" w:rsidRPr="0048465E" w:rsidRDefault="00297B17" w:rsidP="004569A7">
      <w:pPr>
        <w:pStyle w:val="Heading2"/>
        <w:spacing w:line="276" w:lineRule="auto"/>
        <w:jc w:val="both"/>
        <w:rPr>
          <w:rFonts w:asciiTheme="minorBidi" w:hAnsiTheme="minorBidi" w:cstheme="minorBidi"/>
          <w:b w:val="0"/>
          <w:bCs w:val="0"/>
          <w:color w:val="000000" w:themeColor="text1"/>
          <w:sz w:val="24"/>
          <w:szCs w:val="24"/>
        </w:rPr>
      </w:pPr>
      <w:r w:rsidRPr="0048465E">
        <w:rPr>
          <w:rFonts w:asciiTheme="minorBidi" w:hAnsiTheme="minorBidi" w:cstheme="minorBidi"/>
          <w:b w:val="0"/>
          <w:bCs w:val="0"/>
          <w:color w:val="000000" w:themeColor="text1"/>
          <w:sz w:val="24"/>
          <w:szCs w:val="24"/>
        </w:rPr>
        <w:t>- Empirical treatment of urinary tract infections should follow local susceptibility patterns, and the use of nitrofurantoin and imipenem should be considered for confirmed or suspected MDR.</w:t>
      </w:r>
    </w:p>
    <w:p w:rsidR="00297B17" w:rsidRPr="0048465E" w:rsidRDefault="00297B17" w:rsidP="004569A7">
      <w:pPr>
        <w:pStyle w:val="Heading2"/>
        <w:spacing w:line="276" w:lineRule="auto"/>
        <w:jc w:val="both"/>
        <w:rPr>
          <w:rFonts w:asciiTheme="minorBidi" w:hAnsiTheme="minorBidi" w:cstheme="minorBidi"/>
          <w:b w:val="0"/>
          <w:bCs w:val="0"/>
          <w:color w:val="000000" w:themeColor="text1"/>
          <w:sz w:val="24"/>
          <w:szCs w:val="24"/>
        </w:rPr>
      </w:pPr>
      <w:r w:rsidRPr="0048465E">
        <w:rPr>
          <w:rFonts w:asciiTheme="minorBidi" w:hAnsiTheme="minorBidi" w:cstheme="minorBidi"/>
          <w:b w:val="0"/>
          <w:bCs w:val="0"/>
          <w:color w:val="000000" w:themeColor="text1"/>
          <w:sz w:val="24"/>
          <w:szCs w:val="24"/>
        </w:rPr>
        <w:t>- Incorporate antimicrobial stewardship programs that ensure the appropriate use of antibiotics and prevent the development of resistance.</w:t>
      </w:r>
    </w:p>
    <w:p w:rsidR="00297B17" w:rsidRPr="0048465E" w:rsidRDefault="00297B17" w:rsidP="004569A7">
      <w:pPr>
        <w:pStyle w:val="Heading2"/>
        <w:spacing w:line="276" w:lineRule="auto"/>
        <w:jc w:val="both"/>
        <w:rPr>
          <w:rFonts w:asciiTheme="minorBidi" w:hAnsiTheme="minorBidi" w:cstheme="minorBidi"/>
          <w:b w:val="0"/>
          <w:bCs w:val="0"/>
          <w:color w:val="000000" w:themeColor="text1"/>
          <w:sz w:val="24"/>
          <w:szCs w:val="24"/>
        </w:rPr>
      </w:pPr>
      <w:r w:rsidRPr="0048465E">
        <w:rPr>
          <w:rFonts w:asciiTheme="minorBidi" w:hAnsiTheme="minorBidi" w:cstheme="minorBidi"/>
          <w:b w:val="0"/>
          <w:bCs w:val="0"/>
          <w:color w:val="000000" w:themeColor="text1"/>
          <w:sz w:val="24"/>
          <w:szCs w:val="24"/>
        </w:rPr>
        <w:t xml:space="preserve">- Carry out periodic surveillance of the </w:t>
      </w:r>
      <w:proofErr w:type="spellStart"/>
      <w:r w:rsidRPr="0048465E">
        <w:rPr>
          <w:rFonts w:asciiTheme="minorBidi" w:hAnsiTheme="minorBidi" w:cstheme="minorBidi"/>
          <w:b w:val="0"/>
          <w:bCs w:val="0"/>
          <w:color w:val="000000" w:themeColor="text1"/>
          <w:sz w:val="24"/>
          <w:szCs w:val="24"/>
        </w:rPr>
        <w:t>uropathogen</w:t>
      </w:r>
      <w:proofErr w:type="spellEnd"/>
      <w:r w:rsidRPr="0048465E">
        <w:rPr>
          <w:rFonts w:asciiTheme="minorBidi" w:hAnsiTheme="minorBidi" w:cstheme="minorBidi"/>
          <w:b w:val="0"/>
          <w:bCs w:val="0"/>
          <w:color w:val="000000" w:themeColor="text1"/>
          <w:sz w:val="24"/>
          <w:szCs w:val="24"/>
        </w:rPr>
        <w:t xml:space="preserve"> prevalence rates and resistance patterns on the institutional and national scales.</w:t>
      </w:r>
    </w:p>
    <w:p w:rsidR="00297B17" w:rsidRPr="0048465E" w:rsidRDefault="00297B17" w:rsidP="004569A7">
      <w:pPr>
        <w:pStyle w:val="Heading2"/>
        <w:spacing w:line="276" w:lineRule="auto"/>
        <w:jc w:val="both"/>
        <w:rPr>
          <w:rFonts w:asciiTheme="minorBidi" w:hAnsiTheme="minorBidi" w:cstheme="minorBidi"/>
          <w:b w:val="0"/>
          <w:bCs w:val="0"/>
          <w:color w:val="000000" w:themeColor="text1"/>
          <w:sz w:val="24"/>
          <w:szCs w:val="24"/>
        </w:rPr>
      </w:pPr>
      <w:r w:rsidRPr="0048465E">
        <w:rPr>
          <w:rFonts w:asciiTheme="minorBidi" w:hAnsiTheme="minorBidi" w:cstheme="minorBidi"/>
          <w:b w:val="0"/>
          <w:bCs w:val="0"/>
          <w:color w:val="000000" w:themeColor="text1"/>
          <w:sz w:val="24"/>
          <w:szCs w:val="24"/>
        </w:rPr>
        <w:t>- Carry out awareness campaigns among the public on the risks of self-medication and inefficient use of antibiotics.</w:t>
      </w:r>
    </w:p>
    <w:p w:rsidR="00297B17" w:rsidRPr="0048465E" w:rsidRDefault="00297B17" w:rsidP="004569A7">
      <w:pPr>
        <w:pStyle w:val="Heading2"/>
        <w:spacing w:line="276" w:lineRule="auto"/>
        <w:jc w:val="both"/>
        <w:rPr>
          <w:rFonts w:asciiTheme="minorBidi" w:hAnsiTheme="minorBidi" w:cstheme="minorBidi"/>
          <w:b w:val="0"/>
          <w:bCs w:val="0"/>
          <w:color w:val="000000" w:themeColor="text1"/>
          <w:sz w:val="24"/>
          <w:szCs w:val="24"/>
        </w:rPr>
      </w:pPr>
      <w:r w:rsidRPr="0048465E">
        <w:rPr>
          <w:rFonts w:asciiTheme="minorBidi" w:hAnsiTheme="minorBidi" w:cstheme="minorBidi"/>
          <w:b w:val="0"/>
          <w:bCs w:val="0"/>
          <w:color w:val="000000" w:themeColor="text1"/>
          <w:sz w:val="24"/>
          <w:szCs w:val="24"/>
        </w:rPr>
        <w:lastRenderedPageBreak/>
        <w:t>- Continued studies using molecular technology for the characterization of resistance and the surveillance of the spread of MDR clones should be undertaken.</w:t>
      </w:r>
    </w:p>
    <w:p w:rsidR="00297B17" w:rsidRPr="0048465E" w:rsidRDefault="00297B17" w:rsidP="004569A7">
      <w:pPr>
        <w:pStyle w:val="Heading2"/>
        <w:spacing w:line="276" w:lineRule="auto"/>
        <w:rPr>
          <w:rFonts w:asciiTheme="minorBidi" w:hAnsiTheme="minorBidi" w:cstheme="minorBidi"/>
          <w:color w:val="000000" w:themeColor="text1"/>
          <w:sz w:val="24"/>
          <w:szCs w:val="24"/>
        </w:rPr>
      </w:pPr>
      <w:r w:rsidRPr="0048465E">
        <w:rPr>
          <w:rFonts w:asciiTheme="minorBidi" w:hAnsiTheme="minorBidi" w:cstheme="minorBidi"/>
          <w:color w:val="000000" w:themeColor="text1"/>
          <w:sz w:val="24"/>
          <w:szCs w:val="24"/>
        </w:rPr>
        <w:t>Ethic</w:t>
      </w:r>
      <w:r w:rsidR="006A5F66">
        <w:rPr>
          <w:rFonts w:asciiTheme="minorBidi" w:hAnsiTheme="minorBidi" w:cstheme="minorBidi"/>
          <w:color w:val="000000" w:themeColor="text1"/>
          <w:sz w:val="24"/>
          <w:szCs w:val="24"/>
        </w:rPr>
        <w:t xml:space="preserve">al approval and </w:t>
      </w:r>
      <w:r w:rsidR="006A5F66" w:rsidRPr="006A5F66">
        <w:rPr>
          <w:rFonts w:asciiTheme="minorBidi" w:hAnsiTheme="minorBidi" w:cstheme="minorBidi"/>
          <w:color w:val="000000" w:themeColor="text1"/>
          <w:sz w:val="24"/>
          <w:szCs w:val="24"/>
        </w:rPr>
        <w:t>consent</w:t>
      </w:r>
      <w:r w:rsidRPr="0048465E">
        <w:rPr>
          <w:rFonts w:asciiTheme="minorBidi" w:hAnsiTheme="minorBidi" w:cstheme="minorBidi"/>
          <w:color w:val="000000" w:themeColor="text1"/>
          <w:sz w:val="24"/>
          <w:szCs w:val="24"/>
        </w:rPr>
        <w:t>:</w:t>
      </w:r>
    </w:p>
    <w:p w:rsidR="00297B17" w:rsidRPr="0048465E" w:rsidRDefault="00297B17" w:rsidP="004569A7">
      <w:pPr>
        <w:pStyle w:val="Heading2"/>
        <w:spacing w:line="276" w:lineRule="auto"/>
        <w:jc w:val="both"/>
        <w:rPr>
          <w:rFonts w:asciiTheme="minorBidi" w:hAnsiTheme="minorBidi" w:cstheme="minorBidi"/>
          <w:b w:val="0"/>
          <w:bCs w:val="0"/>
          <w:color w:val="000000" w:themeColor="text1"/>
          <w:sz w:val="24"/>
          <w:szCs w:val="24"/>
        </w:rPr>
      </w:pPr>
      <w:r w:rsidRPr="0048465E">
        <w:rPr>
          <w:rFonts w:asciiTheme="minorBidi" w:hAnsiTheme="minorBidi" w:cstheme="minorBidi"/>
          <w:b w:val="0"/>
          <w:bCs w:val="0"/>
          <w:color w:val="000000" w:themeColor="text1"/>
          <w:sz w:val="24"/>
          <w:szCs w:val="24"/>
        </w:rPr>
        <w:t>This study adhered to the tenets of the Declaration of Helsinki. It got ethical clearance from the Ethics Committee of Al-</w:t>
      </w:r>
      <w:proofErr w:type="spellStart"/>
      <w:r w:rsidRPr="0048465E">
        <w:rPr>
          <w:rFonts w:asciiTheme="minorBidi" w:hAnsiTheme="minorBidi" w:cstheme="minorBidi"/>
          <w:b w:val="0"/>
          <w:bCs w:val="0"/>
          <w:color w:val="000000" w:themeColor="text1"/>
          <w:sz w:val="24"/>
          <w:szCs w:val="24"/>
        </w:rPr>
        <w:t>Riffai</w:t>
      </w:r>
      <w:proofErr w:type="spellEnd"/>
      <w:r w:rsidRPr="0048465E">
        <w:rPr>
          <w:rFonts w:asciiTheme="minorBidi" w:hAnsiTheme="minorBidi" w:cstheme="minorBidi"/>
          <w:b w:val="0"/>
          <w:bCs w:val="0"/>
          <w:color w:val="000000" w:themeColor="text1"/>
          <w:sz w:val="24"/>
          <w:szCs w:val="24"/>
        </w:rPr>
        <w:t xml:space="preserve"> Teaching Hospital. Informed consent was sought from all the participants. The participants were accorded anonymity. This study did not offer any economic incentives. The participants were also free to withdraw anytime.</w:t>
      </w:r>
    </w:p>
    <w:p w:rsidR="004569A7" w:rsidRPr="0048465E" w:rsidRDefault="004569A7" w:rsidP="004569A7">
      <w:pPr>
        <w:pStyle w:val="Heading2"/>
        <w:spacing w:line="276" w:lineRule="auto"/>
        <w:rPr>
          <w:rFonts w:asciiTheme="minorBidi" w:hAnsiTheme="minorBidi" w:cstheme="minorBidi"/>
          <w:color w:val="000000" w:themeColor="text1"/>
          <w:sz w:val="24"/>
          <w:szCs w:val="24"/>
          <w:highlight w:val="yellow"/>
        </w:rPr>
      </w:pPr>
      <w:r w:rsidRPr="0048465E">
        <w:rPr>
          <w:rFonts w:asciiTheme="minorBidi" w:hAnsiTheme="minorBidi" w:cstheme="minorBidi"/>
          <w:color w:val="000000" w:themeColor="text1"/>
          <w:sz w:val="24"/>
          <w:szCs w:val="24"/>
          <w:highlight w:val="yellow"/>
        </w:rPr>
        <w:t>Disclaimer of Conflict of Interest</w:t>
      </w:r>
    </w:p>
    <w:p w:rsidR="004569A7" w:rsidRPr="0048465E" w:rsidRDefault="004569A7" w:rsidP="004569A7">
      <w:pPr>
        <w:pStyle w:val="Heading2"/>
        <w:spacing w:line="276" w:lineRule="auto"/>
        <w:jc w:val="both"/>
        <w:rPr>
          <w:rFonts w:asciiTheme="minorBidi" w:hAnsiTheme="minorBidi" w:cstheme="minorBidi"/>
          <w:b w:val="0"/>
          <w:bCs w:val="0"/>
          <w:color w:val="000000" w:themeColor="text1"/>
          <w:sz w:val="24"/>
          <w:szCs w:val="24"/>
          <w:highlight w:val="yellow"/>
        </w:rPr>
      </w:pPr>
      <w:r w:rsidRPr="0048465E">
        <w:rPr>
          <w:rFonts w:asciiTheme="minorBidi" w:hAnsiTheme="minorBidi" w:cstheme="minorBidi"/>
          <w:b w:val="0"/>
          <w:bCs w:val="0"/>
          <w:color w:val="000000" w:themeColor="text1"/>
          <w:sz w:val="24"/>
          <w:szCs w:val="24"/>
          <w:highlight w:val="yellow"/>
        </w:rPr>
        <w:t>The authors declare that there are no conflicts of interest, whether financial or otherwise, or personal or professional relationships, that could influence the submitted research, its findings, or its interpretation.</w:t>
      </w:r>
    </w:p>
    <w:p w:rsidR="004569A7" w:rsidRPr="0048465E" w:rsidRDefault="004569A7" w:rsidP="004569A7">
      <w:pPr>
        <w:pStyle w:val="Heading2"/>
        <w:spacing w:line="276" w:lineRule="auto"/>
        <w:rPr>
          <w:rFonts w:asciiTheme="minorBidi" w:hAnsiTheme="minorBidi" w:cstheme="minorBidi"/>
          <w:color w:val="000000" w:themeColor="text1"/>
          <w:sz w:val="24"/>
          <w:szCs w:val="24"/>
          <w:highlight w:val="yellow"/>
        </w:rPr>
      </w:pPr>
      <w:r w:rsidRPr="0048465E">
        <w:rPr>
          <w:rFonts w:asciiTheme="minorBidi" w:hAnsiTheme="minorBidi" w:cstheme="minorBidi"/>
          <w:color w:val="000000" w:themeColor="text1"/>
          <w:sz w:val="24"/>
          <w:szCs w:val="24"/>
          <w:highlight w:val="yellow"/>
        </w:rPr>
        <w:t>Disclaimer of Artificial Intelligence</w:t>
      </w:r>
    </w:p>
    <w:p w:rsidR="004569A7" w:rsidRPr="0048465E" w:rsidRDefault="004569A7" w:rsidP="004569A7">
      <w:pPr>
        <w:pStyle w:val="Heading2"/>
        <w:spacing w:line="276" w:lineRule="auto"/>
        <w:jc w:val="both"/>
        <w:rPr>
          <w:rFonts w:asciiTheme="minorBidi" w:hAnsiTheme="minorBidi" w:cstheme="minorBidi"/>
          <w:b w:val="0"/>
          <w:bCs w:val="0"/>
          <w:color w:val="000000" w:themeColor="text1"/>
          <w:sz w:val="24"/>
          <w:szCs w:val="24"/>
        </w:rPr>
      </w:pPr>
      <w:r w:rsidRPr="0048465E">
        <w:rPr>
          <w:rFonts w:asciiTheme="minorBidi" w:hAnsiTheme="minorBidi" w:cstheme="minorBidi"/>
          <w:b w:val="0"/>
          <w:bCs w:val="0"/>
          <w:color w:val="000000" w:themeColor="text1"/>
          <w:sz w:val="24"/>
          <w:szCs w:val="24"/>
          <w:highlight w:val="yellow"/>
        </w:rPr>
        <w:t xml:space="preserve">The authors also disclaim any liability for the use of any generative artificial intelligence techniques, including large language models—such as </w:t>
      </w:r>
      <w:proofErr w:type="spellStart"/>
      <w:r w:rsidRPr="0048465E">
        <w:rPr>
          <w:rFonts w:asciiTheme="minorBidi" w:hAnsiTheme="minorBidi" w:cstheme="minorBidi"/>
          <w:b w:val="0"/>
          <w:bCs w:val="0"/>
          <w:color w:val="000000" w:themeColor="text1"/>
          <w:sz w:val="24"/>
          <w:szCs w:val="24"/>
          <w:highlight w:val="yellow"/>
        </w:rPr>
        <w:t>ChatGPT</w:t>
      </w:r>
      <w:proofErr w:type="spellEnd"/>
      <w:r w:rsidRPr="0048465E">
        <w:rPr>
          <w:rFonts w:asciiTheme="minorBidi" w:hAnsiTheme="minorBidi" w:cstheme="minorBidi"/>
          <w:b w:val="0"/>
          <w:bCs w:val="0"/>
          <w:color w:val="000000" w:themeColor="text1"/>
          <w:sz w:val="24"/>
          <w:szCs w:val="24"/>
          <w:highlight w:val="yellow"/>
        </w:rPr>
        <w:t xml:space="preserve"> and Copilot—or text-to-image conversion tools, in the writing or editing of this manuscript.</w:t>
      </w:r>
    </w:p>
    <w:p w:rsidR="00134A30" w:rsidRPr="0048465E" w:rsidRDefault="00F857D2" w:rsidP="004569A7">
      <w:pPr>
        <w:pStyle w:val="Heading2"/>
        <w:spacing w:line="276" w:lineRule="auto"/>
        <w:rPr>
          <w:rFonts w:asciiTheme="minorBidi" w:hAnsiTheme="minorBidi" w:cstheme="minorBidi"/>
          <w:color w:val="000000" w:themeColor="text1"/>
          <w:sz w:val="24"/>
          <w:szCs w:val="24"/>
        </w:rPr>
      </w:pPr>
      <w:proofErr w:type="gramStart"/>
      <w:r w:rsidRPr="0048465E">
        <w:rPr>
          <w:rFonts w:asciiTheme="minorBidi" w:hAnsiTheme="minorBidi" w:cstheme="minorBidi"/>
          <w:color w:val="000000" w:themeColor="text1"/>
          <w:sz w:val="24"/>
          <w:szCs w:val="24"/>
        </w:rPr>
        <w:t>References</w:t>
      </w:r>
      <w:r w:rsidR="00725024" w:rsidRPr="0048465E">
        <w:rPr>
          <w:rFonts w:asciiTheme="minorBidi" w:hAnsiTheme="minorBidi" w:cstheme="minorBidi"/>
          <w:color w:val="000000" w:themeColor="text1"/>
          <w:sz w:val="24"/>
          <w:szCs w:val="24"/>
        </w:rPr>
        <w:t xml:space="preserve"> :</w:t>
      </w:r>
      <w:proofErr w:type="gramEnd"/>
    </w:p>
    <w:p w:rsidR="001F117D" w:rsidRDefault="00F857D2" w:rsidP="001F117D">
      <w:pPr>
        <w:jc w:val="both"/>
        <w:rPr>
          <w:rFonts w:ascii="Arial" w:eastAsia="Times New Roman" w:hAnsi="Arial" w:cs="Arial"/>
          <w:sz w:val="18"/>
          <w:szCs w:val="18"/>
        </w:rPr>
      </w:pPr>
      <w:r w:rsidRPr="0048465E">
        <w:t xml:space="preserve">[1] </w:t>
      </w:r>
      <w:r w:rsidR="001F117D">
        <w:rPr>
          <w:rFonts w:ascii="Arial" w:eastAsia="Times New Roman" w:hAnsi="Arial" w:cs="Arial"/>
          <w:sz w:val="18"/>
          <w:szCs w:val="18"/>
        </w:rPr>
        <w:t>Foxman, B. (2003). Epidemiology of urinary tract infections: Incidence, morbidity, and economic costs. Disease-a-Month, 49(2), 53–70. https://doi.org/10.1067/mda.2003.7</w:t>
      </w:r>
    </w:p>
    <w:p w:rsidR="001F117D" w:rsidRDefault="00F857D2" w:rsidP="001F117D">
      <w:pPr>
        <w:jc w:val="both"/>
        <w:rPr>
          <w:rFonts w:ascii="Arial" w:eastAsia="Times New Roman" w:hAnsi="Arial" w:cs="Arial"/>
          <w:sz w:val="18"/>
          <w:szCs w:val="18"/>
        </w:rPr>
      </w:pPr>
      <w:r w:rsidRPr="0048465E">
        <w:t xml:space="preserve">[2] </w:t>
      </w:r>
      <w:r w:rsidR="001F117D">
        <w:rPr>
          <w:rFonts w:ascii="Arial" w:eastAsia="Times New Roman" w:hAnsi="Arial" w:cs="Arial"/>
          <w:sz w:val="18"/>
          <w:szCs w:val="18"/>
        </w:rPr>
        <w:t xml:space="preserve">Flores-Mireles, A. L., Walker, J. N., </w:t>
      </w:r>
      <w:proofErr w:type="spellStart"/>
      <w:r w:rsidR="001F117D">
        <w:rPr>
          <w:rFonts w:ascii="Arial" w:eastAsia="Times New Roman" w:hAnsi="Arial" w:cs="Arial"/>
          <w:sz w:val="18"/>
          <w:szCs w:val="18"/>
        </w:rPr>
        <w:t>Caparon</w:t>
      </w:r>
      <w:proofErr w:type="spellEnd"/>
      <w:r w:rsidR="001F117D">
        <w:rPr>
          <w:rFonts w:ascii="Arial" w:eastAsia="Times New Roman" w:hAnsi="Arial" w:cs="Arial"/>
          <w:sz w:val="18"/>
          <w:szCs w:val="18"/>
        </w:rPr>
        <w:t>, M., &amp; Hultgren, S. J. (2015). Urinary tract infections: epidemiology, mechanisms of infection and treatment options. Nature Reviews Microbiology, 13(5), 269–284. https://doi.org/10.1038/nrmicro3432</w:t>
      </w:r>
    </w:p>
    <w:p w:rsidR="001F117D" w:rsidRDefault="00F857D2" w:rsidP="001F117D">
      <w:pPr>
        <w:jc w:val="both"/>
        <w:rPr>
          <w:rFonts w:ascii="Arial" w:eastAsia="Times New Roman" w:hAnsi="Arial" w:cs="Arial"/>
          <w:sz w:val="18"/>
          <w:szCs w:val="18"/>
        </w:rPr>
      </w:pPr>
      <w:r w:rsidRPr="0048465E">
        <w:t xml:space="preserve">[3] </w:t>
      </w:r>
      <w:r w:rsidR="001F117D">
        <w:rPr>
          <w:rFonts w:ascii="Arial" w:eastAsia="Times New Roman" w:hAnsi="Arial" w:cs="Arial"/>
          <w:sz w:val="18"/>
          <w:szCs w:val="18"/>
        </w:rPr>
        <w:t xml:space="preserve">Gupta, K., Hooton, T. M., </w:t>
      </w:r>
      <w:proofErr w:type="spellStart"/>
      <w:r w:rsidR="001F117D">
        <w:rPr>
          <w:rFonts w:ascii="Arial" w:eastAsia="Times New Roman" w:hAnsi="Arial" w:cs="Arial"/>
          <w:sz w:val="18"/>
          <w:szCs w:val="18"/>
        </w:rPr>
        <w:t>Naber</w:t>
      </w:r>
      <w:proofErr w:type="spellEnd"/>
      <w:r w:rsidR="001F117D">
        <w:rPr>
          <w:rFonts w:ascii="Arial" w:eastAsia="Times New Roman" w:hAnsi="Arial" w:cs="Arial"/>
          <w:sz w:val="18"/>
          <w:szCs w:val="18"/>
        </w:rPr>
        <w:t xml:space="preserve">, K. G., </w:t>
      </w:r>
      <w:proofErr w:type="spellStart"/>
      <w:r w:rsidR="001F117D">
        <w:rPr>
          <w:rFonts w:ascii="Arial" w:eastAsia="Times New Roman" w:hAnsi="Arial" w:cs="Arial"/>
          <w:sz w:val="18"/>
          <w:szCs w:val="18"/>
        </w:rPr>
        <w:t>Wullt</w:t>
      </w:r>
      <w:proofErr w:type="spellEnd"/>
      <w:r w:rsidR="001F117D">
        <w:rPr>
          <w:rFonts w:ascii="Arial" w:eastAsia="Times New Roman" w:hAnsi="Arial" w:cs="Arial"/>
          <w:sz w:val="18"/>
          <w:szCs w:val="18"/>
        </w:rPr>
        <w:t>, B., Colgan, R., Miller, L. G., Moran, G. J., Nicolle, L. E., Raz, R., Schaeffer, A. J., &amp; Soper, D. E. (2011). International clinical practice guidelines for the treatment of acute uncomplicated cystitis and pyelonephritis in women: A 2010 update by the Infectious Diseases Society of America and the European Society for Microbiology and Infectious Diseases. Clinical Infectious Diseases, 52(5), e103–e120. https://doi.org/10.1093/cid/ciq257</w:t>
      </w:r>
    </w:p>
    <w:p w:rsidR="001F117D" w:rsidRDefault="00F857D2" w:rsidP="001F117D">
      <w:pPr>
        <w:jc w:val="both"/>
        <w:rPr>
          <w:rFonts w:ascii="Arial" w:eastAsia="Times New Roman" w:hAnsi="Arial" w:cs="Arial"/>
          <w:sz w:val="18"/>
          <w:szCs w:val="18"/>
        </w:rPr>
      </w:pPr>
      <w:r w:rsidRPr="0048465E">
        <w:t xml:space="preserve">[4] </w:t>
      </w:r>
      <w:r w:rsidR="001F117D">
        <w:rPr>
          <w:rFonts w:ascii="Arial" w:eastAsia="Times New Roman" w:hAnsi="Arial" w:cs="Arial"/>
          <w:sz w:val="18"/>
          <w:szCs w:val="18"/>
        </w:rPr>
        <w:t>Hooton, T. M. (2012). Uncomplicated urinary tract infection. New England Journal of Medicine, 366(11), 1028–1037. https://doi.org/10.1056/NEJMcp1104429</w:t>
      </w:r>
    </w:p>
    <w:p w:rsidR="001F117D" w:rsidRDefault="00F857D2" w:rsidP="001F117D">
      <w:pPr>
        <w:jc w:val="both"/>
        <w:rPr>
          <w:rFonts w:ascii="Arial" w:eastAsia="Times New Roman" w:hAnsi="Arial" w:cs="Arial"/>
          <w:sz w:val="18"/>
          <w:szCs w:val="18"/>
        </w:rPr>
      </w:pPr>
      <w:r w:rsidRPr="0048465E">
        <w:t xml:space="preserve">[5] </w:t>
      </w:r>
      <w:proofErr w:type="spellStart"/>
      <w:r w:rsidR="001F117D">
        <w:rPr>
          <w:rFonts w:ascii="Arial" w:eastAsia="Times New Roman" w:hAnsi="Arial" w:cs="Arial"/>
          <w:sz w:val="18"/>
          <w:szCs w:val="18"/>
        </w:rPr>
        <w:t>Falagas</w:t>
      </w:r>
      <w:proofErr w:type="spellEnd"/>
      <w:r w:rsidR="001F117D">
        <w:rPr>
          <w:rFonts w:ascii="Arial" w:eastAsia="Times New Roman" w:hAnsi="Arial" w:cs="Arial"/>
          <w:sz w:val="18"/>
          <w:szCs w:val="18"/>
        </w:rPr>
        <w:t xml:space="preserve">, M. E., &amp; </w:t>
      </w:r>
      <w:proofErr w:type="spellStart"/>
      <w:r w:rsidR="001F117D">
        <w:rPr>
          <w:rFonts w:ascii="Arial" w:eastAsia="Times New Roman" w:hAnsi="Arial" w:cs="Arial"/>
          <w:sz w:val="18"/>
          <w:szCs w:val="18"/>
        </w:rPr>
        <w:t>Karageorgopoulos</w:t>
      </w:r>
      <w:proofErr w:type="spellEnd"/>
      <w:r w:rsidR="001F117D">
        <w:rPr>
          <w:rFonts w:ascii="Arial" w:eastAsia="Times New Roman" w:hAnsi="Arial" w:cs="Arial"/>
          <w:sz w:val="18"/>
          <w:szCs w:val="18"/>
        </w:rPr>
        <w:t>, D. E. (2009). Extended-spectrum beta-lactamase-producing organisms. Journal of Hospital Infection, 73(4), 345–354. https://doi.org/10.1016/j.jhin.2009.02.021</w:t>
      </w:r>
    </w:p>
    <w:p w:rsidR="001F117D" w:rsidRDefault="00F857D2" w:rsidP="001F117D">
      <w:pPr>
        <w:jc w:val="both"/>
        <w:rPr>
          <w:rFonts w:ascii="Arial" w:eastAsia="Times New Roman" w:hAnsi="Arial" w:cs="Arial"/>
          <w:sz w:val="18"/>
          <w:szCs w:val="18"/>
        </w:rPr>
      </w:pPr>
      <w:r w:rsidRPr="0048465E">
        <w:t xml:space="preserve">[6] </w:t>
      </w:r>
      <w:r w:rsidR="001F117D">
        <w:rPr>
          <w:rFonts w:ascii="Arial" w:eastAsia="Times New Roman" w:hAnsi="Arial" w:cs="Arial"/>
          <w:sz w:val="18"/>
          <w:szCs w:val="18"/>
        </w:rPr>
        <w:t xml:space="preserve">Manges, A. R., </w:t>
      </w:r>
      <w:proofErr w:type="spellStart"/>
      <w:r w:rsidR="001F117D">
        <w:rPr>
          <w:rFonts w:ascii="Arial" w:eastAsia="Times New Roman" w:hAnsi="Arial" w:cs="Arial"/>
          <w:sz w:val="18"/>
          <w:szCs w:val="18"/>
        </w:rPr>
        <w:t>Geum</w:t>
      </w:r>
      <w:proofErr w:type="spellEnd"/>
      <w:r w:rsidR="001F117D">
        <w:rPr>
          <w:rFonts w:ascii="Arial" w:eastAsia="Times New Roman" w:hAnsi="Arial" w:cs="Arial"/>
          <w:sz w:val="18"/>
          <w:szCs w:val="18"/>
        </w:rPr>
        <w:t xml:space="preserve">, H. M., Guo, A., </w:t>
      </w:r>
      <w:proofErr w:type="spellStart"/>
      <w:r w:rsidR="001F117D">
        <w:rPr>
          <w:rFonts w:ascii="Arial" w:eastAsia="Times New Roman" w:hAnsi="Arial" w:cs="Arial"/>
          <w:sz w:val="18"/>
          <w:szCs w:val="18"/>
        </w:rPr>
        <w:t>Edens</w:t>
      </w:r>
      <w:proofErr w:type="spellEnd"/>
      <w:r w:rsidR="001F117D">
        <w:rPr>
          <w:rFonts w:ascii="Arial" w:eastAsia="Times New Roman" w:hAnsi="Arial" w:cs="Arial"/>
          <w:sz w:val="18"/>
          <w:szCs w:val="18"/>
        </w:rPr>
        <w:t xml:space="preserve">, T. J., </w:t>
      </w:r>
      <w:proofErr w:type="spellStart"/>
      <w:r w:rsidR="001F117D">
        <w:rPr>
          <w:rFonts w:ascii="Arial" w:eastAsia="Times New Roman" w:hAnsi="Arial" w:cs="Arial"/>
          <w:sz w:val="18"/>
          <w:szCs w:val="18"/>
        </w:rPr>
        <w:t>Fibke</w:t>
      </w:r>
      <w:proofErr w:type="spellEnd"/>
      <w:r w:rsidR="001F117D">
        <w:rPr>
          <w:rFonts w:ascii="Arial" w:eastAsia="Times New Roman" w:hAnsi="Arial" w:cs="Arial"/>
          <w:sz w:val="18"/>
          <w:szCs w:val="18"/>
        </w:rPr>
        <w:t xml:space="preserve">, C. D., &amp; </w:t>
      </w:r>
      <w:proofErr w:type="spellStart"/>
      <w:r w:rsidR="001F117D">
        <w:rPr>
          <w:rFonts w:ascii="Arial" w:eastAsia="Times New Roman" w:hAnsi="Arial" w:cs="Arial"/>
          <w:sz w:val="18"/>
          <w:szCs w:val="18"/>
        </w:rPr>
        <w:t>Pitout</w:t>
      </w:r>
      <w:proofErr w:type="spellEnd"/>
      <w:r w:rsidR="001F117D">
        <w:rPr>
          <w:rFonts w:ascii="Arial" w:eastAsia="Times New Roman" w:hAnsi="Arial" w:cs="Arial"/>
          <w:sz w:val="18"/>
          <w:szCs w:val="18"/>
        </w:rPr>
        <w:t>, J. D. D. (2019). Global Extraintestinal Pathogenic Escherichia coli (</w:t>
      </w:r>
      <w:proofErr w:type="spellStart"/>
      <w:r w:rsidR="001F117D">
        <w:rPr>
          <w:rFonts w:ascii="Arial" w:eastAsia="Times New Roman" w:hAnsi="Arial" w:cs="Arial"/>
          <w:sz w:val="18"/>
          <w:szCs w:val="18"/>
        </w:rPr>
        <w:t>ExPEC</w:t>
      </w:r>
      <w:proofErr w:type="spellEnd"/>
      <w:r w:rsidR="001F117D">
        <w:rPr>
          <w:rFonts w:ascii="Arial" w:eastAsia="Times New Roman" w:hAnsi="Arial" w:cs="Arial"/>
          <w:sz w:val="18"/>
          <w:szCs w:val="18"/>
        </w:rPr>
        <w:t>) Lineages. Clinical Microbiology Reviews, 32(3), e00135-18. https://doi.org/10.1128/CMR.00135-18</w:t>
      </w:r>
    </w:p>
    <w:p w:rsidR="00134A30" w:rsidRPr="0048465E" w:rsidRDefault="00F857D2" w:rsidP="004569A7">
      <w:pPr>
        <w:pStyle w:val="BodyText"/>
        <w:spacing w:line="276" w:lineRule="auto"/>
        <w:jc w:val="both"/>
      </w:pPr>
      <w:r w:rsidRPr="0048465E">
        <w:t xml:space="preserve">[7] </w:t>
      </w:r>
      <w:r w:rsidR="001F117D">
        <w:rPr>
          <w:rFonts w:ascii="Arial" w:hAnsi="Arial" w:cs="Arial"/>
          <w:color w:val="222222"/>
          <w:sz w:val="20"/>
          <w:szCs w:val="20"/>
          <w:shd w:val="clear" w:color="auto" w:fill="FFFFFF"/>
        </w:rPr>
        <w:t xml:space="preserve">Walker, E., Lyman, A., Gupta, K., Mahoney, M. V., Snyder, G. M., &amp; Hirsch, E. B. (2016). Clinical management of an increasing threat: outpatient urinary tract infections due to multidrug-resistant </w:t>
      </w:r>
      <w:proofErr w:type="spellStart"/>
      <w:r w:rsidR="001F117D">
        <w:rPr>
          <w:rFonts w:ascii="Arial" w:hAnsi="Arial" w:cs="Arial"/>
          <w:color w:val="222222"/>
          <w:sz w:val="20"/>
          <w:szCs w:val="20"/>
          <w:shd w:val="clear" w:color="auto" w:fill="FFFFFF"/>
        </w:rPr>
        <w:t>uropathogens</w:t>
      </w:r>
      <w:proofErr w:type="spellEnd"/>
      <w:r w:rsidR="001F117D">
        <w:rPr>
          <w:rFonts w:ascii="Arial" w:hAnsi="Arial" w:cs="Arial"/>
          <w:color w:val="222222"/>
          <w:sz w:val="20"/>
          <w:szCs w:val="20"/>
          <w:shd w:val="clear" w:color="auto" w:fill="FFFFFF"/>
        </w:rPr>
        <w:t>. </w:t>
      </w:r>
      <w:r w:rsidR="001F117D">
        <w:rPr>
          <w:rFonts w:ascii="Arial" w:hAnsi="Arial" w:cs="Arial"/>
          <w:i/>
          <w:iCs/>
          <w:color w:val="222222"/>
          <w:sz w:val="20"/>
          <w:szCs w:val="20"/>
          <w:shd w:val="clear" w:color="auto" w:fill="FFFFFF"/>
        </w:rPr>
        <w:t>Clinical Infectious Diseases</w:t>
      </w:r>
      <w:r w:rsidR="001F117D">
        <w:rPr>
          <w:rFonts w:ascii="Arial" w:hAnsi="Arial" w:cs="Arial"/>
          <w:color w:val="222222"/>
          <w:sz w:val="20"/>
          <w:szCs w:val="20"/>
          <w:shd w:val="clear" w:color="auto" w:fill="FFFFFF"/>
        </w:rPr>
        <w:t>, </w:t>
      </w:r>
      <w:r w:rsidR="001F117D">
        <w:rPr>
          <w:rFonts w:ascii="Arial" w:hAnsi="Arial" w:cs="Arial"/>
          <w:i/>
          <w:iCs/>
          <w:color w:val="222222"/>
          <w:sz w:val="20"/>
          <w:szCs w:val="20"/>
          <w:shd w:val="clear" w:color="auto" w:fill="FFFFFF"/>
        </w:rPr>
        <w:t>63</w:t>
      </w:r>
      <w:r w:rsidR="001F117D">
        <w:rPr>
          <w:rFonts w:ascii="Arial" w:hAnsi="Arial" w:cs="Arial"/>
          <w:color w:val="222222"/>
          <w:sz w:val="20"/>
          <w:szCs w:val="20"/>
          <w:shd w:val="clear" w:color="auto" w:fill="FFFFFF"/>
        </w:rPr>
        <w:t>(7), 960-965.</w:t>
      </w:r>
    </w:p>
    <w:p w:rsidR="00134A30" w:rsidRPr="0048465E" w:rsidRDefault="00F857D2" w:rsidP="004569A7">
      <w:pPr>
        <w:pStyle w:val="BodyText"/>
        <w:spacing w:line="276" w:lineRule="auto"/>
        <w:jc w:val="both"/>
      </w:pPr>
      <w:r w:rsidRPr="0048465E">
        <w:t xml:space="preserve">[8] </w:t>
      </w:r>
      <w:r w:rsidR="001F117D">
        <w:rPr>
          <w:rFonts w:ascii="Arial" w:hAnsi="Arial" w:cs="Arial"/>
          <w:color w:val="222222"/>
          <w:sz w:val="20"/>
          <w:szCs w:val="20"/>
          <w:shd w:val="clear" w:color="auto" w:fill="FFFFFF"/>
        </w:rPr>
        <w:t xml:space="preserve">Wright, S. W., Wrenn, K. D., Haynes, M., &amp; Haas, D. W. (2000). Prevalence and risk factors for multidrug resistant </w:t>
      </w:r>
      <w:proofErr w:type="spellStart"/>
      <w:r w:rsidR="001F117D">
        <w:rPr>
          <w:rFonts w:ascii="Arial" w:hAnsi="Arial" w:cs="Arial"/>
          <w:color w:val="222222"/>
          <w:sz w:val="20"/>
          <w:szCs w:val="20"/>
          <w:shd w:val="clear" w:color="auto" w:fill="FFFFFF"/>
        </w:rPr>
        <w:t>uropathogens</w:t>
      </w:r>
      <w:proofErr w:type="spellEnd"/>
      <w:r w:rsidR="001F117D">
        <w:rPr>
          <w:rFonts w:ascii="Arial" w:hAnsi="Arial" w:cs="Arial"/>
          <w:color w:val="222222"/>
          <w:sz w:val="20"/>
          <w:szCs w:val="20"/>
          <w:shd w:val="clear" w:color="auto" w:fill="FFFFFF"/>
        </w:rPr>
        <w:t xml:space="preserve"> in ED patients. </w:t>
      </w:r>
      <w:r w:rsidR="001F117D">
        <w:rPr>
          <w:rFonts w:ascii="Arial" w:hAnsi="Arial" w:cs="Arial"/>
          <w:i/>
          <w:iCs/>
          <w:color w:val="222222"/>
          <w:sz w:val="20"/>
          <w:szCs w:val="20"/>
          <w:shd w:val="clear" w:color="auto" w:fill="FFFFFF"/>
        </w:rPr>
        <w:t>The American journal of emergency medicine</w:t>
      </w:r>
      <w:r w:rsidR="001F117D">
        <w:rPr>
          <w:rFonts w:ascii="Arial" w:hAnsi="Arial" w:cs="Arial"/>
          <w:color w:val="222222"/>
          <w:sz w:val="20"/>
          <w:szCs w:val="20"/>
          <w:shd w:val="clear" w:color="auto" w:fill="FFFFFF"/>
        </w:rPr>
        <w:t>, </w:t>
      </w:r>
      <w:r w:rsidR="001F117D">
        <w:rPr>
          <w:rFonts w:ascii="Arial" w:hAnsi="Arial" w:cs="Arial"/>
          <w:i/>
          <w:iCs/>
          <w:color w:val="222222"/>
          <w:sz w:val="20"/>
          <w:szCs w:val="20"/>
          <w:shd w:val="clear" w:color="auto" w:fill="FFFFFF"/>
        </w:rPr>
        <w:t>18</w:t>
      </w:r>
      <w:r w:rsidR="001F117D">
        <w:rPr>
          <w:rFonts w:ascii="Arial" w:hAnsi="Arial" w:cs="Arial"/>
          <w:color w:val="222222"/>
          <w:sz w:val="20"/>
          <w:szCs w:val="20"/>
          <w:shd w:val="clear" w:color="auto" w:fill="FFFFFF"/>
        </w:rPr>
        <w:t>(2), 143-146.</w:t>
      </w:r>
    </w:p>
    <w:p w:rsidR="00134A30" w:rsidRPr="0048465E" w:rsidRDefault="00F857D2" w:rsidP="004569A7">
      <w:pPr>
        <w:pStyle w:val="BodyText"/>
        <w:spacing w:line="276" w:lineRule="auto"/>
        <w:jc w:val="both"/>
      </w:pPr>
      <w:r w:rsidRPr="0048465E">
        <w:lastRenderedPageBreak/>
        <w:t xml:space="preserve">[9] </w:t>
      </w:r>
      <w:proofErr w:type="spellStart"/>
      <w:r w:rsidR="001F117D">
        <w:rPr>
          <w:rFonts w:ascii="Arial" w:hAnsi="Arial" w:cs="Arial"/>
          <w:color w:val="222222"/>
          <w:sz w:val="20"/>
          <w:szCs w:val="20"/>
          <w:shd w:val="clear" w:color="auto" w:fill="FFFFFF"/>
        </w:rPr>
        <w:t>Asmat</w:t>
      </w:r>
      <w:proofErr w:type="spellEnd"/>
      <w:r w:rsidR="001F117D">
        <w:rPr>
          <w:rFonts w:ascii="Arial" w:hAnsi="Arial" w:cs="Arial"/>
          <w:color w:val="222222"/>
          <w:sz w:val="20"/>
          <w:szCs w:val="20"/>
          <w:shd w:val="clear" w:color="auto" w:fill="FFFFFF"/>
        </w:rPr>
        <w:t xml:space="preserve">, U., Mumtaz, M. Z., &amp; Malik, A. (2021). Rising prevalence of multidrug-resistant </w:t>
      </w:r>
      <w:proofErr w:type="spellStart"/>
      <w:r w:rsidR="001F117D">
        <w:rPr>
          <w:rFonts w:ascii="Arial" w:hAnsi="Arial" w:cs="Arial"/>
          <w:color w:val="222222"/>
          <w:sz w:val="20"/>
          <w:szCs w:val="20"/>
          <w:shd w:val="clear" w:color="auto" w:fill="FFFFFF"/>
        </w:rPr>
        <w:t>uropathogenic</w:t>
      </w:r>
      <w:proofErr w:type="spellEnd"/>
      <w:r w:rsidR="001F117D">
        <w:rPr>
          <w:rFonts w:ascii="Arial" w:hAnsi="Arial" w:cs="Arial"/>
          <w:color w:val="222222"/>
          <w:sz w:val="20"/>
          <w:szCs w:val="20"/>
          <w:shd w:val="clear" w:color="auto" w:fill="FFFFFF"/>
        </w:rPr>
        <w:t xml:space="preserve"> bacteria from urinary tract infections in pregnant women. </w:t>
      </w:r>
      <w:r w:rsidR="001F117D">
        <w:rPr>
          <w:rFonts w:ascii="Arial" w:hAnsi="Arial" w:cs="Arial"/>
          <w:i/>
          <w:iCs/>
          <w:color w:val="222222"/>
          <w:sz w:val="20"/>
          <w:szCs w:val="20"/>
          <w:shd w:val="clear" w:color="auto" w:fill="FFFFFF"/>
        </w:rPr>
        <w:t>Journal of Taibah University Medical Sciences</w:t>
      </w:r>
      <w:r w:rsidR="001F117D">
        <w:rPr>
          <w:rFonts w:ascii="Arial" w:hAnsi="Arial" w:cs="Arial"/>
          <w:color w:val="222222"/>
          <w:sz w:val="20"/>
          <w:szCs w:val="20"/>
          <w:shd w:val="clear" w:color="auto" w:fill="FFFFFF"/>
        </w:rPr>
        <w:t>, </w:t>
      </w:r>
      <w:r w:rsidR="001F117D">
        <w:rPr>
          <w:rFonts w:ascii="Arial" w:hAnsi="Arial" w:cs="Arial"/>
          <w:i/>
          <w:iCs/>
          <w:color w:val="222222"/>
          <w:sz w:val="20"/>
          <w:szCs w:val="20"/>
          <w:shd w:val="clear" w:color="auto" w:fill="FFFFFF"/>
        </w:rPr>
        <w:t>16</w:t>
      </w:r>
      <w:r w:rsidR="001F117D">
        <w:rPr>
          <w:rFonts w:ascii="Arial" w:hAnsi="Arial" w:cs="Arial"/>
          <w:color w:val="222222"/>
          <w:sz w:val="20"/>
          <w:szCs w:val="20"/>
          <w:shd w:val="clear" w:color="auto" w:fill="FFFFFF"/>
        </w:rPr>
        <w:t>(1), 102-111.</w:t>
      </w:r>
    </w:p>
    <w:p w:rsidR="001F117D" w:rsidRDefault="00F857D2" w:rsidP="001F117D">
      <w:pPr>
        <w:jc w:val="both"/>
        <w:rPr>
          <w:rFonts w:ascii="Arial" w:eastAsia="Times New Roman" w:hAnsi="Arial" w:cs="Arial"/>
          <w:sz w:val="18"/>
          <w:szCs w:val="18"/>
        </w:rPr>
      </w:pPr>
      <w:r w:rsidRPr="0048465E">
        <w:t xml:space="preserve">[10] </w:t>
      </w:r>
      <w:r w:rsidR="001F117D">
        <w:rPr>
          <w:rFonts w:ascii="Arial" w:eastAsia="Times New Roman" w:hAnsi="Arial" w:cs="Arial"/>
          <w:sz w:val="18"/>
          <w:szCs w:val="18"/>
        </w:rPr>
        <w:t xml:space="preserve">Magliano, E., </w:t>
      </w:r>
      <w:proofErr w:type="spellStart"/>
      <w:r w:rsidR="001F117D">
        <w:rPr>
          <w:rFonts w:ascii="Arial" w:eastAsia="Times New Roman" w:hAnsi="Arial" w:cs="Arial"/>
          <w:sz w:val="18"/>
          <w:szCs w:val="18"/>
        </w:rPr>
        <w:t>Grazioli</w:t>
      </w:r>
      <w:proofErr w:type="spellEnd"/>
      <w:r w:rsidR="001F117D">
        <w:rPr>
          <w:rFonts w:ascii="Arial" w:eastAsia="Times New Roman" w:hAnsi="Arial" w:cs="Arial"/>
          <w:sz w:val="18"/>
          <w:szCs w:val="18"/>
        </w:rPr>
        <w:t xml:space="preserve">, V., </w:t>
      </w:r>
      <w:proofErr w:type="spellStart"/>
      <w:r w:rsidR="001F117D">
        <w:rPr>
          <w:rFonts w:ascii="Arial" w:eastAsia="Times New Roman" w:hAnsi="Arial" w:cs="Arial"/>
          <w:sz w:val="18"/>
          <w:szCs w:val="18"/>
        </w:rPr>
        <w:t>Deflorio</w:t>
      </w:r>
      <w:proofErr w:type="spellEnd"/>
      <w:r w:rsidR="001F117D">
        <w:rPr>
          <w:rFonts w:ascii="Arial" w:eastAsia="Times New Roman" w:hAnsi="Arial" w:cs="Arial"/>
          <w:sz w:val="18"/>
          <w:szCs w:val="18"/>
        </w:rPr>
        <w:t xml:space="preserve">, L., </w:t>
      </w:r>
      <w:proofErr w:type="spellStart"/>
      <w:r w:rsidR="001F117D">
        <w:rPr>
          <w:rFonts w:ascii="Arial" w:eastAsia="Times New Roman" w:hAnsi="Arial" w:cs="Arial"/>
          <w:sz w:val="18"/>
          <w:szCs w:val="18"/>
        </w:rPr>
        <w:t>Leuci</w:t>
      </w:r>
      <w:proofErr w:type="spellEnd"/>
      <w:r w:rsidR="001F117D">
        <w:rPr>
          <w:rFonts w:ascii="Arial" w:eastAsia="Times New Roman" w:hAnsi="Arial" w:cs="Arial"/>
          <w:sz w:val="18"/>
          <w:szCs w:val="18"/>
        </w:rPr>
        <w:t xml:space="preserve">, A. I., </w:t>
      </w:r>
      <w:proofErr w:type="spellStart"/>
      <w:r w:rsidR="001F117D">
        <w:rPr>
          <w:rFonts w:ascii="Arial" w:eastAsia="Times New Roman" w:hAnsi="Arial" w:cs="Arial"/>
          <w:sz w:val="18"/>
          <w:szCs w:val="18"/>
        </w:rPr>
        <w:t>Mattina</w:t>
      </w:r>
      <w:proofErr w:type="spellEnd"/>
      <w:r w:rsidR="001F117D">
        <w:rPr>
          <w:rFonts w:ascii="Arial" w:eastAsia="Times New Roman" w:hAnsi="Arial" w:cs="Arial"/>
          <w:sz w:val="18"/>
          <w:szCs w:val="18"/>
        </w:rPr>
        <w:t xml:space="preserve">, R., Romano, P., &amp; </w:t>
      </w:r>
      <w:proofErr w:type="spellStart"/>
      <w:r w:rsidR="001F117D">
        <w:rPr>
          <w:rFonts w:ascii="Arial" w:eastAsia="Times New Roman" w:hAnsi="Arial" w:cs="Arial"/>
          <w:sz w:val="18"/>
          <w:szCs w:val="18"/>
        </w:rPr>
        <w:t>Cocuzza</w:t>
      </w:r>
      <w:proofErr w:type="spellEnd"/>
      <w:r w:rsidR="001F117D">
        <w:rPr>
          <w:rFonts w:ascii="Arial" w:eastAsia="Times New Roman" w:hAnsi="Arial" w:cs="Arial"/>
          <w:sz w:val="18"/>
          <w:szCs w:val="18"/>
        </w:rPr>
        <w:t>, C. E. (2012). Gender and age-dependent etiology of community-acquired urinary tract infections. The Scientific World Journal, 2012, 349597. https://doi.org/10.1100/2012/349597</w:t>
      </w:r>
    </w:p>
    <w:p w:rsidR="00134A30" w:rsidRPr="0048465E" w:rsidRDefault="00F857D2" w:rsidP="004569A7">
      <w:pPr>
        <w:pStyle w:val="BodyText"/>
        <w:spacing w:line="276" w:lineRule="auto"/>
        <w:jc w:val="both"/>
      </w:pPr>
      <w:r w:rsidRPr="0048465E">
        <w:t xml:space="preserve">[11] </w:t>
      </w:r>
      <w:proofErr w:type="spellStart"/>
      <w:r w:rsidR="001F117D">
        <w:rPr>
          <w:rFonts w:ascii="Arial" w:hAnsi="Arial" w:cs="Arial"/>
          <w:color w:val="222222"/>
          <w:sz w:val="20"/>
          <w:szCs w:val="20"/>
          <w:shd w:val="clear" w:color="auto" w:fill="FFFFFF"/>
        </w:rPr>
        <w:t>Eshetie</w:t>
      </w:r>
      <w:proofErr w:type="spellEnd"/>
      <w:r w:rsidR="001F117D">
        <w:rPr>
          <w:rFonts w:ascii="Arial" w:hAnsi="Arial" w:cs="Arial"/>
          <w:color w:val="222222"/>
          <w:sz w:val="20"/>
          <w:szCs w:val="20"/>
          <w:shd w:val="clear" w:color="auto" w:fill="FFFFFF"/>
        </w:rPr>
        <w:t xml:space="preserve">, S., </w:t>
      </w:r>
      <w:proofErr w:type="spellStart"/>
      <w:r w:rsidR="001F117D">
        <w:rPr>
          <w:rFonts w:ascii="Arial" w:hAnsi="Arial" w:cs="Arial"/>
          <w:color w:val="222222"/>
          <w:sz w:val="20"/>
          <w:szCs w:val="20"/>
          <w:shd w:val="clear" w:color="auto" w:fill="FFFFFF"/>
        </w:rPr>
        <w:t>Unakal</w:t>
      </w:r>
      <w:proofErr w:type="spellEnd"/>
      <w:r w:rsidR="001F117D">
        <w:rPr>
          <w:rFonts w:ascii="Arial" w:hAnsi="Arial" w:cs="Arial"/>
          <w:color w:val="222222"/>
          <w:sz w:val="20"/>
          <w:szCs w:val="20"/>
          <w:shd w:val="clear" w:color="auto" w:fill="FFFFFF"/>
        </w:rPr>
        <w:t xml:space="preserve">, C., </w:t>
      </w:r>
      <w:proofErr w:type="spellStart"/>
      <w:r w:rsidR="001F117D">
        <w:rPr>
          <w:rFonts w:ascii="Arial" w:hAnsi="Arial" w:cs="Arial"/>
          <w:color w:val="222222"/>
          <w:sz w:val="20"/>
          <w:szCs w:val="20"/>
          <w:shd w:val="clear" w:color="auto" w:fill="FFFFFF"/>
        </w:rPr>
        <w:t>Gelaw</w:t>
      </w:r>
      <w:proofErr w:type="spellEnd"/>
      <w:r w:rsidR="001F117D">
        <w:rPr>
          <w:rFonts w:ascii="Arial" w:hAnsi="Arial" w:cs="Arial"/>
          <w:color w:val="222222"/>
          <w:sz w:val="20"/>
          <w:szCs w:val="20"/>
          <w:shd w:val="clear" w:color="auto" w:fill="FFFFFF"/>
        </w:rPr>
        <w:t xml:space="preserve">, A., </w:t>
      </w:r>
      <w:proofErr w:type="spellStart"/>
      <w:r w:rsidR="001F117D">
        <w:rPr>
          <w:rFonts w:ascii="Arial" w:hAnsi="Arial" w:cs="Arial"/>
          <w:color w:val="222222"/>
          <w:sz w:val="20"/>
          <w:szCs w:val="20"/>
          <w:shd w:val="clear" w:color="auto" w:fill="FFFFFF"/>
        </w:rPr>
        <w:t>Ayelign</w:t>
      </w:r>
      <w:proofErr w:type="spellEnd"/>
      <w:r w:rsidR="001F117D">
        <w:rPr>
          <w:rFonts w:ascii="Arial" w:hAnsi="Arial" w:cs="Arial"/>
          <w:color w:val="222222"/>
          <w:sz w:val="20"/>
          <w:szCs w:val="20"/>
          <w:shd w:val="clear" w:color="auto" w:fill="FFFFFF"/>
        </w:rPr>
        <w:t xml:space="preserve">, B., Endris, M., &amp; </w:t>
      </w:r>
      <w:proofErr w:type="spellStart"/>
      <w:r w:rsidR="001F117D">
        <w:rPr>
          <w:rFonts w:ascii="Arial" w:hAnsi="Arial" w:cs="Arial"/>
          <w:color w:val="222222"/>
          <w:sz w:val="20"/>
          <w:szCs w:val="20"/>
          <w:shd w:val="clear" w:color="auto" w:fill="FFFFFF"/>
        </w:rPr>
        <w:t>Moges</w:t>
      </w:r>
      <w:proofErr w:type="spellEnd"/>
      <w:r w:rsidR="001F117D">
        <w:rPr>
          <w:rFonts w:ascii="Arial" w:hAnsi="Arial" w:cs="Arial"/>
          <w:color w:val="222222"/>
          <w:sz w:val="20"/>
          <w:szCs w:val="20"/>
          <w:shd w:val="clear" w:color="auto" w:fill="FFFFFF"/>
        </w:rPr>
        <w:t xml:space="preserve">, F. (2015). Multidrug resistant and </w:t>
      </w:r>
      <w:proofErr w:type="spellStart"/>
      <w:r w:rsidR="001F117D">
        <w:rPr>
          <w:rFonts w:ascii="Arial" w:hAnsi="Arial" w:cs="Arial"/>
          <w:color w:val="222222"/>
          <w:sz w:val="20"/>
          <w:szCs w:val="20"/>
          <w:shd w:val="clear" w:color="auto" w:fill="FFFFFF"/>
        </w:rPr>
        <w:t>carbapenemase</w:t>
      </w:r>
      <w:proofErr w:type="spellEnd"/>
      <w:r w:rsidR="001F117D">
        <w:rPr>
          <w:rFonts w:ascii="Arial" w:hAnsi="Arial" w:cs="Arial"/>
          <w:color w:val="222222"/>
          <w:sz w:val="20"/>
          <w:szCs w:val="20"/>
          <w:shd w:val="clear" w:color="auto" w:fill="FFFFFF"/>
        </w:rPr>
        <w:t xml:space="preserve"> producing Enterobacteriaceae among patients with urinary tract infection at referral Hospital, Northwest Ethiopia. </w:t>
      </w:r>
      <w:r w:rsidR="001F117D">
        <w:rPr>
          <w:rFonts w:ascii="Arial" w:hAnsi="Arial" w:cs="Arial"/>
          <w:i/>
          <w:iCs/>
          <w:color w:val="222222"/>
          <w:sz w:val="20"/>
          <w:szCs w:val="20"/>
          <w:shd w:val="clear" w:color="auto" w:fill="FFFFFF"/>
        </w:rPr>
        <w:t>Antimicrobial resistance and infection control</w:t>
      </w:r>
      <w:r w:rsidR="001F117D">
        <w:rPr>
          <w:rFonts w:ascii="Arial" w:hAnsi="Arial" w:cs="Arial"/>
          <w:color w:val="222222"/>
          <w:sz w:val="20"/>
          <w:szCs w:val="20"/>
          <w:shd w:val="clear" w:color="auto" w:fill="FFFFFF"/>
        </w:rPr>
        <w:t>, </w:t>
      </w:r>
      <w:r w:rsidR="001F117D">
        <w:rPr>
          <w:rFonts w:ascii="Arial" w:hAnsi="Arial" w:cs="Arial"/>
          <w:i/>
          <w:iCs/>
          <w:color w:val="222222"/>
          <w:sz w:val="20"/>
          <w:szCs w:val="20"/>
          <w:shd w:val="clear" w:color="auto" w:fill="FFFFFF"/>
        </w:rPr>
        <w:t>4</w:t>
      </w:r>
      <w:r w:rsidR="001F117D">
        <w:rPr>
          <w:rFonts w:ascii="Arial" w:hAnsi="Arial" w:cs="Arial"/>
          <w:color w:val="222222"/>
          <w:sz w:val="20"/>
          <w:szCs w:val="20"/>
          <w:shd w:val="clear" w:color="auto" w:fill="FFFFFF"/>
        </w:rPr>
        <w:t>(1), 12.</w:t>
      </w:r>
    </w:p>
    <w:p w:rsidR="00134A30" w:rsidRPr="0048465E" w:rsidRDefault="00F857D2" w:rsidP="004569A7">
      <w:pPr>
        <w:pStyle w:val="BodyText"/>
        <w:spacing w:line="276" w:lineRule="auto"/>
        <w:jc w:val="both"/>
      </w:pPr>
      <w:r w:rsidRPr="0048465E">
        <w:t xml:space="preserve">[12] </w:t>
      </w:r>
      <w:proofErr w:type="spellStart"/>
      <w:r w:rsidR="001F117D">
        <w:rPr>
          <w:rFonts w:ascii="Arial" w:hAnsi="Arial" w:cs="Arial"/>
          <w:color w:val="222222"/>
          <w:sz w:val="20"/>
          <w:szCs w:val="20"/>
          <w:shd w:val="clear" w:color="auto" w:fill="FFFFFF"/>
        </w:rPr>
        <w:t>Simeneh</w:t>
      </w:r>
      <w:proofErr w:type="spellEnd"/>
      <w:r w:rsidR="001F117D">
        <w:rPr>
          <w:rFonts w:ascii="Arial" w:hAnsi="Arial" w:cs="Arial"/>
          <w:color w:val="222222"/>
          <w:sz w:val="20"/>
          <w:szCs w:val="20"/>
          <w:shd w:val="clear" w:color="auto" w:fill="FFFFFF"/>
        </w:rPr>
        <w:t xml:space="preserve">, E., </w:t>
      </w:r>
      <w:proofErr w:type="spellStart"/>
      <w:r w:rsidR="001F117D">
        <w:rPr>
          <w:rFonts w:ascii="Arial" w:hAnsi="Arial" w:cs="Arial"/>
          <w:color w:val="222222"/>
          <w:sz w:val="20"/>
          <w:szCs w:val="20"/>
          <w:shd w:val="clear" w:color="auto" w:fill="FFFFFF"/>
        </w:rPr>
        <w:t>Gezimu</w:t>
      </w:r>
      <w:proofErr w:type="spellEnd"/>
      <w:r w:rsidR="001F117D">
        <w:rPr>
          <w:rFonts w:ascii="Arial" w:hAnsi="Arial" w:cs="Arial"/>
          <w:color w:val="222222"/>
          <w:sz w:val="20"/>
          <w:szCs w:val="20"/>
          <w:shd w:val="clear" w:color="auto" w:fill="FFFFFF"/>
        </w:rPr>
        <w:t xml:space="preserve">, T., </w:t>
      </w:r>
      <w:proofErr w:type="spellStart"/>
      <w:r w:rsidR="001F117D">
        <w:rPr>
          <w:rFonts w:ascii="Arial" w:hAnsi="Arial" w:cs="Arial"/>
          <w:color w:val="222222"/>
          <w:sz w:val="20"/>
          <w:szCs w:val="20"/>
          <w:shd w:val="clear" w:color="auto" w:fill="FFFFFF"/>
        </w:rPr>
        <w:t>Woldemariam</w:t>
      </w:r>
      <w:proofErr w:type="spellEnd"/>
      <w:r w:rsidR="001F117D">
        <w:rPr>
          <w:rFonts w:ascii="Arial" w:hAnsi="Arial" w:cs="Arial"/>
          <w:color w:val="222222"/>
          <w:sz w:val="20"/>
          <w:szCs w:val="20"/>
          <w:shd w:val="clear" w:color="auto" w:fill="FFFFFF"/>
        </w:rPr>
        <w:t xml:space="preserve">, M., &amp; </w:t>
      </w:r>
      <w:proofErr w:type="spellStart"/>
      <w:r w:rsidR="001F117D">
        <w:rPr>
          <w:rFonts w:ascii="Arial" w:hAnsi="Arial" w:cs="Arial"/>
          <w:color w:val="222222"/>
          <w:sz w:val="20"/>
          <w:szCs w:val="20"/>
          <w:shd w:val="clear" w:color="auto" w:fill="FFFFFF"/>
        </w:rPr>
        <w:t>Alelign</w:t>
      </w:r>
      <w:proofErr w:type="spellEnd"/>
      <w:r w:rsidR="001F117D">
        <w:rPr>
          <w:rFonts w:ascii="Arial" w:hAnsi="Arial" w:cs="Arial"/>
          <w:color w:val="222222"/>
          <w:sz w:val="20"/>
          <w:szCs w:val="20"/>
          <w:shd w:val="clear" w:color="auto" w:fill="FFFFFF"/>
        </w:rPr>
        <w:t xml:space="preserve">, D. (2022). Magnitude of multidrug-resistant bacterial </w:t>
      </w:r>
      <w:proofErr w:type="spellStart"/>
      <w:r w:rsidR="001F117D">
        <w:rPr>
          <w:rFonts w:ascii="Arial" w:hAnsi="Arial" w:cs="Arial"/>
          <w:color w:val="222222"/>
          <w:sz w:val="20"/>
          <w:szCs w:val="20"/>
          <w:shd w:val="clear" w:color="auto" w:fill="FFFFFF"/>
        </w:rPr>
        <w:t>uropathogens</w:t>
      </w:r>
      <w:proofErr w:type="spellEnd"/>
      <w:r w:rsidR="001F117D">
        <w:rPr>
          <w:rFonts w:ascii="Arial" w:hAnsi="Arial" w:cs="Arial"/>
          <w:color w:val="222222"/>
          <w:sz w:val="20"/>
          <w:szCs w:val="20"/>
          <w:shd w:val="clear" w:color="auto" w:fill="FFFFFF"/>
        </w:rPr>
        <w:t xml:space="preserve"> and associated factors in urinary tract infection suspected adult HIV-positive patients in southern Ethiopia. </w:t>
      </w:r>
      <w:r w:rsidR="001F117D">
        <w:rPr>
          <w:rFonts w:ascii="Arial" w:hAnsi="Arial" w:cs="Arial"/>
          <w:i/>
          <w:iCs/>
          <w:color w:val="222222"/>
          <w:sz w:val="20"/>
          <w:szCs w:val="20"/>
          <w:shd w:val="clear" w:color="auto" w:fill="FFFFFF"/>
        </w:rPr>
        <w:t>The Open Microbiology Journal</w:t>
      </w:r>
      <w:r w:rsidR="001F117D">
        <w:rPr>
          <w:rFonts w:ascii="Arial" w:hAnsi="Arial" w:cs="Arial"/>
          <w:color w:val="222222"/>
          <w:sz w:val="20"/>
          <w:szCs w:val="20"/>
          <w:shd w:val="clear" w:color="auto" w:fill="FFFFFF"/>
        </w:rPr>
        <w:t>, </w:t>
      </w:r>
      <w:r w:rsidR="001F117D">
        <w:rPr>
          <w:rFonts w:ascii="Arial" w:hAnsi="Arial" w:cs="Arial"/>
          <w:i/>
          <w:iCs/>
          <w:color w:val="222222"/>
          <w:sz w:val="20"/>
          <w:szCs w:val="20"/>
          <w:shd w:val="clear" w:color="auto" w:fill="FFFFFF"/>
        </w:rPr>
        <w:t>16</w:t>
      </w:r>
      <w:r w:rsidR="001F117D">
        <w:rPr>
          <w:rFonts w:ascii="Arial" w:hAnsi="Arial" w:cs="Arial"/>
          <w:color w:val="222222"/>
          <w:sz w:val="20"/>
          <w:szCs w:val="20"/>
          <w:shd w:val="clear" w:color="auto" w:fill="FFFFFF"/>
        </w:rPr>
        <w:t>(1).</w:t>
      </w:r>
    </w:p>
    <w:p w:rsidR="00134A30" w:rsidRPr="0048465E" w:rsidRDefault="00F857D2" w:rsidP="004569A7">
      <w:pPr>
        <w:pStyle w:val="BodyText"/>
        <w:spacing w:line="276" w:lineRule="auto"/>
        <w:jc w:val="both"/>
      </w:pPr>
      <w:r w:rsidRPr="0048465E">
        <w:t xml:space="preserve">[13] </w:t>
      </w:r>
      <w:r w:rsidR="001F117D">
        <w:rPr>
          <w:rFonts w:ascii="Arial" w:eastAsia="Times New Roman" w:hAnsi="Arial" w:cs="Arial"/>
          <w:sz w:val="18"/>
          <w:szCs w:val="18"/>
        </w:rPr>
        <w:t>Livermore, D. M. (2012). Current epidemiology and growing resistance of Gram-Negative Pathogens. Korean Journal of Internal Medicine, 27(2), 128–142. https://doi.org/10.3904/kjim.2012.27.2.128</w:t>
      </w:r>
    </w:p>
    <w:p w:rsidR="00134A30" w:rsidRPr="0048465E" w:rsidRDefault="00F857D2" w:rsidP="004569A7">
      <w:pPr>
        <w:pStyle w:val="BodyText"/>
        <w:spacing w:line="276" w:lineRule="auto"/>
        <w:jc w:val="both"/>
      </w:pPr>
      <w:r w:rsidRPr="0048465E">
        <w:t xml:space="preserve">[14] </w:t>
      </w:r>
      <w:r w:rsidR="001F117D">
        <w:rPr>
          <w:rFonts w:ascii="Arial" w:hAnsi="Arial" w:cs="Arial"/>
          <w:color w:val="222222"/>
          <w:sz w:val="20"/>
          <w:szCs w:val="20"/>
          <w:shd w:val="clear" w:color="auto" w:fill="FFFFFF"/>
        </w:rPr>
        <w:t xml:space="preserve">Ahmed, S. S., Shariq, A., </w:t>
      </w:r>
      <w:proofErr w:type="spellStart"/>
      <w:r w:rsidR="001F117D">
        <w:rPr>
          <w:rFonts w:ascii="Arial" w:hAnsi="Arial" w:cs="Arial"/>
          <w:color w:val="222222"/>
          <w:sz w:val="20"/>
          <w:szCs w:val="20"/>
          <w:shd w:val="clear" w:color="auto" w:fill="FFFFFF"/>
        </w:rPr>
        <w:t>Alsalloom</w:t>
      </w:r>
      <w:proofErr w:type="spellEnd"/>
      <w:r w:rsidR="001F117D">
        <w:rPr>
          <w:rFonts w:ascii="Arial" w:hAnsi="Arial" w:cs="Arial"/>
          <w:color w:val="222222"/>
          <w:sz w:val="20"/>
          <w:szCs w:val="20"/>
          <w:shd w:val="clear" w:color="auto" w:fill="FFFFFF"/>
        </w:rPr>
        <w:t xml:space="preserve">, A. A., </w:t>
      </w:r>
      <w:proofErr w:type="spellStart"/>
      <w:r w:rsidR="001F117D">
        <w:rPr>
          <w:rFonts w:ascii="Arial" w:hAnsi="Arial" w:cs="Arial"/>
          <w:color w:val="222222"/>
          <w:sz w:val="20"/>
          <w:szCs w:val="20"/>
          <w:shd w:val="clear" w:color="auto" w:fill="FFFFFF"/>
        </w:rPr>
        <w:t>Babikir</w:t>
      </w:r>
      <w:proofErr w:type="spellEnd"/>
      <w:r w:rsidR="001F117D">
        <w:rPr>
          <w:rFonts w:ascii="Arial" w:hAnsi="Arial" w:cs="Arial"/>
          <w:color w:val="222222"/>
          <w:sz w:val="20"/>
          <w:szCs w:val="20"/>
          <w:shd w:val="clear" w:color="auto" w:fill="FFFFFF"/>
        </w:rPr>
        <w:t xml:space="preserve">, I. H., &amp; </w:t>
      </w:r>
      <w:proofErr w:type="spellStart"/>
      <w:r w:rsidR="001F117D">
        <w:rPr>
          <w:rFonts w:ascii="Arial" w:hAnsi="Arial" w:cs="Arial"/>
          <w:color w:val="222222"/>
          <w:sz w:val="20"/>
          <w:szCs w:val="20"/>
          <w:shd w:val="clear" w:color="auto" w:fill="FFFFFF"/>
        </w:rPr>
        <w:t>Alhomoud</w:t>
      </w:r>
      <w:proofErr w:type="spellEnd"/>
      <w:r w:rsidR="001F117D">
        <w:rPr>
          <w:rFonts w:ascii="Arial" w:hAnsi="Arial" w:cs="Arial"/>
          <w:color w:val="222222"/>
          <w:sz w:val="20"/>
          <w:szCs w:val="20"/>
          <w:shd w:val="clear" w:color="auto" w:fill="FFFFFF"/>
        </w:rPr>
        <w:t xml:space="preserve">, B. N. (2019). </w:t>
      </w:r>
      <w:proofErr w:type="spellStart"/>
      <w:r w:rsidR="001F117D">
        <w:rPr>
          <w:rFonts w:ascii="Arial" w:hAnsi="Arial" w:cs="Arial"/>
          <w:color w:val="222222"/>
          <w:sz w:val="20"/>
          <w:szCs w:val="20"/>
          <w:shd w:val="clear" w:color="auto" w:fill="FFFFFF"/>
        </w:rPr>
        <w:t>Uropathogens</w:t>
      </w:r>
      <w:proofErr w:type="spellEnd"/>
      <w:r w:rsidR="001F117D">
        <w:rPr>
          <w:rFonts w:ascii="Arial" w:hAnsi="Arial" w:cs="Arial"/>
          <w:color w:val="222222"/>
          <w:sz w:val="20"/>
          <w:szCs w:val="20"/>
          <w:shd w:val="clear" w:color="auto" w:fill="FFFFFF"/>
        </w:rPr>
        <w:t xml:space="preserve"> and their antimicrobial resistance patterns: Relationship with urinary tract infections. </w:t>
      </w:r>
      <w:r w:rsidR="001F117D">
        <w:rPr>
          <w:rFonts w:ascii="Arial" w:hAnsi="Arial" w:cs="Arial"/>
          <w:i/>
          <w:iCs/>
          <w:color w:val="222222"/>
          <w:sz w:val="20"/>
          <w:szCs w:val="20"/>
          <w:shd w:val="clear" w:color="auto" w:fill="FFFFFF"/>
        </w:rPr>
        <w:t>International journal of health sciences</w:t>
      </w:r>
      <w:r w:rsidR="001F117D">
        <w:rPr>
          <w:rFonts w:ascii="Arial" w:hAnsi="Arial" w:cs="Arial"/>
          <w:color w:val="222222"/>
          <w:sz w:val="20"/>
          <w:szCs w:val="20"/>
          <w:shd w:val="clear" w:color="auto" w:fill="FFFFFF"/>
        </w:rPr>
        <w:t>, </w:t>
      </w:r>
      <w:r w:rsidR="001F117D">
        <w:rPr>
          <w:rFonts w:ascii="Arial" w:hAnsi="Arial" w:cs="Arial"/>
          <w:i/>
          <w:iCs/>
          <w:color w:val="222222"/>
          <w:sz w:val="20"/>
          <w:szCs w:val="20"/>
          <w:shd w:val="clear" w:color="auto" w:fill="FFFFFF"/>
        </w:rPr>
        <w:t>13</w:t>
      </w:r>
      <w:r w:rsidR="001F117D">
        <w:rPr>
          <w:rFonts w:ascii="Arial" w:hAnsi="Arial" w:cs="Arial"/>
          <w:color w:val="222222"/>
          <w:sz w:val="20"/>
          <w:szCs w:val="20"/>
          <w:shd w:val="clear" w:color="auto" w:fill="FFFFFF"/>
        </w:rPr>
        <w:t>(2), 48.</w:t>
      </w:r>
    </w:p>
    <w:p w:rsidR="00134A30" w:rsidRPr="0048465E" w:rsidRDefault="00F857D2" w:rsidP="004569A7">
      <w:pPr>
        <w:pStyle w:val="BodyText"/>
        <w:spacing w:line="276" w:lineRule="auto"/>
        <w:jc w:val="both"/>
      </w:pPr>
      <w:r w:rsidRPr="0048465E">
        <w:t xml:space="preserve">[15] </w:t>
      </w:r>
      <w:r w:rsidR="001F117D">
        <w:rPr>
          <w:rFonts w:ascii="Arial" w:hAnsi="Arial" w:cs="Arial"/>
          <w:color w:val="222222"/>
          <w:sz w:val="20"/>
          <w:szCs w:val="20"/>
          <w:shd w:val="clear" w:color="auto" w:fill="FFFFFF"/>
        </w:rPr>
        <w:t>Nicolle, L. E. (2002). Resistant pathogens in urinary tract infections. </w:t>
      </w:r>
      <w:r w:rsidR="001F117D">
        <w:rPr>
          <w:rFonts w:ascii="Arial" w:hAnsi="Arial" w:cs="Arial"/>
          <w:i/>
          <w:iCs/>
          <w:color w:val="222222"/>
          <w:sz w:val="20"/>
          <w:szCs w:val="20"/>
          <w:shd w:val="clear" w:color="auto" w:fill="FFFFFF"/>
        </w:rPr>
        <w:t xml:space="preserve">Journal of the American </w:t>
      </w:r>
      <w:proofErr w:type="gramStart"/>
      <w:r w:rsidR="001F117D">
        <w:rPr>
          <w:rFonts w:ascii="Arial" w:hAnsi="Arial" w:cs="Arial"/>
          <w:i/>
          <w:iCs/>
          <w:color w:val="222222"/>
          <w:sz w:val="20"/>
          <w:szCs w:val="20"/>
          <w:shd w:val="clear" w:color="auto" w:fill="FFFFFF"/>
        </w:rPr>
        <w:t>geriatrics</w:t>
      </w:r>
      <w:proofErr w:type="gramEnd"/>
      <w:r w:rsidR="001F117D">
        <w:rPr>
          <w:rFonts w:ascii="Arial" w:hAnsi="Arial" w:cs="Arial"/>
          <w:i/>
          <w:iCs/>
          <w:color w:val="222222"/>
          <w:sz w:val="20"/>
          <w:szCs w:val="20"/>
          <w:shd w:val="clear" w:color="auto" w:fill="FFFFFF"/>
        </w:rPr>
        <w:t xml:space="preserve"> society</w:t>
      </w:r>
      <w:r w:rsidR="001F117D">
        <w:rPr>
          <w:rFonts w:ascii="Arial" w:hAnsi="Arial" w:cs="Arial"/>
          <w:color w:val="222222"/>
          <w:sz w:val="20"/>
          <w:szCs w:val="20"/>
          <w:shd w:val="clear" w:color="auto" w:fill="FFFFFF"/>
        </w:rPr>
        <w:t>, </w:t>
      </w:r>
      <w:r w:rsidR="001F117D">
        <w:rPr>
          <w:rFonts w:ascii="Arial" w:hAnsi="Arial" w:cs="Arial"/>
          <w:i/>
          <w:iCs/>
          <w:color w:val="222222"/>
          <w:sz w:val="20"/>
          <w:szCs w:val="20"/>
          <w:shd w:val="clear" w:color="auto" w:fill="FFFFFF"/>
        </w:rPr>
        <w:t>50</w:t>
      </w:r>
      <w:r w:rsidR="001F117D">
        <w:rPr>
          <w:rFonts w:ascii="Arial" w:hAnsi="Arial" w:cs="Arial"/>
          <w:color w:val="222222"/>
          <w:sz w:val="20"/>
          <w:szCs w:val="20"/>
          <w:shd w:val="clear" w:color="auto" w:fill="FFFFFF"/>
        </w:rPr>
        <w:t>, 230-235.</w:t>
      </w:r>
    </w:p>
    <w:p w:rsidR="00134A30" w:rsidRPr="0048465E" w:rsidRDefault="00F857D2" w:rsidP="004569A7">
      <w:pPr>
        <w:pStyle w:val="BodyText"/>
        <w:spacing w:line="276" w:lineRule="auto"/>
        <w:jc w:val="both"/>
      </w:pPr>
      <w:r w:rsidRPr="0048465E">
        <w:t xml:space="preserve">[16] </w:t>
      </w:r>
      <w:proofErr w:type="spellStart"/>
      <w:r w:rsidR="001F117D">
        <w:rPr>
          <w:rFonts w:ascii="Arial" w:hAnsi="Arial" w:cs="Arial"/>
          <w:color w:val="222222"/>
          <w:sz w:val="20"/>
          <w:szCs w:val="20"/>
          <w:shd w:val="clear" w:color="auto" w:fill="FFFFFF"/>
        </w:rPr>
        <w:t>Sah</w:t>
      </w:r>
      <w:proofErr w:type="spellEnd"/>
      <w:r w:rsidR="001F117D">
        <w:rPr>
          <w:rFonts w:ascii="Arial" w:hAnsi="Arial" w:cs="Arial"/>
          <w:color w:val="222222"/>
          <w:sz w:val="20"/>
          <w:szCs w:val="20"/>
          <w:shd w:val="clear" w:color="auto" w:fill="FFFFFF"/>
        </w:rPr>
        <w:t xml:space="preserve">, B. K., </w:t>
      </w:r>
      <w:proofErr w:type="spellStart"/>
      <w:r w:rsidR="001F117D">
        <w:rPr>
          <w:rFonts w:ascii="Arial" w:hAnsi="Arial" w:cs="Arial"/>
          <w:color w:val="222222"/>
          <w:sz w:val="20"/>
          <w:szCs w:val="20"/>
          <w:shd w:val="clear" w:color="auto" w:fill="FFFFFF"/>
        </w:rPr>
        <w:t>Dahal</w:t>
      </w:r>
      <w:proofErr w:type="spellEnd"/>
      <w:r w:rsidR="001F117D">
        <w:rPr>
          <w:rFonts w:ascii="Arial" w:hAnsi="Arial" w:cs="Arial"/>
          <w:color w:val="222222"/>
          <w:sz w:val="20"/>
          <w:szCs w:val="20"/>
          <w:shd w:val="clear" w:color="auto" w:fill="FFFFFF"/>
        </w:rPr>
        <w:t xml:space="preserve">, P., Mallik, S. K., Paul, A. D., </w:t>
      </w:r>
      <w:proofErr w:type="spellStart"/>
      <w:r w:rsidR="001F117D">
        <w:rPr>
          <w:rFonts w:ascii="Arial" w:hAnsi="Arial" w:cs="Arial"/>
          <w:color w:val="222222"/>
          <w:sz w:val="20"/>
          <w:szCs w:val="20"/>
          <w:shd w:val="clear" w:color="auto" w:fill="FFFFFF"/>
        </w:rPr>
        <w:t>Mainali</w:t>
      </w:r>
      <w:proofErr w:type="spellEnd"/>
      <w:r w:rsidR="001F117D">
        <w:rPr>
          <w:rFonts w:ascii="Arial" w:hAnsi="Arial" w:cs="Arial"/>
          <w:color w:val="222222"/>
          <w:sz w:val="20"/>
          <w:szCs w:val="20"/>
          <w:shd w:val="clear" w:color="auto" w:fill="FFFFFF"/>
        </w:rPr>
        <w:t xml:space="preserve">, U., Shah, C., &amp; </w:t>
      </w:r>
      <w:proofErr w:type="spellStart"/>
      <w:r w:rsidR="001F117D">
        <w:rPr>
          <w:rFonts w:ascii="Arial" w:hAnsi="Arial" w:cs="Arial"/>
          <w:color w:val="222222"/>
          <w:sz w:val="20"/>
          <w:szCs w:val="20"/>
          <w:shd w:val="clear" w:color="auto" w:fill="FFFFFF"/>
        </w:rPr>
        <w:t>Dahal</w:t>
      </w:r>
      <w:proofErr w:type="spellEnd"/>
      <w:r w:rsidR="001F117D">
        <w:rPr>
          <w:rFonts w:ascii="Arial" w:hAnsi="Arial" w:cs="Arial"/>
          <w:color w:val="222222"/>
          <w:sz w:val="20"/>
          <w:szCs w:val="20"/>
          <w:shd w:val="clear" w:color="auto" w:fill="FFFFFF"/>
        </w:rPr>
        <w:t xml:space="preserve">, P. (2023). </w:t>
      </w:r>
      <w:proofErr w:type="spellStart"/>
      <w:r w:rsidR="001F117D">
        <w:rPr>
          <w:rFonts w:ascii="Arial" w:hAnsi="Arial" w:cs="Arial"/>
          <w:color w:val="222222"/>
          <w:sz w:val="20"/>
          <w:szCs w:val="20"/>
          <w:shd w:val="clear" w:color="auto" w:fill="FFFFFF"/>
        </w:rPr>
        <w:t>Uropathogens</w:t>
      </w:r>
      <w:proofErr w:type="spellEnd"/>
      <w:r w:rsidR="001F117D">
        <w:rPr>
          <w:rFonts w:ascii="Arial" w:hAnsi="Arial" w:cs="Arial"/>
          <w:color w:val="222222"/>
          <w:sz w:val="20"/>
          <w:szCs w:val="20"/>
          <w:shd w:val="clear" w:color="auto" w:fill="FFFFFF"/>
        </w:rPr>
        <w:t xml:space="preserve"> and their antimicrobial-resistant pattern among suspected urinary tract infections patients in eastern Nepal: A hospital inpatients-based study. </w:t>
      </w:r>
      <w:r w:rsidR="001F117D">
        <w:rPr>
          <w:rFonts w:ascii="Arial" w:hAnsi="Arial" w:cs="Arial"/>
          <w:i/>
          <w:iCs/>
          <w:color w:val="222222"/>
          <w:sz w:val="20"/>
          <w:szCs w:val="20"/>
          <w:shd w:val="clear" w:color="auto" w:fill="FFFFFF"/>
        </w:rPr>
        <w:t>SAGE Open Medicine</w:t>
      </w:r>
      <w:r w:rsidR="001F117D">
        <w:rPr>
          <w:rFonts w:ascii="Arial" w:hAnsi="Arial" w:cs="Arial"/>
          <w:color w:val="222222"/>
          <w:sz w:val="20"/>
          <w:szCs w:val="20"/>
          <w:shd w:val="clear" w:color="auto" w:fill="FFFFFF"/>
        </w:rPr>
        <w:t>, </w:t>
      </w:r>
      <w:r w:rsidR="001F117D">
        <w:rPr>
          <w:rFonts w:ascii="Arial" w:hAnsi="Arial" w:cs="Arial"/>
          <w:i/>
          <w:iCs/>
          <w:color w:val="222222"/>
          <w:sz w:val="20"/>
          <w:szCs w:val="20"/>
          <w:shd w:val="clear" w:color="auto" w:fill="FFFFFF"/>
        </w:rPr>
        <w:t>11</w:t>
      </w:r>
      <w:r w:rsidR="001F117D">
        <w:rPr>
          <w:rFonts w:ascii="Arial" w:hAnsi="Arial" w:cs="Arial"/>
          <w:color w:val="222222"/>
          <w:sz w:val="20"/>
          <w:szCs w:val="20"/>
          <w:shd w:val="clear" w:color="auto" w:fill="FFFFFF"/>
        </w:rPr>
        <w:t>, 20503121231220821.</w:t>
      </w:r>
    </w:p>
    <w:p w:rsidR="00134A30" w:rsidRPr="0048465E" w:rsidRDefault="00F857D2" w:rsidP="004569A7">
      <w:pPr>
        <w:pStyle w:val="BodyText"/>
        <w:spacing w:line="276" w:lineRule="auto"/>
        <w:jc w:val="both"/>
      </w:pPr>
      <w:r w:rsidRPr="0048465E">
        <w:t xml:space="preserve">[17] </w:t>
      </w:r>
      <w:r w:rsidR="001F117D">
        <w:rPr>
          <w:rFonts w:ascii="Arial" w:hAnsi="Arial" w:cs="Arial"/>
          <w:color w:val="222222"/>
          <w:sz w:val="20"/>
          <w:szCs w:val="20"/>
          <w:shd w:val="clear" w:color="auto" w:fill="FFFFFF"/>
        </w:rPr>
        <w:t xml:space="preserve">Mishra, M. P., </w:t>
      </w:r>
      <w:proofErr w:type="spellStart"/>
      <w:r w:rsidR="001F117D">
        <w:rPr>
          <w:rFonts w:ascii="Arial" w:hAnsi="Arial" w:cs="Arial"/>
          <w:color w:val="222222"/>
          <w:sz w:val="20"/>
          <w:szCs w:val="20"/>
          <w:shd w:val="clear" w:color="auto" w:fill="FFFFFF"/>
        </w:rPr>
        <w:t>Debata</w:t>
      </w:r>
      <w:proofErr w:type="spellEnd"/>
      <w:r w:rsidR="001F117D">
        <w:rPr>
          <w:rFonts w:ascii="Arial" w:hAnsi="Arial" w:cs="Arial"/>
          <w:color w:val="222222"/>
          <w:sz w:val="20"/>
          <w:szCs w:val="20"/>
          <w:shd w:val="clear" w:color="auto" w:fill="FFFFFF"/>
        </w:rPr>
        <w:t xml:space="preserve">, N. K., &amp; </w:t>
      </w:r>
      <w:proofErr w:type="spellStart"/>
      <w:r w:rsidR="001F117D">
        <w:rPr>
          <w:rFonts w:ascii="Arial" w:hAnsi="Arial" w:cs="Arial"/>
          <w:color w:val="222222"/>
          <w:sz w:val="20"/>
          <w:szCs w:val="20"/>
          <w:shd w:val="clear" w:color="auto" w:fill="FFFFFF"/>
        </w:rPr>
        <w:t>Padhy</w:t>
      </w:r>
      <w:proofErr w:type="spellEnd"/>
      <w:r w:rsidR="001F117D">
        <w:rPr>
          <w:rFonts w:ascii="Arial" w:hAnsi="Arial" w:cs="Arial"/>
          <w:color w:val="222222"/>
          <w:sz w:val="20"/>
          <w:szCs w:val="20"/>
          <w:shd w:val="clear" w:color="auto" w:fill="FFFFFF"/>
        </w:rPr>
        <w:t xml:space="preserve">, R. N. (2013). Surveillance of multidrug resistant </w:t>
      </w:r>
      <w:proofErr w:type="spellStart"/>
      <w:r w:rsidR="001F117D">
        <w:rPr>
          <w:rFonts w:ascii="Arial" w:hAnsi="Arial" w:cs="Arial"/>
          <w:color w:val="222222"/>
          <w:sz w:val="20"/>
          <w:szCs w:val="20"/>
          <w:shd w:val="clear" w:color="auto" w:fill="FFFFFF"/>
        </w:rPr>
        <w:t>uropathogenic</w:t>
      </w:r>
      <w:proofErr w:type="spellEnd"/>
      <w:r w:rsidR="001F117D">
        <w:rPr>
          <w:rFonts w:ascii="Arial" w:hAnsi="Arial" w:cs="Arial"/>
          <w:color w:val="222222"/>
          <w:sz w:val="20"/>
          <w:szCs w:val="20"/>
          <w:shd w:val="clear" w:color="auto" w:fill="FFFFFF"/>
        </w:rPr>
        <w:t xml:space="preserve"> bacteria in hospitalized patients in Indian. </w:t>
      </w:r>
      <w:r w:rsidR="001F117D">
        <w:rPr>
          <w:rFonts w:ascii="Arial" w:hAnsi="Arial" w:cs="Arial"/>
          <w:i/>
          <w:iCs/>
          <w:color w:val="222222"/>
          <w:sz w:val="20"/>
          <w:szCs w:val="20"/>
          <w:shd w:val="clear" w:color="auto" w:fill="FFFFFF"/>
        </w:rPr>
        <w:t>Asian Pacific journal of tropical biomedicine</w:t>
      </w:r>
      <w:r w:rsidR="001F117D">
        <w:rPr>
          <w:rFonts w:ascii="Arial" w:hAnsi="Arial" w:cs="Arial"/>
          <w:color w:val="222222"/>
          <w:sz w:val="20"/>
          <w:szCs w:val="20"/>
          <w:shd w:val="clear" w:color="auto" w:fill="FFFFFF"/>
        </w:rPr>
        <w:t>, </w:t>
      </w:r>
      <w:r w:rsidR="001F117D">
        <w:rPr>
          <w:rFonts w:ascii="Arial" w:hAnsi="Arial" w:cs="Arial"/>
          <w:i/>
          <w:iCs/>
          <w:color w:val="222222"/>
          <w:sz w:val="20"/>
          <w:szCs w:val="20"/>
          <w:shd w:val="clear" w:color="auto" w:fill="FFFFFF"/>
        </w:rPr>
        <w:t>3</w:t>
      </w:r>
      <w:r w:rsidR="001F117D">
        <w:rPr>
          <w:rFonts w:ascii="Arial" w:hAnsi="Arial" w:cs="Arial"/>
          <w:color w:val="222222"/>
          <w:sz w:val="20"/>
          <w:szCs w:val="20"/>
          <w:shd w:val="clear" w:color="auto" w:fill="FFFFFF"/>
        </w:rPr>
        <w:t>(4), 315-324.</w:t>
      </w:r>
    </w:p>
    <w:p w:rsidR="00134A30" w:rsidRPr="0048465E" w:rsidRDefault="00F857D2" w:rsidP="004569A7">
      <w:pPr>
        <w:pStyle w:val="BodyText"/>
        <w:spacing w:line="276" w:lineRule="auto"/>
        <w:jc w:val="both"/>
      </w:pPr>
      <w:r w:rsidRPr="0048465E">
        <w:t xml:space="preserve">[18] </w:t>
      </w:r>
      <w:r w:rsidR="001F117D">
        <w:rPr>
          <w:rFonts w:ascii="Arial" w:eastAsia="Times New Roman" w:hAnsi="Arial" w:cs="Arial"/>
          <w:sz w:val="18"/>
          <w:szCs w:val="18"/>
        </w:rPr>
        <w:t>Shallcross, L. J., &amp; Davies, D. S. C. (2014). Antibiotic overuse: A key driver of antimicrobial resistance. British Journal of General Practice, 64(629), 604–605. https://doi.org/10.3399/bjgp14X682561</w:t>
      </w:r>
    </w:p>
    <w:p w:rsidR="001F117D" w:rsidRDefault="00F857D2" w:rsidP="001F117D">
      <w:pPr>
        <w:jc w:val="both"/>
        <w:rPr>
          <w:rFonts w:ascii="Arial" w:eastAsia="Times New Roman" w:hAnsi="Arial" w:cs="Arial"/>
          <w:sz w:val="18"/>
          <w:szCs w:val="18"/>
        </w:rPr>
      </w:pPr>
      <w:r w:rsidRPr="0048465E">
        <w:t xml:space="preserve">[19] </w:t>
      </w:r>
      <w:r w:rsidR="001F117D">
        <w:rPr>
          <w:rFonts w:ascii="Arial" w:eastAsia="Times New Roman" w:hAnsi="Arial" w:cs="Arial"/>
          <w:sz w:val="18"/>
          <w:szCs w:val="18"/>
        </w:rPr>
        <w:t>Clinical and Laboratory Standards Institute. (2023). Performance Standards for Antimicrobial Susceptibility Testing (33rd ed., CLSI supplement M100). https://clsi.org/</w:t>
      </w:r>
    </w:p>
    <w:p w:rsidR="001F117D" w:rsidRDefault="00F857D2" w:rsidP="001F117D">
      <w:pPr>
        <w:jc w:val="both"/>
        <w:rPr>
          <w:rFonts w:ascii="Arial" w:eastAsia="Times New Roman" w:hAnsi="Arial" w:cs="Arial"/>
          <w:sz w:val="18"/>
          <w:szCs w:val="18"/>
        </w:rPr>
      </w:pPr>
      <w:r w:rsidRPr="0048465E">
        <w:t xml:space="preserve">[20] </w:t>
      </w:r>
      <w:proofErr w:type="spellStart"/>
      <w:r w:rsidR="001F117D">
        <w:rPr>
          <w:rFonts w:ascii="Arial" w:eastAsia="Times New Roman" w:hAnsi="Arial" w:cs="Arial"/>
          <w:sz w:val="18"/>
          <w:szCs w:val="18"/>
        </w:rPr>
        <w:t>Cheesbrough</w:t>
      </w:r>
      <w:proofErr w:type="spellEnd"/>
      <w:r w:rsidR="001F117D">
        <w:rPr>
          <w:rFonts w:ascii="Arial" w:eastAsia="Times New Roman" w:hAnsi="Arial" w:cs="Arial"/>
          <w:sz w:val="18"/>
          <w:szCs w:val="18"/>
        </w:rPr>
        <w:t>, M. (2005). District Laboratory Practice in Tropical Countries. Cambridge University Press. https://doi.org/10.1017/CBO9780511543463</w:t>
      </w:r>
    </w:p>
    <w:p w:rsidR="001F117D" w:rsidRDefault="00F857D2" w:rsidP="001F117D">
      <w:pPr>
        <w:jc w:val="both"/>
        <w:rPr>
          <w:rFonts w:ascii="Arial" w:eastAsia="Times New Roman" w:hAnsi="Arial" w:cs="Arial"/>
          <w:sz w:val="18"/>
          <w:szCs w:val="18"/>
        </w:rPr>
      </w:pPr>
      <w:r w:rsidRPr="0048465E">
        <w:t xml:space="preserve">[21] </w:t>
      </w:r>
      <w:r w:rsidR="001F117D">
        <w:rPr>
          <w:rFonts w:ascii="Arial" w:eastAsia="Times New Roman" w:hAnsi="Arial" w:cs="Arial"/>
          <w:sz w:val="18"/>
          <w:szCs w:val="18"/>
        </w:rPr>
        <w:t xml:space="preserve">Murray, P. R., Rosenthal, K. S., &amp; </w:t>
      </w:r>
      <w:proofErr w:type="spellStart"/>
      <w:r w:rsidR="001F117D">
        <w:rPr>
          <w:rFonts w:ascii="Arial" w:eastAsia="Times New Roman" w:hAnsi="Arial" w:cs="Arial"/>
          <w:sz w:val="18"/>
          <w:szCs w:val="18"/>
        </w:rPr>
        <w:t>Pfaller</w:t>
      </w:r>
      <w:proofErr w:type="spellEnd"/>
      <w:r w:rsidR="001F117D">
        <w:rPr>
          <w:rFonts w:ascii="Arial" w:eastAsia="Times New Roman" w:hAnsi="Arial" w:cs="Arial"/>
          <w:sz w:val="18"/>
          <w:szCs w:val="18"/>
        </w:rPr>
        <w:t>, M. A. (2025). Medical Microbiology (10th ed.). Elsevier. https://www.elsevier.com/books/medical-microbiology/murray/978-0-443-26133-6</w:t>
      </w:r>
    </w:p>
    <w:p w:rsidR="001F117D" w:rsidRDefault="00F857D2" w:rsidP="001F117D">
      <w:pPr>
        <w:jc w:val="both"/>
        <w:rPr>
          <w:rFonts w:ascii="Arial" w:eastAsia="Times New Roman" w:hAnsi="Arial" w:cs="Arial"/>
          <w:sz w:val="18"/>
          <w:szCs w:val="18"/>
        </w:rPr>
      </w:pPr>
      <w:r w:rsidRPr="0048465E">
        <w:t xml:space="preserve">[22] </w:t>
      </w:r>
      <w:r w:rsidR="001F117D">
        <w:rPr>
          <w:rFonts w:ascii="Arial" w:eastAsia="Times New Roman" w:hAnsi="Arial" w:cs="Arial"/>
          <w:sz w:val="18"/>
          <w:szCs w:val="18"/>
        </w:rPr>
        <w:t>Levinson, W. E. (2020). Review of Medical Microbiology and Immunology, Sixteenth Edition. McGraw-Hill Education. https://www.barnesandnoble.com/w/review-of-medical-microbiology-and-immunology-warren-levinson/1136690000</w:t>
      </w:r>
    </w:p>
    <w:p w:rsidR="001F117D" w:rsidRDefault="00F857D2" w:rsidP="001F117D">
      <w:pPr>
        <w:jc w:val="both"/>
        <w:rPr>
          <w:rFonts w:ascii="Arial" w:eastAsia="Times New Roman" w:hAnsi="Arial" w:cs="Arial"/>
          <w:sz w:val="18"/>
          <w:szCs w:val="18"/>
        </w:rPr>
      </w:pPr>
      <w:r w:rsidRPr="0048465E">
        <w:t xml:space="preserve">[23] </w:t>
      </w:r>
      <w:r w:rsidR="001F117D">
        <w:rPr>
          <w:rFonts w:ascii="Arial" w:eastAsia="Times New Roman" w:hAnsi="Arial" w:cs="Arial"/>
          <w:sz w:val="18"/>
          <w:szCs w:val="18"/>
        </w:rPr>
        <w:t xml:space="preserve">Barer, M. R., Irving, W. L., Swann, A., &amp; </w:t>
      </w:r>
      <w:proofErr w:type="spellStart"/>
      <w:r w:rsidR="001F117D">
        <w:rPr>
          <w:rFonts w:ascii="Arial" w:eastAsia="Times New Roman" w:hAnsi="Arial" w:cs="Arial"/>
          <w:sz w:val="18"/>
          <w:szCs w:val="18"/>
        </w:rPr>
        <w:t>Perera</w:t>
      </w:r>
      <w:proofErr w:type="spellEnd"/>
      <w:r w:rsidR="001F117D">
        <w:rPr>
          <w:rFonts w:ascii="Arial" w:eastAsia="Times New Roman" w:hAnsi="Arial" w:cs="Arial"/>
          <w:sz w:val="18"/>
          <w:szCs w:val="18"/>
        </w:rPr>
        <w:t>, N. (Eds.). (2018). Medical microbiology (19th ed.). Elsevier. https://www.elsevier.com/books/medical-microbiology/barer/978-0-7020-7200-0</w:t>
      </w:r>
    </w:p>
    <w:p w:rsidR="001F117D" w:rsidRDefault="00F857D2" w:rsidP="001F117D">
      <w:pPr>
        <w:jc w:val="both"/>
        <w:rPr>
          <w:rFonts w:ascii="Arial" w:eastAsia="Times New Roman" w:hAnsi="Arial" w:cs="Arial"/>
          <w:sz w:val="18"/>
          <w:szCs w:val="18"/>
        </w:rPr>
      </w:pPr>
      <w:r w:rsidRPr="0048465E">
        <w:t xml:space="preserve">[24] </w:t>
      </w:r>
      <w:r w:rsidR="001F117D">
        <w:rPr>
          <w:rFonts w:ascii="Arial" w:eastAsia="Times New Roman" w:hAnsi="Arial" w:cs="Arial"/>
          <w:sz w:val="18"/>
          <w:szCs w:val="18"/>
        </w:rPr>
        <w:t>Collee, J. G., Mackie, T. J., &amp; McCartney, J. E. (1996). *Mackie &amp; McCartney Practical Medical Microbiology*. Churchill Livingstone.</w:t>
      </w:r>
    </w:p>
    <w:p w:rsidR="00134A30" w:rsidRPr="0048465E" w:rsidRDefault="00134A30" w:rsidP="004569A7">
      <w:pPr>
        <w:pStyle w:val="BodyText"/>
        <w:spacing w:line="276" w:lineRule="auto"/>
        <w:jc w:val="both"/>
      </w:pPr>
    </w:p>
    <w:p w:rsidR="001F117D" w:rsidRDefault="00F857D2" w:rsidP="001F117D">
      <w:pPr>
        <w:jc w:val="both"/>
        <w:rPr>
          <w:rFonts w:ascii="Arial" w:eastAsia="Times New Roman" w:hAnsi="Arial" w:cs="Arial"/>
          <w:sz w:val="18"/>
          <w:szCs w:val="18"/>
        </w:rPr>
      </w:pPr>
      <w:r w:rsidRPr="0048465E">
        <w:t xml:space="preserve">[25] </w:t>
      </w:r>
      <w:proofErr w:type="spellStart"/>
      <w:r w:rsidR="001F117D">
        <w:rPr>
          <w:rFonts w:ascii="Arial" w:eastAsia="Times New Roman" w:hAnsi="Arial" w:cs="Arial"/>
          <w:sz w:val="18"/>
          <w:szCs w:val="18"/>
        </w:rPr>
        <w:t>bioMérieux</w:t>
      </w:r>
      <w:proofErr w:type="spellEnd"/>
      <w:r w:rsidR="001F117D">
        <w:rPr>
          <w:rFonts w:ascii="Arial" w:eastAsia="Times New Roman" w:hAnsi="Arial" w:cs="Arial"/>
          <w:sz w:val="18"/>
          <w:szCs w:val="18"/>
        </w:rPr>
        <w:t>. (2023). VITEK 2 Compact: Advanced Automated Identification &amp; Susceptibility Testing. https://www.biomerieux.com/global/en/product/vitek-2-compact.html</w:t>
      </w:r>
    </w:p>
    <w:p w:rsidR="00134A30" w:rsidRPr="0048465E" w:rsidRDefault="00134A30" w:rsidP="004569A7">
      <w:pPr>
        <w:pStyle w:val="BodyText"/>
        <w:spacing w:line="276" w:lineRule="auto"/>
        <w:jc w:val="both"/>
      </w:pPr>
    </w:p>
    <w:p w:rsidR="001F117D" w:rsidRDefault="00F857D2" w:rsidP="001F117D">
      <w:pPr>
        <w:jc w:val="both"/>
        <w:rPr>
          <w:rFonts w:ascii="Arial" w:eastAsia="Times New Roman" w:hAnsi="Arial" w:cs="Arial"/>
          <w:sz w:val="18"/>
          <w:szCs w:val="18"/>
        </w:rPr>
      </w:pPr>
      <w:r w:rsidRPr="0048465E">
        <w:t xml:space="preserve">[26] </w:t>
      </w:r>
      <w:r w:rsidR="001F117D">
        <w:rPr>
          <w:rFonts w:ascii="Arial" w:eastAsia="Times New Roman" w:hAnsi="Arial" w:cs="Arial"/>
          <w:sz w:val="18"/>
          <w:szCs w:val="18"/>
        </w:rPr>
        <w:t>Clinical and Laboratory Standards Institute. (2018). Methods for dilution antimicrobial susceptibility tests for bacteria that grow aerobically (M07, 11th ed.). Clinical and Laboratory Standards Institute. https://clsi.org/standards/products/microbiology/documents/m07/</w:t>
      </w:r>
    </w:p>
    <w:p w:rsidR="001F117D" w:rsidRDefault="00F857D2" w:rsidP="001F117D">
      <w:pPr>
        <w:jc w:val="both"/>
        <w:rPr>
          <w:rFonts w:ascii="Arial" w:eastAsia="Times New Roman" w:hAnsi="Arial" w:cs="Arial"/>
          <w:sz w:val="18"/>
          <w:szCs w:val="18"/>
        </w:rPr>
      </w:pPr>
      <w:r w:rsidRPr="0048465E">
        <w:t xml:space="preserve">[27] </w:t>
      </w:r>
      <w:r w:rsidR="001F117D">
        <w:rPr>
          <w:rFonts w:ascii="Arial" w:eastAsia="Times New Roman" w:hAnsi="Arial" w:cs="Arial"/>
          <w:sz w:val="18"/>
          <w:szCs w:val="18"/>
        </w:rPr>
        <w:t>European Centre for Disease Prevention and Control. (2023). Surveillance of antimicrobial resistance in Europe, 2022 data. https://www.ecdc.europa.eu/en/publications-data/surveillance-antimicrobial-resistance-europe-2022-data</w:t>
      </w:r>
    </w:p>
    <w:p w:rsidR="001F117D" w:rsidRDefault="00F857D2" w:rsidP="001F117D">
      <w:pPr>
        <w:jc w:val="both"/>
        <w:rPr>
          <w:rFonts w:ascii="Arial" w:eastAsia="Times New Roman" w:hAnsi="Arial" w:cs="Arial"/>
          <w:sz w:val="18"/>
          <w:szCs w:val="18"/>
        </w:rPr>
      </w:pPr>
      <w:r w:rsidRPr="0048465E">
        <w:t xml:space="preserve">[28] </w:t>
      </w:r>
      <w:r w:rsidR="001F117D">
        <w:rPr>
          <w:rFonts w:ascii="Arial" w:eastAsia="Times New Roman" w:hAnsi="Arial" w:cs="Arial"/>
          <w:sz w:val="18"/>
          <w:szCs w:val="18"/>
        </w:rPr>
        <w:t>IBM Corp. (2019). IBM SPSS Statistics for Windows, Version 26.0. http://www.ibm.com/common/ssi/ShowDoc.wss?docURL=/common/ssi/rep_ca/3/897/ENUS219-193/index.html&amp;request_locale=en</w:t>
      </w:r>
    </w:p>
    <w:p w:rsidR="001F117D" w:rsidRDefault="00F857D2" w:rsidP="001F117D">
      <w:pPr>
        <w:jc w:val="both"/>
        <w:rPr>
          <w:rFonts w:ascii="Arial" w:eastAsia="Times New Roman" w:hAnsi="Arial" w:cs="Arial"/>
          <w:sz w:val="18"/>
          <w:szCs w:val="18"/>
        </w:rPr>
      </w:pPr>
      <w:r w:rsidRPr="0048465E">
        <w:t xml:space="preserve">[29] </w:t>
      </w:r>
      <w:r w:rsidR="001F117D">
        <w:rPr>
          <w:rFonts w:ascii="Arial" w:eastAsia="Times New Roman" w:hAnsi="Arial" w:cs="Arial"/>
          <w:sz w:val="18"/>
          <w:szCs w:val="18"/>
        </w:rPr>
        <w:t>Field, A. (2024). Discovering Statistics Using IBM SPSS Statistics. SAGE Publications. https://uk.sagepub.com/en-gb/eur/discovering-statistics-using-ibm-spss-statistics/book285130</w:t>
      </w:r>
    </w:p>
    <w:p w:rsidR="00134A30" w:rsidRPr="0048465E" w:rsidRDefault="00F857D2" w:rsidP="004569A7">
      <w:pPr>
        <w:pStyle w:val="BodyText"/>
        <w:spacing w:line="276" w:lineRule="auto"/>
        <w:jc w:val="both"/>
      </w:pPr>
      <w:r w:rsidRPr="0048465E">
        <w:t xml:space="preserve">[30] </w:t>
      </w:r>
      <w:r w:rsidR="003571E1">
        <w:rPr>
          <w:rFonts w:ascii="Arial" w:hAnsi="Arial" w:cs="Arial"/>
          <w:color w:val="222222"/>
          <w:sz w:val="20"/>
          <w:szCs w:val="20"/>
          <w:shd w:val="clear" w:color="auto" w:fill="FFFFFF"/>
        </w:rPr>
        <w:t xml:space="preserve">Ramírez-Castillo, F. Y., Moreno-Flores, A. C., Avelar-González, F. J., Márquez-Díaz, F., </w:t>
      </w:r>
      <w:proofErr w:type="spellStart"/>
      <w:r w:rsidR="003571E1">
        <w:rPr>
          <w:rFonts w:ascii="Arial" w:hAnsi="Arial" w:cs="Arial"/>
          <w:color w:val="222222"/>
          <w:sz w:val="20"/>
          <w:szCs w:val="20"/>
          <w:shd w:val="clear" w:color="auto" w:fill="FFFFFF"/>
        </w:rPr>
        <w:t>Harel</w:t>
      </w:r>
      <w:proofErr w:type="spellEnd"/>
      <w:r w:rsidR="003571E1">
        <w:rPr>
          <w:rFonts w:ascii="Arial" w:hAnsi="Arial" w:cs="Arial"/>
          <w:color w:val="222222"/>
          <w:sz w:val="20"/>
          <w:szCs w:val="20"/>
          <w:shd w:val="clear" w:color="auto" w:fill="FFFFFF"/>
        </w:rPr>
        <w:t>, J., &amp; Guerrero-Barrera, A. L. (2018). An evaluation of multidrug-resistant Escherichia coli isolates in urinary tract infections from Aguascalientes, Mexico: cross-sectional study. </w:t>
      </w:r>
      <w:r w:rsidR="003571E1">
        <w:rPr>
          <w:rFonts w:ascii="Arial" w:hAnsi="Arial" w:cs="Arial"/>
          <w:i/>
          <w:iCs/>
          <w:color w:val="222222"/>
          <w:sz w:val="20"/>
          <w:szCs w:val="20"/>
          <w:shd w:val="clear" w:color="auto" w:fill="FFFFFF"/>
        </w:rPr>
        <w:t>Annals of clinical microbiology and antimicrobials</w:t>
      </w:r>
      <w:r w:rsidR="003571E1">
        <w:rPr>
          <w:rFonts w:ascii="Arial" w:hAnsi="Arial" w:cs="Arial"/>
          <w:color w:val="222222"/>
          <w:sz w:val="20"/>
          <w:szCs w:val="20"/>
          <w:shd w:val="clear" w:color="auto" w:fill="FFFFFF"/>
        </w:rPr>
        <w:t>, </w:t>
      </w:r>
      <w:r w:rsidR="003571E1">
        <w:rPr>
          <w:rFonts w:ascii="Arial" w:hAnsi="Arial" w:cs="Arial"/>
          <w:i/>
          <w:iCs/>
          <w:color w:val="222222"/>
          <w:sz w:val="20"/>
          <w:szCs w:val="20"/>
          <w:shd w:val="clear" w:color="auto" w:fill="FFFFFF"/>
        </w:rPr>
        <w:t>17</w:t>
      </w:r>
      <w:r w:rsidR="003571E1">
        <w:rPr>
          <w:rFonts w:ascii="Arial" w:hAnsi="Arial" w:cs="Arial"/>
          <w:color w:val="222222"/>
          <w:sz w:val="20"/>
          <w:szCs w:val="20"/>
          <w:shd w:val="clear" w:color="auto" w:fill="FFFFFF"/>
        </w:rPr>
        <w:t>(1), 34.</w:t>
      </w:r>
    </w:p>
    <w:p w:rsidR="00134A30" w:rsidRPr="0048465E" w:rsidRDefault="00F857D2" w:rsidP="004569A7">
      <w:pPr>
        <w:pStyle w:val="BodyText"/>
        <w:spacing w:line="276" w:lineRule="auto"/>
        <w:jc w:val="both"/>
      </w:pPr>
      <w:r w:rsidRPr="0048465E">
        <w:t xml:space="preserve">[31] </w:t>
      </w:r>
      <w:r w:rsidR="003571E1">
        <w:rPr>
          <w:rFonts w:ascii="Arial" w:hAnsi="Arial" w:cs="Arial"/>
          <w:color w:val="222222"/>
          <w:sz w:val="20"/>
          <w:szCs w:val="20"/>
          <w:shd w:val="clear" w:color="auto" w:fill="FFFFFF"/>
        </w:rPr>
        <w:t xml:space="preserve">Mohamed, A. H., Sheikh Omar, N. M., Osman, M. M., Mohamud, H. A., </w:t>
      </w:r>
      <w:proofErr w:type="spellStart"/>
      <w:r w:rsidR="003571E1">
        <w:rPr>
          <w:rFonts w:ascii="Arial" w:hAnsi="Arial" w:cs="Arial"/>
          <w:color w:val="222222"/>
          <w:sz w:val="20"/>
          <w:szCs w:val="20"/>
          <w:shd w:val="clear" w:color="auto" w:fill="FFFFFF"/>
        </w:rPr>
        <w:t>Eraslan</w:t>
      </w:r>
      <w:proofErr w:type="spellEnd"/>
      <w:r w:rsidR="003571E1">
        <w:rPr>
          <w:rFonts w:ascii="Arial" w:hAnsi="Arial" w:cs="Arial"/>
          <w:color w:val="222222"/>
          <w:sz w:val="20"/>
          <w:szCs w:val="20"/>
          <w:shd w:val="clear" w:color="auto" w:fill="FFFFFF"/>
        </w:rPr>
        <w:t xml:space="preserve">, A., &amp; Gur, M. (2022). Antimicrobial resistance and predisposing factors associated with catheter-associated UTI caused by </w:t>
      </w:r>
      <w:proofErr w:type="spellStart"/>
      <w:r w:rsidR="003571E1">
        <w:rPr>
          <w:rFonts w:ascii="Arial" w:hAnsi="Arial" w:cs="Arial"/>
          <w:color w:val="222222"/>
          <w:sz w:val="20"/>
          <w:szCs w:val="20"/>
          <w:shd w:val="clear" w:color="auto" w:fill="FFFFFF"/>
        </w:rPr>
        <w:t>uropathogens</w:t>
      </w:r>
      <w:proofErr w:type="spellEnd"/>
      <w:r w:rsidR="003571E1">
        <w:rPr>
          <w:rFonts w:ascii="Arial" w:hAnsi="Arial" w:cs="Arial"/>
          <w:color w:val="222222"/>
          <w:sz w:val="20"/>
          <w:szCs w:val="20"/>
          <w:shd w:val="clear" w:color="auto" w:fill="FFFFFF"/>
        </w:rPr>
        <w:t xml:space="preserve"> exhibiting multidrug-resistant patterns: a 3-year retrospective study at a tertiary hospital in Mogadishu, Somalia. </w:t>
      </w:r>
      <w:r w:rsidR="003571E1">
        <w:rPr>
          <w:rFonts w:ascii="Arial" w:hAnsi="Arial" w:cs="Arial"/>
          <w:i/>
          <w:iCs/>
          <w:color w:val="222222"/>
          <w:sz w:val="20"/>
          <w:szCs w:val="20"/>
          <w:shd w:val="clear" w:color="auto" w:fill="FFFFFF"/>
        </w:rPr>
        <w:t>Tropical Medicine and Infectious Disease</w:t>
      </w:r>
      <w:r w:rsidR="003571E1">
        <w:rPr>
          <w:rFonts w:ascii="Arial" w:hAnsi="Arial" w:cs="Arial"/>
          <w:color w:val="222222"/>
          <w:sz w:val="20"/>
          <w:szCs w:val="20"/>
          <w:shd w:val="clear" w:color="auto" w:fill="FFFFFF"/>
        </w:rPr>
        <w:t>, </w:t>
      </w:r>
      <w:r w:rsidR="003571E1">
        <w:rPr>
          <w:rFonts w:ascii="Arial" w:hAnsi="Arial" w:cs="Arial"/>
          <w:i/>
          <w:iCs/>
          <w:color w:val="222222"/>
          <w:sz w:val="20"/>
          <w:szCs w:val="20"/>
          <w:shd w:val="clear" w:color="auto" w:fill="FFFFFF"/>
        </w:rPr>
        <w:t>7</w:t>
      </w:r>
      <w:r w:rsidR="003571E1">
        <w:rPr>
          <w:rFonts w:ascii="Arial" w:hAnsi="Arial" w:cs="Arial"/>
          <w:color w:val="222222"/>
          <w:sz w:val="20"/>
          <w:szCs w:val="20"/>
          <w:shd w:val="clear" w:color="auto" w:fill="FFFFFF"/>
        </w:rPr>
        <w:t>(3), 42.</w:t>
      </w:r>
    </w:p>
    <w:p w:rsidR="00134A30" w:rsidRPr="0048465E" w:rsidRDefault="00F857D2" w:rsidP="004569A7">
      <w:pPr>
        <w:pStyle w:val="BodyText"/>
        <w:spacing w:line="276" w:lineRule="auto"/>
        <w:jc w:val="both"/>
      </w:pPr>
      <w:r w:rsidRPr="0048465E">
        <w:t xml:space="preserve">[32] </w:t>
      </w:r>
      <w:proofErr w:type="spellStart"/>
      <w:r w:rsidR="00363CE5">
        <w:rPr>
          <w:rFonts w:ascii="Arial" w:hAnsi="Arial" w:cs="Arial"/>
          <w:color w:val="222222"/>
          <w:sz w:val="20"/>
          <w:szCs w:val="20"/>
          <w:shd w:val="clear" w:color="auto" w:fill="FFFFFF"/>
        </w:rPr>
        <w:t>Tilahun</w:t>
      </w:r>
      <w:proofErr w:type="spellEnd"/>
      <w:r w:rsidR="00363CE5">
        <w:rPr>
          <w:rFonts w:ascii="Arial" w:hAnsi="Arial" w:cs="Arial"/>
          <w:color w:val="222222"/>
          <w:sz w:val="20"/>
          <w:szCs w:val="20"/>
          <w:shd w:val="clear" w:color="auto" w:fill="FFFFFF"/>
        </w:rPr>
        <w:t xml:space="preserve">, M., </w:t>
      </w:r>
      <w:proofErr w:type="spellStart"/>
      <w:r w:rsidR="00363CE5">
        <w:rPr>
          <w:rFonts w:ascii="Arial" w:hAnsi="Arial" w:cs="Arial"/>
          <w:color w:val="222222"/>
          <w:sz w:val="20"/>
          <w:szCs w:val="20"/>
          <w:shd w:val="clear" w:color="auto" w:fill="FFFFFF"/>
        </w:rPr>
        <w:t>Fiseha</w:t>
      </w:r>
      <w:proofErr w:type="spellEnd"/>
      <w:r w:rsidR="00363CE5">
        <w:rPr>
          <w:rFonts w:ascii="Arial" w:hAnsi="Arial" w:cs="Arial"/>
          <w:color w:val="222222"/>
          <w:sz w:val="20"/>
          <w:szCs w:val="20"/>
          <w:shd w:val="clear" w:color="auto" w:fill="FFFFFF"/>
        </w:rPr>
        <w:t xml:space="preserve">, M., </w:t>
      </w:r>
      <w:proofErr w:type="spellStart"/>
      <w:r w:rsidR="00363CE5">
        <w:rPr>
          <w:rFonts w:ascii="Arial" w:hAnsi="Arial" w:cs="Arial"/>
          <w:color w:val="222222"/>
          <w:sz w:val="20"/>
          <w:szCs w:val="20"/>
          <w:shd w:val="clear" w:color="auto" w:fill="FFFFFF"/>
        </w:rPr>
        <w:t>Alebachew</w:t>
      </w:r>
      <w:proofErr w:type="spellEnd"/>
      <w:r w:rsidR="00363CE5">
        <w:rPr>
          <w:rFonts w:ascii="Arial" w:hAnsi="Arial" w:cs="Arial"/>
          <w:color w:val="222222"/>
          <w:sz w:val="20"/>
          <w:szCs w:val="20"/>
          <w:shd w:val="clear" w:color="auto" w:fill="FFFFFF"/>
        </w:rPr>
        <w:t xml:space="preserve">, M., </w:t>
      </w:r>
      <w:proofErr w:type="spellStart"/>
      <w:r w:rsidR="00363CE5">
        <w:rPr>
          <w:rFonts w:ascii="Arial" w:hAnsi="Arial" w:cs="Arial"/>
          <w:color w:val="222222"/>
          <w:sz w:val="20"/>
          <w:szCs w:val="20"/>
          <w:shd w:val="clear" w:color="auto" w:fill="FFFFFF"/>
        </w:rPr>
        <w:t>Gedefie</w:t>
      </w:r>
      <w:proofErr w:type="spellEnd"/>
      <w:r w:rsidR="00363CE5">
        <w:rPr>
          <w:rFonts w:ascii="Arial" w:hAnsi="Arial" w:cs="Arial"/>
          <w:color w:val="222222"/>
          <w:sz w:val="20"/>
          <w:szCs w:val="20"/>
          <w:shd w:val="clear" w:color="auto" w:fill="FFFFFF"/>
        </w:rPr>
        <w:t xml:space="preserve">, A., Ebrahim, E., Tesfaye, M., ... &amp; Dessie, T. (2024). </w:t>
      </w:r>
      <w:proofErr w:type="spellStart"/>
      <w:r w:rsidR="00363CE5">
        <w:rPr>
          <w:rFonts w:ascii="Arial" w:hAnsi="Arial" w:cs="Arial"/>
          <w:color w:val="222222"/>
          <w:sz w:val="20"/>
          <w:szCs w:val="20"/>
          <w:shd w:val="clear" w:color="auto" w:fill="FFFFFF"/>
        </w:rPr>
        <w:t>Uro</w:t>
      </w:r>
      <w:proofErr w:type="spellEnd"/>
      <w:r w:rsidR="00363CE5">
        <w:rPr>
          <w:rFonts w:ascii="Arial" w:hAnsi="Arial" w:cs="Arial"/>
          <w:color w:val="222222"/>
          <w:sz w:val="20"/>
          <w:szCs w:val="20"/>
          <w:shd w:val="clear" w:color="auto" w:fill="FFFFFF"/>
        </w:rPr>
        <w:t>-pathogens: Multidrug resistance and associated factors of community-acquired UTI among HIV patients attending antiretroviral therapy in Dessie Comprehensive Specialized Hospital, Northeast Ethiopia. </w:t>
      </w:r>
      <w:proofErr w:type="spellStart"/>
      <w:r w:rsidR="00363CE5">
        <w:rPr>
          <w:rFonts w:ascii="Arial" w:hAnsi="Arial" w:cs="Arial"/>
          <w:i/>
          <w:iCs/>
          <w:color w:val="222222"/>
          <w:sz w:val="20"/>
          <w:szCs w:val="20"/>
          <w:shd w:val="clear" w:color="auto" w:fill="FFFFFF"/>
        </w:rPr>
        <w:t>PloS</w:t>
      </w:r>
      <w:proofErr w:type="spellEnd"/>
      <w:r w:rsidR="00363CE5">
        <w:rPr>
          <w:rFonts w:ascii="Arial" w:hAnsi="Arial" w:cs="Arial"/>
          <w:i/>
          <w:iCs/>
          <w:color w:val="222222"/>
          <w:sz w:val="20"/>
          <w:szCs w:val="20"/>
          <w:shd w:val="clear" w:color="auto" w:fill="FFFFFF"/>
        </w:rPr>
        <w:t xml:space="preserve"> one</w:t>
      </w:r>
      <w:r w:rsidR="00363CE5">
        <w:rPr>
          <w:rFonts w:ascii="Arial" w:hAnsi="Arial" w:cs="Arial"/>
          <w:color w:val="222222"/>
          <w:sz w:val="20"/>
          <w:szCs w:val="20"/>
          <w:shd w:val="clear" w:color="auto" w:fill="FFFFFF"/>
        </w:rPr>
        <w:t>, </w:t>
      </w:r>
      <w:r w:rsidR="00363CE5">
        <w:rPr>
          <w:rFonts w:ascii="Arial" w:hAnsi="Arial" w:cs="Arial"/>
          <w:i/>
          <w:iCs/>
          <w:color w:val="222222"/>
          <w:sz w:val="20"/>
          <w:szCs w:val="20"/>
          <w:shd w:val="clear" w:color="auto" w:fill="FFFFFF"/>
        </w:rPr>
        <w:t>19</w:t>
      </w:r>
      <w:r w:rsidR="00363CE5">
        <w:rPr>
          <w:rFonts w:ascii="Arial" w:hAnsi="Arial" w:cs="Arial"/>
          <w:color w:val="222222"/>
          <w:sz w:val="20"/>
          <w:szCs w:val="20"/>
          <w:shd w:val="clear" w:color="auto" w:fill="FFFFFF"/>
        </w:rPr>
        <w:t>(5), e0296480.</w:t>
      </w:r>
    </w:p>
    <w:p w:rsidR="00363CE5" w:rsidRPr="00363CE5" w:rsidRDefault="00F857D2" w:rsidP="00363CE5">
      <w:pPr>
        <w:pStyle w:val="orit2"/>
        <w:shd w:val="clear" w:color="auto" w:fill="FFFFFF"/>
        <w:spacing w:before="0" w:beforeAutospacing="0" w:after="0" w:afterAutospacing="0"/>
        <w:rPr>
          <w:rFonts w:ascii="Arial" w:hAnsi="Arial" w:cs="Arial"/>
          <w:color w:val="555555"/>
          <w:spacing w:val="-5"/>
          <w:sz w:val="23"/>
          <w:szCs w:val="23"/>
        </w:rPr>
      </w:pPr>
      <w:r w:rsidRPr="0048465E">
        <w:t xml:space="preserve">[33] </w:t>
      </w:r>
      <w:r w:rsidR="00363CE5">
        <w:rPr>
          <w:rFonts w:ascii="Arial" w:hAnsi="Arial" w:cs="Arial"/>
          <w:color w:val="222222"/>
          <w:sz w:val="20"/>
          <w:szCs w:val="20"/>
          <w:shd w:val="clear" w:color="auto" w:fill="FFFFFF"/>
        </w:rPr>
        <w:t xml:space="preserve">Salman, H. A., </w:t>
      </w:r>
      <w:proofErr w:type="spellStart"/>
      <w:r w:rsidR="00363CE5">
        <w:rPr>
          <w:rFonts w:ascii="Arial" w:hAnsi="Arial" w:cs="Arial"/>
          <w:color w:val="222222"/>
          <w:sz w:val="20"/>
          <w:szCs w:val="20"/>
          <w:shd w:val="clear" w:color="auto" w:fill="FFFFFF"/>
        </w:rPr>
        <w:t>kamil</w:t>
      </w:r>
      <w:proofErr w:type="spellEnd"/>
      <w:r w:rsidR="00363CE5">
        <w:rPr>
          <w:rFonts w:ascii="Arial" w:hAnsi="Arial" w:cs="Arial"/>
          <w:color w:val="222222"/>
          <w:sz w:val="20"/>
          <w:szCs w:val="20"/>
          <w:shd w:val="clear" w:color="auto" w:fill="FFFFFF"/>
        </w:rPr>
        <w:t xml:space="preserve"> </w:t>
      </w:r>
      <w:proofErr w:type="spellStart"/>
      <w:r w:rsidR="00363CE5">
        <w:rPr>
          <w:rFonts w:ascii="Arial" w:hAnsi="Arial" w:cs="Arial"/>
          <w:color w:val="222222"/>
          <w:sz w:val="20"/>
          <w:szCs w:val="20"/>
          <w:shd w:val="clear" w:color="auto" w:fill="FFFFFF"/>
        </w:rPr>
        <w:t>Alhameedawi</w:t>
      </w:r>
      <w:proofErr w:type="spellEnd"/>
      <w:r w:rsidR="00363CE5">
        <w:rPr>
          <w:rFonts w:ascii="Arial" w:hAnsi="Arial" w:cs="Arial"/>
          <w:color w:val="222222"/>
          <w:sz w:val="20"/>
          <w:szCs w:val="20"/>
          <w:shd w:val="clear" w:color="auto" w:fill="FFFFFF"/>
        </w:rPr>
        <w:t>, A., Muhamad, S. M. S. G., &amp; Taha, Z. (2022). Prevalence of multi-antibiotic resistant bacteria isolated from children with urinary tract infection from Baghdad, Iraq.</w:t>
      </w:r>
      <w:r w:rsidR="00363CE5">
        <w:rPr>
          <w:rFonts w:ascii="Arial" w:hAnsi="Arial" w:cs="Arial"/>
          <w:color w:val="222222"/>
          <w:sz w:val="20"/>
          <w:szCs w:val="20"/>
          <w:shd w:val="clear" w:color="auto" w:fill="FFFFFF"/>
        </w:rPr>
        <w:t xml:space="preserve"> </w:t>
      </w:r>
      <w:r w:rsidR="00363CE5">
        <w:rPr>
          <w:rFonts w:ascii="Arial" w:hAnsi="Arial" w:cs="Arial"/>
          <w:color w:val="555555"/>
          <w:spacing w:val="-5"/>
          <w:sz w:val="23"/>
          <w:szCs w:val="23"/>
        </w:rPr>
        <w:t xml:space="preserve">Microbiol. </w:t>
      </w:r>
      <w:proofErr w:type="spellStart"/>
      <w:r w:rsidR="00363CE5">
        <w:rPr>
          <w:rFonts w:ascii="Arial" w:hAnsi="Arial" w:cs="Arial"/>
          <w:color w:val="555555"/>
          <w:spacing w:val="-5"/>
          <w:sz w:val="23"/>
          <w:szCs w:val="23"/>
        </w:rPr>
        <w:t>Biotechnol</w:t>
      </w:r>
      <w:proofErr w:type="spellEnd"/>
      <w:r w:rsidR="00363CE5">
        <w:rPr>
          <w:rFonts w:ascii="Arial" w:hAnsi="Arial" w:cs="Arial"/>
          <w:color w:val="555555"/>
          <w:spacing w:val="-5"/>
          <w:sz w:val="23"/>
          <w:szCs w:val="23"/>
        </w:rPr>
        <w:t>. Lett. 2022; 50(1): 147-156</w:t>
      </w:r>
      <w:r w:rsidR="00363CE5">
        <w:rPr>
          <w:rFonts w:ascii="Arial" w:hAnsi="Arial" w:cs="Arial"/>
          <w:color w:val="555555"/>
          <w:spacing w:val="-5"/>
          <w:sz w:val="23"/>
          <w:szCs w:val="23"/>
        </w:rPr>
        <w:t xml:space="preserve">, </w:t>
      </w:r>
      <w:hyperlink r:id="rId7" w:history="1">
        <w:r w:rsidR="00363CE5" w:rsidRPr="00685269">
          <w:rPr>
            <w:rStyle w:val="Hyperlink"/>
            <w:rFonts w:ascii="Arial" w:hAnsi="Arial" w:cs="Arial"/>
            <w:spacing w:val="-5"/>
            <w:sz w:val="23"/>
            <w:szCs w:val="23"/>
          </w:rPr>
          <w:t>https://doi.org/10.48022/mbl.2110.10011</w:t>
        </w:r>
      </w:hyperlink>
    </w:p>
    <w:p w:rsidR="00363CE5" w:rsidRDefault="00363CE5" w:rsidP="001F117D">
      <w:pPr>
        <w:jc w:val="both"/>
      </w:pPr>
    </w:p>
    <w:p w:rsidR="001F117D" w:rsidRDefault="00F857D2" w:rsidP="001F117D">
      <w:pPr>
        <w:jc w:val="both"/>
        <w:rPr>
          <w:rFonts w:ascii="Arial" w:eastAsia="Times New Roman" w:hAnsi="Arial" w:cs="Arial"/>
          <w:sz w:val="18"/>
          <w:szCs w:val="18"/>
        </w:rPr>
      </w:pPr>
      <w:r w:rsidRPr="0048465E">
        <w:t xml:space="preserve">[34] </w:t>
      </w:r>
      <w:proofErr w:type="spellStart"/>
      <w:r w:rsidR="001F117D">
        <w:rPr>
          <w:rFonts w:ascii="Arial" w:eastAsia="Times New Roman" w:hAnsi="Arial" w:cs="Arial"/>
          <w:sz w:val="18"/>
          <w:szCs w:val="18"/>
        </w:rPr>
        <w:t>Stamm</w:t>
      </w:r>
      <w:proofErr w:type="spellEnd"/>
      <w:r w:rsidR="001F117D">
        <w:rPr>
          <w:rFonts w:ascii="Arial" w:eastAsia="Times New Roman" w:hAnsi="Arial" w:cs="Arial"/>
          <w:sz w:val="18"/>
          <w:szCs w:val="18"/>
        </w:rPr>
        <w:t xml:space="preserve">, W. E., &amp; Hooton, T. M. (1993). Management of urinary tract infections in adults. New England Journal of Medicine, 329(18), 1328–1334. </w:t>
      </w:r>
    </w:p>
    <w:p w:rsidR="001F117D" w:rsidRDefault="00F857D2" w:rsidP="001F117D">
      <w:pPr>
        <w:jc w:val="both"/>
        <w:rPr>
          <w:rFonts w:ascii="Arial" w:eastAsia="Times New Roman" w:hAnsi="Arial" w:cs="Arial"/>
          <w:sz w:val="18"/>
          <w:szCs w:val="18"/>
        </w:rPr>
      </w:pPr>
      <w:r w:rsidRPr="0048465E">
        <w:t xml:space="preserve">[35] </w:t>
      </w:r>
      <w:r w:rsidR="001F117D">
        <w:rPr>
          <w:rFonts w:ascii="Arial" w:eastAsia="Times New Roman" w:hAnsi="Arial" w:cs="Arial"/>
          <w:sz w:val="18"/>
          <w:szCs w:val="18"/>
        </w:rPr>
        <w:t>Foxman, B. (2010). The epidemiology of urinary tract infection. Nature Reviews Urology, 7(12), 653–660. https://doi.org/10.1038/nrurol.2010.190</w:t>
      </w:r>
    </w:p>
    <w:p w:rsidR="00134A30" w:rsidRPr="0048465E" w:rsidRDefault="00F857D2" w:rsidP="004569A7">
      <w:pPr>
        <w:pStyle w:val="BodyText"/>
        <w:spacing w:line="276" w:lineRule="auto"/>
        <w:jc w:val="both"/>
      </w:pPr>
      <w:r w:rsidRPr="0048465E">
        <w:t xml:space="preserve">[36] </w:t>
      </w:r>
      <w:r w:rsidR="00363CE5">
        <w:rPr>
          <w:rFonts w:ascii="Arial" w:hAnsi="Arial" w:cs="Arial"/>
          <w:color w:val="222222"/>
          <w:sz w:val="20"/>
          <w:szCs w:val="20"/>
          <w:shd w:val="clear" w:color="auto" w:fill="FFFFFF"/>
        </w:rPr>
        <w:t>Medina, M., &amp; Castillo-Pino, E. (2019). An introduction to the epidemiology and burden of urinary tract infections. </w:t>
      </w:r>
      <w:r w:rsidR="00363CE5">
        <w:rPr>
          <w:rFonts w:ascii="Arial" w:hAnsi="Arial" w:cs="Arial"/>
          <w:i/>
          <w:iCs/>
          <w:color w:val="222222"/>
          <w:sz w:val="20"/>
          <w:szCs w:val="20"/>
          <w:shd w:val="clear" w:color="auto" w:fill="FFFFFF"/>
        </w:rPr>
        <w:t>Therapeutic advances in urology</w:t>
      </w:r>
      <w:r w:rsidR="00363CE5">
        <w:rPr>
          <w:rFonts w:ascii="Arial" w:hAnsi="Arial" w:cs="Arial"/>
          <w:color w:val="222222"/>
          <w:sz w:val="20"/>
          <w:szCs w:val="20"/>
          <w:shd w:val="clear" w:color="auto" w:fill="FFFFFF"/>
        </w:rPr>
        <w:t>, </w:t>
      </w:r>
      <w:r w:rsidR="00363CE5">
        <w:rPr>
          <w:rFonts w:ascii="Arial" w:hAnsi="Arial" w:cs="Arial"/>
          <w:i/>
          <w:iCs/>
          <w:color w:val="222222"/>
          <w:sz w:val="20"/>
          <w:szCs w:val="20"/>
          <w:shd w:val="clear" w:color="auto" w:fill="FFFFFF"/>
        </w:rPr>
        <w:t>11</w:t>
      </w:r>
      <w:r w:rsidR="00363CE5">
        <w:rPr>
          <w:rFonts w:ascii="Arial" w:hAnsi="Arial" w:cs="Arial"/>
          <w:color w:val="222222"/>
          <w:sz w:val="20"/>
          <w:szCs w:val="20"/>
          <w:shd w:val="clear" w:color="auto" w:fill="FFFFFF"/>
        </w:rPr>
        <w:t>, 1756287219832172.</w:t>
      </w:r>
    </w:p>
    <w:p w:rsidR="001F117D" w:rsidRDefault="00F857D2" w:rsidP="001F117D">
      <w:pPr>
        <w:jc w:val="both"/>
        <w:rPr>
          <w:rFonts w:ascii="Arial" w:eastAsia="Times New Roman" w:hAnsi="Arial" w:cs="Arial"/>
          <w:sz w:val="18"/>
          <w:szCs w:val="18"/>
        </w:rPr>
      </w:pPr>
      <w:r w:rsidRPr="0048465E">
        <w:t xml:space="preserve">[37] </w:t>
      </w:r>
      <w:r w:rsidR="001F117D">
        <w:rPr>
          <w:rFonts w:ascii="Arial" w:eastAsia="Times New Roman" w:hAnsi="Arial" w:cs="Arial"/>
          <w:sz w:val="18"/>
          <w:szCs w:val="18"/>
        </w:rPr>
        <w:t xml:space="preserve">Flores-Mireles, A. L., Walker, J. N., </w:t>
      </w:r>
      <w:proofErr w:type="spellStart"/>
      <w:r w:rsidR="001F117D">
        <w:rPr>
          <w:rFonts w:ascii="Arial" w:eastAsia="Times New Roman" w:hAnsi="Arial" w:cs="Arial"/>
          <w:sz w:val="18"/>
          <w:szCs w:val="18"/>
        </w:rPr>
        <w:t>Caparon</w:t>
      </w:r>
      <w:proofErr w:type="spellEnd"/>
      <w:r w:rsidR="001F117D">
        <w:rPr>
          <w:rFonts w:ascii="Arial" w:eastAsia="Times New Roman" w:hAnsi="Arial" w:cs="Arial"/>
          <w:sz w:val="18"/>
          <w:szCs w:val="18"/>
        </w:rPr>
        <w:t>, M., &amp; Hultgren, S. J. (2015). Urinary tract infections: epidemiology, mechanisms of infection and treatment options. Nature Reviews Microbiology, 13(5), 269–284. https://doi.org/10.1038/nrmicro3432</w:t>
      </w:r>
    </w:p>
    <w:p w:rsidR="00134A30" w:rsidRPr="0048465E" w:rsidRDefault="00363CE5" w:rsidP="004569A7">
      <w:pPr>
        <w:pStyle w:val="BodyText"/>
        <w:spacing w:line="276" w:lineRule="auto"/>
        <w:jc w:val="both"/>
      </w:pPr>
      <w:r w:rsidRPr="0048465E">
        <w:lastRenderedPageBreak/>
        <w:t xml:space="preserve"> </w:t>
      </w:r>
      <w:r w:rsidR="00F857D2" w:rsidRPr="0048465E">
        <w:t>[</w:t>
      </w:r>
      <w:r>
        <w:t>38</w:t>
      </w:r>
      <w:r w:rsidR="00F857D2" w:rsidRPr="0048465E">
        <w:t xml:space="preserve">] </w:t>
      </w:r>
      <w:proofErr w:type="spellStart"/>
      <w:r w:rsidR="001F117D">
        <w:rPr>
          <w:rFonts w:ascii="Arial" w:eastAsia="Times New Roman" w:hAnsi="Arial" w:cs="Arial"/>
          <w:sz w:val="18"/>
          <w:szCs w:val="18"/>
        </w:rPr>
        <w:t>Bonkat</w:t>
      </w:r>
      <w:proofErr w:type="spellEnd"/>
      <w:r w:rsidR="001F117D">
        <w:rPr>
          <w:rFonts w:ascii="Arial" w:eastAsia="Times New Roman" w:hAnsi="Arial" w:cs="Arial"/>
          <w:sz w:val="18"/>
          <w:szCs w:val="18"/>
        </w:rPr>
        <w:t xml:space="preserve">, G., </w:t>
      </w:r>
      <w:proofErr w:type="spellStart"/>
      <w:r w:rsidR="001F117D">
        <w:rPr>
          <w:rFonts w:ascii="Arial" w:eastAsia="Times New Roman" w:hAnsi="Arial" w:cs="Arial"/>
          <w:sz w:val="18"/>
          <w:szCs w:val="18"/>
        </w:rPr>
        <w:t>Bartoletti</w:t>
      </w:r>
      <w:proofErr w:type="spellEnd"/>
      <w:r w:rsidR="001F117D">
        <w:rPr>
          <w:rFonts w:ascii="Arial" w:eastAsia="Times New Roman" w:hAnsi="Arial" w:cs="Arial"/>
          <w:sz w:val="18"/>
          <w:szCs w:val="18"/>
        </w:rPr>
        <w:t xml:space="preserve">, R., </w:t>
      </w:r>
      <w:proofErr w:type="spellStart"/>
      <w:r w:rsidR="001F117D">
        <w:rPr>
          <w:rFonts w:ascii="Arial" w:eastAsia="Times New Roman" w:hAnsi="Arial" w:cs="Arial"/>
          <w:sz w:val="18"/>
          <w:szCs w:val="18"/>
        </w:rPr>
        <w:t>Bruyère</w:t>
      </w:r>
      <w:proofErr w:type="spellEnd"/>
      <w:r w:rsidR="001F117D">
        <w:rPr>
          <w:rFonts w:ascii="Arial" w:eastAsia="Times New Roman" w:hAnsi="Arial" w:cs="Arial"/>
          <w:sz w:val="18"/>
          <w:szCs w:val="18"/>
        </w:rPr>
        <w:t xml:space="preserve">, F., Cai, T., </w:t>
      </w:r>
      <w:proofErr w:type="spellStart"/>
      <w:r w:rsidR="001F117D">
        <w:rPr>
          <w:rFonts w:ascii="Arial" w:eastAsia="Times New Roman" w:hAnsi="Arial" w:cs="Arial"/>
          <w:sz w:val="18"/>
          <w:szCs w:val="18"/>
        </w:rPr>
        <w:t>Geerlings</w:t>
      </w:r>
      <w:proofErr w:type="spellEnd"/>
      <w:r w:rsidR="001F117D">
        <w:rPr>
          <w:rFonts w:ascii="Arial" w:eastAsia="Times New Roman" w:hAnsi="Arial" w:cs="Arial"/>
          <w:sz w:val="18"/>
          <w:szCs w:val="18"/>
        </w:rPr>
        <w:t xml:space="preserve">, S. E., </w:t>
      </w:r>
      <w:proofErr w:type="spellStart"/>
      <w:r w:rsidR="001F117D">
        <w:rPr>
          <w:rFonts w:ascii="Arial" w:eastAsia="Times New Roman" w:hAnsi="Arial" w:cs="Arial"/>
          <w:sz w:val="18"/>
          <w:szCs w:val="18"/>
        </w:rPr>
        <w:t>Köves</w:t>
      </w:r>
      <w:proofErr w:type="spellEnd"/>
      <w:r w:rsidR="001F117D">
        <w:rPr>
          <w:rFonts w:ascii="Arial" w:eastAsia="Times New Roman" w:hAnsi="Arial" w:cs="Arial"/>
          <w:sz w:val="18"/>
          <w:szCs w:val="18"/>
        </w:rPr>
        <w:t xml:space="preserve">, B., Schubert, S., &amp; </w:t>
      </w:r>
      <w:proofErr w:type="spellStart"/>
      <w:r w:rsidR="001F117D">
        <w:rPr>
          <w:rFonts w:ascii="Arial" w:eastAsia="Times New Roman" w:hAnsi="Arial" w:cs="Arial"/>
          <w:sz w:val="18"/>
          <w:szCs w:val="18"/>
        </w:rPr>
        <w:t>Wagenlehner</w:t>
      </w:r>
      <w:proofErr w:type="spellEnd"/>
      <w:r w:rsidR="001F117D">
        <w:rPr>
          <w:rFonts w:ascii="Arial" w:eastAsia="Times New Roman" w:hAnsi="Arial" w:cs="Arial"/>
          <w:sz w:val="18"/>
          <w:szCs w:val="18"/>
        </w:rPr>
        <w:t>, F. (2022). EAU Guidelines on Urological Infections (Limited Text Update March 2022). European Association of Urology Guidelines Office. https://www.auanet.org/guidelines-and-quality/guidelines/urological-infections-guidelines-2022</w:t>
      </w:r>
    </w:p>
    <w:bookmarkEnd w:id="0"/>
    <w:bookmarkEnd w:id="16"/>
    <w:p w:rsidR="00134A30" w:rsidRPr="0048465E" w:rsidRDefault="00134A30">
      <w:pPr>
        <w:pStyle w:val="BodyText"/>
      </w:pPr>
    </w:p>
    <w:sectPr w:rsidR="00134A30" w:rsidRPr="0048465E" w:rsidSect="0087558B">
      <w:footerReference w:type="default" r:id="rId8"/>
      <w:pgSz w:w="12240" w:h="15840"/>
      <w:pgMar w:top="851"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6C06" w:rsidRDefault="00576C06">
      <w:pPr>
        <w:spacing w:after="0"/>
      </w:pPr>
      <w:r>
        <w:separator/>
      </w:r>
    </w:p>
  </w:endnote>
  <w:endnote w:type="continuationSeparator" w:id="0">
    <w:p w:rsidR="00576C06" w:rsidRDefault="00576C0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01500595"/>
      <w:docPartObj>
        <w:docPartGallery w:val="Page Numbers (Bottom of Page)"/>
        <w:docPartUnique/>
      </w:docPartObj>
    </w:sdtPr>
    <w:sdtEndPr/>
    <w:sdtContent>
      <w:p w:rsidR="00F81C73" w:rsidRDefault="00F81C73">
        <w:pPr>
          <w:pStyle w:val="Footer"/>
          <w:jc w:val="center"/>
        </w:pPr>
        <w:r>
          <w:fldChar w:fldCharType="begin"/>
        </w:r>
        <w:r>
          <w:instrText>PAGE   \* MERGEFORMAT</w:instrText>
        </w:r>
        <w:r>
          <w:fldChar w:fldCharType="separate"/>
        </w:r>
        <w:r w:rsidR="00363196" w:rsidRPr="00363196">
          <w:rPr>
            <w:rFonts w:cs="Cambria"/>
            <w:noProof/>
            <w:lang w:val="ar-SA"/>
          </w:rPr>
          <w:t>1</w:t>
        </w:r>
        <w:r>
          <w:fldChar w:fldCharType="end"/>
        </w:r>
      </w:p>
    </w:sdtContent>
  </w:sdt>
  <w:p w:rsidR="00F81C73" w:rsidRDefault="00F81C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6C06" w:rsidRDefault="00576C06">
      <w:r>
        <w:separator/>
      </w:r>
    </w:p>
  </w:footnote>
  <w:footnote w:type="continuationSeparator" w:id="0">
    <w:p w:rsidR="00576C06" w:rsidRDefault="00576C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A990"/>
    <w:multiLevelType w:val="multilevel"/>
    <w:tmpl w:val="388CC258"/>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00A991"/>
    <w:multiLevelType w:val="multilevel"/>
    <w:tmpl w:val="66622604"/>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3">
    <w:abstractNumId w:val="1"/>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NLQ0MjI2s7Q0MDA1MjBX0lEKTi0uzszPAykwqgUA9X3MpiwAAAA="/>
  </w:docVars>
  <w:rsids>
    <w:rsidRoot w:val="00134A30"/>
    <w:rsid w:val="00030462"/>
    <w:rsid w:val="00037881"/>
    <w:rsid w:val="00056AE2"/>
    <w:rsid w:val="00076989"/>
    <w:rsid w:val="000B6EE8"/>
    <w:rsid w:val="000F3B4A"/>
    <w:rsid w:val="00123DC9"/>
    <w:rsid w:val="00134A30"/>
    <w:rsid w:val="001816F0"/>
    <w:rsid w:val="00182A15"/>
    <w:rsid w:val="001E50ED"/>
    <w:rsid w:val="001F117D"/>
    <w:rsid w:val="00281188"/>
    <w:rsid w:val="00297B17"/>
    <w:rsid w:val="003571E1"/>
    <w:rsid w:val="00363196"/>
    <w:rsid w:val="00363CE5"/>
    <w:rsid w:val="00365E30"/>
    <w:rsid w:val="003E5092"/>
    <w:rsid w:val="004569A7"/>
    <w:rsid w:val="004678B5"/>
    <w:rsid w:val="0048465E"/>
    <w:rsid w:val="004949D9"/>
    <w:rsid w:val="00532559"/>
    <w:rsid w:val="00557C90"/>
    <w:rsid w:val="00576C06"/>
    <w:rsid w:val="00610331"/>
    <w:rsid w:val="00687101"/>
    <w:rsid w:val="006A5F66"/>
    <w:rsid w:val="006C2FF5"/>
    <w:rsid w:val="006E7295"/>
    <w:rsid w:val="00715A01"/>
    <w:rsid w:val="00725024"/>
    <w:rsid w:val="0076363D"/>
    <w:rsid w:val="007C668E"/>
    <w:rsid w:val="007D2E54"/>
    <w:rsid w:val="008731CE"/>
    <w:rsid w:val="0087558B"/>
    <w:rsid w:val="00906BDF"/>
    <w:rsid w:val="00977CC7"/>
    <w:rsid w:val="009D041D"/>
    <w:rsid w:val="00A34E2C"/>
    <w:rsid w:val="00A51351"/>
    <w:rsid w:val="00A54AC4"/>
    <w:rsid w:val="00AD53FD"/>
    <w:rsid w:val="00AD6749"/>
    <w:rsid w:val="00B168A0"/>
    <w:rsid w:val="00B40A7D"/>
    <w:rsid w:val="00BE2A87"/>
    <w:rsid w:val="00C66323"/>
    <w:rsid w:val="00C72BBD"/>
    <w:rsid w:val="00D91111"/>
    <w:rsid w:val="00DA1DDA"/>
    <w:rsid w:val="00DE02C9"/>
    <w:rsid w:val="00E46AF0"/>
    <w:rsid w:val="00EE5F5C"/>
    <w:rsid w:val="00F018DD"/>
    <w:rsid w:val="00F26B9A"/>
    <w:rsid w:val="00F51193"/>
    <w:rsid w:val="00F74A07"/>
    <w:rsid w:val="00F81C73"/>
    <w:rsid w:val="00F857D2"/>
    <w:rsid w:val="00FF4D52"/>
  </w:rsids>
  <m:mathPr>
    <m:mathFont m:val="Cambria Math"/>
    <m:brkBin m:val="before"/>
    <m:brkBinSub m:val="--"/>
    <m:smallFrac m:val="0"/>
    <m:dispDef/>
    <m:lMargin m:val="0"/>
    <m:rMargin m:val="0"/>
    <m:defJc m:val="centerGroup"/>
    <m:wrapRight/>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A1F23"/>
  <w15:docId w15:val="{1F07F262-77AC-4C97-BD7B-481D28CD1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5">
    <w:lsdException w:name="heading 2"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Header">
    <w:name w:val="header"/>
    <w:basedOn w:val="Normal"/>
    <w:link w:val="HeaderChar"/>
    <w:rsid w:val="00F81C73"/>
    <w:pPr>
      <w:tabs>
        <w:tab w:val="center" w:pos="4513"/>
        <w:tab w:val="right" w:pos="9026"/>
      </w:tabs>
      <w:spacing w:after="0"/>
    </w:pPr>
  </w:style>
  <w:style w:type="character" w:customStyle="1" w:styleId="HeaderChar">
    <w:name w:val="Header Char"/>
    <w:basedOn w:val="DefaultParagraphFont"/>
    <w:link w:val="Header"/>
    <w:rsid w:val="00F81C73"/>
  </w:style>
  <w:style w:type="paragraph" w:styleId="Footer">
    <w:name w:val="footer"/>
    <w:basedOn w:val="Normal"/>
    <w:link w:val="FooterChar"/>
    <w:uiPriority w:val="99"/>
    <w:rsid w:val="00F81C73"/>
    <w:pPr>
      <w:tabs>
        <w:tab w:val="center" w:pos="4513"/>
        <w:tab w:val="right" w:pos="9026"/>
      </w:tabs>
      <w:spacing w:after="0"/>
    </w:pPr>
  </w:style>
  <w:style w:type="character" w:customStyle="1" w:styleId="FooterChar">
    <w:name w:val="Footer Char"/>
    <w:basedOn w:val="DefaultParagraphFont"/>
    <w:link w:val="Footer"/>
    <w:uiPriority w:val="99"/>
    <w:rsid w:val="00F81C73"/>
  </w:style>
  <w:style w:type="table" w:styleId="TableGrid">
    <w:name w:val="Table Grid"/>
    <w:basedOn w:val="TableNormal"/>
    <w:rsid w:val="0087558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rit2">
    <w:name w:val="ori_t2"/>
    <w:basedOn w:val="Normal"/>
    <w:rsid w:val="00363CE5"/>
    <w:pPr>
      <w:spacing w:before="100" w:beforeAutospacing="1" w:after="100" w:afterAutospacing="1"/>
    </w:pPr>
    <w:rPr>
      <w:rFonts w:ascii="Times New Roman" w:eastAsia="Times New Roman" w:hAnsi="Times New Roman" w:cs="Times New Roman"/>
    </w:rPr>
  </w:style>
  <w:style w:type="paragraph" w:customStyle="1" w:styleId="orit3">
    <w:name w:val="ori_t3"/>
    <w:basedOn w:val="Normal"/>
    <w:rsid w:val="00363CE5"/>
    <w:pPr>
      <w:spacing w:before="100" w:beforeAutospacing="1" w:after="100" w:afterAutospacing="1"/>
    </w:pPr>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363C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3498593">
      <w:bodyDiv w:val="1"/>
      <w:marLeft w:val="0"/>
      <w:marRight w:val="0"/>
      <w:marTop w:val="0"/>
      <w:marBottom w:val="0"/>
      <w:divBdr>
        <w:top w:val="none" w:sz="0" w:space="0" w:color="auto"/>
        <w:left w:val="none" w:sz="0" w:space="0" w:color="auto"/>
        <w:bottom w:val="none" w:sz="0" w:space="0" w:color="auto"/>
        <w:right w:val="none" w:sz="0" w:space="0" w:color="auto"/>
      </w:divBdr>
    </w:div>
    <w:div w:id="15827124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doi.org/10.48022/mbl.2110.1001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248</TotalTime>
  <Pages>13</Pages>
  <Words>4167</Words>
  <Characters>23753</Characters>
  <Application>Microsoft Office Word</Application>
  <DocSecurity>0</DocSecurity>
  <Lines>197</Lines>
  <Paragraphs>55</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Enjoy My Fine Releases.</Company>
  <LinksUpToDate>false</LinksUpToDate>
  <CharactersWithSpaces>27865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SDI PC New 16</cp:lastModifiedBy>
  <cp:revision>68</cp:revision>
  <cp:lastPrinted>2025-11-13T20:53:00Z</cp:lastPrinted>
  <dcterms:created xsi:type="dcterms:W3CDTF">2025-11-13T20:29:00Z</dcterms:created>
  <dcterms:modified xsi:type="dcterms:W3CDTF">2026-01-08T05:36:00Z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f02be596-118b-48ae-a62c-00d7323fb03c</vt:lpwstr>
  </property>
</Properties>
</file>