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D70D" w14:textId="77777777" w:rsidR="00C07A90" w:rsidRDefault="008353AD">
      <w:pPr>
        <w:pStyle w:val="Heading1"/>
        <w:spacing w:before="82" w:line="276" w:lineRule="auto"/>
        <w:ind w:left="2502" w:right="36" w:hanging="1701"/>
        <w:jc w:val="both"/>
      </w:pPr>
      <w:r>
        <w:t>Short-Term</w:t>
      </w:r>
      <w:r>
        <w:rPr>
          <w:spacing w:val="-11"/>
        </w:rPr>
        <w:t xml:space="preserve"> </w:t>
      </w:r>
      <w:r>
        <w:t>Effects</w:t>
      </w:r>
      <w:r>
        <w:rPr>
          <w:spacing w:val="-10"/>
        </w:rPr>
        <w:t xml:space="preserve"> </w:t>
      </w:r>
      <w:r>
        <w:t>of</w:t>
      </w:r>
      <w:r>
        <w:rPr>
          <w:spacing w:val="-10"/>
        </w:rPr>
        <w:t xml:space="preserve"> </w:t>
      </w:r>
      <w:r>
        <w:t>ChatGPT-Assisted</w:t>
      </w:r>
      <w:r>
        <w:rPr>
          <w:spacing w:val="-11"/>
        </w:rPr>
        <w:t xml:space="preserve"> </w:t>
      </w:r>
      <w:r>
        <w:t>Instruction</w:t>
      </w:r>
      <w:r>
        <w:rPr>
          <w:spacing w:val="-10"/>
        </w:rPr>
        <w:t xml:space="preserve"> </w:t>
      </w:r>
      <w:r>
        <w:t>on</w:t>
      </w:r>
      <w:r>
        <w:rPr>
          <w:spacing w:val="-10"/>
        </w:rPr>
        <w:t xml:space="preserve"> </w:t>
      </w:r>
      <w:r>
        <w:t>Professional</w:t>
      </w:r>
      <w:r>
        <w:rPr>
          <w:spacing w:val="-10"/>
        </w:rPr>
        <w:t xml:space="preserve"> </w:t>
      </w:r>
      <w:r>
        <w:t>Email Writing Among Senior High School Learners</w:t>
      </w:r>
    </w:p>
    <w:p w14:paraId="7D83D0C8" w14:textId="77777777" w:rsidR="00C07A90" w:rsidRDefault="00C07A90">
      <w:pPr>
        <w:pStyle w:val="BodyText"/>
        <w:spacing w:before="0"/>
        <w:rPr>
          <w:b/>
        </w:rPr>
      </w:pPr>
    </w:p>
    <w:p w14:paraId="44ED784D" w14:textId="77777777" w:rsidR="00C07A90" w:rsidRDefault="00C07A90">
      <w:pPr>
        <w:pStyle w:val="BodyText"/>
        <w:spacing w:before="0"/>
        <w:rPr>
          <w:b/>
        </w:rPr>
      </w:pPr>
    </w:p>
    <w:p w14:paraId="652CEE53" w14:textId="77777777" w:rsidR="00C07A90" w:rsidRDefault="00C07A90">
      <w:pPr>
        <w:pStyle w:val="BodyText"/>
        <w:spacing w:before="0"/>
        <w:rPr>
          <w:b/>
        </w:rPr>
      </w:pPr>
    </w:p>
    <w:p w14:paraId="07BFC384" w14:textId="77777777" w:rsidR="00C07A90" w:rsidRDefault="00C07A90">
      <w:pPr>
        <w:pStyle w:val="BodyText"/>
        <w:spacing w:before="0"/>
        <w:rPr>
          <w:b/>
        </w:rPr>
      </w:pPr>
    </w:p>
    <w:p w14:paraId="62BC5EDD" w14:textId="77777777" w:rsidR="00C07A90" w:rsidRDefault="00C07A90">
      <w:pPr>
        <w:pStyle w:val="BodyText"/>
        <w:spacing w:before="207"/>
        <w:rPr>
          <w:b/>
        </w:rPr>
      </w:pPr>
    </w:p>
    <w:p w14:paraId="6F904229" w14:textId="77777777" w:rsidR="00C07A90" w:rsidRDefault="008353AD">
      <w:pPr>
        <w:ind w:left="359"/>
        <w:jc w:val="both"/>
        <w:rPr>
          <w:b/>
          <w:sz w:val="24"/>
          <w:szCs w:val="24"/>
        </w:rPr>
      </w:pPr>
      <w:r>
        <w:rPr>
          <w:b/>
          <w:spacing w:val="-2"/>
          <w:sz w:val="24"/>
          <w:szCs w:val="24"/>
        </w:rPr>
        <w:t>Abstract</w:t>
      </w:r>
    </w:p>
    <w:p w14:paraId="0C472518" w14:textId="77777777" w:rsidR="00C07A90" w:rsidRDefault="00C07A90">
      <w:pPr>
        <w:pStyle w:val="BodyText"/>
        <w:spacing w:before="5"/>
        <w:rPr>
          <w:b/>
        </w:rPr>
      </w:pPr>
    </w:p>
    <w:p w14:paraId="7C2601A1" w14:textId="4050A5D2" w:rsidR="005F6A6A" w:rsidRDefault="005F6A6A">
      <w:pPr>
        <w:pStyle w:val="NormalWeb"/>
        <w:ind w:leftChars="200" w:left="440"/>
      </w:pPr>
      <w:r w:rsidRPr="000D1E24">
        <w:rPr>
          <w:highlight w:val="yellow"/>
        </w:rPr>
        <w:t>This study examined whether a short, teacher-guided ChatGPT-supported writing module was associated with pre–post improvements in Grade 12 students’ professional email writing performance in an English for Academic and Professional Purposes (EAPP) context. Using a one-group pretest–posttest quasi-experimental design, 75 Senior High School students completed a professional email writing task before and after the intervention. The intervention was delivered across the class sessions and trained students to (a) generate and refine appropriate email content using structured prompts, (b) evaluate ChatGPT outputs critically against audience and purpose, and (c) revise drafts with teacher guidance and rubric-aligned criteria. To assess independent performance/transfer, the posttest writing task was completed without AI assistance. Student emails were rated using an analytic rubric covering email structure, clarity, tone, and accuracy. Paired-samples results indicated a statistically significant increase in overall writing scores from pretest (M = 11.97, SD = 2.07) to posttest (M = 14.93, SD = 1.93), t(74) = 11.28, p &lt; .001, reflecting a large pre–post improvement (Cohen’s dz = 1.30, paired). Component-level descriptives showed gains across all rubric dimensions, with the largest improvements observed in email structure and tone. Given the absence of a control/comparison group, the findings should be interpreted as preliminary evidence of association rather than definitive causal effects. Implications for teacher-mediated integration of generative AI tools in writing instruction and directions for stronger comparative designs are discussed.</w:t>
      </w:r>
    </w:p>
    <w:p w14:paraId="224C63A1" w14:textId="2FA8DCA9" w:rsidR="00C07A90" w:rsidRDefault="008353AD">
      <w:pPr>
        <w:pStyle w:val="NormalWeb"/>
        <w:ind w:leftChars="200" w:left="440"/>
      </w:pPr>
      <w:r>
        <w:rPr>
          <w:rStyle w:val="Strong"/>
        </w:rPr>
        <w:t>Keywords:</w:t>
      </w:r>
      <w:r>
        <w:t xml:space="preserve"> ChatGPT-assisted instruction,  professional email writing,  English for Academic and Professional Purposes,  senior high school students,  AI in writing education</w:t>
      </w:r>
    </w:p>
    <w:p w14:paraId="6796D933" w14:textId="77777777" w:rsidR="00C07A90" w:rsidRDefault="00C07A90">
      <w:pPr>
        <w:spacing w:line="276" w:lineRule="auto"/>
        <w:jc w:val="both"/>
        <w:rPr>
          <w:i/>
          <w:sz w:val="24"/>
          <w:szCs w:val="24"/>
        </w:rPr>
        <w:sectPr w:rsidR="00C07A90">
          <w:headerReference w:type="default" r:id="rId8"/>
          <w:type w:val="continuous"/>
          <w:pgSz w:w="12240" w:h="15840"/>
          <w:pgMar w:top="1340" w:right="1080" w:bottom="280" w:left="1080" w:header="44" w:footer="0" w:gutter="0"/>
          <w:pgNumType w:start="1"/>
          <w:cols w:space="720"/>
        </w:sectPr>
      </w:pPr>
    </w:p>
    <w:p w14:paraId="21175ED5" w14:textId="77777777" w:rsidR="00C07A90" w:rsidRDefault="00C07A90">
      <w:pPr>
        <w:pStyle w:val="BodyText"/>
        <w:spacing w:before="170"/>
        <w:rPr>
          <w:i/>
        </w:rPr>
      </w:pPr>
    </w:p>
    <w:p w14:paraId="189DDB09" w14:textId="77777777" w:rsidR="00C07A90" w:rsidRDefault="008353AD">
      <w:pPr>
        <w:pStyle w:val="Heading1"/>
        <w:ind w:left="0" w:firstLineChars="186" w:firstLine="444"/>
        <w:jc w:val="both"/>
      </w:pPr>
      <w:r>
        <w:rPr>
          <w:spacing w:val="-2"/>
        </w:rPr>
        <w:t>Introduction</w:t>
      </w:r>
    </w:p>
    <w:p w14:paraId="7AE8B0F2" w14:textId="77777777" w:rsidR="00C07A90" w:rsidRDefault="00C07A90">
      <w:pPr>
        <w:pStyle w:val="BodyText"/>
        <w:spacing w:before="5"/>
        <w:rPr>
          <w:b/>
        </w:rPr>
      </w:pPr>
    </w:p>
    <w:p w14:paraId="4BD93B75" w14:textId="77777777" w:rsidR="00C07A90" w:rsidRDefault="008353AD">
      <w:pPr>
        <w:pStyle w:val="NormalWeb"/>
        <w:ind w:leftChars="200" w:left="440" w:firstLine="716"/>
        <w:jc w:val="both"/>
        <w:rPr>
          <w:rFonts w:ascii="Arial" w:hAnsi="Arial" w:cs="Arial"/>
        </w:rPr>
      </w:pPr>
      <w:r>
        <w:rPr>
          <w:rFonts w:ascii="Arial" w:hAnsi="Arial" w:cs="Arial"/>
        </w:rPr>
        <w:t>In contemporary academic and professional contexts, effective written communication has become an essential life skill, particularly in digitally mediated environments where professional emails serve as a primary mode of interaction. Within the framework of English for Academic and Professional Purposes (EAPP), senior high school students are expected to develop the ability to produce formal, audience-appropriate, and purpose-driven texts that meet both academic and workplace demands. For Grade 12 students approaching graduation, the ability to compose clear, polite, and well-structured professional emails is increasingly important as they prepare for higher education, internships, employment, and workplace communication. However, despite its practical relevance, professional email writing remains a challenging skill for many learners, especially in contexts where formal writing instruction has traditionally emphasized academic essays and examination-oriented writing rather than workplace-based genres (Sujinpram &amp; Wannaruk, 2024).</w:t>
      </w:r>
    </w:p>
    <w:p w14:paraId="67CAE7F8" w14:textId="77777777" w:rsidR="00C07A90" w:rsidRDefault="008353AD">
      <w:pPr>
        <w:pStyle w:val="NormalWeb"/>
        <w:ind w:leftChars="200" w:left="440" w:firstLine="716"/>
        <w:jc w:val="both"/>
        <w:rPr>
          <w:rFonts w:ascii="Arial" w:hAnsi="Arial" w:cs="Arial"/>
        </w:rPr>
      </w:pPr>
      <w:r>
        <w:rPr>
          <w:rFonts w:ascii="Arial" w:hAnsi="Arial" w:cs="Arial"/>
        </w:rPr>
        <w:t>Professional email writing requires a distinct set of competencies emphasized in EAPP instruction, including appropriate tone, concise organization, audience awareness, and adherence to conventional formats such as subject lines, greetings, and closings. In many senior high school classrooms, students are commonly taught genres such as essays, reports, reflections, and summaries, while professional correspondence is often introduced only implicitly or addressed briefly as part of broader writing instruction. As a result, learners frequently struggle with professional email conventions, producing messages that are overly informal, unclear in purpose, or grammatically inaccurate (Barbour, 2020). These challenges are particularly evident among students transitioning from academic writing tasks to real-world professional communication, where expectations differ significantly from traditional school-based writing. Consequently, there is a growing need for instructional approaches within the EAPP curriculum that explicitly address professional writing genres and provide structured support during the writing process.</w:t>
      </w:r>
    </w:p>
    <w:p w14:paraId="6E320795" w14:textId="79613A47" w:rsidR="00C07A90" w:rsidRDefault="008353AD">
      <w:pPr>
        <w:pStyle w:val="NormalWeb"/>
        <w:ind w:leftChars="200" w:left="440" w:firstLine="716"/>
        <w:jc w:val="both"/>
        <w:rPr>
          <w:rFonts w:ascii="Arial" w:hAnsi="Arial" w:cs="Arial"/>
        </w:rPr>
      </w:pPr>
      <w:r>
        <w:rPr>
          <w:rFonts w:ascii="Arial" w:hAnsi="Arial" w:cs="Arial"/>
        </w:rPr>
        <w:t xml:space="preserve">In recent years, artificial intelligence (AI) tools have emerged as potential supports for writing instruction, offering learners immediate feedback, exemplars, and language scaffolding aligned with EAPP objectives. Among these tools, conversational AI systems such as ChatGPT have gained attention for their capacity to generate contextually appropriate text, suggest revisions, and model effective writing practices. In educational settings, ChatGPT has been explored as a supplementary instructional aid that can assist students in planning, drafting, and revising written work (O’Brien-Melford &amp; Gador, 2025). </w:t>
      </w:r>
      <w:r w:rsidR="000369BB" w:rsidRPr="000369BB">
        <w:rPr>
          <w:rFonts w:ascii="Arial" w:hAnsi="Arial" w:cs="Arial"/>
          <w:highlight w:val="yellow"/>
        </w:rPr>
        <w:t>While existing studies have demonstrated the potential of AI-assisted instruction to enhance various forms of academic writing (Sazandeh &amp; Beiki, 2025),</w:t>
      </w:r>
      <w:r w:rsidR="000369BB">
        <w:rPr>
          <w:rFonts w:ascii="Arial" w:hAnsi="Arial" w:cs="Arial"/>
        </w:rPr>
        <w:t xml:space="preserve"> </w:t>
      </w:r>
      <w:r>
        <w:rPr>
          <w:rFonts w:ascii="Arial" w:hAnsi="Arial" w:cs="Arial"/>
        </w:rPr>
        <w:t>there remains limited empirical evidence on its effectiveness in supporting professional and workplace-oriented genres central to EAPP, particularly at the senior high school level.</w:t>
      </w:r>
    </w:p>
    <w:p w14:paraId="1059CDF3" w14:textId="77777777" w:rsidR="00C07A90" w:rsidRDefault="008353AD">
      <w:pPr>
        <w:pStyle w:val="NormalWeb"/>
        <w:ind w:leftChars="200" w:left="440" w:firstLine="716"/>
        <w:jc w:val="both"/>
        <w:rPr>
          <w:rFonts w:ascii="Arial" w:hAnsi="Arial" w:cs="Arial"/>
        </w:rPr>
      </w:pPr>
      <w:r>
        <w:rPr>
          <w:rFonts w:ascii="Arial" w:hAnsi="Arial" w:cs="Arial"/>
        </w:rPr>
        <w:t xml:space="preserve">Within the Philippine educational context, Senior High School curricula emphasize the development of communication skills that respond to both academic and practical demands, as articulated in the EAPP subject. Grade 12 students are expected to demonstrate readiness for life after high school, including both tertiary education and employment (Department of Education, 2020). Despite this expectation, many learners have limited opportunities to engage in authentic professional writing tasks, such as </w:t>
      </w:r>
      <w:r>
        <w:rPr>
          <w:rFonts w:ascii="Arial" w:hAnsi="Arial" w:cs="Arial"/>
        </w:rPr>
        <w:lastRenderedPageBreak/>
        <w:t>composing emails addressed to supervisors, employers, or institutional authorities. Instruction in professional email writing is often constrained by limited instructional time, large class sizes, and the need for individualized feedback, factors that may restrict students’ opportunities to refine their EAPP-related writing competencies.</w:t>
      </w:r>
    </w:p>
    <w:p w14:paraId="603EAFA1" w14:textId="77777777" w:rsidR="00C07A90" w:rsidRDefault="008353AD">
      <w:pPr>
        <w:pStyle w:val="NormalWeb"/>
        <w:ind w:leftChars="200" w:left="440" w:firstLine="716"/>
        <w:jc w:val="both"/>
        <w:rPr>
          <w:rFonts w:ascii="Arial" w:hAnsi="Arial" w:cs="Arial"/>
        </w:rPr>
      </w:pPr>
      <w:r>
        <w:rPr>
          <w:rFonts w:ascii="Arial" w:hAnsi="Arial" w:cs="Arial"/>
        </w:rPr>
        <w:t>ChatGPT-assisted instruction presents a promising approach to addressing these instructional challenges within EAPP classrooms (Diego &amp; Protacio, 2025). By providing guided prompts, model responses, and language suggestions, ChatGPT can function as a supplementary writing support that assists learners during short-term instructional interventions (Levine et al., 2024). When integrated responsibly and pedagogically, AI-assisted tools may help students improve key components of professional email writing emphasized in EAPP, including structure, clarity, tone, and grammatical accuracy. However, concerns remain regarding the pedagogical value of such tools, particularly whether observed improvements reflect genuine skill development rather than surface-level editing or overreliance on AI-generated text (Ghafouri et al., 2024). These concerns underscore the importance of empirically examining the short-term instructional effects of ChatGPT within controlled classroom settings.</w:t>
      </w:r>
    </w:p>
    <w:p w14:paraId="5FE490D9" w14:textId="77777777" w:rsidR="00C07A90" w:rsidRDefault="008353AD">
      <w:pPr>
        <w:pStyle w:val="NormalWeb"/>
        <w:ind w:leftChars="200" w:left="440" w:firstLine="716"/>
        <w:jc w:val="both"/>
        <w:rPr>
          <w:rFonts w:ascii="Arial" w:hAnsi="Arial" w:cs="Arial"/>
        </w:rPr>
      </w:pPr>
      <w:r>
        <w:rPr>
          <w:rFonts w:ascii="Arial" w:hAnsi="Arial" w:cs="Arial"/>
        </w:rPr>
        <w:t>Although numerous studies have examined the integration of artificial intelligence in classroom instruction, relatively little attention has been given to its application within specific workplace-oriented writing genres associated with EAPP. Existing research has largely focused on university students or adult learners, leaving a gap in understanding how senior high school learners, particularly those nearing workforce entry, respond to AI-supported writing instruction (Duong et al., 2024; Khampusaen, 2025; Mali, 2025). Moreover, professional email writing remains underexamined as a distinct instructional genre, despite its central role in students’ future academic, institutional, and professional communication.</w:t>
      </w:r>
    </w:p>
    <w:p w14:paraId="5E95BB1C" w14:textId="77777777" w:rsidR="00C07A90" w:rsidRDefault="008353AD">
      <w:pPr>
        <w:pStyle w:val="NormalWeb"/>
        <w:ind w:leftChars="200" w:left="440" w:firstLine="716"/>
        <w:jc w:val="both"/>
        <w:rPr>
          <w:rFonts w:ascii="Arial" w:hAnsi="Arial" w:cs="Arial"/>
        </w:rPr>
      </w:pPr>
      <w:r>
        <w:rPr>
          <w:rFonts w:ascii="Arial" w:hAnsi="Arial" w:cs="Arial"/>
        </w:rPr>
        <w:t>To address these gaps, the present study investigates the short-term effects of ChatGPT-assisted instruction on professional email writing among Grade 12 Senior High School students in a private school in Lapu-Lapu City, Cebu, Philippines. Using a quasi-experimental one-group pretest–posttest design, the study examines whether guided exposure to ChatGPT-assisted instructional activities leads to measurable improvements in students’ professional email writing performance. Specifically, the study focuses on changes in overall writing quality and in selected writing components emphasized in EAPP, including email structure, message clarity, professional tone, and language accuracy.</w:t>
      </w:r>
    </w:p>
    <w:p w14:paraId="3137F8B0" w14:textId="77777777" w:rsidR="00C07A90" w:rsidRDefault="008353AD">
      <w:pPr>
        <w:pStyle w:val="NormalWeb"/>
        <w:ind w:leftChars="200" w:left="440" w:firstLine="716"/>
        <w:jc w:val="both"/>
        <w:rPr>
          <w:rFonts w:ascii="Arial" w:hAnsi="Arial" w:cs="Arial"/>
        </w:rPr>
      </w:pPr>
      <w:r>
        <w:rPr>
          <w:rFonts w:ascii="Arial" w:hAnsi="Arial" w:cs="Arial"/>
        </w:rPr>
        <w:t>By situating professional email writing within an AI-assisted instructional framework grounded in EAPP, this study contributes to the growing body of literature on technology-enhanced language learning and workplace communication pedagogy. The findings are expected to provide practical insights for senior high school teachers and curriculum designers seeking to integrate AI tools responsibly into EAPP instruction. Ultimately, the study highlights how ChatGPT-assisted instruction, when mediated by teachers and aligned with curricular goals, can serve as a pedagogical support that enhances students’ preparedness for real-world written communication.</w:t>
      </w:r>
    </w:p>
    <w:p w14:paraId="4B4C57C5" w14:textId="77777777" w:rsidR="00C07A90" w:rsidRDefault="00C07A90">
      <w:pPr>
        <w:pStyle w:val="BodyText"/>
        <w:spacing w:line="276" w:lineRule="auto"/>
        <w:ind w:left="360" w:right="361" w:firstLine="720"/>
      </w:pPr>
    </w:p>
    <w:p w14:paraId="4AD0069E" w14:textId="77777777" w:rsidR="00C07A90" w:rsidRDefault="00C07A90">
      <w:pPr>
        <w:pStyle w:val="BodyText"/>
        <w:spacing w:before="0"/>
      </w:pPr>
    </w:p>
    <w:p w14:paraId="299AC460" w14:textId="77777777" w:rsidR="00C07A90" w:rsidRDefault="00C07A90">
      <w:pPr>
        <w:pStyle w:val="BodyText"/>
        <w:spacing w:before="0"/>
      </w:pPr>
    </w:p>
    <w:p w14:paraId="316C5CB6" w14:textId="77777777" w:rsidR="00C07A90" w:rsidRDefault="00C07A90">
      <w:pPr>
        <w:pStyle w:val="BodyText"/>
        <w:spacing w:before="85"/>
      </w:pPr>
    </w:p>
    <w:p w14:paraId="252D70AF" w14:textId="77777777" w:rsidR="00C07A90" w:rsidRDefault="008353AD">
      <w:pPr>
        <w:pStyle w:val="Heading1"/>
        <w:tabs>
          <w:tab w:val="left" w:pos="220"/>
        </w:tabs>
        <w:ind w:leftChars="200" w:left="440"/>
        <w:jc w:val="both"/>
      </w:pPr>
      <w:r>
        <w:lastRenderedPageBreak/>
        <w:t xml:space="preserve">Research </w:t>
      </w:r>
      <w:r>
        <w:rPr>
          <w:spacing w:val="-2"/>
        </w:rPr>
        <w:t>Questions</w:t>
      </w:r>
    </w:p>
    <w:p w14:paraId="5B48B6C0" w14:textId="77777777" w:rsidR="00C07A90" w:rsidRDefault="008353AD">
      <w:pPr>
        <w:pStyle w:val="NormalWeb"/>
        <w:tabs>
          <w:tab w:val="left" w:pos="220"/>
        </w:tabs>
        <w:ind w:leftChars="200" w:left="440"/>
        <w:rPr>
          <w:rFonts w:ascii="Arial" w:hAnsi="Arial" w:cs="Arial"/>
        </w:rPr>
      </w:pPr>
      <w:r>
        <w:rPr>
          <w:rFonts w:ascii="Arial" w:hAnsi="Arial" w:cs="Arial"/>
        </w:rPr>
        <w:t>This study examined the short-term effects of ChatGPT-assisted instruction on the professional email writing performance of Grade 12 Senior High School students. Specifically, it sought to answer the following research questions:</w:t>
      </w:r>
    </w:p>
    <w:p w14:paraId="0F97C10A" w14:textId="77777777" w:rsidR="00C07A90" w:rsidRDefault="008353AD">
      <w:pPr>
        <w:pStyle w:val="NormalWeb"/>
        <w:numPr>
          <w:ilvl w:val="0"/>
          <w:numId w:val="1"/>
        </w:numPr>
        <w:tabs>
          <w:tab w:val="left" w:pos="220"/>
        </w:tabs>
        <w:ind w:leftChars="200" w:left="440"/>
        <w:rPr>
          <w:rFonts w:ascii="Arial" w:hAnsi="Arial" w:cs="Arial"/>
        </w:rPr>
      </w:pPr>
      <w:r>
        <w:rPr>
          <w:rStyle w:val="Strong"/>
          <w:rFonts w:ascii="Arial" w:hAnsi="Arial" w:cs="Arial"/>
          <w:b w:val="0"/>
          <w:bCs w:val="0"/>
        </w:rPr>
        <w:t>What difference exists</w:t>
      </w:r>
      <w:r>
        <w:rPr>
          <w:rFonts w:ascii="Arial" w:hAnsi="Arial" w:cs="Arial"/>
        </w:rPr>
        <w:t xml:space="preserve"> between the pretest and posttest professional email writing scores of Grade 12 Senior High School students following ChatGPT-assisted instruction?</w:t>
      </w:r>
    </w:p>
    <w:p w14:paraId="4BD55594" w14:textId="77777777" w:rsidR="00C07A90" w:rsidRDefault="008353AD">
      <w:pPr>
        <w:pStyle w:val="NormalWeb"/>
        <w:numPr>
          <w:ilvl w:val="0"/>
          <w:numId w:val="1"/>
        </w:numPr>
        <w:tabs>
          <w:tab w:val="left" w:pos="220"/>
        </w:tabs>
        <w:ind w:leftChars="200" w:left="440"/>
        <w:rPr>
          <w:rFonts w:ascii="Arial" w:hAnsi="Arial" w:cs="Arial"/>
        </w:rPr>
      </w:pPr>
      <w:r>
        <w:rPr>
          <w:rStyle w:val="Strong"/>
          <w:rFonts w:ascii="Arial" w:hAnsi="Arial" w:cs="Arial"/>
          <w:b w:val="0"/>
          <w:bCs w:val="0"/>
        </w:rPr>
        <w:t>To what extent does ChatGPT-assisted instruction improve</w:t>
      </w:r>
      <w:r>
        <w:rPr>
          <w:rFonts w:ascii="Arial" w:hAnsi="Arial" w:cs="Arial"/>
        </w:rPr>
        <w:t xml:space="preserve"> professional email writing in terms of:</w:t>
      </w:r>
      <w:r>
        <w:rPr>
          <w:rFonts w:ascii="Arial" w:hAnsi="Arial" w:cs="Arial"/>
        </w:rPr>
        <w:br/>
        <w:t>    2.1 email structure;</w:t>
      </w:r>
      <w:r>
        <w:rPr>
          <w:rFonts w:ascii="Arial" w:hAnsi="Arial" w:cs="Arial"/>
        </w:rPr>
        <w:br/>
        <w:t>    2.2 message clarity;</w:t>
      </w:r>
      <w:r>
        <w:rPr>
          <w:rFonts w:ascii="Arial" w:hAnsi="Arial" w:cs="Arial"/>
        </w:rPr>
        <w:br/>
        <w:t>    2.3 professional tone; and</w:t>
      </w:r>
      <w:r>
        <w:rPr>
          <w:rFonts w:ascii="Arial" w:hAnsi="Arial" w:cs="Arial"/>
        </w:rPr>
        <w:br/>
        <w:t>    2.4 language accuracy?</w:t>
      </w:r>
    </w:p>
    <w:p w14:paraId="5240EA67" w14:textId="77777777" w:rsidR="00C07A90" w:rsidRDefault="008353AD">
      <w:pPr>
        <w:pStyle w:val="NormalWeb"/>
        <w:numPr>
          <w:ilvl w:val="0"/>
          <w:numId w:val="1"/>
        </w:numPr>
        <w:tabs>
          <w:tab w:val="left" w:pos="220"/>
        </w:tabs>
        <w:ind w:leftChars="200" w:left="440"/>
        <w:rPr>
          <w:rFonts w:ascii="Arial" w:hAnsi="Arial" w:cs="Arial"/>
        </w:rPr>
      </w:pPr>
      <w:r>
        <w:rPr>
          <w:rStyle w:val="Strong"/>
          <w:rFonts w:ascii="Arial" w:hAnsi="Arial" w:cs="Arial"/>
          <w:b w:val="0"/>
          <w:bCs w:val="0"/>
        </w:rPr>
        <w:t>To what extent does ChatGPT-assisted instruction enhance</w:t>
      </w:r>
      <w:r>
        <w:rPr>
          <w:rFonts w:ascii="Arial" w:hAnsi="Arial" w:cs="Arial"/>
        </w:rPr>
        <w:t xml:space="preserve"> the overall quality of professional email writing among Grade 12 Senior High School students?</w:t>
      </w:r>
    </w:p>
    <w:p w14:paraId="1F6D50E1" w14:textId="77777777" w:rsidR="00C07A90" w:rsidRDefault="00C07A90">
      <w:pPr>
        <w:pStyle w:val="BodyText"/>
        <w:spacing w:before="170"/>
        <w:ind w:leftChars="200" w:left="440"/>
      </w:pPr>
    </w:p>
    <w:p w14:paraId="3FC48AF3" w14:textId="77777777" w:rsidR="00C07A90" w:rsidRDefault="008353AD">
      <w:pPr>
        <w:pStyle w:val="Heading2"/>
        <w:widowControl/>
        <w:ind w:leftChars="200" w:left="440"/>
        <w:jc w:val="both"/>
        <w:rPr>
          <w:i w:val="0"/>
          <w:iCs w:val="0"/>
        </w:rPr>
      </w:pPr>
      <w:r>
        <w:rPr>
          <w:i w:val="0"/>
          <w:iCs w:val="0"/>
        </w:rPr>
        <w:t>Research Methodology</w:t>
      </w:r>
    </w:p>
    <w:p w14:paraId="7213637E"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Research Design</w:t>
      </w:r>
    </w:p>
    <w:p w14:paraId="6CDCC318" w14:textId="77777777" w:rsidR="00C07A90" w:rsidRDefault="008353AD">
      <w:pPr>
        <w:pStyle w:val="NormalWeb"/>
        <w:ind w:leftChars="200" w:left="440" w:firstLine="716"/>
        <w:jc w:val="both"/>
        <w:rPr>
          <w:rFonts w:ascii="Arial" w:hAnsi="Arial" w:cs="Arial"/>
        </w:rPr>
      </w:pPr>
      <w:r>
        <w:rPr>
          <w:rFonts w:ascii="Arial" w:hAnsi="Arial" w:cs="Arial"/>
        </w:rPr>
        <w:t>The study adopted a quasi-experimental one-group pretest–posttest research design to examine the short-term instructional effects of ChatGPT-assisted instruction on students’ professional email writing performance. In this design, the same group of students was assessed before and after exposure to a structured instructional intervention that integrated guided use of ChatGPT. This approach was appropriate for a classroom-based setting where random assignment to separate control and experimental groups was not practical. The design allowed for a direct comparison of students’ writing performance prior to and following the intervention, enabling the examination of learning gains associated with the instructional strategy. By focusing on within-group changes, the design provided a practical means of evaluating the immediate instructional impact of ChatGPT-assisted instruction on professional email writing skills.</w:t>
      </w:r>
    </w:p>
    <w:p w14:paraId="6C356654" w14:textId="77777777" w:rsidR="00C07A90" w:rsidRDefault="008353AD">
      <w:pPr>
        <w:pStyle w:val="NormalWeb"/>
        <w:ind w:leftChars="200" w:left="440" w:firstLine="716"/>
        <w:jc w:val="both"/>
        <w:rPr>
          <w:rFonts w:ascii="Arial" w:hAnsi="Arial" w:cs="Arial"/>
        </w:rPr>
      </w:pPr>
      <w:r>
        <w:rPr>
          <w:rFonts w:ascii="Arial" w:hAnsi="Arial" w:cs="Arial"/>
        </w:rPr>
        <w:t>To address potential threats to internal validity, consistent procedures were maintained across the pretest and posttest phases. The same writing tasks, assessment rubric, scoring criteria, and testing conditions were used to minimize instrumentation and testing effects. While maturation and repeated testing effects cannot be entirely ruled out in a one-group design, the short duration of the intervention and the focus on genre-specific skills reduce the likelihood that observed changes were due to factors other than the instructional exposure.</w:t>
      </w:r>
    </w:p>
    <w:p w14:paraId="57A39309" w14:textId="77777777" w:rsidR="00C07A90" w:rsidRDefault="00C07A90">
      <w:pPr>
        <w:pStyle w:val="Heading3"/>
        <w:ind w:leftChars="200" w:left="440"/>
        <w:jc w:val="both"/>
        <w:rPr>
          <w:rFonts w:ascii="Arial" w:hAnsi="Arial" w:cs="Arial" w:hint="default"/>
          <w:sz w:val="24"/>
          <w:szCs w:val="24"/>
        </w:rPr>
      </w:pPr>
    </w:p>
    <w:p w14:paraId="394C971D"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Participants</w:t>
      </w:r>
    </w:p>
    <w:p w14:paraId="4A4DFB04" w14:textId="77777777" w:rsidR="00C07A90" w:rsidRDefault="008353AD">
      <w:pPr>
        <w:pStyle w:val="NormalWeb"/>
        <w:ind w:leftChars="200" w:left="440" w:firstLine="716"/>
        <w:jc w:val="both"/>
        <w:rPr>
          <w:rFonts w:ascii="Arial" w:hAnsi="Arial" w:cs="Arial"/>
        </w:rPr>
      </w:pPr>
      <w:r>
        <w:rPr>
          <w:rFonts w:ascii="Arial" w:hAnsi="Arial" w:cs="Arial"/>
        </w:rPr>
        <w:t xml:space="preserve">The participants of the study were seventy-five (75) Grade 12 Senior High School students enrolled in a private school in Lapu-Lapu City, Cebu, Philippines. The respondents were selected using purposive sampling, as they were currently taking the subject English for Academic and Professional Purposes (EAPP), a course that emphasizes formal written communication and workplace-oriented language skills. Grade </w:t>
      </w:r>
      <w:r>
        <w:rPr>
          <w:rFonts w:ascii="Arial" w:hAnsi="Arial" w:cs="Arial"/>
        </w:rPr>
        <w:lastRenderedPageBreak/>
        <w:t>12 students were considered appropriate for this study because they are expected to demonstrate proficiency in professional and academic communication in preparation for higher education or entry into the workforce. Participation in the study was voluntary, and the inclusion criteria required that participants be Grade 12 students officially enrolled in the EAPP subject at the time of the study.</w:t>
      </w:r>
    </w:p>
    <w:p w14:paraId="2CA3AD3C" w14:textId="77777777" w:rsidR="00C07A90" w:rsidRDefault="00C07A90">
      <w:pPr>
        <w:widowControl/>
        <w:ind w:leftChars="200" w:left="440"/>
        <w:jc w:val="both"/>
        <w:rPr>
          <w:sz w:val="24"/>
          <w:szCs w:val="24"/>
        </w:rPr>
      </w:pPr>
    </w:p>
    <w:p w14:paraId="1E39960A"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Environment</w:t>
      </w:r>
    </w:p>
    <w:p w14:paraId="223DBCCD" w14:textId="77777777" w:rsidR="00C07A90" w:rsidRDefault="008353AD">
      <w:pPr>
        <w:pStyle w:val="NormalWeb"/>
        <w:ind w:leftChars="200" w:left="440" w:firstLine="716"/>
        <w:jc w:val="both"/>
        <w:rPr>
          <w:rFonts w:ascii="Arial" w:hAnsi="Arial" w:cs="Arial"/>
        </w:rPr>
      </w:pPr>
      <w:r>
        <w:rPr>
          <w:rFonts w:ascii="Arial" w:hAnsi="Arial" w:cs="Arial"/>
        </w:rPr>
        <w:t>The research was conducted in a private Senior High School located in Lapu-Lapu City, Cebu, Philippines. The institution provides a structured academic environment and is equipped with essential digital infrastructure, including internet connectivity and access to computer-based or mobile learning devices that support technology-enhanced instruction. The school implements a standard Senior High School curriculum aligned with national educational guidelines, including the English for Academic and Professional Purposes (EAPP) subject.</w:t>
      </w:r>
    </w:p>
    <w:p w14:paraId="3580BCAB" w14:textId="77777777" w:rsidR="00C07A90" w:rsidRDefault="008353AD">
      <w:pPr>
        <w:pStyle w:val="NormalWeb"/>
        <w:ind w:leftChars="200" w:left="440" w:firstLine="716"/>
        <w:jc w:val="both"/>
        <w:rPr>
          <w:rFonts w:ascii="Arial" w:hAnsi="Arial" w:cs="Arial"/>
        </w:rPr>
      </w:pPr>
      <w:r>
        <w:rPr>
          <w:rFonts w:ascii="Arial" w:hAnsi="Arial" w:cs="Arial"/>
        </w:rPr>
        <w:t>The instructional intervention was carried out during regular class hours to ensure minimal disruption to routine teaching and learning activities. This setting allowed ChatGPT-assisted instructional tasks to be integrated naturally within existing classroom practices and curricular requirements. Conducting the intervention in an authentic classroom context enhanced the ecological validity of the study by reflecting typical instructional conditions under which professional email writing skills are taught and practiced.</w:t>
      </w:r>
    </w:p>
    <w:p w14:paraId="26D2CECE" w14:textId="77777777" w:rsidR="00C07A90" w:rsidRDefault="00C07A90">
      <w:pPr>
        <w:widowControl/>
        <w:ind w:leftChars="200" w:left="440"/>
        <w:jc w:val="both"/>
        <w:rPr>
          <w:sz w:val="24"/>
          <w:szCs w:val="24"/>
        </w:rPr>
      </w:pPr>
    </w:p>
    <w:p w14:paraId="005470C8"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Instrument</w:t>
      </w:r>
    </w:p>
    <w:p w14:paraId="4277681F" w14:textId="77777777" w:rsidR="00C07A90" w:rsidRDefault="008353AD">
      <w:pPr>
        <w:pStyle w:val="NormalWeb"/>
        <w:ind w:leftChars="200" w:left="440" w:firstLine="716"/>
        <w:jc w:val="both"/>
        <w:rPr>
          <w:rFonts w:ascii="Arial" w:hAnsi="Arial" w:cs="Arial"/>
        </w:rPr>
      </w:pPr>
      <w:r>
        <w:rPr>
          <w:rFonts w:ascii="Arial" w:hAnsi="Arial" w:cs="Arial"/>
        </w:rPr>
        <w:t xml:space="preserve">Professional email writing performance was assessed using an </w:t>
      </w:r>
      <w:r>
        <w:rPr>
          <w:rStyle w:val="Strong"/>
          <w:rFonts w:ascii="Arial" w:hAnsi="Arial" w:cs="Arial"/>
          <w:b w:val="0"/>
          <w:bCs w:val="0"/>
        </w:rPr>
        <w:t>adapted analytic writing rubric</w:t>
      </w:r>
      <w:r>
        <w:rPr>
          <w:rFonts w:ascii="Arial" w:hAnsi="Arial" w:cs="Arial"/>
        </w:rPr>
        <w:t xml:space="preserve"> designed for workplace-oriented email communication. The rubric was adapted to align with the objectives of the EAPP curriculum and the instructional focus on professional email writing. It evaluated students’ written outputs across four key components: email structure (use of subject lines, appropriate openings and closings, and logical organization of content); message clarity (clarity of purpose, conciseness, and coherence of ideas); professional tone (politeness, formality, and audience appropriateness); and language accuracy (grammar, spelling, punctuation, and sentence construction). Each component was rated on a standardized scale, with higher scores indicating stronger writing performance. The same rubric was applied to both the pretest and posttest to ensure consistency and comparability of measurement.</w:t>
      </w:r>
    </w:p>
    <w:p w14:paraId="79E24154" w14:textId="77777777" w:rsidR="00C07A90" w:rsidRDefault="00C07A90">
      <w:pPr>
        <w:widowControl/>
        <w:ind w:leftChars="200" w:left="440"/>
        <w:jc w:val="both"/>
        <w:rPr>
          <w:sz w:val="24"/>
          <w:szCs w:val="24"/>
        </w:rPr>
      </w:pPr>
    </w:p>
    <w:p w14:paraId="77F13A75"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Procedure</w:t>
      </w:r>
    </w:p>
    <w:p w14:paraId="7C5C9FF3" w14:textId="77777777" w:rsidR="00C07A90" w:rsidRDefault="008353AD">
      <w:pPr>
        <w:pStyle w:val="NormalWeb"/>
        <w:ind w:leftChars="200" w:left="440" w:firstLine="716"/>
        <w:jc w:val="both"/>
        <w:rPr>
          <w:rFonts w:ascii="Arial" w:hAnsi="Arial" w:cs="Arial"/>
        </w:rPr>
      </w:pPr>
      <w:r>
        <w:rPr>
          <w:rFonts w:ascii="Arial" w:hAnsi="Arial" w:cs="Arial"/>
        </w:rPr>
        <w:t>The study was conducted in three phases: pretesting, instructional intervention, and posttesting. During the pretest phase, students were asked to compose a professional email based on a workplace-related scenario, such as writing to a school administrator or requesting information from an office. The task was completed independently without the use of ChatGPT or other AI tools.</w:t>
      </w:r>
    </w:p>
    <w:p w14:paraId="08711A74" w14:textId="77777777" w:rsidR="00C07A90" w:rsidRDefault="008353AD">
      <w:pPr>
        <w:pStyle w:val="NormalWeb"/>
        <w:ind w:leftChars="200" w:left="440" w:firstLine="716"/>
        <w:jc w:val="both"/>
        <w:rPr>
          <w:rFonts w:ascii="Arial" w:hAnsi="Arial" w:cs="Arial"/>
        </w:rPr>
      </w:pPr>
      <w:r>
        <w:rPr>
          <w:rFonts w:ascii="Arial" w:hAnsi="Arial" w:cs="Arial"/>
        </w:rPr>
        <w:lastRenderedPageBreak/>
        <w:t xml:space="preserve">Following the pretest, students participated in a </w:t>
      </w:r>
      <w:r>
        <w:rPr>
          <w:rStyle w:val="Strong"/>
          <w:rFonts w:ascii="Arial" w:hAnsi="Arial" w:cs="Arial"/>
          <w:b w:val="0"/>
          <w:bCs w:val="0"/>
        </w:rPr>
        <w:t>short-term ChatGPT-assisted instructional intervention</w:t>
      </w:r>
      <w:r>
        <w:rPr>
          <w:rFonts w:ascii="Arial" w:hAnsi="Arial" w:cs="Arial"/>
        </w:rPr>
        <w:t>, defined in this study as a series of guided instructional sessions conducted within a limited instructional period during regular class meetings. The intervention was implemented by the subject teacher and integrated into EAPP lessons. Instruction included an overview of professional email conventions, guided demonstrations of email structure, and supervised use of ChatGPT as a writing support tool. Students were instructed to use ChatGPT for modeling, feedback, and revision support, such as refining tone, improving clarity, and correcting language errors, while being explicitly reminded that final written outputs must reflect their own ideas and understanding. Direct copying of AI-generated text was discouraged to promote independent writing and reduce reliance on the tool.</w:t>
      </w:r>
    </w:p>
    <w:p w14:paraId="76107A47" w14:textId="77777777" w:rsidR="00C07A90" w:rsidRDefault="008353AD">
      <w:pPr>
        <w:pStyle w:val="NormalWeb"/>
        <w:ind w:leftChars="200" w:left="440"/>
        <w:jc w:val="both"/>
        <w:rPr>
          <w:rFonts w:ascii="Arial" w:hAnsi="Arial" w:cs="Arial"/>
        </w:rPr>
      </w:pPr>
      <w:r>
        <w:rPr>
          <w:rFonts w:ascii="Arial" w:hAnsi="Arial" w:cs="Arial"/>
        </w:rPr>
        <w:t>In the posttest phase, students completed a parallel professional email writing task under conditions similar to the pretest. ChatGPT was not used during the posttest to ensure that observed performance changes reflected learning outcomes rather than immediate AI-generated assistance.</w:t>
      </w:r>
    </w:p>
    <w:p w14:paraId="712FE116" w14:textId="77777777" w:rsidR="00C07A90" w:rsidRDefault="00C07A90">
      <w:pPr>
        <w:widowControl/>
        <w:jc w:val="both"/>
        <w:rPr>
          <w:sz w:val="24"/>
          <w:szCs w:val="24"/>
        </w:rPr>
      </w:pPr>
    </w:p>
    <w:p w14:paraId="54DB0D64" w14:textId="77777777" w:rsidR="00C07A90" w:rsidRDefault="008353AD">
      <w:pPr>
        <w:pStyle w:val="Heading3"/>
        <w:ind w:leftChars="200" w:left="440"/>
        <w:jc w:val="both"/>
        <w:rPr>
          <w:rFonts w:ascii="Arial" w:hAnsi="Arial" w:cs="Arial" w:hint="default"/>
          <w:sz w:val="24"/>
          <w:szCs w:val="24"/>
        </w:rPr>
      </w:pPr>
      <w:r>
        <w:rPr>
          <w:rFonts w:ascii="Arial" w:hAnsi="Arial" w:cs="Arial" w:hint="default"/>
          <w:sz w:val="24"/>
          <w:szCs w:val="24"/>
        </w:rPr>
        <w:t>Data Analysis</w:t>
      </w:r>
    </w:p>
    <w:p w14:paraId="729D8DAA" w14:textId="77777777" w:rsidR="00C07A90" w:rsidRDefault="008353AD">
      <w:pPr>
        <w:pStyle w:val="NormalWeb"/>
        <w:ind w:leftChars="200" w:left="440" w:firstLine="716"/>
        <w:jc w:val="both"/>
        <w:rPr>
          <w:rFonts w:ascii="Arial" w:hAnsi="Arial" w:cs="Arial"/>
        </w:rPr>
      </w:pPr>
      <w:r>
        <w:rPr>
          <w:rFonts w:ascii="Arial" w:hAnsi="Arial" w:cs="Arial"/>
        </w:rPr>
        <w:t>Data were analyzed using appropriate descriptive and inferential statistical techniques. Mean scores and standard deviations were computed to describe students’ professional email writing performance before and after the instructional intervention. A paired samples t-test was employed to examine whether a statistically significant difference existed between pretest and posttest scores. Component-level mean gains were also analyzed to identify which aspects of professional email writing showed the greatest improvement. Effect size was calculated using Cohen’s d to determine the magnitude of the instructional effect.</w:t>
      </w:r>
    </w:p>
    <w:p w14:paraId="2150B8E2" w14:textId="77777777" w:rsidR="00C07A90" w:rsidRDefault="00C07A90">
      <w:pPr>
        <w:pStyle w:val="BodyText"/>
        <w:spacing w:before="0"/>
      </w:pPr>
    </w:p>
    <w:p w14:paraId="30D16EF9" w14:textId="77777777" w:rsidR="00C07A90" w:rsidRDefault="00C07A90">
      <w:pPr>
        <w:pStyle w:val="BodyText"/>
        <w:spacing w:before="85"/>
      </w:pPr>
    </w:p>
    <w:p w14:paraId="6D9B1B20" w14:textId="77777777" w:rsidR="00C07A90" w:rsidRDefault="008353AD">
      <w:pPr>
        <w:pStyle w:val="Heading1"/>
        <w:jc w:val="both"/>
      </w:pPr>
      <w:r>
        <w:t xml:space="preserve">Results and </w:t>
      </w:r>
      <w:r>
        <w:rPr>
          <w:spacing w:val="-2"/>
        </w:rPr>
        <w:t>Discussion</w:t>
      </w:r>
    </w:p>
    <w:p w14:paraId="726C7E34" w14:textId="77777777" w:rsidR="00C07A90" w:rsidRDefault="00C07A90">
      <w:pPr>
        <w:pStyle w:val="BodyText"/>
        <w:spacing w:before="5"/>
        <w:rPr>
          <w:b/>
        </w:rPr>
      </w:pPr>
    </w:p>
    <w:p w14:paraId="47327A2A" w14:textId="77777777" w:rsidR="00C07A90" w:rsidRDefault="008353AD">
      <w:pPr>
        <w:pStyle w:val="BodyText"/>
        <w:spacing w:before="1" w:line="276" w:lineRule="auto"/>
        <w:ind w:left="360" w:right="359" w:firstLine="720"/>
      </w:pPr>
      <w:r>
        <w:t>This</w:t>
      </w:r>
      <w:r>
        <w:rPr>
          <w:spacing w:val="40"/>
        </w:rPr>
        <w:t xml:space="preserve"> </w:t>
      </w:r>
      <w:r>
        <w:t>section</w:t>
      </w:r>
      <w:r>
        <w:rPr>
          <w:spacing w:val="40"/>
        </w:rPr>
        <w:t xml:space="preserve"> </w:t>
      </w:r>
      <w:r>
        <w:t>presents</w:t>
      </w:r>
      <w:r>
        <w:rPr>
          <w:spacing w:val="40"/>
        </w:rPr>
        <w:t xml:space="preserve"> </w:t>
      </w:r>
      <w:r>
        <w:t>and</w:t>
      </w:r>
      <w:r>
        <w:rPr>
          <w:spacing w:val="40"/>
        </w:rPr>
        <w:t xml:space="preserve"> </w:t>
      </w:r>
      <w:r>
        <w:t>discusses</w:t>
      </w:r>
      <w:r>
        <w:rPr>
          <w:spacing w:val="40"/>
        </w:rPr>
        <w:t xml:space="preserve"> </w:t>
      </w:r>
      <w:r>
        <w:t>the results of the study examining the short-term effects of ChatGPT-assisted instruction on the professional email writing performance of Grade 12 Senior High School students. Each set of results is</w:t>
      </w:r>
      <w:r>
        <w:rPr>
          <w:spacing w:val="40"/>
        </w:rPr>
        <w:t xml:space="preserve"> </w:t>
      </w:r>
      <w:r>
        <w:t>introduced, presented in tabular form, and discussed in relation to existing literature on AI-assisted writing, professional communication, and English for Academic and Professional Purposes (EAPP).</w:t>
      </w:r>
    </w:p>
    <w:p w14:paraId="76857F09" w14:textId="77777777" w:rsidR="00C07A90" w:rsidRDefault="00C07A90">
      <w:pPr>
        <w:pStyle w:val="BodyText"/>
        <w:spacing w:before="1" w:line="276" w:lineRule="auto"/>
        <w:ind w:left="360" w:right="359" w:firstLine="720"/>
      </w:pPr>
    </w:p>
    <w:p w14:paraId="7A677E0B" w14:textId="77777777" w:rsidR="00C07A90" w:rsidRDefault="008353AD">
      <w:pPr>
        <w:pStyle w:val="Heading2"/>
        <w:spacing w:before="240"/>
        <w:jc w:val="both"/>
      </w:pPr>
      <w:r>
        <w:t>Overall</w:t>
      </w:r>
      <w:r>
        <w:rPr>
          <w:spacing w:val="-4"/>
        </w:rPr>
        <w:t xml:space="preserve"> </w:t>
      </w:r>
      <w:r>
        <w:t>Professional</w:t>
      </w:r>
      <w:r>
        <w:rPr>
          <w:spacing w:val="-1"/>
        </w:rPr>
        <w:t xml:space="preserve"> </w:t>
      </w:r>
      <w:r>
        <w:t>Email</w:t>
      </w:r>
      <w:r>
        <w:rPr>
          <w:spacing w:val="-2"/>
        </w:rPr>
        <w:t xml:space="preserve"> </w:t>
      </w:r>
      <w:r>
        <w:t>Writing</w:t>
      </w:r>
      <w:r>
        <w:rPr>
          <w:spacing w:val="-1"/>
        </w:rPr>
        <w:t xml:space="preserve"> </w:t>
      </w:r>
      <w:r>
        <w:rPr>
          <w:spacing w:val="-2"/>
        </w:rPr>
        <w:t>Performance</w:t>
      </w:r>
    </w:p>
    <w:p w14:paraId="6F5B5CE9" w14:textId="77777777" w:rsidR="00C07A90" w:rsidRDefault="00C07A90">
      <w:pPr>
        <w:pStyle w:val="BodyText"/>
        <w:spacing w:before="5"/>
        <w:rPr>
          <w:b/>
          <w:i/>
        </w:rPr>
      </w:pPr>
    </w:p>
    <w:p w14:paraId="1F084CA9" w14:textId="77777777" w:rsidR="00C07A90" w:rsidRDefault="008353AD">
      <w:pPr>
        <w:pStyle w:val="BodyText"/>
        <w:spacing w:before="0" w:line="276" w:lineRule="auto"/>
        <w:ind w:left="360" w:right="361" w:firstLine="720"/>
      </w:pPr>
      <w:r>
        <w:t xml:space="preserve">To establish a baseline understanding of students’ professional email writing performance and to determine whether any observable changes occurred following the instructional intervention, descriptive statistics were computed for the pretest and posttest scores. This initial analysis serves as a foundational step in examining the effectiveness of ChatGPT-assisted instruction, as it allows for a direct comparison of </w:t>
      </w:r>
      <w:r>
        <w:lastRenderedPageBreak/>
        <w:t>students’ writing performance before and after exposure to the intervention. By examining changes in mean scores and variability, the analysis provides insight into whether students demonstrated measurable improvement in their ability to compose professional emails that are appropriately structured, clear in purpose, and suitable for academic and workplace communication contexts. The descriptive statistics for students’ pretest and posttest professional email writing scores are presented in Table</w:t>
      </w:r>
      <w:r>
        <w:rPr>
          <w:spacing w:val="40"/>
        </w:rPr>
        <w:t xml:space="preserve"> </w:t>
      </w:r>
      <w:r>
        <w:rPr>
          <w:spacing w:val="-6"/>
        </w:rPr>
        <w:t>1.</w:t>
      </w:r>
    </w:p>
    <w:p w14:paraId="1C71A62B" w14:textId="77777777" w:rsidR="00C07A90" w:rsidRDefault="00C07A90">
      <w:pPr>
        <w:pStyle w:val="BodyText"/>
        <w:spacing w:before="92"/>
      </w:pPr>
    </w:p>
    <w:p w14:paraId="4F0090FE" w14:textId="77777777" w:rsidR="00C07A90" w:rsidRDefault="008353AD">
      <w:pPr>
        <w:pStyle w:val="Heading1"/>
        <w:spacing w:before="1"/>
        <w:ind w:left="0"/>
        <w:jc w:val="both"/>
      </w:pPr>
      <w:r>
        <w:rPr>
          <w:spacing w:val="-2"/>
        </w:rPr>
        <w:t>Table</w:t>
      </w:r>
      <w:r>
        <w:rPr>
          <w:spacing w:val="-8"/>
        </w:rPr>
        <w:t xml:space="preserve"> </w:t>
      </w:r>
      <w:r>
        <w:rPr>
          <w:spacing w:val="-10"/>
        </w:rPr>
        <w:t>1</w:t>
      </w:r>
    </w:p>
    <w:p w14:paraId="63C74427" w14:textId="77777777" w:rsidR="00C07A90" w:rsidRDefault="008353AD">
      <w:pPr>
        <w:pStyle w:val="BodyText"/>
        <w:spacing w:before="41"/>
      </w:pPr>
      <w:r>
        <w:t>Descriptive</w:t>
      </w:r>
      <w:r>
        <w:rPr>
          <w:spacing w:val="-1"/>
        </w:rPr>
        <w:t xml:space="preserve"> </w:t>
      </w:r>
      <w:r>
        <w:t>Statistics</w:t>
      </w:r>
      <w:r>
        <w:rPr>
          <w:spacing w:val="-1"/>
        </w:rPr>
        <w:t xml:space="preserve"> </w:t>
      </w:r>
      <w:r>
        <w:t>of Pretest</w:t>
      </w:r>
      <w:r>
        <w:rPr>
          <w:spacing w:val="-1"/>
        </w:rPr>
        <w:t xml:space="preserve"> </w:t>
      </w:r>
      <w:r>
        <w:t>and Posttest</w:t>
      </w:r>
      <w:r>
        <w:rPr>
          <w:spacing w:val="-1"/>
        </w:rPr>
        <w:t xml:space="preserve"> </w:t>
      </w:r>
      <w:r>
        <w:t>Professional Email</w:t>
      </w:r>
      <w:r>
        <w:rPr>
          <w:spacing w:val="-1"/>
        </w:rPr>
        <w:t xml:space="preserve"> </w:t>
      </w:r>
      <w:r>
        <w:t xml:space="preserve">Writing </w:t>
      </w:r>
      <w:r>
        <w:rPr>
          <w:spacing w:val="-2"/>
        </w:rPr>
        <w:t>Scores</w:t>
      </w:r>
    </w:p>
    <w:p w14:paraId="6E8E6AE0" w14:textId="77777777" w:rsidR="00C07A90" w:rsidRDefault="00C07A90">
      <w:pPr>
        <w:pStyle w:val="BodyText"/>
        <w:spacing w:before="42"/>
      </w:pPr>
    </w:p>
    <w:tbl>
      <w:tblPr>
        <w:tblW w:w="0" w:type="auto"/>
        <w:tblInd w:w="367" w:type="dxa"/>
        <w:tblLayout w:type="fixed"/>
        <w:tblCellMar>
          <w:left w:w="0" w:type="dxa"/>
          <w:right w:w="0" w:type="dxa"/>
        </w:tblCellMar>
        <w:tblLook w:val="04A0" w:firstRow="1" w:lastRow="0" w:firstColumn="1" w:lastColumn="0" w:noHBand="0" w:noVBand="1"/>
      </w:tblPr>
      <w:tblGrid>
        <w:gridCol w:w="3006"/>
        <w:gridCol w:w="3751"/>
        <w:gridCol w:w="2623"/>
      </w:tblGrid>
      <w:tr w:rsidR="00C07A90" w14:paraId="3BFD7D35" w14:textId="77777777">
        <w:trPr>
          <w:trHeight w:val="520"/>
        </w:trPr>
        <w:tc>
          <w:tcPr>
            <w:tcW w:w="3006" w:type="dxa"/>
            <w:tcBorders>
              <w:top w:val="single" w:sz="8" w:space="0" w:color="000000"/>
              <w:bottom w:val="single" w:sz="8" w:space="0" w:color="000000"/>
            </w:tcBorders>
          </w:tcPr>
          <w:p w14:paraId="68A703FD" w14:textId="77777777" w:rsidR="00C07A90" w:rsidRDefault="008353AD">
            <w:pPr>
              <w:pStyle w:val="TableParagraph"/>
              <w:spacing w:before="109"/>
              <w:jc w:val="both"/>
              <w:rPr>
                <w:b/>
                <w:sz w:val="24"/>
                <w:szCs w:val="24"/>
              </w:rPr>
            </w:pPr>
            <w:r>
              <w:rPr>
                <w:b/>
                <w:spacing w:val="-4"/>
                <w:sz w:val="24"/>
                <w:szCs w:val="24"/>
              </w:rPr>
              <w:t>Test</w:t>
            </w:r>
          </w:p>
        </w:tc>
        <w:tc>
          <w:tcPr>
            <w:tcW w:w="3751" w:type="dxa"/>
            <w:tcBorders>
              <w:top w:val="single" w:sz="8" w:space="0" w:color="000000"/>
              <w:bottom w:val="single" w:sz="8" w:space="0" w:color="000000"/>
            </w:tcBorders>
          </w:tcPr>
          <w:p w14:paraId="6A510169" w14:textId="77777777" w:rsidR="00C07A90" w:rsidRDefault="008353AD">
            <w:pPr>
              <w:pStyle w:val="TableParagraph"/>
              <w:spacing w:before="109"/>
              <w:ind w:left="917" w:right="1"/>
              <w:jc w:val="both"/>
              <w:rPr>
                <w:b/>
                <w:sz w:val="24"/>
                <w:szCs w:val="24"/>
              </w:rPr>
            </w:pPr>
            <w:r>
              <w:rPr>
                <w:b/>
                <w:spacing w:val="-10"/>
                <w:sz w:val="24"/>
                <w:szCs w:val="24"/>
              </w:rPr>
              <w:t>M</w:t>
            </w:r>
          </w:p>
        </w:tc>
        <w:tc>
          <w:tcPr>
            <w:tcW w:w="2623" w:type="dxa"/>
            <w:tcBorders>
              <w:top w:val="single" w:sz="8" w:space="0" w:color="000000"/>
              <w:bottom w:val="single" w:sz="8" w:space="0" w:color="000000"/>
            </w:tcBorders>
          </w:tcPr>
          <w:p w14:paraId="40B006B1" w14:textId="77777777" w:rsidR="00C07A90" w:rsidRDefault="008353AD">
            <w:pPr>
              <w:pStyle w:val="TableParagraph"/>
              <w:spacing w:before="109"/>
              <w:ind w:left="78" w:right="1"/>
              <w:jc w:val="both"/>
              <w:rPr>
                <w:b/>
                <w:sz w:val="24"/>
                <w:szCs w:val="24"/>
              </w:rPr>
            </w:pPr>
            <w:r>
              <w:rPr>
                <w:b/>
                <w:spacing w:val="-5"/>
                <w:sz w:val="24"/>
                <w:szCs w:val="24"/>
              </w:rPr>
              <w:t>SD</w:t>
            </w:r>
          </w:p>
        </w:tc>
      </w:tr>
      <w:tr w:rsidR="00C07A90" w14:paraId="7B07B4B1" w14:textId="77777777">
        <w:trPr>
          <w:trHeight w:val="517"/>
        </w:trPr>
        <w:tc>
          <w:tcPr>
            <w:tcW w:w="3006" w:type="dxa"/>
            <w:tcBorders>
              <w:top w:val="single" w:sz="8" w:space="0" w:color="000000"/>
            </w:tcBorders>
          </w:tcPr>
          <w:p w14:paraId="06B929FB" w14:textId="77777777" w:rsidR="00C07A90" w:rsidRDefault="008353AD">
            <w:pPr>
              <w:pStyle w:val="TableParagraph"/>
              <w:spacing w:before="112"/>
              <w:jc w:val="both"/>
              <w:rPr>
                <w:sz w:val="24"/>
                <w:szCs w:val="24"/>
              </w:rPr>
            </w:pPr>
            <w:r>
              <w:rPr>
                <w:spacing w:val="-2"/>
                <w:sz w:val="24"/>
                <w:szCs w:val="24"/>
              </w:rPr>
              <w:t>Pretest</w:t>
            </w:r>
          </w:p>
        </w:tc>
        <w:tc>
          <w:tcPr>
            <w:tcW w:w="3751" w:type="dxa"/>
            <w:tcBorders>
              <w:top w:val="single" w:sz="8" w:space="0" w:color="000000"/>
            </w:tcBorders>
          </w:tcPr>
          <w:p w14:paraId="088C3FDA" w14:textId="77777777" w:rsidR="00C07A90" w:rsidRDefault="008353AD">
            <w:pPr>
              <w:pStyle w:val="TableParagraph"/>
              <w:spacing w:before="112"/>
              <w:ind w:left="917" w:right="1"/>
              <w:jc w:val="both"/>
              <w:rPr>
                <w:sz w:val="24"/>
                <w:szCs w:val="24"/>
              </w:rPr>
            </w:pPr>
            <w:r>
              <w:rPr>
                <w:spacing w:val="-2"/>
                <w:sz w:val="24"/>
                <w:szCs w:val="24"/>
              </w:rPr>
              <w:t>11.74</w:t>
            </w:r>
          </w:p>
        </w:tc>
        <w:tc>
          <w:tcPr>
            <w:tcW w:w="2623" w:type="dxa"/>
            <w:tcBorders>
              <w:top w:val="single" w:sz="8" w:space="0" w:color="000000"/>
            </w:tcBorders>
          </w:tcPr>
          <w:p w14:paraId="077A547B" w14:textId="77777777" w:rsidR="00C07A90" w:rsidRDefault="008353AD">
            <w:pPr>
              <w:pStyle w:val="TableParagraph"/>
              <w:spacing w:before="112"/>
              <w:ind w:left="78"/>
              <w:jc w:val="both"/>
              <w:rPr>
                <w:sz w:val="24"/>
                <w:szCs w:val="24"/>
              </w:rPr>
            </w:pPr>
            <w:r>
              <w:rPr>
                <w:spacing w:val="-4"/>
                <w:sz w:val="24"/>
                <w:szCs w:val="24"/>
              </w:rPr>
              <w:t>2.06</w:t>
            </w:r>
          </w:p>
        </w:tc>
      </w:tr>
      <w:tr w:rsidR="00C07A90" w14:paraId="5CF38AB3" w14:textId="77777777">
        <w:trPr>
          <w:trHeight w:val="542"/>
        </w:trPr>
        <w:tc>
          <w:tcPr>
            <w:tcW w:w="3006" w:type="dxa"/>
            <w:tcBorders>
              <w:bottom w:val="single" w:sz="8" w:space="0" w:color="000000"/>
            </w:tcBorders>
          </w:tcPr>
          <w:p w14:paraId="71ABEB79" w14:textId="77777777" w:rsidR="00C07A90" w:rsidRDefault="008353AD">
            <w:pPr>
              <w:pStyle w:val="TableParagraph"/>
              <w:jc w:val="both"/>
              <w:rPr>
                <w:sz w:val="24"/>
                <w:szCs w:val="24"/>
              </w:rPr>
            </w:pPr>
            <w:r>
              <w:rPr>
                <w:spacing w:val="-2"/>
                <w:sz w:val="24"/>
                <w:szCs w:val="24"/>
              </w:rPr>
              <w:t>Posttest</w:t>
            </w:r>
          </w:p>
        </w:tc>
        <w:tc>
          <w:tcPr>
            <w:tcW w:w="3751" w:type="dxa"/>
            <w:tcBorders>
              <w:bottom w:val="single" w:sz="8" w:space="0" w:color="000000"/>
            </w:tcBorders>
          </w:tcPr>
          <w:p w14:paraId="6B7586DA" w14:textId="77777777" w:rsidR="00C07A90" w:rsidRDefault="008353AD">
            <w:pPr>
              <w:pStyle w:val="TableParagraph"/>
              <w:ind w:left="917"/>
              <w:jc w:val="both"/>
              <w:rPr>
                <w:sz w:val="24"/>
                <w:szCs w:val="24"/>
              </w:rPr>
            </w:pPr>
            <w:r>
              <w:rPr>
                <w:spacing w:val="-2"/>
                <w:sz w:val="24"/>
                <w:szCs w:val="24"/>
              </w:rPr>
              <w:t>14.93</w:t>
            </w:r>
          </w:p>
        </w:tc>
        <w:tc>
          <w:tcPr>
            <w:tcW w:w="2623" w:type="dxa"/>
            <w:tcBorders>
              <w:bottom w:val="single" w:sz="8" w:space="0" w:color="000000"/>
            </w:tcBorders>
          </w:tcPr>
          <w:p w14:paraId="16C349D1" w14:textId="77777777" w:rsidR="00C07A90" w:rsidRDefault="008353AD">
            <w:pPr>
              <w:pStyle w:val="TableParagraph"/>
              <w:ind w:left="78"/>
              <w:jc w:val="both"/>
              <w:rPr>
                <w:sz w:val="24"/>
                <w:szCs w:val="24"/>
              </w:rPr>
            </w:pPr>
            <w:r>
              <w:rPr>
                <w:spacing w:val="-4"/>
                <w:sz w:val="24"/>
                <w:szCs w:val="24"/>
              </w:rPr>
              <w:t>1.99</w:t>
            </w:r>
          </w:p>
        </w:tc>
      </w:tr>
    </w:tbl>
    <w:p w14:paraId="061CE294" w14:textId="77777777" w:rsidR="00C07A90" w:rsidRDefault="008353AD">
      <w:pPr>
        <w:ind w:left="360"/>
        <w:jc w:val="both"/>
        <w:rPr>
          <w:i/>
          <w:sz w:val="24"/>
          <w:szCs w:val="24"/>
        </w:rPr>
      </w:pPr>
      <w:r>
        <w:rPr>
          <w:i/>
          <w:sz w:val="24"/>
          <w:szCs w:val="24"/>
        </w:rPr>
        <w:t xml:space="preserve">*Maximum possible score = </w:t>
      </w:r>
      <w:r>
        <w:rPr>
          <w:i/>
          <w:spacing w:val="-5"/>
          <w:sz w:val="24"/>
          <w:szCs w:val="24"/>
        </w:rPr>
        <w:t>20.</w:t>
      </w:r>
    </w:p>
    <w:p w14:paraId="1D2CEA4F" w14:textId="77777777" w:rsidR="00C07A90" w:rsidRDefault="00C07A90">
      <w:pPr>
        <w:pStyle w:val="BodyText"/>
        <w:spacing w:before="3"/>
        <w:rPr>
          <w:i/>
        </w:rPr>
      </w:pPr>
    </w:p>
    <w:p w14:paraId="5F25A86C" w14:textId="77777777" w:rsidR="00C07A90" w:rsidRDefault="008353AD">
      <w:pPr>
        <w:pStyle w:val="BodyText"/>
        <w:spacing w:before="0" w:line="276" w:lineRule="auto"/>
        <w:ind w:left="360" w:right="358" w:firstLine="720"/>
      </w:pPr>
      <w:r>
        <w:t>As shown in Table 1, students</w:t>
      </w:r>
      <w:r>
        <w:rPr>
          <w:spacing w:val="-6"/>
        </w:rPr>
        <w:t xml:space="preserve"> </w:t>
      </w:r>
      <w:r>
        <w:t>demonstrated</w:t>
      </w:r>
      <w:r>
        <w:rPr>
          <w:spacing w:val="-6"/>
        </w:rPr>
        <w:t xml:space="preserve"> </w:t>
      </w:r>
      <w:r>
        <w:t>a</w:t>
      </w:r>
      <w:r>
        <w:rPr>
          <w:spacing w:val="-6"/>
        </w:rPr>
        <w:t xml:space="preserve"> </w:t>
      </w:r>
      <w:r>
        <w:t>clear</w:t>
      </w:r>
      <w:r>
        <w:rPr>
          <w:spacing w:val="-6"/>
        </w:rPr>
        <w:t xml:space="preserve"> </w:t>
      </w:r>
      <w:r>
        <w:t>improvement</w:t>
      </w:r>
      <w:r>
        <w:rPr>
          <w:spacing w:val="-6"/>
        </w:rPr>
        <w:t xml:space="preserve"> </w:t>
      </w:r>
      <w:r>
        <w:t>in</w:t>
      </w:r>
      <w:r>
        <w:rPr>
          <w:spacing w:val="-6"/>
        </w:rPr>
        <w:t xml:space="preserve"> </w:t>
      </w:r>
      <w:r>
        <w:t>professional email writing performance following the instructional intervention. The increase in the mean score from 11.74 in the</w:t>
      </w:r>
      <w:r>
        <w:rPr>
          <w:spacing w:val="-4"/>
        </w:rPr>
        <w:t xml:space="preserve"> </w:t>
      </w:r>
      <w:r>
        <w:t>pretest</w:t>
      </w:r>
      <w:r>
        <w:rPr>
          <w:spacing w:val="-4"/>
        </w:rPr>
        <w:t xml:space="preserve"> </w:t>
      </w:r>
      <w:r>
        <w:t>to</w:t>
      </w:r>
      <w:r>
        <w:rPr>
          <w:spacing w:val="-4"/>
        </w:rPr>
        <w:t xml:space="preserve"> </w:t>
      </w:r>
      <w:r>
        <w:t>14.93</w:t>
      </w:r>
      <w:r>
        <w:rPr>
          <w:spacing w:val="-4"/>
        </w:rPr>
        <w:t xml:space="preserve"> </w:t>
      </w:r>
      <w:r>
        <w:t>in</w:t>
      </w:r>
      <w:r>
        <w:rPr>
          <w:spacing w:val="-4"/>
        </w:rPr>
        <w:t xml:space="preserve"> </w:t>
      </w:r>
      <w:r>
        <w:t>the</w:t>
      </w:r>
      <w:r>
        <w:rPr>
          <w:spacing w:val="-4"/>
        </w:rPr>
        <w:t xml:space="preserve"> </w:t>
      </w:r>
      <w:r>
        <w:t>posttest</w:t>
      </w:r>
      <w:r>
        <w:rPr>
          <w:spacing w:val="-4"/>
        </w:rPr>
        <w:t xml:space="preserve"> </w:t>
      </w:r>
      <w:r>
        <w:t>indicates</w:t>
      </w:r>
      <w:r>
        <w:rPr>
          <w:spacing w:val="-4"/>
        </w:rPr>
        <w:t xml:space="preserve"> </w:t>
      </w:r>
      <w:r>
        <w:t>that,</w:t>
      </w:r>
      <w:r>
        <w:rPr>
          <w:spacing w:val="-4"/>
        </w:rPr>
        <w:t xml:space="preserve"> </w:t>
      </w:r>
      <w:r>
        <w:t>on</w:t>
      </w:r>
      <w:r>
        <w:rPr>
          <w:spacing w:val="-4"/>
        </w:rPr>
        <w:t xml:space="preserve"> </w:t>
      </w:r>
      <w:r>
        <w:t>average, students were able to produce higher-quality professional emails after participating in ChatGPT-assisted instruction.</w:t>
      </w:r>
    </w:p>
    <w:p w14:paraId="42BB1B44" w14:textId="77777777" w:rsidR="00C07A90" w:rsidRDefault="008353AD">
      <w:pPr>
        <w:pStyle w:val="BodyText"/>
        <w:spacing w:line="276" w:lineRule="auto"/>
        <w:ind w:left="360" w:right="364" w:firstLine="720"/>
      </w:pPr>
      <w:r>
        <w:t>This improvement suggests enhanced competence in applying key features of professional email writing, including clearer organization, more appropriate tone, and greater attention to formal writing conventions (Polakova &amp; Ivenz, 2024).</w:t>
      </w:r>
    </w:p>
    <w:p w14:paraId="1F11C5FD" w14:textId="77777777" w:rsidR="00C07A90" w:rsidRDefault="008353AD">
      <w:pPr>
        <w:pStyle w:val="BodyText"/>
        <w:spacing w:line="276" w:lineRule="auto"/>
        <w:ind w:left="360" w:right="364" w:firstLine="720"/>
      </w:pPr>
      <w:r>
        <w:t>In addition to the increase in mean scores, the relatively similar standard deviations</w:t>
      </w:r>
      <w:r>
        <w:rPr>
          <w:spacing w:val="-3"/>
        </w:rPr>
        <w:t xml:space="preserve"> </w:t>
      </w:r>
      <w:r>
        <w:t>for</w:t>
      </w:r>
      <w:r>
        <w:rPr>
          <w:spacing w:val="-3"/>
        </w:rPr>
        <w:t xml:space="preserve"> </w:t>
      </w:r>
      <w:r>
        <w:t>the</w:t>
      </w:r>
      <w:r>
        <w:rPr>
          <w:spacing w:val="-3"/>
        </w:rPr>
        <w:t xml:space="preserve"> </w:t>
      </w:r>
      <w:r>
        <w:t>pretest</w:t>
      </w:r>
      <w:r>
        <w:rPr>
          <w:spacing w:val="-3"/>
        </w:rPr>
        <w:t xml:space="preserve"> </w:t>
      </w:r>
      <w:r>
        <w:t>and</w:t>
      </w:r>
      <w:r>
        <w:rPr>
          <w:spacing w:val="-3"/>
        </w:rPr>
        <w:t xml:space="preserve"> </w:t>
      </w:r>
      <w:r>
        <w:t>posttest</w:t>
      </w:r>
      <w:r>
        <w:rPr>
          <w:spacing w:val="-3"/>
        </w:rPr>
        <w:t xml:space="preserve"> </w:t>
      </w:r>
      <w:r>
        <w:t>suggest</w:t>
      </w:r>
      <w:r>
        <w:rPr>
          <w:spacing w:val="-3"/>
        </w:rPr>
        <w:t xml:space="preserve"> </w:t>
      </w:r>
      <w:r>
        <w:t>that</w:t>
      </w:r>
      <w:r>
        <w:rPr>
          <w:spacing w:val="-3"/>
        </w:rPr>
        <w:t xml:space="preserve"> </w:t>
      </w:r>
      <w:r>
        <w:t>the</w:t>
      </w:r>
      <w:r>
        <w:rPr>
          <w:spacing w:val="-3"/>
        </w:rPr>
        <w:t xml:space="preserve"> </w:t>
      </w:r>
      <w:r>
        <w:t>improvement</w:t>
      </w:r>
      <w:r>
        <w:rPr>
          <w:spacing w:val="-3"/>
        </w:rPr>
        <w:t xml:space="preserve"> </w:t>
      </w:r>
      <w:r>
        <w:t>was</w:t>
      </w:r>
      <w:r>
        <w:rPr>
          <w:spacing w:val="-3"/>
        </w:rPr>
        <w:t xml:space="preserve"> </w:t>
      </w:r>
      <w:r>
        <w:t>not</w:t>
      </w:r>
      <w:r>
        <w:rPr>
          <w:spacing w:val="-3"/>
        </w:rPr>
        <w:t xml:space="preserve"> </w:t>
      </w:r>
      <w:r>
        <w:t>limited</w:t>
      </w:r>
      <w:r>
        <w:rPr>
          <w:spacing w:val="-3"/>
        </w:rPr>
        <w:t xml:space="preserve"> </w:t>
      </w:r>
      <w:r>
        <w:t>to</w:t>
      </w:r>
      <w:r>
        <w:rPr>
          <w:spacing w:val="-3"/>
        </w:rPr>
        <w:t xml:space="preserve"> </w:t>
      </w:r>
      <w:r>
        <w:t>a small subset of students but was observed across the group as a whole. This pattern indicates that the instructional intervention may have supported learners with varying levels of initial writing proficiency, contributing to more consistent performance among students (Pallant, 2020).</w:t>
      </w:r>
    </w:p>
    <w:p w14:paraId="07E53CED" w14:textId="77777777" w:rsidR="00C07A90" w:rsidRDefault="008353AD">
      <w:pPr>
        <w:pStyle w:val="BodyText"/>
        <w:spacing w:line="276" w:lineRule="auto"/>
        <w:ind w:left="360" w:right="361" w:firstLine="720"/>
      </w:pPr>
      <w:r>
        <w:t>The overall gain in scores reflects meaningful progress in students’ readiness to engage in professional written communication, particularly within academic and institutional settings emphasized in senior high school instruction (Song &amp; Song, 2023; Wendimu &amp; Gebremariam, 2024).</w:t>
      </w:r>
    </w:p>
    <w:p w14:paraId="005F048D" w14:textId="77777777" w:rsidR="00C07A90" w:rsidRDefault="008353AD">
      <w:pPr>
        <w:pStyle w:val="BodyText"/>
        <w:spacing w:line="276" w:lineRule="auto"/>
        <w:ind w:left="360" w:right="361" w:firstLine="720"/>
      </w:pPr>
      <w:r>
        <w:t>Taken together, the descriptive results presented in Table 1 provide preliminary evidence that ChatGPT-assisted instruction had a positive influence on students’ professional email writing performance. These findings establish a strong basis for further statistical analysis and component-level examination, as they demonstrate that observable improvements occurred following the instructional intervention.</w:t>
      </w:r>
    </w:p>
    <w:p w14:paraId="583E4E64" w14:textId="77777777" w:rsidR="00C07A90" w:rsidRDefault="00C07A90">
      <w:pPr>
        <w:pStyle w:val="BodyText"/>
        <w:spacing w:line="276" w:lineRule="auto"/>
        <w:ind w:left="360" w:right="361" w:firstLine="720"/>
      </w:pPr>
    </w:p>
    <w:p w14:paraId="695242DF" w14:textId="77777777" w:rsidR="00C07A90" w:rsidRDefault="008353AD">
      <w:pPr>
        <w:pStyle w:val="Heading2"/>
        <w:spacing w:before="240"/>
        <w:jc w:val="both"/>
      </w:pPr>
      <w:r>
        <w:t>Statistical Significance of</w:t>
      </w:r>
      <w:r>
        <w:rPr>
          <w:spacing w:val="-1"/>
        </w:rPr>
        <w:t xml:space="preserve"> </w:t>
      </w:r>
      <w:r>
        <w:t xml:space="preserve">Pretest–Posttest </w:t>
      </w:r>
      <w:r>
        <w:rPr>
          <w:spacing w:val="-2"/>
        </w:rPr>
        <w:t>Differences</w:t>
      </w:r>
    </w:p>
    <w:p w14:paraId="13DC467F" w14:textId="77777777" w:rsidR="00C07A90" w:rsidRDefault="008353AD">
      <w:pPr>
        <w:pStyle w:val="BodyText"/>
        <w:spacing w:before="82" w:line="276" w:lineRule="auto"/>
        <w:ind w:left="360" w:right="359" w:firstLine="720"/>
      </w:pPr>
      <w:r>
        <w:t>While the descriptive statistics indicated an improvement in students’</w:t>
      </w:r>
      <w:r>
        <w:rPr>
          <w:spacing w:val="40"/>
        </w:rPr>
        <w:t xml:space="preserve"> </w:t>
      </w:r>
      <w:r>
        <w:t>professional email writing performance after the instructional intervention, inferential analysis was necessary to determine whether this improvement was statistically meaningful rather than the result of random variation. Inferential testing allows for a more rigorous</w:t>
      </w:r>
      <w:r>
        <w:rPr>
          <w:spacing w:val="-3"/>
        </w:rPr>
        <w:t xml:space="preserve"> </w:t>
      </w:r>
      <w:r>
        <w:t>examination</w:t>
      </w:r>
      <w:r>
        <w:rPr>
          <w:spacing w:val="-3"/>
        </w:rPr>
        <w:t xml:space="preserve"> </w:t>
      </w:r>
      <w:r>
        <w:t>of</w:t>
      </w:r>
      <w:r>
        <w:rPr>
          <w:spacing w:val="-3"/>
        </w:rPr>
        <w:t xml:space="preserve"> </w:t>
      </w:r>
      <w:r>
        <w:t>whether</w:t>
      </w:r>
      <w:r>
        <w:rPr>
          <w:spacing w:val="-3"/>
        </w:rPr>
        <w:t xml:space="preserve"> </w:t>
      </w:r>
      <w:r>
        <w:t>the</w:t>
      </w:r>
      <w:r>
        <w:rPr>
          <w:spacing w:val="-3"/>
        </w:rPr>
        <w:t xml:space="preserve"> </w:t>
      </w:r>
      <w:r>
        <w:t>observed</w:t>
      </w:r>
      <w:r>
        <w:rPr>
          <w:spacing w:val="-3"/>
        </w:rPr>
        <w:t xml:space="preserve"> </w:t>
      </w:r>
      <w:r>
        <w:t>changes</w:t>
      </w:r>
      <w:r>
        <w:rPr>
          <w:spacing w:val="-3"/>
        </w:rPr>
        <w:t xml:space="preserve"> </w:t>
      </w:r>
      <w:r>
        <w:t>in</w:t>
      </w:r>
      <w:r>
        <w:rPr>
          <w:spacing w:val="-3"/>
        </w:rPr>
        <w:t xml:space="preserve"> </w:t>
      </w:r>
      <w:r>
        <w:t>scores</w:t>
      </w:r>
      <w:r>
        <w:rPr>
          <w:spacing w:val="-3"/>
        </w:rPr>
        <w:t xml:space="preserve"> </w:t>
      </w:r>
      <w:r>
        <w:t>can</w:t>
      </w:r>
      <w:r>
        <w:rPr>
          <w:spacing w:val="-3"/>
        </w:rPr>
        <w:t xml:space="preserve"> </w:t>
      </w:r>
      <w:r>
        <w:t>be</w:t>
      </w:r>
      <w:r>
        <w:rPr>
          <w:spacing w:val="-3"/>
        </w:rPr>
        <w:t xml:space="preserve"> </w:t>
      </w:r>
      <w:r>
        <w:t>attributed to</w:t>
      </w:r>
      <w:r>
        <w:rPr>
          <w:spacing w:val="23"/>
        </w:rPr>
        <w:t xml:space="preserve"> </w:t>
      </w:r>
      <w:r>
        <w:t>the</w:t>
      </w:r>
      <w:r>
        <w:rPr>
          <w:spacing w:val="23"/>
        </w:rPr>
        <w:t xml:space="preserve"> </w:t>
      </w:r>
      <w:r>
        <w:t>instructional</w:t>
      </w:r>
      <w:r>
        <w:rPr>
          <w:spacing w:val="23"/>
        </w:rPr>
        <w:t xml:space="preserve"> </w:t>
      </w:r>
      <w:r>
        <w:t>approach employed in the study. To address this, a paired samples t-test was conducted to compare students’ pretest and posttest scores, as the same group</w:t>
      </w:r>
      <w:r>
        <w:rPr>
          <w:spacing w:val="27"/>
        </w:rPr>
        <w:t xml:space="preserve"> </w:t>
      </w:r>
      <w:r>
        <w:t>of</w:t>
      </w:r>
      <w:r>
        <w:rPr>
          <w:spacing w:val="27"/>
        </w:rPr>
        <w:t xml:space="preserve"> </w:t>
      </w:r>
      <w:r>
        <w:t>participants</w:t>
      </w:r>
      <w:r>
        <w:rPr>
          <w:spacing w:val="27"/>
        </w:rPr>
        <w:t xml:space="preserve"> </w:t>
      </w:r>
      <w:r>
        <w:t>completed</w:t>
      </w:r>
      <w:r>
        <w:rPr>
          <w:spacing w:val="27"/>
        </w:rPr>
        <w:t xml:space="preserve"> </w:t>
      </w:r>
      <w:r>
        <w:t>both</w:t>
      </w:r>
      <w:r>
        <w:rPr>
          <w:spacing w:val="27"/>
        </w:rPr>
        <w:t xml:space="preserve"> </w:t>
      </w:r>
      <w:r>
        <w:t>assessments.</w:t>
      </w:r>
      <w:r>
        <w:rPr>
          <w:spacing w:val="27"/>
        </w:rPr>
        <w:t xml:space="preserve"> </w:t>
      </w:r>
      <w:r>
        <w:t>The</w:t>
      </w:r>
      <w:r>
        <w:rPr>
          <w:spacing w:val="27"/>
        </w:rPr>
        <w:t xml:space="preserve"> </w:t>
      </w:r>
      <w:r>
        <w:t>results</w:t>
      </w:r>
      <w:r>
        <w:rPr>
          <w:spacing w:val="27"/>
        </w:rPr>
        <w:t xml:space="preserve"> </w:t>
      </w:r>
      <w:r>
        <w:t>of</w:t>
      </w:r>
      <w:r>
        <w:rPr>
          <w:spacing w:val="27"/>
        </w:rPr>
        <w:t xml:space="preserve"> </w:t>
      </w:r>
      <w:r>
        <w:t>the</w:t>
      </w:r>
      <w:r>
        <w:rPr>
          <w:spacing w:val="27"/>
        </w:rPr>
        <w:t xml:space="preserve"> </w:t>
      </w:r>
      <w:r>
        <w:t>paired samples t-test comparing pretest and posttest professional email writing scores</w:t>
      </w:r>
      <w:r>
        <w:rPr>
          <w:spacing w:val="-3"/>
        </w:rPr>
        <w:t xml:space="preserve"> </w:t>
      </w:r>
      <w:r>
        <w:t>are</w:t>
      </w:r>
      <w:r>
        <w:rPr>
          <w:spacing w:val="-3"/>
        </w:rPr>
        <w:t xml:space="preserve"> </w:t>
      </w:r>
      <w:r>
        <w:t>presented</w:t>
      </w:r>
      <w:r>
        <w:rPr>
          <w:spacing w:val="-3"/>
        </w:rPr>
        <w:t xml:space="preserve"> </w:t>
      </w:r>
      <w:r>
        <w:t>in Table 2.</w:t>
      </w:r>
    </w:p>
    <w:p w14:paraId="048935AE" w14:textId="77777777" w:rsidR="00C07A90" w:rsidRDefault="008353AD">
      <w:pPr>
        <w:pStyle w:val="Heading1"/>
        <w:spacing w:before="240"/>
        <w:ind w:left="0"/>
        <w:jc w:val="both"/>
      </w:pPr>
      <w:r>
        <w:rPr>
          <w:spacing w:val="-2"/>
        </w:rPr>
        <w:t>Table</w:t>
      </w:r>
      <w:r>
        <w:rPr>
          <w:spacing w:val="-8"/>
        </w:rPr>
        <w:t xml:space="preserve"> </w:t>
      </w:r>
      <w:r>
        <w:rPr>
          <w:spacing w:val="-10"/>
        </w:rPr>
        <w:t>2</w:t>
      </w:r>
    </w:p>
    <w:p w14:paraId="1EDD08E3" w14:textId="77777777" w:rsidR="00C07A90" w:rsidRDefault="008353AD">
      <w:pPr>
        <w:pStyle w:val="BodyText"/>
        <w:spacing w:before="41" w:line="276" w:lineRule="auto"/>
        <w:ind w:left="1511" w:right="1511"/>
      </w:pPr>
      <w:r>
        <w:t>Paired</w:t>
      </w:r>
      <w:r>
        <w:rPr>
          <w:spacing w:val="-11"/>
        </w:rPr>
        <w:t xml:space="preserve"> </w:t>
      </w:r>
      <w:r>
        <w:t>Samples</w:t>
      </w:r>
      <w:r>
        <w:rPr>
          <w:spacing w:val="-11"/>
        </w:rPr>
        <w:t xml:space="preserve"> </w:t>
      </w:r>
      <w:r>
        <w:t>t-Test</w:t>
      </w:r>
      <w:r>
        <w:rPr>
          <w:spacing w:val="-11"/>
        </w:rPr>
        <w:t xml:space="preserve"> </w:t>
      </w:r>
      <w:r>
        <w:t>Comparing</w:t>
      </w:r>
      <w:r>
        <w:rPr>
          <w:spacing w:val="-11"/>
        </w:rPr>
        <w:t xml:space="preserve"> </w:t>
      </w:r>
      <w:r>
        <w:t>Pretest</w:t>
      </w:r>
      <w:r>
        <w:rPr>
          <w:spacing w:val="-11"/>
        </w:rPr>
        <w:t xml:space="preserve"> </w:t>
      </w:r>
      <w:r>
        <w:t>and</w:t>
      </w:r>
      <w:r>
        <w:rPr>
          <w:spacing w:val="-11"/>
        </w:rPr>
        <w:t xml:space="preserve"> </w:t>
      </w:r>
      <w:r>
        <w:t>Posttest Professional Email Writing Scores</w:t>
      </w:r>
    </w:p>
    <w:tbl>
      <w:tblPr>
        <w:tblW w:w="0" w:type="auto"/>
        <w:tblInd w:w="367" w:type="dxa"/>
        <w:tblLayout w:type="fixed"/>
        <w:tblCellMar>
          <w:left w:w="0" w:type="dxa"/>
          <w:right w:w="0" w:type="dxa"/>
        </w:tblCellMar>
        <w:tblLook w:val="04A0" w:firstRow="1" w:lastRow="0" w:firstColumn="1" w:lastColumn="0" w:noHBand="0" w:noVBand="1"/>
      </w:tblPr>
      <w:tblGrid>
        <w:gridCol w:w="2411"/>
        <w:gridCol w:w="2748"/>
        <w:gridCol w:w="1531"/>
        <w:gridCol w:w="1128"/>
        <w:gridCol w:w="1402"/>
      </w:tblGrid>
      <w:tr w:rsidR="00C07A90" w14:paraId="3563CB0E" w14:textId="77777777">
        <w:trPr>
          <w:trHeight w:val="520"/>
        </w:trPr>
        <w:tc>
          <w:tcPr>
            <w:tcW w:w="2411" w:type="dxa"/>
            <w:tcBorders>
              <w:top w:val="single" w:sz="8" w:space="0" w:color="000000"/>
              <w:bottom w:val="single" w:sz="8" w:space="0" w:color="000000"/>
            </w:tcBorders>
          </w:tcPr>
          <w:p w14:paraId="20AABA8B" w14:textId="77777777" w:rsidR="00C07A90" w:rsidRDefault="008353AD">
            <w:pPr>
              <w:pStyle w:val="TableParagraph"/>
              <w:spacing w:before="100"/>
              <w:jc w:val="both"/>
              <w:rPr>
                <w:b/>
                <w:sz w:val="24"/>
                <w:szCs w:val="24"/>
              </w:rPr>
            </w:pPr>
            <w:r>
              <w:rPr>
                <w:b/>
                <w:spacing w:val="-2"/>
                <w:sz w:val="24"/>
                <w:szCs w:val="24"/>
              </w:rPr>
              <w:t>Comparison</w:t>
            </w:r>
          </w:p>
        </w:tc>
        <w:tc>
          <w:tcPr>
            <w:tcW w:w="2748" w:type="dxa"/>
            <w:tcBorders>
              <w:top w:val="single" w:sz="8" w:space="0" w:color="000000"/>
              <w:bottom w:val="single" w:sz="8" w:space="0" w:color="000000"/>
            </w:tcBorders>
          </w:tcPr>
          <w:p w14:paraId="50C32450" w14:textId="77777777" w:rsidR="00C07A90" w:rsidRDefault="008353AD">
            <w:pPr>
              <w:pStyle w:val="TableParagraph"/>
              <w:spacing w:before="100"/>
              <w:ind w:left="1" w:right="69"/>
              <w:jc w:val="both"/>
              <w:rPr>
                <w:b/>
                <w:sz w:val="24"/>
                <w:szCs w:val="24"/>
              </w:rPr>
            </w:pPr>
            <w:r>
              <w:rPr>
                <w:b/>
                <w:sz w:val="24"/>
                <w:szCs w:val="24"/>
              </w:rPr>
              <w:t xml:space="preserve">Mean </w:t>
            </w:r>
            <w:r>
              <w:rPr>
                <w:b/>
                <w:spacing w:val="-2"/>
                <w:sz w:val="24"/>
                <w:szCs w:val="24"/>
              </w:rPr>
              <w:t>Difference</w:t>
            </w:r>
          </w:p>
        </w:tc>
        <w:tc>
          <w:tcPr>
            <w:tcW w:w="1531" w:type="dxa"/>
            <w:tcBorders>
              <w:top w:val="single" w:sz="8" w:space="0" w:color="000000"/>
              <w:bottom w:val="single" w:sz="8" w:space="0" w:color="000000"/>
            </w:tcBorders>
          </w:tcPr>
          <w:p w14:paraId="6954E548" w14:textId="77777777" w:rsidR="00C07A90" w:rsidRDefault="008353AD">
            <w:pPr>
              <w:pStyle w:val="TableParagraph"/>
              <w:spacing w:before="100"/>
              <w:ind w:left="15"/>
              <w:jc w:val="both"/>
              <w:rPr>
                <w:b/>
                <w:sz w:val="24"/>
                <w:szCs w:val="24"/>
              </w:rPr>
            </w:pPr>
            <w:r>
              <w:rPr>
                <w:b/>
                <w:spacing w:val="-10"/>
                <w:sz w:val="24"/>
                <w:szCs w:val="24"/>
              </w:rPr>
              <w:t>t</w:t>
            </w:r>
          </w:p>
        </w:tc>
        <w:tc>
          <w:tcPr>
            <w:tcW w:w="1128" w:type="dxa"/>
            <w:tcBorders>
              <w:top w:val="single" w:sz="8" w:space="0" w:color="000000"/>
              <w:bottom w:val="single" w:sz="8" w:space="0" w:color="000000"/>
            </w:tcBorders>
          </w:tcPr>
          <w:p w14:paraId="78ECDB49" w14:textId="77777777" w:rsidR="00C07A90" w:rsidRDefault="008353AD">
            <w:pPr>
              <w:pStyle w:val="TableParagraph"/>
              <w:spacing w:before="100"/>
              <w:ind w:left="72" w:right="1"/>
              <w:jc w:val="both"/>
              <w:rPr>
                <w:b/>
                <w:sz w:val="24"/>
                <w:szCs w:val="24"/>
              </w:rPr>
            </w:pPr>
            <w:r>
              <w:rPr>
                <w:b/>
                <w:spacing w:val="-5"/>
                <w:sz w:val="24"/>
                <w:szCs w:val="24"/>
              </w:rPr>
              <w:t>df</w:t>
            </w:r>
          </w:p>
        </w:tc>
        <w:tc>
          <w:tcPr>
            <w:tcW w:w="1402" w:type="dxa"/>
            <w:tcBorders>
              <w:top w:val="single" w:sz="8" w:space="0" w:color="000000"/>
              <w:bottom w:val="single" w:sz="8" w:space="0" w:color="000000"/>
            </w:tcBorders>
          </w:tcPr>
          <w:p w14:paraId="31A58172" w14:textId="77777777" w:rsidR="00C07A90" w:rsidRDefault="008353AD">
            <w:pPr>
              <w:pStyle w:val="TableParagraph"/>
              <w:spacing w:before="100"/>
              <w:ind w:left="62"/>
              <w:jc w:val="both"/>
              <w:rPr>
                <w:b/>
                <w:sz w:val="24"/>
                <w:szCs w:val="24"/>
              </w:rPr>
            </w:pPr>
            <w:r>
              <w:rPr>
                <w:b/>
                <w:spacing w:val="-10"/>
                <w:sz w:val="24"/>
                <w:szCs w:val="24"/>
              </w:rPr>
              <w:t>p</w:t>
            </w:r>
          </w:p>
        </w:tc>
      </w:tr>
      <w:tr w:rsidR="00C07A90" w14:paraId="30FFC820" w14:textId="77777777">
        <w:trPr>
          <w:trHeight w:val="520"/>
        </w:trPr>
        <w:tc>
          <w:tcPr>
            <w:tcW w:w="2411" w:type="dxa"/>
            <w:tcBorders>
              <w:top w:val="single" w:sz="8" w:space="0" w:color="000000"/>
              <w:bottom w:val="single" w:sz="8" w:space="0" w:color="000000"/>
            </w:tcBorders>
          </w:tcPr>
          <w:p w14:paraId="5071AD5B" w14:textId="77777777" w:rsidR="00C07A90" w:rsidRDefault="008353AD">
            <w:pPr>
              <w:pStyle w:val="TableParagraph"/>
              <w:spacing w:before="103"/>
              <w:jc w:val="both"/>
              <w:rPr>
                <w:sz w:val="24"/>
                <w:szCs w:val="24"/>
              </w:rPr>
            </w:pPr>
            <w:r>
              <w:rPr>
                <w:sz w:val="24"/>
                <w:szCs w:val="24"/>
              </w:rPr>
              <w:t xml:space="preserve">Posttest – </w:t>
            </w:r>
            <w:r>
              <w:rPr>
                <w:spacing w:val="-2"/>
                <w:sz w:val="24"/>
                <w:szCs w:val="24"/>
              </w:rPr>
              <w:t>Pretest</w:t>
            </w:r>
          </w:p>
        </w:tc>
        <w:tc>
          <w:tcPr>
            <w:tcW w:w="2748" w:type="dxa"/>
            <w:tcBorders>
              <w:top w:val="single" w:sz="8" w:space="0" w:color="000000"/>
              <w:bottom w:val="single" w:sz="8" w:space="0" w:color="000000"/>
            </w:tcBorders>
          </w:tcPr>
          <w:p w14:paraId="34144AA9" w14:textId="77777777" w:rsidR="00C07A90" w:rsidRDefault="008353AD">
            <w:pPr>
              <w:pStyle w:val="TableParagraph"/>
              <w:spacing w:before="103"/>
              <w:ind w:left="0" w:right="69"/>
              <w:jc w:val="both"/>
              <w:rPr>
                <w:sz w:val="24"/>
                <w:szCs w:val="24"/>
              </w:rPr>
            </w:pPr>
            <w:r>
              <w:rPr>
                <w:spacing w:val="-4"/>
                <w:sz w:val="24"/>
                <w:szCs w:val="24"/>
              </w:rPr>
              <w:t>3.19</w:t>
            </w:r>
          </w:p>
        </w:tc>
        <w:tc>
          <w:tcPr>
            <w:tcW w:w="1531" w:type="dxa"/>
            <w:tcBorders>
              <w:top w:val="single" w:sz="8" w:space="0" w:color="000000"/>
              <w:bottom w:val="single" w:sz="8" w:space="0" w:color="000000"/>
            </w:tcBorders>
          </w:tcPr>
          <w:p w14:paraId="0980FDA1" w14:textId="77777777" w:rsidR="00C07A90" w:rsidRDefault="008353AD">
            <w:pPr>
              <w:pStyle w:val="TableParagraph"/>
              <w:spacing w:before="103"/>
              <w:ind w:left="15"/>
              <w:jc w:val="both"/>
              <w:rPr>
                <w:sz w:val="24"/>
                <w:szCs w:val="24"/>
              </w:rPr>
            </w:pPr>
            <w:r>
              <w:rPr>
                <w:spacing w:val="-2"/>
                <w:sz w:val="24"/>
                <w:szCs w:val="24"/>
              </w:rPr>
              <w:t>11.27</w:t>
            </w:r>
          </w:p>
        </w:tc>
        <w:tc>
          <w:tcPr>
            <w:tcW w:w="1128" w:type="dxa"/>
            <w:tcBorders>
              <w:top w:val="single" w:sz="8" w:space="0" w:color="000000"/>
              <w:bottom w:val="single" w:sz="8" w:space="0" w:color="000000"/>
            </w:tcBorders>
          </w:tcPr>
          <w:p w14:paraId="348EC0DC" w14:textId="77777777" w:rsidR="00C07A90" w:rsidRDefault="008353AD">
            <w:pPr>
              <w:pStyle w:val="TableParagraph"/>
              <w:spacing w:before="103"/>
              <w:ind w:left="72"/>
              <w:jc w:val="both"/>
              <w:rPr>
                <w:sz w:val="24"/>
                <w:szCs w:val="24"/>
              </w:rPr>
            </w:pPr>
            <w:r>
              <w:rPr>
                <w:spacing w:val="-5"/>
                <w:sz w:val="24"/>
                <w:szCs w:val="24"/>
              </w:rPr>
              <w:t>74</w:t>
            </w:r>
          </w:p>
        </w:tc>
        <w:tc>
          <w:tcPr>
            <w:tcW w:w="1402" w:type="dxa"/>
            <w:tcBorders>
              <w:top w:val="single" w:sz="8" w:space="0" w:color="000000"/>
              <w:bottom w:val="single" w:sz="8" w:space="0" w:color="000000"/>
            </w:tcBorders>
          </w:tcPr>
          <w:p w14:paraId="63899AAD" w14:textId="77777777" w:rsidR="00C07A90" w:rsidRDefault="008353AD">
            <w:pPr>
              <w:pStyle w:val="TableParagraph"/>
              <w:spacing w:before="103"/>
              <w:ind w:left="62"/>
              <w:jc w:val="both"/>
              <w:rPr>
                <w:sz w:val="24"/>
                <w:szCs w:val="24"/>
              </w:rPr>
            </w:pPr>
            <w:r>
              <w:rPr>
                <w:sz w:val="24"/>
                <w:szCs w:val="24"/>
              </w:rPr>
              <w:t xml:space="preserve">&lt; </w:t>
            </w:r>
            <w:r>
              <w:rPr>
                <w:spacing w:val="-4"/>
                <w:sz w:val="24"/>
                <w:szCs w:val="24"/>
              </w:rPr>
              <w:t>.001</w:t>
            </w:r>
          </w:p>
        </w:tc>
      </w:tr>
    </w:tbl>
    <w:p w14:paraId="5FAD2EF7" w14:textId="77777777" w:rsidR="00C07A90" w:rsidRDefault="008353AD">
      <w:pPr>
        <w:pStyle w:val="BodyText"/>
        <w:spacing w:line="276" w:lineRule="auto"/>
        <w:ind w:left="360" w:right="358" w:firstLine="720"/>
      </w:pPr>
      <w:bookmarkStart w:id="0" w:name="As_shown_in_Table_2,_the_paired_samples_"/>
      <w:bookmarkEnd w:id="0"/>
      <w:r>
        <w:t>As shown in Table 2, the paired samples t-test revealed a statistically significant difference between pretest and posttest scores. The mean difference of 3.19 points indicates a substantial improvement in students’</w:t>
      </w:r>
      <w:r>
        <w:rPr>
          <w:spacing w:val="-3"/>
        </w:rPr>
        <w:t xml:space="preserve"> </w:t>
      </w:r>
      <w:r>
        <w:t>professional</w:t>
      </w:r>
      <w:r>
        <w:rPr>
          <w:spacing w:val="-4"/>
        </w:rPr>
        <w:t xml:space="preserve"> </w:t>
      </w:r>
      <w:r>
        <w:t>email</w:t>
      </w:r>
      <w:r>
        <w:rPr>
          <w:spacing w:val="-3"/>
        </w:rPr>
        <w:t xml:space="preserve"> </w:t>
      </w:r>
      <w:r>
        <w:t>writing</w:t>
      </w:r>
      <w:r>
        <w:rPr>
          <w:spacing w:val="-3"/>
        </w:rPr>
        <w:t xml:space="preserve"> </w:t>
      </w:r>
      <w:r>
        <w:t>performance following the instructional intervention. The large t-value further suggests that the magnitude of this difference was strong relative to the variability in scores.</w:t>
      </w:r>
    </w:p>
    <w:p w14:paraId="11EFB48B" w14:textId="77777777" w:rsidR="00C07A90" w:rsidRDefault="008353AD">
      <w:pPr>
        <w:pStyle w:val="BodyText"/>
        <w:spacing w:line="276" w:lineRule="auto"/>
        <w:ind w:left="360" w:right="360" w:firstLine="720"/>
      </w:pPr>
      <w:bookmarkStart w:id="1" w:name="The_statistically_significant_result_con"/>
      <w:bookmarkEnd w:id="1"/>
      <w:r>
        <w:t>The statistically significant result confirms that the improvement observed in students’ writing performance was unlikely to have occurred by chance alone. Instead, the findings suggest that the instructional intervention played a meaningful role in enhancing students’ ability to compose professional emails (Capalac, Mapo, &amp; Magbanua, 2025; Alnemrat et al., 2025).</w:t>
      </w:r>
    </w:p>
    <w:p w14:paraId="33EDE0CF" w14:textId="77777777" w:rsidR="00C07A90" w:rsidRDefault="008353AD">
      <w:pPr>
        <w:pStyle w:val="BodyText"/>
        <w:spacing w:line="276" w:lineRule="auto"/>
        <w:ind w:left="360" w:right="364" w:firstLine="720"/>
      </w:pPr>
      <w:bookmarkStart w:id="2" w:name="From_an_instructional_perspective,_the_s"/>
      <w:bookmarkEnd w:id="2"/>
      <w:r>
        <w:t>From an instructional perspective, the significant pretest–posttest difference highlights the</w:t>
      </w:r>
      <w:r>
        <w:rPr>
          <w:spacing w:val="-5"/>
        </w:rPr>
        <w:t xml:space="preserve"> </w:t>
      </w:r>
      <w:r>
        <w:t>potential</w:t>
      </w:r>
      <w:r>
        <w:rPr>
          <w:spacing w:val="-5"/>
        </w:rPr>
        <w:t xml:space="preserve"> </w:t>
      </w:r>
      <w:r>
        <w:t>of</w:t>
      </w:r>
      <w:r>
        <w:rPr>
          <w:spacing w:val="-5"/>
        </w:rPr>
        <w:t xml:space="preserve"> </w:t>
      </w:r>
      <w:r>
        <w:t>structured,</w:t>
      </w:r>
      <w:r>
        <w:rPr>
          <w:spacing w:val="-5"/>
        </w:rPr>
        <w:t xml:space="preserve"> </w:t>
      </w:r>
      <w:r>
        <w:t>technology-supported</w:t>
      </w:r>
      <w:r>
        <w:rPr>
          <w:spacing w:val="-5"/>
        </w:rPr>
        <w:t xml:space="preserve"> </w:t>
      </w:r>
      <w:r>
        <w:t>writing</w:t>
      </w:r>
      <w:r>
        <w:rPr>
          <w:spacing w:val="-5"/>
        </w:rPr>
        <w:t xml:space="preserve"> </w:t>
      </w:r>
      <w:r>
        <w:t>instruction</w:t>
      </w:r>
      <w:r>
        <w:rPr>
          <w:spacing w:val="-5"/>
        </w:rPr>
        <w:t xml:space="preserve"> </w:t>
      </w:r>
      <w:r>
        <w:t>to</w:t>
      </w:r>
      <w:r>
        <w:rPr>
          <w:spacing w:val="-5"/>
        </w:rPr>
        <w:t xml:space="preserve"> </w:t>
      </w:r>
      <w:r>
        <w:t>improve students’ performance in professional communication tasks (Biju &amp; Vijayakumar, 2023; González-Laguna et al., 2024). The finding also reinforces the importance of using inferential analysis alongside descriptive statistics, as it strengthens the validity of conclusions drawn about the impact of instructional interventions.</w:t>
      </w:r>
    </w:p>
    <w:p w14:paraId="47D63466" w14:textId="77777777" w:rsidR="00C07A90" w:rsidRDefault="008353AD">
      <w:pPr>
        <w:pStyle w:val="BodyText"/>
        <w:spacing w:line="276" w:lineRule="auto"/>
        <w:ind w:left="360" w:right="363" w:firstLine="720"/>
      </w:pPr>
      <w:bookmarkStart w:id="3" w:name="Overall,_the_results_presented_in_Table_"/>
      <w:bookmarkEnd w:id="3"/>
      <w:r>
        <w:t>Overall, the results presented in Table 2 provide strong statistical evidence that ChatGPT-assisted instruction contributed to improvements in professional email writing among the participating Grade 12 students.</w:t>
      </w:r>
    </w:p>
    <w:p w14:paraId="7FA506AA" w14:textId="77777777" w:rsidR="00C07A90" w:rsidRDefault="00C07A90">
      <w:pPr>
        <w:pStyle w:val="BodyText"/>
        <w:spacing w:before="127"/>
      </w:pPr>
    </w:p>
    <w:p w14:paraId="78FDB140" w14:textId="77777777" w:rsidR="00C07A90" w:rsidRDefault="00C07A90">
      <w:pPr>
        <w:pStyle w:val="BodyText"/>
        <w:spacing w:before="127"/>
      </w:pPr>
    </w:p>
    <w:p w14:paraId="3785CA14" w14:textId="77777777" w:rsidR="00C07A90" w:rsidRDefault="008353AD">
      <w:pPr>
        <w:pStyle w:val="Heading2"/>
        <w:jc w:val="both"/>
      </w:pPr>
      <w:bookmarkStart w:id="4" w:name="_"/>
      <w:bookmarkStart w:id="5" w:name="Magnitude_of_the_Instructional_Effect_"/>
      <w:bookmarkEnd w:id="4"/>
      <w:bookmarkEnd w:id="5"/>
      <w:r>
        <w:lastRenderedPageBreak/>
        <w:t xml:space="preserve">Magnitude of the Instructional </w:t>
      </w:r>
      <w:r>
        <w:rPr>
          <w:spacing w:val="-2"/>
        </w:rPr>
        <w:t>Effect</w:t>
      </w:r>
    </w:p>
    <w:p w14:paraId="22A6356A" w14:textId="77777777" w:rsidR="00C07A90" w:rsidRDefault="00C07A90">
      <w:pPr>
        <w:pStyle w:val="BodyText"/>
        <w:spacing w:before="5"/>
        <w:rPr>
          <w:b/>
          <w:i/>
        </w:rPr>
      </w:pPr>
    </w:p>
    <w:p w14:paraId="5D5BD64F" w14:textId="77777777" w:rsidR="00C07A90" w:rsidRDefault="008353AD">
      <w:pPr>
        <w:pStyle w:val="BodyText"/>
        <w:spacing w:before="1" w:line="276" w:lineRule="auto"/>
        <w:ind w:left="360" w:right="358" w:firstLine="720"/>
      </w:pPr>
      <w:r>
        <w:t>While statistical significance indicates whether an observed difference is</w:t>
      </w:r>
      <w:r>
        <w:rPr>
          <w:spacing w:val="-4"/>
        </w:rPr>
        <w:t xml:space="preserve"> </w:t>
      </w:r>
      <w:r>
        <w:t>likely</w:t>
      </w:r>
      <w:r>
        <w:rPr>
          <w:spacing w:val="-4"/>
        </w:rPr>
        <w:t xml:space="preserve"> </w:t>
      </w:r>
      <w:r>
        <w:t>to be genuine, it does not fully</w:t>
      </w:r>
      <w:r>
        <w:rPr>
          <w:spacing w:val="-5"/>
        </w:rPr>
        <w:t xml:space="preserve"> </w:t>
      </w:r>
      <w:r>
        <w:t>explain</w:t>
      </w:r>
      <w:r>
        <w:rPr>
          <w:spacing w:val="-5"/>
        </w:rPr>
        <w:t xml:space="preserve"> </w:t>
      </w:r>
      <w:r>
        <w:t>the</w:t>
      </w:r>
      <w:r>
        <w:rPr>
          <w:spacing w:val="-5"/>
        </w:rPr>
        <w:t xml:space="preserve"> </w:t>
      </w:r>
      <w:r>
        <w:t>practical</w:t>
      </w:r>
      <w:r>
        <w:rPr>
          <w:spacing w:val="-5"/>
        </w:rPr>
        <w:t xml:space="preserve"> </w:t>
      </w:r>
      <w:r>
        <w:t>importance</w:t>
      </w:r>
      <w:r>
        <w:rPr>
          <w:spacing w:val="-5"/>
        </w:rPr>
        <w:t xml:space="preserve"> </w:t>
      </w:r>
      <w:r>
        <w:t>of</w:t>
      </w:r>
      <w:r>
        <w:rPr>
          <w:spacing w:val="-5"/>
        </w:rPr>
        <w:t xml:space="preserve"> </w:t>
      </w:r>
      <w:r>
        <w:t>that</w:t>
      </w:r>
      <w:r>
        <w:rPr>
          <w:spacing w:val="-5"/>
        </w:rPr>
        <w:t xml:space="preserve"> </w:t>
      </w:r>
      <w:r>
        <w:t>difference.</w:t>
      </w:r>
      <w:r>
        <w:rPr>
          <w:spacing w:val="-5"/>
        </w:rPr>
        <w:t xml:space="preserve"> </w:t>
      </w:r>
      <w:r>
        <w:t>To</w:t>
      </w:r>
      <w:r>
        <w:rPr>
          <w:spacing w:val="-5"/>
        </w:rPr>
        <w:t xml:space="preserve"> </w:t>
      </w:r>
      <w:r>
        <w:t>better understand the educational impact of the instructional intervention, an effect size analysis was conducted. Effect size provides information about the magnitude of the improvement in students’ professional email writing performance, allowing for interpretation beyond</w:t>
      </w:r>
      <w:r>
        <w:rPr>
          <w:spacing w:val="-4"/>
        </w:rPr>
        <w:t xml:space="preserve"> </w:t>
      </w:r>
      <w:r>
        <w:t>statistical</w:t>
      </w:r>
      <w:r>
        <w:rPr>
          <w:spacing w:val="-4"/>
        </w:rPr>
        <w:t xml:space="preserve"> </w:t>
      </w:r>
      <w:r>
        <w:t>significance</w:t>
      </w:r>
      <w:r>
        <w:rPr>
          <w:spacing w:val="-5"/>
        </w:rPr>
        <w:t xml:space="preserve"> </w:t>
      </w:r>
      <w:r>
        <w:t>alone.</w:t>
      </w:r>
      <w:r>
        <w:rPr>
          <w:spacing w:val="-4"/>
        </w:rPr>
        <w:t xml:space="preserve"> </w:t>
      </w:r>
      <w:r>
        <w:t>This</w:t>
      </w:r>
      <w:r>
        <w:rPr>
          <w:spacing w:val="-5"/>
        </w:rPr>
        <w:t xml:space="preserve"> </w:t>
      </w:r>
      <w:r>
        <w:t>analysis</w:t>
      </w:r>
      <w:r>
        <w:rPr>
          <w:spacing w:val="-4"/>
        </w:rPr>
        <w:t xml:space="preserve"> </w:t>
      </w:r>
      <w:r>
        <w:t>is</w:t>
      </w:r>
      <w:r>
        <w:rPr>
          <w:spacing w:val="-4"/>
        </w:rPr>
        <w:t xml:space="preserve"> </w:t>
      </w:r>
      <w:r>
        <w:t>particularly</w:t>
      </w:r>
      <w:r>
        <w:rPr>
          <w:spacing w:val="-4"/>
        </w:rPr>
        <w:t xml:space="preserve"> </w:t>
      </w:r>
      <w:r>
        <w:t>important in</w:t>
      </w:r>
      <w:r>
        <w:rPr>
          <w:spacing w:val="-3"/>
        </w:rPr>
        <w:t xml:space="preserve"> </w:t>
      </w:r>
      <w:r>
        <w:t>educational</w:t>
      </w:r>
      <w:r>
        <w:rPr>
          <w:spacing w:val="-3"/>
        </w:rPr>
        <w:t xml:space="preserve"> </w:t>
      </w:r>
      <w:r>
        <w:t>research,</w:t>
      </w:r>
      <w:r>
        <w:rPr>
          <w:spacing w:val="-3"/>
        </w:rPr>
        <w:t xml:space="preserve"> </w:t>
      </w:r>
      <w:r>
        <w:t>as</w:t>
      </w:r>
      <w:r>
        <w:rPr>
          <w:spacing w:val="-3"/>
        </w:rPr>
        <w:t xml:space="preserve"> </w:t>
      </w:r>
      <w:r>
        <w:t>it</w:t>
      </w:r>
      <w:r>
        <w:rPr>
          <w:spacing w:val="-3"/>
        </w:rPr>
        <w:t xml:space="preserve"> </w:t>
      </w:r>
      <w:r>
        <w:t>helps</w:t>
      </w:r>
      <w:r>
        <w:rPr>
          <w:spacing w:val="-3"/>
        </w:rPr>
        <w:t xml:space="preserve"> </w:t>
      </w:r>
      <w:r>
        <w:t>determine</w:t>
      </w:r>
      <w:r>
        <w:rPr>
          <w:spacing w:val="-3"/>
        </w:rPr>
        <w:t xml:space="preserve"> </w:t>
      </w:r>
      <w:r>
        <w:t>whether</w:t>
      </w:r>
      <w:r>
        <w:rPr>
          <w:spacing w:val="-3"/>
        </w:rPr>
        <w:t xml:space="preserve"> </w:t>
      </w:r>
      <w:r>
        <w:t>observed</w:t>
      </w:r>
      <w:r>
        <w:rPr>
          <w:spacing w:val="-3"/>
        </w:rPr>
        <w:t xml:space="preserve"> </w:t>
      </w:r>
      <w:r>
        <w:t>gains</w:t>
      </w:r>
      <w:r>
        <w:rPr>
          <w:spacing w:val="-3"/>
        </w:rPr>
        <w:t xml:space="preserve"> </w:t>
      </w:r>
      <w:r>
        <w:t>are</w:t>
      </w:r>
      <w:r>
        <w:rPr>
          <w:spacing w:val="-3"/>
        </w:rPr>
        <w:t xml:space="preserve"> </w:t>
      </w:r>
      <w:r>
        <w:t>meaningful</w:t>
      </w:r>
      <w:r>
        <w:rPr>
          <w:spacing w:val="-4"/>
        </w:rPr>
        <w:t xml:space="preserve"> </w:t>
      </w:r>
      <w:r>
        <w:t>in real instructional settings. To assess the strength of the improvement from pretest to posttest,</w:t>
      </w:r>
      <w:r>
        <w:rPr>
          <w:spacing w:val="-3"/>
        </w:rPr>
        <w:t xml:space="preserve"> </w:t>
      </w:r>
      <w:r>
        <w:t>Cohen’s</w:t>
      </w:r>
      <w:r>
        <w:rPr>
          <w:spacing w:val="-3"/>
        </w:rPr>
        <w:t xml:space="preserve"> </w:t>
      </w:r>
      <w:r>
        <w:t>d</w:t>
      </w:r>
      <w:r>
        <w:rPr>
          <w:spacing w:val="-3"/>
        </w:rPr>
        <w:t xml:space="preserve"> </w:t>
      </w:r>
      <w:r>
        <w:t>was</w:t>
      </w:r>
      <w:r>
        <w:rPr>
          <w:spacing w:val="-3"/>
        </w:rPr>
        <w:t xml:space="preserve"> </w:t>
      </w:r>
      <w:r>
        <w:t>computed</w:t>
      </w:r>
      <w:r>
        <w:rPr>
          <w:spacing w:val="-3"/>
        </w:rPr>
        <w:t xml:space="preserve"> </w:t>
      </w:r>
      <w:r>
        <w:t>based</w:t>
      </w:r>
      <w:r>
        <w:rPr>
          <w:spacing w:val="-3"/>
        </w:rPr>
        <w:t xml:space="preserve"> </w:t>
      </w:r>
      <w:r>
        <w:t>on</w:t>
      </w:r>
      <w:r>
        <w:rPr>
          <w:spacing w:val="-3"/>
        </w:rPr>
        <w:t xml:space="preserve"> </w:t>
      </w:r>
      <w:r>
        <w:t>students’</w:t>
      </w:r>
      <w:r>
        <w:rPr>
          <w:spacing w:val="-3"/>
        </w:rPr>
        <w:t xml:space="preserve"> </w:t>
      </w:r>
      <w:r>
        <w:t>professional</w:t>
      </w:r>
      <w:r>
        <w:rPr>
          <w:spacing w:val="-3"/>
        </w:rPr>
        <w:t xml:space="preserve"> </w:t>
      </w:r>
      <w:r>
        <w:t>email</w:t>
      </w:r>
      <w:r>
        <w:rPr>
          <w:spacing w:val="-4"/>
        </w:rPr>
        <w:t xml:space="preserve"> </w:t>
      </w:r>
      <w:r>
        <w:t>writing</w:t>
      </w:r>
      <w:r>
        <w:rPr>
          <w:spacing w:val="-3"/>
        </w:rPr>
        <w:t xml:space="preserve"> </w:t>
      </w:r>
      <w:r>
        <w:t>scores. The results of the effect size analysis are presented in Table 3.</w:t>
      </w:r>
      <w:r>
        <w:br/>
      </w:r>
    </w:p>
    <w:tbl>
      <w:tblPr>
        <w:tblW w:w="0" w:type="auto"/>
        <w:tblInd w:w="367" w:type="dxa"/>
        <w:tblLayout w:type="fixed"/>
        <w:tblCellMar>
          <w:left w:w="0" w:type="dxa"/>
          <w:right w:w="0" w:type="dxa"/>
        </w:tblCellMar>
        <w:tblLook w:val="04A0" w:firstRow="1" w:lastRow="0" w:firstColumn="1" w:lastColumn="0" w:noHBand="0" w:noVBand="1"/>
      </w:tblPr>
      <w:tblGrid>
        <w:gridCol w:w="3778"/>
        <w:gridCol w:w="2636"/>
        <w:gridCol w:w="2985"/>
      </w:tblGrid>
      <w:tr w:rsidR="00C07A90" w14:paraId="4CF27CB2" w14:textId="77777777">
        <w:trPr>
          <w:trHeight w:val="519"/>
        </w:trPr>
        <w:tc>
          <w:tcPr>
            <w:tcW w:w="9399" w:type="dxa"/>
            <w:gridSpan w:val="3"/>
            <w:tcBorders>
              <w:top w:val="single" w:sz="8" w:space="0" w:color="000000"/>
              <w:bottom w:val="single" w:sz="8" w:space="0" w:color="000000"/>
            </w:tcBorders>
          </w:tcPr>
          <w:p w14:paraId="27397462" w14:textId="77777777" w:rsidR="00C07A90" w:rsidRDefault="008353AD">
            <w:pPr>
              <w:pStyle w:val="Heading1"/>
              <w:spacing w:before="240"/>
              <w:ind w:left="0"/>
              <w:jc w:val="both"/>
            </w:pPr>
            <w:r>
              <w:rPr>
                <w:spacing w:val="-2"/>
              </w:rPr>
              <w:t>Table</w:t>
            </w:r>
            <w:r>
              <w:rPr>
                <w:spacing w:val="-8"/>
              </w:rPr>
              <w:t xml:space="preserve"> </w:t>
            </w:r>
            <w:r>
              <w:rPr>
                <w:spacing w:val="-10"/>
              </w:rPr>
              <w:t>3:</w:t>
            </w:r>
          </w:p>
          <w:p w14:paraId="6232ABB7" w14:textId="77777777" w:rsidR="00C07A90" w:rsidRDefault="008353AD">
            <w:pPr>
              <w:pStyle w:val="BodyText"/>
              <w:spacing w:before="41" w:after="39"/>
              <w:rPr>
                <w:b/>
                <w:spacing w:val="-2"/>
              </w:rPr>
            </w:pPr>
            <w:r>
              <w:rPr>
                <w:b/>
                <w:bCs/>
              </w:rPr>
              <w:t>Effect</w:t>
            </w:r>
            <w:r>
              <w:rPr>
                <w:b/>
                <w:bCs/>
                <w:spacing w:val="-2"/>
              </w:rPr>
              <w:t xml:space="preserve"> </w:t>
            </w:r>
            <w:r>
              <w:rPr>
                <w:b/>
                <w:bCs/>
              </w:rPr>
              <w:t>Size</w:t>
            </w:r>
            <w:r>
              <w:rPr>
                <w:b/>
                <w:bCs/>
                <w:spacing w:val="-2"/>
              </w:rPr>
              <w:t xml:space="preserve"> </w:t>
            </w:r>
            <w:r>
              <w:rPr>
                <w:b/>
                <w:bCs/>
              </w:rPr>
              <w:t>(Cohen’s</w:t>
            </w:r>
            <w:r>
              <w:rPr>
                <w:b/>
                <w:bCs/>
                <w:spacing w:val="-1"/>
              </w:rPr>
              <w:t xml:space="preserve"> </w:t>
            </w:r>
            <w:r>
              <w:rPr>
                <w:b/>
                <w:bCs/>
              </w:rPr>
              <w:t>d)</w:t>
            </w:r>
            <w:r>
              <w:rPr>
                <w:b/>
                <w:bCs/>
                <w:spacing w:val="-2"/>
              </w:rPr>
              <w:t xml:space="preserve"> </w:t>
            </w:r>
            <w:r>
              <w:rPr>
                <w:b/>
                <w:bCs/>
              </w:rPr>
              <w:t>for</w:t>
            </w:r>
            <w:r>
              <w:rPr>
                <w:b/>
                <w:bCs/>
                <w:spacing w:val="-2"/>
              </w:rPr>
              <w:t xml:space="preserve"> </w:t>
            </w:r>
            <w:r>
              <w:rPr>
                <w:b/>
                <w:bCs/>
              </w:rPr>
              <w:t>Pretest–Posttest</w:t>
            </w:r>
            <w:r>
              <w:rPr>
                <w:b/>
                <w:bCs/>
                <w:spacing w:val="-1"/>
              </w:rPr>
              <w:t xml:space="preserve"> </w:t>
            </w:r>
            <w:r>
              <w:rPr>
                <w:b/>
                <w:bCs/>
              </w:rPr>
              <w:t>Professional</w:t>
            </w:r>
            <w:r>
              <w:rPr>
                <w:b/>
                <w:bCs/>
                <w:spacing w:val="-2"/>
              </w:rPr>
              <w:t xml:space="preserve"> </w:t>
            </w:r>
            <w:r>
              <w:rPr>
                <w:b/>
                <w:bCs/>
              </w:rPr>
              <w:t>Email</w:t>
            </w:r>
            <w:r>
              <w:rPr>
                <w:b/>
                <w:bCs/>
                <w:spacing w:val="-2"/>
              </w:rPr>
              <w:t xml:space="preserve"> </w:t>
            </w:r>
            <w:r>
              <w:rPr>
                <w:b/>
                <w:bCs/>
              </w:rPr>
              <w:t>Writing</w:t>
            </w:r>
            <w:r>
              <w:rPr>
                <w:b/>
                <w:bCs/>
                <w:spacing w:val="-1"/>
              </w:rPr>
              <w:t xml:space="preserve"> </w:t>
            </w:r>
            <w:r>
              <w:rPr>
                <w:b/>
                <w:bCs/>
                <w:spacing w:val="-2"/>
              </w:rPr>
              <w:t>Scores</w:t>
            </w:r>
          </w:p>
        </w:tc>
      </w:tr>
      <w:tr w:rsidR="00C07A90" w14:paraId="10437FC6" w14:textId="77777777">
        <w:trPr>
          <w:trHeight w:val="519"/>
        </w:trPr>
        <w:tc>
          <w:tcPr>
            <w:tcW w:w="3778" w:type="dxa"/>
            <w:tcBorders>
              <w:top w:val="single" w:sz="8" w:space="0" w:color="000000"/>
              <w:bottom w:val="single" w:sz="8" w:space="0" w:color="000000"/>
            </w:tcBorders>
          </w:tcPr>
          <w:p w14:paraId="0DA6A41D" w14:textId="77777777" w:rsidR="00C07A90" w:rsidRDefault="008353AD">
            <w:pPr>
              <w:pStyle w:val="TableParagraph"/>
              <w:spacing w:before="103"/>
              <w:jc w:val="both"/>
              <w:rPr>
                <w:b/>
                <w:sz w:val="24"/>
                <w:szCs w:val="24"/>
              </w:rPr>
            </w:pPr>
            <w:r>
              <w:rPr>
                <w:b/>
                <w:spacing w:val="-2"/>
                <w:sz w:val="24"/>
                <w:szCs w:val="24"/>
              </w:rPr>
              <w:t>Measure</w:t>
            </w:r>
          </w:p>
        </w:tc>
        <w:tc>
          <w:tcPr>
            <w:tcW w:w="2636" w:type="dxa"/>
            <w:tcBorders>
              <w:top w:val="single" w:sz="8" w:space="0" w:color="000000"/>
              <w:bottom w:val="single" w:sz="8" w:space="0" w:color="000000"/>
            </w:tcBorders>
          </w:tcPr>
          <w:p w14:paraId="4CF2B225" w14:textId="77777777" w:rsidR="00C07A90" w:rsidRDefault="008353AD">
            <w:pPr>
              <w:pStyle w:val="TableParagraph"/>
              <w:spacing w:before="103"/>
              <w:ind w:left="0" w:right="156"/>
              <w:jc w:val="both"/>
              <w:rPr>
                <w:b/>
                <w:sz w:val="24"/>
                <w:szCs w:val="24"/>
              </w:rPr>
            </w:pPr>
            <w:r>
              <w:rPr>
                <w:b/>
                <w:sz w:val="24"/>
                <w:szCs w:val="24"/>
              </w:rPr>
              <w:t>Cohen’s</w:t>
            </w:r>
            <w:r>
              <w:rPr>
                <w:b/>
                <w:spacing w:val="-9"/>
                <w:sz w:val="24"/>
                <w:szCs w:val="24"/>
              </w:rPr>
              <w:t xml:space="preserve"> </w:t>
            </w:r>
            <w:r>
              <w:rPr>
                <w:b/>
                <w:spacing w:val="-10"/>
                <w:sz w:val="24"/>
                <w:szCs w:val="24"/>
              </w:rPr>
              <w:t>d</w:t>
            </w:r>
          </w:p>
        </w:tc>
        <w:tc>
          <w:tcPr>
            <w:tcW w:w="2985" w:type="dxa"/>
            <w:tcBorders>
              <w:top w:val="single" w:sz="8" w:space="0" w:color="000000"/>
              <w:bottom w:val="single" w:sz="8" w:space="0" w:color="000000"/>
            </w:tcBorders>
          </w:tcPr>
          <w:p w14:paraId="15A90578" w14:textId="77777777" w:rsidR="00C07A90" w:rsidRDefault="008353AD">
            <w:pPr>
              <w:pStyle w:val="TableParagraph"/>
              <w:spacing w:before="103"/>
              <w:ind w:left="207"/>
              <w:jc w:val="both"/>
              <w:rPr>
                <w:b/>
                <w:sz w:val="24"/>
                <w:szCs w:val="24"/>
              </w:rPr>
            </w:pPr>
            <w:r>
              <w:rPr>
                <w:b/>
                <w:spacing w:val="-2"/>
                <w:sz w:val="24"/>
                <w:szCs w:val="24"/>
              </w:rPr>
              <w:t>Interpretation</w:t>
            </w:r>
          </w:p>
        </w:tc>
      </w:tr>
      <w:tr w:rsidR="00C07A90" w14:paraId="30B3BDEB" w14:textId="77777777">
        <w:trPr>
          <w:trHeight w:val="520"/>
        </w:trPr>
        <w:tc>
          <w:tcPr>
            <w:tcW w:w="3778" w:type="dxa"/>
            <w:tcBorders>
              <w:top w:val="single" w:sz="8" w:space="0" w:color="000000"/>
              <w:bottom w:val="single" w:sz="8" w:space="0" w:color="000000"/>
            </w:tcBorders>
          </w:tcPr>
          <w:p w14:paraId="088984BB" w14:textId="77777777" w:rsidR="00C07A90" w:rsidRDefault="008353AD">
            <w:pPr>
              <w:pStyle w:val="TableParagraph"/>
              <w:spacing w:before="105"/>
              <w:jc w:val="both"/>
              <w:rPr>
                <w:sz w:val="24"/>
                <w:szCs w:val="24"/>
              </w:rPr>
            </w:pPr>
            <w:r>
              <w:rPr>
                <w:sz w:val="24"/>
                <w:szCs w:val="24"/>
              </w:rPr>
              <w:t>Overall</w:t>
            </w:r>
            <w:r>
              <w:rPr>
                <w:spacing w:val="-3"/>
                <w:sz w:val="24"/>
                <w:szCs w:val="24"/>
              </w:rPr>
              <w:t xml:space="preserve"> </w:t>
            </w:r>
            <w:r>
              <w:rPr>
                <w:sz w:val="24"/>
                <w:szCs w:val="24"/>
              </w:rPr>
              <w:t>Writing</w:t>
            </w:r>
            <w:r>
              <w:rPr>
                <w:spacing w:val="-2"/>
                <w:sz w:val="24"/>
                <w:szCs w:val="24"/>
              </w:rPr>
              <w:t xml:space="preserve"> Performance</w:t>
            </w:r>
          </w:p>
        </w:tc>
        <w:tc>
          <w:tcPr>
            <w:tcW w:w="2636" w:type="dxa"/>
            <w:tcBorders>
              <w:top w:val="single" w:sz="8" w:space="0" w:color="000000"/>
              <w:bottom w:val="single" w:sz="8" w:space="0" w:color="000000"/>
            </w:tcBorders>
          </w:tcPr>
          <w:p w14:paraId="1EB5BD72" w14:textId="77777777" w:rsidR="00C07A90" w:rsidRDefault="008353AD">
            <w:pPr>
              <w:pStyle w:val="TableParagraph"/>
              <w:spacing w:before="105"/>
              <w:ind w:left="0" w:right="156"/>
              <w:jc w:val="both"/>
              <w:rPr>
                <w:sz w:val="24"/>
                <w:szCs w:val="24"/>
              </w:rPr>
            </w:pPr>
            <w:r>
              <w:rPr>
                <w:spacing w:val="-4"/>
                <w:sz w:val="24"/>
                <w:szCs w:val="24"/>
              </w:rPr>
              <w:t>1.30</w:t>
            </w:r>
          </w:p>
        </w:tc>
        <w:tc>
          <w:tcPr>
            <w:tcW w:w="2985" w:type="dxa"/>
            <w:tcBorders>
              <w:top w:val="single" w:sz="8" w:space="0" w:color="000000"/>
              <w:bottom w:val="single" w:sz="8" w:space="0" w:color="000000"/>
            </w:tcBorders>
          </w:tcPr>
          <w:p w14:paraId="3D318B24" w14:textId="77777777" w:rsidR="00C07A90" w:rsidRDefault="008353AD">
            <w:pPr>
              <w:pStyle w:val="TableParagraph"/>
              <w:spacing w:before="105"/>
              <w:ind w:left="207"/>
              <w:jc w:val="both"/>
              <w:rPr>
                <w:sz w:val="24"/>
                <w:szCs w:val="24"/>
              </w:rPr>
            </w:pPr>
            <w:r>
              <w:rPr>
                <w:spacing w:val="-2"/>
                <w:sz w:val="24"/>
                <w:szCs w:val="24"/>
              </w:rPr>
              <w:t>Large</w:t>
            </w:r>
          </w:p>
        </w:tc>
      </w:tr>
    </w:tbl>
    <w:p w14:paraId="7A89B20A" w14:textId="77777777" w:rsidR="00C07A90" w:rsidRDefault="008353AD">
      <w:pPr>
        <w:pStyle w:val="BodyText"/>
        <w:spacing w:before="244" w:line="276" w:lineRule="auto"/>
        <w:ind w:left="360" w:right="364" w:firstLine="720"/>
      </w:pPr>
      <w:bookmarkStart w:id="6" w:name="As_shown_in_Table_3,_the_computed_Cohen’"/>
      <w:bookmarkEnd w:id="6"/>
      <w:r>
        <w:t>As shown in Table 3, the computed Cohen’s d value of 1.30 indicates a large effect size. This result suggests that the improvement in students’ professional email writing performance following the instructional intervention was not only statistically significant but also educationally substantial. A large effect size reflects a strong instructional impact, indicating that the difference between pretest and posttest performance represents a meaningful shift in students’ writing ability rather than a marginal or trivial gain.</w:t>
      </w:r>
    </w:p>
    <w:p w14:paraId="0F802964" w14:textId="77777777" w:rsidR="00C07A90" w:rsidRDefault="008353AD">
      <w:pPr>
        <w:pStyle w:val="BodyText"/>
        <w:spacing w:line="276" w:lineRule="auto"/>
        <w:ind w:left="360" w:right="358" w:firstLine="720"/>
      </w:pPr>
      <w:bookmarkStart w:id="7" w:name="The_magnitude_of_the_effect_implies_that"/>
      <w:bookmarkEnd w:id="7"/>
      <w:r>
        <w:t>The magnitude of the effect implies that the instructional intervention had a pronounced influence on students’ ability to apply professional email writing conventions, including structure, tone, clarity, and language use (Nguyen &amp; Truong, 2024). This level of improvement suggests that students were able to internalize key features of professional email writing within a relatively short instructional period (Alangari. 2025). Moreover, the large effect size indicates that the</w:t>
      </w:r>
      <w:r>
        <w:rPr>
          <w:spacing w:val="-4"/>
        </w:rPr>
        <w:t xml:space="preserve"> </w:t>
      </w:r>
      <w:r>
        <w:t>observed</w:t>
      </w:r>
      <w:r>
        <w:rPr>
          <w:spacing w:val="-4"/>
        </w:rPr>
        <w:t xml:space="preserve"> </w:t>
      </w:r>
      <w:r>
        <w:t>gains</w:t>
      </w:r>
      <w:r>
        <w:rPr>
          <w:spacing w:val="-4"/>
        </w:rPr>
        <w:t xml:space="preserve"> </w:t>
      </w:r>
      <w:r>
        <w:t>were consistent across the group, reinforcing the conclusion that the intervention was effective for learners with varying levels of initial proficiency.</w:t>
      </w:r>
    </w:p>
    <w:p w14:paraId="42C08944" w14:textId="77777777" w:rsidR="00C07A90" w:rsidRDefault="008353AD">
      <w:pPr>
        <w:pStyle w:val="BodyText"/>
        <w:spacing w:line="276" w:lineRule="auto"/>
        <w:ind w:left="360" w:right="358" w:firstLine="720"/>
      </w:pPr>
      <w:bookmarkStart w:id="8" w:name="From_a_pedagogical_perspective,_the_effe"/>
      <w:bookmarkEnd w:id="8"/>
      <w:r>
        <w:t>From a pedagogical perspective, the effect size results strengthen the overall findings of the study by demonstrating that ChatGPT-assisted instruction can lead to meaningful</w:t>
      </w:r>
      <w:r>
        <w:rPr>
          <w:spacing w:val="30"/>
        </w:rPr>
        <w:t xml:space="preserve"> </w:t>
      </w:r>
      <w:r>
        <w:t>learning</w:t>
      </w:r>
      <w:r>
        <w:rPr>
          <w:spacing w:val="30"/>
        </w:rPr>
        <w:t xml:space="preserve"> </w:t>
      </w:r>
      <w:r>
        <w:t>outcomes</w:t>
      </w:r>
      <w:r>
        <w:rPr>
          <w:spacing w:val="30"/>
        </w:rPr>
        <w:t xml:space="preserve"> </w:t>
      </w:r>
      <w:r>
        <w:t>in</w:t>
      </w:r>
      <w:r>
        <w:rPr>
          <w:spacing w:val="15"/>
        </w:rPr>
        <w:t xml:space="preserve"> </w:t>
      </w:r>
      <w:r>
        <w:t>professional</w:t>
      </w:r>
      <w:r>
        <w:rPr>
          <w:spacing w:val="14"/>
        </w:rPr>
        <w:t xml:space="preserve"> </w:t>
      </w:r>
      <w:r>
        <w:t>writing</w:t>
      </w:r>
      <w:r>
        <w:rPr>
          <w:spacing w:val="15"/>
        </w:rPr>
        <w:t xml:space="preserve"> </w:t>
      </w:r>
      <w:r>
        <w:t>(Hongxia</w:t>
      </w:r>
      <w:r>
        <w:rPr>
          <w:spacing w:val="15"/>
        </w:rPr>
        <w:t xml:space="preserve"> </w:t>
      </w:r>
      <w:r>
        <w:t>&amp;</w:t>
      </w:r>
      <w:r>
        <w:rPr>
          <w:spacing w:val="15"/>
        </w:rPr>
        <w:t xml:space="preserve"> </w:t>
      </w:r>
      <w:r>
        <w:t>Razali,</w:t>
      </w:r>
      <w:r>
        <w:rPr>
          <w:spacing w:val="15"/>
        </w:rPr>
        <w:t xml:space="preserve"> </w:t>
      </w:r>
      <w:r>
        <w:t>2025).</w:t>
      </w:r>
      <w:r>
        <w:rPr>
          <w:spacing w:val="15"/>
        </w:rPr>
        <w:t xml:space="preserve"> </w:t>
      </w:r>
      <w:r>
        <w:rPr>
          <w:spacing w:val="-2"/>
        </w:rPr>
        <w:t>Rather</w:t>
      </w:r>
    </w:p>
    <w:p w14:paraId="6F5EC86C" w14:textId="77777777" w:rsidR="00C07A90" w:rsidRDefault="00C07A90">
      <w:pPr>
        <w:pStyle w:val="BodyText"/>
        <w:spacing w:line="276" w:lineRule="auto"/>
        <w:sectPr w:rsidR="00C07A90">
          <w:pgSz w:w="12240" w:h="15840"/>
          <w:pgMar w:top="1340" w:right="1080" w:bottom="280" w:left="1080" w:header="44" w:footer="0" w:gutter="0"/>
          <w:cols w:space="720"/>
        </w:sectPr>
      </w:pPr>
    </w:p>
    <w:p w14:paraId="223BC575" w14:textId="77777777" w:rsidR="00C07A90" w:rsidRDefault="008353AD">
      <w:pPr>
        <w:pStyle w:val="BodyText"/>
        <w:spacing w:before="82" w:line="276" w:lineRule="auto"/>
        <w:ind w:left="360" w:right="361"/>
      </w:pPr>
      <w:r>
        <w:lastRenderedPageBreak/>
        <w:t>than producing minor surface-level</w:t>
      </w:r>
      <w:r>
        <w:rPr>
          <w:spacing w:val="-4"/>
        </w:rPr>
        <w:t xml:space="preserve"> </w:t>
      </w:r>
      <w:r>
        <w:t>improvements,</w:t>
      </w:r>
      <w:r>
        <w:rPr>
          <w:spacing w:val="-4"/>
        </w:rPr>
        <w:t xml:space="preserve"> </w:t>
      </w:r>
      <w:r>
        <w:t>the</w:t>
      </w:r>
      <w:r>
        <w:rPr>
          <w:spacing w:val="-4"/>
        </w:rPr>
        <w:t xml:space="preserve"> </w:t>
      </w:r>
      <w:r>
        <w:t>instructional</w:t>
      </w:r>
      <w:r>
        <w:rPr>
          <w:spacing w:val="-4"/>
        </w:rPr>
        <w:t xml:space="preserve"> </w:t>
      </w:r>
      <w:r>
        <w:t>approach</w:t>
      </w:r>
      <w:r>
        <w:rPr>
          <w:spacing w:val="-4"/>
        </w:rPr>
        <w:t xml:space="preserve"> </w:t>
      </w:r>
      <w:r>
        <w:t>resulted</w:t>
      </w:r>
      <w:r>
        <w:rPr>
          <w:spacing w:val="-4"/>
        </w:rPr>
        <w:t xml:space="preserve"> </w:t>
      </w:r>
      <w:r>
        <w:t>in substantial gains that are likely to be</w:t>
      </w:r>
      <w:r>
        <w:rPr>
          <w:spacing w:val="-3"/>
        </w:rPr>
        <w:t xml:space="preserve"> </w:t>
      </w:r>
      <w:r>
        <w:t>noticeable</w:t>
      </w:r>
      <w:r>
        <w:rPr>
          <w:spacing w:val="-3"/>
        </w:rPr>
        <w:t xml:space="preserve"> </w:t>
      </w:r>
      <w:r>
        <w:t>in</w:t>
      </w:r>
      <w:r>
        <w:rPr>
          <w:spacing w:val="-3"/>
        </w:rPr>
        <w:t xml:space="preserve"> </w:t>
      </w:r>
      <w:r>
        <w:t>students’</w:t>
      </w:r>
      <w:r>
        <w:rPr>
          <w:spacing w:val="-3"/>
        </w:rPr>
        <w:t xml:space="preserve"> </w:t>
      </w:r>
      <w:r>
        <w:t>actual</w:t>
      </w:r>
      <w:r>
        <w:rPr>
          <w:spacing w:val="-3"/>
        </w:rPr>
        <w:t xml:space="preserve"> </w:t>
      </w:r>
      <w:r>
        <w:t>writing</w:t>
      </w:r>
      <w:r>
        <w:rPr>
          <w:spacing w:val="-3"/>
        </w:rPr>
        <w:t xml:space="preserve"> </w:t>
      </w:r>
      <w:r>
        <w:t>performance. As such, the results presented in Table 3 provide strong evidence of the instructional value of integrating guided AI-assisted activities into professional email writing instruction at the senior high school level.</w:t>
      </w:r>
    </w:p>
    <w:p w14:paraId="6A12D478" w14:textId="77777777" w:rsidR="00C07A90" w:rsidRDefault="00C07A90">
      <w:pPr>
        <w:pStyle w:val="BodyText"/>
        <w:spacing w:before="4"/>
      </w:pPr>
    </w:p>
    <w:p w14:paraId="6F6DFDEC" w14:textId="77777777" w:rsidR="00C07A90" w:rsidRDefault="008353AD">
      <w:pPr>
        <w:pStyle w:val="Heading2"/>
        <w:jc w:val="both"/>
      </w:pPr>
      <w:bookmarkStart w:id="9" w:name="Component-Level_Improvements_in_Professi"/>
      <w:bookmarkEnd w:id="9"/>
      <w:r>
        <w:t>Component-Level</w:t>
      </w:r>
      <w:r>
        <w:rPr>
          <w:spacing w:val="-2"/>
        </w:rPr>
        <w:t xml:space="preserve"> </w:t>
      </w:r>
      <w:r>
        <w:t>Improvements in Professional Email</w:t>
      </w:r>
      <w:r>
        <w:rPr>
          <w:spacing w:val="-1"/>
        </w:rPr>
        <w:t xml:space="preserve"> </w:t>
      </w:r>
      <w:r>
        <w:rPr>
          <w:spacing w:val="-2"/>
        </w:rPr>
        <w:t>Writing</w:t>
      </w:r>
    </w:p>
    <w:p w14:paraId="69B32A03" w14:textId="77777777" w:rsidR="00C07A90" w:rsidRDefault="00C07A90">
      <w:pPr>
        <w:pStyle w:val="BodyText"/>
        <w:spacing w:before="5"/>
        <w:rPr>
          <w:b/>
          <w:i/>
        </w:rPr>
      </w:pPr>
    </w:p>
    <w:p w14:paraId="195FA8DB" w14:textId="77777777" w:rsidR="00C07A90" w:rsidRDefault="008353AD">
      <w:pPr>
        <w:pStyle w:val="BodyText"/>
        <w:spacing w:before="0" w:line="276" w:lineRule="auto"/>
        <w:ind w:left="360" w:right="359" w:firstLine="720"/>
      </w:pPr>
      <w:r>
        <w:t>To gain a more detailed understanding of how ChatGPT-assisted instruction influenced specific aspects of professional email writing, a component-level analysis was conducted. While overall performance measures provide a general indication of improvement, examining individual writing components allows for a</w:t>
      </w:r>
      <w:r>
        <w:rPr>
          <w:spacing w:val="-3"/>
        </w:rPr>
        <w:t xml:space="preserve"> </w:t>
      </w:r>
      <w:r>
        <w:t>clearer</w:t>
      </w:r>
      <w:r>
        <w:rPr>
          <w:spacing w:val="-3"/>
        </w:rPr>
        <w:t xml:space="preserve"> </w:t>
      </w:r>
      <w:r>
        <w:t>assessment of which skills were most responsive to the instructional intervention. This analysis focused on four key</w:t>
      </w:r>
      <w:r>
        <w:rPr>
          <w:spacing w:val="-3"/>
        </w:rPr>
        <w:t xml:space="preserve"> </w:t>
      </w:r>
      <w:r>
        <w:t>components</w:t>
      </w:r>
      <w:r>
        <w:rPr>
          <w:spacing w:val="-3"/>
        </w:rPr>
        <w:t xml:space="preserve"> </w:t>
      </w:r>
      <w:r>
        <w:t>of</w:t>
      </w:r>
      <w:r>
        <w:rPr>
          <w:spacing w:val="-3"/>
        </w:rPr>
        <w:t xml:space="preserve"> </w:t>
      </w:r>
      <w:r>
        <w:t>professional</w:t>
      </w:r>
      <w:r>
        <w:rPr>
          <w:spacing w:val="-3"/>
        </w:rPr>
        <w:t xml:space="preserve"> </w:t>
      </w:r>
      <w:r>
        <w:t>email</w:t>
      </w:r>
      <w:r>
        <w:rPr>
          <w:spacing w:val="-3"/>
        </w:rPr>
        <w:t xml:space="preserve"> </w:t>
      </w:r>
      <w:r>
        <w:t>writing:</w:t>
      </w:r>
      <w:r>
        <w:rPr>
          <w:spacing w:val="-3"/>
        </w:rPr>
        <w:t xml:space="preserve"> </w:t>
      </w:r>
      <w:r>
        <w:t>email</w:t>
      </w:r>
      <w:r>
        <w:rPr>
          <w:spacing w:val="-4"/>
        </w:rPr>
        <w:t xml:space="preserve"> </w:t>
      </w:r>
      <w:r>
        <w:t>structure,</w:t>
      </w:r>
      <w:r>
        <w:rPr>
          <w:spacing w:val="-3"/>
        </w:rPr>
        <w:t xml:space="preserve"> </w:t>
      </w:r>
      <w:r>
        <w:t>message clarity, professional tone, and language accuracy. Together, these components represent essential competencies required for effective written communication in academic and workplace contexts. The pretest and posttest mean scores for each professional email writing component are presented in Table 4.</w:t>
      </w:r>
    </w:p>
    <w:p w14:paraId="05DDA564" w14:textId="77777777" w:rsidR="00C07A90" w:rsidRDefault="00C07A90">
      <w:pPr>
        <w:pStyle w:val="BodyText"/>
        <w:spacing w:before="38"/>
      </w:pPr>
    </w:p>
    <w:tbl>
      <w:tblPr>
        <w:tblW w:w="0" w:type="auto"/>
        <w:tblInd w:w="367" w:type="dxa"/>
        <w:tblLayout w:type="fixed"/>
        <w:tblCellMar>
          <w:left w:w="0" w:type="dxa"/>
          <w:right w:w="0" w:type="dxa"/>
        </w:tblCellMar>
        <w:tblLook w:val="04A0" w:firstRow="1" w:lastRow="0" w:firstColumn="1" w:lastColumn="0" w:noHBand="0" w:noVBand="1"/>
      </w:tblPr>
      <w:tblGrid>
        <w:gridCol w:w="2670"/>
        <w:gridCol w:w="2247"/>
        <w:gridCol w:w="2374"/>
        <w:gridCol w:w="1988"/>
      </w:tblGrid>
      <w:tr w:rsidR="00C07A90" w14:paraId="68035C67" w14:textId="77777777">
        <w:trPr>
          <w:trHeight w:val="519"/>
        </w:trPr>
        <w:tc>
          <w:tcPr>
            <w:tcW w:w="9279" w:type="dxa"/>
            <w:gridSpan w:val="4"/>
            <w:tcBorders>
              <w:top w:val="single" w:sz="8" w:space="0" w:color="000000"/>
              <w:bottom w:val="single" w:sz="8" w:space="0" w:color="000000"/>
            </w:tcBorders>
          </w:tcPr>
          <w:p w14:paraId="231E99EA" w14:textId="77777777" w:rsidR="00C07A90" w:rsidRDefault="008353AD">
            <w:pPr>
              <w:pStyle w:val="Heading1"/>
              <w:spacing w:before="240"/>
              <w:ind w:left="0"/>
              <w:jc w:val="both"/>
            </w:pPr>
            <w:r>
              <w:rPr>
                <w:spacing w:val="-2"/>
              </w:rPr>
              <w:t>Table</w:t>
            </w:r>
            <w:r>
              <w:rPr>
                <w:spacing w:val="-8"/>
              </w:rPr>
              <w:t xml:space="preserve"> </w:t>
            </w:r>
            <w:r>
              <w:rPr>
                <w:spacing w:val="-10"/>
              </w:rPr>
              <w:t xml:space="preserve">4: </w:t>
            </w:r>
            <w:r>
              <w:rPr>
                <w:spacing w:val="-10"/>
              </w:rPr>
              <w:br/>
            </w:r>
            <w:r>
              <w:t>Pretest</w:t>
            </w:r>
            <w:r>
              <w:rPr>
                <w:spacing w:val="-1"/>
              </w:rPr>
              <w:t xml:space="preserve"> </w:t>
            </w:r>
            <w:r>
              <w:t>and</w:t>
            </w:r>
            <w:r>
              <w:rPr>
                <w:spacing w:val="-1"/>
              </w:rPr>
              <w:t xml:space="preserve"> </w:t>
            </w:r>
            <w:r>
              <w:t>Posttest Mean</w:t>
            </w:r>
            <w:r>
              <w:rPr>
                <w:spacing w:val="-2"/>
              </w:rPr>
              <w:t xml:space="preserve"> </w:t>
            </w:r>
            <w:r>
              <w:t>Scores by</w:t>
            </w:r>
            <w:r>
              <w:rPr>
                <w:spacing w:val="-2"/>
              </w:rPr>
              <w:t xml:space="preserve"> </w:t>
            </w:r>
            <w:r>
              <w:t>Professional Email</w:t>
            </w:r>
            <w:r>
              <w:rPr>
                <w:spacing w:val="-1"/>
              </w:rPr>
              <w:t xml:space="preserve"> </w:t>
            </w:r>
            <w:r>
              <w:t xml:space="preserve">Writing </w:t>
            </w:r>
            <w:r>
              <w:rPr>
                <w:spacing w:val="-2"/>
              </w:rPr>
              <w:t>Component</w:t>
            </w:r>
          </w:p>
        </w:tc>
      </w:tr>
      <w:tr w:rsidR="00C07A90" w14:paraId="740BEE05" w14:textId="77777777">
        <w:trPr>
          <w:trHeight w:val="519"/>
        </w:trPr>
        <w:tc>
          <w:tcPr>
            <w:tcW w:w="2670" w:type="dxa"/>
            <w:tcBorders>
              <w:top w:val="single" w:sz="8" w:space="0" w:color="000000"/>
              <w:bottom w:val="single" w:sz="8" w:space="0" w:color="000000"/>
            </w:tcBorders>
          </w:tcPr>
          <w:p w14:paraId="63FCD6AC" w14:textId="77777777" w:rsidR="00C07A90" w:rsidRDefault="008353AD">
            <w:pPr>
              <w:pStyle w:val="TableParagraph"/>
              <w:spacing w:before="112"/>
              <w:jc w:val="both"/>
              <w:rPr>
                <w:b/>
                <w:sz w:val="24"/>
                <w:szCs w:val="24"/>
              </w:rPr>
            </w:pPr>
            <w:r>
              <w:rPr>
                <w:b/>
                <w:sz w:val="24"/>
                <w:szCs w:val="24"/>
              </w:rPr>
              <w:t>Writing</w:t>
            </w:r>
            <w:r>
              <w:rPr>
                <w:b/>
                <w:spacing w:val="-5"/>
                <w:sz w:val="24"/>
                <w:szCs w:val="24"/>
              </w:rPr>
              <w:t xml:space="preserve"> </w:t>
            </w:r>
            <w:r>
              <w:rPr>
                <w:b/>
                <w:spacing w:val="-2"/>
                <w:sz w:val="24"/>
                <w:szCs w:val="24"/>
              </w:rPr>
              <w:t>Component</w:t>
            </w:r>
          </w:p>
        </w:tc>
        <w:tc>
          <w:tcPr>
            <w:tcW w:w="2247" w:type="dxa"/>
            <w:tcBorders>
              <w:top w:val="single" w:sz="8" w:space="0" w:color="000000"/>
              <w:bottom w:val="single" w:sz="8" w:space="0" w:color="000000"/>
            </w:tcBorders>
          </w:tcPr>
          <w:p w14:paraId="75C47CF7" w14:textId="77777777" w:rsidR="00C07A90" w:rsidRDefault="008353AD">
            <w:pPr>
              <w:pStyle w:val="TableParagraph"/>
              <w:spacing w:before="112"/>
              <w:ind w:left="78"/>
              <w:jc w:val="both"/>
              <w:rPr>
                <w:b/>
                <w:sz w:val="24"/>
                <w:szCs w:val="24"/>
              </w:rPr>
            </w:pPr>
            <w:r>
              <w:rPr>
                <w:b/>
                <w:sz w:val="24"/>
                <w:szCs w:val="24"/>
              </w:rPr>
              <w:t xml:space="preserve">Pretest M </w:t>
            </w:r>
            <w:r>
              <w:rPr>
                <w:b/>
                <w:spacing w:val="-4"/>
                <w:sz w:val="24"/>
                <w:szCs w:val="24"/>
              </w:rPr>
              <w:t>(SD)</w:t>
            </w:r>
          </w:p>
        </w:tc>
        <w:tc>
          <w:tcPr>
            <w:tcW w:w="2374" w:type="dxa"/>
            <w:tcBorders>
              <w:top w:val="single" w:sz="8" w:space="0" w:color="000000"/>
              <w:bottom w:val="single" w:sz="8" w:space="0" w:color="000000"/>
            </w:tcBorders>
          </w:tcPr>
          <w:p w14:paraId="0DFB12EF" w14:textId="77777777" w:rsidR="00C07A90" w:rsidRDefault="008353AD">
            <w:pPr>
              <w:pStyle w:val="TableParagraph"/>
              <w:spacing w:before="112"/>
              <w:ind w:left="0" w:right="72"/>
              <w:jc w:val="both"/>
              <w:rPr>
                <w:b/>
                <w:sz w:val="24"/>
                <w:szCs w:val="24"/>
              </w:rPr>
            </w:pPr>
            <w:r>
              <w:rPr>
                <w:b/>
                <w:sz w:val="24"/>
                <w:szCs w:val="24"/>
              </w:rPr>
              <w:t xml:space="preserve">Posttest M </w:t>
            </w:r>
            <w:r>
              <w:rPr>
                <w:b/>
                <w:spacing w:val="-4"/>
                <w:sz w:val="24"/>
                <w:szCs w:val="24"/>
              </w:rPr>
              <w:t>(SD)</w:t>
            </w:r>
          </w:p>
        </w:tc>
        <w:tc>
          <w:tcPr>
            <w:tcW w:w="1988" w:type="dxa"/>
            <w:tcBorders>
              <w:top w:val="single" w:sz="8" w:space="0" w:color="000000"/>
              <w:bottom w:val="single" w:sz="8" w:space="0" w:color="000000"/>
            </w:tcBorders>
          </w:tcPr>
          <w:p w14:paraId="74121065" w14:textId="77777777" w:rsidR="00C07A90" w:rsidRDefault="008353AD">
            <w:pPr>
              <w:pStyle w:val="TableParagraph"/>
              <w:spacing w:before="112"/>
              <w:ind w:left="0" w:right="99"/>
              <w:jc w:val="both"/>
              <w:rPr>
                <w:b/>
                <w:sz w:val="24"/>
                <w:szCs w:val="24"/>
              </w:rPr>
            </w:pPr>
            <w:r>
              <w:rPr>
                <w:b/>
                <w:sz w:val="24"/>
                <w:szCs w:val="24"/>
              </w:rPr>
              <w:t xml:space="preserve">Mean </w:t>
            </w:r>
            <w:r>
              <w:rPr>
                <w:b/>
                <w:spacing w:val="-4"/>
                <w:sz w:val="24"/>
                <w:szCs w:val="24"/>
              </w:rPr>
              <w:t>Gain</w:t>
            </w:r>
          </w:p>
        </w:tc>
      </w:tr>
      <w:tr w:rsidR="00C07A90" w14:paraId="7E0EC0C5" w14:textId="77777777">
        <w:trPr>
          <w:trHeight w:val="520"/>
        </w:trPr>
        <w:tc>
          <w:tcPr>
            <w:tcW w:w="2670" w:type="dxa"/>
            <w:tcBorders>
              <w:top w:val="single" w:sz="8" w:space="0" w:color="000000"/>
            </w:tcBorders>
          </w:tcPr>
          <w:p w14:paraId="08B7356C" w14:textId="77777777" w:rsidR="00C07A90" w:rsidRDefault="008353AD">
            <w:pPr>
              <w:pStyle w:val="TableParagraph"/>
              <w:spacing w:before="115"/>
              <w:jc w:val="both"/>
              <w:rPr>
                <w:sz w:val="24"/>
                <w:szCs w:val="24"/>
              </w:rPr>
            </w:pPr>
            <w:r>
              <w:rPr>
                <w:sz w:val="24"/>
                <w:szCs w:val="24"/>
              </w:rPr>
              <w:t xml:space="preserve">Email </w:t>
            </w:r>
            <w:r>
              <w:rPr>
                <w:spacing w:val="-2"/>
                <w:sz w:val="24"/>
                <w:szCs w:val="24"/>
              </w:rPr>
              <w:t>Structure</w:t>
            </w:r>
          </w:p>
        </w:tc>
        <w:tc>
          <w:tcPr>
            <w:tcW w:w="2247" w:type="dxa"/>
            <w:tcBorders>
              <w:top w:val="single" w:sz="8" w:space="0" w:color="000000"/>
            </w:tcBorders>
          </w:tcPr>
          <w:p w14:paraId="77893098" w14:textId="77777777" w:rsidR="00C07A90" w:rsidRDefault="008353AD">
            <w:pPr>
              <w:pStyle w:val="TableParagraph"/>
              <w:spacing w:before="115"/>
              <w:ind w:left="582"/>
              <w:jc w:val="both"/>
              <w:rPr>
                <w:sz w:val="24"/>
                <w:szCs w:val="24"/>
              </w:rPr>
            </w:pPr>
            <w:r>
              <w:rPr>
                <w:sz w:val="24"/>
                <w:szCs w:val="24"/>
              </w:rPr>
              <w:t xml:space="preserve">2.81 </w:t>
            </w:r>
            <w:r>
              <w:rPr>
                <w:spacing w:val="-2"/>
                <w:sz w:val="24"/>
                <w:szCs w:val="24"/>
              </w:rPr>
              <w:t>(0.59)</w:t>
            </w:r>
          </w:p>
        </w:tc>
        <w:tc>
          <w:tcPr>
            <w:tcW w:w="2374" w:type="dxa"/>
            <w:tcBorders>
              <w:top w:val="single" w:sz="8" w:space="0" w:color="000000"/>
            </w:tcBorders>
          </w:tcPr>
          <w:p w14:paraId="651A388B" w14:textId="77777777" w:rsidR="00C07A90" w:rsidRDefault="008353AD">
            <w:pPr>
              <w:pStyle w:val="TableParagraph"/>
              <w:spacing w:before="115"/>
              <w:ind w:left="570"/>
              <w:jc w:val="both"/>
              <w:rPr>
                <w:sz w:val="24"/>
                <w:szCs w:val="24"/>
              </w:rPr>
            </w:pPr>
            <w:r>
              <w:rPr>
                <w:sz w:val="24"/>
                <w:szCs w:val="24"/>
              </w:rPr>
              <w:t xml:space="preserve">3.97 </w:t>
            </w:r>
            <w:r>
              <w:rPr>
                <w:spacing w:val="-2"/>
                <w:sz w:val="24"/>
                <w:szCs w:val="24"/>
              </w:rPr>
              <w:t>(0.51)</w:t>
            </w:r>
          </w:p>
        </w:tc>
        <w:tc>
          <w:tcPr>
            <w:tcW w:w="1988" w:type="dxa"/>
            <w:tcBorders>
              <w:top w:val="single" w:sz="8" w:space="0" w:color="000000"/>
            </w:tcBorders>
          </w:tcPr>
          <w:p w14:paraId="39F81A1E" w14:textId="77777777" w:rsidR="00C07A90" w:rsidRDefault="008353AD">
            <w:pPr>
              <w:pStyle w:val="TableParagraph"/>
              <w:spacing w:before="115"/>
              <w:ind w:left="0" w:right="99"/>
              <w:jc w:val="both"/>
              <w:rPr>
                <w:sz w:val="24"/>
                <w:szCs w:val="24"/>
              </w:rPr>
            </w:pPr>
            <w:r>
              <w:rPr>
                <w:spacing w:val="-4"/>
                <w:sz w:val="24"/>
                <w:szCs w:val="24"/>
              </w:rPr>
              <w:t>1.16</w:t>
            </w:r>
          </w:p>
        </w:tc>
      </w:tr>
      <w:tr w:rsidR="00C07A90" w14:paraId="1D91FFA0" w14:textId="77777777">
        <w:trPr>
          <w:trHeight w:val="527"/>
        </w:trPr>
        <w:tc>
          <w:tcPr>
            <w:tcW w:w="2670" w:type="dxa"/>
          </w:tcPr>
          <w:p w14:paraId="17063789" w14:textId="77777777" w:rsidR="00C07A90" w:rsidRDefault="008353AD">
            <w:pPr>
              <w:pStyle w:val="TableParagraph"/>
              <w:jc w:val="both"/>
              <w:rPr>
                <w:sz w:val="24"/>
                <w:szCs w:val="24"/>
              </w:rPr>
            </w:pPr>
            <w:r>
              <w:rPr>
                <w:sz w:val="24"/>
                <w:szCs w:val="24"/>
              </w:rPr>
              <w:t xml:space="preserve">Message </w:t>
            </w:r>
            <w:r>
              <w:rPr>
                <w:spacing w:val="-2"/>
                <w:sz w:val="24"/>
                <w:szCs w:val="24"/>
              </w:rPr>
              <w:t>Clarity</w:t>
            </w:r>
          </w:p>
        </w:tc>
        <w:tc>
          <w:tcPr>
            <w:tcW w:w="2247" w:type="dxa"/>
          </w:tcPr>
          <w:p w14:paraId="648D40E2" w14:textId="77777777" w:rsidR="00C07A90" w:rsidRDefault="008353AD">
            <w:pPr>
              <w:pStyle w:val="TableParagraph"/>
              <w:ind w:left="582"/>
              <w:jc w:val="both"/>
              <w:rPr>
                <w:sz w:val="24"/>
                <w:szCs w:val="24"/>
              </w:rPr>
            </w:pPr>
            <w:r>
              <w:rPr>
                <w:sz w:val="24"/>
                <w:szCs w:val="24"/>
              </w:rPr>
              <w:t xml:space="preserve">2.94 </w:t>
            </w:r>
            <w:r>
              <w:rPr>
                <w:spacing w:val="-2"/>
                <w:sz w:val="24"/>
                <w:szCs w:val="24"/>
              </w:rPr>
              <w:t>(0.55)</w:t>
            </w:r>
          </w:p>
        </w:tc>
        <w:tc>
          <w:tcPr>
            <w:tcW w:w="2374" w:type="dxa"/>
          </w:tcPr>
          <w:p w14:paraId="19FF0E32" w14:textId="77777777" w:rsidR="00C07A90" w:rsidRDefault="008353AD">
            <w:pPr>
              <w:pStyle w:val="TableParagraph"/>
              <w:ind w:left="570"/>
              <w:jc w:val="both"/>
              <w:rPr>
                <w:sz w:val="24"/>
                <w:szCs w:val="24"/>
              </w:rPr>
            </w:pPr>
            <w:r>
              <w:rPr>
                <w:sz w:val="24"/>
                <w:szCs w:val="24"/>
              </w:rPr>
              <w:t xml:space="preserve">3.73 </w:t>
            </w:r>
            <w:r>
              <w:rPr>
                <w:spacing w:val="-2"/>
                <w:sz w:val="24"/>
                <w:szCs w:val="24"/>
              </w:rPr>
              <w:t>(0.53)</w:t>
            </w:r>
          </w:p>
        </w:tc>
        <w:tc>
          <w:tcPr>
            <w:tcW w:w="1988" w:type="dxa"/>
          </w:tcPr>
          <w:p w14:paraId="68D063D0" w14:textId="77777777" w:rsidR="00C07A90" w:rsidRDefault="008353AD">
            <w:pPr>
              <w:pStyle w:val="TableParagraph"/>
              <w:ind w:left="0" w:right="99"/>
              <w:jc w:val="both"/>
              <w:rPr>
                <w:sz w:val="24"/>
                <w:szCs w:val="24"/>
              </w:rPr>
            </w:pPr>
            <w:r>
              <w:rPr>
                <w:spacing w:val="-4"/>
                <w:sz w:val="24"/>
                <w:szCs w:val="24"/>
              </w:rPr>
              <w:t>0.79</w:t>
            </w:r>
          </w:p>
        </w:tc>
      </w:tr>
      <w:tr w:rsidR="00C07A90" w14:paraId="510D8156" w14:textId="77777777">
        <w:trPr>
          <w:trHeight w:val="527"/>
        </w:trPr>
        <w:tc>
          <w:tcPr>
            <w:tcW w:w="2670" w:type="dxa"/>
          </w:tcPr>
          <w:p w14:paraId="05086788" w14:textId="77777777" w:rsidR="00C07A90" w:rsidRDefault="008353AD">
            <w:pPr>
              <w:pStyle w:val="TableParagraph"/>
              <w:jc w:val="both"/>
              <w:rPr>
                <w:sz w:val="24"/>
                <w:szCs w:val="24"/>
              </w:rPr>
            </w:pPr>
            <w:r>
              <w:rPr>
                <w:sz w:val="24"/>
                <w:szCs w:val="24"/>
              </w:rPr>
              <w:t>Professional</w:t>
            </w:r>
            <w:r>
              <w:rPr>
                <w:spacing w:val="-2"/>
                <w:sz w:val="24"/>
                <w:szCs w:val="24"/>
              </w:rPr>
              <w:t xml:space="preserve"> </w:t>
            </w:r>
            <w:r>
              <w:rPr>
                <w:spacing w:val="-4"/>
                <w:sz w:val="24"/>
                <w:szCs w:val="24"/>
              </w:rPr>
              <w:t>Tone</w:t>
            </w:r>
          </w:p>
        </w:tc>
        <w:tc>
          <w:tcPr>
            <w:tcW w:w="2247" w:type="dxa"/>
          </w:tcPr>
          <w:p w14:paraId="2E788E0B" w14:textId="77777777" w:rsidR="00C07A90" w:rsidRDefault="008353AD">
            <w:pPr>
              <w:pStyle w:val="TableParagraph"/>
              <w:ind w:left="582"/>
              <w:jc w:val="both"/>
              <w:rPr>
                <w:sz w:val="24"/>
                <w:szCs w:val="24"/>
              </w:rPr>
            </w:pPr>
            <w:r>
              <w:rPr>
                <w:sz w:val="24"/>
                <w:szCs w:val="24"/>
              </w:rPr>
              <w:t xml:space="preserve">2.71 </w:t>
            </w:r>
            <w:r>
              <w:rPr>
                <w:spacing w:val="-2"/>
                <w:sz w:val="24"/>
                <w:szCs w:val="24"/>
              </w:rPr>
              <w:t>(0.61)</w:t>
            </w:r>
          </w:p>
        </w:tc>
        <w:tc>
          <w:tcPr>
            <w:tcW w:w="2374" w:type="dxa"/>
          </w:tcPr>
          <w:p w14:paraId="61EE1A54" w14:textId="77777777" w:rsidR="00C07A90" w:rsidRDefault="008353AD">
            <w:pPr>
              <w:pStyle w:val="TableParagraph"/>
              <w:ind w:left="570"/>
              <w:jc w:val="both"/>
              <w:rPr>
                <w:sz w:val="24"/>
                <w:szCs w:val="24"/>
              </w:rPr>
            </w:pPr>
            <w:r>
              <w:rPr>
                <w:sz w:val="24"/>
                <w:szCs w:val="24"/>
              </w:rPr>
              <w:t xml:space="preserve">3.95 </w:t>
            </w:r>
            <w:r>
              <w:rPr>
                <w:spacing w:val="-2"/>
                <w:sz w:val="24"/>
                <w:szCs w:val="24"/>
              </w:rPr>
              <w:t>(0.50)</w:t>
            </w:r>
          </w:p>
        </w:tc>
        <w:tc>
          <w:tcPr>
            <w:tcW w:w="1988" w:type="dxa"/>
          </w:tcPr>
          <w:p w14:paraId="0674FCA9" w14:textId="77777777" w:rsidR="00C07A90" w:rsidRDefault="008353AD">
            <w:pPr>
              <w:pStyle w:val="TableParagraph"/>
              <w:ind w:left="0" w:right="99"/>
              <w:jc w:val="both"/>
              <w:rPr>
                <w:sz w:val="24"/>
                <w:szCs w:val="24"/>
              </w:rPr>
            </w:pPr>
            <w:r>
              <w:rPr>
                <w:spacing w:val="-4"/>
                <w:sz w:val="24"/>
                <w:szCs w:val="24"/>
              </w:rPr>
              <w:t>1.24</w:t>
            </w:r>
          </w:p>
        </w:tc>
      </w:tr>
      <w:tr w:rsidR="00C07A90" w14:paraId="23E18959" w14:textId="77777777">
        <w:trPr>
          <w:trHeight w:val="524"/>
        </w:trPr>
        <w:tc>
          <w:tcPr>
            <w:tcW w:w="2670" w:type="dxa"/>
            <w:tcBorders>
              <w:bottom w:val="single" w:sz="8" w:space="0" w:color="000000"/>
            </w:tcBorders>
          </w:tcPr>
          <w:p w14:paraId="0E27A4F3" w14:textId="77777777" w:rsidR="00C07A90" w:rsidRDefault="008353AD">
            <w:pPr>
              <w:pStyle w:val="TableParagraph"/>
              <w:jc w:val="both"/>
              <w:rPr>
                <w:sz w:val="24"/>
                <w:szCs w:val="24"/>
              </w:rPr>
            </w:pPr>
            <w:r>
              <w:rPr>
                <w:sz w:val="24"/>
                <w:szCs w:val="24"/>
              </w:rPr>
              <w:t xml:space="preserve">Language </w:t>
            </w:r>
            <w:r>
              <w:rPr>
                <w:spacing w:val="-2"/>
                <w:sz w:val="24"/>
                <w:szCs w:val="24"/>
              </w:rPr>
              <w:t>Accuracy</w:t>
            </w:r>
          </w:p>
        </w:tc>
        <w:tc>
          <w:tcPr>
            <w:tcW w:w="2247" w:type="dxa"/>
            <w:tcBorders>
              <w:bottom w:val="single" w:sz="8" w:space="0" w:color="000000"/>
            </w:tcBorders>
          </w:tcPr>
          <w:p w14:paraId="21EFB68D" w14:textId="77777777" w:rsidR="00C07A90" w:rsidRDefault="008353AD">
            <w:pPr>
              <w:pStyle w:val="TableParagraph"/>
              <w:ind w:left="582"/>
              <w:jc w:val="both"/>
              <w:rPr>
                <w:sz w:val="24"/>
                <w:szCs w:val="24"/>
              </w:rPr>
            </w:pPr>
            <w:r>
              <w:rPr>
                <w:sz w:val="24"/>
                <w:szCs w:val="24"/>
              </w:rPr>
              <w:t xml:space="preserve">3.28 </w:t>
            </w:r>
            <w:r>
              <w:rPr>
                <w:spacing w:val="-2"/>
                <w:sz w:val="24"/>
                <w:szCs w:val="24"/>
              </w:rPr>
              <w:t>(0.52)</w:t>
            </w:r>
          </w:p>
        </w:tc>
        <w:tc>
          <w:tcPr>
            <w:tcW w:w="2374" w:type="dxa"/>
            <w:tcBorders>
              <w:bottom w:val="single" w:sz="8" w:space="0" w:color="000000"/>
            </w:tcBorders>
          </w:tcPr>
          <w:p w14:paraId="043B0283" w14:textId="77777777" w:rsidR="00C07A90" w:rsidRDefault="008353AD">
            <w:pPr>
              <w:pStyle w:val="TableParagraph"/>
              <w:ind w:left="570"/>
              <w:jc w:val="both"/>
              <w:rPr>
                <w:sz w:val="24"/>
                <w:szCs w:val="24"/>
              </w:rPr>
            </w:pPr>
            <w:r>
              <w:rPr>
                <w:sz w:val="24"/>
                <w:szCs w:val="24"/>
              </w:rPr>
              <w:t xml:space="preserve">3.91 </w:t>
            </w:r>
            <w:r>
              <w:rPr>
                <w:spacing w:val="-2"/>
                <w:sz w:val="24"/>
                <w:szCs w:val="24"/>
              </w:rPr>
              <w:t>(0.43)</w:t>
            </w:r>
          </w:p>
        </w:tc>
        <w:tc>
          <w:tcPr>
            <w:tcW w:w="1988" w:type="dxa"/>
            <w:tcBorders>
              <w:bottom w:val="single" w:sz="8" w:space="0" w:color="000000"/>
            </w:tcBorders>
          </w:tcPr>
          <w:p w14:paraId="66DC1369" w14:textId="77777777" w:rsidR="00C07A90" w:rsidRDefault="008353AD">
            <w:pPr>
              <w:pStyle w:val="TableParagraph"/>
              <w:ind w:left="0" w:right="99"/>
              <w:jc w:val="both"/>
              <w:rPr>
                <w:sz w:val="24"/>
                <w:szCs w:val="24"/>
              </w:rPr>
            </w:pPr>
            <w:r>
              <w:rPr>
                <w:spacing w:val="-4"/>
                <w:sz w:val="24"/>
                <w:szCs w:val="24"/>
              </w:rPr>
              <w:t>0.63</w:t>
            </w:r>
          </w:p>
        </w:tc>
      </w:tr>
    </w:tbl>
    <w:p w14:paraId="1E5EEBE2" w14:textId="77777777" w:rsidR="00C07A90" w:rsidRDefault="00C07A90">
      <w:pPr>
        <w:spacing w:before="17"/>
        <w:ind w:left="360"/>
        <w:jc w:val="both"/>
        <w:rPr>
          <w:b/>
          <w:i/>
          <w:sz w:val="24"/>
          <w:szCs w:val="24"/>
        </w:rPr>
      </w:pPr>
    </w:p>
    <w:p w14:paraId="3A8BFAB1" w14:textId="77777777" w:rsidR="00C07A90" w:rsidRDefault="008353AD">
      <w:pPr>
        <w:spacing w:before="17"/>
        <w:ind w:left="360"/>
        <w:jc w:val="both"/>
        <w:rPr>
          <w:i/>
          <w:sz w:val="24"/>
          <w:szCs w:val="24"/>
        </w:rPr>
      </w:pPr>
      <w:r>
        <w:rPr>
          <w:b/>
          <w:i/>
          <w:sz w:val="24"/>
          <w:szCs w:val="24"/>
        </w:rPr>
        <w:t>*</w:t>
      </w:r>
      <w:r>
        <w:rPr>
          <w:i/>
          <w:sz w:val="24"/>
          <w:szCs w:val="24"/>
        </w:rPr>
        <w:t xml:space="preserve">Each component was scored on a 0–5 </w:t>
      </w:r>
      <w:r>
        <w:rPr>
          <w:i/>
          <w:spacing w:val="-2"/>
          <w:sz w:val="24"/>
          <w:szCs w:val="24"/>
        </w:rPr>
        <w:t>scale.</w:t>
      </w:r>
    </w:p>
    <w:p w14:paraId="271D3DFB" w14:textId="77777777" w:rsidR="00C07A90" w:rsidRDefault="00C07A90">
      <w:pPr>
        <w:pStyle w:val="BodyText"/>
        <w:spacing w:before="6"/>
        <w:rPr>
          <w:i/>
        </w:rPr>
      </w:pPr>
    </w:p>
    <w:p w14:paraId="27DF8C51" w14:textId="77777777" w:rsidR="00C07A90" w:rsidRDefault="008353AD">
      <w:pPr>
        <w:pStyle w:val="BodyText"/>
        <w:spacing w:before="0" w:line="276" w:lineRule="auto"/>
        <w:ind w:left="360" w:right="363" w:firstLine="720"/>
      </w:pPr>
      <w:bookmarkStart w:id="10" w:name="As_shown_in_Table_4,_improvements_were_o"/>
      <w:bookmarkEnd w:id="10"/>
      <w:r>
        <w:t>As shown in Table 4, improvements were observed across all four assessed components of professional email writing, indicating that the instructional intervention supported multiple dimensions of students’ writing</w:t>
      </w:r>
      <w:r>
        <w:rPr>
          <w:spacing w:val="-3"/>
        </w:rPr>
        <w:t xml:space="preserve"> </w:t>
      </w:r>
      <w:r>
        <w:t>performance.</w:t>
      </w:r>
      <w:r>
        <w:rPr>
          <w:spacing w:val="-3"/>
        </w:rPr>
        <w:t xml:space="preserve"> </w:t>
      </w:r>
      <w:r>
        <w:t>The</w:t>
      </w:r>
      <w:r>
        <w:rPr>
          <w:spacing w:val="-3"/>
        </w:rPr>
        <w:t xml:space="preserve"> </w:t>
      </w:r>
      <w:r>
        <w:t>largest</w:t>
      </w:r>
      <w:r>
        <w:rPr>
          <w:spacing w:val="-3"/>
        </w:rPr>
        <w:t xml:space="preserve"> </w:t>
      </w:r>
      <w:r>
        <w:t>gains</w:t>
      </w:r>
      <w:r>
        <w:rPr>
          <w:spacing w:val="-3"/>
        </w:rPr>
        <w:t xml:space="preserve"> </w:t>
      </w:r>
      <w:r>
        <w:t>were recorded in professional tone and email structure, suggesting that students became more proficient in applying formal conventions and organizing their messages in ways that align with professional communication standards.</w:t>
      </w:r>
    </w:p>
    <w:p w14:paraId="4616D9DD" w14:textId="77777777" w:rsidR="00C07A90" w:rsidRDefault="008353AD">
      <w:pPr>
        <w:pStyle w:val="BodyText"/>
        <w:spacing w:line="276" w:lineRule="auto"/>
        <w:ind w:left="360" w:right="362" w:firstLine="720"/>
      </w:pPr>
      <w:bookmarkStart w:id="11" w:name="The_substantial_improvement_in_professio"/>
      <w:bookmarkEnd w:id="11"/>
      <w:r>
        <w:t>The substantial improvement in professional tone indicates that students developed</w:t>
      </w:r>
      <w:r>
        <w:rPr>
          <w:spacing w:val="70"/>
        </w:rPr>
        <w:t xml:space="preserve"> </w:t>
      </w:r>
      <w:r>
        <w:t>a</w:t>
      </w:r>
      <w:r>
        <w:rPr>
          <w:spacing w:val="72"/>
        </w:rPr>
        <w:t xml:space="preserve"> </w:t>
      </w:r>
      <w:r>
        <w:t>stronger</w:t>
      </w:r>
      <w:r>
        <w:rPr>
          <w:spacing w:val="72"/>
        </w:rPr>
        <w:t xml:space="preserve"> </w:t>
      </w:r>
      <w:r>
        <w:t>awareness</w:t>
      </w:r>
      <w:r>
        <w:rPr>
          <w:spacing w:val="72"/>
        </w:rPr>
        <w:t xml:space="preserve"> </w:t>
      </w:r>
      <w:r>
        <w:t>of</w:t>
      </w:r>
      <w:r>
        <w:rPr>
          <w:spacing w:val="72"/>
        </w:rPr>
        <w:t xml:space="preserve"> </w:t>
      </w:r>
      <w:r>
        <w:t>appropriate</w:t>
      </w:r>
      <w:r>
        <w:rPr>
          <w:spacing w:val="57"/>
        </w:rPr>
        <w:t xml:space="preserve"> </w:t>
      </w:r>
      <w:r>
        <w:t>levels</w:t>
      </w:r>
      <w:r>
        <w:rPr>
          <w:spacing w:val="58"/>
        </w:rPr>
        <w:t xml:space="preserve"> </w:t>
      </w:r>
      <w:r>
        <w:t>of</w:t>
      </w:r>
      <w:r>
        <w:rPr>
          <w:spacing w:val="57"/>
        </w:rPr>
        <w:t xml:space="preserve"> </w:t>
      </w:r>
      <w:r>
        <w:t>formality,</w:t>
      </w:r>
      <w:r>
        <w:rPr>
          <w:spacing w:val="57"/>
        </w:rPr>
        <w:t xml:space="preserve"> </w:t>
      </w:r>
      <w:r>
        <w:t>politeness,</w:t>
      </w:r>
      <w:r>
        <w:rPr>
          <w:spacing w:val="58"/>
        </w:rPr>
        <w:t xml:space="preserve"> </w:t>
      </w:r>
      <w:r>
        <w:rPr>
          <w:spacing w:val="-5"/>
        </w:rPr>
        <w:t>and</w:t>
      </w:r>
    </w:p>
    <w:p w14:paraId="75B0D656" w14:textId="77777777" w:rsidR="00C07A90" w:rsidRDefault="00C07A90">
      <w:pPr>
        <w:pStyle w:val="BodyText"/>
        <w:spacing w:line="276" w:lineRule="auto"/>
        <w:sectPr w:rsidR="00C07A90">
          <w:pgSz w:w="12240" w:h="15840"/>
          <w:pgMar w:top="1340" w:right="1080" w:bottom="280" w:left="1080" w:header="44" w:footer="0" w:gutter="0"/>
          <w:cols w:space="720"/>
        </w:sectPr>
      </w:pPr>
    </w:p>
    <w:p w14:paraId="1C1BA664" w14:textId="77777777" w:rsidR="00C07A90" w:rsidRDefault="008353AD">
      <w:pPr>
        <w:pStyle w:val="BodyText"/>
        <w:spacing w:before="82" w:line="276" w:lineRule="auto"/>
        <w:ind w:left="360" w:right="359"/>
      </w:pPr>
      <w:r>
        <w:lastRenderedPageBreak/>
        <w:t>audience sensitivity (Barrot, 2024; Jones, 2025). This suggests that the instructional activities effectively guided students in distinguishing between informal digital communication and professionally appropriate language use.</w:t>
      </w:r>
    </w:p>
    <w:p w14:paraId="6BCB1B9F" w14:textId="77777777" w:rsidR="00C07A90" w:rsidRDefault="008353AD">
      <w:pPr>
        <w:pStyle w:val="BodyText"/>
        <w:spacing w:line="276" w:lineRule="auto"/>
        <w:ind w:left="360" w:right="360" w:firstLine="720"/>
      </w:pPr>
      <w:bookmarkStart w:id="12" w:name="Similarly,_the_notable_gain_in_email_str"/>
      <w:bookmarkEnd w:id="12"/>
      <w:r>
        <w:t>Similarly, the notable gain in email structure reflects improved adherence to conventional email formats, including the use of clear subject lines, appropriate openings and closings, and logically sequenced content. These improvements indicate that students gained greater control over the structural expectations of professional emails (Jovic &amp; Mnasri, 2024).</w:t>
      </w:r>
    </w:p>
    <w:p w14:paraId="69EFA609" w14:textId="77777777" w:rsidR="00C07A90" w:rsidRDefault="008353AD">
      <w:pPr>
        <w:pStyle w:val="BodyText"/>
        <w:spacing w:line="276" w:lineRule="auto"/>
        <w:ind w:left="360" w:right="359" w:firstLine="720"/>
      </w:pPr>
      <w:bookmarkStart w:id="13" w:name="Gains_in_message_clarity_and_language_ac"/>
      <w:bookmarkEnd w:id="13"/>
      <w:r>
        <w:t>Gains in message clarity and language accuracy, while smaller in comparison, were nonetheless meaningful. Improvements in message clarity suggest that students became more capable of expressing their purpose concisely and organizing ideas in a coherent manner. The more modest gain in language accuracy indicates progress in grammar, punctuation, and sentence construction, although these aspects of writing may require longer instructional periods and repeated practice to fully develop (Nazim, Mohammad, Alzubi, &amp; Khan, 2025).</w:t>
      </w:r>
    </w:p>
    <w:p w14:paraId="29C18A1A" w14:textId="77777777" w:rsidR="00C07A90" w:rsidRDefault="008353AD">
      <w:pPr>
        <w:pStyle w:val="BodyText"/>
        <w:spacing w:line="276" w:lineRule="auto"/>
        <w:ind w:left="360" w:right="358" w:firstLine="720"/>
        <w:rPr>
          <w:spacing w:val="-2"/>
        </w:rPr>
      </w:pPr>
      <w:bookmarkStart w:id="14" w:name="Overall,_the_component-level_results_pre"/>
      <w:bookmarkEnd w:id="14"/>
      <w:r>
        <w:t>Overall, the component-level results presented in Table 4 demonstrate that ChatGPT-assisted instruction supported both surface-level and higher-order writing skills. The consistent improvement across all components suggests that the</w:t>
      </w:r>
      <w:r>
        <w:rPr>
          <w:spacing w:val="40"/>
        </w:rPr>
        <w:t xml:space="preserve"> </w:t>
      </w:r>
      <w:r>
        <w:t>instructional intervention was effective in enhancing students’</w:t>
      </w:r>
      <w:r>
        <w:rPr>
          <w:spacing w:val="-4"/>
        </w:rPr>
        <w:t xml:space="preserve"> </w:t>
      </w:r>
      <w:r>
        <w:t>overall</w:t>
      </w:r>
      <w:r>
        <w:rPr>
          <w:spacing w:val="-4"/>
        </w:rPr>
        <w:t xml:space="preserve"> </w:t>
      </w:r>
      <w:r>
        <w:t>professional</w:t>
      </w:r>
      <w:r>
        <w:rPr>
          <w:spacing w:val="-4"/>
        </w:rPr>
        <w:t xml:space="preserve"> </w:t>
      </w:r>
      <w:r>
        <w:t>email writing competence, while also highlighting areas,</w:t>
      </w:r>
      <w:r>
        <w:rPr>
          <w:spacing w:val="-5"/>
        </w:rPr>
        <w:t xml:space="preserve"> </w:t>
      </w:r>
      <w:r>
        <w:t>such</w:t>
      </w:r>
      <w:r>
        <w:rPr>
          <w:spacing w:val="-5"/>
        </w:rPr>
        <w:t xml:space="preserve"> </w:t>
      </w:r>
      <w:r>
        <w:t>as</w:t>
      </w:r>
      <w:r>
        <w:rPr>
          <w:spacing w:val="-5"/>
        </w:rPr>
        <w:t xml:space="preserve"> </w:t>
      </w:r>
      <w:r>
        <w:t>language</w:t>
      </w:r>
      <w:r>
        <w:rPr>
          <w:spacing w:val="-5"/>
        </w:rPr>
        <w:t xml:space="preserve"> </w:t>
      </w:r>
      <w:r>
        <w:t>accuracy,</w:t>
      </w:r>
      <w:r>
        <w:rPr>
          <w:spacing w:val="-5"/>
        </w:rPr>
        <w:t xml:space="preserve"> </w:t>
      </w:r>
      <w:r>
        <w:t>that</w:t>
      </w:r>
      <w:r>
        <w:rPr>
          <w:spacing w:val="-6"/>
        </w:rPr>
        <w:t xml:space="preserve"> </w:t>
      </w:r>
      <w:r>
        <w:t>may benefit</w:t>
      </w:r>
      <w:r>
        <w:rPr>
          <w:spacing w:val="40"/>
        </w:rPr>
        <w:t xml:space="preserve"> </w:t>
      </w:r>
      <w:r>
        <w:t>from</w:t>
      </w:r>
      <w:r>
        <w:rPr>
          <w:spacing w:val="40"/>
        </w:rPr>
        <w:t xml:space="preserve"> </w:t>
      </w:r>
      <w:r>
        <w:t>extended</w:t>
      </w:r>
      <w:r>
        <w:rPr>
          <w:spacing w:val="40"/>
        </w:rPr>
        <w:t xml:space="preserve"> </w:t>
      </w:r>
      <w:r>
        <w:t>instruction.</w:t>
      </w:r>
      <w:r>
        <w:rPr>
          <w:spacing w:val="40"/>
        </w:rPr>
        <w:t xml:space="preserve"> </w:t>
      </w:r>
      <w:r>
        <w:t>These</w:t>
      </w:r>
      <w:r>
        <w:rPr>
          <w:spacing w:val="40"/>
        </w:rPr>
        <w:t xml:space="preserve"> </w:t>
      </w:r>
      <w:r>
        <w:t>findings</w:t>
      </w:r>
      <w:r>
        <w:rPr>
          <w:spacing w:val="40"/>
        </w:rPr>
        <w:t xml:space="preserve"> </w:t>
      </w:r>
      <w:r>
        <w:t>provide</w:t>
      </w:r>
      <w:r>
        <w:rPr>
          <w:spacing w:val="40"/>
        </w:rPr>
        <w:t xml:space="preserve"> </w:t>
      </w:r>
      <w:r>
        <w:t>valuable</w:t>
      </w:r>
      <w:r>
        <w:rPr>
          <w:spacing w:val="40"/>
        </w:rPr>
        <w:t xml:space="preserve"> </w:t>
      </w:r>
      <w:r>
        <w:t>insight</w:t>
      </w:r>
      <w:r>
        <w:rPr>
          <w:spacing w:val="40"/>
        </w:rPr>
        <w:t xml:space="preserve"> </w:t>
      </w:r>
      <w:r>
        <w:t>into</w:t>
      </w:r>
      <w:r>
        <w:rPr>
          <w:spacing w:val="40"/>
        </w:rPr>
        <w:t xml:space="preserve"> </w:t>
      </w:r>
      <w:r>
        <w:t xml:space="preserve">how AI-assisted instructional approaches can be used to target specific writing skills within senior high school professional communication contexts (O’Brien-Melford &amp; Gador, </w:t>
      </w:r>
      <w:r>
        <w:rPr>
          <w:spacing w:val="-2"/>
        </w:rPr>
        <w:t>2025).</w:t>
      </w:r>
    </w:p>
    <w:p w14:paraId="67CEA267" w14:textId="246E0CFF" w:rsidR="000D6B0A" w:rsidRDefault="000D6B0A">
      <w:pPr>
        <w:pStyle w:val="BodyText"/>
        <w:spacing w:line="276" w:lineRule="auto"/>
        <w:ind w:left="360" w:right="358" w:firstLine="720"/>
      </w:pPr>
      <w:r w:rsidRPr="000D6B0A">
        <w:rPr>
          <w:highlight w:val="yellow"/>
        </w:rPr>
        <w:t xml:space="preserve">Although the pre–post results indicate improved writing performance, recent scholarship urges a cautious interpretation of AI-assisted writing outcomes because generative tools can also shape learners’ composing in undesirable ways. Reviews of ChatGPT for L2 writing note that such systems may produce text that appears fluent while remaining inaccurate, contextually inappropriate, or overly generic, and they can encourage copy–paste uptake that weakens learners’ attention to composing processes and academic integrity (Barrot, 2023). Process-oriented evidence likewise suggests that when learners use generative AI during composing, they may incorporate AI-provided content directly rather than independently planning and elaborating ideas, which raises concerns about overreliance and reduced ownership of language choices (Liu et al., 2024). From a critical literacy perspective, these risks are not only individual but also systemic: platform designs and training data can privilege certain norms of “good writing,” potentially reproducing hidden biases and masking inequities in access and digital literacy, underscoring the need to explicitly teach learners how to interrogate outputs and make responsible revisions (Darvin, 2025). More broadly, evidence syntheses in education emphasize that GenAI adoption introduces ethical challenges (e.g., misinformation, algorithmic bias, privacy, and loss of cognitive autonomy), </w:t>
      </w:r>
      <w:r w:rsidRPr="000D6B0A">
        <w:rPr>
          <w:highlight w:val="yellow"/>
        </w:rPr>
        <w:lastRenderedPageBreak/>
        <w:t>reinforcing the importance of teacher mediation, transparent AI-use policies, and assessment designs that foreground transfer beyond AI availability (García-López &amp; Trujillo-Liñán, 2025).</w:t>
      </w:r>
    </w:p>
    <w:p w14:paraId="00DBD154" w14:textId="77777777" w:rsidR="00C07A90" w:rsidRDefault="00C07A90">
      <w:pPr>
        <w:pStyle w:val="BodyText"/>
        <w:spacing w:before="84"/>
      </w:pPr>
    </w:p>
    <w:p w14:paraId="0BFA3ABE" w14:textId="77777777" w:rsidR="00C07A90" w:rsidRDefault="008353AD">
      <w:pPr>
        <w:pStyle w:val="Heading1"/>
        <w:jc w:val="both"/>
      </w:pPr>
      <w:bookmarkStart w:id="15" w:name="Conclusion_and_Pedagogical_Implications_"/>
      <w:bookmarkEnd w:id="15"/>
      <w:r>
        <w:t xml:space="preserve">Conclusion and Pedagogical </w:t>
      </w:r>
      <w:r>
        <w:rPr>
          <w:spacing w:val="-2"/>
        </w:rPr>
        <w:t>Implications</w:t>
      </w:r>
    </w:p>
    <w:p w14:paraId="19AC397C" w14:textId="77777777" w:rsidR="00C07A90" w:rsidRDefault="00C07A90">
      <w:pPr>
        <w:pStyle w:val="BodyText"/>
        <w:spacing w:before="5"/>
        <w:rPr>
          <w:b/>
        </w:rPr>
      </w:pPr>
    </w:p>
    <w:p w14:paraId="7F25FA56" w14:textId="77777777" w:rsidR="00C07A90" w:rsidRDefault="008353AD">
      <w:pPr>
        <w:pStyle w:val="NormalWeb"/>
        <w:ind w:leftChars="200" w:left="440" w:firstLine="716"/>
        <w:jc w:val="both"/>
        <w:rPr>
          <w:rFonts w:ascii="Arial" w:hAnsi="Arial" w:cs="Arial"/>
        </w:rPr>
      </w:pPr>
      <w:r>
        <w:rPr>
          <w:rFonts w:ascii="Arial" w:hAnsi="Arial" w:cs="Arial"/>
        </w:rPr>
        <w:t>This study examined the short-term effects of ChatGPT-assisted instruction on the professional email writing performance of Grade 12 Senior High School students enrolled in a private school in Lapu-Lapu City, Cebu. The findings showed meaningful improvement in overall professional email writing quality following the instructional intervention. Gains were observed across key writing components, email structure, message clarity, professional tone, and language accuracy, with particularly strong improvement in structure and tone. These results indicate that guided integration of ChatGPT can support the development of workplace-oriented writing skills within a short instructional period.</w:t>
      </w:r>
    </w:p>
    <w:p w14:paraId="6F01A4D8" w14:textId="77777777" w:rsidR="00C07A90" w:rsidRDefault="008353AD">
      <w:pPr>
        <w:pStyle w:val="NormalWeb"/>
        <w:ind w:leftChars="200" w:left="440" w:firstLine="716"/>
        <w:jc w:val="both"/>
        <w:rPr>
          <w:rFonts w:ascii="Arial" w:hAnsi="Arial" w:cs="Arial"/>
        </w:rPr>
      </w:pPr>
      <w:r>
        <w:rPr>
          <w:rFonts w:ascii="Arial" w:hAnsi="Arial" w:cs="Arial"/>
        </w:rPr>
        <w:t>The study contributes to research on technology-enhanced language learning by extending the application of AI-assisted instruction to professional email writing within the context of English for Academic and Professional Purposes (EAPP) at the senior high school level. By focusing on a workplace-relevant genre, the study highlights the potential of AI tools to support learners’ transition from academic writing to real-world communication demands. Importantly, the findings suggest that improvement was not limited to surface-level language features but also reflected increased awareness of audience, purpose, and professional conventions.</w:t>
      </w:r>
    </w:p>
    <w:p w14:paraId="2D1DF4C5" w14:textId="77777777" w:rsidR="00C07A90" w:rsidRDefault="008353AD">
      <w:pPr>
        <w:pStyle w:val="NormalWeb"/>
        <w:ind w:leftChars="200" w:left="440" w:firstLine="716"/>
        <w:jc w:val="both"/>
        <w:rPr>
          <w:rFonts w:ascii="Arial" w:hAnsi="Arial" w:cs="Arial"/>
        </w:rPr>
      </w:pPr>
      <w:r>
        <w:rPr>
          <w:rFonts w:ascii="Arial" w:hAnsi="Arial" w:cs="Arial"/>
        </w:rPr>
        <w:t>From a pedagogical perspective, the results underscore the value of positioning ChatGPT as a scaffolding tool rather than a substitute for instruction or independent student writing. When guided by clear instructional objectives and teacher mediation, ChatGPT can assist in modeling appropriate email formats, demonstrating professional tone, and supporting students during drafting and revision. This is particularly relevant in EAPP classrooms, where instructional time is limited and individualized feedback may be challenging to provide.</w:t>
      </w:r>
    </w:p>
    <w:p w14:paraId="7143FE9B" w14:textId="77777777" w:rsidR="00C07A90" w:rsidRDefault="008353AD">
      <w:pPr>
        <w:pStyle w:val="NormalWeb"/>
        <w:ind w:leftChars="200" w:left="440" w:firstLine="716"/>
        <w:jc w:val="both"/>
        <w:rPr>
          <w:rFonts w:ascii="Arial" w:hAnsi="Arial" w:cs="Arial"/>
        </w:rPr>
      </w:pPr>
      <w:r>
        <w:rPr>
          <w:rFonts w:ascii="Arial" w:hAnsi="Arial" w:cs="Arial"/>
        </w:rPr>
        <w:t>Overall, the study demonstrates that ChatGPT-assisted instruction, when implemented thoughtfully and ethically, can enhance senior high school students’ preparedness for academic and professional communication. The findings support the inclusion of AI-supported pedagogical strategies in EAPP instruction within similar private senior high school contexts, with careful attention to teacher guidance, student accountability, and the development of transferable writing skills.</w:t>
      </w:r>
    </w:p>
    <w:p w14:paraId="588B86BB" w14:textId="77777777" w:rsidR="00C07A90" w:rsidRDefault="008353AD">
      <w:pPr>
        <w:pStyle w:val="BodyText"/>
        <w:spacing w:line="276" w:lineRule="auto"/>
        <w:ind w:left="360" w:right="361" w:firstLine="720"/>
      </w:pPr>
      <w:r>
        <w:t>.</w:t>
      </w:r>
    </w:p>
    <w:p w14:paraId="7BBC88AD" w14:textId="77777777" w:rsidR="00C07A90" w:rsidRDefault="00C07A90">
      <w:pPr>
        <w:pStyle w:val="BodyText"/>
        <w:spacing w:before="84"/>
      </w:pPr>
    </w:p>
    <w:p w14:paraId="0AD43F66" w14:textId="77777777" w:rsidR="00C07A90" w:rsidRDefault="008353AD">
      <w:pPr>
        <w:pStyle w:val="Heading1"/>
        <w:jc w:val="both"/>
      </w:pPr>
      <w:bookmarkStart w:id="16" w:name="Limitations_and_Recommendations_"/>
      <w:bookmarkEnd w:id="16"/>
      <w:r>
        <w:t xml:space="preserve">Limitations and </w:t>
      </w:r>
      <w:r>
        <w:rPr>
          <w:spacing w:val="-2"/>
        </w:rPr>
        <w:t>Recommendations</w:t>
      </w:r>
    </w:p>
    <w:p w14:paraId="0B90EAEC" w14:textId="77777777" w:rsidR="00C07A90" w:rsidRDefault="00C07A90">
      <w:pPr>
        <w:pStyle w:val="BodyText"/>
        <w:spacing w:before="5"/>
        <w:rPr>
          <w:b/>
        </w:rPr>
      </w:pPr>
    </w:p>
    <w:p w14:paraId="3A93680C" w14:textId="77777777" w:rsidR="005F6A6A" w:rsidRPr="005F6A6A" w:rsidRDefault="005F6A6A" w:rsidP="005F6A6A">
      <w:pPr>
        <w:pStyle w:val="BodyText"/>
        <w:spacing w:before="84"/>
        <w:rPr>
          <w:rFonts w:eastAsia="SimSun"/>
          <w:highlight w:val="yellow"/>
          <w:lang w:eastAsia="zh-CN"/>
        </w:rPr>
      </w:pPr>
      <w:r w:rsidRPr="005F6A6A">
        <w:rPr>
          <w:rFonts w:eastAsia="SimSun"/>
          <w:highlight w:val="yellow"/>
          <w:lang w:eastAsia="zh-CN"/>
        </w:rPr>
        <w:t xml:space="preserve">This study employed a one-group pretest–posttest quasi-experimental design without a control or comparison group. As a result, the observed gains in professional email writing performance cannot be attributed exclusively to the ChatGPT-assisted instruction, as alternative explanations (e.g., test familiarity, maturation, concurrent classroom learning, or increased motivation due to the novelty of the intervention) may also have contributed. In addition, the </w:t>
      </w:r>
      <w:r w:rsidRPr="005F6A6A">
        <w:rPr>
          <w:rFonts w:eastAsia="SimSun"/>
          <w:highlight w:val="yellow"/>
          <w:lang w:eastAsia="zh-CN"/>
        </w:rPr>
        <w:lastRenderedPageBreak/>
        <w:t>study was conducted in a single private Senior High School in Lapu-Lapu City, Cebu, which limits the generalizability of the findings to other contexts that may differ in terms of learner profiles, institutional resources, language proficiency levels, and access to digital technologies.</w:t>
      </w:r>
    </w:p>
    <w:p w14:paraId="440B7072" w14:textId="77777777" w:rsidR="005F6A6A" w:rsidRPr="005F6A6A" w:rsidRDefault="005F6A6A" w:rsidP="005F6A6A">
      <w:pPr>
        <w:pStyle w:val="BodyText"/>
        <w:spacing w:before="84"/>
        <w:rPr>
          <w:rFonts w:eastAsia="SimSun"/>
          <w:highlight w:val="yellow"/>
          <w:lang w:eastAsia="zh-CN"/>
        </w:rPr>
      </w:pPr>
    </w:p>
    <w:p w14:paraId="05E5A853" w14:textId="77777777" w:rsidR="005F6A6A" w:rsidRPr="005F6A6A" w:rsidRDefault="005F6A6A" w:rsidP="005F6A6A">
      <w:pPr>
        <w:pStyle w:val="BodyText"/>
        <w:spacing w:before="84"/>
        <w:rPr>
          <w:rFonts w:eastAsia="SimSun"/>
          <w:highlight w:val="yellow"/>
          <w:lang w:eastAsia="zh-CN"/>
        </w:rPr>
      </w:pPr>
      <w:r w:rsidRPr="005F6A6A">
        <w:rPr>
          <w:rFonts w:eastAsia="SimSun"/>
          <w:highlight w:val="yellow"/>
          <w:lang w:eastAsia="zh-CN"/>
        </w:rPr>
        <w:t>Several measurement and implementation constraints should also be acknowledged. First, while a rubric-based scoring approach was used to evaluate students’ writing, inter-rater reliability and rater calibration procedures were not reported, which may affect confidence in score consistency and interpretation. Second, although the posttest was administered without AI assistance to assess independent performance, possible contamination cannot be fully ruled out—students may have used generative AI tools outside of monitored sessions or shared AI-generated templates informally. Third, clarity is needed regarding whether the pretest and posttest tasks were identical or parallel; any ambiguity in task equivalence may introduce confounding effects related to prompt difficulty rather than instructional impact. Finally, the study focused on short-term outcomes and did not examine longer-term retention or transfer of professional email writing skills beyond the immediate post-intervention period.</w:t>
      </w:r>
    </w:p>
    <w:p w14:paraId="567722A3" w14:textId="77777777" w:rsidR="005F6A6A" w:rsidRPr="005F6A6A" w:rsidRDefault="005F6A6A" w:rsidP="005F6A6A">
      <w:pPr>
        <w:pStyle w:val="BodyText"/>
        <w:spacing w:before="84"/>
        <w:rPr>
          <w:rFonts w:eastAsia="SimSun"/>
          <w:highlight w:val="yellow"/>
          <w:lang w:eastAsia="zh-CN"/>
        </w:rPr>
      </w:pPr>
    </w:p>
    <w:p w14:paraId="510B7813" w14:textId="3378A0AE" w:rsidR="00C07A90" w:rsidRDefault="005F6A6A" w:rsidP="005F6A6A">
      <w:pPr>
        <w:pStyle w:val="BodyText"/>
        <w:spacing w:before="84"/>
        <w:rPr>
          <w:rFonts w:eastAsia="SimSun"/>
          <w:lang w:eastAsia="zh-CN"/>
        </w:rPr>
      </w:pPr>
      <w:r w:rsidRPr="005F6A6A">
        <w:rPr>
          <w:rFonts w:eastAsia="SimSun"/>
          <w:highlight w:val="yellow"/>
          <w:lang w:eastAsia="zh-CN"/>
        </w:rPr>
        <w:t>Future research should strengthen causal inference and broaden the evidence base by incorporating a control/comparison group (e.g., teacher feedback only, peer feedback only, or alternative digital writing support) and, where feasible, random assignment or matched-group designs. Including delayed posttests would help determine whether improvements are retained over time and transferable to new professional communication contexts. Beyond product-based scoring, researchers may also analyze students’ writing processes through revision logs, drafts, and reflective journals, as well as examine student–AI interaction traces (e.g., prompt types, feedback uptake, and revision decisions) to clarify how learners use AI support and which instructional conditions foster independent, transferable writing competence. Expanding the sample across multiple schools and varying socioeconomic and technological contexts would further improve external validity and support more generalizable pedagogical recommendations.</w:t>
      </w:r>
    </w:p>
    <w:p w14:paraId="517201A5" w14:textId="77777777" w:rsidR="005F6A6A" w:rsidRDefault="005F6A6A" w:rsidP="005F6A6A">
      <w:pPr>
        <w:pStyle w:val="BodyText"/>
        <w:spacing w:before="84"/>
      </w:pPr>
    </w:p>
    <w:p w14:paraId="400A64D1" w14:textId="77777777" w:rsidR="00C07A90" w:rsidRDefault="008353AD">
      <w:pPr>
        <w:pStyle w:val="Heading1"/>
        <w:jc w:val="both"/>
      </w:pPr>
      <w:bookmarkStart w:id="17" w:name="Ethical_Considerations_"/>
      <w:bookmarkEnd w:id="17"/>
      <w:r>
        <w:t xml:space="preserve">Ethical </w:t>
      </w:r>
      <w:r>
        <w:rPr>
          <w:spacing w:val="-2"/>
        </w:rPr>
        <w:t>Considerations</w:t>
      </w:r>
    </w:p>
    <w:p w14:paraId="69CA7FB0" w14:textId="77777777" w:rsidR="00C07A90" w:rsidRDefault="00C07A90">
      <w:pPr>
        <w:pStyle w:val="BodyText"/>
        <w:spacing w:before="5"/>
        <w:rPr>
          <w:b/>
        </w:rPr>
      </w:pPr>
    </w:p>
    <w:p w14:paraId="18917402" w14:textId="77777777" w:rsidR="00C07A90" w:rsidRDefault="008353AD">
      <w:pPr>
        <w:pStyle w:val="NormalWeb"/>
        <w:ind w:leftChars="200" w:left="440" w:firstLine="716"/>
        <w:jc w:val="both"/>
        <w:rPr>
          <w:rFonts w:ascii="Arial" w:hAnsi="Arial" w:cs="Arial"/>
        </w:rPr>
      </w:pPr>
      <w:r>
        <w:rPr>
          <w:rFonts w:ascii="Arial" w:hAnsi="Arial" w:cs="Arial"/>
        </w:rPr>
        <w:t>Ethical approval for the study was obtained in accordance with institutional research guidelines. Participation was voluntary, and informed consent was secured prior to data collection. Students’ identities were anonymized to ensure confidentiality, and all data were used solely for research purposes. The use of ChatGPT was governed by explicit instructional and ethical guidelines to promote responsible, transparent, and educationally appropriate engagement with AI tools.</w:t>
      </w:r>
    </w:p>
    <w:p w14:paraId="1F1C27E0" w14:textId="77777777" w:rsidR="00C07A90" w:rsidRDefault="00C07A90">
      <w:pPr>
        <w:pStyle w:val="BodyText"/>
        <w:spacing w:before="0" w:line="276" w:lineRule="auto"/>
        <w:ind w:left="360" w:right="359" w:firstLine="720"/>
      </w:pPr>
    </w:p>
    <w:p w14:paraId="16328A3A" w14:textId="77777777" w:rsidR="00BE72CB" w:rsidRDefault="00BE72CB" w:rsidP="00BE72CB">
      <w:pPr>
        <w:rPr>
          <w:rFonts w:asciiTheme="minorHAnsi" w:eastAsiaTheme="minorHAnsi" w:hAnsiTheme="minorHAnsi" w:cstheme="minorBidi"/>
          <w:highlight w:val="yellow"/>
        </w:rPr>
      </w:pPr>
      <w:r>
        <w:rPr>
          <w:highlight w:val="yellow"/>
        </w:rPr>
        <w:t>Disclaimer (Artificial intelligence)</w:t>
      </w:r>
    </w:p>
    <w:p w14:paraId="2BEDA259" w14:textId="77777777" w:rsidR="00BE72CB" w:rsidRDefault="00BE72CB" w:rsidP="00BE72CB">
      <w:pPr>
        <w:rPr>
          <w:highlight w:val="yellow"/>
        </w:rPr>
      </w:pPr>
      <w:r>
        <w:rPr>
          <w:highlight w:val="yellow"/>
        </w:rPr>
        <w:t xml:space="preserve">Option 1: </w:t>
      </w:r>
    </w:p>
    <w:p w14:paraId="5679EA8D" w14:textId="77777777" w:rsidR="00BE72CB" w:rsidRDefault="00BE72CB" w:rsidP="00BE72C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E28023C" w14:textId="77777777" w:rsidR="00BE72CB" w:rsidRDefault="00BE72CB">
      <w:pPr>
        <w:pStyle w:val="BodyText"/>
        <w:spacing w:before="0" w:line="276" w:lineRule="auto"/>
        <w:ind w:left="360" w:right="359" w:firstLine="720"/>
        <w:sectPr w:rsidR="00BE72CB">
          <w:pgSz w:w="12240" w:h="15840"/>
          <w:pgMar w:top="1340" w:right="1080" w:bottom="280" w:left="1080" w:header="44" w:footer="0" w:gutter="0"/>
          <w:cols w:space="720"/>
        </w:sectPr>
      </w:pPr>
    </w:p>
    <w:p w14:paraId="7FEA778F" w14:textId="77777777" w:rsidR="00C07A90" w:rsidRDefault="008353AD">
      <w:pPr>
        <w:pStyle w:val="Heading1"/>
        <w:spacing w:before="1"/>
        <w:jc w:val="both"/>
      </w:pPr>
      <w:r>
        <w:rPr>
          <w:spacing w:val="-2"/>
        </w:rPr>
        <w:lastRenderedPageBreak/>
        <w:t>References</w:t>
      </w:r>
    </w:p>
    <w:p w14:paraId="60F998E4" w14:textId="77777777" w:rsidR="00C07A90" w:rsidRDefault="00C07A90">
      <w:pPr>
        <w:pStyle w:val="BodyText"/>
        <w:spacing w:before="5"/>
        <w:rPr>
          <w:b/>
        </w:rPr>
      </w:pPr>
    </w:p>
    <w:p w14:paraId="626B4B0D" w14:textId="77777777" w:rsidR="00C07A90" w:rsidRDefault="008353AD">
      <w:pPr>
        <w:pStyle w:val="BodyText"/>
        <w:spacing w:before="0" w:line="276" w:lineRule="auto"/>
        <w:ind w:leftChars="200" w:left="1320" w:right="359" w:hanging="880"/>
        <w:rPr>
          <w:color w:val="000000" w:themeColor="text1"/>
        </w:rPr>
      </w:pPr>
      <w:r>
        <w:rPr>
          <w:color w:val="000000" w:themeColor="text1"/>
        </w:rPr>
        <w:t>Alangari, T. S. (2025). The effect of AI-assisted learning on EFL writing proficiency: Quasi-experimental and cluster analysis.</w:t>
      </w:r>
      <w:r>
        <w:rPr>
          <w:color w:val="000000" w:themeColor="text1"/>
          <w:spacing w:val="-5"/>
        </w:rPr>
        <w:t xml:space="preserve"> </w:t>
      </w:r>
      <w:r>
        <w:rPr>
          <w:color w:val="000000" w:themeColor="text1"/>
        </w:rPr>
        <w:t>Educational</w:t>
      </w:r>
      <w:r>
        <w:rPr>
          <w:color w:val="000000" w:themeColor="text1"/>
          <w:spacing w:val="-5"/>
        </w:rPr>
        <w:t xml:space="preserve"> </w:t>
      </w:r>
      <w:r>
        <w:rPr>
          <w:color w:val="000000" w:themeColor="text1"/>
        </w:rPr>
        <w:t>Process:</w:t>
      </w:r>
      <w:r>
        <w:rPr>
          <w:color w:val="000000" w:themeColor="text1"/>
          <w:spacing w:val="-5"/>
        </w:rPr>
        <w:t xml:space="preserve"> </w:t>
      </w:r>
      <w:r>
        <w:rPr>
          <w:color w:val="000000" w:themeColor="text1"/>
        </w:rPr>
        <w:t>International</w:t>
      </w:r>
      <w:r>
        <w:rPr>
          <w:color w:val="000000" w:themeColor="text1"/>
          <w:spacing w:val="-5"/>
        </w:rPr>
        <w:t xml:space="preserve"> </w:t>
      </w:r>
      <w:r>
        <w:rPr>
          <w:color w:val="000000" w:themeColor="text1"/>
        </w:rPr>
        <w:t xml:space="preserve">Journal, 17, e2025345. </w:t>
      </w:r>
      <w:hyperlink r:id="rId9">
        <w:r>
          <w:rPr>
            <w:color w:val="000000" w:themeColor="text1"/>
          </w:rPr>
          <w:t>https://doi.org/10.22521/edupij.2025.17.345</w:t>
        </w:r>
      </w:hyperlink>
    </w:p>
    <w:p w14:paraId="492B24F6" w14:textId="77777777" w:rsidR="00C07A90" w:rsidRDefault="008353AD">
      <w:pPr>
        <w:pStyle w:val="BodyText"/>
        <w:spacing w:line="276" w:lineRule="auto"/>
        <w:ind w:leftChars="200" w:left="1320" w:right="364" w:hanging="880"/>
        <w:rPr>
          <w:color w:val="000000" w:themeColor="text1"/>
        </w:rPr>
      </w:pPr>
      <w:r>
        <w:rPr>
          <w:color w:val="000000" w:themeColor="text1"/>
        </w:rPr>
        <w:t>Alnemrat, A., Aldamen,</w:t>
      </w:r>
      <w:r>
        <w:rPr>
          <w:color w:val="000000" w:themeColor="text1"/>
          <w:spacing w:val="-5"/>
        </w:rPr>
        <w:t xml:space="preserve"> </w:t>
      </w:r>
      <w:r>
        <w:rPr>
          <w:color w:val="000000" w:themeColor="text1"/>
        </w:rPr>
        <w:t>H.,</w:t>
      </w:r>
      <w:r>
        <w:rPr>
          <w:color w:val="000000" w:themeColor="text1"/>
          <w:spacing w:val="-5"/>
        </w:rPr>
        <w:t xml:space="preserve"> </w:t>
      </w:r>
      <w:r>
        <w:rPr>
          <w:color w:val="000000" w:themeColor="text1"/>
        </w:rPr>
        <w:t>Almashour,</w:t>
      </w:r>
      <w:r>
        <w:rPr>
          <w:color w:val="000000" w:themeColor="text1"/>
          <w:spacing w:val="-5"/>
        </w:rPr>
        <w:t xml:space="preserve"> </w:t>
      </w:r>
      <w:r>
        <w:rPr>
          <w:color w:val="000000" w:themeColor="text1"/>
        </w:rPr>
        <w:t>M.,</w:t>
      </w:r>
      <w:r>
        <w:rPr>
          <w:color w:val="000000" w:themeColor="text1"/>
          <w:spacing w:val="-5"/>
        </w:rPr>
        <w:t xml:space="preserve"> </w:t>
      </w:r>
      <w:r>
        <w:rPr>
          <w:color w:val="000000" w:themeColor="text1"/>
        </w:rPr>
        <w:t>Al-Deaibes,</w:t>
      </w:r>
      <w:r>
        <w:rPr>
          <w:color w:val="000000" w:themeColor="text1"/>
          <w:spacing w:val="-5"/>
        </w:rPr>
        <w:t xml:space="preserve"> </w:t>
      </w:r>
      <w:r>
        <w:rPr>
          <w:color w:val="000000" w:themeColor="text1"/>
        </w:rPr>
        <w:t>M.,</w:t>
      </w:r>
      <w:r>
        <w:rPr>
          <w:color w:val="000000" w:themeColor="text1"/>
          <w:spacing w:val="-5"/>
        </w:rPr>
        <w:t xml:space="preserve"> </w:t>
      </w:r>
      <w:r>
        <w:rPr>
          <w:color w:val="000000" w:themeColor="text1"/>
        </w:rPr>
        <w:t>&amp;</w:t>
      </w:r>
      <w:r>
        <w:rPr>
          <w:color w:val="000000" w:themeColor="text1"/>
          <w:spacing w:val="-5"/>
        </w:rPr>
        <w:t xml:space="preserve"> </w:t>
      </w:r>
      <w:r>
        <w:rPr>
          <w:color w:val="000000" w:themeColor="text1"/>
        </w:rPr>
        <w:t>AlSharefeen,</w:t>
      </w:r>
      <w:r>
        <w:rPr>
          <w:color w:val="000000" w:themeColor="text1"/>
          <w:spacing w:val="-5"/>
        </w:rPr>
        <w:t xml:space="preserve"> </w:t>
      </w:r>
      <w:r>
        <w:rPr>
          <w:color w:val="000000" w:themeColor="text1"/>
        </w:rPr>
        <w:t>R.</w:t>
      </w:r>
      <w:r>
        <w:rPr>
          <w:color w:val="000000" w:themeColor="text1"/>
          <w:spacing w:val="-5"/>
        </w:rPr>
        <w:t xml:space="preserve"> </w:t>
      </w:r>
      <w:r>
        <w:rPr>
          <w:color w:val="000000" w:themeColor="text1"/>
        </w:rPr>
        <w:t>(2025).</w:t>
      </w:r>
      <w:r>
        <w:rPr>
          <w:color w:val="000000" w:themeColor="text1"/>
          <w:spacing w:val="-5"/>
        </w:rPr>
        <w:t xml:space="preserve"> </w:t>
      </w:r>
      <w:r>
        <w:rPr>
          <w:color w:val="000000" w:themeColor="text1"/>
        </w:rPr>
        <w:t>AI vs. teacher feedback on</w:t>
      </w:r>
      <w:r>
        <w:rPr>
          <w:color w:val="000000" w:themeColor="text1"/>
          <w:spacing w:val="-5"/>
        </w:rPr>
        <w:t xml:space="preserve"> </w:t>
      </w:r>
      <w:r>
        <w:rPr>
          <w:color w:val="000000" w:themeColor="text1"/>
        </w:rPr>
        <w:t>EFL</w:t>
      </w:r>
      <w:r>
        <w:rPr>
          <w:color w:val="000000" w:themeColor="text1"/>
          <w:spacing w:val="-5"/>
        </w:rPr>
        <w:t xml:space="preserve"> </w:t>
      </w:r>
      <w:r>
        <w:rPr>
          <w:color w:val="000000" w:themeColor="text1"/>
        </w:rPr>
        <w:t>argumentative</w:t>
      </w:r>
      <w:r>
        <w:rPr>
          <w:color w:val="000000" w:themeColor="text1"/>
          <w:spacing w:val="-5"/>
        </w:rPr>
        <w:t xml:space="preserve"> </w:t>
      </w:r>
      <w:r>
        <w:rPr>
          <w:color w:val="000000" w:themeColor="text1"/>
        </w:rPr>
        <w:t>writing:</w:t>
      </w:r>
      <w:r>
        <w:rPr>
          <w:color w:val="000000" w:themeColor="text1"/>
          <w:spacing w:val="-5"/>
        </w:rPr>
        <w:t xml:space="preserve"> </w:t>
      </w:r>
      <w:r>
        <w:rPr>
          <w:color w:val="000000" w:themeColor="text1"/>
        </w:rPr>
        <w:t>A</w:t>
      </w:r>
      <w:r>
        <w:rPr>
          <w:color w:val="000000" w:themeColor="text1"/>
          <w:spacing w:val="-5"/>
        </w:rPr>
        <w:t xml:space="preserve"> </w:t>
      </w:r>
      <w:r>
        <w:rPr>
          <w:color w:val="000000" w:themeColor="text1"/>
        </w:rPr>
        <w:t>quantitative</w:t>
      </w:r>
      <w:r>
        <w:rPr>
          <w:color w:val="000000" w:themeColor="text1"/>
          <w:spacing w:val="-5"/>
        </w:rPr>
        <w:t xml:space="preserve"> </w:t>
      </w:r>
      <w:r>
        <w:rPr>
          <w:color w:val="000000" w:themeColor="text1"/>
        </w:rPr>
        <w:t>study.</w:t>
      </w:r>
      <w:r>
        <w:rPr>
          <w:color w:val="000000" w:themeColor="text1"/>
          <w:spacing w:val="-5"/>
        </w:rPr>
        <w:t xml:space="preserve"> </w:t>
      </w:r>
      <w:r>
        <w:rPr>
          <w:color w:val="000000" w:themeColor="text1"/>
        </w:rPr>
        <w:t>Frontiers</w:t>
      </w:r>
      <w:r>
        <w:rPr>
          <w:color w:val="000000" w:themeColor="text1"/>
          <w:spacing w:val="-5"/>
        </w:rPr>
        <w:t xml:space="preserve"> </w:t>
      </w:r>
      <w:r>
        <w:rPr>
          <w:color w:val="000000" w:themeColor="text1"/>
        </w:rPr>
        <w:t xml:space="preserve">in Education, Assessment, Testing and Applied Measurement, 10, Article 1614673. </w:t>
      </w:r>
      <w:hyperlink r:id="rId10">
        <w:r>
          <w:rPr>
            <w:color w:val="000000" w:themeColor="text1"/>
            <w:spacing w:val="-2"/>
          </w:rPr>
          <w:t>https://doi.org/10.3389/feduc.2025.1614673</w:t>
        </w:r>
      </w:hyperlink>
    </w:p>
    <w:p w14:paraId="1735D925" w14:textId="77777777" w:rsidR="00C07A90" w:rsidRDefault="008353AD">
      <w:pPr>
        <w:pStyle w:val="BodyText"/>
        <w:ind w:leftChars="200" w:left="1320" w:hanging="880"/>
        <w:rPr>
          <w:color w:val="000000" w:themeColor="text1"/>
        </w:rPr>
      </w:pPr>
      <w:r>
        <w:rPr>
          <w:color w:val="000000" w:themeColor="text1"/>
        </w:rPr>
        <w:t>Barbour,</w:t>
      </w:r>
      <w:r>
        <w:rPr>
          <w:color w:val="000000" w:themeColor="text1"/>
          <w:spacing w:val="42"/>
        </w:rPr>
        <w:t xml:space="preserve"> </w:t>
      </w:r>
      <w:r>
        <w:rPr>
          <w:color w:val="000000" w:themeColor="text1"/>
        </w:rPr>
        <w:t>B.</w:t>
      </w:r>
      <w:r>
        <w:rPr>
          <w:color w:val="000000" w:themeColor="text1"/>
          <w:spacing w:val="42"/>
        </w:rPr>
        <w:t xml:space="preserve"> </w:t>
      </w:r>
      <w:r>
        <w:rPr>
          <w:color w:val="000000" w:themeColor="text1"/>
        </w:rPr>
        <w:t>(2020,</w:t>
      </w:r>
      <w:r>
        <w:rPr>
          <w:color w:val="000000" w:themeColor="text1"/>
          <w:spacing w:val="42"/>
        </w:rPr>
        <w:t xml:space="preserve"> </w:t>
      </w:r>
      <w:r>
        <w:rPr>
          <w:color w:val="000000" w:themeColor="text1"/>
        </w:rPr>
        <w:t>June</w:t>
      </w:r>
      <w:r>
        <w:rPr>
          <w:color w:val="000000" w:themeColor="text1"/>
          <w:spacing w:val="28"/>
        </w:rPr>
        <w:t xml:space="preserve"> </w:t>
      </w:r>
      <w:r>
        <w:rPr>
          <w:color w:val="000000" w:themeColor="text1"/>
        </w:rPr>
        <w:t>24).</w:t>
      </w:r>
      <w:r>
        <w:rPr>
          <w:color w:val="000000" w:themeColor="text1"/>
          <w:spacing w:val="28"/>
        </w:rPr>
        <w:t xml:space="preserve"> </w:t>
      </w:r>
      <w:r>
        <w:rPr>
          <w:color w:val="000000" w:themeColor="text1"/>
        </w:rPr>
        <w:t>Turning</w:t>
      </w:r>
      <w:r>
        <w:rPr>
          <w:color w:val="000000" w:themeColor="text1"/>
          <w:spacing w:val="28"/>
        </w:rPr>
        <w:t xml:space="preserve"> </w:t>
      </w:r>
      <w:r>
        <w:rPr>
          <w:color w:val="000000" w:themeColor="text1"/>
        </w:rPr>
        <w:t>texts</w:t>
      </w:r>
      <w:r>
        <w:rPr>
          <w:color w:val="000000" w:themeColor="text1"/>
          <w:spacing w:val="29"/>
        </w:rPr>
        <w:t xml:space="preserve"> </w:t>
      </w:r>
      <w:r>
        <w:rPr>
          <w:color w:val="000000" w:themeColor="text1"/>
        </w:rPr>
        <w:t>and</w:t>
      </w:r>
      <w:r>
        <w:rPr>
          <w:color w:val="000000" w:themeColor="text1"/>
          <w:spacing w:val="28"/>
        </w:rPr>
        <w:t xml:space="preserve"> </w:t>
      </w:r>
      <w:r>
        <w:rPr>
          <w:color w:val="000000" w:themeColor="text1"/>
        </w:rPr>
        <w:t>emails</w:t>
      </w:r>
      <w:r>
        <w:rPr>
          <w:color w:val="000000" w:themeColor="text1"/>
          <w:spacing w:val="28"/>
        </w:rPr>
        <w:t xml:space="preserve"> </w:t>
      </w:r>
      <w:r>
        <w:rPr>
          <w:color w:val="000000" w:themeColor="text1"/>
        </w:rPr>
        <w:t>into</w:t>
      </w:r>
      <w:r>
        <w:rPr>
          <w:color w:val="000000" w:themeColor="text1"/>
          <w:spacing w:val="29"/>
        </w:rPr>
        <w:t xml:space="preserve"> </w:t>
      </w:r>
      <w:r>
        <w:rPr>
          <w:color w:val="000000" w:themeColor="text1"/>
        </w:rPr>
        <w:t>lessons</w:t>
      </w:r>
      <w:r>
        <w:rPr>
          <w:color w:val="000000" w:themeColor="text1"/>
          <w:spacing w:val="28"/>
        </w:rPr>
        <w:t xml:space="preserve"> </w:t>
      </w:r>
      <w:r>
        <w:rPr>
          <w:color w:val="000000" w:themeColor="text1"/>
        </w:rPr>
        <w:t>on</w:t>
      </w:r>
      <w:r>
        <w:rPr>
          <w:color w:val="000000" w:themeColor="text1"/>
          <w:spacing w:val="28"/>
        </w:rPr>
        <w:t xml:space="preserve"> </w:t>
      </w:r>
      <w:r>
        <w:rPr>
          <w:color w:val="000000" w:themeColor="text1"/>
        </w:rPr>
        <w:t>formal</w:t>
      </w:r>
      <w:r>
        <w:rPr>
          <w:color w:val="000000" w:themeColor="text1"/>
          <w:spacing w:val="29"/>
        </w:rPr>
        <w:t xml:space="preserve"> </w:t>
      </w:r>
      <w:r>
        <w:rPr>
          <w:color w:val="000000" w:themeColor="text1"/>
          <w:spacing w:val="-2"/>
        </w:rPr>
        <w:t>writing.</w:t>
      </w:r>
    </w:p>
    <w:p w14:paraId="07D829E0" w14:textId="77777777" w:rsidR="00C07A90" w:rsidRDefault="008353AD">
      <w:pPr>
        <w:pStyle w:val="BodyText"/>
        <w:spacing w:before="41"/>
        <w:ind w:leftChars="200" w:left="1320" w:hanging="880"/>
        <w:rPr>
          <w:color w:val="000000" w:themeColor="text1"/>
        </w:rPr>
      </w:pPr>
      <w:r>
        <w:rPr>
          <w:color w:val="000000" w:themeColor="text1"/>
          <w:spacing w:val="-2"/>
        </w:rPr>
        <w:t>Edutopia.</w:t>
      </w:r>
    </w:p>
    <w:p w14:paraId="0ACB2A27" w14:textId="77777777" w:rsidR="00C07A90" w:rsidRDefault="008353AD">
      <w:pPr>
        <w:pStyle w:val="BodyText"/>
        <w:spacing w:before="42"/>
        <w:ind w:leftChars="200" w:left="1320" w:hanging="880"/>
        <w:rPr>
          <w:color w:val="000000" w:themeColor="text1"/>
        </w:rPr>
      </w:pPr>
      <w:hyperlink r:id="rId11">
        <w:r>
          <w:rPr>
            <w:color w:val="000000" w:themeColor="text1"/>
            <w:spacing w:val="-2"/>
          </w:rPr>
          <w:t>https://www.edutopia.org/article/turning-texts-and-emails-lessons-formal-writing/</w:t>
        </w:r>
      </w:hyperlink>
    </w:p>
    <w:p w14:paraId="2F1CE15A" w14:textId="77777777" w:rsidR="00C07A90" w:rsidRDefault="00C07A90">
      <w:pPr>
        <w:pStyle w:val="BodyText"/>
        <w:spacing w:before="5"/>
        <w:ind w:leftChars="200" w:left="1320" w:hanging="880"/>
        <w:rPr>
          <w:color w:val="000000" w:themeColor="text1"/>
        </w:rPr>
      </w:pPr>
    </w:p>
    <w:p w14:paraId="01FE029B" w14:textId="77777777" w:rsidR="00C07A90" w:rsidRDefault="008353AD">
      <w:pPr>
        <w:pStyle w:val="BodyText"/>
        <w:spacing w:before="0" w:line="276" w:lineRule="auto"/>
        <w:ind w:leftChars="200" w:left="1320" w:right="361" w:hanging="880"/>
        <w:rPr>
          <w:color w:val="000000" w:themeColor="text1"/>
        </w:rPr>
      </w:pPr>
      <w:r>
        <w:rPr>
          <w:noProof/>
          <w:color w:val="000000" w:themeColor="text1"/>
        </w:rPr>
        <mc:AlternateContent>
          <mc:Choice Requires="wps">
            <w:drawing>
              <wp:anchor distT="0" distB="0" distL="0" distR="0" simplePos="0" relativeHeight="251659264" behindDoc="0" locked="0" layoutInCell="1" allowOverlap="1" wp14:anchorId="252F8B7D" wp14:editId="2C070DBB">
                <wp:simplePos x="0" y="0"/>
                <wp:positionH relativeFrom="page">
                  <wp:posOffset>1143000</wp:posOffset>
                </wp:positionH>
                <wp:positionV relativeFrom="paragraph">
                  <wp:posOffset>561340</wp:posOffset>
                </wp:positionV>
                <wp:extent cx="2654300" cy="1270"/>
                <wp:effectExtent l="0" t="0" r="0" b="0"/>
                <wp:wrapNone/>
                <wp:docPr id="2" name="Graphic 2"/>
                <wp:cNvGraphicFramePr/>
                <a:graphic xmlns:a="http://schemas.openxmlformats.org/drawingml/2006/main">
                  <a:graphicData uri="http://schemas.microsoft.com/office/word/2010/wordprocessingShape">
                    <wps:wsp>
                      <wps:cNvSpPr/>
                      <wps:spPr>
                        <a:xfrm>
                          <a:off x="0" y="0"/>
                          <a:ext cx="2654300" cy="1270"/>
                        </a:xfrm>
                        <a:custGeom>
                          <a:avLst/>
                          <a:gdLst/>
                          <a:ahLst/>
                          <a:cxnLst/>
                          <a:rect l="l" t="t" r="r" b="b"/>
                          <a:pathLst>
                            <a:path w="2654300">
                              <a:moveTo>
                                <a:pt x="0" y="0"/>
                              </a:moveTo>
                              <a:lnTo>
                                <a:pt x="2654303" y="0"/>
                              </a:lnTo>
                            </a:path>
                          </a:pathLst>
                        </a:custGeom>
                        <a:ln w="12699">
                          <a:solidFill>
                            <a:srgbClr val="1154CC"/>
                          </a:solidFill>
                          <a:prstDash val="solid"/>
                        </a:ln>
                      </wps:spPr>
                      <wps:bodyPr wrap="square" lIns="0" tIns="0" rIns="0" bIns="0" rtlCol="0">
                        <a:noAutofit/>
                      </wps:bodyPr>
                    </wps:wsp>
                  </a:graphicData>
                </a:graphic>
              </wp:anchor>
            </w:drawing>
          </mc:Choice>
          <mc:Fallback>
            <w:pict>
              <v:shape w14:anchorId="36ECAAA0" id="Graphic 2" o:spid="_x0000_s1026" style="position:absolute;margin-left:90pt;margin-top:44.2pt;width:20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5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" path="m,l2654303,e" filled="f" strokecolor="#1154cc" strokeweight=".35275mm">
                <v:path arrowok="t"/>
                <w10:wrap anchorx="page"/>
              </v:shape>
            </w:pict>
          </mc:Fallback>
        </mc:AlternateContent>
      </w:r>
      <w:r>
        <w:rPr>
          <w:color w:val="000000" w:themeColor="text1"/>
        </w:rPr>
        <w:t xml:space="preserve">Barrot, J. S. (2024). Leveraging ChatGPT in the writing classrooms: Theoretical and practical insights. Language Teaching Research Quarterly, 43, 43-53. </w:t>
      </w:r>
      <w:hyperlink r:id="rId12">
        <w:r>
          <w:rPr>
            <w:color w:val="000000" w:themeColor="text1"/>
            <w:spacing w:val="-2"/>
          </w:rPr>
          <w:t>https://doi.org/10.32038/ltrq.2024.43.03</w:t>
        </w:r>
      </w:hyperlink>
    </w:p>
    <w:p w14:paraId="08B69DAC" w14:textId="77777777" w:rsidR="00C07A90" w:rsidRDefault="008353AD">
      <w:pPr>
        <w:pStyle w:val="BodyText"/>
        <w:spacing w:line="276" w:lineRule="auto"/>
        <w:ind w:leftChars="200" w:left="1320" w:right="358" w:hanging="880"/>
        <w:rPr>
          <w:color w:val="000000" w:themeColor="text1"/>
        </w:rPr>
      </w:pPr>
      <w:r>
        <w:rPr>
          <w:color w:val="000000" w:themeColor="text1"/>
        </w:rPr>
        <w:t>Biju,</w:t>
      </w:r>
      <w:r>
        <w:rPr>
          <w:color w:val="000000" w:themeColor="text1"/>
          <w:spacing w:val="40"/>
        </w:rPr>
        <w:t xml:space="preserve"> </w:t>
      </w:r>
      <w:r>
        <w:rPr>
          <w:color w:val="000000" w:themeColor="text1"/>
        </w:rPr>
        <w:t>L.</w:t>
      </w:r>
      <w:r>
        <w:rPr>
          <w:color w:val="000000" w:themeColor="text1"/>
          <w:spacing w:val="40"/>
        </w:rPr>
        <w:t xml:space="preserve"> </w:t>
      </w:r>
      <w:r>
        <w:rPr>
          <w:color w:val="000000" w:themeColor="text1"/>
        </w:rPr>
        <w:t>G.,</w:t>
      </w:r>
      <w:r>
        <w:rPr>
          <w:color w:val="000000" w:themeColor="text1"/>
          <w:spacing w:val="40"/>
        </w:rPr>
        <w:t xml:space="preserve"> </w:t>
      </w:r>
      <w:r>
        <w:rPr>
          <w:color w:val="000000" w:themeColor="text1"/>
        </w:rPr>
        <w:t>&amp;</w:t>
      </w:r>
      <w:r>
        <w:rPr>
          <w:color w:val="000000" w:themeColor="text1"/>
          <w:spacing w:val="40"/>
        </w:rPr>
        <w:t xml:space="preserve"> </w:t>
      </w:r>
      <w:r>
        <w:rPr>
          <w:color w:val="000000" w:themeColor="text1"/>
        </w:rPr>
        <w:t>Vijayakumar,</w:t>
      </w:r>
      <w:r>
        <w:rPr>
          <w:color w:val="000000" w:themeColor="text1"/>
          <w:spacing w:val="40"/>
        </w:rPr>
        <w:t xml:space="preserve"> </w:t>
      </w:r>
      <w:r>
        <w:rPr>
          <w:color w:val="000000" w:themeColor="text1"/>
        </w:rPr>
        <w:t>S.</w:t>
      </w:r>
      <w:r>
        <w:rPr>
          <w:color w:val="000000" w:themeColor="text1"/>
          <w:spacing w:val="40"/>
        </w:rPr>
        <w:t xml:space="preserve"> </w:t>
      </w:r>
      <w:r>
        <w:rPr>
          <w:color w:val="000000" w:themeColor="text1"/>
        </w:rPr>
        <w:t>(2023).</w:t>
      </w:r>
      <w:r>
        <w:rPr>
          <w:color w:val="000000" w:themeColor="text1"/>
          <w:spacing w:val="40"/>
        </w:rPr>
        <w:t xml:space="preserve"> </w:t>
      </w:r>
      <w:r>
        <w:rPr>
          <w:color w:val="000000" w:themeColor="text1"/>
        </w:rPr>
        <w:t>Systematic</w:t>
      </w:r>
      <w:r>
        <w:rPr>
          <w:color w:val="000000" w:themeColor="text1"/>
          <w:spacing w:val="40"/>
        </w:rPr>
        <w:t xml:space="preserve"> </w:t>
      </w:r>
      <w:r>
        <w:rPr>
          <w:color w:val="000000" w:themeColor="text1"/>
        </w:rPr>
        <w:t>review</w:t>
      </w:r>
      <w:r>
        <w:rPr>
          <w:color w:val="000000" w:themeColor="text1"/>
          <w:spacing w:val="40"/>
        </w:rPr>
        <w:t xml:space="preserve"> </w:t>
      </w:r>
      <w:r>
        <w:rPr>
          <w:color w:val="000000" w:themeColor="text1"/>
        </w:rPr>
        <w:t>on</w:t>
      </w:r>
      <w:r>
        <w:rPr>
          <w:color w:val="000000" w:themeColor="text1"/>
          <w:spacing w:val="40"/>
        </w:rPr>
        <w:t xml:space="preserve"> </w:t>
      </w:r>
      <w:r>
        <w:rPr>
          <w:color w:val="000000" w:themeColor="text1"/>
        </w:rPr>
        <w:t>the</w:t>
      </w:r>
      <w:r>
        <w:rPr>
          <w:color w:val="000000" w:themeColor="text1"/>
          <w:spacing w:val="40"/>
        </w:rPr>
        <w:t xml:space="preserve"> </w:t>
      </w:r>
      <w:r>
        <w:rPr>
          <w:color w:val="000000" w:themeColor="text1"/>
        </w:rPr>
        <w:t>impact</w:t>
      </w:r>
      <w:r>
        <w:rPr>
          <w:color w:val="000000" w:themeColor="text1"/>
          <w:spacing w:val="40"/>
        </w:rPr>
        <w:t xml:space="preserve"> </w:t>
      </w:r>
      <w:r>
        <w:rPr>
          <w:color w:val="000000" w:themeColor="text1"/>
        </w:rPr>
        <w:t>of technology-supported writing environments for developing writing skills. Computer Assisted Language Learning Electronic Journal, 23(3), 290–313.</w:t>
      </w:r>
    </w:p>
    <w:p w14:paraId="60CB8D27" w14:textId="77777777" w:rsidR="00C07A90" w:rsidRDefault="008353AD">
      <w:pPr>
        <w:pStyle w:val="BodyText"/>
        <w:spacing w:line="276" w:lineRule="auto"/>
        <w:ind w:leftChars="200" w:left="1320" w:right="361" w:hanging="880"/>
        <w:rPr>
          <w:color w:val="000000" w:themeColor="text1"/>
        </w:rPr>
      </w:pPr>
      <w:r>
        <w:rPr>
          <w:noProof/>
          <w:color w:val="000000" w:themeColor="text1"/>
        </w:rPr>
        <mc:AlternateContent>
          <mc:Choice Requires="wps">
            <w:drawing>
              <wp:anchor distT="0" distB="0" distL="0" distR="0" simplePos="0" relativeHeight="251660288" behindDoc="0" locked="0" layoutInCell="1" allowOverlap="1" wp14:anchorId="25A6982D" wp14:editId="0328B6A4">
                <wp:simplePos x="0" y="0"/>
                <wp:positionH relativeFrom="page">
                  <wp:posOffset>3797300</wp:posOffset>
                </wp:positionH>
                <wp:positionV relativeFrom="paragraph">
                  <wp:posOffset>711200</wp:posOffset>
                </wp:positionV>
                <wp:extent cx="2489200" cy="1270"/>
                <wp:effectExtent l="0" t="0" r="0" b="0"/>
                <wp:wrapNone/>
                <wp:docPr id="3" name="Graphic 3"/>
                <wp:cNvGraphicFramePr/>
                <a:graphic xmlns:a="http://schemas.openxmlformats.org/drawingml/2006/main">
                  <a:graphicData uri="http://schemas.microsoft.com/office/word/2010/wordprocessingShape">
                    <wps:wsp>
                      <wps:cNvSpPr/>
                      <wps:spPr>
                        <a:xfrm>
                          <a:off x="0" y="0"/>
                          <a:ext cx="2489200" cy="1270"/>
                        </a:xfrm>
                        <a:custGeom>
                          <a:avLst/>
                          <a:gdLst/>
                          <a:ahLst/>
                          <a:cxnLst/>
                          <a:rect l="l" t="t" r="r" b="b"/>
                          <a:pathLst>
                            <a:path w="2489200">
                              <a:moveTo>
                                <a:pt x="0" y="0"/>
                              </a:moveTo>
                              <a:lnTo>
                                <a:pt x="2489196" y="0"/>
                              </a:lnTo>
                            </a:path>
                          </a:pathLst>
                        </a:custGeom>
                        <a:ln w="12699">
                          <a:solidFill>
                            <a:srgbClr val="1154CC"/>
                          </a:solidFill>
                          <a:prstDash val="solid"/>
                        </a:ln>
                      </wps:spPr>
                      <wps:bodyPr wrap="square" lIns="0" tIns="0" rIns="0" bIns="0" rtlCol="0">
                        <a:noAutofit/>
                      </wps:bodyPr>
                    </wps:wsp>
                  </a:graphicData>
                </a:graphic>
              </wp:anchor>
            </w:drawing>
          </mc:Choice>
          <mc:Fallback>
            <w:pict>
              <v:shape w14:anchorId="760A49C9" id="Graphic 3" o:spid="_x0000_s1026" style="position:absolute;margin-left:299pt;margin-top:56pt;width:19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" path="m,l2489196,e" filled="f" strokecolor="#1154cc" strokeweight=".35275mm">
                <v:path arrowok="t"/>
                <w10:wrap anchorx="page"/>
              </v:shape>
            </w:pict>
          </mc:Fallback>
        </mc:AlternateContent>
      </w:r>
      <w:r>
        <w:rPr>
          <w:color w:val="000000" w:themeColor="text1"/>
        </w:rPr>
        <w:t xml:space="preserve">Capalac, C. J., Mapo, D.C.B, &amp; Magbanua, D.A.S. (2025). Modified Orwell’s six rules: An intervention to improve students’ writing skills in English, Journal of Education and Language Studies, 2 (1), 139-154. </w:t>
      </w:r>
      <w:hyperlink r:id="rId13">
        <w:r>
          <w:rPr>
            <w:color w:val="000000" w:themeColor="text1"/>
          </w:rPr>
          <w:t>https://wmsu.edu.ph/jels/articles.html</w:t>
        </w:r>
      </w:hyperlink>
    </w:p>
    <w:p w14:paraId="7BF2EE71" w14:textId="77777777" w:rsidR="00C07A90" w:rsidRDefault="008353AD">
      <w:pPr>
        <w:pStyle w:val="BodyText"/>
        <w:spacing w:line="276" w:lineRule="auto"/>
        <w:ind w:leftChars="200" w:left="1320" w:right="363" w:hanging="880"/>
        <w:rPr>
          <w:color w:val="000000" w:themeColor="text1"/>
        </w:rPr>
      </w:pPr>
      <w:r>
        <w:rPr>
          <w:color w:val="000000" w:themeColor="text1"/>
        </w:rPr>
        <w:t>Department of Education. (2020). Reading and writing skills: Quarter 4 – Module 9: Composing professional correspondence (Alternative Delivery Mode, 1st ed.). Department of Education – Region IV-A CALABARZON.</w:t>
      </w:r>
    </w:p>
    <w:p w14:paraId="31B25B70" w14:textId="77777777" w:rsidR="00C07A90" w:rsidRDefault="008353AD">
      <w:pPr>
        <w:pStyle w:val="BodyText"/>
        <w:spacing w:line="276" w:lineRule="auto"/>
        <w:ind w:leftChars="200" w:left="1320" w:right="358" w:hanging="880"/>
        <w:rPr>
          <w:color w:val="000000" w:themeColor="text1"/>
        </w:rPr>
      </w:pPr>
      <w:r>
        <w:rPr>
          <w:color w:val="000000" w:themeColor="text1"/>
        </w:rPr>
        <w:t>Diego, S. S., &amp; Protacio, A. V. (2025). AI-integrated writing approach and senior high school students’ writing competencies in English. International Journal of English Literature</w:t>
      </w:r>
      <w:r>
        <w:rPr>
          <w:color w:val="000000" w:themeColor="text1"/>
          <w:spacing w:val="73"/>
          <w:w w:val="150"/>
        </w:rPr>
        <w:t xml:space="preserve">    </w:t>
      </w:r>
      <w:r>
        <w:rPr>
          <w:color w:val="000000" w:themeColor="text1"/>
        </w:rPr>
        <w:t>and</w:t>
      </w:r>
      <w:r>
        <w:rPr>
          <w:color w:val="000000" w:themeColor="text1"/>
          <w:spacing w:val="74"/>
          <w:w w:val="150"/>
        </w:rPr>
        <w:t xml:space="preserve">    </w:t>
      </w:r>
      <w:r>
        <w:rPr>
          <w:color w:val="000000" w:themeColor="text1"/>
        </w:rPr>
        <w:t>Social</w:t>
      </w:r>
      <w:r>
        <w:rPr>
          <w:color w:val="000000" w:themeColor="text1"/>
          <w:spacing w:val="70"/>
          <w:w w:val="150"/>
        </w:rPr>
        <w:t xml:space="preserve">    </w:t>
      </w:r>
      <w:r>
        <w:rPr>
          <w:color w:val="000000" w:themeColor="text1"/>
        </w:rPr>
        <w:t>Sciences,</w:t>
      </w:r>
      <w:r>
        <w:rPr>
          <w:color w:val="000000" w:themeColor="text1"/>
          <w:spacing w:val="71"/>
          <w:w w:val="150"/>
        </w:rPr>
        <w:t xml:space="preserve">    </w:t>
      </w:r>
      <w:r>
        <w:rPr>
          <w:color w:val="000000" w:themeColor="text1"/>
        </w:rPr>
        <w:t>10(3),</w:t>
      </w:r>
      <w:r>
        <w:rPr>
          <w:color w:val="000000" w:themeColor="text1"/>
          <w:spacing w:val="70"/>
          <w:w w:val="150"/>
        </w:rPr>
        <w:t xml:space="preserve">    </w:t>
      </w:r>
      <w:r>
        <w:rPr>
          <w:color w:val="000000" w:themeColor="text1"/>
        </w:rPr>
        <w:t>Article</w:t>
      </w:r>
      <w:r>
        <w:rPr>
          <w:color w:val="000000" w:themeColor="text1"/>
          <w:spacing w:val="76"/>
        </w:rPr>
        <w:t xml:space="preserve">     </w:t>
      </w:r>
      <w:r>
        <w:rPr>
          <w:color w:val="000000" w:themeColor="text1"/>
          <w:spacing w:val="-4"/>
        </w:rPr>
        <w:t>701.</w:t>
      </w:r>
    </w:p>
    <w:p w14:paraId="226AB13B" w14:textId="77777777" w:rsidR="00C07A90" w:rsidRDefault="008353AD">
      <w:pPr>
        <w:pStyle w:val="BodyText"/>
        <w:spacing w:before="0"/>
        <w:ind w:leftChars="200" w:left="1320" w:hanging="880"/>
        <w:rPr>
          <w:color w:val="000000" w:themeColor="text1"/>
        </w:rPr>
      </w:pPr>
      <w:hyperlink r:id="rId14">
        <w:r>
          <w:rPr>
            <w:color w:val="000000" w:themeColor="text1"/>
            <w:spacing w:val="-2"/>
          </w:rPr>
          <w:t>https://doi.org/10.22161/ijels.103.97</w:t>
        </w:r>
      </w:hyperlink>
    </w:p>
    <w:p w14:paraId="721DDA3B" w14:textId="77777777" w:rsidR="00C07A90" w:rsidRDefault="00C07A90">
      <w:pPr>
        <w:pStyle w:val="BodyText"/>
        <w:spacing w:before="6"/>
        <w:ind w:leftChars="200" w:left="1320" w:hanging="880"/>
        <w:rPr>
          <w:color w:val="000000" w:themeColor="text1"/>
        </w:rPr>
      </w:pPr>
    </w:p>
    <w:p w14:paraId="7E49F34E" w14:textId="77777777" w:rsidR="00C07A90" w:rsidRDefault="008353AD">
      <w:pPr>
        <w:pStyle w:val="BodyText"/>
        <w:spacing w:before="0" w:line="276" w:lineRule="auto"/>
        <w:ind w:leftChars="200" w:left="1320" w:right="358" w:hanging="880"/>
        <w:rPr>
          <w:color w:val="000000" w:themeColor="text1"/>
        </w:rPr>
      </w:pPr>
      <w:r>
        <w:rPr>
          <w:color w:val="000000" w:themeColor="text1"/>
        </w:rPr>
        <w:t xml:space="preserve">Duong, N. H., Tong, T. M. H., &amp; Le, D. H. (2024). Utilizing ChatGPT in checking academic writing for postgraduate students. Proceedings of the AsiaCALL International Conference, 6, 193–203. </w:t>
      </w:r>
      <w:hyperlink r:id="rId15">
        <w:r>
          <w:rPr>
            <w:color w:val="000000" w:themeColor="text1"/>
          </w:rPr>
          <w:t>https://doi.org/10.54855/paic.24614</w:t>
        </w:r>
      </w:hyperlink>
    </w:p>
    <w:p w14:paraId="7607EA7F" w14:textId="77777777" w:rsidR="00C07A90" w:rsidRDefault="00C07A90">
      <w:pPr>
        <w:pStyle w:val="BodyText"/>
        <w:spacing w:line="276" w:lineRule="auto"/>
        <w:ind w:leftChars="200" w:left="1320" w:hanging="880"/>
        <w:rPr>
          <w:color w:val="000000" w:themeColor="text1"/>
        </w:rPr>
        <w:sectPr w:rsidR="00C07A90">
          <w:pgSz w:w="12240" w:h="15840"/>
          <w:pgMar w:top="1340" w:right="1080" w:bottom="280" w:left="1080" w:header="44" w:footer="0" w:gutter="0"/>
          <w:cols w:space="720"/>
        </w:sectPr>
      </w:pPr>
    </w:p>
    <w:p w14:paraId="28BC1162" w14:textId="77777777" w:rsidR="00C07A90" w:rsidRDefault="008353AD">
      <w:pPr>
        <w:pStyle w:val="BodyText"/>
        <w:spacing w:before="82" w:line="276" w:lineRule="auto"/>
        <w:ind w:leftChars="200" w:left="1320" w:right="365" w:hanging="880"/>
        <w:rPr>
          <w:color w:val="000000" w:themeColor="text1"/>
        </w:rPr>
      </w:pPr>
      <w:r>
        <w:rPr>
          <w:color w:val="000000" w:themeColor="text1"/>
        </w:rPr>
        <w:lastRenderedPageBreak/>
        <w:t>Ghafouri, M., Hassaskhah, J., &amp; Mahdavi-Zafarghandi, A.</w:t>
      </w:r>
      <w:r>
        <w:rPr>
          <w:color w:val="000000" w:themeColor="text1"/>
          <w:spacing w:val="-3"/>
        </w:rPr>
        <w:t xml:space="preserve"> </w:t>
      </w:r>
      <w:r>
        <w:rPr>
          <w:color w:val="000000" w:themeColor="text1"/>
        </w:rPr>
        <w:t>(2024).</w:t>
      </w:r>
      <w:r>
        <w:rPr>
          <w:color w:val="000000" w:themeColor="text1"/>
          <w:spacing w:val="-3"/>
        </w:rPr>
        <w:t xml:space="preserve"> </w:t>
      </w:r>
      <w:r>
        <w:rPr>
          <w:color w:val="000000" w:themeColor="text1"/>
        </w:rPr>
        <w:t>From</w:t>
      </w:r>
      <w:r>
        <w:rPr>
          <w:color w:val="000000" w:themeColor="text1"/>
          <w:spacing w:val="-3"/>
        </w:rPr>
        <w:t xml:space="preserve"> </w:t>
      </w:r>
      <w:r>
        <w:rPr>
          <w:color w:val="000000" w:themeColor="text1"/>
        </w:rPr>
        <w:t>virtual</w:t>
      </w:r>
      <w:r>
        <w:rPr>
          <w:color w:val="000000" w:themeColor="text1"/>
          <w:spacing w:val="-3"/>
        </w:rPr>
        <w:t xml:space="preserve"> </w:t>
      </w:r>
      <w:r>
        <w:rPr>
          <w:color w:val="000000" w:themeColor="text1"/>
        </w:rPr>
        <w:t>assistant to writing mentor: Exploring the impact of a ChatGPT-based writing instruction protocol on</w:t>
      </w:r>
      <w:r>
        <w:rPr>
          <w:color w:val="000000" w:themeColor="text1"/>
          <w:spacing w:val="-7"/>
        </w:rPr>
        <w:t xml:space="preserve"> </w:t>
      </w:r>
      <w:r>
        <w:rPr>
          <w:color w:val="000000" w:themeColor="text1"/>
        </w:rPr>
        <w:t>EFL</w:t>
      </w:r>
      <w:r>
        <w:rPr>
          <w:color w:val="000000" w:themeColor="text1"/>
          <w:spacing w:val="-7"/>
        </w:rPr>
        <w:t xml:space="preserve"> </w:t>
      </w:r>
      <w:r>
        <w:rPr>
          <w:color w:val="000000" w:themeColor="text1"/>
        </w:rPr>
        <w:t>teachers’</w:t>
      </w:r>
      <w:r>
        <w:rPr>
          <w:color w:val="000000" w:themeColor="text1"/>
          <w:spacing w:val="-7"/>
        </w:rPr>
        <w:t xml:space="preserve"> </w:t>
      </w:r>
      <w:r>
        <w:rPr>
          <w:color w:val="000000" w:themeColor="text1"/>
        </w:rPr>
        <w:t>self-efficacy</w:t>
      </w:r>
      <w:r>
        <w:rPr>
          <w:color w:val="000000" w:themeColor="text1"/>
          <w:spacing w:val="-7"/>
        </w:rPr>
        <w:t xml:space="preserve"> </w:t>
      </w:r>
      <w:r>
        <w:rPr>
          <w:color w:val="000000" w:themeColor="text1"/>
        </w:rPr>
        <w:t>and</w:t>
      </w:r>
      <w:r>
        <w:rPr>
          <w:color w:val="000000" w:themeColor="text1"/>
          <w:spacing w:val="-7"/>
        </w:rPr>
        <w:t xml:space="preserve"> </w:t>
      </w:r>
      <w:r>
        <w:rPr>
          <w:color w:val="000000" w:themeColor="text1"/>
        </w:rPr>
        <w:t>learners’</w:t>
      </w:r>
      <w:r>
        <w:rPr>
          <w:color w:val="000000" w:themeColor="text1"/>
          <w:spacing w:val="-7"/>
        </w:rPr>
        <w:t xml:space="preserve"> </w:t>
      </w:r>
      <w:r>
        <w:rPr>
          <w:color w:val="000000" w:themeColor="text1"/>
        </w:rPr>
        <w:t>writing</w:t>
      </w:r>
      <w:r>
        <w:rPr>
          <w:color w:val="000000" w:themeColor="text1"/>
          <w:spacing w:val="-7"/>
        </w:rPr>
        <w:t xml:space="preserve"> </w:t>
      </w:r>
      <w:r>
        <w:rPr>
          <w:color w:val="000000" w:themeColor="text1"/>
        </w:rPr>
        <w:t>skill.</w:t>
      </w:r>
      <w:r>
        <w:rPr>
          <w:color w:val="000000" w:themeColor="text1"/>
          <w:spacing w:val="-8"/>
        </w:rPr>
        <w:t xml:space="preserve"> </w:t>
      </w:r>
      <w:r>
        <w:rPr>
          <w:color w:val="000000" w:themeColor="text1"/>
        </w:rPr>
        <w:t>Language</w:t>
      </w:r>
      <w:r>
        <w:rPr>
          <w:color w:val="000000" w:themeColor="text1"/>
          <w:spacing w:val="-7"/>
        </w:rPr>
        <w:t xml:space="preserve"> </w:t>
      </w:r>
      <w:r>
        <w:rPr>
          <w:color w:val="000000" w:themeColor="text1"/>
        </w:rPr>
        <w:t xml:space="preserve">Teaching Research, 0(0). </w:t>
      </w:r>
      <w:hyperlink r:id="rId16">
        <w:r>
          <w:rPr>
            <w:color w:val="000000" w:themeColor="text1"/>
          </w:rPr>
          <w:t>https://doi.org/10.1177/13621688241239764</w:t>
        </w:r>
      </w:hyperlink>
    </w:p>
    <w:p w14:paraId="51F3B132" w14:textId="77777777" w:rsidR="00C07A90" w:rsidRDefault="008353AD">
      <w:pPr>
        <w:pStyle w:val="BodyText"/>
        <w:spacing w:line="276" w:lineRule="auto"/>
        <w:ind w:leftChars="200" w:left="1320" w:right="361" w:hanging="880"/>
        <w:rPr>
          <w:color w:val="000000" w:themeColor="text1"/>
        </w:rPr>
      </w:pPr>
      <w:r>
        <w:rPr>
          <w:color w:val="000000" w:themeColor="text1"/>
        </w:rPr>
        <w:t xml:space="preserve">González-Laguna, M. V., Fidalgo, R., López, P., &amp; Rijlaarsdam, G. (2024). A review of effective technology-based writing interventions: A componential analysis. Sustainability, 16(9), 3703. </w:t>
      </w:r>
      <w:hyperlink r:id="rId17">
        <w:r>
          <w:rPr>
            <w:color w:val="000000" w:themeColor="text1"/>
          </w:rPr>
          <w:t>https://doi.org/10.3390/su16093703</w:t>
        </w:r>
      </w:hyperlink>
    </w:p>
    <w:p w14:paraId="0CE1A7C7" w14:textId="77777777" w:rsidR="00C07A90" w:rsidRDefault="008353AD">
      <w:pPr>
        <w:pStyle w:val="BodyText"/>
        <w:spacing w:line="276" w:lineRule="auto"/>
        <w:ind w:leftChars="200" w:left="1320" w:right="359" w:hanging="880"/>
        <w:rPr>
          <w:color w:val="000000" w:themeColor="text1"/>
        </w:rPr>
      </w:pPr>
      <w:r>
        <w:rPr>
          <w:color w:val="000000" w:themeColor="text1"/>
        </w:rPr>
        <w:t xml:space="preserve">Hongxia, H., &amp; Razali, A. B. (2025). Impact of ChatGPT on English academic writing ability and engagement of Chinese EFL undergraduates. International Journal of Instruction, 18(2), 323–346. </w:t>
      </w:r>
      <w:hyperlink r:id="rId18">
        <w:r>
          <w:rPr>
            <w:color w:val="000000" w:themeColor="text1"/>
          </w:rPr>
          <w:t>https://doi.org/10.29333/iji.2025.18218a</w:t>
        </w:r>
      </w:hyperlink>
    </w:p>
    <w:p w14:paraId="47EE4440" w14:textId="77777777" w:rsidR="00C07A90" w:rsidRDefault="008353AD">
      <w:pPr>
        <w:pStyle w:val="BodyText"/>
        <w:spacing w:line="276" w:lineRule="auto"/>
        <w:ind w:leftChars="200" w:left="1320" w:right="368" w:hanging="880"/>
        <w:rPr>
          <w:color w:val="000000" w:themeColor="text1"/>
        </w:rPr>
      </w:pPr>
      <w:r>
        <w:rPr>
          <w:color w:val="000000" w:themeColor="text1"/>
        </w:rPr>
        <w:t>Jovic,</w:t>
      </w:r>
      <w:r>
        <w:rPr>
          <w:color w:val="000000" w:themeColor="text1"/>
          <w:spacing w:val="-4"/>
        </w:rPr>
        <w:t xml:space="preserve"> </w:t>
      </w:r>
      <w:r>
        <w:rPr>
          <w:color w:val="000000" w:themeColor="text1"/>
        </w:rPr>
        <w:t>M.,</w:t>
      </w:r>
      <w:r>
        <w:rPr>
          <w:color w:val="000000" w:themeColor="text1"/>
          <w:spacing w:val="-4"/>
        </w:rPr>
        <w:t xml:space="preserve"> </w:t>
      </w:r>
      <w:r>
        <w:rPr>
          <w:color w:val="000000" w:themeColor="text1"/>
        </w:rPr>
        <w:t>&amp;</w:t>
      </w:r>
      <w:r>
        <w:rPr>
          <w:color w:val="000000" w:themeColor="text1"/>
          <w:spacing w:val="-4"/>
        </w:rPr>
        <w:t xml:space="preserve"> </w:t>
      </w:r>
      <w:r>
        <w:rPr>
          <w:color w:val="000000" w:themeColor="text1"/>
        </w:rPr>
        <w:t>Mnasri,</w:t>
      </w:r>
      <w:r>
        <w:rPr>
          <w:color w:val="000000" w:themeColor="text1"/>
          <w:spacing w:val="-4"/>
        </w:rPr>
        <w:t xml:space="preserve"> </w:t>
      </w:r>
      <w:r>
        <w:rPr>
          <w:color w:val="000000" w:themeColor="text1"/>
        </w:rPr>
        <w:t>S.</w:t>
      </w:r>
      <w:r>
        <w:rPr>
          <w:color w:val="000000" w:themeColor="text1"/>
          <w:spacing w:val="-4"/>
        </w:rPr>
        <w:t xml:space="preserve"> </w:t>
      </w:r>
      <w:r>
        <w:rPr>
          <w:color w:val="000000" w:themeColor="text1"/>
        </w:rPr>
        <w:t>(2024).</w:t>
      </w:r>
      <w:r>
        <w:rPr>
          <w:color w:val="000000" w:themeColor="text1"/>
          <w:spacing w:val="-4"/>
        </w:rPr>
        <w:t xml:space="preserve"> </w:t>
      </w:r>
      <w:r>
        <w:rPr>
          <w:color w:val="000000" w:themeColor="text1"/>
        </w:rPr>
        <w:t>Evaluating</w:t>
      </w:r>
      <w:r>
        <w:rPr>
          <w:color w:val="000000" w:themeColor="text1"/>
          <w:spacing w:val="-4"/>
        </w:rPr>
        <w:t xml:space="preserve"> </w:t>
      </w:r>
      <w:r>
        <w:rPr>
          <w:color w:val="000000" w:themeColor="text1"/>
        </w:rPr>
        <w:t>AI-generated</w:t>
      </w:r>
      <w:r>
        <w:rPr>
          <w:color w:val="000000" w:themeColor="text1"/>
          <w:spacing w:val="-4"/>
        </w:rPr>
        <w:t xml:space="preserve"> </w:t>
      </w:r>
      <w:r>
        <w:rPr>
          <w:color w:val="000000" w:themeColor="text1"/>
        </w:rPr>
        <w:t>emails:</w:t>
      </w:r>
      <w:r>
        <w:rPr>
          <w:color w:val="000000" w:themeColor="text1"/>
          <w:spacing w:val="-4"/>
        </w:rPr>
        <w:t xml:space="preserve"> </w:t>
      </w:r>
      <w:r>
        <w:rPr>
          <w:color w:val="000000" w:themeColor="text1"/>
        </w:rPr>
        <w:t>A</w:t>
      </w:r>
      <w:r>
        <w:rPr>
          <w:color w:val="000000" w:themeColor="text1"/>
          <w:spacing w:val="-4"/>
        </w:rPr>
        <w:t xml:space="preserve"> </w:t>
      </w:r>
      <w:r>
        <w:rPr>
          <w:color w:val="000000" w:themeColor="text1"/>
        </w:rPr>
        <w:t>comparative</w:t>
      </w:r>
      <w:r>
        <w:rPr>
          <w:color w:val="000000" w:themeColor="text1"/>
          <w:spacing w:val="-4"/>
        </w:rPr>
        <w:t xml:space="preserve"> </w:t>
      </w:r>
      <w:r>
        <w:rPr>
          <w:color w:val="000000" w:themeColor="text1"/>
        </w:rPr>
        <w:t xml:space="preserve">efficiency analysis. World Journal of English Language, 14(2), 502–517. </w:t>
      </w:r>
      <w:hyperlink r:id="rId19">
        <w:r>
          <w:rPr>
            <w:color w:val="000000" w:themeColor="text1"/>
            <w:spacing w:val="-2"/>
          </w:rPr>
          <w:t>https://doi.org/10.5430/wjel.v14n2p502</w:t>
        </w:r>
      </w:hyperlink>
    </w:p>
    <w:p w14:paraId="1ABD259E" w14:textId="77777777" w:rsidR="00C07A90" w:rsidRDefault="008353AD">
      <w:pPr>
        <w:pStyle w:val="BodyText"/>
        <w:spacing w:line="276" w:lineRule="auto"/>
        <w:ind w:leftChars="200" w:left="1320" w:right="365" w:hanging="880"/>
        <w:rPr>
          <w:color w:val="000000" w:themeColor="text1"/>
        </w:rPr>
      </w:pPr>
      <w:r>
        <w:rPr>
          <w:color w:val="000000" w:themeColor="text1"/>
        </w:rPr>
        <w:t>Jones, R. D. (2025). The complexities of impoliteness in digital workspaces: A politeness theory</w:t>
      </w:r>
      <w:r>
        <w:rPr>
          <w:color w:val="000000" w:themeColor="text1"/>
          <w:spacing w:val="-5"/>
        </w:rPr>
        <w:t xml:space="preserve"> </w:t>
      </w:r>
      <w:r>
        <w:rPr>
          <w:color w:val="000000" w:themeColor="text1"/>
        </w:rPr>
        <w:t>analysis</w:t>
      </w:r>
      <w:r>
        <w:rPr>
          <w:color w:val="000000" w:themeColor="text1"/>
          <w:spacing w:val="-5"/>
        </w:rPr>
        <w:t xml:space="preserve"> </w:t>
      </w:r>
      <w:r>
        <w:rPr>
          <w:color w:val="000000" w:themeColor="text1"/>
        </w:rPr>
        <w:t>of</w:t>
      </w:r>
      <w:r>
        <w:rPr>
          <w:color w:val="000000" w:themeColor="text1"/>
          <w:spacing w:val="-5"/>
        </w:rPr>
        <w:t xml:space="preserve"> </w:t>
      </w:r>
      <w:r>
        <w:rPr>
          <w:color w:val="000000" w:themeColor="text1"/>
        </w:rPr>
        <w:t>Gen</w:t>
      </w:r>
      <w:r>
        <w:rPr>
          <w:color w:val="000000" w:themeColor="text1"/>
          <w:spacing w:val="-5"/>
        </w:rPr>
        <w:t xml:space="preserve"> </w:t>
      </w:r>
      <w:r>
        <w:rPr>
          <w:color w:val="000000" w:themeColor="text1"/>
        </w:rPr>
        <w:t>Z</w:t>
      </w:r>
      <w:r>
        <w:rPr>
          <w:color w:val="000000" w:themeColor="text1"/>
          <w:spacing w:val="-5"/>
        </w:rPr>
        <w:t xml:space="preserve"> </w:t>
      </w:r>
      <w:r>
        <w:rPr>
          <w:color w:val="000000" w:themeColor="text1"/>
        </w:rPr>
        <w:t>workplace</w:t>
      </w:r>
      <w:r>
        <w:rPr>
          <w:color w:val="000000" w:themeColor="text1"/>
          <w:spacing w:val="-5"/>
        </w:rPr>
        <w:t xml:space="preserve"> </w:t>
      </w:r>
      <w:r>
        <w:rPr>
          <w:color w:val="000000" w:themeColor="text1"/>
        </w:rPr>
        <w:t>communication</w:t>
      </w:r>
      <w:r>
        <w:rPr>
          <w:color w:val="000000" w:themeColor="text1"/>
          <w:spacing w:val="-5"/>
        </w:rPr>
        <w:t xml:space="preserve"> </w:t>
      </w:r>
      <w:r>
        <w:rPr>
          <w:color w:val="000000" w:themeColor="text1"/>
        </w:rPr>
        <w:t>(Doctoral</w:t>
      </w:r>
      <w:r>
        <w:rPr>
          <w:color w:val="000000" w:themeColor="text1"/>
          <w:spacing w:val="-5"/>
        </w:rPr>
        <w:t xml:space="preserve"> </w:t>
      </w:r>
      <w:r>
        <w:rPr>
          <w:color w:val="000000" w:themeColor="text1"/>
        </w:rPr>
        <w:t>dissertation, Liberty University). Liberty University Digital Repository.</w:t>
      </w:r>
    </w:p>
    <w:p w14:paraId="6558D41F" w14:textId="77777777" w:rsidR="00C07A90" w:rsidRDefault="008353AD">
      <w:pPr>
        <w:pStyle w:val="BodyText"/>
        <w:spacing w:line="276" w:lineRule="auto"/>
        <w:ind w:leftChars="200" w:left="1320" w:right="359" w:hanging="880"/>
        <w:rPr>
          <w:color w:val="000000" w:themeColor="text1"/>
        </w:rPr>
      </w:pPr>
      <w:r>
        <w:rPr>
          <w:color w:val="000000" w:themeColor="text1"/>
        </w:rPr>
        <w:t xml:space="preserve">Khampusaen, D. (2024). The impact of ChatGPT on academic writing skills and knowledge: An investigation of its use in argumentative essays. LEARN Journal: Language Education and Acquisition Research Network, 18(1), 963-988. </w:t>
      </w:r>
      <w:hyperlink r:id="rId20">
        <w:r>
          <w:rPr>
            <w:color w:val="000000" w:themeColor="text1"/>
            <w:spacing w:val="-2"/>
          </w:rPr>
          <w:t>https://doi.org/10.70730/PGCQ9242</w:t>
        </w:r>
      </w:hyperlink>
    </w:p>
    <w:p w14:paraId="1BCE8C2B" w14:textId="77777777" w:rsidR="00C07A90" w:rsidRDefault="008353AD">
      <w:pPr>
        <w:pStyle w:val="BodyText"/>
        <w:spacing w:line="276" w:lineRule="auto"/>
        <w:ind w:leftChars="200" w:left="1320" w:right="360" w:hanging="880"/>
        <w:rPr>
          <w:color w:val="000000" w:themeColor="text1"/>
        </w:rPr>
      </w:pPr>
      <w:r>
        <w:rPr>
          <w:color w:val="000000" w:themeColor="text1"/>
        </w:rPr>
        <w:t>Levine, S., Beck, S. W., Mah, C.,</w:t>
      </w:r>
      <w:r>
        <w:rPr>
          <w:color w:val="000000" w:themeColor="text1"/>
          <w:spacing w:val="-3"/>
        </w:rPr>
        <w:t xml:space="preserve"> </w:t>
      </w:r>
      <w:r>
        <w:rPr>
          <w:color w:val="000000" w:themeColor="text1"/>
        </w:rPr>
        <w:t>Phalen,</w:t>
      </w:r>
      <w:r>
        <w:rPr>
          <w:color w:val="000000" w:themeColor="text1"/>
          <w:spacing w:val="-3"/>
        </w:rPr>
        <w:t xml:space="preserve"> </w:t>
      </w:r>
      <w:r>
        <w:rPr>
          <w:color w:val="000000" w:themeColor="text1"/>
        </w:rPr>
        <w:t>L.,</w:t>
      </w:r>
      <w:r>
        <w:rPr>
          <w:color w:val="000000" w:themeColor="text1"/>
          <w:spacing w:val="-3"/>
        </w:rPr>
        <w:t xml:space="preserve"> </w:t>
      </w:r>
      <w:r>
        <w:rPr>
          <w:color w:val="000000" w:themeColor="text1"/>
        </w:rPr>
        <w:t>&amp;</w:t>
      </w:r>
      <w:r>
        <w:rPr>
          <w:color w:val="000000" w:themeColor="text1"/>
          <w:spacing w:val="-3"/>
        </w:rPr>
        <w:t xml:space="preserve"> </w:t>
      </w:r>
      <w:r>
        <w:rPr>
          <w:color w:val="000000" w:themeColor="text1"/>
        </w:rPr>
        <w:t>Pittman,</w:t>
      </w:r>
      <w:r>
        <w:rPr>
          <w:color w:val="000000" w:themeColor="text1"/>
          <w:spacing w:val="-3"/>
        </w:rPr>
        <w:t xml:space="preserve"> </w:t>
      </w:r>
      <w:r>
        <w:rPr>
          <w:color w:val="000000" w:themeColor="text1"/>
        </w:rPr>
        <w:t>J.</w:t>
      </w:r>
      <w:r>
        <w:rPr>
          <w:color w:val="000000" w:themeColor="text1"/>
          <w:spacing w:val="-3"/>
        </w:rPr>
        <w:t xml:space="preserve"> </w:t>
      </w:r>
      <w:r>
        <w:rPr>
          <w:color w:val="000000" w:themeColor="text1"/>
        </w:rPr>
        <w:t>(2024).</w:t>
      </w:r>
      <w:r>
        <w:rPr>
          <w:color w:val="000000" w:themeColor="text1"/>
          <w:spacing w:val="-3"/>
        </w:rPr>
        <w:t xml:space="preserve"> </w:t>
      </w:r>
      <w:r>
        <w:rPr>
          <w:color w:val="000000" w:themeColor="text1"/>
        </w:rPr>
        <w:t>How</w:t>
      </w:r>
      <w:r>
        <w:rPr>
          <w:color w:val="000000" w:themeColor="text1"/>
          <w:spacing w:val="-3"/>
        </w:rPr>
        <w:t xml:space="preserve"> </w:t>
      </w:r>
      <w:r>
        <w:rPr>
          <w:color w:val="000000" w:themeColor="text1"/>
        </w:rPr>
        <w:t>do</w:t>
      </w:r>
      <w:r>
        <w:rPr>
          <w:color w:val="000000" w:themeColor="text1"/>
          <w:spacing w:val="-3"/>
        </w:rPr>
        <w:t xml:space="preserve"> </w:t>
      </w:r>
      <w:r>
        <w:rPr>
          <w:color w:val="000000" w:themeColor="text1"/>
        </w:rPr>
        <w:t>students</w:t>
      </w:r>
      <w:r>
        <w:rPr>
          <w:color w:val="000000" w:themeColor="text1"/>
          <w:spacing w:val="-3"/>
        </w:rPr>
        <w:t xml:space="preserve"> </w:t>
      </w:r>
      <w:r>
        <w:rPr>
          <w:color w:val="000000" w:themeColor="text1"/>
        </w:rPr>
        <w:t xml:space="preserve">use ChatGPT as a writing support? Journal of Adolescent &amp; Adult Literacy. </w:t>
      </w:r>
      <w:hyperlink r:id="rId21">
        <w:r>
          <w:rPr>
            <w:color w:val="000000" w:themeColor="text1"/>
            <w:spacing w:val="-2"/>
          </w:rPr>
          <w:t>https://doi.org/10.1002/jaal.1373</w:t>
        </w:r>
      </w:hyperlink>
    </w:p>
    <w:p w14:paraId="5DE41E78" w14:textId="77777777" w:rsidR="00C07A90" w:rsidRDefault="008353AD">
      <w:pPr>
        <w:pStyle w:val="BodyText"/>
        <w:spacing w:line="276" w:lineRule="auto"/>
        <w:ind w:leftChars="200" w:left="1320" w:right="358" w:hanging="880"/>
        <w:rPr>
          <w:color w:val="000000" w:themeColor="text1"/>
        </w:rPr>
      </w:pPr>
      <w:r>
        <w:rPr>
          <w:color w:val="000000" w:themeColor="text1"/>
        </w:rPr>
        <w:t>Mali, Y. C. G. (2025). Exploring the Use of</w:t>
      </w:r>
      <w:r>
        <w:rPr>
          <w:color w:val="000000" w:themeColor="text1"/>
          <w:spacing w:val="-5"/>
        </w:rPr>
        <w:t xml:space="preserve"> </w:t>
      </w:r>
      <w:r>
        <w:rPr>
          <w:color w:val="000000" w:themeColor="text1"/>
        </w:rPr>
        <w:t>ChatGPT</w:t>
      </w:r>
      <w:r>
        <w:rPr>
          <w:color w:val="000000" w:themeColor="text1"/>
          <w:spacing w:val="-5"/>
        </w:rPr>
        <w:t xml:space="preserve"> </w:t>
      </w:r>
      <w:r>
        <w:rPr>
          <w:color w:val="000000" w:themeColor="text1"/>
        </w:rPr>
        <w:t>in</w:t>
      </w:r>
      <w:r>
        <w:rPr>
          <w:color w:val="000000" w:themeColor="text1"/>
          <w:spacing w:val="-5"/>
        </w:rPr>
        <w:t xml:space="preserve"> </w:t>
      </w:r>
      <w:r>
        <w:rPr>
          <w:color w:val="000000" w:themeColor="text1"/>
        </w:rPr>
        <w:t>EFL/ESL</w:t>
      </w:r>
      <w:r>
        <w:rPr>
          <w:color w:val="000000" w:themeColor="text1"/>
          <w:spacing w:val="-5"/>
        </w:rPr>
        <w:t xml:space="preserve"> </w:t>
      </w:r>
      <w:r>
        <w:rPr>
          <w:color w:val="000000" w:themeColor="text1"/>
        </w:rPr>
        <w:t>Writing</w:t>
      </w:r>
      <w:r>
        <w:rPr>
          <w:color w:val="000000" w:themeColor="text1"/>
          <w:spacing w:val="-5"/>
        </w:rPr>
        <w:t xml:space="preserve"> </w:t>
      </w:r>
      <w:r>
        <w:rPr>
          <w:color w:val="000000" w:themeColor="text1"/>
        </w:rPr>
        <w:t>Classrooms:</w:t>
      </w:r>
      <w:r>
        <w:rPr>
          <w:color w:val="000000" w:themeColor="text1"/>
          <w:spacing w:val="-5"/>
        </w:rPr>
        <w:t xml:space="preserve"> </w:t>
      </w:r>
      <w:r>
        <w:rPr>
          <w:color w:val="000000" w:themeColor="text1"/>
        </w:rPr>
        <w:t xml:space="preserve">A Systematic Literature Review. Journal of Language and Education, 11(2), 137-156. </w:t>
      </w:r>
      <w:hyperlink r:id="rId22">
        <w:r>
          <w:rPr>
            <w:color w:val="000000" w:themeColor="text1"/>
            <w:spacing w:val="-2"/>
          </w:rPr>
          <w:t>https://doi.org/10.17323/jle.2025.21793</w:t>
        </w:r>
      </w:hyperlink>
    </w:p>
    <w:p w14:paraId="1371BB10" w14:textId="77777777" w:rsidR="00C07A90" w:rsidRDefault="008353AD">
      <w:pPr>
        <w:pStyle w:val="BodyText"/>
        <w:tabs>
          <w:tab w:val="left" w:pos="2575"/>
          <w:tab w:val="left" w:pos="3564"/>
          <w:tab w:val="left" w:pos="5393"/>
          <w:tab w:val="left" w:pos="7166"/>
          <w:tab w:val="left" w:pos="8446"/>
        </w:tabs>
        <w:spacing w:line="276" w:lineRule="auto"/>
        <w:ind w:leftChars="200" w:left="1320" w:right="363" w:hanging="880"/>
        <w:rPr>
          <w:color w:val="000000" w:themeColor="text1"/>
        </w:rPr>
      </w:pPr>
      <w:r>
        <w:rPr>
          <w:color w:val="000000" w:themeColor="text1"/>
        </w:rPr>
        <w:t>Nazim, M., Mohammad, T., Alzubi, A. A.</w:t>
      </w:r>
      <w:r>
        <w:rPr>
          <w:color w:val="000000" w:themeColor="text1"/>
          <w:spacing w:val="-5"/>
        </w:rPr>
        <w:t xml:space="preserve"> </w:t>
      </w:r>
      <w:r>
        <w:rPr>
          <w:color w:val="000000" w:themeColor="text1"/>
        </w:rPr>
        <w:t>F.,</w:t>
      </w:r>
      <w:r>
        <w:rPr>
          <w:color w:val="000000" w:themeColor="text1"/>
          <w:spacing w:val="-5"/>
        </w:rPr>
        <w:t xml:space="preserve"> </w:t>
      </w:r>
      <w:r>
        <w:rPr>
          <w:color w:val="000000" w:themeColor="text1"/>
        </w:rPr>
        <w:t>&amp;</w:t>
      </w:r>
      <w:r>
        <w:rPr>
          <w:color w:val="000000" w:themeColor="text1"/>
          <w:spacing w:val="-5"/>
        </w:rPr>
        <w:t xml:space="preserve"> </w:t>
      </w:r>
      <w:r>
        <w:rPr>
          <w:color w:val="000000" w:themeColor="text1"/>
        </w:rPr>
        <w:t>Khan,</w:t>
      </w:r>
      <w:r>
        <w:rPr>
          <w:color w:val="000000" w:themeColor="text1"/>
          <w:spacing w:val="-6"/>
        </w:rPr>
        <w:t xml:space="preserve"> </w:t>
      </w:r>
      <w:r>
        <w:rPr>
          <w:color w:val="000000" w:themeColor="text1"/>
        </w:rPr>
        <w:t>S.</w:t>
      </w:r>
      <w:r>
        <w:rPr>
          <w:color w:val="000000" w:themeColor="text1"/>
          <w:spacing w:val="-5"/>
        </w:rPr>
        <w:t xml:space="preserve"> </w:t>
      </w:r>
      <w:r>
        <w:rPr>
          <w:color w:val="000000" w:themeColor="text1"/>
        </w:rPr>
        <w:t>I.</w:t>
      </w:r>
      <w:r>
        <w:rPr>
          <w:color w:val="000000" w:themeColor="text1"/>
          <w:spacing w:val="-5"/>
        </w:rPr>
        <w:t xml:space="preserve"> </w:t>
      </w:r>
      <w:r>
        <w:rPr>
          <w:color w:val="000000" w:themeColor="text1"/>
        </w:rPr>
        <w:t>(2025).</w:t>
      </w:r>
      <w:r>
        <w:rPr>
          <w:color w:val="000000" w:themeColor="text1"/>
          <w:spacing w:val="-5"/>
        </w:rPr>
        <w:t xml:space="preserve"> </w:t>
      </w:r>
      <w:r>
        <w:rPr>
          <w:color w:val="000000" w:themeColor="text1"/>
        </w:rPr>
        <w:t>Exploring</w:t>
      </w:r>
      <w:r>
        <w:rPr>
          <w:color w:val="000000" w:themeColor="text1"/>
          <w:spacing w:val="-5"/>
        </w:rPr>
        <w:t xml:space="preserve"> </w:t>
      </w:r>
      <w:r>
        <w:rPr>
          <w:color w:val="000000" w:themeColor="text1"/>
        </w:rPr>
        <w:t>ChatGPT</w:t>
      </w:r>
      <w:r>
        <w:rPr>
          <w:color w:val="000000" w:themeColor="text1"/>
          <w:spacing w:val="-5"/>
        </w:rPr>
        <w:t xml:space="preserve"> </w:t>
      </w:r>
      <w:r>
        <w:rPr>
          <w:color w:val="000000" w:themeColor="text1"/>
        </w:rPr>
        <w:t xml:space="preserve">as a virtual assistant for personalized writing experience: EFL students’ insights. </w:t>
      </w:r>
      <w:r>
        <w:rPr>
          <w:color w:val="000000" w:themeColor="text1"/>
          <w:spacing w:val="-2"/>
        </w:rPr>
        <w:t>Advances</w:t>
      </w:r>
      <w:r>
        <w:rPr>
          <w:color w:val="000000" w:themeColor="text1"/>
        </w:rPr>
        <w:tab/>
      </w:r>
      <w:r>
        <w:rPr>
          <w:color w:val="000000" w:themeColor="text1"/>
          <w:spacing w:val="-6"/>
        </w:rPr>
        <w:t>in</w:t>
      </w:r>
      <w:r>
        <w:rPr>
          <w:color w:val="000000" w:themeColor="text1"/>
        </w:rPr>
        <w:tab/>
      </w:r>
      <w:r>
        <w:rPr>
          <w:color w:val="000000" w:themeColor="text1"/>
          <w:spacing w:val="-2"/>
        </w:rPr>
        <w:t>Intelligent</w:t>
      </w:r>
      <w:r>
        <w:rPr>
          <w:color w:val="000000" w:themeColor="text1"/>
        </w:rPr>
        <w:tab/>
      </w:r>
      <w:r>
        <w:rPr>
          <w:color w:val="000000" w:themeColor="text1"/>
          <w:spacing w:val="-2"/>
        </w:rPr>
        <w:t>Systems,</w:t>
      </w:r>
      <w:r>
        <w:rPr>
          <w:color w:val="000000" w:themeColor="text1"/>
        </w:rPr>
        <w:tab/>
      </w:r>
      <w:r>
        <w:rPr>
          <w:color w:val="000000" w:themeColor="text1"/>
          <w:spacing w:val="-2"/>
        </w:rPr>
        <w:t>6(4),</w:t>
      </w:r>
      <w:r>
        <w:rPr>
          <w:color w:val="000000" w:themeColor="text1"/>
        </w:rPr>
        <w:tab/>
      </w:r>
      <w:r>
        <w:rPr>
          <w:color w:val="000000" w:themeColor="text1"/>
          <w:spacing w:val="-2"/>
        </w:rPr>
        <w:t xml:space="preserve">1337–1355. </w:t>
      </w:r>
      <w:hyperlink r:id="rId23">
        <w:r>
          <w:rPr>
            <w:color w:val="000000" w:themeColor="text1"/>
            <w:spacing w:val="-2"/>
          </w:rPr>
          <w:t>https://doi.org/10.62754/ais.v6i4.758</w:t>
        </w:r>
      </w:hyperlink>
    </w:p>
    <w:p w14:paraId="0D2203A5" w14:textId="77777777" w:rsidR="00C07A90" w:rsidRDefault="008353AD">
      <w:pPr>
        <w:pStyle w:val="BodyText"/>
        <w:spacing w:line="276" w:lineRule="auto"/>
        <w:ind w:leftChars="200" w:left="1320" w:right="367" w:hanging="880"/>
        <w:rPr>
          <w:color w:val="000000" w:themeColor="text1"/>
        </w:rPr>
      </w:pPr>
      <w:r>
        <w:rPr>
          <w:color w:val="000000" w:themeColor="text1"/>
        </w:rPr>
        <w:t xml:space="preserve">Nguyen, T. T. A., &amp; Truong, V. (2024). The effects of scaffolding in genre-based writing instructions on EFL learners’ writing performance. European Journal of Education and Pedagogy, 5(1), 23–30. </w:t>
      </w:r>
      <w:hyperlink r:id="rId24">
        <w:r>
          <w:rPr>
            <w:color w:val="000000" w:themeColor="text1"/>
          </w:rPr>
          <w:t>https://doi.org/10.24018/ejedu.2024.5.1.751</w:t>
        </w:r>
      </w:hyperlink>
    </w:p>
    <w:p w14:paraId="6CF29892" w14:textId="77777777" w:rsidR="00C07A90" w:rsidRDefault="00C07A90">
      <w:pPr>
        <w:pStyle w:val="BodyText"/>
        <w:spacing w:line="276" w:lineRule="auto"/>
        <w:ind w:leftChars="200" w:left="1320" w:hanging="880"/>
        <w:rPr>
          <w:color w:val="000000" w:themeColor="text1"/>
        </w:rPr>
        <w:sectPr w:rsidR="00C07A90">
          <w:pgSz w:w="12240" w:h="15840"/>
          <w:pgMar w:top="1340" w:right="1080" w:bottom="280" w:left="1080" w:header="44" w:footer="0" w:gutter="0"/>
          <w:cols w:space="720"/>
        </w:sectPr>
      </w:pPr>
    </w:p>
    <w:p w14:paraId="31D40BC1" w14:textId="77777777" w:rsidR="00C07A90" w:rsidRDefault="008353AD">
      <w:pPr>
        <w:pStyle w:val="BodyText"/>
        <w:spacing w:before="82" w:line="276" w:lineRule="auto"/>
        <w:ind w:leftChars="200" w:left="1320" w:right="366" w:hanging="880"/>
        <w:rPr>
          <w:color w:val="000000" w:themeColor="text1"/>
        </w:rPr>
      </w:pPr>
      <w:r>
        <w:rPr>
          <w:color w:val="000000" w:themeColor="text1"/>
        </w:rPr>
        <w:lastRenderedPageBreak/>
        <w:t>O’Brien-Melford, M. A. P., &amp; Gador, S. C. (2025). ChatGPT as a tool for enhancing explanation letter writing skills. International Journal of English Literature</w:t>
      </w:r>
      <w:r>
        <w:rPr>
          <w:color w:val="000000" w:themeColor="text1"/>
          <w:spacing w:val="-4"/>
        </w:rPr>
        <w:t xml:space="preserve"> </w:t>
      </w:r>
      <w:r>
        <w:rPr>
          <w:color w:val="000000" w:themeColor="text1"/>
        </w:rPr>
        <w:t>and</w:t>
      </w:r>
      <w:r>
        <w:rPr>
          <w:color w:val="000000" w:themeColor="text1"/>
          <w:spacing w:val="-4"/>
        </w:rPr>
        <w:t xml:space="preserve"> </w:t>
      </w:r>
      <w:r>
        <w:rPr>
          <w:color w:val="000000" w:themeColor="text1"/>
        </w:rPr>
        <w:t xml:space="preserve">Social Sciences, 10(6), Article 102. </w:t>
      </w:r>
      <w:hyperlink r:id="rId25">
        <w:r>
          <w:rPr>
            <w:color w:val="000000" w:themeColor="text1"/>
          </w:rPr>
          <w:t>https://doi.org/10.22161/ijels.106.16</w:t>
        </w:r>
      </w:hyperlink>
    </w:p>
    <w:p w14:paraId="2ED3C88D" w14:textId="77777777" w:rsidR="00C07A90" w:rsidRDefault="008353AD">
      <w:pPr>
        <w:pStyle w:val="BodyText"/>
        <w:spacing w:line="276" w:lineRule="auto"/>
        <w:ind w:leftChars="200" w:left="1320" w:right="358" w:hanging="880"/>
        <w:rPr>
          <w:color w:val="000000" w:themeColor="text1"/>
        </w:rPr>
      </w:pPr>
      <w:r>
        <w:rPr>
          <w:color w:val="000000" w:themeColor="text1"/>
        </w:rPr>
        <w:t>Polakova, P., &amp; Ivenz, P. (2024). The impact of ChatGPT feedback</w:t>
      </w:r>
      <w:r>
        <w:rPr>
          <w:color w:val="000000" w:themeColor="text1"/>
          <w:spacing w:val="-8"/>
        </w:rPr>
        <w:t xml:space="preserve"> </w:t>
      </w:r>
      <w:r>
        <w:rPr>
          <w:color w:val="000000" w:themeColor="text1"/>
        </w:rPr>
        <w:t>on</w:t>
      </w:r>
      <w:r>
        <w:rPr>
          <w:color w:val="000000" w:themeColor="text1"/>
          <w:spacing w:val="-7"/>
        </w:rPr>
        <w:t xml:space="preserve"> </w:t>
      </w:r>
      <w:r>
        <w:rPr>
          <w:color w:val="000000" w:themeColor="text1"/>
        </w:rPr>
        <w:t>the</w:t>
      </w:r>
      <w:r>
        <w:rPr>
          <w:color w:val="000000" w:themeColor="text1"/>
          <w:spacing w:val="-7"/>
        </w:rPr>
        <w:t xml:space="preserve"> </w:t>
      </w:r>
      <w:r>
        <w:rPr>
          <w:color w:val="000000" w:themeColor="text1"/>
        </w:rPr>
        <w:t xml:space="preserve">development of EFL students’ writing skills. Cogent Education, 11(1), Article 2410101. </w:t>
      </w:r>
      <w:hyperlink r:id="rId26">
        <w:r>
          <w:rPr>
            <w:color w:val="000000" w:themeColor="text1"/>
            <w:spacing w:val="-2"/>
          </w:rPr>
          <w:t>https://doi.org/10.1080/2331186X.2024.2410101</w:t>
        </w:r>
      </w:hyperlink>
    </w:p>
    <w:p w14:paraId="0DC1901C" w14:textId="77777777" w:rsidR="00C07A90" w:rsidRDefault="008353AD">
      <w:pPr>
        <w:pStyle w:val="BodyText"/>
        <w:ind w:leftChars="200" w:left="1320" w:hanging="880"/>
        <w:rPr>
          <w:color w:val="000000" w:themeColor="text1"/>
        </w:rPr>
      </w:pPr>
      <w:r>
        <w:rPr>
          <w:color w:val="000000" w:themeColor="text1"/>
        </w:rPr>
        <w:t>Pallant, J. (2020). SPSS survival</w:t>
      </w:r>
      <w:r>
        <w:rPr>
          <w:color w:val="000000" w:themeColor="text1"/>
          <w:spacing w:val="-1"/>
        </w:rPr>
        <w:t xml:space="preserve"> </w:t>
      </w:r>
      <w:r>
        <w:rPr>
          <w:color w:val="000000" w:themeColor="text1"/>
        </w:rPr>
        <w:t xml:space="preserve">manual (7th ed.). McGraw-Hill </w:t>
      </w:r>
      <w:r>
        <w:rPr>
          <w:color w:val="000000" w:themeColor="text1"/>
          <w:spacing w:val="-2"/>
        </w:rPr>
        <w:t>Education</w:t>
      </w:r>
    </w:p>
    <w:p w14:paraId="55C22F34" w14:textId="77777777" w:rsidR="00C07A90" w:rsidRDefault="00C07A90">
      <w:pPr>
        <w:pStyle w:val="BodyText"/>
        <w:spacing w:before="5"/>
        <w:ind w:leftChars="200" w:left="1320" w:hanging="880"/>
        <w:rPr>
          <w:color w:val="000000" w:themeColor="text1"/>
        </w:rPr>
      </w:pPr>
    </w:p>
    <w:p w14:paraId="2200E9E0" w14:textId="5EDFF98C" w:rsidR="000369BB" w:rsidRDefault="000369BB">
      <w:pPr>
        <w:pStyle w:val="BodyText"/>
        <w:spacing w:before="0" w:line="276" w:lineRule="auto"/>
        <w:ind w:leftChars="200" w:left="1320" w:right="358" w:hanging="880"/>
        <w:rPr>
          <w:color w:val="000000" w:themeColor="text1"/>
        </w:rPr>
      </w:pPr>
      <w:r w:rsidRPr="000369BB">
        <w:rPr>
          <w:color w:val="000000" w:themeColor="text1"/>
          <w:highlight w:val="yellow"/>
        </w:rPr>
        <w:t xml:space="preserve">Sazandeh, M., &amp; Beiki, M. (2025). Comparing AI and teacher corrective feedback on Iranian EFL learners’ essay writing skills. Asian Journal of Education and Social Studies, 51(5), 473–486. </w:t>
      </w:r>
      <w:hyperlink r:id="rId27" w:history="1">
        <w:r w:rsidRPr="00F91F88">
          <w:rPr>
            <w:rStyle w:val="Hyperlink"/>
            <w:highlight w:val="yellow"/>
          </w:rPr>
          <w:t>https://doi.org/10.9734/ajess/2025/v51i51934</w:t>
        </w:r>
      </w:hyperlink>
      <w:r>
        <w:rPr>
          <w:color w:val="000000" w:themeColor="text1"/>
        </w:rPr>
        <w:t xml:space="preserve"> </w:t>
      </w:r>
    </w:p>
    <w:p w14:paraId="0FC19702" w14:textId="77777777" w:rsidR="000369BB" w:rsidRDefault="000369BB">
      <w:pPr>
        <w:pStyle w:val="BodyText"/>
        <w:spacing w:before="0" w:line="276" w:lineRule="auto"/>
        <w:ind w:leftChars="200" w:left="1320" w:right="358" w:hanging="880"/>
        <w:rPr>
          <w:color w:val="000000" w:themeColor="text1"/>
        </w:rPr>
      </w:pPr>
    </w:p>
    <w:p w14:paraId="1599BE1A" w14:textId="1818F026" w:rsidR="00C07A90" w:rsidRDefault="008353AD">
      <w:pPr>
        <w:pStyle w:val="BodyText"/>
        <w:spacing w:before="0" w:line="276" w:lineRule="auto"/>
        <w:ind w:leftChars="200" w:left="1320" w:right="358" w:hanging="880"/>
        <w:rPr>
          <w:color w:val="000000" w:themeColor="text1"/>
        </w:rPr>
      </w:pPr>
      <w:r>
        <w:rPr>
          <w:color w:val="000000" w:themeColor="text1"/>
        </w:rPr>
        <w:t xml:space="preserve">Song, C., &amp; Song, Y. (2023). Enhancing academic writing skills and motivation: Assessing the efficacy of ChatGPT in AI-assisted language learning for EFL students. Frontiers in Psychology, Educational Psychology, 14, Article 1260843. </w:t>
      </w:r>
      <w:hyperlink r:id="rId28">
        <w:r>
          <w:rPr>
            <w:color w:val="000000" w:themeColor="text1"/>
            <w:spacing w:val="-2"/>
          </w:rPr>
          <w:t>https://doi.org/10.3389/fpsyg.2023.1260843</w:t>
        </w:r>
      </w:hyperlink>
    </w:p>
    <w:p w14:paraId="461EA79D" w14:textId="77777777" w:rsidR="00C07A90" w:rsidRDefault="008353AD">
      <w:pPr>
        <w:pStyle w:val="BodyText"/>
        <w:spacing w:line="276" w:lineRule="auto"/>
        <w:ind w:leftChars="200" w:left="1320" w:right="363" w:hanging="880"/>
        <w:rPr>
          <w:color w:val="000000" w:themeColor="text1"/>
        </w:rPr>
      </w:pPr>
      <w:r>
        <w:rPr>
          <w:color w:val="000000" w:themeColor="text1"/>
        </w:rPr>
        <w:t>Sujinpram, N., &amp; Wannaruk, A. (2024). Enhancing</w:t>
      </w:r>
      <w:r>
        <w:rPr>
          <w:color w:val="000000" w:themeColor="text1"/>
          <w:spacing w:val="-4"/>
        </w:rPr>
        <w:t xml:space="preserve"> </w:t>
      </w:r>
      <w:r>
        <w:rPr>
          <w:color w:val="000000" w:themeColor="text1"/>
        </w:rPr>
        <w:t>business</w:t>
      </w:r>
      <w:r>
        <w:rPr>
          <w:color w:val="000000" w:themeColor="text1"/>
          <w:spacing w:val="-4"/>
        </w:rPr>
        <w:t xml:space="preserve"> </w:t>
      </w:r>
      <w:r>
        <w:rPr>
          <w:color w:val="000000" w:themeColor="text1"/>
        </w:rPr>
        <w:t>email</w:t>
      </w:r>
      <w:r>
        <w:rPr>
          <w:color w:val="000000" w:themeColor="text1"/>
          <w:spacing w:val="-5"/>
        </w:rPr>
        <w:t xml:space="preserve"> </w:t>
      </w:r>
      <w:r>
        <w:rPr>
          <w:color w:val="000000" w:themeColor="text1"/>
        </w:rPr>
        <w:t>writing</w:t>
      </w:r>
      <w:r>
        <w:rPr>
          <w:color w:val="000000" w:themeColor="text1"/>
          <w:spacing w:val="-4"/>
        </w:rPr>
        <w:t xml:space="preserve"> </w:t>
      </w:r>
      <w:r>
        <w:rPr>
          <w:color w:val="000000" w:themeColor="text1"/>
        </w:rPr>
        <w:t>ability</w:t>
      </w:r>
      <w:r>
        <w:rPr>
          <w:color w:val="000000" w:themeColor="text1"/>
          <w:spacing w:val="-4"/>
        </w:rPr>
        <w:t xml:space="preserve"> </w:t>
      </w:r>
      <w:r>
        <w:rPr>
          <w:color w:val="000000" w:themeColor="text1"/>
        </w:rPr>
        <w:t xml:space="preserve">through the integration of genre-based approach and data-driven learning. International Journal of Instruction, 17(3), 255–274. </w:t>
      </w:r>
      <w:hyperlink r:id="rId29">
        <w:r>
          <w:rPr>
            <w:color w:val="000000" w:themeColor="text1"/>
          </w:rPr>
          <w:t>https://doi.org/10.29333/iji.2024.17314a</w:t>
        </w:r>
      </w:hyperlink>
    </w:p>
    <w:p w14:paraId="21110668" w14:textId="053EC833" w:rsidR="00C07A90" w:rsidRDefault="008353AD">
      <w:pPr>
        <w:pStyle w:val="BodyText"/>
        <w:spacing w:line="276" w:lineRule="auto"/>
        <w:ind w:leftChars="200" w:left="1320" w:right="361" w:hanging="880"/>
      </w:pPr>
      <w:r>
        <w:rPr>
          <w:color w:val="000000" w:themeColor="text1"/>
        </w:rPr>
        <w:t xml:space="preserve">Wendimu, S. G., &amp; Gebremariam, H. T. (2024). Teacher-Students Collaboration: Using Guided-Writing Instruction to Assist Learners with Writing Difficulties and Low Motivation to Write. Sage Open, 14(2). </w:t>
      </w:r>
      <w:hyperlink r:id="rId30">
        <w:r>
          <w:rPr>
            <w:color w:val="000000" w:themeColor="text1"/>
          </w:rPr>
          <w:t>https://doi.org/10.1177/21582440241258020</w:t>
        </w:r>
      </w:hyperlink>
      <w:r w:rsidR="000D6B0A">
        <w:t xml:space="preserve"> </w:t>
      </w:r>
    </w:p>
    <w:p w14:paraId="3ABE40C1" w14:textId="20BF5ABB" w:rsidR="000D6B0A" w:rsidRPr="000D6B0A" w:rsidRDefault="000D6B0A" w:rsidP="000D6B0A">
      <w:pPr>
        <w:pStyle w:val="BodyText"/>
        <w:spacing w:line="276" w:lineRule="auto"/>
        <w:ind w:leftChars="200" w:left="1320" w:right="361" w:hanging="880"/>
        <w:rPr>
          <w:highlight w:val="yellow"/>
        </w:rPr>
      </w:pPr>
      <w:r w:rsidRPr="000D6B0A">
        <w:rPr>
          <w:highlight w:val="yellow"/>
        </w:rPr>
        <w:t xml:space="preserve">Barrot, J. S. (2023). Using ChatGPT for second language writing: Pitfalls and potentials. Assessing Writing, 57, 100745. </w:t>
      </w:r>
      <w:hyperlink r:id="rId31" w:history="1">
        <w:r w:rsidRPr="000D6B0A">
          <w:rPr>
            <w:rStyle w:val="Hyperlink"/>
            <w:highlight w:val="yellow"/>
          </w:rPr>
          <w:t>https://doi.org/10.1016/j.asw.2023.100745</w:t>
        </w:r>
      </w:hyperlink>
      <w:r w:rsidRPr="000D6B0A">
        <w:rPr>
          <w:highlight w:val="yellow"/>
        </w:rPr>
        <w:t xml:space="preserve"> </w:t>
      </w:r>
    </w:p>
    <w:p w14:paraId="7EA9F0ED" w14:textId="57386924" w:rsidR="000D6B0A" w:rsidRPr="000D6B0A" w:rsidRDefault="000D6B0A" w:rsidP="000D6B0A">
      <w:pPr>
        <w:pStyle w:val="BodyText"/>
        <w:spacing w:line="276" w:lineRule="auto"/>
        <w:ind w:leftChars="200" w:left="1320" w:right="361" w:hanging="880"/>
        <w:rPr>
          <w:highlight w:val="yellow"/>
        </w:rPr>
      </w:pPr>
      <w:r w:rsidRPr="000D6B0A">
        <w:rPr>
          <w:highlight w:val="yellow"/>
        </w:rPr>
        <w:t xml:space="preserve">Darvin, R. (2025). The need for critical digital literacies in generative AI-mediated L2 writing. Journal of Second Language Writing, 67, 101186. </w:t>
      </w:r>
      <w:hyperlink r:id="rId32" w:history="1">
        <w:r w:rsidRPr="000D6B0A">
          <w:rPr>
            <w:rStyle w:val="Hyperlink"/>
            <w:highlight w:val="yellow"/>
          </w:rPr>
          <w:t>https://doi.org/10.1016/j.jslw.2025.101186</w:t>
        </w:r>
      </w:hyperlink>
      <w:r w:rsidRPr="000D6B0A">
        <w:rPr>
          <w:highlight w:val="yellow"/>
        </w:rPr>
        <w:t xml:space="preserve"> </w:t>
      </w:r>
    </w:p>
    <w:p w14:paraId="268F3AEF" w14:textId="6747530F" w:rsidR="000D6B0A" w:rsidRPr="000D6B0A" w:rsidRDefault="000D6B0A" w:rsidP="000D6B0A">
      <w:pPr>
        <w:pStyle w:val="BodyText"/>
        <w:spacing w:line="276" w:lineRule="auto"/>
        <w:ind w:leftChars="200" w:left="1320" w:right="361" w:hanging="880"/>
        <w:rPr>
          <w:highlight w:val="yellow"/>
        </w:rPr>
      </w:pPr>
      <w:r w:rsidRPr="000D6B0A">
        <w:rPr>
          <w:highlight w:val="yellow"/>
        </w:rPr>
        <w:t xml:space="preserve">García-López, I. M., &amp; Trujillo-Liñán, L. (2025). Ethical and regulatory challenges of generative AI in education: A systematic review. Frontiers in Education, 10, 1565938. </w:t>
      </w:r>
      <w:hyperlink r:id="rId33" w:history="1">
        <w:r w:rsidRPr="000D6B0A">
          <w:rPr>
            <w:rStyle w:val="Hyperlink"/>
            <w:highlight w:val="yellow"/>
          </w:rPr>
          <w:t>https://doi.org/10.3389/feduc.2025.1565938</w:t>
        </w:r>
      </w:hyperlink>
      <w:r w:rsidRPr="000D6B0A">
        <w:rPr>
          <w:highlight w:val="yellow"/>
        </w:rPr>
        <w:t xml:space="preserve"> </w:t>
      </w:r>
    </w:p>
    <w:p w14:paraId="635504FB" w14:textId="43824115" w:rsidR="000D6B0A" w:rsidRDefault="000D6B0A" w:rsidP="000D6B0A">
      <w:pPr>
        <w:pStyle w:val="BodyText"/>
        <w:spacing w:line="276" w:lineRule="auto"/>
        <w:ind w:leftChars="200" w:left="1320" w:right="361" w:hanging="880"/>
      </w:pPr>
      <w:r w:rsidRPr="000D6B0A">
        <w:rPr>
          <w:highlight w:val="yellow"/>
        </w:rPr>
        <w:t xml:space="preserve">Liu, M., Zhang, L. J., &amp; Biebricher, C. (2024). Investigating students’ cognitive processes in generative AI-assisted digital multimodal composing and traditional writing. Computers &amp; Education, 211, 104977. </w:t>
      </w:r>
      <w:hyperlink r:id="rId34" w:history="1">
        <w:r w:rsidRPr="000D6B0A">
          <w:rPr>
            <w:rStyle w:val="Hyperlink"/>
            <w:highlight w:val="yellow"/>
          </w:rPr>
          <w:t>https://doi.org/10.1016/j.compedu.2023.104977</w:t>
        </w:r>
      </w:hyperlink>
      <w:r>
        <w:t xml:space="preserve"> </w:t>
      </w:r>
    </w:p>
    <w:sectPr w:rsidR="000D6B0A">
      <w:pgSz w:w="12240" w:h="15840"/>
      <w:pgMar w:top="1340" w:right="108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89CF" w14:textId="77777777" w:rsidR="001A300F" w:rsidRDefault="001A300F">
      <w:r>
        <w:separator/>
      </w:r>
    </w:p>
  </w:endnote>
  <w:endnote w:type="continuationSeparator" w:id="0">
    <w:p w14:paraId="7E5EE750" w14:textId="77777777" w:rsidR="001A300F" w:rsidRDefault="001A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BA0D" w14:textId="77777777" w:rsidR="001A300F" w:rsidRDefault="001A300F">
      <w:r>
        <w:separator/>
      </w:r>
    </w:p>
  </w:footnote>
  <w:footnote w:type="continuationSeparator" w:id="0">
    <w:p w14:paraId="4CC73315" w14:textId="77777777" w:rsidR="001A300F" w:rsidRDefault="001A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EEB2" w14:textId="77777777" w:rsidR="00C07A90" w:rsidRDefault="008353AD">
    <w:pPr>
      <w:pStyle w:val="BodyText"/>
      <w:spacing w:before="0" w:line="14" w:lineRule="auto"/>
      <w:jc w:val="left"/>
      <w:rPr>
        <w:sz w:val="20"/>
      </w:rPr>
    </w:pPr>
    <w:r>
      <w:rPr>
        <w:noProof/>
        <w:sz w:val="20"/>
      </w:rPr>
      <mc:AlternateContent>
        <mc:Choice Requires="wps">
          <w:drawing>
            <wp:anchor distT="0" distB="0" distL="0" distR="0" simplePos="0" relativeHeight="251661312" behindDoc="1" locked="0" layoutInCell="1" allowOverlap="1" wp14:anchorId="1CA9EAA7" wp14:editId="3D9BB7B9">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19E410BF" w14:textId="77777777" w:rsidR="00C07A90" w:rsidRDefault="008353AD">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CA9EAA7" id="_x0000_t202" coordsize="21600,21600" o:spt="202" path="m,l,21600r21600,l21600,xe">
              <v:stroke joinstyle="miter"/>
              <v:path gradientshapeok="t" o:connecttype="rect"/>
            </v:shapetype>
            <v:shape id="Textbox 1" o:spid="_x0000_s1026" type="#_x0000_t202" style="position:absolute;margin-left:-1pt;margin-top:1.15pt;width:124.45pt;height:15.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" filled="f" stroked="f">
              <v:textbox inset="0,0,0,0">
                <w:txbxContent>
                  <w:p w14:paraId="19E410BF" w14:textId="77777777" w:rsidR="00C07A90" w:rsidRDefault="008353AD">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7CF3"/>
    <w:multiLevelType w:val="singleLevel"/>
    <w:tmpl w:val="48137CF3"/>
    <w:lvl w:ilvl="0">
      <w:start w:val="1"/>
      <w:numFmt w:val="decimal"/>
      <w:suff w:val="space"/>
      <w:lvlText w:val="%1."/>
      <w:lvlJc w:val="left"/>
    </w:lvl>
  </w:abstractNum>
  <w:num w:numId="1" w16cid:durableId="131683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Y0srQ0M7WwtDS3NDVS0lEKTi0uzszPAykwrgUASjLpHCwAAAA="/>
  </w:docVars>
  <w:rsids>
    <w:rsidRoot w:val="00C07A90"/>
    <w:rsid w:val="000369BB"/>
    <w:rsid w:val="000D1E24"/>
    <w:rsid w:val="000D6B0A"/>
    <w:rsid w:val="001A300F"/>
    <w:rsid w:val="004A590C"/>
    <w:rsid w:val="005F6A6A"/>
    <w:rsid w:val="008353AD"/>
    <w:rsid w:val="00865150"/>
    <w:rsid w:val="009039E3"/>
    <w:rsid w:val="00BE72CB"/>
    <w:rsid w:val="00C07A90"/>
    <w:rsid w:val="12A4642E"/>
    <w:rsid w:val="4B63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48E3C7"/>
  <w15:docId w15:val="{342850FF-71F9-4BAC-9FF1-218F3935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left="360"/>
      <w:outlineLvl w:val="0"/>
    </w:pPr>
    <w:rPr>
      <w:b/>
      <w:bCs/>
      <w:sz w:val="24"/>
      <w:szCs w:val="24"/>
    </w:rPr>
  </w:style>
  <w:style w:type="paragraph" w:styleId="Heading2">
    <w:name w:val="heading 2"/>
    <w:basedOn w:val="Normal"/>
    <w:uiPriority w:val="1"/>
    <w:qFormat/>
    <w:pPr>
      <w:ind w:left="360"/>
      <w:outlineLvl w:val="1"/>
    </w:pPr>
    <w:rPr>
      <w:b/>
      <w:bCs/>
      <w:i/>
      <w:iCs/>
      <w:sz w:val="24"/>
      <w:szCs w:val="24"/>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jc w:val="both"/>
    </w:pPr>
    <w:rPr>
      <w:sz w:val="24"/>
      <w:szCs w:val="24"/>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493" w:hanging="400"/>
    </w:pPr>
  </w:style>
  <w:style w:type="paragraph" w:customStyle="1" w:styleId="TableParagraph">
    <w:name w:val="Table Paragraph"/>
    <w:basedOn w:val="Normal"/>
    <w:uiPriority w:val="1"/>
    <w:qFormat/>
    <w:pPr>
      <w:spacing w:before="121"/>
      <w:ind w:left="105"/>
      <w:jc w:val="center"/>
    </w:pPr>
  </w:style>
  <w:style w:type="character" w:styleId="Hyperlink">
    <w:name w:val="Hyperlink"/>
    <w:basedOn w:val="DefaultParagraphFont"/>
    <w:rsid w:val="000369BB"/>
    <w:rPr>
      <w:color w:val="0000FF" w:themeColor="hyperlink"/>
      <w:u w:val="single"/>
    </w:rPr>
  </w:style>
  <w:style w:type="character" w:styleId="UnresolvedMention">
    <w:name w:val="Unresolved Mention"/>
    <w:basedOn w:val="DefaultParagraphFont"/>
    <w:uiPriority w:val="99"/>
    <w:semiHidden/>
    <w:unhideWhenUsed/>
    <w:rsid w:val="0003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0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msu.edu.ph/jels/articles.html" TargetMode="External"/><Relationship Id="rId18" Type="http://schemas.openxmlformats.org/officeDocument/2006/relationships/hyperlink" Target="https://doi.org/10.29333/iji.2025.18218a" TargetMode="External"/><Relationship Id="rId26" Type="http://schemas.openxmlformats.org/officeDocument/2006/relationships/hyperlink" Target="https://doi.org/10.1080/2331186X.2024.2410101" TargetMode="External"/><Relationship Id="rId3" Type="http://schemas.openxmlformats.org/officeDocument/2006/relationships/styles" Target="styles.xml"/><Relationship Id="rId21" Type="http://schemas.openxmlformats.org/officeDocument/2006/relationships/hyperlink" Target="https://doi.org/10.1002/jaal.1373" TargetMode="External"/><Relationship Id="rId34" Type="http://schemas.openxmlformats.org/officeDocument/2006/relationships/hyperlink" Target="https://doi.org/10.1016/j.compedu.2023.104977" TargetMode="External"/><Relationship Id="rId7" Type="http://schemas.openxmlformats.org/officeDocument/2006/relationships/endnotes" Target="endnotes.xml"/><Relationship Id="rId12" Type="http://schemas.openxmlformats.org/officeDocument/2006/relationships/hyperlink" Target="https://doi.org/10.32038/ltrq.2024.43.03" TargetMode="External"/><Relationship Id="rId17" Type="http://schemas.openxmlformats.org/officeDocument/2006/relationships/hyperlink" Target="https://doi.org/10.3390/su16093703" TargetMode="External"/><Relationship Id="rId25" Type="http://schemas.openxmlformats.org/officeDocument/2006/relationships/hyperlink" Target="https://doi.org/10.22161/ijels.106.16" TargetMode="External"/><Relationship Id="rId33" Type="http://schemas.openxmlformats.org/officeDocument/2006/relationships/hyperlink" Target="https://doi.org/10.3389/feduc.2025.1565938" TargetMode="External"/><Relationship Id="rId2" Type="http://schemas.openxmlformats.org/officeDocument/2006/relationships/numbering" Target="numbering.xml"/><Relationship Id="rId16" Type="http://schemas.openxmlformats.org/officeDocument/2006/relationships/hyperlink" Target="https://doi.org/10.1177/13621688241239764" TargetMode="External"/><Relationship Id="rId20" Type="http://schemas.openxmlformats.org/officeDocument/2006/relationships/hyperlink" Target="https://doi.org/10.70730/PGCQ9242" TargetMode="External"/><Relationship Id="rId29" Type="http://schemas.openxmlformats.org/officeDocument/2006/relationships/hyperlink" Target="https://doi.org/10.29333/iji.2024.1731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article/turning-texts-and-emails-lessons-formal-writing/?utm_source=chatgpt.com" TargetMode="External"/><Relationship Id="rId24" Type="http://schemas.openxmlformats.org/officeDocument/2006/relationships/hyperlink" Target="https://doi.org/10.24018/ejedu.2024.5.1.751" TargetMode="External"/><Relationship Id="rId32" Type="http://schemas.openxmlformats.org/officeDocument/2006/relationships/hyperlink" Target="https://doi.org/10.1016/j.jslw.2025.101186" TargetMode="External"/><Relationship Id="rId5" Type="http://schemas.openxmlformats.org/officeDocument/2006/relationships/webSettings" Target="webSettings.xml"/><Relationship Id="rId15" Type="http://schemas.openxmlformats.org/officeDocument/2006/relationships/hyperlink" Target="https://doi.org/10.54855/paic.24614" TargetMode="External"/><Relationship Id="rId23" Type="http://schemas.openxmlformats.org/officeDocument/2006/relationships/hyperlink" Target="https://doi.org/10.62754/ais.v6i4.758" TargetMode="External"/><Relationship Id="rId28" Type="http://schemas.openxmlformats.org/officeDocument/2006/relationships/hyperlink" Target="https://doi.org/10.3389/fpsyg.2023.1260843" TargetMode="External"/><Relationship Id="rId36" Type="http://schemas.openxmlformats.org/officeDocument/2006/relationships/theme" Target="theme/theme1.xml"/><Relationship Id="rId10" Type="http://schemas.openxmlformats.org/officeDocument/2006/relationships/hyperlink" Target="https://doi.org/10.3389/feduc.2025.1614673" TargetMode="External"/><Relationship Id="rId19" Type="http://schemas.openxmlformats.org/officeDocument/2006/relationships/hyperlink" Target="https://doi.org/10.5430/wjel.v14n2p502" TargetMode="External"/><Relationship Id="rId31" Type="http://schemas.openxmlformats.org/officeDocument/2006/relationships/hyperlink" Target="https://doi.org/10.1016/j.asw.2023.100745" TargetMode="External"/><Relationship Id="rId4" Type="http://schemas.openxmlformats.org/officeDocument/2006/relationships/settings" Target="settings.xml"/><Relationship Id="rId9" Type="http://schemas.openxmlformats.org/officeDocument/2006/relationships/hyperlink" Target="https://doi.org/10.22521/edupij.2025.17.345" TargetMode="External"/><Relationship Id="rId14" Type="http://schemas.openxmlformats.org/officeDocument/2006/relationships/hyperlink" Target="https://doi.org/10.22161/ijels.103.97" TargetMode="External"/><Relationship Id="rId22" Type="http://schemas.openxmlformats.org/officeDocument/2006/relationships/hyperlink" Target="https://doi.org/10.17323/jle.2025.21793" TargetMode="External"/><Relationship Id="rId27" Type="http://schemas.openxmlformats.org/officeDocument/2006/relationships/hyperlink" Target="https://doi.org/10.9734/ajess/2025/v51i51934" TargetMode="External"/><Relationship Id="rId30" Type="http://schemas.openxmlformats.org/officeDocument/2006/relationships/hyperlink" Target="https://doi.org/10.1177/21582440241258020"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6662</Words>
  <Characters>37978</Characters>
  <Application>Microsoft Office Word</Application>
  <DocSecurity>0</DocSecurity>
  <Lines>316</Lines>
  <Paragraphs>89</Paragraphs>
  <ScaleCrop>false</ScaleCrop>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Effects of ChatGPT-Assisted Instruction on Professional Email Writing Among Senior High School Learners</dc:title>
  <dc:creator>ADMIN</dc:creator>
  <cp:lastModifiedBy>Editor Manisha</cp:lastModifiedBy>
  <cp:revision>6</cp:revision>
  <dcterms:created xsi:type="dcterms:W3CDTF">2026-01-13T11:20:00Z</dcterms:created>
  <dcterms:modified xsi:type="dcterms:W3CDTF">2026-01-17T15:27:00Z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3-Heights(TM) PDF Security Shell 4.8.25.2 (http://www.pdf-tools.com)</vt:lpwstr>
  </property>
  <property fmtid="{D5CDD505-2E9C-101B-9397-08002B2CF9AE}" pid="5" name="KSOProductBuildVer">
    <vt:lpwstr>1033-12.2.0.23196</vt:lpwstr>
  </property>
  <property fmtid="{D5CDD505-2E9C-101B-9397-08002B2CF9AE}" pid="6" name="ICV">
    <vt:lpwstr>163835DDDD1C49ECAB795379D4EC3D09_12</vt:lpwstr>
  </property>
  <property fmtid="{D5CDD505-2E9C-101B-9397-08002B2CF9AE}" pid="7" name="GrammarlyDocumentId">
    <vt:lpwstr>4c64bc62-61c9-453e-b9a5-eb794da271a0</vt:lpwstr>
  </property>
</Properties>
</file>