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9E" w:rsidRPr="00D1189B" w:rsidRDefault="00D1189B" w:rsidP="00B92272">
      <w:pPr>
        <w:pStyle w:val="Heading2"/>
        <w:jc w:val="both"/>
        <w:rPr>
          <w:sz w:val="28"/>
          <w:szCs w:val="28"/>
        </w:rPr>
      </w:pPr>
      <w:r>
        <w:rPr>
          <w:bCs w:val="0"/>
          <w:sz w:val="28"/>
          <w:szCs w:val="28"/>
          <w:lang w:val="en-GB"/>
        </w:rPr>
        <w:t>Challenges in Reaching Full Coverage of Routine Immunization i</w:t>
      </w:r>
      <w:r w:rsidRPr="00D1189B">
        <w:rPr>
          <w:bCs w:val="0"/>
          <w:sz w:val="28"/>
          <w:szCs w:val="28"/>
          <w:lang w:val="en-GB"/>
        </w:rPr>
        <w:t>n Nigeria:</w:t>
      </w:r>
      <w:r>
        <w:rPr>
          <w:bCs w:val="0"/>
          <w:sz w:val="28"/>
          <w:szCs w:val="28"/>
          <w:lang w:val="en-GB"/>
        </w:rPr>
        <w:t xml:space="preserve"> </w:t>
      </w:r>
      <w:r w:rsidRPr="00D1189B">
        <w:rPr>
          <w:sz w:val="28"/>
          <w:szCs w:val="28"/>
        </w:rPr>
        <w:t>A Review</w:t>
      </w:r>
    </w:p>
    <w:p w:rsidR="00DC74C9" w:rsidRPr="00D1189B" w:rsidRDefault="00DC74C9" w:rsidP="00B92272">
      <w:pPr>
        <w:pStyle w:val="Heading2"/>
        <w:jc w:val="both"/>
      </w:pPr>
      <w:r w:rsidRPr="00D1189B">
        <w:t>Abstract</w:t>
      </w:r>
    </w:p>
    <w:p w:rsidR="00DC74C9" w:rsidRPr="00D1189B" w:rsidRDefault="00DC74C9" w:rsidP="00B92272">
      <w:pPr>
        <w:pStyle w:val="NormalWeb"/>
        <w:jc w:val="both"/>
      </w:pPr>
      <w:r w:rsidRPr="00D1189B">
        <w:t xml:space="preserve">Routine childhood immunization remains one of the most cost-effective public health interventions, yet Nigeria continues to experience substantial gaps in coverage, timeliness, and completion of recommended vaccine series. These gaps are not uniform: they cluster by geography, socioeconomic position, maternal education, service accessibility, and health system performance, and they are amplified by insecurity, mobility, and trust deficits. This review synthesizes evidence on routine immunization coverage and its determinants in Nigeria, focusing on multi-level drivers that shape vaccination initiation, continuation, and completion. We highlight consistent demand-side determinants such as caregiver education and empowerment, household wealth, health service utilization, and information exposure; supply-side determinants such as service readiness, </w:t>
      </w:r>
      <w:bookmarkStart w:id="0" w:name="_GoBack"/>
      <w:bookmarkEnd w:id="0"/>
      <w:r w:rsidRPr="00D1189B">
        <w:t>health worker practices, vaccine logistics, and missed opportunities; and contextual determinants such as place of residence, subnational inequities, and conflict-related disruption. We further discuss the growing programmatic emphasis on “zero-dose” and under-immunized children, and summarize promising intervention directions including community-engaged delivery, facility-based quality improvement to reduce missed opportunities, and targeted demand-generation combined with reliable service availability. The review concludes that Nigeria’s coverage challenges are best understood as an interaction between household vulnerability and system reliability, mediated by local context. Sustainable gains require integrated strategies that strengthen primary health care delivery, improve data-driven microplanning, reduce dropout through continuity of care, and tailor approaches to high-risk geographies and populations.</w:t>
      </w:r>
    </w:p>
    <w:p w:rsidR="00DC74C9" w:rsidRPr="00D1189B" w:rsidRDefault="00DC74C9" w:rsidP="00B92272">
      <w:pPr>
        <w:pStyle w:val="NormalWeb"/>
        <w:jc w:val="both"/>
      </w:pPr>
      <w:r w:rsidRPr="00D1189B">
        <w:rPr>
          <w:rStyle w:val="Strong"/>
        </w:rPr>
        <w:t>Keywords:</w:t>
      </w:r>
      <w:r w:rsidRPr="00D1189B">
        <w:t xml:space="preserve"> routine immunization; Nigeria; coverage; determinants; zero-dose; missed opportunities; equity; primary health care</w:t>
      </w:r>
    </w:p>
    <w:p w:rsidR="00DC74C9" w:rsidRPr="00D1189B" w:rsidRDefault="00DC74C9" w:rsidP="00B92272">
      <w:pPr>
        <w:jc w:val="both"/>
      </w:pPr>
    </w:p>
    <w:p w:rsidR="00DC74C9" w:rsidRPr="00D1189B" w:rsidRDefault="00DC74C9" w:rsidP="00B92272">
      <w:pPr>
        <w:pStyle w:val="Heading2"/>
        <w:jc w:val="both"/>
      </w:pPr>
      <w:r w:rsidRPr="00D1189B">
        <w:t>1. Introduction</w:t>
      </w:r>
    </w:p>
    <w:p w:rsidR="00DC74C9" w:rsidRPr="00D1189B" w:rsidRDefault="00B92272" w:rsidP="00B92272">
      <w:pPr>
        <w:pStyle w:val="NormalWeb"/>
        <w:jc w:val="both"/>
      </w:pPr>
      <w:r w:rsidRPr="00D1189B">
        <w:rPr>
          <w:rFonts w:ascii="Cambria" w:hAnsi="Cambria"/>
          <w:color w:val="1B1B1B"/>
          <w:sz w:val="22"/>
          <w:szCs w:val="28"/>
          <w:shd w:val="clear" w:color="auto" w:fill="FFFFFF"/>
        </w:rPr>
        <w:t>Immunization is the most economical public health initiative to lower child death and morbidity (</w:t>
      </w:r>
      <w:r w:rsidRPr="00D1189B">
        <w:rPr>
          <w:rFonts w:ascii="Arial" w:hAnsi="Arial" w:cs="Arial"/>
          <w:color w:val="222222"/>
          <w:sz w:val="20"/>
          <w:szCs w:val="20"/>
          <w:shd w:val="clear" w:color="auto" w:fill="FFFFFF"/>
        </w:rPr>
        <w:t>Ogunniyi, 2024</w:t>
      </w:r>
      <w:r w:rsidRPr="00D1189B">
        <w:rPr>
          <w:rFonts w:ascii="Cambria" w:hAnsi="Cambria"/>
          <w:color w:val="1B1B1B"/>
          <w:sz w:val="22"/>
          <w:szCs w:val="28"/>
          <w:shd w:val="clear" w:color="auto" w:fill="FFFFFF"/>
        </w:rPr>
        <w:t>).</w:t>
      </w:r>
      <w:r w:rsidR="00DC74C9" w:rsidRPr="00D1189B">
        <w:t>Routine immunization is foundational to child survival and health equity because it prevents morbidity and mortality from vaccine-preventable diseases while strengthening contact between families and primary health care services. Nigeria has made progress in immunization programming over decades, but coverage remains persistently heterogeneous and often insufficient to ensure population-level protection. Evidence from national surveys and multiple analytic studies shows that a child’s probability of being fully immunized in Nigeria is shaped by intersecting influences that operate at the child, caregiver, household, community, and health system levels (Adedokun et al., 2017; Aheto et al., 2022; Obanewa&amp; Newell, 2020).</w:t>
      </w:r>
      <w:r w:rsidRPr="00D1189B">
        <w:rPr>
          <w:rFonts w:ascii="Cambria" w:hAnsi="Cambria"/>
          <w:color w:val="1B1B1B"/>
          <w:sz w:val="22"/>
          <w:szCs w:val="28"/>
          <w:shd w:val="clear" w:color="auto" w:fill="FFFFFF"/>
        </w:rPr>
        <w:t xml:space="preserve">The direct benefits of childhood vaccination in reducing the burden of disease morbidity and mortality in a cost-effective manner are well-established. By preventing episodes of vaccine-preventable diseases, vaccination can also help avert associated out-of-pocket medical expenses, healthcare provider costs, and losses in wages of patients and caregivers. Studies have associated vaccines positively with cognition and school attainment, suggesting benefits of long-term improved economic productivity. New evidence suggests that the measles vaccine may improve immunological memory and prevent co-infections, thereby </w:t>
      </w:r>
      <w:r w:rsidRPr="00D1189B">
        <w:rPr>
          <w:rFonts w:ascii="Cambria" w:hAnsi="Cambria"/>
          <w:color w:val="1B1B1B"/>
          <w:sz w:val="22"/>
          <w:szCs w:val="28"/>
          <w:shd w:val="clear" w:color="auto" w:fill="FFFFFF"/>
        </w:rPr>
        <w:lastRenderedPageBreak/>
        <w:t>forming a protective shield against other infections, and consequently improving health, cognition, schooling and productivity outcomes well into the adolescence and adulthood in low-income settings (</w:t>
      </w:r>
      <w:r w:rsidRPr="00D1189B">
        <w:rPr>
          <w:rFonts w:ascii="Arial" w:hAnsi="Arial" w:cs="Arial"/>
          <w:color w:val="222222"/>
          <w:sz w:val="20"/>
          <w:szCs w:val="20"/>
          <w:shd w:val="clear" w:color="auto" w:fill="FFFFFF"/>
        </w:rPr>
        <w:t>Nandi &amp;Shet, 2020</w:t>
      </w:r>
      <w:r w:rsidRPr="00D1189B">
        <w:rPr>
          <w:rFonts w:ascii="Cambria" w:hAnsi="Cambria"/>
          <w:color w:val="1B1B1B"/>
          <w:sz w:val="22"/>
          <w:szCs w:val="28"/>
          <w:shd w:val="clear" w:color="auto" w:fill="FFFFFF"/>
        </w:rPr>
        <w:t>). </w:t>
      </w:r>
    </w:p>
    <w:p w:rsidR="00DC74C9" w:rsidRPr="00D1189B" w:rsidRDefault="00DC74C9" w:rsidP="00B92272">
      <w:pPr>
        <w:pStyle w:val="NormalWeb"/>
        <w:jc w:val="both"/>
      </w:pPr>
      <w:r w:rsidRPr="00D1189B">
        <w:t xml:space="preserve">In recent years, global immunization policy has sharpened focus on children who have received </w:t>
      </w:r>
      <w:r w:rsidRPr="00D1189B">
        <w:rPr>
          <w:rStyle w:val="Strong"/>
          <w:b w:val="0"/>
        </w:rPr>
        <w:t>no routine vaccines</w:t>
      </w:r>
      <w:r w:rsidRPr="00D1189B">
        <w:t xml:space="preserve"> (commonly termed </w:t>
      </w:r>
      <w:r w:rsidRPr="00D1189B">
        <w:rPr>
          <w:rStyle w:val="Strong"/>
          <w:b w:val="0"/>
        </w:rPr>
        <w:t>zero-dose</w:t>
      </w:r>
      <w:r w:rsidRPr="00D1189B">
        <w:t>) and those who start but do not complete schedules (under-immunized or dropout). Within Nigeria, this framing is programmatically useful because it shifts attention from national averages toward identifying who is missed, where they live, and why services do not reach them consistently (Mahachi et al., 2022; Mohammed et al., 2024).</w:t>
      </w:r>
      <w:r w:rsidR="00B92272" w:rsidRPr="00D1189B">
        <w:rPr>
          <w:rFonts w:ascii="Cambria" w:hAnsi="Cambria"/>
          <w:color w:val="1B1B1B"/>
          <w:sz w:val="22"/>
          <w:szCs w:val="28"/>
          <w:shd w:val="clear" w:color="auto" w:fill="FFFFFF"/>
        </w:rPr>
        <w:t>With the improvements in vaccination rates and reduction in child mortality, future changes in the global child health policy can be envisaged in three broad areas. First, as vaccine coverage improves, and there is increasing protection of both vaccinated and unvaccinated populations through the phenomenon of community immunity, we are likely to see fewer vaccine-preventable diseases in the general population (</w:t>
      </w:r>
      <w:r w:rsidR="00B92272" w:rsidRPr="00D1189B">
        <w:rPr>
          <w:rStyle w:val="HTMLCite"/>
          <w:rFonts w:ascii="Cambria" w:hAnsi="Cambria"/>
          <w:i w:val="0"/>
          <w:iCs w:val="0"/>
          <w:color w:val="1B1B1B"/>
          <w:sz w:val="22"/>
          <w:szCs w:val="26"/>
          <w:shd w:val="clear" w:color="auto" w:fill="FFFFFF"/>
        </w:rPr>
        <w:t xml:space="preserve">Jalloh et al., </w:t>
      </w:r>
      <w:r w:rsidR="00A90A14" w:rsidRPr="00D1189B">
        <w:rPr>
          <w:rStyle w:val="HTMLCite"/>
          <w:rFonts w:ascii="Cambria" w:hAnsi="Cambria"/>
          <w:i w:val="0"/>
          <w:iCs w:val="0"/>
          <w:color w:val="1B1B1B"/>
          <w:sz w:val="22"/>
          <w:szCs w:val="26"/>
          <w:shd w:val="clear" w:color="auto" w:fill="FFFFFF"/>
        </w:rPr>
        <w:t>2018</w:t>
      </w:r>
      <w:r w:rsidR="00B92272" w:rsidRPr="00D1189B">
        <w:rPr>
          <w:rFonts w:ascii="Cambria" w:hAnsi="Cambria"/>
          <w:color w:val="1B1B1B"/>
          <w:sz w:val="22"/>
          <w:szCs w:val="28"/>
          <w:shd w:val="clear" w:color="auto" w:fill="FFFFFF"/>
        </w:rPr>
        <w:t>).</w:t>
      </w:r>
    </w:p>
    <w:p w:rsidR="00B92272" w:rsidRPr="00D1189B" w:rsidRDefault="00B92272" w:rsidP="00B92272">
      <w:pPr>
        <w:pStyle w:val="NormalWeb"/>
        <w:jc w:val="both"/>
      </w:pPr>
    </w:p>
    <w:p w:rsidR="00DC74C9" w:rsidRPr="00D1189B" w:rsidRDefault="00DC74C9" w:rsidP="00B92272">
      <w:pPr>
        <w:pStyle w:val="Heading3"/>
        <w:jc w:val="both"/>
      </w:pPr>
      <w:r w:rsidRPr="00D1189B">
        <w:t>1.2 Scope and objectives</w:t>
      </w:r>
    </w:p>
    <w:p w:rsidR="00DC74C9" w:rsidRPr="00D1189B" w:rsidRDefault="00DC74C9" w:rsidP="00B92272">
      <w:pPr>
        <w:pStyle w:val="NormalWeb"/>
        <w:jc w:val="both"/>
      </w:pPr>
      <w:r w:rsidRPr="00D1189B">
        <w:t xml:space="preserve">This review focuses on </w:t>
      </w:r>
      <w:r w:rsidRPr="00D1189B">
        <w:rPr>
          <w:rStyle w:val="Strong"/>
          <w:b w:val="0"/>
        </w:rPr>
        <w:t>routine childhood immunization coverage and its determinants in Nigeria</w:t>
      </w:r>
      <w:r w:rsidRPr="00D1189B">
        <w:t>, emphasizing:</w:t>
      </w:r>
      <w:r w:rsidRPr="00D1189B">
        <w:br/>
        <w:t>(i) what the literature indicates about coverage patterns and subnational inequities;</w:t>
      </w:r>
      <w:r w:rsidRPr="00D1189B">
        <w:br/>
        <w:t>(ii) determinants of vaccination initiation, timeliness, and completion across multiple levels;</w:t>
      </w:r>
      <w:r w:rsidRPr="00D1189B">
        <w:br/>
        <w:t>(iii) Nigeria-specific evidence on missed opportunities and service delivery barriers; and</w:t>
      </w:r>
      <w:r w:rsidRPr="00D1189B">
        <w:br/>
        <w:t>(iv) implications for policy and research aimed at reducing zero-dose prevalence and improving completion.</w:t>
      </w:r>
    </w:p>
    <w:p w:rsidR="00DC74C9" w:rsidRPr="00D1189B" w:rsidRDefault="00DC74C9" w:rsidP="00B92272">
      <w:pPr>
        <w:jc w:val="both"/>
      </w:pPr>
    </w:p>
    <w:p w:rsidR="00DC74C9" w:rsidRPr="00D1189B" w:rsidRDefault="00DC74C9" w:rsidP="00B92272">
      <w:pPr>
        <w:pStyle w:val="Heading2"/>
        <w:jc w:val="both"/>
      </w:pPr>
      <w:r w:rsidRPr="00D1189B">
        <w:t>2. Methods for literature selection</w:t>
      </w:r>
    </w:p>
    <w:p w:rsidR="00DC74C9" w:rsidRPr="00D1189B" w:rsidRDefault="00DC74C9" w:rsidP="00B92272">
      <w:pPr>
        <w:pStyle w:val="Heading3"/>
        <w:jc w:val="both"/>
      </w:pPr>
      <w:r w:rsidRPr="00D1189B">
        <w:t>2.1 Databases and sources</w:t>
      </w:r>
    </w:p>
    <w:p w:rsidR="00DC74C9" w:rsidRPr="00D1189B" w:rsidRDefault="00DC74C9" w:rsidP="00B92272">
      <w:pPr>
        <w:pStyle w:val="NormalWeb"/>
        <w:jc w:val="both"/>
      </w:pPr>
      <w:r w:rsidRPr="00D1189B">
        <w:t xml:space="preserve">A targeted literature search was conducted in </w:t>
      </w:r>
      <w:r w:rsidRPr="00D1189B">
        <w:rPr>
          <w:rStyle w:val="Strong"/>
          <w:b w:val="0"/>
        </w:rPr>
        <w:t>PubMed/MEDLINE</w:t>
      </w:r>
      <w:r w:rsidRPr="00D1189B">
        <w:rPr>
          <w:b/>
        </w:rPr>
        <w:t xml:space="preserve">, </w:t>
      </w:r>
      <w:r w:rsidRPr="00D1189B">
        <w:rPr>
          <w:rStyle w:val="Strong"/>
          <w:b w:val="0"/>
        </w:rPr>
        <w:t>Scopus</w:t>
      </w:r>
      <w:r w:rsidRPr="00D1189B">
        <w:t>, and publisher platforms for key immunization journals. We also used open-access repositories for full-text retrieval when available.</w:t>
      </w:r>
    </w:p>
    <w:p w:rsidR="00DC74C9" w:rsidRPr="00D1189B" w:rsidRDefault="00DC74C9" w:rsidP="00B92272">
      <w:pPr>
        <w:pStyle w:val="Heading3"/>
        <w:jc w:val="both"/>
      </w:pPr>
      <w:r w:rsidRPr="00D1189B">
        <w:t>2.2 Search strings and date range</w:t>
      </w:r>
    </w:p>
    <w:p w:rsidR="00DC74C9" w:rsidRPr="00D1189B" w:rsidRDefault="00DC74C9" w:rsidP="00B92272">
      <w:pPr>
        <w:pStyle w:val="NormalWeb"/>
        <w:jc w:val="both"/>
      </w:pPr>
      <w:r w:rsidRPr="00D1189B">
        <w:t>Searches were conducted using combinations of:</w:t>
      </w:r>
      <w:r w:rsidRPr="00D1189B">
        <w:br/>
        <w:t>“Nigeria” AND (“routine immunization” OR immunisation OR vaccination) AND (coverage OR determinant* OR inequ* OR “zero-dose” OR dropout OR “missed opportunities” OR timeliness).</w:t>
      </w:r>
      <w:r w:rsidRPr="00D1189B">
        <w:br/>
        <w:t xml:space="preserve">The primary date range emphasized </w:t>
      </w:r>
      <w:r w:rsidRPr="00D1189B">
        <w:rPr>
          <w:rStyle w:val="Strong"/>
        </w:rPr>
        <w:t>2017–2025</w:t>
      </w:r>
      <w:r w:rsidRPr="00D1189B">
        <w:t>, while allowing inclusion of earlier Nigeria-specific studies when they were repeatedly cited as foundational for determinants frameworks or baseline patterns.</w:t>
      </w:r>
    </w:p>
    <w:p w:rsidR="00DC74C9" w:rsidRPr="00D1189B" w:rsidRDefault="00DC74C9" w:rsidP="00B92272">
      <w:pPr>
        <w:pStyle w:val="Heading3"/>
        <w:jc w:val="both"/>
      </w:pPr>
      <w:r w:rsidRPr="00D1189B">
        <w:t>2.3 Inclusion and exclusion logic</w:t>
      </w:r>
    </w:p>
    <w:p w:rsidR="00DC74C9" w:rsidRPr="00D1189B" w:rsidRDefault="00DC74C9" w:rsidP="00B92272">
      <w:pPr>
        <w:pStyle w:val="NormalWeb"/>
        <w:jc w:val="both"/>
      </w:pPr>
      <w:r w:rsidRPr="00D1189B">
        <w:lastRenderedPageBreak/>
        <w:t>Included articles were: peer-reviewed empirical studies, systematic/scoping reviews, or trials addressing routine childhood immunization coverage and/or determinants in Nigeria, with clear methods and reported outcomes. Excluded items were: editorials without primary data, studies not specific to Nigeria (unless used solely for conceptual framing), and non-routine vaccination topics that did not connect to routine childhood programs.</w:t>
      </w:r>
    </w:p>
    <w:p w:rsidR="00DC74C9" w:rsidRPr="00D1189B" w:rsidRDefault="00DC74C9" w:rsidP="00B92272">
      <w:pPr>
        <w:pStyle w:val="Heading3"/>
        <w:jc w:val="both"/>
      </w:pPr>
      <w:r w:rsidRPr="00D1189B">
        <w:t>2.4 Synthesis approach</w:t>
      </w:r>
    </w:p>
    <w:p w:rsidR="00DC74C9" w:rsidRPr="00D1189B" w:rsidRDefault="00DC74C9" w:rsidP="00B92272">
      <w:pPr>
        <w:pStyle w:val="NormalWeb"/>
        <w:jc w:val="both"/>
      </w:pPr>
      <w:r w:rsidRPr="00D1189B">
        <w:t>Evidence was synthesized narratively and organized into a multi-level determinants structure (individual/household/community/health system) and a programmatic pathway structure (initiation → continuation → completion), drawing on recurrent determinants and Nigeria-specific delivery constraints reported across study designs.</w:t>
      </w:r>
    </w:p>
    <w:p w:rsidR="00DC74C9" w:rsidRPr="00D1189B" w:rsidRDefault="00DC74C9" w:rsidP="00B92272">
      <w:pPr>
        <w:jc w:val="both"/>
      </w:pPr>
    </w:p>
    <w:p w:rsidR="000E709D" w:rsidRPr="00D1189B" w:rsidRDefault="000E709D" w:rsidP="00B922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1189B">
        <w:rPr>
          <w:rFonts w:ascii="Times New Roman" w:eastAsia="Times New Roman" w:hAnsi="Times New Roman" w:cs="Times New Roman"/>
          <w:b/>
          <w:bCs/>
          <w:sz w:val="36"/>
          <w:szCs w:val="36"/>
          <w:lang w:val="en-US"/>
        </w:rPr>
        <w:t>3. Routine immunization coverage in Nigeria: patterns and measurement considerations</w:t>
      </w:r>
    </w:p>
    <w:p w:rsidR="000E709D" w:rsidRPr="00D1189B" w:rsidRDefault="000E709D" w:rsidP="00B922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1189B">
        <w:rPr>
          <w:rFonts w:ascii="Times New Roman" w:eastAsia="Times New Roman" w:hAnsi="Times New Roman" w:cs="Times New Roman"/>
          <w:b/>
          <w:bCs/>
          <w:sz w:val="27"/>
          <w:szCs w:val="27"/>
          <w:lang w:val="en-US"/>
        </w:rPr>
        <w:t>3.1. What “coverage” means in Nigerian routine immunization research</w:t>
      </w:r>
    </w:p>
    <w:p w:rsidR="000E709D" w:rsidRPr="00D1189B" w:rsidRDefault="000E709D" w:rsidP="00B92272">
      <w:pPr>
        <w:spacing w:before="100" w:beforeAutospacing="1" w:after="100" w:afterAutospacing="1" w:line="240" w:lineRule="auto"/>
        <w:jc w:val="both"/>
        <w:rPr>
          <w:rFonts w:ascii="Times New Roman" w:eastAsia="Times New Roman" w:hAnsi="Times New Roman" w:cs="Times New Roman"/>
          <w:sz w:val="24"/>
          <w:szCs w:val="24"/>
          <w:lang w:val="en-US"/>
        </w:rPr>
      </w:pPr>
      <w:r w:rsidRPr="00D1189B">
        <w:rPr>
          <w:rFonts w:ascii="Times New Roman" w:eastAsia="Times New Roman" w:hAnsi="Times New Roman" w:cs="Times New Roman"/>
          <w:sz w:val="24"/>
          <w:szCs w:val="24"/>
          <w:lang w:val="en-US"/>
        </w:rPr>
        <w:t>Routine immunization coverage in Nigeria is most commonly operationalized using antigen-specific “received at least one dose” indicators (e.g., BCG, pentavalent/DTP series, measles-containing vaccine) and composite indicators such as “basic” or “full” immunization by a specified age (often 12–23 months). Across Nigeria-focused analyses using Demographic and Health Survey (DHS) data, these indicators consistently reveal substantial shortfalls and marked heterogeneity, with full immunization remaining much lower than single-antigen uptake and with pronounced differences by place of residence and subnational context (Adedokun et al., 2017; Obanewa&amp; Newell, 2020). Multilevel work further underscores that “coverage” is not a single construct but a cluster of related outcomes—initiation (ever vaccinated), completion (series completion), and composite completeness—each with different determinants and policy implications (Aheto et al., 2022).</w:t>
      </w:r>
    </w:p>
    <w:p w:rsidR="000E709D" w:rsidRPr="00D1189B" w:rsidRDefault="000E709D" w:rsidP="00B92272">
      <w:pPr>
        <w:spacing w:before="100" w:beforeAutospacing="1" w:after="100" w:afterAutospacing="1" w:line="240" w:lineRule="auto"/>
        <w:jc w:val="both"/>
        <w:rPr>
          <w:rFonts w:ascii="Times New Roman" w:eastAsia="Times New Roman" w:hAnsi="Times New Roman" w:cs="Times New Roman"/>
          <w:sz w:val="24"/>
          <w:szCs w:val="24"/>
          <w:lang w:val="en-US"/>
        </w:rPr>
      </w:pPr>
      <w:r w:rsidRPr="00D1189B">
        <w:rPr>
          <w:rFonts w:ascii="Times New Roman" w:eastAsia="Times New Roman" w:hAnsi="Times New Roman" w:cs="Times New Roman"/>
          <w:sz w:val="24"/>
          <w:szCs w:val="24"/>
          <w:lang w:val="en-US"/>
        </w:rPr>
        <w:t>A core measurement issue is that immunization schedules evolve (e.g., introduction of newer antigens), while many surveys and secondary analyses retain “traditional EPI” composites for comparability across years and data systems. This creates a trade-off: trend comparability versus alignment with current program priorities. Consequently, interpretations of “coverage gaps” should explicitly state which antigen set is included and whether the endpoint is “ever received,” “received all required doses,” or “received by the recommended age window,” because these choices can materially change both estimates and the equity narrative (Shenton et al., 2020; Cutts et al., 2016).</w:t>
      </w:r>
    </w:p>
    <w:p w:rsidR="000E709D" w:rsidRPr="00D1189B" w:rsidRDefault="000E709D" w:rsidP="00B922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1189B">
        <w:rPr>
          <w:rFonts w:ascii="Times New Roman" w:eastAsia="Times New Roman" w:hAnsi="Times New Roman" w:cs="Times New Roman"/>
          <w:b/>
          <w:bCs/>
          <w:sz w:val="27"/>
          <w:szCs w:val="27"/>
          <w:lang w:val="en-US"/>
        </w:rPr>
        <w:t>3.2. Data sources behind Nigerian coverage estimates and why they diverge</w:t>
      </w:r>
    </w:p>
    <w:p w:rsidR="000E709D" w:rsidRPr="00D1189B" w:rsidRDefault="000E709D" w:rsidP="00B92272">
      <w:pPr>
        <w:spacing w:before="100" w:beforeAutospacing="1" w:after="100" w:afterAutospacing="1" w:line="240" w:lineRule="auto"/>
        <w:jc w:val="both"/>
        <w:rPr>
          <w:rFonts w:ascii="Times New Roman" w:eastAsia="Times New Roman" w:hAnsi="Times New Roman" w:cs="Times New Roman"/>
          <w:sz w:val="24"/>
          <w:szCs w:val="24"/>
          <w:lang w:val="en-US"/>
        </w:rPr>
      </w:pPr>
      <w:r w:rsidRPr="00D1189B">
        <w:rPr>
          <w:rFonts w:ascii="Times New Roman" w:eastAsia="Times New Roman" w:hAnsi="Times New Roman" w:cs="Times New Roman"/>
          <w:sz w:val="24"/>
          <w:szCs w:val="24"/>
          <w:lang w:val="en-US"/>
        </w:rPr>
        <w:t xml:space="preserve">Nigeria’s coverage estimates typically come from two broad sources: routine administrative reports and household surveys. Administrative reporting is attractive for program monitoring because it is frequent and locally granular; however, denominator inaccuracies (target population estimates), incomplete reporting, and incentives that can bias reporting upward create well-documented limitations for assessing true routine immunization performance (Dunkle et al., 2014). These limitations are not merely technical: they shape how program </w:t>
      </w:r>
      <w:r w:rsidRPr="00D1189B">
        <w:rPr>
          <w:rFonts w:ascii="Times New Roman" w:eastAsia="Times New Roman" w:hAnsi="Times New Roman" w:cs="Times New Roman"/>
          <w:sz w:val="24"/>
          <w:szCs w:val="24"/>
          <w:lang w:val="en-US"/>
        </w:rPr>
        <w:lastRenderedPageBreak/>
        <w:t>managers perceive progress and where they target resources, especially in settings with rapid urban growth or displacement where denominators are unstable (Dunkle et al., 2014; Mohammed et al., 2024).</w:t>
      </w:r>
    </w:p>
    <w:p w:rsidR="000E709D" w:rsidRPr="00D1189B" w:rsidRDefault="000E709D" w:rsidP="00B92272">
      <w:pPr>
        <w:spacing w:before="100" w:beforeAutospacing="1" w:after="100" w:afterAutospacing="1" w:line="240" w:lineRule="auto"/>
        <w:jc w:val="both"/>
        <w:rPr>
          <w:rFonts w:ascii="Times New Roman" w:eastAsia="Times New Roman" w:hAnsi="Times New Roman" w:cs="Times New Roman"/>
          <w:sz w:val="24"/>
          <w:szCs w:val="24"/>
          <w:lang w:val="en-US"/>
        </w:rPr>
      </w:pPr>
      <w:r w:rsidRPr="00D1189B">
        <w:rPr>
          <w:rFonts w:ascii="Times New Roman" w:eastAsia="Times New Roman" w:hAnsi="Times New Roman" w:cs="Times New Roman"/>
          <w:sz w:val="24"/>
          <w:szCs w:val="24"/>
          <w:lang w:val="en-US"/>
        </w:rPr>
        <w:t>Household surveys (DHS and MICS/NICS) are often treated as a more standardized “external” benchmark, but they also differ in sampling design, field procedures, and analytic weighting—features that can yield large fluctuations in national estimates even when underlying program performance changes more gradually. In Nigeria, methodological work shows that state-level weighting can meaningfully influence national vaccination estimates derived from household surveys, highlighting how design and weighting decisions can be mistaken for real program change if they are not transparently reported and interpreted (Dong et al., 2020). This issue is especially important when comparing survey rounds or triangulating multiple survey platforms, because apparent “jumps” in national coverage may partly reflect measurement architecture rather than true shifts in service delivery.</w:t>
      </w:r>
    </w:p>
    <w:p w:rsidR="000E709D" w:rsidRPr="00D1189B" w:rsidRDefault="000E709D" w:rsidP="00B92272">
      <w:pPr>
        <w:spacing w:before="100" w:beforeAutospacing="1" w:after="100" w:afterAutospacing="1" w:line="240" w:lineRule="auto"/>
        <w:jc w:val="both"/>
        <w:rPr>
          <w:rFonts w:ascii="Times New Roman" w:eastAsia="Times New Roman" w:hAnsi="Times New Roman" w:cs="Times New Roman"/>
          <w:sz w:val="24"/>
          <w:szCs w:val="24"/>
          <w:lang w:val="en-US"/>
        </w:rPr>
      </w:pPr>
      <w:r w:rsidRPr="00D1189B">
        <w:rPr>
          <w:rFonts w:ascii="Times New Roman" w:eastAsia="Times New Roman" w:hAnsi="Times New Roman" w:cs="Times New Roman"/>
          <w:sz w:val="24"/>
          <w:szCs w:val="24"/>
          <w:lang w:val="en-US"/>
        </w:rPr>
        <w:t>Subnational and operational-level surveys fill an additional niche. District-level cluster surveys in northern Nigeria, for example, were used to generate operationally relevant estimates and demonstrate the extent of within-region variability that can be masked by national averages, reinforcing that Nigeria’s coverage pattern is best understood as a mosaic of local trajectories rather than a single national curve (Gunnala et al., 2016).</w:t>
      </w:r>
    </w:p>
    <w:p w:rsidR="000E709D" w:rsidRPr="00D1189B" w:rsidRDefault="000E709D" w:rsidP="00B922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1189B">
        <w:rPr>
          <w:rFonts w:ascii="Times New Roman" w:eastAsia="Times New Roman" w:hAnsi="Times New Roman" w:cs="Times New Roman"/>
          <w:b/>
          <w:bCs/>
          <w:sz w:val="27"/>
          <w:szCs w:val="27"/>
          <w:lang w:val="en-US"/>
        </w:rPr>
        <w:t>3.3. Documentation versus recall: how “evidence rules” affect coverage patterns</w:t>
      </w:r>
    </w:p>
    <w:p w:rsidR="000E709D" w:rsidRPr="00D1189B" w:rsidRDefault="000E709D" w:rsidP="00B92272">
      <w:pPr>
        <w:spacing w:before="100" w:beforeAutospacing="1" w:after="100" w:afterAutospacing="1" w:line="240" w:lineRule="auto"/>
        <w:jc w:val="both"/>
        <w:rPr>
          <w:rFonts w:ascii="Times New Roman" w:eastAsia="Times New Roman" w:hAnsi="Times New Roman" w:cs="Times New Roman"/>
          <w:sz w:val="24"/>
          <w:szCs w:val="24"/>
          <w:lang w:val="en-US"/>
        </w:rPr>
      </w:pPr>
      <w:r w:rsidRPr="00D1189B">
        <w:rPr>
          <w:rFonts w:ascii="Times New Roman" w:eastAsia="Times New Roman" w:hAnsi="Times New Roman" w:cs="Times New Roman"/>
          <w:sz w:val="24"/>
          <w:szCs w:val="24"/>
          <w:lang w:val="en-US"/>
        </w:rPr>
        <w:t>A critical determinant of measured coverage is the evidence hierarchy used to classify a child as vaccinated. Surveys often rely on home-based records (vaccination cards) where available, supplemented by caregiver recall when cards are missing. Yet card retention is socially patterned and programmatically influenced, meaning that “card-only” estimates can understate coverage in populations where documentation is poorly retained, while “card + recall” can overstate coverage if recall is imperfect or systematically biased (Dansereau et al., 2020; Akwataghibe et al., 2019). Empirically, Nigerian mixed-method evidence illustrates how card availability can be low and how coverage estimates can rise sharply when recall is added, creating a measurement sensitivity that must be explicitly stated in any interpretation of trends and inequities (Akwataghibe et al., 2019).</w:t>
      </w:r>
    </w:p>
    <w:p w:rsidR="000E709D" w:rsidRPr="00D1189B" w:rsidRDefault="000E709D" w:rsidP="00B92272">
      <w:pPr>
        <w:spacing w:before="100" w:beforeAutospacing="1" w:after="100" w:afterAutospacing="1" w:line="240" w:lineRule="auto"/>
        <w:jc w:val="both"/>
        <w:rPr>
          <w:rFonts w:ascii="Times New Roman" w:eastAsia="Times New Roman" w:hAnsi="Times New Roman" w:cs="Times New Roman"/>
          <w:sz w:val="24"/>
          <w:szCs w:val="24"/>
          <w:lang w:val="en-US"/>
        </w:rPr>
      </w:pPr>
      <w:r w:rsidRPr="00D1189B">
        <w:rPr>
          <w:rFonts w:ascii="Times New Roman" w:eastAsia="Times New Roman" w:hAnsi="Times New Roman" w:cs="Times New Roman"/>
          <w:sz w:val="24"/>
          <w:szCs w:val="24"/>
          <w:lang w:val="en-US"/>
        </w:rPr>
        <w:t xml:space="preserve">The implications extend beyond point estimates. If card retention is higher among wealthier, more educated, or more urban households, then documentation-based evidence rules can exaggerate measured inequality (by undercounting vaccination among groups with weaker documentation). Conversely, if recall differs systematically by caregiver knowledge, exposure to counseling, or salience of clinic contacts, recall-based classification can introduce its own biases, especially for multi-dose series where dose number is harder to remember (Dansereau et al., 2020). Communication processes and frontline practices that encourage card use and reinforce schedule understanding therefore influence not only true uptake but also the </w:t>
      </w:r>
      <w:r w:rsidRPr="00D1189B">
        <w:rPr>
          <w:rFonts w:ascii="Times New Roman" w:eastAsia="Times New Roman" w:hAnsi="Times New Roman" w:cs="Times New Roman"/>
          <w:i/>
          <w:iCs/>
          <w:sz w:val="24"/>
          <w:szCs w:val="24"/>
          <w:lang w:val="en-US"/>
        </w:rPr>
        <w:t>measured</w:t>
      </w:r>
      <w:r w:rsidRPr="00D1189B">
        <w:rPr>
          <w:rFonts w:ascii="Times New Roman" w:eastAsia="Times New Roman" w:hAnsi="Times New Roman" w:cs="Times New Roman"/>
          <w:sz w:val="24"/>
          <w:szCs w:val="24"/>
          <w:lang w:val="en-US"/>
        </w:rPr>
        <w:t xml:space="preserve"> uptake, because they shape both caregiver knowledge and documentation completeness (Oku et al., 2017).</w:t>
      </w:r>
    </w:p>
    <w:p w:rsidR="000E709D" w:rsidRPr="00D1189B" w:rsidRDefault="000E709D" w:rsidP="00B922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1189B">
        <w:rPr>
          <w:rFonts w:ascii="Times New Roman" w:eastAsia="Times New Roman" w:hAnsi="Times New Roman" w:cs="Times New Roman"/>
          <w:b/>
          <w:bCs/>
          <w:sz w:val="27"/>
          <w:szCs w:val="27"/>
          <w:lang w:val="en-US"/>
        </w:rPr>
        <w:t>3.4. Beyond “received”: completion, dropout, timeliness, and coverage in difficult contexts</w:t>
      </w:r>
    </w:p>
    <w:p w:rsidR="000E709D" w:rsidRPr="00D1189B" w:rsidRDefault="000E709D" w:rsidP="00B92272">
      <w:pPr>
        <w:spacing w:before="100" w:beforeAutospacing="1" w:after="100" w:afterAutospacing="1" w:line="240" w:lineRule="auto"/>
        <w:jc w:val="both"/>
        <w:rPr>
          <w:rFonts w:ascii="Times New Roman" w:eastAsia="Times New Roman" w:hAnsi="Times New Roman" w:cs="Times New Roman"/>
          <w:sz w:val="24"/>
          <w:szCs w:val="24"/>
          <w:lang w:val="en-US"/>
        </w:rPr>
      </w:pPr>
      <w:r w:rsidRPr="00D1189B">
        <w:rPr>
          <w:rFonts w:ascii="Times New Roman" w:eastAsia="Times New Roman" w:hAnsi="Times New Roman" w:cs="Times New Roman"/>
          <w:sz w:val="24"/>
          <w:szCs w:val="24"/>
          <w:lang w:val="en-US"/>
        </w:rPr>
        <w:lastRenderedPageBreak/>
        <w:t>Nigeria’s coverage pattern is commonly described using initiation and completion gaps, with multi-dose series (such as pentavalent/DTP) revealing dropout between first contact and series completion. Regional and residence-based disparities are consistently prominent: analyses across multiple DHS rounds emphasize the role of place of residence, with persistent gaps between and within urban and rural contexts and evidence that national improvements can conceal stagnation in specific geographies (Obanewa&amp; Newell, 2020; Adedokun et al., 2017). Multilevel analyses further show that predictors can differ depending on whether the outcome is initiation, completion, or composite completeness, underscoring why single-indicator reporting can mislead targeting decisions (Aheto et al., 2022).</w:t>
      </w:r>
    </w:p>
    <w:p w:rsidR="000E709D" w:rsidRPr="00D1189B" w:rsidRDefault="000E709D" w:rsidP="00B92272">
      <w:pPr>
        <w:spacing w:before="100" w:beforeAutospacing="1" w:after="100" w:afterAutospacing="1" w:line="240" w:lineRule="auto"/>
        <w:jc w:val="both"/>
        <w:rPr>
          <w:rFonts w:ascii="Times New Roman" w:eastAsia="Times New Roman" w:hAnsi="Times New Roman" w:cs="Times New Roman"/>
          <w:sz w:val="24"/>
          <w:szCs w:val="24"/>
          <w:lang w:val="en-US"/>
        </w:rPr>
      </w:pPr>
      <w:r w:rsidRPr="00D1189B">
        <w:rPr>
          <w:rFonts w:ascii="Times New Roman" w:eastAsia="Times New Roman" w:hAnsi="Times New Roman" w:cs="Times New Roman"/>
          <w:sz w:val="24"/>
          <w:szCs w:val="24"/>
          <w:lang w:val="en-US"/>
        </w:rPr>
        <w:t>Equity monitoring that incorporates dropout and multidimensional disadvantage adds nuance to the Nigerian picture. West Africa–wide tracking that includes Nigeria highlights how dropout and equity gaps can persist even when some antigen coverage improves, supporting a shift toward reporting packages of indicators rather than single headline numbers (Wariri et al., 2019). Moreover, disruptions from insecurity, service interruptions, and public health emergencies can change not only uptake but also the reliability of data streams and denominator assumptions, complicating before–after comparisons unless measurement choices are standardized and clearly communicated (Mohammed et al., 2024; Dunkle et al., 2014). Emerging Nigerian literature also emphasizes “zero-dose” framing (children missing first routine doses) as a programmatic priority; from a measurement standpoint, this reframes coverage from “how many completed” to “who is not reached at all,” which is particularly sensitive to sampling, migration, and documentation rules (Mohammed et al., 2024).</w:t>
      </w:r>
    </w:p>
    <w:p w:rsidR="000E709D" w:rsidRPr="00D1189B" w:rsidRDefault="000E709D" w:rsidP="00B92272">
      <w:pPr>
        <w:spacing w:before="100" w:beforeAutospacing="1" w:after="100" w:afterAutospacing="1" w:line="240" w:lineRule="auto"/>
        <w:jc w:val="both"/>
        <w:rPr>
          <w:rFonts w:ascii="Times New Roman" w:eastAsia="Times New Roman" w:hAnsi="Times New Roman" w:cs="Times New Roman"/>
          <w:sz w:val="24"/>
          <w:szCs w:val="24"/>
          <w:lang w:val="en-US"/>
        </w:rPr>
      </w:pPr>
      <w:r w:rsidRPr="00D1189B">
        <w:rPr>
          <w:rFonts w:ascii="Times New Roman" w:eastAsia="Times New Roman" w:hAnsi="Times New Roman" w:cs="Times New Roman"/>
          <w:sz w:val="24"/>
          <w:szCs w:val="24"/>
          <w:lang w:val="en-US"/>
        </w:rPr>
        <w:t>Finally, the broader methodological literature urges explicit reporting of survey design, vaccination ascertainment rules, and analytic choices (including weighting) when making claims about trends or determinants, because these elements directly affect comparability across time and studies (Shenton et al., 2020; Dong et al., 2020; Cutts et al., 2016). For Nigeria, where estimates are frequently used to guide resource allocation across highly diverse subnational contexts, transparent measurement practice is not a stylistic preference but a determinant of whether coverage “patterns” reflect reality or artifact.</w:t>
      </w:r>
    </w:p>
    <w:p w:rsidR="00DC74C9" w:rsidRPr="00D1189B" w:rsidRDefault="00DC74C9" w:rsidP="00B92272">
      <w:pPr>
        <w:pStyle w:val="Heading2"/>
        <w:jc w:val="both"/>
      </w:pPr>
      <w:r w:rsidRPr="00D1189B">
        <w:t>4. Determinants of routine immunization in Nigeria: a multi-level synthesis</w:t>
      </w:r>
    </w:p>
    <w:p w:rsidR="00DC74C9" w:rsidRPr="00D1189B" w:rsidRDefault="00DC74C9" w:rsidP="00B92272">
      <w:pPr>
        <w:pStyle w:val="Heading3"/>
        <w:jc w:val="both"/>
      </w:pPr>
      <w:r w:rsidRPr="00D1189B">
        <w:t>4.1 Child- and birth-related factors</w:t>
      </w:r>
    </w:p>
    <w:p w:rsidR="00DC74C9" w:rsidRPr="00D1189B" w:rsidRDefault="00DC74C9" w:rsidP="00B92272">
      <w:pPr>
        <w:pStyle w:val="NormalWeb"/>
        <w:jc w:val="both"/>
      </w:pPr>
      <w:r w:rsidRPr="00D1189B">
        <w:t>Child-level factors in Nigerian analyses often include birth order, age, and sex, though the most policy-relevant pathway is how child and birth characteristics interact with care-seeking and household constraints. Higher birth order may dilute time and resources, particularly when combined with poverty and limited support systems, increasing risk of incomplete vaccination. Where place of delivery and early postnatal contacts are measured, they commonly function as “gateway” exposures: children born in facilities or linked to early maternal/child health services are more likely to enter immunization schedules and remain connected long enough to complete them (Aheto et al., 2022; Adedokun et al., 2017).</w:t>
      </w:r>
    </w:p>
    <w:p w:rsidR="00DC74C9" w:rsidRPr="00D1189B" w:rsidRDefault="00DC74C9" w:rsidP="00B92272">
      <w:pPr>
        <w:pStyle w:val="Heading3"/>
        <w:jc w:val="both"/>
      </w:pPr>
      <w:r w:rsidRPr="00D1189B">
        <w:t>4.2 Caregiver education, knowledge, and agency</w:t>
      </w:r>
    </w:p>
    <w:p w:rsidR="00DC74C9" w:rsidRPr="00D1189B" w:rsidRDefault="00DC74C9" w:rsidP="00B92272">
      <w:pPr>
        <w:pStyle w:val="NormalWeb"/>
        <w:jc w:val="both"/>
      </w:pPr>
      <w:r w:rsidRPr="00D1189B">
        <w:t xml:space="preserve">Across Nigeria-focused studies, caregiver education is among the most consistent predictors of immunization outcomes, plausibly acting through improved health literacy, navigation </w:t>
      </w:r>
      <w:r w:rsidRPr="00D1189B">
        <w:lastRenderedPageBreak/>
        <w:t>skills, and empowerment in household decision-making (Adedokun et al., 2017; Olufadewa et al., 2024). Education also increases the likelihood that caregivers can interpret immunization schedules, remember appointment timing, and evaluate conflicting information. However, education is not merely an “individual trait”; it is often a proxy for broader structural advantage, including wealth and proximity to functional services.</w:t>
      </w:r>
    </w:p>
    <w:p w:rsidR="00DC74C9" w:rsidRPr="00D1189B" w:rsidRDefault="00DC74C9" w:rsidP="00B92272">
      <w:pPr>
        <w:pStyle w:val="NormalWeb"/>
        <w:jc w:val="both"/>
      </w:pPr>
      <w:r w:rsidRPr="00D1189B">
        <w:t>Caregiver knowledge and perceived importance of vaccines, as reported in mixed-methods and qualitative work, frequently influence whether families initiate vaccines and whether they persist through disruptions. Qualitative evidence highlights that caregivers interpret vaccination experiences through trust in providers, previous adverse events (real or rumored), community narratives, and perceived respect during service encounters (Akwataghibe et al., 2019; Oku et al., 2017).</w:t>
      </w:r>
    </w:p>
    <w:p w:rsidR="00DC74C9" w:rsidRPr="00D1189B" w:rsidRDefault="00DC74C9" w:rsidP="00B92272">
      <w:pPr>
        <w:pStyle w:val="Heading3"/>
        <w:jc w:val="both"/>
      </w:pPr>
      <w:r w:rsidRPr="00D1189B">
        <w:t>4.3 Household wealth, opportunity costs, and competing priorities</w:t>
      </w:r>
    </w:p>
    <w:p w:rsidR="00DC74C9" w:rsidRPr="00D1189B" w:rsidRDefault="00DC74C9" w:rsidP="00B92272">
      <w:pPr>
        <w:pStyle w:val="NormalWeb"/>
        <w:jc w:val="both"/>
      </w:pPr>
      <w:r w:rsidRPr="00D1189B">
        <w:t>Household wealth gradients are repeatedly observed in Nigeria’s immunization landscape. Wealth operates through transportation affordability, ability to allocate time away from income generation, and capacity to absorb the indirect costs of “free” services (Obanewa&amp; Newell, 2020; Olufadewa et al., 2024). In contexts where caregivers must travel or queue for long periods, opportunity costs become decisive, particularly for precarious livelihoods. This pathway is consistent with broader evidence that service reliability and convenience are critical in translating acceptance into completion.</w:t>
      </w:r>
    </w:p>
    <w:p w:rsidR="00DC74C9" w:rsidRPr="00D1189B" w:rsidRDefault="00DC74C9" w:rsidP="00B92272">
      <w:pPr>
        <w:pStyle w:val="Heading3"/>
        <w:jc w:val="both"/>
      </w:pPr>
      <w:r w:rsidRPr="00D1189B">
        <w:t>4.4 Paternal factors and intra-household decision-making</w:t>
      </w:r>
    </w:p>
    <w:p w:rsidR="00DC74C9" w:rsidRPr="00D1189B" w:rsidRDefault="00DC74C9" w:rsidP="00B92272">
      <w:pPr>
        <w:pStyle w:val="NormalWeb"/>
        <w:jc w:val="both"/>
      </w:pPr>
      <w:r w:rsidRPr="00D1189B">
        <w:t>While maternal factors dominate much of the immunization determinants literature, recent Nigeria-specific evidence indicates that paternal characteristics—education, involvement, and decision-making dynamics—may be relevant predictors of child vaccination, especially in contexts where fathers significantly influence health decisions or control financial resources (Azubuike &amp;Ardelt, 2025). This does not diminish maternal agency; rather, it suggests that household decision-making is relational and that strategies which engage both parents may strengthen uptake and continuity.</w:t>
      </w:r>
    </w:p>
    <w:p w:rsidR="00DC74C9" w:rsidRPr="00D1189B" w:rsidRDefault="00DC74C9" w:rsidP="00B92272">
      <w:pPr>
        <w:pStyle w:val="Heading3"/>
        <w:jc w:val="both"/>
      </w:pPr>
      <w:r w:rsidRPr="00D1189B">
        <w:t>4.5 Community and geographic context: residence, clustering, and inequities</w:t>
      </w:r>
    </w:p>
    <w:p w:rsidR="00DC74C9" w:rsidRPr="00D1189B" w:rsidRDefault="00DC74C9" w:rsidP="00B92272">
      <w:pPr>
        <w:pStyle w:val="NormalWeb"/>
        <w:jc w:val="both"/>
      </w:pPr>
      <w:r w:rsidRPr="00D1189B">
        <w:t>Place-based determinants are central in Nigeria. Urban–rural differences are widely reported, but “urban” itself is heterogeneous; informal settlements can experience constraints similar to rural communities, including weak service readiness, poor information access, and limited continuity of care. Analyses using multiple DHS rounds show that residence is associated with immunization coverage even after adjusting for household characteristics, implying that community context and service environments matter independently (Obanewa&amp; Newell, 2020).</w:t>
      </w:r>
    </w:p>
    <w:p w:rsidR="00DC74C9" w:rsidRPr="00D1189B" w:rsidRDefault="00DC74C9" w:rsidP="00B92272">
      <w:pPr>
        <w:pStyle w:val="NormalWeb"/>
        <w:jc w:val="both"/>
      </w:pPr>
      <w:r w:rsidRPr="00D1189B">
        <w:t>Geospatial analyses also reinforce that under-immunization clusters and is shaped by local health system performance and accessibility. Recent Bayesian spatial work highlights geographic patterns in incomplete vaccination, consistent with a view of immunization as a system outcome rather than solely a household choice (Ahmed et al., 2024). Such clustering implies that targeted microplanning, outreach, and localized system strengthening may yield higher returns than uniform national strategies.</w:t>
      </w:r>
    </w:p>
    <w:p w:rsidR="00DC74C9" w:rsidRPr="00D1189B" w:rsidRDefault="00DC74C9" w:rsidP="00B92272">
      <w:pPr>
        <w:pStyle w:val="Heading3"/>
        <w:jc w:val="both"/>
      </w:pPr>
      <w:r w:rsidRPr="00D1189B">
        <w:lastRenderedPageBreak/>
        <w:t>4.6 Health system readiness, service quality, and front-line practices</w:t>
      </w:r>
    </w:p>
    <w:p w:rsidR="00DC74C9" w:rsidRPr="00D1189B" w:rsidRDefault="00DC74C9" w:rsidP="00B92272">
      <w:pPr>
        <w:pStyle w:val="NormalWeb"/>
        <w:jc w:val="both"/>
      </w:pPr>
      <w:r w:rsidRPr="00D1189B">
        <w:t>Even when caregivers are willing, immunization completion depends on reliable service delivery: vaccine availability, cold chain integrity, trained staff, and predictable session scheduling. Studies focused on logistics and management practices highlight gaps that can indirectly shape uptake and dropout, particularly when stockouts, canceled sessions, or inconsistent communication undermine caregiver confidence and impose repeat costs of return visits (Adebimpe&amp; Adeoye, 2021; Mohammed et al., 2024).</w:t>
      </w:r>
    </w:p>
    <w:p w:rsidR="00DC74C9" w:rsidRPr="00D1189B" w:rsidRDefault="00DC74C9" w:rsidP="00B92272">
      <w:pPr>
        <w:pStyle w:val="NormalWeb"/>
        <w:jc w:val="both"/>
      </w:pPr>
      <w:r w:rsidRPr="00D1189B">
        <w:t xml:space="preserve">Front-line practices matter as well. If health workers do not screen vaccination status during visits, fail to vaccinate when eligible, or do not communicate clearly about follow-up timing, children can become under-immunized despite contact with the health system. These pathways are captured by the concept of </w:t>
      </w:r>
      <w:r w:rsidRPr="00D1189B">
        <w:rPr>
          <w:rStyle w:val="Strong"/>
          <w:b w:val="0"/>
        </w:rPr>
        <w:t>missed opportunities for vaccination</w:t>
      </w:r>
      <w:r w:rsidRPr="00D1189B">
        <w:t>, which is increasingly recognized as a modifiable service delivery failure rather than a caregiver deficit (Fatiregun et al., 2021).</w:t>
      </w:r>
    </w:p>
    <w:p w:rsidR="00DC74C9" w:rsidRPr="00D1189B" w:rsidRDefault="00DC74C9" w:rsidP="00B92272">
      <w:pPr>
        <w:pStyle w:val="Heading3"/>
        <w:jc w:val="both"/>
      </w:pPr>
      <w:r w:rsidRPr="00D1189B">
        <w:t>4.7 Communication, trust, and demand-side friction</w:t>
      </w:r>
    </w:p>
    <w:p w:rsidR="00DC74C9" w:rsidRPr="00D1189B" w:rsidRDefault="00DC74C9" w:rsidP="00B92272">
      <w:pPr>
        <w:pStyle w:val="NormalWeb"/>
        <w:jc w:val="both"/>
      </w:pPr>
      <w:r w:rsidRPr="00D1189B">
        <w:t>Nigeria’s immunization experience demonstrates that vaccination decisions unfold within a social environment where trust is fragile and misinformation may circulate. Qualitative studies show that caregivers value respectful, clear communication and that inconsistent messaging or poor interpersonal treatment can decrease confidence and reduce follow-through (Oku et al., 2017). Trust is also influenced by community leaders and social networks; consequently, community engagement approaches may be most effective when coupled with reliable service delivery that validates caregiver effort rather than punishes it with repeated disruption (Akwataghibe et al., 2019).</w:t>
      </w:r>
    </w:p>
    <w:p w:rsidR="00DC74C9" w:rsidRPr="00D1189B" w:rsidRDefault="00DC74C9" w:rsidP="00B92272">
      <w:pPr>
        <w:pStyle w:val="Heading3"/>
        <w:jc w:val="both"/>
      </w:pPr>
      <w:r w:rsidRPr="00D1189B">
        <w:t>4.8 Insecurity, mobility, and fragile settings</w:t>
      </w:r>
    </w:p>
    <w:p w:rsidR="00DC74C9" w:rsidRPr="00D1189B" w:rsidRDefault="00DC74C9" w:rsidP="00B92272">
      <w:pPr>
        <w:pStyle w:val="NormalWeb"/>
        <w:jc w:val="both"/>
      </w:pPr>
      <w:r w:rsidRPr="00D1189B">
        <w:t>Insecurity and mobility complicate both demand and supply. Families experiencing displacement, seasonal migration, or conflict exposure may face disruptions in care-seeking and lose continuity with facilities. On the supply side, insecurity can reduce health worker presence, interrupt outreach, and degrade supervision and supply chains. Nigeria-focused synthesis work emphasizes these barriers as part of the broader ecosystem of determinants that concentrate zero-dose and dropout in specific geographies (Mahachi et al., 2022; Mohammed et al., 2024).</w:t>
      </w:r>
    </w:p>
    <w:p w:rsidR="00DC74C9" w:rsidRPr="00D1189B" w:rsidRDefault="00DC74C9" w:rsidP="00B92272">
      <w:pPr>
        <w:jc w:val="both"/>
      </w:pPr>
    </w:p>
    <w:p w:rsidR="00925CAF" w:rsidRPr="00D1189B" w:rsidRDefault="00925CAF" w:rsidP="00B92272">
      <w:pPr>
        <w:pStyle w:val="Heading2"/>
        <w:jc w:val="both"/>
      </w:pPr>
      <w:r w:rsidRPr="00D1189B">
        <w:t>5. Programmatic lens: from initiation to completion</w:t>
      </w:r>
    </w:p>
    <w:p w:rsidR="00925CAF" w:rsidRPr="00D1189B" w:rsidRDefault="00925CAF" w:rsidP="00B92272">
      <w:pPr>
        <w:pStyle w:val="Heading3"/>
        <w:jc w:val="both"/>
      </w:pPr>
      <w:r w:rsidRPr="00D1189B">
        <w:t>5.1. Why “initiation-to-completion” is a useful program frame</w:t>
      </w:r>
    </w:p>
    <w:p w:rsidR="00925CAF" w:rsidRPr="00D1189B" w:rsidRDefault="00925CAF" w:rsidP="00B92272">
      <w:pPr>
        <w:pStyle w:val="NormalWeb"/>
        <w:jc w:val="both"/>
      </w:pPr>
      <w:r w:rsidRPr="00D1189B">
        <w:t xml:space="preserve">Routine immunization performance in Nigeria is often discussed as a single coverage number, but programs operate through a sequence of steps that can break at multiple points. A practical lens is the “immunisation cascade,” which conceptualizes movement from “zero-dose” (no routine vaccines, often proxied by not receiving a first DTP-/penta-containing dose) through initiation, continuation, and completion of the schedule (Cata-Preta et al., 2021). In Nigeria, this cascade logic aligns with multi-indicator evidence showing that </w:t>
      </w:r>
      <w:r w:rsidRPr="00D1189B">
        <w:lastRenderedPageBreak/>
        <w:t>predictors of starting the series (e.g., first pentavalent dose) and completing it (e.g., third pentavalent dose, measles vaccine) do not fully overlap; access-related factors may enable first contact, while service quality, continuity mechanisms, and caregiver constraints often shape dropout (Aheto et al., 2022). Framing performance as a cascade therefore shifts program attention from “coverage gaps” in the abstract toward stage-specific bottlenecks: who is not reached at all, who starts but does not return, and who returns but is not vaccinated due to process failures such as missed screening or stockouts.</w:t>
      </w:r>
    </w:p>
    <w:p w:rsidR="00925CAF" w:rsidRPr="00D1189B" w:rsidRDefault="00925CAF" w:rsidP="00B92272">
      <w:pPr>
        <w:pStyle w:val="Heading3"/>
        <w:jc w:val="both"/>
      </w:pPr>
      <w:r w:rsidRPr="00D1189B">
        <w:t>5.2. Initiation: reaching zero-dose and never-vaccinated children</w:t>
      </w:r>
    </w:p>
    <w:p w:rsidR="00925CAF" w:rsidRPr="00D1189B" w:rsidRDefault="00925CAF" w:rsidP="00B92272">
      <w:pPr>
        <w:pStyle w:val="NormalWeb"/>
        <w:jc w:val="both"/>
      </w:pPr>
      <w:r w:rsidRPr="00D1189B">
        <w:t>At the initiation stage, the central challenge is equitable first contact with vaccination services, particularly among the most socially and geographically disadvantaged populations. High-resolution geospatial analyses using Nigeria’s 2021 survey data show substantial within-country heterogeneity in zero-dose and underimmunized prevalence, with higher burden concentrated in more deprived groups and in parts of the country where access and social determinants cluster (Jean Baptiste et al., 2024). Programmatically, this implies that “national average” strategies are insufficient: microplanning must be explicitly equity-weighted, combining outreach modalities (fixed, outreach, mobile) with locally credible demand creation. Evidence on never-vaccinated Nigerian children underscores that this is not a marginal group; it is socially patterned, often linked with poverty, low maternal education, rural residence, and limited media access, and it is disproportionately concentrated in northern zones (Chido-Amajuoyi et al., 2018). The program implication is that initiation is not only a logistics task (bringing services closer), but also a trust-and-information task, requiring culturally competent community engagement and reduction of indirect costs (time, transport, opportunity cost) that deter first attendance—points also synthesized in Nigeria-focused evidence on barriers and facilitators (Mohammed et al., 2024).</w:t>
      </w:r>
    </w:p>
    <w:p w:rsidR="00925CAF" w:rsidRPr="00D1189B" w:rsidRDefault="00925CAF" w:rsidP="00B92272">
      <w:pPr>
        <w:pStyle w:val="Heading3"/>
        <w:jc w:val="both"/>
      </w:pPr>
      <w:r w:rsidRPr="00D1189B">
        <w:t>5.3. Continuation: managing dropout, timeliness, and service reliability</w:t>
      </w:r>
    </w:p>
    <w:p w:rsidR="00925CAF" w:rsidRPr="00D1189B" w:rsidRDefault="00925CAF" w:rsidP="00B92272">
      <w:pPr>
        <w:pStyle w:val="NormalWeb"/>
        <w:jc w:val="both"/>
      </w:pPr>
      <w:r w:rsidRPr="00D1189B">
        <w:t>Once a child initiates vaccination, completion depends on whether the system reliably supports repeated contacts at the right times. Multi-indicator modeling in Nigeria suggests that determinants related to healthcare access and socio-demographic disadvantage remain important across indicators, but completion is also shaped by factors not fully captured in household surveys—especially dimensions of service quality and community attitudes that influence repeated utilization (Aheto et al., 2022). From a programmatic standpoint, “dropout” is rarely a single-cause phenomenon: it can reflect supply interruptions (vaccine availability, session cancellations), weak appointment systems, unclear caregiver understanding of return dates, and competing household priorities. Timeliness matters because delays can accumulate across the series, increasing the probability that later doses are missed entirely. Nigeria-focused synthesis highlights reminder systems and caregiver-facing communication as recurrent facilitators, while identifying system deficiencies (logistics, staffing, organization of sessions) as persistent barriers that erode continuity (Mohammed et al., 2024). Operationally, continuity improves when facilities run predictable sessions, communicate clearly about next steps, and maintain a functional “defaulter management” loop that is feasible for frontline workers.</w:t>
      </w:r>
    </w:p>
    <w:p w:rsidR="00925CAF" w:rsidRPr="00D1189B" w:rsidRDefault="00925CAF" w:rsidP="00B92272">
      <w:pPr>
        <w:pStyle w:val="Heading3"/>
        <w:jc w:val="both"/>
      </w:pPr>
      <w:r w:rsidRPr="00D1189B">
        <w:t>5.4. Encounter quality: missed opportunities as a preventable “leak” in the cascade</w:t>
      </w:r>
    </w:p>
    <w:p w:rsidR="00925CAF" w:rsidRPr="00D1189B" w:rsidRDefault="00925CAF" w:rsidP="00B92272">
      <w:pPr>
        <w:pStyle w:val="NormalWeb"/>
        <w:jc w:val="both"/>
      </w:pPr>
      <w:r w:rsidRPr="00D1189B">
        <w:lastRenderedPageBreak/>
        <w:t xml:space="preserve">Even when caregivers bring children to health facilities, vaccination may fail if eligibility is not assessed, vaccination cards are not checked, or vaccinators apply false contraindications. Missed opportunities for vaccination (MOV) are therefore a programmatically actionable failure mode because they occur </w:t>
      </w:r>
      <w:r w:rsidRPr="00D1189B">
        <w:rPr>
          <w:rStyle w:val="Emphasis"/>
        </w:rPr>
        <w:t>despite contact</w:t>
      </w:r>
      <w:r w:rsidRPr="00D1189B">
        <w:t xml:space="preserve"> with the health system. In Ondo State, MOV was documented at substantial levels among children visiting facilities, with many missed doses occurring during non-vaccination visits; later doses in the series were also less timely, and gaps in health worker knowledge and caregiver awareness contributed to the problem (Fatiregun et al., 2021). The broader MOV strategy literature emphasizes that routinely screening vaccination status at every encounter and strengthening health worker capacity to interpret schedules and contraindications can yield coverage gains without needing new service delivery platforms (Kaboré et al., 2020). For Nigeria, the cascade implication is direct: MOV reduction acts primarily on the “conversion” step—turning contact into vaccination—and can lower dropout by ensuring that children who do return are not turned away or overlooked.</w:t>
      </w:r>
    </w:p>
    <w:p w:rsidR="00925CAF" w:rsidRPr="00D1189B" w:rsidRDefault="00925CAF" w:rsidP="00B92272">
      <w:pPr>
        <w:pStyle w:val="Heading3"/>
        <w:jc w:val="both"/>
      </w:pPr>
      <w:r w:rsidRPr="00D1189B">
        <w:t>5.5. Completion: tracking, reminders, and data use for last-dose performance</w:t>
      </w:r>
    </w:p>
    <w:p w:rsidR="00925CAF" w:rsidRPr="00D1189B" w:rsidRDefault="00925CAF" w:rsidP="00B92272">
      <w:pPr>
        <w:pStyle w:val="NormalWeb"/>
        <w:jc w:val="both"/>
      </w:pPr>
      <w:r w:rsidRPr="00D1189B">
        <w:t>Completion requires both caregiver follow-through and system memory. One promising continuity lever is structured reminders. A randomized controlled trial in Kano reported substantially higher completeness and timeliness of routine immunization among children whose caregivers received mobile reminders compared with controls, illustrating that relatively low-cost communication tools can strengthen return visits when embedded into routine workflow (Yunusa et al., 2024). However, reminders work best when paired with accurate registers, consistent session delivery, and active defaulter tracing—otherwise messages simply direct caregivers back into an unreliable service environment. Completion-oriented programming should therefore emphasize (i) accurate child tracking across doses, (ii) practical appointment scheduling at the time of vaccination, (iii) community-linked follow-up for missed appointments, and (iv) local review of dropout patterns to target supportive supervision. Because Nigeria’s immunization inequities are spatially and socially concentrated, completion strategies must be equity-sensitive—prioritizing high-burden wards identified through geospatial and administrative data, and aligning supportive interventions (outreach, security-sensitive delivery models where needed, community intermediaries) with the specific constraints documented in different regions (Jean Baptiste et al., 2024; Mohammed et al., 2024).</w:t>
      </w:r>
    </w:p>
    <w:p w:rsidR="00DC74C9" w:rsidRPr="00D1189B" w:rsidRDefault="00DC74C9" w:rsidP="00B92272">
      <w:pPr>
        <w:jc w:val="both"/>
      </w:pPr>
    </w:p>
    <w:p w:rsidR="00DC74C9" w:rsidRPr="00D1189B" w:rsidRDefault="00DC74C9" w:rsidP="00B92272">
      <w:pPr>
        <w:pStyle w:val="Heading2"/>
        <w:jc w:val="both"/>
      </w:pPr>
      <w:r w:rsidRPr="00D1189B">
        <w:t>6. Intervention evidence and promising directions</w:t>
      </w:r>
    </w:p>
    <w:p w:rsidR="00DC74C9" w:rsidRPr="00D1189B" w:rsidRDefault="00DC74C9" w:rsidP="00B92272">
      <w:pPr>
        <w:pStyle w:val="Heading3"/>
        <w:jc w:val="both"/>
      </w:pPr>
      <w:r w:rsidRPr="00D1189B">
        <w:t>6.1 Reducing missed opportunities and improving facility processes</w:t>
      </w:r>
    </w:p>
    <w:p w:rsidR="00DC74C9" w:rsidRPr="00D1189B" w:rsidRDefault="00DC74C9" w:rsidP="00B92272">
      <w:pPr>
        <w:pStyle w:val="NormalWeb"/>
        <w:jc w:val="both"/>
      </w:pPr>
      <w:r w:rsidRPr="00D1189B">
        <w:t>Facility-based strategies that reduce missed opportunities are conceptually attractive because they leverage existing health system contact: if a child visits a facility for any reason and is eligible for vaccines, vaccination should occur unless contraindicated. Evidence from Nigeria highlights that missed opportunities occur substantially and are linked to health worker knowledge gaps, workflow issues, and service organization (Fatiregun et al., 2021). Strengthening screening, integrating vaccination checks into all child visits, and improving staff training and supportive supervision are therefore likely to improve completion, especially for multi-dose series.</w:t>
      </w:r>
    </w:p>
    <w:p w:rsidR="00DC74C9" w:rsidRPr="00D1189B" w:rsidRDefault="00DC74C9" w:rsidP="00B92272">
      <w:pPr>
        <w:pStyle w:val="Heading3"/>
        <w:jc w:val="both"/>
      </w:pPr>
      <w:r w:rsidRPr="00D1189B">
        <w:lastRenderedPageBreak/>
        <w:t>6.2 Reminder systems and caregiver support</w:t>
      </w:r>
    </w:p>
    <w:p w:rsidR="00DC74C9" w:rsidRPr="00D1189B" w:rsidRDefault="00DC74C9" w:rsidP="00B92272">
      <w:pPr>
        <w:pStyle w:val="NormalWeb"/>
        <w:jc w:val="both"/>
      </w:pPr>
      <w:r w:rsidRPr="00D1189B">
        <w:t>Digital and mobile approaches are increasingly evaluated as complements to routine services. A randomized evaluation in northern Nigeria indicates that reminder-style interventions can improve timeliness and completion when paired with functional service delivery, reinforcing that behavioral nudges can be effective when structural barriers are not overwhelming (Yunusa et al., 2024). Such approaches should be designed with attention to language, literacy, phone access, and gendered control of mobile devices, and should be treated as a supplement rather than a substitute for reliable services.</w:t>
      </w:r>
    </w:p>
    <w:p w:rsidR="00DC74C9" w:rsidRPr="00D1189B" w:rsidRDefault="00DC74C9" w:rsidP="00B92272">
      <w:pPr>
        <w:pStyle w:val="Heading3"/>
        <w:jc w:val="both"/>
      </w:pPr>
      <w:r w:rsidRPr="00D1189B">
        <w:t>6.3 Community engagement and trust-building</w:t>
      </w:r>
    </w:p>
    <w:p w:rsidR="00DC74C9" w:rsidRPr="00D1189B" w:rsidRDefault="00DC74C9" w:rsidP="00B92272">
      <w:pPr>
        <w:pStyle w:val="NormalWeb"/>
        <w:jc w:val="both"/>
      </w:pPr>
      <w:r w:rsidRPr="00D1189B">
        <w:t>Mixed-methods and qualitative research consistently indicates that trust and community narratives shape uptake. Community engagement strategies that involve local leaders and adapt messages to community concerns may reduce hesitancy and increase initiation, but they must be synchronized with service reliability so that increased demand is met with consistent supply (Akwataghibe et al., 2019; Oku et al., 2017). When engagement is divorced from delivery, it risks worsening frustration and mistrust.</w:t>
      </w:r>
    </w:p>
    <w:p w:rsidR="00DC74C9" w:rsidRPr="00D1189B" w:rsidRDefault="00DC74C9" w:rsidP="00B92272">
      <w:pPr>
        <w:pStyle w:val="Heading3"/>
        <w:jc w:val="both"/>
      </w:pPr>
      <w:r w:rsidRPr="00D1189B">
        <w:t>6.4 Strengthening logistics and management</w:t>
      </w:r>
    </w:p>
    <w:p w:rsidR="00DC74C9" w:rsidRPr="00D1189B" w:rsidRDefault="00DC74C9" w:rsidP="00B92272">
      <w:pPr>
        <w:pStyle w:val="NormalWeb"/>
        <w:jc w:val="both"/>
      </w:pPr>
      <w:r w:rsidRPr="00D1189B">
        <w:t>Evidence on logistics management underscores that technical “back-end” systems influence “front-end” experience. When vaccine supply is inconsistent or temperature management is weak, session cancellations and stockouts can become routine, translating into dropout and eroding confidence (Adebimpe&amp; Adeoye, 2021). Investments in cold chain, forecasting, distribution, and monitoring—combined with accountability and supportive supervision—are therefore determinants-focused interventions, not merely administrative upgrades.</w:t>
      </w:r>
    </w:p>
    <w:p w:rsidR="00DC74C9" w:rsidRPr="00D1189B" w:rsidRDefault="00DC74C9" w:rsidP="00B92272">
      <w:pPr>
        <w:pStyle w:val="Heading3"/>
        <w:jc w:val="both"/>
      </w:pPr>
      <w:r w:rsidRPr="00D1189B">
        <w:t>6.5 Equity-focused targeting of high-risk geographies</w:t>
      </w:r>
    </w:p>
    <w:p w:rsidR="00DC74C9" w:rsidRPr="00D1189B" w:rsidRDefault="00DC74C9" w:rsidP="00B92272">
      <w:pPr>
        <w:pStyle w:val="NormalWeb"/>
        <w:jc w:val="both"/>
      </w:pPr>
      <w:r w:rsidRPr="00D1189B">
        <w:t>Spatial inequities in incomplete vaccination imply that Nigeria needs strong microplanning and targeted outreach. Bayesian spatial analysis provides tools to identify clusters of under-immunization and prioritize resources, but such targeting must be ethically implemented and paired with community dialogue to avoid stigma (Ahmed et al., 2024). Equity-focused targeting is particularly relevant for hard-to-reach populations, mobile groups, and areas affected by insecurity where conventional facility-based delivery is insufficient.</w:t>
      </w:r>
    </w:p>
    <w:p w:rsidR="00DC74C9" w:rsidRPr="00D1189B" w:rsidRDefault="00DC74C9" w:rsidP="00B92272">
      <w:pPr>
        <w:jc w:val="both"/>
      </w:pPr>
    </w:p>
    <w:p w:rsidR="00DC74C9" w:rsidRPr="00D1189B" w:rsidRDefault="00DC74C9" w:rsidP="00B92272">
      <w:pPr>
        <w:pStyle w:val="Heading2"/>
        <w:jc w:val="both"/>
      </w:pPr>
      <w:r w:rsidRPr="00D1189B">
        <w:t>7. Research gaps and future directions</w:t>
      </w:r>
    </w:p>
    <w:p w:rsidR="00DC74C9" w:rsidRPr="00D1189B" w:rsidRDefault="00DC74C9" w:rsidP="00B92272">
      <w:pPr>
        <w:pStyle w:val="NormalWeb"/>
        <w:jc w:val="both"/>
      </w:pPr>
      <w:r w:rsidRPr="00D1189B">
        <w:t>Nigeria’s immunization evidence base is increasingly sophisticated, but several gaps remain. First, many studies identify correlates of vaccination status without fully disentangling causal mechanisms, which limits intervention precision. Second, more work is needed to understand the interaction between trust, misinformation exposure, and service reliability, particularly in contexts where community experience of governance and security shapes health system credibility. Third, program evaluations should more often distinguish between effects on initiation versus completion, because determinants differ across the immunization pathway (Aheto et al., 2022; Mohammed et al., 2024).</w:t>
      </w:r>
    </w:p>
    <w:p w:rsidR="00DC74C9" w:rsidRPr="00D1189B" w:rsidRDefault="00DC74C9" w:rsidP="00B92272">
      <w:pPr>
        <w:pStyle w:val="NormalWeb"/>
        <w:jc w:val="both"/>
      </w:pPr>
      <w:r w:rsidRPr="00D1189B">
        <w:lastRenderedPageBreak/>
        <w:t>Finally, as attention to zero-dose children increases, there is a risk of narrowing focus to identification metrics rather than solving delivery constraints. Future research should strengthen implementation science approaches that test integrated packages—combining outreach, community engagement, reminder support, and system reliability improvements—using outcomes that capture timeliness, completion, and equity, not only crude coverage.</w:t>
      </w:r>
    </w:p>
    <w:p w:rsidR="00DC74C9" w:rsidRPr="00D1189B" w:rsidRDefault="00DC74C9" w:rsidP="00B92272">
      <w:pPr>
        <w:jc w:val="both"/>
      </w:pPr>
    </w:p>
    <w:p w:rsidR="00DC74C9" w:rsidRPr="00D1189B" w:rsidRDefault="00DC74C9" w:rsidP="00B92272">
      <w:pPr>
        <w:pStyle w:val="Heading2"/>
        <w:jc w:val="both"/>
      </w:pPr>
      <w:r w:rsidRPr="00D1189B">
        <w:t>8. Conclusions</w:t>
      </w:r>
    </w:p>
    <w:p w:rsidR="00925CAF" w:rsidRPr="00D1189B" w:rsidRDefault="00925CAF" w:rsidP="00B92272">
      <w:pPr>
        <w:pStyle w:val="NormalWeb"/>
        <w:numPr>
          <w:ilvl w:val="0"/>
          <w:numId w:val="10"/>
        </w:numPr>
        <w:jc w:val="both"/>
      </w:pPr>
      <w:r w:rsidRPr="00D1189B">
        <w:t>Routine immunization coverage in Nigeria remains uneven, with persistent gaps in initiation, timeliness, and completion that cannot be adequately described by a single national coverage figure.</w:t>
      </w:r>
    </w:p>
    <w:p w:rsidR="00925CAF" w:rsidRPr="00D1189B" w:rsidRDefault="00925CAF" w:rsidP="00B92272">
      <w:pPr>
        <w:pStyle w:val="NormalWeb"/>
        <w:numPr>
          <w:ilvl w:val="0"/>
          <w:numId w:val="10"/>
        </w:numPr>
        <w:jc w:val="both"/>
      </w:pPr>
      <w:r w:rsidRPr="00D1189B">
        <w:t>A cascade perspective—moving from zero-dose to initiation, continuation, and completion—provides a clearer operational framework for diagnosing where children are lost and for matching solutions to stage-specific bottlenecks.</w:t>
      </w:r>
    </w:p>
    <w:p w:rsidR="00925CAF" w:rsidRPr="00D1189B" w:rsidRDefault="00925CAF" w:rsidP="00B92272">
      <w:pPr>
        <w:pStyle w:val="NormalWeb"/>
        <w:numPr>
          <w:ilvl w:val="0"/>
          <w:numId w:val="10"/>
        </w:numPr>
        <w:jc w:val="both"/>
      </w:pPr>
      <w:r w:rsidRPr="00D1189B">
        <w:t>The largest equity challenge lies in reaching children who are never vaccinated and in closing the geographic and socioeconomic clusters where under-immunization is concentrated.</w:t>
      </w:r>
    </w:p>
    <w:p w:rsidR="00925CAF" w:rsidRPr="00D1189B" w:rsidRDefault="00925CAF" w:rsidP="00B92272">
      <w:pPr>
        <w:pStyle w:val="NormalWeb"/>
        <w:numPr>
          <w:ilvl w:val="0"/>
          <w:numId w:val="10"/>
        </w:numPr>
        <w:jc w:val="both"/>
      </w:pPr>
      <w:r w:rsidRPr="00D1189B">
        <w:t>Dropout between early and later doses reflects both household constraints and health-system reliability, emphasizing the need for predictable session delivery, clear caregiver communication, and feasible follow-up for missed visits.</w:t>
      </w:r>
    </w:p>
    <w:p w:rsidR="00925CAF" w:rsidRPr="00D1189B" w:rsidRDefault="00925CAF" w:rsidP="00B92272">
      <w:pPr>
        <w:pStyle w:val="NormalWeb"/>
        <w:numPr>
          <w:ilvl w:val="0"/>
          <w:numId w:val="10"/>
        </w:numPr>
        <w:jc w:val="both"/>
      </w:pPr>
      <w:r w:rsidRPr="00D1189B">
        <w:t>Missed opportunities for vaccination represent a major, preventable “leak” in the system, and reducing them can improve coverage efficiently by converting existing health-facility contacts into completed vaccinations.</w:t>
      </w:r>
    </w:p>
    <w:p w:rsidR="00925CAF" w:rsidRPr="00D1189B" w:rsidRDefault="00925CAF" w:rsidP="00B92272">
      <w:pPr>
        <w:pStyle w:val="NormalWeb"/>
        <w:numPr>
          <w:ilvl w:val="0"/>
          <w:numId w:val="10"/>
        </w:numPr>
        <w:jc w:val="both"/>
      </w:pPr>
      <w:r w:rsidRPr="00D1189B">
        <w:t>Strengthening routine immunization requires simultaneous attention to demand and supply: community trust-building and caregiver support must be paired with reliable vaccine availability, competent logistics, and a positive service experience.</w:t>
      </w:r>
    </w:p>
    <w:p w:rsidR="00925CAF" w:rsidRPr="00D1189B" w:rsidRDefault="00925CAF" w:rsidP="00B92272">
      <w:pPr>
        <w:pStyle w:val="NormalWeb"/>
        <w:numPr>
          <w:ilvl w:val="0"/>
          <w:numId w:val="10"/>
        </w:numPr>
        <w:jc w:val="both"/>
      </w:pPr>
      <w:r w:rsidRPr="00D1189B">
        <w:t>Targeted microplanning, equity-focused outreach, and routine use of local data can help shift resources toward high-burden wards and underserved groups rather than relying on uniform strategies.</w:t>
      </w:r>
    </w:p>
    <w:p w:rsidR="00925CAF" w:rsidRPr="00D1189B" w:rsidRDefault="00925CAF" w:rsidP="00B92272">
      <w:pPr>
        <w:pStyle w:val="NormalWeb"/>
        <w:numPr>
          <w:ilvl w:val="0"/>
          <w:numId w:val="10"/>
        </w:numPr>
        <w:jc w:val="both"/>
      </w:pPr>
      <w:r w:rsidRPr="00D1189B">
        <w:t>Digital adherence supports such as reminders can improve return visits and schedule completion when implemented within a functional system that consistently delivers vaccines at the time families present.</w:t>
      </w:r>
    </w:p>
    <w:p w:rsidR="00925CAF" w:rsidRPr="00D1189B" w:rsidRDefault="00925CAF" w:rsidP="00B92272">
      <w:pPr>
        <w:pStyle w:val="NormalWeb"/>
        <w:numPr>
          <w:ilvl w:val="0"/>
          <w:numId w:val="10"/>
        </w:numPr>
        <w:jc w:val="both"/>
      </w:pPr>
      <w:r w:rsidRPr="00D1189B">
        <w:t>Sustainable progress depends on integrating immunization with broader primary health care and maternal–child services, ensuring that early contacts translate into continuous, complete protection.</w:t>
      </w:r>
    </w:p>
    <w:p w:rsidR="00925CAF" w:rsidRPr="00D1189B" w:rsidRDefault="00925CAF" w:rsidP="00B92272">
      <w:pPr>
        <w:pStyle w:val="NormalWeb"/>
        <w:numPr>
          <w:ilvl w:val="0"/>
          <w:numId w:val="10"/>
        </w:numPr>
        <w:jc w:val="both"/>
      </w:pPr>
      <w:r w:rsidRPr="00D1189B">
        <w:t>Overall, Nigeria’s best path to higher and more equitable coverage is an integrated package that improves first contact, reduces dropout, prevents missed opportunities, and strengthens the reliability of routine service delivery.</w:t>
      </w:r>
    </w:p>
    <w:p w:rsidR="00DC74C9" w:rsidRPr="00D1189B" w:rsidRDefault="00DC74C9" w:rsidP="00B92272">
      <w:pPr>
        <w:jc w:val="both"/>
      </w:pPr>
    </w:p>
    <w:p w:rsidR="00DC74C9" w:rsidRPr="00D1189B" w:rsidRDefault="00DC74C9" w:rsidP="00B92272">
      <w:pPr>
        <w:pStyle w:val="Heading2"/>
        <w:jc w:val="both"/>
      </w:pPr>
      <w:r w:rsidRPr="00D1189B">
        <w:t>9. Limitations</w:t>
      </w:r>
    </w:p>
    <w:p w:rsidR="00925CAF" w:rsidRPr="00D1189B" w:rsidRDefault="00925CAF" w:rsidP="00B92272">
      <w:pPr>
        <w:pStyle w:val="NormalWeb"/>
        <w:jc w:val="both"/>
      </w:pPr>
      <w:r w:rsidRPr="00D1189B">
        <w:rPr>
          <w:rFonts w:hAnsi="Symbol"/>
        </w:rPr>
        <w:t></w:t>
      </w:r>
      <w:r w:rsidRPr="00D1189B">
        <w:t xml:space="preserve">  This review is based primarily on published peer-reviewed studies and may not fully capture relevant program reports, unpublished evaluations, or recent operational data that could change interpretations of current routine immunization performance.</w:t>
      </w:r>
    </w:p>
    <w:p w:rsidR="00925CAF" w:rsidRPr="00D1189B" w:rsidRDefault="00925CAF" w:rsidP="00B92272">
      <w:pPr>
        <w:pStyle w:val="NormalWeb"/>
        <w:jc w:val="both"/>
      </w:pPr>
      <w:r w:rsidRPr="00D1189B">
        <w:rPr>
          <w:rFonts w:hAnsi="Symbol"/>
        </w:rPr>
        <w:lastRenderedPageBreak/>
        <w:t></w:t>
      </w:r>
      <w:r w:rsidRPr="00D1189B">
        <w:t xml:space="preserve">  Many included studies rely on cross-sectional survey datasets, which limits causal inference and makes it difficult to distinguish whether observed determinants are direct drivers of vaccination outcomes or proxies for broader unmeasured factors.</w:t>
      </w:r>
    </w:p>
    <w:p w:rsidR="00925CAF" w:rsidRPr="00D1189B" w:rsidRDefault="00925CAF" w:rsidP="00B92272">
      <w:pPr>
        <w:pStyle w:val="NormalWeb"/>
        <w:jc w:val="both"/>
      </w:pPr>
      <w:r w:rsidRPr="00D1189B">
        <w:rPr>
          <w:rFonts w:hAnsi="Symbol"/>
        </w:rPr>
        <w:t></w:t>
      </w:r>
      <w:r w:rsidRPr="00D1189B">
        <w:t xml:space="preserve">  Definitions of “full immunization,” “basic vaccination,” “zero-dose,” “under-immunized,” and “timeliness” are not fully standardized across studies, reducing comparability and potentially affecting the consistency of synthesized conclusions.</w:t>
      </w:r>
    </w:p>
    <w:p w:rsidR="00925CAF" w:rsidRPr="00D1189B" w:rsidRDefault="00925CAF" w:rsidP="00B92272">
      <w:pPr>
        <w:pStyle w:val="NormalWeb"/>
        <w:jc w:val="both"/>
      </w:pPr>
      <w:r w:rsidRPr="00D1189B">
        <w:rPr>
          <w:rFonts w:hAnsi="Symbol"/>
        </w:rPr>
        <w:t></w:t>
      </w:r>
      <w:r w:rsidRPr="00D1189B">
        <w:t xml:space="preserve">  Vaccination status measurement varies by source (card evidence, caregiver recall, or combined methods), and both missing cards and recall error can introduce misclassification that may bias coverage estimates and inequality gradients.</w:t>
      </w:r>
    </w:p>
    <w:p w:rsidR="00925CAF" w:rsidRPr="00D1189B" w:rsidRDefault="00925CAF" w:rsidP="00B92272">
      <w:pPr>
        <w:pStyle w:val="NormalWeb"/>
        <w:jc w:val="both"/>
      </w:pPr>
      <w:r w:rsidRPr="00D1189B">
        <w:rPr>
          <w:rFonts w:hAnsi="Symbol"/>
        </w:rPr>
        <w:t></w:t>
      </w:r>
      <w:r w:rsidRPr="00D1189B">
        <w:t xml:space="preserve">  Subnational studies and facility-based assessments may have limited generalizability to the national context, especially in a country with large differences in geography, security, health system capacity, and sociocultural norms.</w:t>
      </w:r>
    </w:p>
    <w:p w:rsidR="00925CAF" w:rsidRPr="00D1189B" w:rsidRDefault="00925CAF" w:rsidP="00B92272">
      <w:pPr>
        <w:pStyle w:val="NormalWeb"/>
        <w:jc w:val="both"/>
      </w:pPr>
      <w:r w:rsidRPr="00D1189B">
        <w:rPr>
          <w:rFonts w:hAnsi="Symbol"/>
        </w:rPr>
        <w:t></w:t>
      </w:r>
      <w:r w:rsidRPr="00D1189B">
        <w:t xml:space="preserve">  Important contextual drivers—such as insecurity, displacement, seasonal migration, informal costs, health worker absenteeism, and local governance quality—are inconsistently measured and may therefore be under-represented in quantitative syntheses.</w:t>
      </w:r>
    </w:p>
    <w:p w:rsidR="00925CAF" w:rsidRPr="00D1189B" w:rsidRDefault="00925CAF" w:rsidP="00B92272">
      <w:pPr>
        <w:pStyle w:val="NormalWeb"/>
        <w:jc w:val="both"/>
      </w:pPr>
      <w:r w:rsidRPr="00D1189B">
        <w:rPr>
          <w:rFonts w:hAnsi="Symbol"/>
        </w:rPr>
        <w:t></w:t>
      </w:r>
      <w:r w:rsidRPr="00D1189B">
        <w:t xml:space="preserve">  Evidence on intervention effectiveness is comparatively limited relative to descriptive determinants studies, and results from pilot settings may not scale directly due to differences in infrastructure, staffing, funding continuity, and implementation fidelity.</w:t>
      </w:r>
    </w:p>
    <w:p w:rsidR="00925CAF" w:rsidRPr="00D1189B" w:rsidRDefault="00925CAF" w:rsidP="00B92272">
      <w:pPr>
        <w:pStyle w:val="NormalWeb"/>
        <w:jc w:val="both"/>
      </w:pPr>
      <w:r w:rsidRPr="00D1189B">
        <w:rPr>
          <w:rFonts w:hAnsi="Symbol"/>
        </w:rPr>
        <w:t></w:t>
      </w:r>
      <w:r w:rsidRPr="00D1189B">
        <w:t xml:space="preserve">  Publication bias is possible, as studies reporting significant associations or positive intervention effects are more likely to be published than studies with null results or implementation challenges.</w:t>
      </w:r>
    </w:p>
    <w:p w:rsidR="009B07CB" w:rsidRPr="00D1189B" w:rsidRDefault="009B07CB" w:rsidP="00B92272">
      <w:pPr>
        <w:jc w:val="both"/>
        <w:rPr>
          <w:b/>
        </w:rPr>
      </w:pPr>
      <w:r w:rsidRPr="00D1189B">
        <w:rPr>
          <w:b/>
        </w:rPr>
        <w:t>Disclaimer (Artificial intelligence)</w:t>
      </w:r>
    </w:p>
    <w:p w:rsidR="009B07CB" w:rsidRPr="00D1189B" w:rsidRDefault="009B07CB" w:rsidP="00B92272">
      <w:pPr>
        <w:jc w:val="both"/>
      </w:pPr>
      <w:r w:rsidRPr="00D1189B">
        <w:t xml:space="preserve">Option 1: </w:t>
      </w:r>
    </w:p>
    <w:p w:rsidR="009B07CB" w:rsidRPr="00D1189B" w:rsidRDefault="009B07CB" w:rsidP="00B92272">
      <w:pPr>
        <w:jc w:val="both"/>
      </w:pPr>
      <w:r w:rsidRPr="00D1189B">
        <w:t xml:space="preserve">Author(s) hereby declare that NO generative AI technologies such as Large Language Models (ChatGPT, COPILOT, etc.) and text-to-image generators have been used during the writing or editing of this manuscript. </w:t>
      </w:r>
    </w:p>
    <w:p w:rsidR="009B07CB" w:rsidRPr="00D1189B" w:rsidRDefault="009B07CB" w:rsidP="00B92272">
      <w:pPr>
        <w:jc w:val="both"/>
      </w:pPr>
      <w:r w:rsidRPr="00D1189B">
        <w:t xml:space="preserve">Option 2: </w:t>
      </w:r>
    </w:p>
    <w:p w:rsidR="009B07CB" w:rsidRPr="00D1189B" w:rsidRDefault="009B07CB" w:rsidP="00B92272">
      <w:pPr>
        <w:jc w:val="both"/>
      </w:pPr>
      <w:r w:rsidRPr="00D1189B">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B07CB" w:rsidRPr="00D1189B" w:rsidRDefault="009B07CB" w:rsidP="00B92272">
      <w:pPr>
        <w:jc w:val="both"/>
      </w:pPr>
      <w:r w:rsidRPr="00D1189B">
        <w:t>Details of the AI usage are given below:</w:t>
      </w:r>
    </w:p>
    <w:p w:rsidR="009B07CB" w:rsidRPr="00D1189B" w:rsidRDefault="009B07CB" w:rsidP="00B92272">
      <w:pPr>
        <w:jc w:val="both"/>
      </w:pPr>
      <w:r w:rsidRPr="00D1189B">
        <w:t>1.</w:t>
      </w:r>
    </w:p>
    <w:p w:rsidR="009B07CB" w:rsidRPr="00D1189B" w:rsidRDefault="009B07CB" w:rsidP="00B92272">
      <w:pPr>
        <w:jc w:val="both"/>
      </w:pPr>
      <w:r w:rsidRPr="00D1189B">
        <w:t>2.</w:t>
      </w:r>
    </w:p>
    <w:p w:rsidR="009B07CB" w:rsidRPr="00D1189B" w:rsidRDefault="009B07CB" w:rsidP="00B92272">
      <w:pPr>
        <w:jc w:val="both"/>
      </w:pPr>
      <w:r w:rsidRPr="00D1189B">
        <w:t>3.</w:t>
      </w:r>
    </w:p>
    <w:p w:rsidR="00DC74C9" w:rsidRPr="00D1189B" w:rsidRDefault="00DC74C9" w:rsidP="00B92272">
      <w:pPr>
        <w:jc w:val="both"/>
      </w:pPr>
    </w:p>
    <w:p w:rsidR="00DC74C9" w:rsidRPr="00D1189B" w:rsidRDefault="00DC74C9" w:rsidP="00B92272">
      <w:pPr>
        <w:pStyle w:val="Heading2"/>
        <w:jc w:val="both"/>
      </w:pPr>
      <w:r w:rsidRPr="00D1189B">
        <w:lastRenderedPageBreak/>
        <w:t xml:space="preserve">References </w:t>
      </w:r>
    </w:p>
    <w:p w:rsidR="00007AAB" w:rsidRPr="00D1189B" w:rsidRDefault="00007AAB" w:rsidP="00B92272">
      <w:pPr>
        <w:pStyle w:val="NormalWeb"/>
        <w:jc w:val="both"/>
      </w:pPr>
      <w:r w:rsidRPr="00D1189B">
        <w:t xml:space="preserve">Adebimpe, W. O., &amp; Adeoye, O. A. (2021). Knowledge and practice of vaccination logistics management among primary health care workers in Nigeria. </w:t>
      </w:r>
      <w:r w:rsidRPr="00D1189B">
        <w:rPr>
          <w:rStyle w:val="Emphasis"/>
        </w:rPr>
        <w:t>Human Vaccines &amp;Immunotherapeutics, 17</w:t>
      </w:r>
      <w:r w:rsidRPr="00D1189B">
        <w:t xml:space="preserve">(5), 1490–1495. </w:t>
      </w:r>
      <w:hyperlink r:id="rId8" w:history="1">
        <w:r w:rsidR="006907D2" w:rsidRPr="00D1189B">
          <w:rPr>
            <w:rStyle w:val="Hyperlink"/>
          </w:rPr>
          <w:t>https://doi.org/10.1080/21645515.2020.1827609</w:t>
        </w:r>
      </w:hyperlink>
    </w:p>
    <w:p w:rsidR="00007AAB" w:rsidRPr="00D1189B" w:rsidRDefault="00007AAB" w:rsidP="00B92272">
      <w:pPr>
        <w:pStyle w:val="NormalWeb"/>
        <w:jc w:val="both"/>
      </w:pPr>
      <w:r w:rsidRPr="00D1189B">
        <w:t xml:space="preserve">Adedokun, S. T., Uthman, O. A., &amp;Adekanmbi, V. T. (2017). Incomplete childhood immunization in Nigeria: A multilevel analysis of individual and contextual factors. </w:t>
      </w:r>
      <w:r w:rsidRPr="00D1189B">
        <w:rPr>
          <w:rStyle w:val="Emphasis"/>
        </w:rPr>
        <w:t>BMC Public Health, 17</w:t>
      </w:r>
      <w:r w:rsidRPr="00D1189B">
        <w:t xml:space="preserve">, 381. </w:t>
      </w:r>
      <w:hyperlink r:id="rId9" w:history="1">
        <w:r w:rsidR="006907D2" w:rsidRPr="00D1189B">
          <w:rPr>
            <w:rStyle w:val="Hyperlink"/>
          </w:rPr>
          <w:t>https://doi.org/10.1186/s12889-017-4137-7</w:t>
        </w:r>
      </w:hyperlink>
    </w:p>
    <w:p w:rsidR="00007AAB" w:rsidRPr="00D1189B" w:rsidRDefault="00007AAB" w:rsidP="00B92272">
      <w:pPr>
        <w:pStyle w:val="NormalWeb"/>
        <w:jc w:val="both"/>
      </w:pPr>
      <w:r w:rsidRPr="00D1189B">
        <w:t xml:space="preserve">Adeloye, D., Jacobs, W., Amuta, A. O., Ogundipe, O., Mosaku, O., Gadanya, M. A., &amp; Oni, G. (2017). Coverage and determinants of childhood immunization in Nigeria: A systematic review and meta-analysis. </w:t>
      </w:r>
      <w:r w:rsidRPr="00D1189B">
        <w:rPr>
          <w:rStyle w:val="Emphasis"/>
        </w:rPr>
        <w:t>Vaccine, 35</w:t>
      </w:r>
      <w:r w:rsidRPr="00D1189B">
        <w:t xml:space="preserve">(22), 2871–2881. </w:t>
      </w:r>
      <w:hyperlink r:id="rId10" w:history="1">
        <w:r w:rsidR="006907D2" w:rsidRPr="00D1189B">
          <w:rPr>
            <w:rStyle w:val="Hyperlink"/>
          </w:rPr>
          <w:t>https://doi.org/10.1016/j.vaccine.2017.04.034</w:t>
        </w:r>
      </w:hyperlink>
    </w:p>
    <w:p w:rsidR="00007AAB" w:rsidRPr="00D1189B" w:rsidRDefault="00007AAB" w:rsidP="00B92272">
      <w:pPr>
        <w:pStyle w:val="NormalWeb"/>
        <w:jc w:val="both"/>
      </w:pPr>
      <w:r w:rsidRPr="00D1189B">
        <w:t xml:space="preserve">Aheto, J. M. K., Pannell, O., Dotse-Gborgbortsi, W., Trimner, M. K., Tatem, A. J., Rhoda, D. A., Cutts, F. T., &amp;Utazi, C. E. (2022). Multilevel analysis of predictors of multiple indicators of childhood vaccination in Nigeria. </w:t>
      </w:r>
      <w:r w:rsidRPr="00D1189B">
        <w:rPr>
          <w:rStyle w:val="Emphasis"/>
        </w:rPr>
        <w:t>PLOS ONE, 17</w:t>
      </w:r>
      <w:r w:rsidRPr="00D1189B">
        <w:t xml:space="preserve">(5), e0269066. </w:t>
      </w:r>
      <w:hyperlink r:id="rId11" w:tgtFrame="_new" w:history="1">
        <w:r w:rsidRPr="00D1189B">
          <w:rPr>
            <w:rStyle w:val="Hyperlink"/>
          </w:rPr>
          <w:t>https://doi.org/10.1371/journal.pone.0269066</w:t>
        </w:r>
      </w:hyperlink>
    </w:p>
    <w:p w:rsidR="00007AAB" w:rsidRPr="00D1189B" w:rsidRDefault="00007AAB" w:rsidP="00B92272">
      <w:pPr>
        <w:pStyle w:val="NormalWeb"/>
        <w:jc w:val="both"/>
      </w:pPr>
      <w:r w:rsidRPr="00D1189B">
        <w:t xml:space="preserve">Ahmed, L. Q., Adebowale, A. S., &amp;Palamuleni, M. E. (2024). Bayesian spatial analysis of incomplete vaccination among children aged 12–23 months in Nigeria. </w:t>
      </w:r>
      <w:r w:rsidRPr="00D1189B">
        <w:rPr>
          <w:rStyle w:val="Emphasis"/>
        </w:rPr>
        <w:t>Scientific Reports, 14</w:t>
      </w:r>
      <w:r w:rsidRPr="00D1189B">
        <w:t xml:space="preserve">, 18297. </w:t>
      </w:r>
      <w:hyperlink r:id="rId12" w:history="1">
        <w:r w:rsidR="006907D2" w:rsidRPr="00D1189B">
          <w:rPr>
            <w:rStyle w:val="Hyperlink"/>
          </w:rPr>
          <w:t>https://doi.org/10.1038/s41598-024-57345-y</w:t>
        </w:r>
      </w:hyperlink>
    </w:p>
    <w:p w:rsidR="00007AAB" w:rsidRPr="00D1189B" w:rsidRDefault="00007AAB" w:rsidP="00B92272">
      <w:pPr>
        <w:pStyle w:val="NormalWeb"/>
        <w:jc w:val="both"/>
      </w:pPr>
      <w:r w:rsidRPr="00D1189B">
        <w:t xml:space="preserve">Akwataghibe, N. N., Ogunsola, E. A., Broerse, J. E. W., Popoola, O. A., Agbo, A. I., &amp; Dieleman, M. A. (2019). Exploring factors influencing immunization utilization in Nigeria—A mixed methods study. </w:t>
      </w:r>
      <w:r w:rsidRPr="00D1189B">
        <w:rPr>
          <w:rStyle w:val="Emphasis"/>
        </w:rPr>
        <w:t>Frontiers in Public Health, 7</w:t>
      </w:r>
      <w:r w:rsidRPr="00D1189B">
        <w:t xml:space="preserve">, 392. </w:t>
      </w:r>
      <w:hyperlink r:id="rId13" w:history="1">
        <w:r w:rsidR="006907D2" w:rsidRPr="00D1189B">
          <w:rPr>
            <w:rStyle w:val="Hyperlink"/>
          </w:rPr>
          <w:t>https://doi.org/10.3389/fpubh.2019.00392</w:t>
        </w:r>
      </w:hyperlink>
    </w:p>
    <w:p w:rsidR="00007AAB" w:rsidRPr="00D1189B" w:rsidRDefault="00007AAB" w:rsidP="00B92272">
      <w:pPr>
        <w:pStyle w:val="NormalWeb"/>
        <w:jc w:val="both"/>
      </w:pPr>
      <w:r w:rsidRPr="00D1189B">
        <w:t xml:space="preserve">Azubuike, C. D., &amp;Ardelt, M. (2025). The influence of paternal characteristics on childhood vaccination in Nigeria. </w:t>
      </w:r>
      <w:r w:rsidRPr="00D1189B">
        <w:rPr>
          <w:rStyle w:val="Emphasis"/>
        </w:rPr>
        <w:t>Discover Public Health, 22</w:t>
      </w:r>
      <w:r w:rsidRPr="00D1189B">
        <w:t xml:space="preserve">, 123. </w:t>
      </w:r>
      <w:hyperlink r:id="rId14" w:history="1">
        <w:r w:rsidR="006907D2" w:rsidRPr="00D1189B">
          <w:rPr>
            <w:rStyle w:val="Hyperlink"/>
          </w:rPr>
          <w:t>https://doi.org/10.1186/s12982-025-00512-x</w:t>
        </w:r>
      </w:hyperlink>
    </w:p>
    <w:p w:rsidR="00007AAB" w:rsidRPr="00D1189B" w:rsidRDefault="00007AAB" w:rsidP="00B92272">
      <w:pPr>
        <w:pStyle w:val="NormalWeb"/>
        <w:jc w:val="both"/>
      </w:pPr>
      <w:r w:rsidRPr="00D1189B">
        <w:t xml:space="preserve">Cata-Preta, B. O., Santos, T. M., Mengistu, T., Hogan, D. R., Barros, A. J. D., &amp;Victora, C. G. (2021). Zero-dose children and the immunisation cascade: Understanding immunisation pathways in low and middle-income countries. </w:t>
      </w:r>
      <w:r w:rsidRPr="00D1189B">
        <w:rPr>
          <w:rStyle w:val="Emphasis"/>
        </w:rPr>
        <w:t>Vaccine, 39</w:t>
      </w:r>
      <w:r w:rsidRPr="00D1189B">
        <w:t xml:space="preserve">(32), 4564–4570. </w:t>
      </w:r>
      <w:hyperlink r:id="rId15" w:history="1">
        <w:r w:rsidR="006907D2" w:rsidRPr="00D1189B">
          <w:rPr>
            <w:rStyle w:val="Hyperlink"/>
          </w:rPr>
          <w:t>https://doi.org/10.1016/j.vaccine.2021.02.072</w:t>
        </w:r>
      </w:hyperlink>
    </w:p>
    <w:p w:rsidR="00007AAB" w:rsidRPr="00D1189B" w:rsidRDefault="00007AAB" w:rsidP="00B92272">
      <w:pPr>
        <w:pStyle w:val="NormalWeb"/>
        <w:jc w:val="both"/>
      </w:pPr>
      <w:r w:rsidRPr="00D1189B">
        <w:t xml:space="preserve">Chido-Amajuoyi, O. G., Wonodi, C., Mantey, D., Perez, A., &amp;Mcalister, A. (2018). Prevalence and correlates of never vaccinated Nigerian children, aged 1–5 years. </w:t>
      </w:r>
      <w:r w:rsidRPr="00D1189B">
        <w:rPr>
          <w:rStyle w:val="Emphasis"/>
        </w:rPr>
        <w:t>Vaccine, 36</w:t>
      </w:r>
      <w:r w:rsidRPr="00D1189B">
        <w:t xml:space="preserve">(46), 6953–6960. </w:t>
      </w:r>
      <w:hyperlink r:id="rId16" w:history="1">
        <w:r w:rsidR="006907D2" w:rsidRPr="00D1189B">
          <w:rPr>
            <w:rStyle w:val="Hyperlink"/>
          </w:rPr>
          <w:t>https://doi.org/10.1016/j.vaccine.2018.10.006</w:t>
        </w:r>
      </w:hyperlink>
    </w:p>
    <w:p w:rsidR="00007AAB" w:rsidRPr="00D1189B" w:rsidRDefault="00007AAB" w:rsidP="00B92272">
      <w:pPr>
        <w:pStyle w:val="NormalWeb"/>
        <w:jc w:val="both"/>
      </w:pPr>
      <w:r w:rsidRPr="00D1189B">
        <w:t xml:space="preserve">Cutts, F. T., Claquin, P., Danovaro-Holliday, M. C., &amp; Rhoda, D. A. (2016). Monitoring vaccination coverage: Defining the role of surveys. </w:t>
      </w:r>
      <w:r w:rsidRPr="00D1189B">
        <w:rPr>
          <w:rStyle w:val="Emphasis"/>
        </w:rPr>
        <w:t>Vaccine, 34</w:t>
      </w:r>
      <w:r w:rsidRPr="00D1189B">
        <w:t xml:space="preserve">(35), 4103–4109. </w:t>
      </w:r>
      <w:hyperlink r:id="rId17" w:history="1">
        <w:r w:rsidR="006907D2" w:rsidRPr="00D1189B">
          <w:rPr>
            <w:rStyle w:val="Hyperlink"/>
          </w:rPr>
          <w:t>https://doi.org/10.1016/j.vaccine.2016.06.053</w:t>
        </w:r>
      </w:hyperlink>
    </w:p>
    <w:p w:rsidR="00007AAB" w:rsidRPr="00D1189B" w:rsidRDefault="00007AAB" w:rsidP="00B92272">
      <w:pPr>
        <w:pStyle w:val="NormalWeb"/>
        <w:jc w:val="both"/>
      </w:pPr>
      <w:r w:rsidRPr="00D1189B">
        <w:t xml:space="preserve">Dansereau, E., Brown, D., Stashko, L., &amp;Danovaro-Holliday, M. C. (2020). A systematic review of the agreement of recall, home-based records, facility records, BCG scar, and </w:t>
      </w:r>
      <w:r w:rsidRPr="00D1189B">
        <w:lastRenderedPageBreak/>
        <w:t xml:space="preserve">serology for ascertaining vaccination status in low and middle-income countries. </w:t>
      </w:r>
      <w:r w:rsidRPr="00D1189B">
        <w:rPr>
          <w:rStyle w:val="Emphasis"/>
        </w:rPr>
        <w:t>Gates Open Research, 3</w:t>
      </w:r>
      <w:r w:rsidRPr="00D1189B">
        <w:t xml:space="preserve">, 923. </w:t>
      </w:r>
      <w:hyperlink r:id="rId18" w:history="1">
        <w:r w:rsidR="006907D2" w:rsidRPr="00D1189B">
          <w:rPr>
            <w:rStyle w:val="Hyperlink"/>
          </w:rPr>
          <w:t>https://doi.org/10.12688/gatesopenres.12916.2</w:t>
        </w:r>
      </w:hyperlink>
    </w:p>
    <w:p w:rsidR="00007AAB" w:rsidRPr="00D1189B" w:rsidRDefault="00007AAB" w:rsidP="00B92272">
      <w:pPr>
        <w:pStyle w:val="NormalWeb"/>
        <w:jc w:val="both"/>
      </w:pPr>
      <w:r w:rsidRPr="00D1189B">
        <w:t xml:space="preserve">Dong, T. Q., Rhoda, D. A., &amp; Mercer, L. D. (2020). Impact of state weights on national vaccination coverage estimates from household surveys in Nigeria. </w:t>
      </w:r>
      <w:r w:rsidRPr="00D1189B">
        <w:rPr>
          <w:rStyle w:val="Emphasis"/>
        </w:rPr>
        <w:t>Vaccine, 38</w:t>
      </w:r>
      <w:r w:rsidRPr="00D1189B">
        <w:t xml:space="preserve">(32), 5060–5070. </w:t>
      </w:r>
      <w:hyperlink r:id="rId19" w:history="1">
        <w:r w:rsidR="006907D2" w:rsidRPr="00D1189B">
          <w:rPr>
            <w:rStyle w:val="Hyperlink"/>
          </w:rPr>
          <w:t>https://doi.org/10.1016/j.vaccine.2020.05.026</w:t>
        </w:r>
      </w:hyperlink>
    </w:p>
    <w:p w:rsidR="00007AAB" w:rsidRPr="00D1189B" w:rsidRDefault="00007AAB" w:rsidP="00B92272">
      <w:pPr>
        <w:pStyle w:val="NormalWeb"/>
        <w:jc w:val="both"/>
      </w:pPr>
      <w:r w:rsidRPr="00D1189B">
        <w:t xml:space="preserve">Dunkle, S. E., Wallace, A. S., MacNeil, A., Mustafa, M., Gasasira, A., Ali, D., Elmousaad, H., Mahoney, F., &amp; Sandhu, H. S. (2014). Limitations of using administratively reported immunization data for monitoring routine immunization system performance in Nigeria. </w:t>
      </w:r>
      <w:r w:rsidRPr="00D1189B">
        <w:rPr>
          <w:rStyle w:val="Emphasis"/>
        </w:rPr>
        <w:t>The Journal of Infectious Diseases, 210</w:t>
      </w:r>
      <w:r w:rsidRPr="00D1189B">
        <w:t xml:space="preserve">(Suppl 1), S523–S530. </w:t>
      </w:r>
      <w:hyperlink r:id="rId20" w:history="1">
        <w:r w:rsidR="006907D2" w:rsidRPr="00D1189B">
          <w:rPr>
            <w:rStyle w:val="Hyperlink"/>
          </w:rPr>
          <w:t>https://doi.org/10.1093/infdis/jiu373</w:t>
        </w:r>
      </w:hyperlink>
    </w:p>
    <w:p w:rsidR="00007AAB" w:rsidRPr="00D1189B" w:rsidRDefault="00007AAB" w:rsidP="00B92272">
      <w:pPr>
        <w:pStyle w:val="NormalWeb"/>
        <w:jc w:val="both"/>
      </w:pPr>
      <w:r w:rsidRPr="00D1189B">
        <w:t xml:space="preserve">Eze, P., Agu, U. J., Aniebo, C. L., Agu, S. A., Lawani, L. O., &amp; Acharya, Y. (2021). Factors associated with incomplete immunisation in children aged 12–23 months at subnational level, Nigeria: A cross-sectional study. </w:t>
      </w:r>
      <w:r w:rsidRPr="00D1189B">
        <w:rPr>
          <w:rStyle w:val="Emphasis"/>
        </w:rPr>
        <w:t>BMJ Open, 11</w:t>
      </w:r>
      <w:r w:rsidRPr="00D1189B">
        <w:t xml:space="preserve">(6), e047445. </w:t>
      </w:r>
      <w:hyperlink r:id="rId21" w:history="1">
        <w:r w:rsidR="006907D2" w:rsidRPr="00D1189B">
          <w:rPr>
            <w:rStyle w:val="Hyperlink"/>
          </w:rPr>
          <w:t>https://doi.org/10.1136/bmjopen-2020-047445</w:t>
        </w:r>
      </w:hyperlink>
    </w:p>
    <w:p w:rsidR="00007AAB" w:rsidRPr="00D1189B" w:rsidRDefault="00007AAB" w:rsidP="00B92272">
      <w:pPr>
        <w:pStyle w:val="NormalWeb"/>
        <w:jc w:val="both"/>
      </w:pPr>
      <w:r w:rsidRPr="00D1189B">
        <w:t xml:space="preserve">Fatiregun, A. A., Nic Lochlainn, L., Kaboré, L., Dosumu, M., Isere, E., Olaoye, I., Akanbiemu, F. A., Olagbuji, Y., Onyibe, R., Boateng, K., Banda, R., &amp;Braka, F. (2021). Missed opportunities for vaccination among children aged 0–23 months visiting health facilities in a southwest State of Nigeria, December 2019. </w:t>
      </w:r>
      <w:r w:rsidRPr="00D1189B">
        <w:rPr>
          <w:rStyle w:val="Emphasis"/>
        </w:rPr>
        <w:t>PLOS ONE, 16</w:t>
      </w:r>
      <w:r w:rsidRPr="00D1189B">
        <w:t xml:space="preserve">(8), e0252798. </w:t>
      </w:r>
      <w:hyperlink r:id="rId22" w:history="1">
        <w:r w:rsidR="006907D2" w:rsidRPr="00D1189B">
          <w:rPr>
            <w:rStyle w:val="Hyperlink"/>
          </w:rPr>
          <w:t>https://doi.org/10.1371/journal.pone.0252798</w:t>
        </w:r>
      </w:hyperlink>
    </w:p>
    <w:p w:rsidR="00007AAB" w:rsidRPr="00D1189B" w:rsidRDefault="00007AAB" w:rsidP="00B92272">
      <w:pPr>
        <w:pStyle w:val="NormalWeb"/>
        <w:jc w:val="both"/>
      </w:pPr>
      <w:r w:rsidRPr="00D1189B">
        <w:t xml:space="preserve">Gunnala, R., Ogbuanu, I. U., Adegoke, O. J., Scobie, H. M., Uba, B. V., Wannemuehler, K. A., Ruiz, A., Elmousaad, H., Ohuabunwo, C. J., Mustafa, M., Nguku, P., Waziri, N. E., &amp; Vertefeuille, J. F. (2016). Routine vaccination coverage in Northern Nigeria: Results from 40 district-level cluster surveys, 2014–2015. </w:t>
      </w:r>
      <w:r w:rsidRPr="00D1189B">
        <w:rPr>
          <w:rStyle w:val="Emphasis"/>
        </w:rPr>
        <w:t>PLOS ONE, 11</w:t>
      </w:r>
      <w:r w:rsidRPr="00D1189B">
        <w:t xml:space="preserve">(12), e0167835. </w:t>
      </w:r>
      <w:hyperlink r:id="rId23" w:history="1">
        <w:r w:rsidR="006907D2" w:rsidRPr="00D1189B">
          <w:rPr>
            <w:rStyle w:val="Hyperlink"/>
          </w:rPr>
          <w:t>https://doi.org/10.1371/journal.pone.0167835</w:t>
        </w:r>
      </w:hyperlink>
    </w:p>
    <w:p w:rsidR="00007AAB" w:rsidRPr="00D1189B" w:rsidRDefault="00007AAB" w:rsidP="00B92272">
      <w:pPr>
        <w:pStyle w:val="NormalWeb"/>
        <w:jc w:val="both"/>
      </w:pPr>
      <w:r w:rsidRPr="00D1189B">
        <w:t xml:space="preserve">Jean Baptiste, A. E., Wagai, J., Hahné, S., Adeniran, A., Koko, R. I., de Vos, S., et al. (2024). High-resolution geospatial mapping of zero-dose and underimmunized children following Nigeria’s 2021 Multiple Indicator Cluster Survey/National Immunization Coverage Survey. </w:t>
      </w:r>
      <w:r w:rsidRPr="00D1189B">
        <w:rPr>
          <w:rStyle w:val="Emphasis"/>
        </w:rPr>
        <w:t>The Journal of Infectious Diseases, 230</w:t>
      </w:r>
      <w:r w:rsidRPr="00D1189B">
        <w:t xml:space="preserve">(1), e131–e138. </w:t>
      </w:r>
      <w:hyperlink r:id="rId24" w:tgtFrame="_new" w:history="1">
        <w:r w:rsidRPr="00D1189B">
          <w:rPr>
            <w:rStyle w:val="Hyperlink"/>
          </w:rPr>
          <w:t>https://doi.org/10.1093/infdis/jiad476</w:t>
        </w:r>
      </w:hyperlink>
    </w:p>
    <w:p w:rsidR="00007AAB" w:rsidRPr="00D1189B" w:rsidRDefault="00007AAB" w:rsidP="00B92272">
      <w:pPr>
        <w:pStyle w:val="NormalWeb"/>
        <w:jc w:val="both"/>
      </w:pPr>
      <w:r w:rsidRPr="00D1189B">
        <w:t xml:space="preserve">Kaboré, L., Meda, B., Médah, I., Shendale, S., Nic Lochlainn, L., Sanderson, C., et al. (2020). Assessment of missed opportunities for vaccination (MOV) in Burkina Faso using the World Health Organization’s revised MOV strategy: Findings and strategic considerations to improve routine childhood immunization coverage. </w:t>
      </w:r>
      <w:r w:rsidRPr="00D1189B">
        <w:rPr>
          <w:rStyle w:val="Emphasis"/>
        </w:rPr>
        <w:t>Vaccine, 38</w:t>
      </w:r>
      <w:r w:rsidRPr="00D1189B">
        <w:t xml:space="preserve">(48), 7603–7611. </w:t>
      </w:r>
      <w:hyperlink r:id="rId25" w:history="1">
        <w:r w:rsidR="006907D2" w:rsidRPr="00D1189B">
          <w:rPr>
            <w:rStyle w:val="Hyperlink"/>
          </w:rPr>
          <w:t>https://doi.org/10.1016/j.vaccine.2020.10.021</w:t>
        </w:r>
      </w:hyperlink>
    </w:p>
    <w:p w:rsidR="00007AAB" w:rsidRPr="00D1189B" w:rsidRDefault="00007AAB" w:rsidP="00B92272">
      <w:pPr>
        <w:pStyle w:val="NormalWeb"/>
        <w:jc w:val="both"/>
      </w:pPr>
      <w:r w:rsidRPr="00D1189B">
        <w:t xml:space="preserve">Mahachi, K., Kessels, J., Boateng, K., Jean Baptiste, A. E., Mitula, P., Ekeman, E., &amp; others. (2022). Zero- or missed-dose children in Nigeria: Contributing factors and interventions to overcome immunization service delivery challenges. </w:t>
      </w:r>
      <w:r w:rsidRPr="00D1189B">
        <w:rPr>
          <w:rStyle w:val="Emphasis"/>
        </w:rPr>
        <w:t>Vaccine, 40</w:t>
      </w:r>
      <w:r w:rsidRPr="00D1189B">
        <w:t xml:space="preserve">(37), 5433–5444. </w:t>
      </w:r>
      <w:hyperlink r:id="rId26" w:history="1">
        <w:r w:rsidR="006907D2" w:rsidRPr="00D1189B">
          <w:rPr>
            <w:rStyle w:val="Hyperlink"/>
          </w:rPr>
          <w:t>https://doi.org/10.1016/j.vaccine.2022.07.058</w:t>
        </w:r>
      </w:hyperlink>
    </w:p>
    <w:p w:rsidR="00007AAB" w:rsidRPr="00D1189B" w:rsidRDefault="00007AAB" w:rsidP="00B92272">
      <w:pPr>
        <w:pStyle w:val="NormalWeb"/>
        <w:jc w:val="both"/>
      </w:pPr>
      <w:r w:rsidRPr="00D1189B">
        <w:t xml:space="preserve">Mohammed, Y., Reynolds, H. W., Waziri, H., Attahiru, A., Olowo-okere, A., Kamateeka, M., Waziri, N. E., Garba, A. M., Corrêa, G. C., Garba, R., Vollmer, N., &amp;Nguku, P. (2024). Exploring the landscape of routine immunization in Nigeria: A scoping review of barriers and facilitators. </w:t>
      </w:r>
      <w:r w:rsidRPr="00D1189B">
        <w:rPr>
          <w:rStyle w:val="Emphasis"/>
        </w:rPr>
        <w:t>Vaccine: X, 20</w:t>
      </w:r>
      <w:r w:rsidRPr="00D1189B">
        <w:t xml:space="preserve">, 100563. </w:t>
      </w:r>
      <w:hyperlink r:id="rId27" w:history="1">
        <w:r w:rsidR="006907D2" w:rsidRPr="00D1189B">
          <w:rPr>
            <w:rStyle w:val="Hyperlink"/>
          </w:rPr>
          <w:t>https://doi.org/10.1016/j.jvacx.2024.100563</w:t>
        </w:r>
      </w:hyperlink>
    </w:p>
    <w:p w:rsidR="00007AAB" w:rsidRPr="00D1189B" w:rsidRDefault="00007AAB" w:rsidP="00B92272">
      <w:pPr>
        <w:pStyle w:val="NormalWeb"/>
        <w:jc w:val="both"/>
      </w:pPr>
      <w:r w:rsidRPr="00D1189B">
        <w:lastRenderedPageBreak/>
        <w:t xml:space="preserve">Obanewa, O. A., &amp; Newell, M. L. (2020). The role of place of residency in childhood immunisation coverage in Nigeria: Analysis of data from three DHS rounds 2003–2013. </w:t>
      </w:r>
      <w:r w:rsidRPr="00D1189B">
        <w:rPr>
          <w:rStyle w:val="Emphasis"/>
        </w:rPr>
        <w:t>BMC Public Health, 20</w:t>
      </w:r>
      <w:r w:rsidRPr="00D1189B">
        <w:t xml:space="preserve">(1), 123. </w:t>
      </w:r>
      <w:hyperlink r:id="rId28" w:history="1">
        <w:r w:rsidR="006907D2" w:rsidRPr="00D1189B">
          <w:rPr>
            <w:rStyle w:val="Hyperlink"/>
          </w:rPr>
          <w:t>https://doi.org/10.1186/s12889-020-8170-6</w:t>
        </w:r>
      </w:hyperlink>
    </w:p>
    <w:p w:rsidR="00007AAB" w:rsidRPr="00D1189B" w:rsidRDefault="00007AAB" w:rsidP="00B92272">
      <w:pPr>
        <w:pStyle w:val="NormalWeb"/>
        <w:jc w:val="both"/>
      </w:pPr>
      <w:r w:rsidRPr="00D1189B">
        <w:t xml:space="preserve">Oku, A., Oyo-Ita, A., Glenton, C., Fretheim, A., Ames, H., Muloliwa, A., Kaufman, J., Hill, S., Cliff, J., Cartier, Y., Owoaje, E., Bosch-Capblanch, X., Rada, G., &amp; Lewin, S. (2017). Perceptions and experiences of childhood vaccination communication strategies among caregivers and health workers in Nigeria: A qualitative study. </w:t>
      </w:r>
      <w:r w:rsidRPr="00D1189B">
        <w:rPr>
          <w:rStyle w:val="Emphasis"/>
        </w:rPr>
        <w:t>PLOS ONE, 12</w:t>
      </w:r>
      <w:r w:rsidRPr="00D1189B">
        <w:t xml:space="preserve">(11), e0186733. </w:t>
      </w:r>
      <w:hyperlink r:id="rId29" w:history="1">
        <w:r w:rsidR="006907D2" w:rsidRPr="00D1189B">
          <w:rPr>
            <w:rStyle w:val="Hyperlink"/>
          </w:rPr>
          <w:t>https://doi.org/10.1371/journal.pone.0186733</w:t>
        </w:r>
      </w:hyperlink>
    </w:p>
    <w:p w:rsidR="00007AAB" w:rsidRPr="00D1189B" w:rsidRDefault="00007AAB" w:rsidP="00B92272">
      <w:pPr>
        <w:pStyle w:val="NormalWeb"/>
        <w:jc w:val="both"/>
      </w:pPr>
      <w:r w:rsidRPr="00D1189B">
        <w:t xml:space="preserve">Olufadewa, I., Adesina, M., Oladele, R., Shonubi, A., Bamidele, D., &amp;Obigwe, E. (2024). Trends and predictors of full immunization coverage in Nigeria. </w:t>
      </w:r>
      <w:r w:rsidRPr="00D1189B">
        <w:rPr>
          <w:rStyle w:val="Emphasis"/>
        </w:rPr>
        <w:t>Discover Public Health, 21</w:t>
      </w:r>
      <w:r w:rsidRPr="00D1189B">
        <w:t xml:space="preserve">(1), 151. </w:t>
      </w:r>
      <w:hyperlink r:id="rId30" w:tgtFrame="_new" w:history="1">
        <w:r w:rsidRPr="00D1189B">
          <w:rPr>
            <w:rStyle w:val="Hyperlink"/>
          </w:rPr>
          <w:t>https://doi.org/10.1186/s12982-024-00283-x</w:t>
        </w:r>
      </w:hyperlink>
    </w:p>
    <w:p w:rsidR="00007AAB" w:rsidRPr="00D1189B" w:rsidRDefault="00007AAB" w:rsidP="00B92272">
      <w:pPr>
        <w:pStyle w:val="NormalWeb"/>
        <w:jc w:val="both"/>
      </w:pPr>
      <w:r w:rsidRPr="00D1189B">
        <w:t xml:space="preserve">Sato, R. (2023). Zero-dose, under-immunized, and dropout children in Nigeria. </w:t>
      </w:r>
      <w:r w:rsidRPr="00D1189B">
        <w:rPr>
          <w:rStyle w:val="Emphasis"/>
        </w:rPr>
        <w:t>Vaccines, 11</w:t>
      </w:r>
      <w:r w:rsidRPr="00D1189B">
        <w:t xml:space="preserve">(1), 181. </w:t>
      </w:r>
      <w:hyperlink r:id="rId31" w:history="1">
        <w:r w:rsidR="006907D2" w:rsidRPr="00D1189B">
          <w:rPr>
            <w:rStyle w:val="Hyperlink"/>
          </w:rPr>
          <w:t>https://doi.org/10.3390/vaccines11010181</w:t>
        </w:r>
      </w:hyperlink>
    </w:p>
    <w:p w:rsidR="00007AAB" w:rsidRPr="00D1189B" w:rsidRDefault="00007AAB" w:rsidP="00B92272">
      <w:pPr>
        <w:pStyle w:val="NormalWeb"/>
        <w:jc w:val="both"/>
      </w:pPr>
      <w:r w:rsidRPr="00D1189B">
        <w:t xml:space="preserve">Shenton, L. M., Wagner, A. L., Ji, M., Carlson, B. F., &amp; Boulton, M. L. (2020). Vaccination assessments using the Demographic and Health Survey, 2005–2018: A scoping review. </w:t>
      </w:r>
      <w:r w:rsidRPr="00D1189B">
        <w:rPr>
          <w:rStyle w:val="Emphasis"/>
        </w:rPr>
        <w:t>BMJ Open, 10</w:t>
      </w:r>
      <w:r w:rsidRPr="00D1189B">
        <w:t xml:space="preserve">(12), e039693. </w:t>
      </w:r>
      <w:hyperlink r:id="rId32" w:history="1">
        <w:r w:rsidR="006907D2" w:rsidRPr="00D1189B">
          <w:rPr>
            <w:rStyle w:val="Hyperlink"/>
          </w:rPr>
          <w:t>https://doi.org/10.1136/bmjopen-2020-039693</w:t>
        </w:r>
      </w:hyperlink>
    </w:p>
    <w:p w:rsidR="00007AAB" w:rsidRPr="00D1189B" w:rsidRDefault="00007AAB" w:rsidP="00B92272">
      <w:pPr>
        <w:pStyle w:val="NormalWeb"/>
        <w:jc w:val="both"/>
      </w:pPr>
      <w:r w:rsidRPr="00D1189B">
        <w:t xml:space="preserve">Wariri, O., Edem, B., Nkereuwem, E., Nkereuwem, O. O., Umeh, G., Clark, E., Idoko, O. T., Nomhwange, T., &amp;Kampmann, B. (2019). Tracking coverage, dropout and multidimensional equity gaps in immunisation systems in West Africa, 2000–2017. </w:t>
      </w:r>
      <w:r w:rsidRPr="00D1189B">
        <w:rPr>
          <w:rStyle w:val="Emphasis"/>
        </w:rPr>
        <w:t>BMJ Global Health, 4</w:t>
      </w:r>
      <w:r w:rsidRPr="00D1189B">
        <w:t xml:space="preserve">(5), e001713. </w:t>
      </w:r>
      <w:hyperlink r:id="rId33" w:history="1">
        <w:r w:rsidRPr="00D1189B">
          <w:rPr>
            <w:rStyle w:val="Hyperlink"/>
          </w:rPr>
          <w:t>https://doi.org/10.1136/bmjgh-2019-001713</w:t>
        </w:r>
      </w:hyperlink>
    </w:p>
    <w:p w:rsidR="00007AAB" w:rsidRPr="00D1189B" w:rsidRDefault="00007AAB" w:rsidP="00B92272">
      <w:pPr>
        <w:pStyle w:val="NormalWeb"/>
        <w:jc w:val="both"/>
      </w:pPr>
      <w:r w:rsidRPr="00D1189B">
        <w:t xml:space="preserve">Yunusa, B., Garba, A. M., &amp; Idris, L. O. (2024). Improving timeliness and completeness of routine childhood immunization in Kano, Nigeria: A randomized evaluation of mobile reminders and supportive follow-up. </w:t>
      </w:r>
      <w:r w:rsidRPr="00D1189B">
        <w:rPr>
          <w:rStyle w:val="Emphasis"/>
        </w:rPr>
        <w:t>Journal of Pediatric Health Care, 38</w:t>
      </w:r>
      <w:r w:rsidRPr="00D1189B">
        <w:t xml:space="preserve">(5), 727–736. </w:t>
      </w:r>
      <w:hyperlink r:id="rId34" w:history="1">
        <w:r w:rsidRPr="00D1189B">
          <w:rPr>
            <w:rStyle w:val="Hyperlink"/>
          </w:rPr>
          <w:t>https://doi.org/10.1016/j.pedhc.2024.03.002</w:t>
        </w:r>
      </w:hyperlink>
    </w:p>
    <w:p w:rsidR="00925CAF" w:rsidRPr="00D1189B" w:rsidRDefault="00B92272" w:rsidP="00B92272">
      <w:pPr>
        <w:pStyle w:val="NormalWeb"/>
        <w:jc w:val="both"/>
      </w:pPr>
      <w:r w:rsidRPr="00D1189B">
        <w:rPr>
          <w:rFonts w:ascii="Arial" w:hAnsi="Arial" w:cs="Arial"/>
          <w:color w:val="222222"/>
          <w:sz w:val="20"/>
          <w:szCs w:val="20"/>
          <w:shd w:val="clear" w:color="auto" w:fill="FFFFFF"/>
        </w:rPr>
        <w:t>Ogunniyi, T. J. (2024). Revealing the challenges and efforts of routine immunization coverage in Nigeria. </w:t>
      </w:r>
      <w:r w:rsidRPr="00D1189B">
        <w:rPr>
          <w:rFonts w:ascii="Arial" w:hAnsi="Arial" w:cs="Arial"/>
          <w:i/>
          <w:iCs/>
          <w:color w:val="222222"/>
          <w:sz w:val="20"/>
          <w:szCs w:val="20"/>
          <w:shd w:val="clear" w:color="auto" w:fill="FFFFFF"/>
        </w:rPr>
        <w:t>Health Science Reports</w:t>
      </w:r>
      <w:r w:rsidRPr="00D1189B">
        <w:rPr>
          <w:rFonts w:ascii="Arial" w:hAnsi="Arial" w:cs="Arial"/>
          <w:color w:val="222222"/>
          <w:sz w:val="20"/>
          <w:szCs w:val="20"/>
          <w:shd w:val="clear" w:color="auto" w:fill="FFFFFF"/>
        </w:rPr>
        <w:t>, </w:t>
      </w:r>
      <w:r w:rsidRPr="00D1189B">
        <w:rPr>
          <w:rFonts w:ascii="Arial" w:hAnsi="Arial" w:cs="Arial"/>
          <w:i/>
          <w:iCs/>
          <w:color w:val="222222"/>
          <w:sz w:val="20"/>
          <w:szCs w:val="20"/>
          <w:shd w:val="clear" w:color="auto" w:fill="FFFFFF"/>
        </w:rPr>
        <w:t>7</w:t>
      </w:r>
      <w:r w:rsidRPr="00D1189B">
        <w:rPr>
          <w:rFonts w:ascii="Arial" w:hAnsi="Arial" w:cs="Arial"/>
          <w:color w:val="222222"/>
          <w:sz w:val="20"/>
          <w:szCs w:val="20"/>
          <w:shd w:val="clear" w:color="auto" w:fill="FFFFFF"/>
        </w:rPr>
        <w:t xml:space="preserve">(8), e70000. </w:t>
      </w:r>
      <w:hyperlink r:id="rId35" w:history="1">
        <w:r w:rsidRPr="00D1189B">
          <w:rPr>
            <w:rStyle w:val="Hyperlink"/>
            <w:rFonts w:ascii="Arial" w:hAnsi="Arial" w:cs="Arial"/>
            <w:b/>
            <w:bCs/>
            <w:color w:val="123D80"/>
            <w:sz w:val="21"/>
            <w:szCs w:val="21"/>
            <w:shd w:val="clear" w:color="auto" w:fill="FFFFFF"/>
          </w:rPr>
          <w:t>https://doi.org/10.1002/hsr2.70000</w:t>
        </w:r>
      </w:hyperlink>
    </w:p>
    <w:p w:rsidR="000E709D" w:rsidRPr="00D1189B" w:rsidRDefault="00B92272" w:rsidP="00B92272">
      <w:pPr>
        <w:pStyle w:val="NormalWeb"/>
        <w:jc w:val="both"/>
      </w:pPr>
      <w:r w:rsidRPr="00D1189B">
        <w:rPr>
          <w:rFonts w:ascii="Arial" w:hAnsi="Arial" w:cs="Arial"/>
          <w:color w:val="222222"/>
          <w:sz w:val="20"/>
          <w:szCs w:val="20"/>
          <w:shd w:val="clear" w:color="auto" w:fill="FFFFFF"/>
        </w:rPr>
        <w:t>Nandi, A., &amp;Shet, A. (2020). Why vaccines matter: understanding the broader health, economic, and child development benefits of routine vaccination. </w:t>
      </w:r>
      <w:r w:rsidRPr="00D1189B">
        <w:rPr>
          <w:rFonts w:ascii="Arial" w:hAnsi="Arial" w:cs="Arial"/>
          <w:i/>
          <w:iCs/>
          <w:color w:val="222222"/>
          <w:sz w:val="20"/>
          <w:szCs w:val="20"/>
          <w:shd w:val="clear" w:color="auto" w:fill="FFFFFF"/>
        </w:rPr>
        <w:t>Human vaccines &amp;immunotherapeutics</w:t>
      </w:r>
      <w:r w:rsidRPr="00D1189B">
        <w:rPr>
          <w:rFonts w:ascii="Arial" w:hAnsi="Arial" w:cs="Arial"/>
          <w:color w:val="222222"/>
          <w:sz w:val="20"/>
          <w:szCs w:val="20"/>
          <w:shd w:val="clear" w:color="auto" w:fill="FFFFFF"/>
        </w:rPr>
        <w:t>, </w:t>
      </w:r>
      <w:r w:rsidRPr="00D1189B">
        <w:rPr>
          <w:rFonts w:ascii="Arial" w:hAnsi="Arial" w:cs="Arial"/>
          <w:i/>
          <w:iCs/>
          <w:color w:val="222222"/>
          <w:sz w:val="20"/>
          <w:szCs w:val="20"/>
          <w:shd w:val="clear" w:color="auto" w:fill="FFFFFF"/>
        </w:rPr>
        <w:t>16</w:t>
      </w:r>
      <w:r w:rsidRPr="00D1189B">
        <w:rPr>
          <w:rFonts w:ascii="Arial" w:hAnsi="Arial" w:cs="Arial"/>
          <w:color w:val="222222"/>
          <w:sz w:val="20"/>
          <w:szCs w:val="20"/>
          <w:shd w:val="clear" w:color="auto" w:fill="FFFFFF"/>
        </w:rPr>
        <w:t xml:space="preserve">(8), 1900-1904. </w:t>
      </w:r>
      <w:r w:rsidRPr="00D1189B">
        <w:rPr>
          <w:rFonts w:ascii="Bahnschrift" w:hAnsi="Bahnschrift"/>
          <w:color w:val="1B1B1B"/>
          <w:sz w:val="25"/>
          <w:szCs w:val="25"/>
          <w:shd w:val="clear" w:color="auto" w:fill="FFFFFF"/>
        </w:rPr>
        <w:t>doi: </w:t>
      </w:r>
      <w:hyperlink r:id="rId36" w:tgtFrame="_blank" w:history="1">
        <w:r w:rsidRPr="00D1189B">
          <w:rPr>
            <w:rStyle w:val="Hyperlink"/>
            <w:rFonts w:ascii="Bahnschrift" w:hAnsi="Bahnschrift"/>
            <w:color w:val="005EA2"/>
            <w:sz w:val="25"/>
            <w:szCs w:val="25"/>
            <w:shd w:val="clear" w:color="auto" w:fill="FFFFFF"/>
          </w:rPr>
          <w:t>10.1080/21645515.2019.1708669</w:t>
        </w:r>
      </w:hyperlink>
    </w:p>
    <w:p w:rsidR="00DC74C9" w:rsidRPr="00356308" w:rsidRDefault="00B92272" w:rsidP="00B92272">
      <w:pPr>
        <w:pStyle w:val="Heading2"/>
        <w:jc w:val="both"/>
        <w:rPr>
          <w:b w:val="0"/>
          <w:sz w:val="20"/>
        </w:rPr>
      </w:pPr>
      <w:r w:rsidRPr="00D1189B">
        <w:rPr>
          <w:rStyle w:val="HTMLCite"/>
          <w:rFonts w:ascii="Cambria" w:hAnsi="Cambria"/>
          <w:b w:val="0"/>
          <w:i w:val="0"/>
          <w:iCs w:val="0"/>
          <w:color w:val="1B1B1B"/>
          <w:sz w:val="22"/>
          <w:szCs w:val="26"/>
          <w:shd w:val="clear" w:color="auto" w:fill="FFFFFF"/>
        </w:rPr>
        <w:t>Jalloh MF, Bennett SD, Alam D, Kouta P, Lourenço D, Alamgir M, Feldstein LR, Ehlman DC, Abad N, Kapil N. Rapid behavioral assessment of barriers and opportunities to improve vaccination coverage among displaced Rohingyas in Bangladesh, January 2018. Vaccine. 2019;37:833–38. doi: 10.1016/j.vaccine.2018.12.042.</w:t>
      </w:r>
      <w:r w:rsidRPr="00356308">
        <w:rPr>
          <w:rFonts w:ascii="Cambria" w:hAnsi="Cambria"/>
          <w:b w:val="0"/>
          <w:color w:val="1B1B1B"/>
          <w:sz w:val="22"/>
          <w:szCs w:val="26"/>
          <w:shd w:val="clear" w:color="auto" w:fill="FFFFFF"/>
        </w:rPr>
        <w:t> </w:t>
      </w:r>
    </w:p>
    <w:sectPr w:rsidR="00DC74C9" w:rsidRPr="00356308" w:rsidSect="00CB6EB6">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7C1" w:rsidRDefault="009C57C1" w:rsidP="00B56755">
      <w:pPr>
        <w:spacing w:after="0" w:line="240" w:lineRule="auto"/>
      </w:pPr>
      <w:r>
        <w:separator/>
      </w:r>
    </w:p>
  </w:endnote>
  <w:endnote w:type="continuationSeparator" w:id="1">
    <w:p w:rsidR="009C57C1" w:rsidRDefault="009C57C1" w:rsidP="00B56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55" w:rsidRDefault="00B567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55" w:rsidRDefault="00B567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55" w:rsidRDefault="00B56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7C1" w:rsidRDefault="009C57C1" w:rsidP="00B56755">
      <w:pPr>
        <w:spacing w:after="0" w:line="240" w:lineRule="auto"/>
      </w:pPr>
      <w:r>
        <w:separator/>
      </w:r>
    </w:p>
  </w:footnote>
  <w:footnote w:type="continuationSeparator" w:id="1">
    <w:p w:rsidR="009C57C1" w:rsidRDefault="009C57C1" w:rsidP="00B567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55" w:rsidRDefault="006263D2">
    <w:pPr>
      <w:pStyle w:val="Header"/>
    </w:pPr>
    <w:r w:rsidRPr="006263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60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55" w:rsidRDefault="006263D2">
    <w:pPr>
      <w:pStyle w:val="Header"/>
    </w:pPr>
    <w:r w:rsidRPr="006263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60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55" w:rsidRDefault="006263D2">
    <w:pPr>
      <w:pStyle w:val="Header"/>
    </w:pPr>
    <w:r w:rsidRPr="006263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60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2"/>
  </w:num>
  <w:num w:numId="5">
    <w:abstractNumId w:val="9"/>
  </w:num>
  <w:num w:numId="6">
    <w:abstractNumId w:val="3"/>
  </w:num>
  <w:num w:numId="7">
    <w:abstractNumId w:val="0"/>
  </w:num>
  <w:num w:numId="8">
    <w:abstractNumId w:val="11"/>
  </w:num>
  <w:num w:numId="9">
    <w:abstractNumId w:val="4"/>
  </w:num>
  <w:num w:numId="10">
    <w:abstractNumId w:val="5"/>
  </w:num>
  <w:num w:numId="11">
    <w:abstractNumId w:val="8"/>
  </w:num>
  <w:num w:numId="12">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NDA1NjA3sLQ0MDI2tDRS0lEKTi0uzszPAykwrAUAyrXNGiwAAAA="/>
  </w:docVars>
  <w:rsids>
    <w:rsidRoot w:val="00761CB6"/>
    <w:rsid w:val="00007AAB"/>
    <w:rsid w:val="000425DD"/>
    <w:rsid w:val="00053D7A"/>
    <w:rsid w:val="0006037D"/>
    <w:rsid w:val="0006413B"/>
    <w:rsid w:val="000643E7"/>
    <w:rsid w:val="000A0EB4"/>
    <w:rsid w:val="000C4F0E"/>
    <w:rsid w:val="000E67D1"/>
    <w:rsid w:val="000E709D"/>
    <w:rsid w:val="000F27AA"/>
    <w:rsid w:val="00114147"/>
    <w:rsid w:val="00125AB5"/>
    <w:rsid w:val="001261CC"/>
    <w:rsid w:val="00126ADF"/>
    <w:rsid w:val="00131E50"/>
    <w:rsid w:val="00135191"/>
    <w:rsid w:val="00142919"/>
    <w:rsid w:val="001560E3"/>
    <w:rsid w:val="00186E2A"/>
    <w:rsid w:val="001A165A"/>
    <w:rsid w:val="001A3703"/>
    <w:rsid w:val="001A7A4E"/>
    <w:rsid w:val="001B5753"/>
    <w:rsid w:val="001E6EC5"/>
    <w:rsid w:val="00202F35"/>
    <w:rsid w:val="0022042D"/>
    <w:rsid w:val="002312EA"/>
    <w:rsid w:val="00241209"/>
    <w:rsid w:val="0024324D"/>
    <w:rsid w:val="00260455"/>
    <w:rsid w:val="00271A26"/>
    <w:rsid w:val="002778DD"/>
    <w:rsid w:val="00284F1F"/>
    <w:rsid w:val="002A4C47"/>
    <w:rsid w:val="002B76E6"/>
    <w:rsid w:val="002C0DF9"/>
    <w:rsid w:val="002C48BB"/>
    <w:rsid w:val="002F4C0C"/>
    <w:rsid w:val="00307595"/>
    <w:rsid w:val="0031286E"/>
    <w:rsid w:val="00332243"/>
    <w:rsid w:val="00356308"/>
    <w:rsid w:val="0035701C"/>
    <w:rsid w:val="003664CE"/>
    <w:rsid w:val="003975AE"/>
    <w:rsid w:val="003A104D"/>
    <w:rsid w:val="003A4787"/>
    <w:rsid w:val="003B035B"/>
    <w:rsid w:val="003B3553"/>
    <w:rsid w:val="003B400E"/>
    <w:rsid w:val="003B6CCD"/>
    <w:rsid w:val="003C31E9"/>
    <w:rsid w:val="003E35A3"/>
    <w:rsid w:val="003F02C5"/>
    <w:rsid w:val="003F6E91"/>
    <w:rsid w:val="00405181"/>
    <w:rsid w:val="004132B1"/>
    <w:rsid w:val="004148C1"/>
    <w:rsid w:val="004148F5"/>
    <w:rsid w:val="00416C8C"/>
    <w:rsid w:val="00456E20"/>
    <w:rsid w:val="004615AF"/>
    <w:rsid w:val="004A16BD"/>
    <w:rsid w:val="004A508F"/>
    <w:rsid w:val="004A5427"/>
    <w:rsid w:val="004C1A63"/>
    <w:rsid w:val="004C6306"/>
    <w:rsid w:val="004C7547"/>
    <w:rsid w:val="004E7311"/>
    <w:rsid w:val="00516AA1"/>
    <w:rsid w:val="00523936"/>
    <w:rsid w:val="0052448D"/>
    <w:rsid w:val="0054487D"/>
    <w:rsid w:val="0056389E"/>
    <w:rsid w:val="00564FB4"/>
    <w:rsid w:val="00571246"/>
    <w:rsid w:val="005D2267"/>
    <w:rsid w:val="0061521F"/>
    <w:rsid w:val="00622C65"/>
    <w:rsid w:val="006263D2"/>
    <w:rsid w:val="00626F6E"/>
    <w:rsid w:val="00632906"/>
    <w:rsid w:val="00661483"/>
    <w:rsid w:val="006618F5"/>
    <w:rsid w:val="0067007E"/>
    <w:rsid w:val="00676549"/>
    <w:rsid w:val="0067685B"/>
    <w:rsid w:val="00683EC3"/>
    <w:rsid w:val="006907D2"/>
    <w:rsid w:val="00692471"/>
    <w:rsid w:val="00693DFE"/>
    <w:rsid w:val="00695D59"/>
    <w:rsid w:val="006A2C8B"/>
    <w:rsid w:val="006A39B3"/>
    <w:rsid w:val="006B66BC"/>
    <w:rsid w:val="006D455D"/>
    <w:rsid w:val="006E4B0A"/>
    <w:rsid w:val="006F708E"/>
    <w:rsid w:val="00711B14"/>
    <w:rsid w:val="00713825"/>
    <w:rsid w:val="00720F41"/>
    <w:rsid w:val="00737A32"/>
    <w:rsid w:val="00755BDC"/>
    <w:rsid w:val="00761CB6"/>
    <w:rsid w:val="0078275D"/>
    <w:rsid w:val="00783E9E"/>
    <w:rsid w:val="007B437D"/>
    <w:rsid w:val="007C7951"/>
    <w:rsid w:val="007D03BC"/>
    <w:rsid w:val="007D38FC"/>
    <w:rsid w:val="007E249F"/>
    <w:rsid w:val="007F1928"/>
    <w:rsid w:val="008017C0"/>
    <w:rsid w:val="00804929"/>
    <w:rsid w:val="008107F6"/>
    <w:rsid w:val="00812006"/>
    <w:rsid w:val="0083179B"/>
    <w:rsid w:val="008374C4"/>
    <w:rsid w:val="00856AFD"/>
    <w:rsid w:val="0087023A"/>
    <w:rsid w:val="00870945"/>
    <w:rsid w:val="00876190"/>
    <w:rsid w:val="008811F8"/>
    <w:rsid w:val="00883166"/>
    <w:rsid w:val="008A4BFC"/>
    <w:rsid w:val="008E71C6"/>
    <w:rsid w:val="008F3850"/>
    <w:rsid w:val="00925CAF"/>
    <w:rsid w:val="00951A3D"/>
    <w:rsid w:val="009929A7"/>
    <w:rsid w:val="00992B92"/>
    <w:rsid w:val="00994A4A"/>
    <w:rsid w:val="009B07CB"/>
    <w:rsid w:val="009B3A8A"/>
    <w:rsid w:val="009B55DE"/>
    <w:rsid w:val="009C57C1"/>
    <w:rsid w:val="009D0B9D"/>
    <w:rsid w:val="009D5BA5"/>
    <w:rsid w:val="009E5244"/>
    <w:rsid w:val="009F0120"/>
    <w:rsid w:val="00A029C3"/>
    <w:rsid w:val="00A2270F"/>
    <w:rsid w:val="00A27BF4"/>
    <w:rsid w:val="00A478B2"/>
    <w:rsid w:val="00A50845"/>
    <w:rsid w:val="00A5299F"/>
    <w:rsid w:val="00A54719"/>
    <w:rsid w:val="00A57A87"/>
    <w:rsid w:val="00A7055A"/>
    <w:rsid w:val="00A90A14"/>
    <w:rsid w:val="00AA2B64"/>
    <w:rsid w:val="00AA4644"/>
    <w:rsid w:val="00AB0C7A"/>
    <w:rsid w:val="00AB1103"/>
    <w:rsid w:val="00AE651D"/>
    <w:rsid w:val="00AF7425"/>
    <w:rsid w:val="00B06888"/>
    <w:rsid w:val="00B1065D"/>
    <w:rsid w:val="00B451DB"/>
    <w:rsid w:val="00B56755"/>
    <w:rsid w:val="00B84C19"/>
    <w:rsid w:val="00B92272"/>
    <w:rsid w:val="00BA6F03"/>
    <w:rsid w:val="00BB6828"/>
    <w:rsid w:val="00BC43AE"/>
    <w:rsid w:val="00BD22E5"/>
    <w:rsid w:val="00BF0896"/>
    <w:rsid w:val="00BF26BF"/>
    <w:rsid w:val="00C04B81"/>
    <w:rsid w:val="00C13468"/>
    <w:rsid w:val="00C3420C"/>
    <w:rsid w:val="00C40318"/>
    <w:rsid w:val="00C404E0"/>
    <w:rsid w:val="00C524EC"/>
    <w:rsid w:val="00C5683C"/>
    <w:rsid w:val="00C57B8F"/>
    <w:rsid w:val="00C6694F"/>
    <w:rsid w:val="00C7136B"/>
    <w:rsid w:val="00C93A8A"/>
    <w:rsid w:val="00C955E0"/>
    <w:rsid w:val="00CB6EB6"/>
    <w:rsid w:val="00CB75A8"/>
    <w:rsid w:val="00CE051F"/>
    <w:rsid w:val="00CE0C42"/>
    <w:rsid w:val="00CE5BFA"/>
    <w:rsid w:val="00D07932"/>
    <w:rsid w:val="00D1189B"/>
    <w:rsid w:val="00D2322A"/>
    <w:rsid w:val="00D40796"/>
    <w:rsid w:val="00D63323"/>
    <w:rsid w:val="00D71250"/>
    <w:rsid w:val="00D75C9D"/>
    <w:rsid w:val="00D9293B"/>
    <w:rsid w:val="00DC6BC2"/>
    <w:rsid w:val="00DC74C9"/>
    <w:rsid w:val="00DD62DF"/>
    <w:rsid w:val="00DE1D59"/>
    <w:rsid w:val="00DF20BB"/>
    <w:rsid w:val="00DF5AB4"/>
    <w:rsid w:val="00E125DA"/>
    <w:rsid w:val="00E20962"/>
    <w:rsid w:val="00E643E8"/>
    <w:rsid w:val="00E7044C"/>
    <w:rsid w:val="00E76785"/>
    <w:rsid w:val="00EA45FD"/>
    <w:rsid w:val="00EC266D"/>
    <w:rsid w:val="00EC4D6C"/>
    <w:rsid w:val="00EE2E7D"/>
    <w:rsid w:val="00F13040"/>
    <w:rsid w:val="00F6047F"/>
    <w:rsid w:val="00F754E8"/>
    <w:rsid w:val="00FA03AB"/>
    <w:rsid w:val="00FA7321"/>
    <w:rsid w:val="00FB6475"/>
    <w:rsid w:val="00FC3F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B56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755"/>
  </w:style>
  <w:style w:type="paragraph" w:styleId="Footer">
    <w:name w:val="footer"/>
    <w:basedOn w:val="Normal"/>
    <w:link w:val="FooterChar"/>
    <w:uiPriority w:val="99"/>
    <w:unhideWhenUsed/>
    <w:rsid w:val="00B56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55"/>
  </w:style>
  <w:style w:type="character" w:styleId="HTMLCite">
    <w:name w:val="HTML Cite"/>
    <w:basedOn w:val="DefaultParagraphFont"/>
    <w:uiPriority w:val="99"/>
    <w:semiHidden/>
    <w:unhideWhenUsed/>
    <w:rsid w:val="00B92272"/>
    <w:rPr>
      <w:i/>
      <w:iCs/>
    </w:rPr>
  </w:style>
</w:styles>
</file>

<file path=word/webSettings.xml><?xml version="1.0" encoding="utf-8"?>
<w:webSettings xmlns:r="http://schemas.openxmlformats.org/officeDocument/2006/relationships" xmlns:w="http://schemas.openxmlformats.org/wordprocessingml/2006/main">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645515.2020.1827609" TargetMode="External"/><Relationship Id="rId13" Type="http://schemas.openxmlformats.org/officeDocument/2006/relationships/hyperlink" Target="https://doi.org/10.3389/fpubh.2019.00392" TargetMode="External"/><Relationship Id="rId18" Type="http://schemas.openxmlformats.org/officeDocument/2006/relationships/hyperlink" Target="https://doi.org/10.12688/gatesopenres.12916.2" TargetMode="External"/><Relationship Id="rId26" Type="http://schemas.openxmlformats.org/officeDocument/2006/relationships/hyperlink" Target="https://doi.org/10.1016/j.vaccine.2022.07.058"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36/bmjopen-2020-047445" TargetMode="External"/><Relationship Id="rId34" Type="http://schemas.openxmlformats.org/officeDocument/2006/relationships/hyperlink" Target="https://doi.org/10.1016/j.pedhc.2024.03.002"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38/s41598-024-57345-y" TargetMode="External"/><Relationship Id="rId17" Type="http://schemas.openxmlformats.org/officeDocument/2006/relationships/hyperlink" Target="https://doi.org/10.1016/j.vaccine.2016.06.053" TargetMode="External"/><Relationship Id="rId25" Type="http://schemas.openxmlformats.org/officeDocument/2006/relationships/hyperlink" Target="https://doi.org/10.1016/j.vaccine.2020.10.021" TargetMode="External"/><Relationship Id="rId33" Type="http://schemas.openxmlformats.org/officeDocument/2006/relationships/hyperlink" Target="https://doi.org/10.1136/bmjgh-2019-001713"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vaccine.2018.10.006" TargetMode="External"/><Relationship Id="rId20" Type="http://schemas.openxmlformats.org/officeDocument/2006/relationships/hyperlink" Target="https://doi.org/10.1093/infdis/jiu373" TargetMode="External"/><Relationship Id="rId29" Type="http://schemas.openxmlformats.org/officeDocument/2006/relationships/hyperlink" Target="https://doi.org/10.1371/journal.pone.018673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69066" TargetMode="External"/><Relationship Id="rId24" Type="http://schemas.openxmlformats.org/officeDocument/2006/relationships/hyperlink" Target="https://doi.org/10.1093/infdis/jiad476" TargetMode="External"/><Relationship Id="rId32" Type="http://schemas.openxmlformats.org/officeDocument/2006/relationships/hyperlink" Target="https://doi.org/10.1136/bmjopen-2020-03969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vaccine.2021.02.072" TargetMode="External"/><Relationship Id="rId23" Type="http://schemas.openxmlformats.org/officeDocument/2006/relationships/hyperlink" Target="https://doi.org/10.1371/journal.pone.0167835" TargetMode="External"/><Relationship Id="rId28" Type="http://schemas.openxmlformats.org/officeDocument/2006/relationships/hyperlink" Target="https://doi.org/10.1186/s12889-020-8170-6" TargetMode="External"/><Relationship Id="rId36" Type="http://schemas.openxmlformats.org/officeDocument/2006/relationships/hyperlink" Target="https://doi.org/10.1080/21645515.2019.1708669" TargetMode="External"/><Relationship Id="rId10" Type="http://schemas.openxmlformats.org/officeDocument/2006/relationships/hyperlink" Target="https://doi.org/10.1016/j.vaccine.2017.04.034" TargetMode="External"/><Relationship Id="rId19" Type="http://schemas.openxmlformats.org/officeDocument/2006/relationships/hyperlink" Target="https://doi.org/10.1016/j.vaccine.2020.05.026" TargetMode="External"/><Relationship Id="rId31" Type="http://schemas.openxmlformats.org/officeDocument/2006/relationships/hyperlink" Target="https://doi.org/10.3390/vaccines1101018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86/s12889-017-4137-7" TargetMode="External"/><Relationship Id="rId14" Type="http://schemas.openxmlformats.org/officeDocument/2006/relationships/hyperlink" Target="https://doi.org/10.1186/s12982-025-00512-x" TargetMode="External"/><Relationship Id="rId22" Type="http://schemas.openxmlformats.org/officeDocument/2006/relationships/hyperlink" Target="https://doi.org/10.1371/journal.pone.0252798" TargetMode="External"/><Relationship Id="rId27" Type="http://schemas.openxmlformats.org/officeDocument/2006/relationships/hyperlink" Target="https://doi.org/10.1016/j.jvacx.2024.100563" TargetMode="External"/><Relationship Id="rId30" Type="http://schemas.openxmlformats.org/officeDocument/2006/relationships/hyperlink" Target="https://doi.org/10.1186/s12982-024-00283-x" TargetMode="External"/><Relationship Id="rId35" Type="http://schemas.openxmlformats.org/officeDocument/2006/relationships/hyperlink" Target="https://doi.org/10.1002/hsr2.7000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FC04B-E31F-4CB4-89B4-396A2DC3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15</Pages>
  <Words>7163</Words>
  <Characters>40834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user</cp:lastModifiedBy>
  <cp:revision>56</cp:revision>
  <cp:lastPrinted>2025-12-13T07:14:00Z</cp:lastPrinted>
  <dcterms:created xsi:type="dcterms:W3CDTF">2025-09-24T12:44:00Z</dcterms:created>
  <dcterms:modified xsi:type="dcterms:W3CDTF">2025-12-20T12:52:00Z</dcterms:modified>
</cp:coreProperties>
</file>