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99583" w14:textId="77777777" w:rsidR="00362DFD" w:rsidRPr="00362DFD" w:rsidRDefault="00362DFD" w:rsidP="00362DFD">
      <w:pPr>
        <w:spacing w:after="120"/>
        <w:jc w:val="center"/>
        <w:rPr>
          <w:rFonts w:cs="Times New Roman"/>
          <w:b/>
          <w:kern w:val="28"/>
          <w:sz w:val="36"/>
          <w:lang w:val="en-US"/>
        </w:rPr>
      </w:pPr>
      <w:r w:rsidRPr="00362DFD">
        <w:rPr>
          <w:rFonts w:cs="Times New Roman"/>
          <w:b/>
          <w:kern w:val="28"/>
          <w:sz w:val="36"/>
          <w:lang w:val="en-US"/>
        </w:rPr>
        <w:t xml:space="preserve">SOCIO-ECONOMIC PROFILE OF VANNAMEI SHRIMP FARMING </w:t>
      </w:r>
      <w:r w:rsidRPr="00362DFD">
        <w:rPr>
          <w:rFonts w:cs="Times New Roman"/>
          <w:b/>
          <w:i/>
          <w:iCs/>
          <w:kern w:val="28"/>
          <w:sz w:val="36"/>
          <w:lang w:val="en-US"/>
        </w:rPr>
        <w:t>(</w:t>
      </w:r>
      <w:proofErr w:type="spellStart"/>
      <w:r w:rsidRPr="00362DFD">
        <w:rPr>
          <w:rFonts w:cs="Times New Roman"/>
          <w:b/>
          <w:i/>
          <w:iCs/>
          <w:kern w:val="28"/>
          <w:sz w:val="36"/>
          <w:lang w:val="en-US"/>
        </w:rPr>
        <w:t>Litopenaeus</w:t>
      </w:r>
      <w:proofErr w:type="spellEnd"/>
      <w:r w:rsidRPr="00362DFD">
        <w:rPr>
          <w:rFonts w:cs="Times New Roman"/>
          <w:b/>
          <w:i/>
          <w:iCs/>
          <w:kern w:val="28"/>
          <w:sz w:val="36"/>
          <w:lang w:val="en-US"/>
        </w:rPr>
        <w:t xml:space="preserve"> </w:t>
      </w:r>
      <w:proofErr w:type="spellStart"/>
      <w:r w:rsidRPr="00362DFD">
        <w:rPr>
          <w:rFonts w:cs="Times New Roman"/>
          <w:b/>
          <w:i/>
          <w:iCs/>
          <w:kern w:val="28"/>
          <w:sz w:val="36"/>
          <w:lang w:val="en-US"/>
        </w:rPr>
        <w:t>vannamei</w:t>
      </w:r>
      <w:proofErr w:type="spellEnd"/>
      <w:r w:rsidRPr="00362DFD">
        <w:rPr>
          <w:rFonts w:cs="Times New Roman"/>
          <w:b/>
          <w:i/>
          <w:iCs/>
          <w:kern w:val="28"/>
          <w:sz w:val="36"/>
          <w:lang w:val="en-US"/>
        </w:rPr>
        <w:t>)</w:t>
      </w:r>
      <w:r w:rsidRPr="00362DFD">
        <w:rPr>
          <w:rFonts w:cs="Times New Roman"/>
          <w:b/>
          <w:kern w:val="28"/>
          <w:sz w:val="36"/>
          <w:lang w:val="en-US"/>
        </w:rPr>
        <w:t xml:space="preserve"> MSMEs IN THE NORTH COAST OF WEST JAVA, INDONESIA</w:t>
      </w:r>
    </w:p>
    <w:p w14:paraId="1AB735BC" w14:textId="25FA5621" w:rsidR="009765D0" w:rsidRDefault="009765D0">
      <w:pPr>
        <w:pBdr>
          <w:top w:val="nil"/>
          <w:left w:val="nil"/>
          <w:bottom w:val="nil"/>
          <w:right w:val="nil"/>
          <w:between w:val="nil"/>
        </w:pBdr>
        <w:spacing w:after="240"/>
        <w:jc w:val="right"/>
        <w:rPr>
          <w:color w:val="000000"/>
        </w:rPr>
      </w:pPr>
    </w:p>
    <w:p w14:paraId="0FC6F560" w14:textId="77777777" w:rsidR="003D5FC2" w:rsidRDefault="003D5FC2">
      <w:pPr>
        <w:pBdr>
          <w:top w:val="nil"/>
          <w:left w:val="nil"/>
          <w:bottom w:val="nil"/>
          <w:right w:val="nil"/>
          <w:between w:val="nil"/>
        </w:pBdr>
        <w:spacing w:after="240"/>
        <w:jc w:val="right"/>
        <w:rPr>
          <w:color w:val="000000"/>
        </w:rPr>
      </w:pPr>
    </w:p>
    <w:p w14:paraId="0195317C"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ABSTRACT</w:t>
      </w:r>
    </w:p>
    <w:p w14:paraId="45316034" w14:textId="6A57BE82" w:rsidR="009765D0" w:rsidRDefault="002A1EAC">
      <w:pPr>
        <w:pBdr>
          <w:top w:val="nil"/>
          <w:left w:val="nil"/>
          <w:bottom w:val="nil"/>
          <w:right w:val="nil"/>
          <w:between w:val="nil"/>
        </w:pBdr>
        <w:spacing w:after="40" w:line="276" w:lineRule="auto"/>
        <w:jc w:val="both"/>
        <w:rPr>
          <w:color w:val="000000"/>
        </w:rPr>
      </w:pPr>
      <w:r w:rsidRPr="002A1EAC">
        <w:rPr>
          <w:color w:val="000000"/>
        </w:rPr>
        <w:t xml:space="preserve">This study profiles the socio-economic and production characteristics of </w:t>
      </w:r>
      <w:proofErr w:type="spellStart"/>
      <w:r w:rsidRPr="002A1EAC">
        <w:rPr>
          <w:color w:val="000000"/>
        </w:rPr>
        <w:t>vannamei</w:t>
      </w:r>
      <w:proofErr w:type="spellEnd"/>
      <w:r w:rsidRPr="002A1EAC">
        <w:rPr>
          <w:color w:val="000000"/>
        </w:rPr>
        <w:t xml:space="preserve"> shrimp farming MSMEs along the North Coast of West Java, Indonesia (Bekasi, </w:t>
      </w:r>
      <w:proofErr w:type="spellStart"/>
      <w:r w:rsidRPr="002A1EAC">
        <w:rPr>
          <w:color w:val="000000"/>
        </w:rPr>
        <w:t>Karawang</w:t>
      </w:r>
      <w:proofErr w:type="spellEnd"/>
      <w:r w:rsidRPr="002A1EAC">
        <w:rPr>
          <w:color w:val="000000"/>
        </w:rPr>
        <w:t xml:space="preserve">, Subang, </w:t>
      </w:r>
      <w:proofErr w:type="spellStart"/>
      <w:r w:rsidRPr="002A1EAC">
        <w:rPr>
          <w:color w:val="000000"/>
        </w:rPr>
        <w:t>Indramayu</w:t>
      </w:r>
      <w:proofErr w:type="spellEnd"/>
      <w:r w:rsidRPr="002A1EAC">
        <w:rPr>
          <w:color w:val="000000"/>
        </w:rPr>
        <w:t>, and Cirebon). A descriptive quantitative survey was conducted in October 2025 using a structured questionnaire administered to 40 farmers, and the data were analyzed using frequencies, percentages, descriptive summaries, and cross</w:t>
      </w:r>
      <w:r>
        <w:rPr>
          <w:color w:val="000000"/>
        </w:rPr>
        <w:t xml:space="preserve"> </w:t>
      </w:r>
      <w:r w:rsidRPr="002A1EAC">
        <w:rPr>
          <w:color w:val="000000"/>
        </w:rPr>
        <w:t>tabulation. Results indicate that respondents were predominantly within the productive age range (31–60 years), all were male and married, and education was dominated by senior high/vocational (50%) and university level (25%). Enterprises were mostly individually operated (97.5%) and concentrated in micro–small categories, while respondents were spatially clustered in Cirebon (n=16) and Subang (n=14). Production was largely intensive (70%) with a mean stocking density of 114.2 shrimp m</w:t>
      </w:r>
      <w:r w:rsidRPr="002A1EAC">
        <w:rPr>
          <w:rFonts w:ascii="Cambria Math" w:hAnsi="Cambria Math" w:cs="Cambria Math"/>
          <w:color w:val="000000"/>
        </w:rPr>
        <w:t>⁻</w:t>
      </w:r>
      <w:r w:rsidRPr="002A1EAC">
        <w:rPr>
          <w:color w:val="000000"/>
        </w:rPr>
        <w:t xml:space="preserve">³, and ponds were mainly HDPE-lined (92.5%). Loan access was relatively high (72.5%), largely through banks. These findings support </w:t>
      </w:r>
      <w:proofErr w:type="gramStart"/>
      <w:r w:rsidRPr="002A1EAC">
        <w:rPr>
          <w:color w:val="000000"/>
        </w:rPr>
        <w:t>cluster</w:t>
      </w:r>
      <w:r w:rsidR="00066594">
        <w:rPr>
          <w:color w:val="000000"/>
        </w:rPr>
        <w:t xml:space="preserve"> </w:t>
      </w:r>
      <w:r w:rsidRPr="002A1EAC">
        <w:rPr>
          <w:color w:val="000000"/>
        </w:rPr>
        <w:t>oriented</w:t>
      </w:r>
      <w:proofErr w:type="gramEnd"/>
      <w:r w:rsidRPr="002A1EAC">
        <w:rPr>
          <w:color w:val="000000"/>
        </w:rPr>
        <w:t xml:space="preserve"> extension, risk</w:t>
      </w:r>
      <w:r>
        <w:rPr>
          <w:color w:val="000000"/>
        </w:rPr>
        <w:t xml:space="preserve"> </w:t>
      </w:r>
      <w:r w:rsidRPr="002A1EAC">
        <w:rPr>
          <w:color w:val="000000"/>
        </w:rPr>
        <w:t>aware and cycle</w:t>
      </w:r>
      <w:r w:rsidR="00066594">
        <w:rPr>
          <w:color w:val="000000"/>
        </w:rPr>
        <w:t xml:space="preserve"> </w:t>
      </w:r>
      <w:r w:rsidRPr="002A1EAC">
        <w:rPr>
          <w:color w:val="000000"/>
        </w:rPr>
        <w:t>aligned financing, and targeted infrastructure support to improve MSME sustainability and competitiveness.</w:t>
      </w:r>
    </w:p>
    <w:p w14:paraId="12447346" w14:textId="77777777" w:rsidR="009765D0" w:rsidRDefault="0051542C">
      <w:pPr>
        <w:pBdr>
          <w:top w:val="nil"/>
          <w:left w:val="nil"/>
          <w:bottom w:val="nil"/>
          <w:right w:val="nil"/>
          <w:between w:val="nil"/>
        </w:pBdr>
        <w:spacing w:after="240"/>
        <w:jc w:val="both"/>
        <w:rPr>
          <w:color w:val="000000"/>
        </w:rPr>
      </w:pPr>
      <w:r>
        <w:rPr>
          <w:i/>
          <w:iCs/>
          <w:color w:val="000000"/>
        </w:rPr>
        <w:t xml:space="preserve">Keywords: MSMEs; </w:t>
      </w:r>
      <w:proofErr w:type="spellStart"/>
      <w:r>
        <w:rPr>
          <w:i/>
          <w:iCs/>
          <w:color w:val="000000"/>
        </w:rPr>
        <w:t>vannamei</w:t>
      </w:r>
      <w:proofErr w:type="spellEnd"/>
      <w:r>
        <w:rPr>
          <w:i/>
          <w:iCs/>
          <w:color w:val="000000"/>
        </w:rPr>
        <w:t xml:space="preserve"> shrimp; socio-economic profile; North Coast of West Java.</w:t>
      </w:r>
    </w:p>
    <w:p w14:paraId="670709BC"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1. INTRODUCTION</w:t>
      </w:r>
    </w:p>
    <w:p w14:paraId="140D722D" w14:textId="7313FD7B" w:rsidR="009765D0" w:rsidRDefault="0051542C">
      <w:pPr>
        <w:pBdr>
          <w:top w:val="nil"/>
          <w:left w:val="nil"/>
          <w:bottom w:val="nil"/>
          <w:right w:val="nil"/>
          <w:between w:val="nil"/>
        </w:pBdr>
        <w:spacing w:after="120" w:line="276" w:lineRule="auto"/>
        <w:jc w:val="both"/>
        <w:rPr>
          <w:color w:val="000000"/>
        </w:rPr>
      </w:pPr>
      <w:proofErr w:type="spellStart"/>
      <w:r>
        <w:rPr>
          <w:color w:val="000000"/>
        </w:rPr>
        <w:t>Vannamei</w:t>
      </w:r>
      <w:proofErr w:type="spellEnd"/>
      <w:r>
        <w:rPr>
          <w:color w:val="000000"/>
        </w:rPr>
        <w:t xml:space="preserve"> shrimp farming MSMEs (</w:t>
      </w:r>
      <w:proofErr w:type="spellStart"/>
      <w:r>
        <w:rPr>
          <w:i/>
          <w:iCs/>
          <w:color w:val="000000"/>
        </w:rPr>
        <w:t>Litopenaeus</w:t>
      </w:r>
      <w:proofErr w:type="spellEnd"/>
      <w:r>
        <w:rPr>
          <w:i/>
          <w:iCs/>
          <w:color w:val="000000"/>
        </w:rPr>
        <w:t xml:space="preserve"> </w:t>
      </w:r>
      <w:proofErr w:type="spellStart"/>
      <w:r>
        <w:rPr>
          <w:i/>
          <w:iCs/>
          <w:color w:val="000000"/>
        </w:rPr>
        <w:t>vannamei</w:t>
      </w:r>
      <w:proofErr w:type="spellEnd"/>
      <w:r>
        <w:rPr>
          <w:color w:val="000000"/>
        </w:rPr>
        <w:t>) play an important role in coastal economies through income generation and employment creation. However, shrimp pond operations are capital</w:t>
      </w:r>
      <w:r w:rsidR="002A1EAC">
        <w:rPr>
          <w:color w:val="000000"/>
        </w:rPr>
        <w:t xml:space="preserve"> </w:t>
      </w:r>
      <w:r>
        <w:rPr>
          <w:color w:val="000000"/>
        </w:rPr>
        <w:t xml:space="preserve">intensive and </w:t>
      </w:r>
      <w:r w:rsidR="002A1EAC">
        <w:rPr>
          <w:color w:val="000000"/>
        </w:rPr>
        <w:t>risky</w:t>
      </w:r>
      <w:r>
        <w:rPr>
          <w:color w:val="000000"/>
        </w:rPr>
        <w:t xml:space="preserve"> because performance is strongly affected by water quality, disease outbreaks, weather variability, and volatility in input and harvest prices. Therefore, a clear understanding of farmers’ socio-economic profiles and business characteristics is needed </w:t>
      </w:r>
      <w:r w:rsidR="00066594" w:rsidRPr="00066594">
        <w:rPr>
          <w:color w:val="000000"/>
        </w:rPr>
        <w:t>to inform capacity-building programs, adaptive financing, and infrastructure support (FAO, 2020; Boyd &amp; Tucker, 2012; Stentiford et al., 2017).</w:t>
      </w:r>
    </w:p>
    <w:p w14:paraId="5CC99ECA" w14:textId="5B086CC9" w:rsidR="002A1EAC" w:rsidRDefault="002A1EAC">
      <w:pPr>
        <w:pBdr>
          <w:top w:val="nil"/>
          <w:left w:val="nil"/>
          <w:bottom w:val="nil"/>
          <w:right w:val="nil"/>
          <w:between w:val="nil"/>
        </w:pBdr>
        <w:spacing w:after="120" w:line="276" w:lineRule="auto"/>
        <w:jc w:val="both"/>
        <w:rPr>
          <w:color w:val="000000"/>
        </w:rPr>
      </w:pPr>
      <w:r w:rsidRPr="002A1EAC">
        <w:rPr>
          <w:color w:val="000000"/>
        </w:rPr>
        <w:t>Shrimp farming is also capital intensive and operationally sensitive, as performance can change rapidly under intensive conditions when water quality and disease risks are not managed properly. These features make governance, biosecurity, and operational discipline central to the sustainability of shrimp MSMEs (FAO, 2020; Boyd &amp; Tucker, 2012; Stentiford et al., 2017).</w:t>
      </w:r>
    </w:p>
    <w:p w14:paraId="62E1EC02" w14:textId="77777777" w:rsidR="009765D0" w:rsidRDefault="0051542C">
      <w:pPr>
        <w:pBdr>
          <w:top w:val="nil"/>
          <w:left w:val="nil"/>
          <w:bottom w:val="nil"/>
          <w:right w:val="nil"/>
          <w:between w:val="nil"/>
        </w:pBdr>
        <w:spacing w:after="120" w:line="276" w:lineRule="auto"/>
        <w:jc w:val="both"/>
        <w:rPr>
          <w:color w:val="000000"/>
        </w:rPr>
      </w:pPr>
      <w:r>
        <w:rPr>
          <w:color w:val="000000"/>
        </w:rPr>
        <w:t>Globally, the growing contribution of aquaculture to food supply has increased attention to sustainability and sector governance (FAO, 2020). In shrimp farming, sustainability is closely linked to effective water management, including the availability of reservoir/settling ponds and wastewater treatment facilities (IPAL), particularly as production systems become more intensive.</w:t>
      </w:r>
    </w:p>
    <w:p w14:paraId="1027E365" w14:textId="0E32C8A8" w:rsidR="009765D0" w:rsidRDefault="0051542C">
      <w:pPr>
        <w:pBdr>
          <w:top w:val="nil"/>
          <w:left w:val="nil"/>
          <w:bottom w:val="nil"/>
          <w:right w:val="nil"/>
          <w:between w:val="nil"/>
        </w:pBdr>
        <w:spacing w:after="120" w:line="276" w:lineRule="auto"/>
        <w:jc w:val="both"/>
        <w:rPr>
          <w:color w:val="000000"/>
        </w:rPr>
      </w:pPr>
      <w:r>
        <w:rPr>
          <w:color w:val="000000"/>
        </w:rPr>
        <w:lastRenderedPageBreak/>
        <w:t>The North Coast of West Java is a major shrimp-pond region with heterogeneous farmer and enterprise characteristics across regencies. Nevertheless, cross</w:t>
      </w:r>
      <w:r w:rsidR="002A1EAC">
        <w:rPr>
          <w:color w:val="000000"/>
        </w:rPr>
        <w:t xml:space="preserve"> </w:t>
      </w:r>
      <w:r>
        <w:rPr>
          <w:color w:val="000000"/>
        </w:rPr>
        <w:t>regency evidence that comprehensively profiles MSMEs—covering socio-economic dimensions, business and production scale, water</w:t>
      </w:r>
      <w:r w:rsidR="002A1EAC">
        <w:rPr>
          <w:color w:val="000000"/>
        </w:rPr>
        <w:t xml:space="preserve"> </w:t>
      </w:r>
      <w:r>
        <w:rPr>
          <w:color w:val="000000"/>
        </w:rPr>
        <w:t xml:space="preserve">management infrastructure, and access to finance—remains limited. This study aims to develop a socio-economic profile of </w:t>
      </w:r>
      <w:proofErr w:type="spellStart"/>
      <w:r>
        <w:rPr>
          <w:color w:val="000000"/>
        </w:rPr>
        <w:t>vannamei</w:t>
      </w:r>
      <w:proofErr w:type="spellEnd"/>
      <w:r>
        <w:rPr>
          <w:color w:val="000000"/>
        </w:rPr>
        <w:t xml:space="preserve"> shrimp farming MSMEs in the North Coast of West Java and to derive more targeted policy implications for MSME development.</w:t>
      </w:r>
    </w:p>
    <w:p w14:paraId="6AE3A159" w14:textId="1D4E149C" w:rsidR="002A1EAC" w:rsidRDefault="002A1EAC">
      <w:pPr>
        <w:pBdr>
          <w:top w:val="nil"/>
          <w:left w:val="nil"/>
          <w:bottom w:val="nil"/>
          <w:right w:val="nil"/>
          <w:between w:val="nil"/>
        </w:pBdr>
        <w:spacing w:after="120" w:line="276" w:lineRule="auto"/>
        <w:jc w:val="both"/>
        <w:rPr>
          <w:color w:val="000000"/>
        </w:rPr>
      </w:pPr>
      <w:r w:rsidRPr="002A1EAC">
        <w:rPr>
          <w:color w:val="000000"/>
        </w:rPr>
        <w:t xml:space="preserve">Although </w:t>
      </w:r>
      <w:proofErr w:type="spellStart"/>
      <w:r w:rsidRPr="002A1EAC">
        <w:rPr>
          <w:color w:val="000000"/>
        </w:rPr>
        <w:t>vannamei</w:t>
      </w:r>
      <w:proofErr w:type="spellEnd"/>
      <w:r w:rsidRPr="002A1EAC">
        <w:rPr>
          <w:color w:val="000000"/>
        </w:rPr>
        <w:t xml:space="preserve"> production has expanded, farm</w:t>
      </w:r>
      <w:r w:rsidR="00066594">
        <w:rPr>
          <w:color w:val="000000"/>
        </w:rPr>
        <w:t xml:space="preserve"> </w:t>
      </w:r>
      <w:r w:rsidRPr="002A1EAC">
        <w:rPr>
          <w:color w:val="000000"/>
        </w:rPr>
        <w:t>level evidence that links MSME socio-economic characteristics with production intensity, infrastructure readiness, and financing access remains limited in many smallholder-dominated settings, particularly where enterprise structures are fragmented (Rimmer et al., 2013; Henriksson et al., 2017; Pomeroy et al., 2020).</w:t>
      </w:r>
    </w:p>
    <w:p w14:paraId="654B44EC"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2. MATERIALS AND METHODS</w:t>
      </w:r>
    </w:p>
    <w:p w14:paraId="13A00A86" w14:textId="69EBE549" w:rsidR="009765D0" w:rsidRDefault="0051542C">
      <w:pPr>
        <w:pBdr>
          <w:top w:val="nil"/>
          <w:left w:val="nil"/>
          <w:bottom w:val="nil"/>
          <w:right w:val="nil"/>
          <w:between w:val="nil"/>
        </w:pBdr>
        <w:spacing w:after="120" w:line="276" w:lineRule="auto"/>
        <w:jc w:val="both"/>
        <w:rPr>
          <w:color w:val="000000"/>
        </w:rPr>
      </w:pPr>
      <w:r>
        <w:rPr>
          <w:color w:val="000000"/>
        </w:rPr>
        <w:t>This study applied a descriptive quantitative, cross</w:t>
      </w:r>
      <w:r w:rsidR="002A1EAC">
        <w:rPr>
          <w:color w:val="000000"/>
        </w:rPr>
        <w:t xml:space="preserve"> </w:t>
      </w:r>
      <w:r>
        <w:rPr>
          <w:color w:val="000000"/>
        </w:rPr>
        <w:t xml:space="preserve">sectional survey design. Primary data were collected in October 2025 from MSME </w:t>
      </w:r>
      <w:proofErr w:type="spellStart"/>
      <w:r>
        <w:rPr>
          <w:color w:val="000000"/>
        </w:rPr>
        <w:t>vannamei</w:t>
      </w:r>
      <w:proofErr w:type="spellEnd"/>
      <w:r>
        <w:rPr>
          <w:color w:val="000000"/>
        </w:rPr>
        <w:t xml:space="preserve"> shrimp farmers in Bekasi, </w:t>
      </w:r>
      <w:proofErr w:type="spellStart"/>
      <w:r>
        <w:rPr>
          <w:color w:val="000000"/>
        </w:rPr>
        <w:t>Karawang</w:t>
      </w:r>
      <w:proofErr w:type="spellEnd"/>
      <w:r>
        <w:rPr>
          <w:color w:val="000000"/>
        </w:rPr>
        <w:t xml:space="preserve">, Subang, </w:t>
      </w:r>
      <w:proofErr w:type="spellStart"/>
      <w:r>
        <w:rPr>
          <w:color w:val="000000"/>
        </w:rPr>
        <w:t>Indramayu</w:t>
      </w:r>
      <w:proofErr w:type="spellEnd"/>
      <w:r>
        <w:rPr>
          <w:color w:val="000000"/>
        </w:rPr>
        <w:t>, and Cirebon (North Coast of West Java, Indonesia). Respondents were owner</w:t>
      </w:r>
      <w:r w:rsidR="00066594">
        <w:rPr>
          <w:color w:val="000000"/>
        </w:rPr>
        <w:t xml:space="preserve"> </w:t>
      </w:r>
      <w:r>
        <w:rPr>
          <w:color w:val="000000"/>
        </w:rPr>
        <w:t xml:space="preserve">operators or managers who were actively running </w:t>
      </w:r>
      <w:proofErr w:type="spellStart"/>
      <w:r>
        <w:rPr>
          <w:color w:val="000000"/>
        </w:rPr>
        <w:t>vannamei</w:t>
      </w:r>
      <w:proofErr w:type="spellEnd"/>
      <w:r>
        <w:rPr>
          <w:color w:val="000000"/>
        </w:rPr>
        <w:t xml:space="preserve"> ponds during the survey period. A non-probability (purposive) approach was used to reach accessible farmers across the five regencies, yielding 40 completed questionnaires (N = 40).</w:t>
      </w:r>
    </w:p>
    <w:p w14:paraId="7DCFB1B4" w14:textId="2DA2E94E" w:rsidR="002A1EAC" w:rsidRDefault="002A1EAC">
      <w:pPr>
        <w:pBdr>
          <w:top w:val="nil"/>
          <w:left w:val="nil"/>
          <w:bottom w:val="nil"/>
          <w:right w:val="nil"/>
          <w:between w:val="nil"/>
        </w:pBdr>
        <w:spacing w:after="120" w:line="276" w:lineRule="auto"/>
        <w:jc w:val="both"/>
        <w:rPr>
          <w:color w:val="000000"/>
        </w:rPr>
      </w:pPr>
      <w:r w:rsidRPr="002A1EAC">
        <w:rPr>
          <w:color w:val="000000"/>
        </w:rPr>
        <w:t>The survey applied purposive (non-probability) sampling because a complete and consistent registry of active shrimp MSME farmers was not uniformly available across regencies, and the study specifically targeted owner</w:t>
      </w:r>
      <w:r w:rsidR="00066594">
        <w:rPr>
          <w:color w:val="000000"/>
        </w:rPr>
        <w:t xml:space="preserve"> </w:t>
      </w:r>
      <w:r w:rsidRPr="002A1EAC">
        <w:rPr>
          <w:color w:val="000000"/>
        </w:rPr>
        <w:t xml:space="preserve">operators or farm managers who were actively engaged in </w:t>
      </w:r>
      <w:proofErr w:type="spellStart"/>
      <w:r w:rsidRPr="002A1EAC">
        <w:rPr>
          <w:color w:val="000000"/>
        </w:rPr>
        <w:t>vannamei</w:t>
      </w:r>
      <w:proofErr w:type="spellEnd"/>
      <w:r w:rsidRPr="002A1EAC">
        <w:rPr>
          <w:color w:val="000000"/>
        </w:rPr>
        <w:t xml:space="preserve"> production during the survey period. Respondents were selected from five regencies along the North Coast of West Java, with the following distribution: Cirebon (n = 16), Subang (n = 14), </w:t>
      </w:r>
      <w:proofErr w:type="spellStart"/>
      <w:r w:rsidRPr="002A1EAC">
        <w:rPr>
          <w:color w:val="000000"/>
        </w:rPr>
        <w:t>Indramayu</w:t>
      </w:r>
      <w:proofErr w:type="spellEnd"/>
      <w:r w:rsidRPr="002A1EAC">
        <w:rPr>
          <w:color w:val="000000"/>
        </w:rPr>
        <w:t xml:space="preserve"> (n = 7), Karawang (n = 2), and Bekasi (n = 1). This approach ensured that respondents had recent operational experience and could provide reliable information on socio-economic characteristics, production practices, infrastructure conditions, and financing access.</w:t>
      </w:r>
    </w:p>
    <w:p w14:paraId="7DC062A9" w14:textId="77777777" w:rsidR="009765D0" w:rsidRDefault="0051542C">
      <w:r>
        <w:rPr>
          <w:b/>
          <w:bCs/>
        </w:rPr>
        <w:t>2.1 Questionnaire and variables</w:t>
      </w:r>
    </w:p>
    <w:p w14:paraId="5895DF22" w14:textId="77777777" w:rsidR="009765D0" w:rsidRPr="00B857C0" w:rsidRDefault="0051542C" w:rsidP="00B857C0">
      <w:pPr>
        <w:spacing w:line="276" w:lineRule="auto"/>
        <w:jc w:val="both"/>
      </w:pPr>
      <w:r w:rsidRPr="00B857C0">
        <w:t>Data were collected using a structured questionnaire consisting of closed-ended items and numeric entries covering: (</w:t>
      </w:r>
      <w:proofErr w:type="spellStart"/>
      <w:r w:rsidRPr="00B857C0">
        <w:t>i</w:t>
      </w:r>
      <w:proofErr w:type="spellEnd"/>
      <w:r w:rsidRPr="00B857C0">
        <w:t>) socio-demographic characteristics (age, gender, marital status, religion, education, and primary occupation); (ii) enterprise model and MSME scale (micro/small/medium), classified following Indonesia’s MSME framework (Republic of Indonesia, 2008) using self-reported business indicators as recorded in the questionnaire; (iii) production profile (total ponds, active ponds, pond size, pond type, and stocking density); (iv) supporting infrastructure and sustainability (electricity and water sources, reservoir/settling pond availability, and wastewater treatment/IPAL); and (v) finance and assets (feed purchasing method, production cost and profit per cycle, return on investment, number of workers, land tenure, vehicle assets, loan access, and lending institutions). Age was calculated as of 1 October 2025 from date of birth and then grouped into categories (Table 1). Stocking density (shrimp m</w:t>
      </w:r>
      <w:r w:rsidRPr="00B857C0">
        <w:rPr>
          <w:rFonts w:ascii="Cambria Math" w:hAnsi="Cambria Math" w:cs="Cambria Math"/>
        </w:rPr>
        <w:t>⁻</w:t>
      </w:r>
      <w:r w:rsidRPr="00B857C0">
        <w:t>³) was used to classify farming systems as semi-intensive (&lt;100) or intensive (≥100), consistent with the study’s operational definition (Tables 11–12).</w:t>
      </w:r>
    </w:p>
    <w:p w14:paraId="089E115E" w14:textId="77777777" w:rsidR="009765D0" w:rsidRDefault="0051542C" w:rsidP="00B857C0">
      <w:pPr>
        <w:spacing w:line="276" w:lineRule="auto"/>
      </w:pPr>
      <w:r>
        <w:rPr>
          <w:b/>
          <w:bCs/>
        </w:rPr>
        <w:t>2.2 Data collection procedure and data quality</w:t>
      </w:r>
    </w:p>
    <w:p w14:paraId="330CF9D9" w14:textId="77777777" w:rsidR="009765D0" w:rsidRPr="00B857C0" w:rsidRDefault="0051542C" w:rsidP="00B857C0">
      <w:pPr>
        <w:spacing w:line="276" w:lineRule="auto"/>
        <w:jc w:val="both"/>
      </w:pPr>
      <w:r w:rsidRPr="00B857C0">
        <w:t xml:space="preserve">Questionnaires were administered through guided interviews to minimize item non-response and to standardize interpretation of technical and financial terms. Participation was voluntary; informed consent was obtained prior to interviews, and no personal identifiers were recorded. </w:t>
      </w:r>
      <w:r w:rsidRPr="00B857C0">
        <w:lastRenderedPageBreak/>
        <w:t>Data were checked for completeness and obvious entry errors. Missing responses were not imputed; where applicable they were reported as “Not reported” in the relevant tables or noted in figure captions.</w:t>
      </w:r>
    </w:p>
    <w:p w14:paraId="13D9C43D" w14:textId="77777777" w:rsidR="009765D0" w:rsidRDefault="0051542C" w:rsidP="00B857C0">
      <w:pPr>
        <w:spacing w:line="276" w:lineRule="auto"/>
      </w:pPr>
      <w:r>
        <w:rPr>
          <w:b/>
          <w:bCs/>
        </w:rPr>
        <w:t>2.3 Data analysis</w:t>
      </w:r>
    </w:p>
    <w:p w14:paraId="244A19CD" w14:textId="37FA8731" w:rsidR="009765D0" w:rsidRDefault="0051542C" w:rsidP="00B857C0">
      <w:pPr>
        <w:spacing w:line="276" w:lineRule="auto"/>
        <w:jc w:val="both"/>
      </w:pPr>
      <w:r>
        <w:t>Data were analyzed using descriptive statistics (frequencies and percentages) for categorical variables and numerical summaries (mean, median, minimum, and maximum) for continuous variables. Return on investment (ROI) was calculated as profit divided by total cost per production cycle. Cross</w:t>
      </w:r>
      <w:r w:rsidR="002A1EAC">
        <w:t xml:space="preserve"> </w:t>
      </w:r>
      <w:r>
        <w:t>tabulation was used to examine associations between education level and loan access. Percentages are based on N = 40 unless otherwise stated; for lending-institution distributions, the denominator is respondents who reported having accessed a loan (n = 29).</w:t>
      </w:r>
    </w:p>
    <w:p w14:paraId="49CC8572" w14:textId="77777777" w:rsidR="009765D0" w:rsidRDefault="009765D0">
      <w:pPr>
        <w:keepNext/>
        <w:pBdr>
          <w:top w:val="nil"/>
          <w:left w:val="nil"/>
          <w:bottom w:val="nil"/>
          <w:right w:val="nil"/>
          <w:between w:val="nil"/>
        </w:pBdr>
        <w:spacing w:before="120" w:after="60"/>
        <w:rPr>
          <w:b/>
          <w:bCs/>
          <w:smallCaps/>
          <w:sz w:val="22"/>
          <w:szCs w:val="22"/>
        </w:rPr>
      </w:pPr>
    </w:p>
    <w:p w14:paraId="46283431" w14:textId="77777777" w:rsidR="009765D0" w:rsidRDefault="009765D0">
      <w:pPr>
        <w:keepNext/>
        <w:pBdr>
          <w:top w:val="nil"/>
          <w:left w:val="nil"/>
          <w:bottom w:val="nil"/>
          <w:right w:val="nil"/>
          <w:between w:val="nil"/>
        </w:pBdr>
        <w:spacing w:before="120" w:after="60"/>
        <w:rPr>
          <w:b/>
          <w:bCs/>
          <w:smallCaps/>
          <w:sz w:val="22"/>
          <w:szCs w:val="22"/>
        </w:rPr>
      </w:pPr>
    </w:p>
    <w:p w14:paraId="0F67041C" w14:textId="77777777" w:rsidR="009765D0" w:rsidRDefault="009765D0">
      <w:pPr>
        <w:keepNext/>
        <w:pBdr>
          <w:top w:val="nil"/>
          <w:left w:val="nil"/>
          <w:bottom w:val="nil"/>
          <w:right w:val="nil"/>
          <w:between w:val="nil"/>
        </w:pBdr>
        <w:spacing w:before="120" w:after="60"/>
        <w:rPr>
          <w:b/>
          <w:bCs/>
          <w:smallCaps/>
          <w:sz w:val="22"/>
          <w:szCs w:val="22"/>
        </w:rPr>
      </w:pPr>
    </w:p>
    <w:p w14:paraId="7E156482"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3. RESULTS AND DISCUSSION</w:t>
      </w:r>
    </w:p>
    <w:p w14:paraId="15BDD43A" w14:textId="77777777" w:rsidR="009765D0" w:rsidRDefault="0051542C">
      <w:pPr>
        <w:pBdr>
          <w:top w:val="nil"/>
          <w:left w:val="nil"/>
          <w:bottom w:val="nil"/>
          <w:right w:val="nil"/>
          <w:between w:val="nil"/>
        </w:pBdr>
        <w:spacing w:before="120" w:after="60"/>
        <w:jc w:val="both"/>
        <w:rPr>
          <w:b/>
          <w:bCs/>
          <w:color w:val="000000"/>
        </w:rPr>
      </w:pPr>
      <w:r>
        <w:rPr>
          <w:b/>
          <w:bCs/>
          <w:color w:val="000000"/>
        </w:rPr>
        <w:t>3.1 Social Profile of Farmers</w:t>
      </w:r>
    </w:p>
    <w:p w14:paraId="2E83786F" w14:textId="77777777" w:rsidR="009765D0" w:rsidRDefault="0051542C">
      <w:pPr>
        <w:pBdr>
          <w:top w:val="nil"/>
          <w:left w:val="nil"/>
          <w:bottom w:val="nil"/>
          <w:right w:val="nil"/>
          <w:between w:val="nil"/>
        </w:pBdr>
        <w:spacing w:before="120" w:after="60"/>
        <w:jc w:val="both"/>
        <w:rPr>
          <w:b/>
          <w:bCs/>
          <w:color w:val="000000"/>
        </w:rPr>
      </w:pPr>
      <w:r>
        <w:rPr>
          <w:b/>
          <w:bCs/>
          <w:color w:val="000000"/>
        </w:rPr>
        <w:t>Distribution of respondents by age group</w:t>
      </w:r>
    </w:p>
    <w:p w14:paraId="04AFF91E" w14:textId="77777777" w:rsidR="009765D0" w:rsidRDefault="009765D0">
      <w:pPr>
        <w:pBdr>
          <w:top w:val="nil"/>
          <w:left w:val="nil"/>
          <w:bottom w:val="nil"/>
          <w:right w:val="nil"/>
          <w:between w:val="nil"/>
        </w:pBdr>
        <w:spacing w:before="120" w:after="60"/>
        <w:jc w:val="both"/>
        <w:rPr>
          <w:color w:val="000000"/>
        </w:rPr>
      </w:pPr>
    </w:p>
    <w:p w14:paraId="6DF4AF9D" w14:textId="77777777" w:rsidR="009765D0" w:rsidRDefault="0051542C">
      <w:pPr>
        <w:pBdr>
          <w:top w:val="nil"/>
          <w:left w:val="nil"/>
          <w:bottom w:val="nil"/>
          <w:right w:val="nil"/>
          <w:between w:val="nil"/>
        </w:pBdr>
        <w:spacing w:after="60" w:line="276" w:lineRule="auto"/>
        <w:jc w:val="center"/>
        <w:rPr>
          <w:color w:val="000000"/>
        </w:rPr>
      </w:pPr>
      <w:r>
        <w:rPr>
          <w:color w:val="000000"/>
        </w:rPr>
        <w:t>Table 1. Distribution of respondents by age group (as of 1 October 2025)</w:t>
      </w:r>
    </w:p>
    <w:tbl>
      <w:tblPr>
        <w:tblStyle w:val="a"/>
        <w:tblW w:w="8208" w:type="dxa"/>
        <w:tblInd w:w="0" w:type="dxa"/>
        <w:tblLayout w:type="fixed"/>
        <w:tblLook w:val="0400" w:firstRow="0" w:lastRow="0" w:firstColumn="0" w:lastColumn="0" w:noHBand="0" w:noVBand="1"/>
      </w:tblPr>
      <w:tblGrid>
        <w:gridCol w:w="2735"/>
        <w:gridCol w:w="2784"/>
        <w:gridCol w:w="2689"/>
      </w:tblGrid>
      <w:tr w:rsidR="009765D0" w14:paraId="49851ED0" w14:textId="77777777">
        <w:tc>
          <w:tcPr>
            <w:tcW w:w="2735" w:type="dxa"/>
            <w:tcBorders>
              <w:top w:val="single" w:sz="4" w:space="0" w:color="000000"/>
              <w:bottom w:val="single" w:sz="4" w:space="0" w:color="000000"/>
            </w:tcBorders>
          </w:tcPr>
          <w:p w14:paraId="5F021152" w14:textId="77777777" w:rsidR="009765D0" w:rsidRDefault="0051542C">
            <w:pPr>
              <w:jc w:val="center"/>
            </w:pPr>
            <w:r>
              <w:rPr>
                <w:b/>
                <w:bCs/>
              </w:rPr>
              <w:t>Category</w:t>
            </w:r>
          </w:p>
        </w:tc>
        <w:tc>
          <w:tcPr>
            <w:tcW w:w="2784" w:type="dxa"/>
            <w:tcBorders>
              <w:top w:val="single" w:sz="4" w:space="0" w:color="000000"/>
              <w:bottom w:val="single" w:sz="4" w:space="0" w:color="000000"/>
            </w:tcBorders>
          </w:tcPr>
          <w:p w14:paraId="6D5F5738" w14:textId="77777777" w:rsidR="009765D0" w:rsidRDefault="0051542C">
            <w:pPr>
              <w:jc w:val="center"/>
            </w:pPr>
            <w:r>
              <w:rPr>
                <w:b/>
                <w:bCs/>
              </w:rPr>
              <w:t>Frequency (n)</w:t>
            </w:r>
          </w:p>
        </w:tc>
        <w:tc>
          <w:tcPr>
            <w:tcW w:w="2689" w:type="dxa"/>
            <w:tcBorders>
              <w:top w:val="single" w:sz="4" w:space="0" w:color="000000"/>
              <w:bottom w:val="single" w:sz="4" w:space="0" w:color="000000"/>
            </w:tcBorders>
          </w:tcPr>
          <w:p w14:paraId="7DA1F6C7" w14:textId="77777777" w:rsidR="009765D0" w:rsidRDefault="0051542C">
            <w:pPr>
              <w:jc w:val="center"/>
            </w:pPr>
            <w:r>
              <w:rPr>
                <w:b/>
                <w:bCs/>
              </w:rPr>
              <w:t>Percent (%)</w:t>
            </w:r>
          </w:p>
        </w:tc>
      </w:tr>
      <w:tr w:rsidR="009765D0" w14:paraId="5AF9C480" w14:textId="77777777">
        <w:tc>
          <w:tcPr>
            <w:tcW w:w="2735" w:type="dxa"/>
            <w:tcBorders>
              <w:top w:val="single" w:sz="4" w:space="0" w:color="000000"/>
            </w:tcBorders>
          </w:tcPr>
          <w:p w14:paraId="12FBE868" w14:textId="77777777" w:rsidR="009765D0" w:rsidRDefault="0051542C">
            <w:pPr>
              <w:jc w:val="center"/>
            </w:pPr>
            <w:r>
              <w:rPr>
                <w:rFonts w:ascii="Arial Unicode MS" w:eastAsia="Arial Unicode MS" w:hAnsi="Arial Unicode MS" w:cs="Arial Unicode MS"/>
              </w:rPr>
              <w:t>≤30</w:t>
            </w:r>
          </w:p>
        </w:tc>
        <w:tc>
          <w:tcPr>
            <w:tcW w:w="2784" w:type="dxa"/>
            <w:tcBorders>
              <w:top w:val="single" w:sz="4" w:space="0" w:color="000000"/>
            </w:tcBorders>
          </w:tcPr>
          <w:p w14:paraId="650FA543" w14:textId="77777777" w:rsidR="009765D0" w:rsidRDefault="0051542C">
            <w:pPr>
              <w:jc w:val="center"/>
            </w:pPr>
            <w:r>
              <w:t>1</w:t>
            </w:r>
          </w:p>
        </w:tc>
        <w:tc>
          <w:tcPr>
            <w:tcW w:w="2689" w:type="dxa"/>
            <w:tcBorders>
              <w:top w:val="single" w:sz="4" w:space="0" w:color="000000"/>
            </w:tcBorders>
          </w:tcPr>
          <w:p w14:paraId="2443E01F" w14:textId="77777777" w:rsidR="009765D0" w:rsidRDefault="0051542C">
            <w:pPr>
              <w:jc w:val="center"/>
            </w:pPr>
            <w:r>
              <w:t>2.50</w:t>
            </w:r>
          </w:p>
        </w:tc>
      </w:tr>
      <w:tr w:rsidR="009765D0" w14:paraId="1E4C40EF" w14:textId="77777777">
        <w:tc>
          <w:tcPr>
            <w:tcW w:w="2735" w:type="dxa"/>
          </w:tcPr>
          <w:p w14:paraId="3AF44807" w14:textId="77777777" w:rsidR="009765D0" w:rsidRDefault="0051542C">
            <w:pPr>
              <w:jc w:val="center"/>
            </w:pPr>
            <w:r>
              <w:t>31–40</w:t>
            </w:r>
          </w:p>
        </w:tc>
        <w:tc>
          <w:tcPr>
            <w:tcW w:w="2784" w:type="dxa"/>
          </w:tcPr>
          <w:p w14:paraId="487C131A" w14:textId="77777777" w:rsidR="009765D0" w:rsidRDefault="0051542C">
            <w:pPr>
              <w:jc w:val="center"/>
            </w:pPr>
            <w:r>
              <w:t>12</w:t>
            </w:r>
          </w:p>
        </w:tc>
        <w:tc>
          <w:tcPr>
            <w:tcW w:w="2689" w:type="dxa"/>
          </w:tcPr>
          <w:p w14:paraId="5AF5AF20" w14:textId="77777777" w:rsidR="009765D0" w:rsidRDefault="0051542C">
            <w:pPr>
              <w:jc w:val="center"/>
            </w:pPr>
            <w:r>
              <w:t>30.00</w:t>
            </w:r>
          </w:p>
        </w:tc>
      </w:tr>
      <w:tr w:rsidR="009765D0" w14:paraId="66AB1949" w14:textId="77777777">
        <w:tc>
          <w:tcPr>
            <w:tcW w:w="2735" w:type="dxa"/>
          </w:tcPr>
          <w:p w14:paraId="6E63D049" w14:textId="77777777" w:rsidR="009765D0" w:rsidRDefault="0051542C">
            <w:pPr>
              <w:jc w:val="center"/>
            </w:pPr>
            <w:r>
              <w:t>41–50</w:t>
            </w:r>
          </w:p>
        </w:tc>
        <w:tc>
          <w:tcPr>
            <w:tcW w:w="2784" w:type="dxa"/>
          </w:tcPr>
          <w:p w14:paraId="063A7AF5" w14:textId="77777777" w:rsidR="009765D0" w:rsidRDefault="0051542C">
            <w:pPr>
              <w:jc w:val="center"/>
            </w:pPr>
            <w:r>
              <w:t>14</w:t>
            </w:r>
          </w:p>
        </w:tc>
        <w:tc>
          <w:tcPr>
            <w:tcW w:w="2689" w:type="dxa"/>
          </w:tcPr>
          <w:p w14:paraId="0C8BB4FE" w14:textId="77777777" w:rsidR="009765D0" w:rsidRDefault="0051542C">
            <w:pPr>
              <w:jc w:val="center"/>
            </w:pPr>
            <w:r>
              <w:t>35.00</w:t>
            </w:r>
          </w:p>
        </w:tc>
      </w:tr>
      <w:tr w:rsidR="009765D0" w14:paraId="27CBA43C" w14:textId="77777777">
        <w:tc>
          <w:tcPr>
            <w:tcW w:w="2735" w:type="dxa"/>
          </w:tcPr>
          <w:p w14:paraId="4CF5FB62" w14:textId="77777777" w:rsidR="009765D0" w:rsidRDefault="0051542C">
            <w:pPr>
              <w:jc w:val="center"/>
            </w:pPr>
            <w:r>
              <w:t>51–60</w:t>
            </w:r>
          </w:p>
        </w:tc>
        <w:tc>
          <w:tcPr>
            <w:tcW w:w="2784" w:type="dxa"/>
          </w:tcPr>
          <w:p w14:paraId="13B9ADBB" w14:textId="77777777" w:rsidR="009765D0" w:rsidRDefault="0051542C">
            <w:pPr>
              <w:jc w:val="center"/>
            </w:pPr>
            <w:r>
              <w:t>11</w:t>
            </w:r>
          </w:p>
        </w:tc>
        <w:tc>
          <w:tcPr>
            <w:tcW w:w="2689" w:type="dxa"/>
          </w:tcPr>
          <w:p w14:paraId="554A8B37" w14:textId="77777777" w:rsidR="009765D0" w:rsidRDefault="0051542C">
            <w:pPr>
              <w:jc w:val="center"/>
            </w:pPr>
            <w:r>
              <w:t>27.50</w:t>
            </w:r>
          </w:p>
        </w:tc>
      </w:tr>
      <w:tr w:rsidR="009765D0" w14:paraId="1CEF8532" w14:textId="77777777">
        <w:tc>
          <w:tcPr>
            <w:tcW w:w="2735" w:type="dxa"/>
          </w:tcPr>
          <w:p w14:paraId="4A6850D0" w14:textId="77777777" w:rsidR="009765D0" w:rsidRDefault="0051542C">
            <w:pPr>
              <w:jc w:val="center"/>
            </w:pPr>
            <w:r>
              <w:t>&gt;60</w:t>
            </w:r>
          </w:p>
        </w:tc>
        <w:tc>
          <w:tcPr>
            <w:tcW w:w="2784" w:type="dxa"/>
          </w:tcPr>
          <w:p w14:paraId="1EF10C30" w14:textId="77777777" w:rsidR="009765D0" w:rsidRDefault="0051542C">
            <w:pPr>
              <w:jc w:val="center"/>
            </w:pPr>
            <w:r>
              <w:t>1</w:t>
            </w:r>
          </w:p>
        </w:tc>
        <w:tc>
          <w:tcPr>
            <w:tcW w:w="2689" w:type="dxa"/>
          </w:tcPr>
          <w:p w14:paraId="206D5200" w14:textId="77777777" w:rsidR="009765D0" w:rsidRDefault="0051542C">
            <w:pPr>
              <w:jc w:val="center"/>
            </w:pPr>
            <w:r>
              <w:t>2.50</w:t>
            </w:r>
          </w:p>
        </w:tc>
      </w:tr>
      <w:tr w:rsidR="009765D0" w14:paraId="224C7C4F" w14:textId="77777777">
        <w:tc>
          <w:tcPr>
            <w:tcW w:w="2735" w:type="dxa"/>
            <w:tcBorders>
              <w:bottom w:val="single" w:sz="4" w:space="0" w:color="000000"/>
            </w:tcBorders>
          </w:tcPr>
          <w:p w14:paraId="2BD595AC" w14:textId="77777777" w:rsidR="009765D0" w:rsidRDefault="0051542C">
            <w:pPr>
              <w:jc w:val="center"/>
            </w:pPr>
            <w:r>
              <w:t>Not reported</w:t>
            </w:r>
          </w:p>
        </w:tc>
        <w:tc>
          <w:tcPr>
            <w:tcW w:w="2784" w:type="dxa"/>
            <w:tcBorders>
              <w:bottom w:val="single" w:sz="4" w:space="0" w:color="000000"/>
            </w:tcBorders>
          </w:tcPr>
          <w:p w14:paraId="3BDBBE67" w14:textId="77777777" w:rsidR="009765D0" w:rsidRDefault="0051542C">
            <w:pPr>
              <w:jc w:val="center"/>
            </w:pPr>
            <w:r>
              <w:t>1</w:t>
            </w:r>
          </w:p>
        </w:tc>
        <w:tc>
          <w:tcPr>
            <w:tcW w:w="2689" w:type="dxa"/>
            <w:tcBorders>
              <w:bottom w:val="single" w:sz="4" w:space="0" w:color="000000"/>
            </w:tcBorders>
          </w:tcPr>
          <w:p w14:paraId="782443DD" w14:textId="77777777" w:rsidR="009765D0" w:rsidRDefault="0051542C">
            <w:pPr>
              <w:jc w:val="center"/>
            </w:pPr>
            <w:r>
              <w:t>2.50</w:t>
            </w:r>
          </w:p>
        </w:tc>
      </w:tr>
    </w:tbl>
    <w:p w14:paraId="6B49A276" w14:textId="77777777" w:rsidR="009765D0" w:rsidRDefault="009765D0">
      <w:pPr>
        <w:pBdr>
          <w:top w:val="nil"/>
          <w:left w:val="nil"/>
          <w:bottom w:val="nil"/>
          <w:right w:val="nil"/>
          <w:between w:val="nil"/>
        </w:pBdr>
        <w:spacing w:after="240"/>
        <w:jc w:val="both"/>
        <w:rPr>
          <w:color w:val="000000"/>
        </w:rPr>
      </w:pPr>
    </w:p>
    <w:p w14:paraId="02EA78D0" w14:textId="7DDEA300" w:rsidR="009765D0" w:rsidRDefault="0051542C">
      <w:pPr>
        <w:pBdr>
          <w:top w:val="nil"/>
          <w:left w:val="nil"/>
          <w:bottom w:val="nil"/>
          <w:right w:val="nil"/>
          <w:between w:val="nil"/>
        </w:pBdr>
        <w:spacing w:after="120" w:line="276" w:lineRule="auto"/>
        <w:jc w:val="both"/>
        <w:rPr>
          <w:color w:val="000000"/>
        </w:rPr>
      </w:pPr>
      <w:r>
        <w:rPr>
          <w:color w:val="000000"/>
        </w:rPr>
        <w:t xml:space="preserve">Most respondents were of working age, clustered between 31 and 60 years, which is relevant because </w:t>
      </w:r>
      <w:proofErr w:type="spellStart"/>
      <w:r>
        <w:rPr>
          <w:color w:val="000000"/>
        </w:rPr>
        <w:t>vannamei</w:t>
      </w:r>
      <w:proofErr w:type="spellEnd"/>
      <w:r>
        <w:rPr>
          <w:color w:val="000000"/>
        </w:rPr>
        <w:t xml:space="preserve"> pond operations depend on routine decisions such as feed scheduling, water</w:t>
      </w:r>
      <w:r w:rsidR="002A1EAC">
        <w:rPr>
          <w:color w:val="000000"/>
        </w:rPr>
        <w:t xml:space="preserve"> </w:t>
      </w:r>
      <w:r>
        <w:rPr>
          <w:color w:val="000000"/>
        </w:rPr>
        <w:t>quality monitoring, and rapid responses to performance changes; these routines are typically strengthened by accumulated experience under input</w:t>
      </w:r>
      <w:r w:rsidR="00066594">
        <w:rPr>
          <w:color w:val="000000"/>
        </w:rPr>
        <w:t xml:space="preserve"> </w:t>
      </w:r>
      <w:r>
        <w:rPr>
          <w:color w:val="000000"/>
        </w:rPr>
        <w:t>price volatility and disease risk (FAO, 2020; Pomeroy et al., 2020). However, the limited presence of younger farmers may constrain generational renewal, suggesting that extension and local programs should support entry pathways through practical training, mentoring, and improved access to starter capital and key inputs (FAO, 2020; International Finance Corporation, 2007). Given this age structure, upgrading strategies are likely to be most effective when they emphasize low-burden operational tools—such as simple logbooks, checklists, and peer learning—that fit farmers’ routines and local working conditions.</w:t>
      </w:r>
    </w:p>
    <w:p w14:paraId="7829856C" w14:textId="77777777" w:rsidR="009765D0" w:rsidRDefault="0051542C">
      <w:pPr>
        <w:pBdr>
          <w:top w:val="nil"/>
          <w:left w:val="nil"/>
          <w:bottom w:val="nil"/>
          <w:right w:val="nil"/>
          <w:between w:val="nil"/>
        </w:pBdr>
        <w:spacing w:after="120"/>
        <w:rPr>
          <w:b/>
          <w:bCs/>
          <w:color w:val="000000"/>
        </w:rPr>
      </w:pPr>
      <w:r>
        <w:rPr>
          <w:b/>
          <w:bCs/>
          <w:color w:val="000000"/>
        </w:rPr>
        <w:t>Respondents' gender</w:t>
      </w:r>
    </w:p>
    <w:p w14:paraId="6BF07379" w14:textId="1DAD7A31" w:rsidR="009765D0" w:rsidRDefault="0051542C">
      <w:pPr>
        <w:pBdr>
          <w:top w:val="nil"/>
          <w:left w:val="nil"/>
          <w:bottom w:val="nil"/>
          <w:right w:val="nil"/>
          <w:between w:val="nil"/>
        </w:pBdr>
        <w:spacing w:after="60" w:line="276" w:lineRule="auto"/>
        <w:jc w:val="both"/>
        <w:rPr>
          <w:color w:val="000000"/>
        </w:rPr>
      </w:pPr>
      <w:r>
        <w:rPr>
          <w:color w:val="000000"/>
        </w:rPr>
        <w:t xml:space="preserve">All respondents were male (100%), suggesting that </w:t>
      </w:r>
      <w:proofErr w:type="spellStart"/>
      <w:r>
        <w:rPr>
          <w:color w:val="000000"/>
        </w:rPr>
        <w:t>vannamei</w:t>
      </w:r>
      <w:proofErr w:type="spellEnd"/>
      <w:r>
        <w:rPr>
          <w:color w:val="000000"/>
        </w:rPr>
        <w:t xml:space="preserve"> shrimp MSME management in the North Coast of West Java remains shaped by traditional gendered divisions of labor. This is consistent with </w:t>
      </w:r>
      <w:proofErr w:type="spellStart"/>
      <w:r>
        <w:rPr>
          <w:color w:val="000000"/>
        </w:rPr>
        <w:t>Pantura</w:t>
      </w:r>
      <w:proofErr w:type="spellEnd"/>
      <w:r>
        <w:rPr>
          <w:color w:val="000000"/>
        </w:rPr>
        <w:t xml:space="preserve"> shrimp centers (e.g., Cirebon and Subang), where pond operations </w:t>
      </w:r>
      <w:r>
        <w:rPr>
          <w:color w:val="000000"/>
        </w:rPr>
        <w:lastRenderedPageBreak/>
        <w:t xml:space="preserve">require intensive on-site work—operating pumps and aeration, maintaining embankments and water circulation, and handling harvest activities—often involving physical labor and long working hours, while ownership and production decisions in individual and family enterprises are commonly led by men. However, male dominance in respondent profiles does not mean other household members—particularly women—are absent from the enterprise; their roles often concentrate in informal but essential functions such as basic administration, cash-flow recording, household budgeting linked to business finances, and logistical support during shocks. Accordingly, extension and assistance programs should target the business household unit, not only the primary technical decision-maker, to strengthen recordkeeping, working-capital planning, and </w:t>
      </w:r>
      <w:proofErr w:type="gramStart"/>
      <w:r>
        <w:rPr>
          <w:color w:val="000000"/>
        </w:rPr>
        <w:t>cycle</w:t>
      </w:r>
      <w:r w:rsidR="002A1EAC">
        <w:rPr>
          <w:color w:val="000000"/>
        </w:rPr>
        <w:t xml:space="preserve"> </w:t>
      </w:r>
      <w:r>
        <w:rPr>
          <w:color w:val="000000"/>
        </w:rPr>
        <w:t>based</w:t>
      </w:r>
      <w:proofErr w:type="gramEnd"/>
      <w:r>
        <w:rPr>
          <w:color w:val="000000"/>
        </w:rPr>
        <w:t xml:space="preserve"> cost–benefit evaluation (Pomeroy et al., 2020).</w:t>
      </w:r>
    </w:p>
    <w:p w14:paraId="028AE7D1" w14:textId="77777777" w:rsidR="009765D0" w:rsidRDefault="009765D0">
      <w:pPr>
        <w:pBdr>
          <w:top w:val="nil"/>
          <w:left w:val="nil"/>
          <w:bottom w:val="nil"/>
          <w:right w:val="nil"/>
          <w:between w:val="nil"/>
        </w:pBdr>
        <w:spacing w:after="60" w:line="276" w:lineRule="auto"/>
        <w:rPr>
          <w:b/>
          <w:bCs/>
          <w:color w:val="000000"/>
        </w:rPr>
      </w:pPr>
    </w:p>
    <w:p w14:paraId="25EBDDF9" w14:textId="77777777" w:rsidR="009765D0" w:rsidRDefault="0051542C">
      <w:pPr>
        <w:pBdr>
          <w:top w:val="nil"/>
          <w:left w:val="nil"/>
          <w:bottom w:val="nil"/>
          <w:right w:val="nil"/>
          <w:between w:val="nil"/>
        </w:pBdr>
        <w:spacing w:after="60" w:line="276" w:lineRule="auto"/>
        <w:rPr>
          <w:b/>
          <w:bCs/>
          <w:color w:val="000000"/>
        </w:rPr>
      </w:pPr>
      <w:r>
        <w:rPr>
          <w:b/>
          <w:bCs/>
          <w:color w:val="000000"/>
        </w:rPr>
        <w:t>Marital status of respondents</w:t>
      </w:r>
    </w:p>
    <w:p w14:paraId="64AF50E8"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Respondents were married (100%), suggesting that </w:t>
      </w:r>
      <w:proofErr w:type="spellStart"/>
      <w:r>
        <w:rPr>
          <w:color w:val="000000"/>
        </w:rPr>
        <w:t>vannamei</w:t>
      </w:r>
      <w:proofErr w:type="spellEnd"/>
      <w:r>
        <w:rPr>
          <w:color w:val="000000"/>
        </w:rPr>
        <w:t xml:space="preserve"> shrimp MSMEs in the North Coast of West Java are typically operated as family-based enterprises. In this setting, pond operations are integrated with household economic strategies—from daily consumption needs and children’s education expenses to asset purchases and social obligations. Consequently, management decisions in shrimp farming (e.g., stocking intensity, input use, and cash/credit feed purchasing) are often influenced by household cash-flow conditions and the family’s risk tolerance under production uncertainty.</w:t>
      </w:r>
    </w:p>
    <w:p w14:paraId="34BFAEA5" w14:textId="650D3C58" w:rsidR="009765D0" w:rsidRDefault="0051542C">
      <w:pPr>
        <w:pBdr>
          <w:top w:val="nil"/>
          <w:left w:val="nil"/>
          <w:bottom w:val="nil"/>
          <w:right w:val="nil"/>
          <w:between w:val="nil"/>
        </w:pBdr>
        <w:spacing w:after="120" w:line="276" w:lineRule="auto"/>
        <w:jc w:val="both"/>
        <w:rPr>
          <w:color w:val="000000"/>
        </w:rPr>
      </w:pPr>
      <w:r>
        <w:rPr>
          <w:color w:val="000000"/>
        </w:rPr>
        <w:t>Marital status also implies more collective decision-making, especially for long-term investment. In MSME ponds, reinvestments such as pond reconstruction, additional reservoir capacity, more stable aeration, or IPAL development require capital allocations that compete with household needs. Hence, income stability becomes central: when cycle</w:t>
      </w:r>
      <w:r w:rsidR="002A1EAC">
        <w:rPr>
          <w:color w:val="000000"/>
        </w:rPr>
        <w:t xml:space="preserve"> </w:t>
      </w:r>
      <w:r>
        <w:rPr>
          <w:color w:val="000000"/>
        </w:rPr>
        <w:t>to</w:t>
      </w:r>
      <w:r w:rsidR="002A1EAC">
        <w:rPr>
          <w:color w:val="000000"/>
        </w:rPr>
        <w:t xml:space="preserve"> </w:t>
      </w:r>
      <w:r>
        <w:rPr>
          <w:color w:val="000000"/>
        </w:rPr>
        <w:t>cycle income is inconsistent, MSMEs tend to postpone reinvestment, slowing productivity and sustainability improvements. Conversely, better household financial planning can increase the likelihood of allocating profits to risk reserves and reinvestment capital (Pomeroy et al., 2020).</w:t>
      </w:r>
    </w:p>
    <w:p w14:paraId="389BCC07" w14:textId="77777777" w:rsidR="009765D0" w:rsidRDefault="0051542C">
      <w:pPr>
        <w:pBdr>
          <w:top w:val="nil"/>
          <w:left w:val="nil"/>
          <w:bottom w:val="nil"/>
          <w:right w:val="nil"/>
          <w:between w:val="nil"/>
        </w:pBdr>
        <w:spacing w:after="120" w:line="276" w:lineRule="auto"/>
        <w:jc w:val="both"/>
        <w:rPr>
          <w:b/>
          <w:bCs/>
          <w:color w:val="000000"/>
        </w:rPr>
      </w:pPr>
      <w:r>
        <w:rPr>
          <w:b/>
          <w:bCs/>
          <w:color w:val="000000"/>
        </w:rPr>
        <w:t>Religious affiliation of respondents</w:t>
      </w:r>
    </w:p>
    <w:p w14:paraId="4BEF0B73" w14:textId="77777777" w:rsidR="009765D0" w:rsidRDefault="0051542C">
      <w:pPr>
        <w:pBdr>
          <w:top w:val="nil"/>
          <w:left w:val="nil"/>
          <w:bottom w:val="nil"/>
          <w:right w:val="nil"/>
          <w:between w:val="nil"/>
        </w:pBdr>
        <w:spacing w:after="60" w:line="276" w:lineRule="auto"/>
        <w:jc w:val="both"/>
        <w:rPr>
          <w:color w:val="000000"/>
        </w:rPr>
      </w:pPr>
      <w:r>
        <w:rPr>
          <w:color w:val="000000"/>
        </w:rPr>
        <w:t>Respondents were predominantly Muslim (90.00%), while the remainder reported other religions. This composition reflects the demographic character of coastal communities along the North Coast of West Java, where socio-religious foundations are often strong and shape community interactions, working networks, and local decision-making processes. In the context of shrimp-farming MSMEs, socio-religious values are frequently intertwined with everyday routines, including work-time allocation, group-meeting agendas, and communication patterns between farmers and supporting institutions.</w:t>
      </w:r>
    </w:p>
    <w:p w14:paraId="2C970BA0" w14:textId="77777777" w:rsidR="009765D0" w:rsidRDefault="009765D0">
      <w:pPr>
        <w:pBdr>
          <w:top w:val="nil"/>
          <w:left w:val="nil"/>
          <w:bottom w:val="nil"/>
          <w:right w:val="nil"/>
          <w:between w:val="nil"/>
        </w:pBdr>
        <w:spacing w:after="60" w:line="276" w:lineRule="auto"/>
        <w:jc w:val="both"/>
        <w:rPr>
          <w:color w:val="000000"/>
        </w:rPr>
      </w:pPr>
    </w:p>
    <w:p w14:paraId="39A5D297" w14:textId="77777777" w:rsidR="009765D0" w:rsidRDefault="0051542C">
      <w:pPr>
        <w:pBdr>
          <w:top w:val="nil"/>
          <w:left w:val="nil"/>
          <w:bottom w:val="nil"/>
          <w:right w:val="nil"/>
          <w:between w:val="nil"/>
        </w:pBdr>
        <w:spacing w:after="60" w:line="276" w:lineRule="auto"/>
        <w:rPr>
          <w:b/>
          <w:bCs/>
          <w:color w:val="000000"/>
        </w:rPr>
      </w:pPr>
      <w:r>
        <w:rPr>
          <w:b/>
          <w:bCs/>
          <w:color w:val="000000"/>
        </w:rPr>
        <w:t>Respondents' highest education level</w:t>
      </w:r>
    </w:p>
    <w:p w14:paraId="298CC00D" w14:textId="77777777" w:rsidR="009765D0" w:rsidRDefault="0051542C">
      <w:pPr>
        <w:pBdr>
          <w:top w:val="nil"/>
          <w:left w:val="nil"/>
          <w:bottom w:val="nil"/>
          <w:right w:val="nil"/>
          <w:between w:val="nil"/>
        </w:pBdr>
        <w:spacing w:after="60" w:line="276" w:lineRule="auto"/>
        <w:jc w:val="center"/>
        <w:rPr>
          <w:color w:val="000000"/>
        </w:rPr>
      </w:pPr>
      <w:r>
        <w:rPr>
          <w:color w:val="000000"/>
        </w:rPr>
        <w:t>Table 2. Respondents' highest education level</w:t>
      </w:r>
    </w:p>
    <w:tbl>
      <w:tblPr>
        <w:tblStyle w:val="a0"/>
        <w:tblW w:w="8208" w:type="dxa"/>
        <w:tblInd w:w="0" w:type="dxa"/>
        <w:tblLayout w:type="fixed"/>
        <w:tblLook w:val="0400" w:firstRow="0" w:lastRow="0" w:firstColumn="0" w:lastColumn="0" w:noHBand="0" w:noVBand="1"/>
      </w:tblPr>
      <w:tblGrid>
        <w:gridCol w:w="2848"/>
        <w:gridCol w:w="2731"/>
        <w:gridCol w:w="2629"/>
      </w:tblGrid>
      <w:tr w:rsidR="009765D0" w14:paraId="33B05924" w14:textId="77777777">
        <w:tc>
          <w:tcPr>
            <w:tcW w:w="2848" w:type="dxa"/>
            <w:tcBorders>
              <w:top w:val="single" w:sz="4" w:space="0" w:color="000000"/>
              <w:bottom w:val="single" w:sz="4" w:space="0" w:color="000000"/>
            </w:tcBorders>
          </w:tcPr>
          <w:p w14:paraId="17B07A5B" w14:textId="77777777" w:rsidR="009765D0" w:rsidRDefault="0051542C">
            <w:pPr>
              <w:jc w:val="center"/>
            </w:pPr>
            <w:r>
              <w:rPr>
                <w:b/>
                <w:bCs/>
              </w:rPr>
              <w:t>Category</w:t>
            </w:r>
          </w:p>
        </w:tc>
        <w:tc>
          <w:tcPr>
            <w:tcW w:w="2731" w:type="dxa"/>
            <w:tcBorders>
              <w:top w:val="single" w:sz="4" w:space="0" w:color="000000"/>
              <w:bottom w:val="single" w:sz="4" w:space="0" w:color="000000"/>
            </w:tcBorders>
          </w:tcPr>
          <w:p w14:paraId="6852C169" w14:textId="77777777" w:rsidR="009765D0" w:rsidRDefault="0051542C">
            <w:pPr>
              <w:jc w:val="center"/>
            </w:pPr>
            <w:r>
              <w:rPr>
                <w:b/>
                <w:bCs/>
              </w:rPr>
              <w:t>Frequency (n)</w:t>
            </w:r>
          </w:p>
        </w:tc>
        <w:tc>
          <w:tcPr>
            <w:tcW w:w="2629" w:type="dxa"/>
            <w:tcBorders>
              <w:top w:val="single" w:sz="4" w:space="0" w:color="000000"/>
              <w:bottom w:val="single" w:sz="4" w:space="0" w:color="000000"/>
            </w:tcBorders>
          </w:tcPr>
          <w:p w14:paraId="49D2B681" w14:textId="77777777" w:rsidR="009765D0" w:rsidRDefault="0051542C">
            <w:pPr>
              <w:jc w:val="center"/>
            </w:pPr>
            <w:r>
              <w:rPr>
                <w:b/>
                <w:bCs/>
              </w:rPr>
              <w:t>Percent (%)</w:t>
            </w:r>
          </w:p>
        </w:tc>
      </w:tr>
      <w:tr w:rsidR="009765D0" w14:paraId="5EEB00E7" w14:textId="77777777">
        <w:tc>
          <w:tcPr>
            <w:tcW w:w="2848" w:type="dxa"/>
            <w:tcBorders>
              <w:top w:val="single" w:sz="4" w:space="0" w:color="000000"/>
            </w:tcBorders>
          </w:tcPr>
          <w:p w14:paraId="0F589199" w14:textId="77777777" w:rsidR="009765D0" w:rsidRDefault="0051542C">
            <w:pPr>
              <w:jc w:val="center"/>
            </w:pPr>
            <w:r>
              <w:t>No formal schooling</w:t>
            </w:r>
          </w:p>
        </w:tc>
        <w:tc>
          <w:tcPr>
            <w:tcW w:w="2731" w:type="dxa"/>
            <w:tcBorders>
              <w:top w:val="single" w:sz="4" w:space="0" w:color="000000"/>
            </w:tcBorders>
          </w:tcPr>
          <w:p w14:paraId="53D6540D" w14:textId="77777777" w:rsidR="009765D0" w:rsidRDefault="0051542C">
            <w:pPr>
              <w:jc w:val="center"/>
            </w:pPr>
            <w:r>
              <w:t>2</w:t>
            </w:r>
          </w:p>
        </w:tc>
        <w:tc>
          <w:tcPr>
            <w:tcW w:w="2629" w:type="dxa"/>
            <w:tcBorders>
              <w:top w:val="single" w:sz="4" w:space="0" w:color="000000"/>
            </w:tcBorders>
          </w:tcPr>
          <w:p w14:paraId="60635CC6" w14:textId="77777777" w:rsidR="009765D0" w:rsidRDefault="0051542C">
            <w:pPr>
              <w:jc w:val="center"/>
            </w:pPr>
            <w:r>
              <w:t>5.00</w:t>
            </w:r>
          </w:p>
        </w:tc>
      </w:tr>
      <w:tr w:rsidR="009765D0" w14:paraId="7376C3EF" w14:textId="77777777">
        <w:tc>
          <w:tcPr>
            <w:tcW w:w="2848" w:type="dxa"/>
          </w:tcPr>
          <w:p w14:paraId="788E8A1C" w14:textId="77777777" w:rsidR="009765D0" w:rsidRDefault="0051542C">
            <w:pPr>
              <w:jc w:val="center"/>
            </w:pPr>
            <w:r>
              <w:t>Elementary school</w:t>
            </w:r>
          </w:p>
        </w:tc>
        <w:tc>
          <w:tcPr>
            <w:tcW w:w="2731" w:type="dxa"/>
          </w:tcPr>
          <w:p w14:paraId="0F555F78" w14:textId="77777777" w:rsidR="009765D0" w:rsidRDefault="0051542C">
            <w:pPr>
              <w:jc w:val="center"/>
            </w:pPr>
            <w:r>
              <w:t>3</w:t>
            </w:r>
          </w:p>
        </w:tc>
        <w:tc>
          <w:tcPr>
            <w:tcW w:w="2629" w:type="dxa"/>
          </w:tcPr>
          <w:p w14:paraId="593C257B" w14:textId="77777777" w:rsidR="009765D0" w:rsidRDefault="0051542C">
            <w:pPr>
              <w:jc w:val="center"/>
            </w:pPr>
            <w:r>
              <w:t>7.50</w:t>
            </w:r>
          </w:p>
        </w:tc>
      </w:tr>
      <w:tr w:rsidR="009765D0" w14:paraId="34420947" w14:textId="77777777">
        <w:tc>
          <w:tcPr>
            <w:tcW w:w="2848" w:type="dxa"/>
          </w:tcPr>
          <w:p w14:paraId="2E47A960" w14:textId="77777777" w:rsidR="009765D0" w:rsidRDefault="0051542C">
            <w:pPr>
              <w:jc w:val="center"/>
            </w:pPr>
            <w:r>
              <w:t>Junior high school</w:t>
            </w:r>
          </w:p>
        </w:tc>
        <w:tc>
          <w:tcPr>
            <w:tcW w:w="2731" w:type="dxa"/>
          </w:tcPr>
          <w:p w14:paraId="0E39A3F7" w14:textId="77777777" w:rsidR="009765D0" w:rsidRDefault="0051542C">
            <w:pPr>
              <w:jc w:val="center"/>
            </w:pPr>
            <w:r>
              <w:t>5</w:t>
            </w:r>
          </w:p>
        </w:tc>
        <w:tc>
          <w:tcPr>
            <w:tcW w:w="2629" w:type="dxa"/>
          </w:tcPr>
          <w:p w14:paraId="5453F746" w14:textId="77777777" w:rsidR="009765D0" w:rsidRDefault="0051542C">
            <w:pPr>
              <w:jc w:val="center"/>
            </w:pPr>
            <w:r>
              <w:t>12.50</w:t>
            </w:r>
          </w:p>
        </w:tc>
      </w:tr>
      <w:tr w:rsidR="009765D0" w14:paraId="275A07C1" w14:textId="77777777">
        <w:tc>
          <w:tcPr>
            <w:tcW w:w="2848" w:type="dxa"/>
          </w:tcPr>
          <w:p w14:paraId="646AC241" w14:textId="77777777" w:rsidR="009765D0" w:rsidRDefault="0051542C">
            <w:pPr>
              <w:jc w:val="center"/>
            </w:pPr>
            <w:r>
              <w:t>Senior high/vocational</w:t>
            </w:r>
          </w:p>
        </w:tc>
        <w:tc>
          <w:tcPr>
            <w:tcW w:w="2731" w:type="dxa"/>
          </w:tcPr>
          <w:p w14:paraId="6EAB332B" w14:textId="77777777" w:rsidR="009765D0" w:rsidRDefault="0051542C">
            <w:pPr>
              <w:jc w:val="center"/>
            </w:pPr>
            <w:r>
              <w:t>20</w:t>
            </w:r>
          </w:p>
        </w:tc>
        <w:tc>
          <w:tcPr>
            <w:tcW w:w="2629" w:type="dxa"/>
          </w:tcPr>
          <w:p w14:paraId="38D6E69E" w14:textId="77777777" w:rsidR="009765D0" w:rsidRDefault="0051542C">
            <w:pPr>
              <w:jc w:val="center"/>
            </w:pPr>
            <w:r>
              <w:t>50.00</w:t>
            </w:r>
          </w:p>
        </w:tc>
      </w:tr>
      <w:tr w:rsidR="009765D0" w14:paraId="5473C214" w14:textId="77777777">
        <w:tc>
          <w:tcPr>
            <w:tcW w:w="2848" w:type="dxa"/>
            <w:tcBorders>
              <w:bottom w:val="single" w:sz="4" w:space="0" w:color="000000"/>
            </w:tcBorders>
          </w:tcPr>
          <w:p w14:paraId="43E82E1C" w14:textId="77777777" w:rsidR="009765D0" w:rsidRDefault="0051542C">
            <w:pPr>
              <w:jc w:val="center"/>
            </w:pPr>
            <w:r>
              <w:t>University</w:t>
            </w:r>
          </w:p>
        </w:tc>
        <w:tc>
          <w:tcPr>
            <w:tcW w:w="2731" w:type="dxa"/>
            <w:tcBorders>
              <w:bottom w:val="single" w:sz="4" w:space="0" w:color="000000"/>
            </w:tcBorders>
          </w:tcPr>
          <w:p w14:paraId="3D3DCE73" w14:textId="77777777" w:rsidR="009765D0" w:rsidRDefault="0051542C">
            <w:pPr>
              <w:jc w:val="center"/>
            </w:pPr>
            <w:r>
              <w:t>10</w:t>
            </w:r>
          </w:p>
        </w:tc>
        <w:tc>
          <w:tcPr>
            <w:tcW w:w="2629" w:type="dxa"/>
            <w:tcBorders>
              <w:bottom w:val="single" w:sz="4" w:space="0" w:color="000000"/>
            </w:tcBorders>
          </w:tcPr>
          <w:p w14:paraId="0725E94C" w14:textId="77777777" w:rsidR="009765D0" w:rsidRDefault="0051542C">
            <w:pPr>
              <w:jc w:val="center"/>
            </w:pPr>
            <w:r>
              <w:t>25.00</w:t>
            </w:r>
          </w:p>
        </w:tc>
      </w:tr>
    </w:tbl>
    <w:p w14:paraId="77E95F51" w14:textId="77777777" w:rsidR="009765D0" w:rsidRDefault="009765D0">
      <w:pPr>
        <w:pBdr>
          <w:top w:val="nil"/>
          <w:left w:val="nil"/>
          <w:bottom w:val="nil"/>
          <w:right w:val="nil"/>
          <w:between w:val="nil"/>
        </w:pBdr>
        <w:spacing w:after="240"/>
        <w:jc w:val="both"/>
        <w:rPr>
          <w:color w:val="000000"/>
        </w:rPr>
      </w:pPr>
    </w:p>
    <w:p w14:paraId="4EFA8F66" w14:textId="77777777" w:rsidR="009765D0" w:rsidRDefault="0051542C">
      <w:pPr>
        <w:pBdr>
          <w:top w:val="nil"/>
          <w:left w:val="nil"/>
          <w:bottom w:val="nil"/>
          <w:right w:val="nil"/>
          <w:between w:val="nil"/>
        </w:pBdr>
        <w:spacing w:after="120" w:line="276" w:lineRule="auto"/>
        <w:jc w:val="both"/>
        <w:rPr>
          <w:color w:val="000000"/>
        </w:rPr>
      </w:pPr>
      <w:r>
        <w:rPr>
          <w:color w:val="000000"/>
        </w:rPr>
        <w:lastRenderedPageBreak/>
        <w:t>Half of the respondents completed senior high school or vocational education, while one-quarter had a university background. Although these levels are generally sufficient for standard farm operations, a non-trivial share reported only elementary or junior high schooling, and 5% reported no formal schooling. This spread implies that extension materials should be practical and visual, while still strengthening financial and administrative skills that are needed for formal service access (Lusardi &amp; Mitchell, 2014; Pomeroy et al., 2020).</w:t>
      </w:r>
    </w:p>
    <w:p w14:paraId="7D5C2853" w14:textId="77777777" w:rsidR="009765D0" w:rsidRDefault="0051542C">
      <w:pPr>
        <w:pBdr>
          <w:top w:val="nil"/>
          <w:left w:val="nil"/>
          <w:bottom w:val="nil"/>
          <w:right w:val="nil"/>
          <w:between w:val="nil"/>
        </w:pBdr>
        <w:spacing w:after="120" w:line="276" w:lineRule="auto"/>
        <w:jc w:val="both"/>
        <w:rPr>
          <w:color w:val="000000"/>
        </w:rPr>
      </w:pPr>
      <w:r>
        <w:rPr>
          <w:color w:val="000000"/>
        </w:rPr>
        <w:t>In particular, improving basic financial literacy and documentation—such as simple cash-flow records, cost tracking, and loan application readiness—can help MSME farmers reduce information barriers when dealing with banks or other formal lenders (</w:t>
      </w:r>
      <w:proofErr w:type="spellStart"/>
      <w:r>
        <w:rPr>
          <w:color w:val="000000"/>
        </w:rPr>
        <w:t>Aribawa</w:t>
      </w:r>
      <w:proofErr w:type="spellEnd"/>
      <w:r>
        <w:rPr>
          <w:color w:val="000000"/>
        </w:rPr>
        <w:t xml:space="preserve">, 2016; </w:t>
      </w:r>
      <w:proofErr w:type="spellStart"/>
      <w:r>
        <w:rPr>
          <w:color w:val="000000"/>
        </w:rPr>
        <w:t>Sanistasya</w:t>
      </w:r>
      <w:proofErr w:type="spellEnd"/>
      <w:r>
        <w:rPr>
          <w:color w:val="000000"/>
        </w:rPr>
        <w:t xml:space="preserve"> et al., 2019).</w:t>
      </w:r>
    </w:p>
    <w:p w14:paraId="5383E40C" w14:textId="77777777" w:rsidR="009765D0" w:rsidRDefault="0051542C">
      <w:pPr>
        <w:pBdr>
          <w:top w:val="nil"/>
          <w:left w:val="nil"/>
          <w:bottom w:val="nil"/>
          <w:right w:val="nil"/>
          <w:between w:val="nil"/>
        </w:pBdr>
        <w:spacing w:after="60" w:line="276" w:lineRule="auto"/>
        <w:rPr>
          <w:b/>
          <w:bCs/>
          <w:color w:val="000000"/>
        </w:rPr>
      </w:pPr>
      <w:r>
        <w:rPr>
          <w:b/>
          <w:bCs/>
          <w:color w:val="000000"/>
        </w:rPr>
        <w:t>Respondents’ primary occupation</w:t>
      </w:r>
    </w:p>
    <w:p w14:paraId="05D08FC8" w14:textId="77777777" w:rsidR="009765D0" w:rsidRDefault="0051542C">
      <w:pPr>
        <w:pBdr>
          <w:top w:val="nil"/>
          <w:left w:val="nil"/>
          <w:bottom w:val="nil"/>
          <w:right w:val="nil"/>
          <w:between w:val="nil"/>
        </w:pBdr>
        <w:spacing w:after="60" w:line="276" w:lineRule="auto"/>
        <w:jc w:val="center"/>
        <w:rPr>
          <w:color w:val="000000"/>
        </w:rPr>
      </w:pPr>
      <w:r>
        <w:rPr>
          <w:color w:val="000000"/>
        </w:rPr>
        <w:t>Table 3. Respondents’ primary occupation</w:t>
      </w:r>
    </w:p>
    <w:tbl>
      <w:tblPr>
        <w:tblStyle w:val="a1"/>
        <w:tblW w:w="8208" w:type="dxa"/>
        <w:tblInd w:w="0" w:type="dxa"/>
        <w:tblLayout w:type="fixed"/>
        <w:tblLook w:val="0400" w:firstRow="0" w:lastRow="0" w:firstColumn="0" w:lastColumn="0" w:noHBand="0" w:noVBand="1"/>
      </w:tblPr>
      <w:tblGrid>
        <w:gridCol w:w="2942"/>
        <w:gridCol w:w="2681"/>
        <w:gridCol w:w="2585"/>
      </w:tblGrid>
      <w:tr w:rsidR="009765D0" w14:paraId="4DCFCF46" w14:textId="77777777">
        <w:tc>
          <w:tcPr>
            <w:tcW w:w="2942" w:type="dxa"/>
            <w:tcBorders>
              <w:top w:val="single" w:sz="4" w:space="0" w:color="000000"/>
              <w:bottom w:val="single" w:sz="4" w:space="0" w:color="000000"/>
            </w:tcBorders>
          </w:tcPr>
          <w:p w14:paraId="2D28A2F4" w14:textId="77777777" w:rsidR="009765D0" w:rsidRDefault="0051542C">
            <w:pPr>
              <w:pBdr>
                <w:top w:val="single" w:sz="4" w:space="1" w:color="000000"/>
                <w:bottom w:val="single" w:sz="4" w:space="1" w:color="000000"/>
              </w:pBdr>
              <w:jc w:val="center"/>
            </w:pPr>
            <w:r>
              <w:t>Category</w:t>
            </w:r>
          </w:p>
          <w:p w14:paraId="0B00466E" w14:textId="77777777" w:rsidR="009765D0" w:rsidRDefault="009765D0">
            <w:pPr>
              <w:pBdr>
                <w:top w:val="single" w:sz="4" w:space="1" w:color="000000"/>
                <w:bottom w:val="single" w:sz="4" w:space="1" w:color="000000"/>
              </w:pBdr>
              <w:jc w:val="center"/>
            </w:pPr>
          </w:p>
        </w:tc>
        <w:tc>
          <w:tcPr>
            <w:tcW w:w="2681" w:type="dxa"/>
            <w:tcBorders>
              <w:top w:val="single" w:sz="4" w:space="0" w:color="000000"/>
              <w:bottom w:val="single" w:sz="4" w:space="0" w:color="000000"/>
            </w:tcBorders>
          </w:tcPr>
          <w:p w14:paraId="249AB0FF" w14:textId="77777777" w:rsidR="009765D0" w:rsidRDefault="0051542C">
            <w:pPr>
              <w:pBdr>
                <w:top w:val="single" w:sz="4" w:space="1" w:color="000000"/>
                <w:bottom w:val="single" w:sz="4" w:space="1" w:color="000000"/>
              </w:pBdr>
              <w:spacing w:line="480" w:lineRule="auto"/>
              <w:jc w:val="center"/>
            </w:pPr>
            <w:r>
              <w:t>Frequency (n)</w:t>
            </w:r>
          </w:p>
        </w:tc>
        <w:tc>
          <w:tcPr>
            <w:tcW w:w="2585" w:type="dxa"/>
            <w:tcBorders>
              <w:top w:val="single" w:sz="4" w:space="0" w:color="000000"/>
              <w:bottom w:val="single" w:sz="4" w:space="0" w:color="000000"/>
            </w:tcBorders>
          </w:tcPr>
          <w:p w14:paraId="5D84E19B" w14:textId="77777777" w:rsidR="009765D0" w:rsidRDefault="0051542C">
            <w:pPr>
              <w:pBdr>
                <w:top w:val="single" w:sz="4" w:space="1" w:color="000000"/>
                <w:bottom w:val="single" w:sz="4" w:space="1" w:color="000000"/>
              </w:pBdr>
              <w:spacing w:line="480" w:lineRule="auto"/>
              <w:jc w:val="center"/>
            </w:pPr>
            <w:r>
              <w:t>Percent (%)</w:t>
            </w:r>
          </w:p>
        </w:tc>
      </w:tr>
      <w:tr w:rsidR="009765D0" w14:paraId="662F507F" w14:textId="77777777">
        <w:tc>
          <w:tcPr>
            <w:tcW w:w="2942" w:type="dxa"/>
            <w:tcBorders>
              <w:top w:val="single" w:sz="4" w:space="0" w:color="000000"/>
            </w:tcBorders>
          </w:tcPr>
          <w:p w14:paraId="384F93B6" w14:textId="77777777" w:rsidR="009765D0" w:rsidRDefault="0051542C">
            <w:pPr>
              <w:jc w:val="center"/>
            </w:pPr>
            <w:r>
              <w:t>Entrepreneur/Self-employed</w:t>
            </w:r>
          </w:p>
        </w:tc>
        <w:tc>
          <w:tcPr>
            <w:tcW w:w="2681" w:type="dxa"/>
            <w:tcBorders>
              <w:top w:val="single" w:sz="4" w:space="0" w:color="000000"/>
            </w:tcBorders>
          </w:tcPr>
          <w:p w14:paraId="5FE27A71" w14:textId="77777777" w:rsidR="009765D0" w:rsidRDefault="0051542C">
            <w:pPr>
              <w:jc w:val="center"/>
            </w:pPr>
            <w:r>
              <w:t>18</w:t>
            </w:r>
          </w:p>
        </w:tc>
        <w:tc>
          <w:tcPr>
            <w:tcW w:w="2585" w:type="dxa"/>
            <w:tcBorders>
              <w:top w:val="single" w:sz="4" w:space="0" w:color="000000"/>
            </w:tcBorders>
          </w:tcPr>
          <w:p w14:paraId="0E802C47" w14:textId="77777777" w:rsidR="009765D0" w:rsidRDefault="0051542C">
            <w:pPr>
              <w:jc w:val="center"/>
            </w:pPr>
            <w:r>
              <w:t>45.00</w:t>
            </w:r>
          </w:p>
        </w:tc>
      </w:tr>
      <w:tr w:rsidR="009765D0" w14:paraId="2558EC61" w14:textId="77777777">
        <w:tc>
          <w:tcPr>
            <w:tcW w:w="2942" w:type="dxa"/>
          </w:tcPr>
          <w:p w14:paraId="402FF486" w14:textId="77777777" w:rsidR="009765D0" w:rsidRDefault="0051542C">
            <w:pPr>
              <w:jc w:val="center"/>
            </w:pPr>
            <w:r>
              <w:t>Full Farmers</w:t>
            </w:r>
          </w:p>
        </w:tc>
        <w:tc>
          <w:tcPr>
            <w:tcW w:w="2681" w:type="dxa"/>
          </w:tcPr>
          <w:p w14:paraId="0AC49119" w14:textId="77777777" w:rsidR="009765D0" w:rsidRDefault="0051542C">
            <w:pPr>
              <w:jc w:val="center"/>
            </w:pPr>
            <w:r>
              <w:t>16</w:t>
            </w:r>
          </w:p>
        </w:tc>
        <w:tc>
          <w:tcPr>
            <w:tcW w:w="2585" w:type="dxa"/>
          </w:tcPr>
          <w:p w14:paraId="31FF2C72" w14:textId="77777777" w:rsidR="009765D0" w:rsidRDefault="0051542C">
            <w:pPr>
              <w:jc w:val="center"/>
            </w:pPr>
            <w:r>
              <w:t>40.00</w:t>
            </w:r>
          </w:p>
        </w:tc>
      </w:tr>
      <w:tr w:rsidR="009765D0" w14:paraId="68A0244C" w14:textId="77777777">
        <w:tc>
          <w:tcPr>
            <w:tcW w:w="2942" w:type="dxa"/>
          </w:tcPr>
          <w:p w14:paraId="5F710C58" w14:textId="77777777" w:rsidR="009765D0" w:rsidRDefault="0051542C">
            <w:pPr>
              <w:jc w:val="center"/>
            </w:pPr>
            <w:r>
              <w:t>Private-sector employee</w:t>
            </w:r>
          </w:p>
        </w:tc>
        <w:tc>
          <w:tcPr>
            <w:tcW w:w="2681" w:type="dxa"/>
          </w:tcPr>
          <w:p w14:paraId="0EF37446" w14:textId="77777777" w:rsidR="009765D0" w:rsidRDefault="0051542C">
            <w:pPr>
              <w:jc w:val="center"/>
            </w:pPr>
            <w:r>
              <w:t>5</w:t>
            </w:r>
          </w:p>
        </w:tc>
        <w:tc>
          <w:tcPr>
            <w:tcW w:w="2585" w:type="dxa"/>
          </w:tcPr>
          <w:p w14:paraId="2CC04EEA" w14:textId="77777777" w:rsidR="009765D0" w:rsidRDefault="0051542C">
            <w:pPr>
              <w:jc w:val="center"/>
            </w:pPr>
            <w:r>
              <w:t>12.50</w:t>
            </w:r>
          </w:p>
        </w:tc>
      </w:tr>
      <w:tr w:rsidR="009765D0" w14:paraId="07800746" w14:textId="77777777">
        <w:tc>
          <w:tcPr>
            <w:tcW w:w="2942" w:type="dxa"/>
            <w:tcBorders>
              <w:bottom w:val="single" w:sz="4" w:space="0" w:color="000000"/>
            </w:tcBorders>
          </w:tcPr>
          <w:p w14:paraId="629D67C6" w14:textId="77777777" w:rsidR="009765D0" w:rsidRDefault="0051542C">
            <w:pPr>
              <w:jc w:val="center"/>
            </w:pPr>
            <w:r>
              <w:t>Government employee</w:t>
            </w:r>
          </w:p>
        </w:tc>
        <w:tc>
          <w:tcPr>
            <w:tcW w:w="2681" w:type="dxa"/>
            <w:tcBorders>
              <w:bottom w:val="single" w:sz="4" w:space="0" w:color="000000"/>
            </w:tcBorders>
          </w:tcPr>
          <w:p w14:paraId="4BA313E9" w14:textId="77777777" w:rsidR="009765D0" w:rsidRDefault="0051542C">
            <w:pPr>
              <w:jc w:val="center"/>
            </w:pPr>
            <w:r>
              <w:t>1</w:t>
            </w:r>
          </w:p>
        </w:tc>
        <w:tc>
          <w:tcPr>
            <w:tcW w:w="2585" w:type="dxa"/>
            <w:tcBorders>
              <w:bottom w:val="single" w:sz="4" w:space="0" w:color="000000"/>
            </w:tcBorders>
          </w:tcPr>
          <w:p w14:paraId="4A3FAA96" w14:textId="77777777" w:rsidR="009765D0" w:rsidRDefault="0051542C">
            <w:pPr>
              <w:jc w:val="center"/>
            </w:pPr>
            <w:r>
              <w:t>2.50</w:t>
            </w:r>
          </w:p>
        </w:tc>
      </w:tr>
    </w:tbl>
    <w:p w14:paraId="55A3C68B" w14:textId="77777777" w:rsidR="009765D0" w:rsidRDefault="009765D0">
      <w:pPr>
        <w:pBdr>
          <w:top w:val="nil"/>
          <w:left w:val="nil"/>
          <w:bottom w:val="nil"/>
          <w:right w:val="nil"/>
          <w:between w:val="nil"/>
        </w:pBdr>
        <w:spacing w:after="240"/>
        <w:jc w:val="center"/>
        <w:rPr>
          <w:color w:val="000000"/>
        </w:rPr>
      </w:pPr>
    </w:p>
    <w:p w14:paraId="0704B298" w14:textId="2C573330" w:rsidR="009765D0" w:rsidRDefault="0051542C">
      <w:pPr>
        <w:pBdr>
          <w:top w:val="nil"/>
          <w:left w:val="nil"/>
          <w:bottom w:val="nil"/>
          <w:right w:val="nil"/>
          <w:between w:val="nil"/>
        </w:pBdr>
        <w:spacing w:after="120" w:line="276" w:lineRule="auto"/>
        <w:jc w:val="both"/>
        <w:rPr>
          <w:color w:val="000000"/>
        </w:rPr>
      </w:pPr>
      <w:r>
        <w:rPr>
          <w:color w:val="000000"/>
        </w:rPr>
        <w:t>Table 3 indicates that self-employment/entrepreneurship was the most common primary occupation (45.00%), suggesting that shrimp farming is a strategic income source and that production shocks and input</w:t>
      </w:r>
      <w:r w:rsidR="00066594">
        <w:rPr>
          <w:color w:val="000000"/>
        </w:rPr>
        <w:t xml:space="preserve"> </w:t>
      </w:r>
      <w:r>
        <w:rPr>
          <w:color w:val="000000"/>
        </w:rPr>
        <w:t xml:space="preserve">price fluctuations can directly affect household economic resilience. Combined with the dominance of secondary education, this profile strengthens the relevance of financial-literacy and practical business-management support, particularly recordkeeping and </w:t>
      </w:r>
      <w:proofErr w:type="gramStart"/>
      <w:r>
        <w:rPr>
          <w:color w:val="000000"/>
        </w:rPr>
        <w:t>cycle</w:t>
      </w:r>
      <w:r w:rsidR="002A1EAC">
        <w:rPr>
          <w:color w:val="000000"/>
        </w:rPr>
        <w:t xml:space="preserve"> </w:t>
      </w:r>
      <w:r>
        <w:rPr>
          <w:color w:val="000000"/>
        </w:rPr>
        <w:t>based</w:t>
      </w:r>
      <w:proofErr w:type="gramEnd"/>
      <w:r>
        <w:rPr>
          <w:color w:val="000000"/>
        </w:rPr>
        <w:t xml:space="preserve"> planning (Pomeroy et al., 2020; Lusardi &amp; Mitchell, 2014). From a policy perspective, improved documentation of production, costs, and revenues can enhance creditworthiness and support risk mitigation and investment decisions (Pomeroy, Arango, Lomboy, &amp; Box, 2020). More broadly, socio-economic characteristics (age, education, gender, marital status, and occupation) shape innovation adoption, decision quality, and access to extension, finance, and markets; evidence in small-scale shrimp farming also highlights that constraints in productive assets and working capital can limit intensification and contribute to vulnerability and “productivity trap” dynamics (Yi, Reardon, &amp; Stringer, 2018; Rimmer et al., 2013).</w:t>
      </w:r>
    </w:p>
    <w:p w14:paraId="5A441A81" w14:textId="77777777" w:rsidR="009765D0" w:rsidRDefault="0051542C">
      <w:pPr>
        <w:pBdr>
          <w:top w:val="nil"/>
          <w:left w:val="nil"/>
          <w:bottom w:val="nil"/>
          <w:right w:val="nil"/>
          <w:between w:val="nil"/>
        </w:pBdr>
        <w:spacing w:after="120" w:line="276" w:lineRule="auto"/>
        <w:jc w:val="both"/>
        <w:rPr>
          <w:color w:val="000000"/>
        </w:rPr>
      </w:pPr>
      <w:r>
        <w:rPr>
          <w:color w:val="000000"/>
        </w:rPr>
        <w:t>These socio-demographic characteristics provide context for interpreting spatial concentration, enterprise organization, and MSME scale patterns across regencies, discussed in Section 3.2.</w:t>
      </w:r>
    </w:p>
    <w:p w14:paraId="01B9A3EE" w14:textId="77777777" w:rsidR="009765D0" w:rsidRDefault="0051542C">
      <w:pPr>
        <w:pBdr>
          <w:top w:val="nil"/>
          <w:left w:val="nil"/>
          <w:bottom w:val="nil"/>
          <w:right w:val="nil"/>
          <w:between w:val="nil"/>
        </w:pBdr>
        <w:spacing w:before="120" w:after="60"/>
        <w:jc w:val="both"/>
        <w:rPr>
          <w:b/>
          <w:bCs/>
          <w:color w:val="000000"/>
        </w:rPr>
      </w:pPr>
      <w:r>
        <w:rPr>
          <w:b/>
          <w:bCs/>
          <w:color w:val="000000"/>
        </w:rPr>
        <w:t>3.2 Regional Profile, Business Model, and MSME Scale</w:t>
      </w:r>
    </w:p>
    <w:p w14:paraId="49D28580" w14:textId="77777777" w:rsidR="009765D0" w:rsidRDefault="0051542C">
      <w:pPr>
        <w:pBdr>
          <w:top w:val="nil"/>
          <w:left w:val="nil"/>
          <w:bottom w:val="nil"/>
          <w:right w:val="nil"/>
          <w:between w:val="nil"/>
        </w:pBdr>
        <w:spacing w:before="120" w:after="60"/>
        <w:jc w:val="both"/>
        <w:rPr>
          <w:b/>
          <w:bCs/>
          <w:color w:val="000000"/>
        </w:rPr>
      </w:pPr>
      <w:r>
        <w:rPr>
          <w:b/>
          <w:bCs/>
          <w:color w:val="000000"/>
        </w:rPr>
        <w:t>Distribution of respondents by regency</w:t>
      </w:r>
    </w:p>
    <w:p w14:paraId="2C586781" w14:textId="77777777" w:rsidR="009765D0" w:rsidRDefault="0051542C">
      <w:pPr>
        <w:pBdr>
          <w:top w:val="nil"/>
          <w:left w:val="nil"/>
          <w:bottom w:val="nil"/>
          <w:right w:val="nil"/>
          <w:between w:val="nil"/>
        </w:pBdr>
        <w:spacing w:after="60" w:line="276" w:lineRule="auto"/>
        <w:jc w:val="center"/>
        <w:rPr>
          <w:color w:val="000000"/>
        </w:rPr>
      </w:pPr>
      <w:r>
        <w:rPr>
          <w:color w:val="000000"/>
        </w:rPr>
        <w:t>Table 4. Distribution of respondents by regency</w:t>
      </w:r>
    </w:p>
    <w:tbl>
      <w:tblPr>
        <w:tblStyle w:val="a2"/>
        <w:tblW w:w="8208" w:type="dxa"/>
        <w:tblInd w:w="0" w:type="dxa"/>
        <w:tblLayout w:type="fixed"/>
        <w:tblLook w:val="0400" w:firstRow="0" w:lastRow="0" w:firstColumn="0" w:lastColumn="0" w:noHBand="0" w:noVBand="1"/>
      </w:tblPr>
      <w:tblGrid>
        <w:gridCol w:w="2765"/>
        <w:gridCol w:w="2765"/>
        <w:gridCol w:w="2678"/>
      </w:tblGrid>
      <w:tr w:rsidR="009765D0" w14:paraId="380A6EB7" w14:textId="77777777">
        <w:tc>
          <w:tcPr>
            <w:tcW w:w="2765" w:type="dxa"/>
            <w:tcBorders>
              <w:top w:val="single" w:sz="4" w:space="0" w:color="000000"/>
              <w:bottom w:val="single" w:sz="4" w:space="0" w:color="000000"/>
            </w:tcBorders>
          </w:tcPr>
          <w:p w14:paraId="56878ED6" w14:textId="77777777" w:rsidR="009765D0" w:rsidRDefault="0051542C">
            <w:pPr>
              <w:jc w:val="center"/>
            </w:pPr>
            <w:r>
              <w:t>Category</w:t>
            </w:r>
          </w:p>
        </w:tc>
        <w:tc>
          <w:tcPr>
            <w:tcW w:w="2765" w:type="dxa"/>
            <w:tcBorders>
              <w:top w:val="single" w:sz="4" w:space="0" w:color="000000"/>
              <w:bottom w:val="single" w:sz="4" w:space="0" w:color="000000"/>
            </w:tcBorders>
          </w:tcPr>
          <w:p w14:paraId="297F92D1" w14:textId="77777777" w:rsidR="009765D0" w:rsidRDefault="0051542C">
            <w:pPr>
              <w:spacing w:line="480" w:lineRule="auto"/>
              <w:jc w:val="center"/>
            </w:pPr>
            <w:r>
              <w:t>Frequency (n)</w:t>
            </w:r>
          </w:p>
        </w:tc>
        <w:tc>
          <w:tcPr>
            <w:tcW w:w="2678" w:type="dxa"/>
            <w:tcBorders>
              <w:top w:val="single" w:sz="4" w:space="0" w:color="000000"/>
              <w:bottom w:val="single" w:sz="4" w:space="0" w:color="000000"/>
            </w:tcBorders>
          </w:tcPr>
          <w:p w14:paraId="1E30250F" w14:textId="77777777" w:rsidR="009765D0" w:rsidRDefault="0051542C">
            <w:pPr>
              <w:spacing w:line="480" w:lineRule="auto"/>
              <w:jc w:val="center"/>
            </w:pPr>
            <w:r>
              <w:t>Percent (%)</w:t>
            </w:r>
          </w:p>
        </w:tc>
      </w:tr>
      <w:tr w:rsidR="009765D0" w14:paraId="759D7A52" w14:textId="77777777">
        <w:tc>
          <w:tcPr>
            <w:tcW w:w="2765" w:type="dxa"/>
            <w:tcBorders>
              <w:top w:val="single" w:sz="4" w:space="0" w:color="000000"/>
            </w:tcBorders>
          </w:tcPr>
          <w:p w14:paraId="03463A27" w14:textId="77777777" w:rsidR="009765D0" w:rsidRDefault="0051542C">
            <w:pPr>
              <w:spacing w:line="480" w:lineRule="auto"/>
              <w:jc w:val="center"/>
            </w:pPr>
            <w:r>
              <w:t>Cirebon</w:t>
            </w:r>
          </w:p>
        </w:tc>
        <w:tc>
          <w:tcPr>
            <w:tcW w:w="2765" w:type="dxa"/>
            <w:tcBorders>
              <w:top w:val="single" w:sz="4" w:space="0" w:color="000000"/>
            </w:tcBorders>
          </w:tcPr>
          <w:p w14:paraId="38318B36" w14:textId="77777777" w:rsidR="009765D0" w:rsidRDefault="0051542C">
            <w:pPr>
              <w:spacing w:line="480" w:lineRule="auto"/>
              <w:jc w:val="center"/>
            </w:pPr>
            <w:r>
              <w:t>16</w:t>
            </w:r>
          </w:p>
        </w:tc>
        <w:tc>
          <w:tcPr>
            <w:tcW w:w="2678" w:type="dxa"/>
            <w:tcBorders>
              <w:top w:val="single" w:sz="4" w:space="0" w:color="000000"/>
            </w:tcBorders>
          </w:tcPr>
          <w:p w14:paraId="5FB6746E" w14:textId="77777777" w:rsidR="009765D0" w:rsidRDefault="0051542C">
            <w:pPr>
              <w:spacing w:line="480" w:lineRule="auto"/>
              <w:jc w:val="center"/>
            </w:pPr>
            <w:r>
              <w:t>40.00</w:t>
            </w:r>
          </w:p>
        </w:tc>
      </w:tr>
      <w:tr w:rsidR="009765D0" w14:paraId="76B28788" w14:textId="77777777">
        <w:tc>
          <w:tcPr>
            <w:tcW w:w="2765" w:type="dxa"/>
          </w:tcPr>
          <w:p w14:paraId="356A9E3D" w14:textId="77777777" w:rsidR="009765D0" w:rsidRDefault="0051542C">
            <w:pPr>
              <w:spacing w:line="480" w:lineRule="auto"/>
              <w:jc w:val="center"/>
            </w:pPr>
            <w:r>
              <w:lastRenderedPageBreak/>
              <w:t>Subang</w:t>
            </w:r>
          </w:p>
        </w:tc>
        <w:tc>
          <w:tcPr>
            <w:tcW w:w="2765" w:type="dxa"/>
          </w:tcPr>
          <w:p w14:paraId="56456D24" w14:textId="77777777" w:rsidR="009765D0" w:rsidRDefault="0051542C">
            <w:pPr>
              <w:spacing w:line="480" w:lineRule="auto"/>
              <w:jc w:val="center"/>
            </w:pPr>
            <w:r>
              <w:t>14</w:t>
            </w:r>
          </w:p>
        </w:tc>
        <w:tc>
          <w:tcPr>
            <w:tcW w:w="2678" w:type="dxa"/>
          </w:tcPr>
          <w:p w14:paraId="4078D5E5" w14:textId="77777777" w:rsidR="009765D0" w:rsidRDefault="0051542C">
            <w:pPr>
              <w:spacing w:line="480" w:lineRule="auto"/>
              <w:jc w:val="center"/>
            </w:pPr>
            <w:r>
              <w:t>35.00</w:t>
            </w:r>
          </w:p>
        </w:tc>
      </w:tr>
      <w:tr w:rsidR="009765D0" w14:paraId="724A32DE" w14:textId="77777777">
        <w:tc>
          <w:tcPr>
            <w:tcW w:w="2765" w:type="dxa"/>
          </w:tcPr>
          <w:p w14:paraId="3A066857" w14:textId="77777777" w:rsidR="009765D0" w:rsidRDefault="0051542C">
            <w:pPr>
              <w:spacing w:line="480" w:lineRule="auto"/>
              <w:jc w:val="center"/>
            </w:pPr>
            <w:proofErr w:type="spellStart"/>
            <w:r>
              <w:t>Indramayu</w:t>
            </w:r>
            <w:proofErr w:type="spellEnd"/>
          </w:p>
        </w:tc>
        <w:tc>
          <w:tcPr>
            <w:tcW w:w="2765" w:type="dxa"/>
          </w:tcPr>
          <w:p w14:paraId="22DD95DE" w14:textId="77777777" w:rsidR="009765D0" w:rsidRDefault="0051542C">
            <w:pPr>
              <w:spacing w:line="480" w:lineRule="auto"/>
              <w:jc w:val="center"/>
            </w:pPr>
            <w:r>
              <w:t>7</w:t>
            </w:r>
          </w:p>
        </w:tc>
        <w:tc>
          <w:tcPr>
            <w:tcW w:w="2678" w:type="dxa"/>
          </w:tcPr>
          <w:p w14:paraId="29CB2B55" w14:textId="77777777" w:rsidR="009765D0" w:rsidRDefault="0051542C">
            <w:pPr>
              <w:spacing w:line="480" w:lineRule="auto"/>
              <w:jc w:val="center"/>
            </w:pPr>
            <w:r>
              <w:t>17.50</w:t>
            </w:r>
          </w:p>
        </w:tc>
      </w:tr>
      <w:tr w:rsidR="009765D0" w14:paraId="21A739E6" w14:textId="77777777">
        <w:tc>
          <w:tcPr>
            <w:tcW w:w="2765" w:type="dxa"/>
          </w:tcPr>
          <w:p w14:paraId="238E6A6F" w14:textId="77777777" w:rsidR="009765D0" w:rsidRDefault="0051542C">
            <w:pPr>
              <w:spacing w:line="480" w:lineRule="auto"/>
              <w:jc w:val="center"/>
            </w:pPr>
            <w:r>
              <w:t>Karawang</w:t>
            </w:r>
          </w:p>
        </w:tc>
        <w:tc>
          <w:tcPr>
            <w:tcW w:w="2765" w:type="dxa"/>
          </w:tcPr>
          <w:p w14:paraId="2995DA80" w14:textId="77777777" w:rsidR="009765D0" w:rsidRDefault="0051542C">
            <w:pPr>
              <w:spacing w:line="480" w:lineRule="auto"/>
              <w:jc w:val="center"/>
            </w:pPr>
            <w:r>
              <w:t>2</w:t>
            </w:r>
          </w:p>
        </w:tc>
        <w:tc>
          <w:tcPr>
            <w:tcW w:w="2678" w:type="dxa"/>
          </w:tcPr>
          <w:p w14:paraId="74EC207C" w14:textId="77777777" w:rsidR="009765D0" w:rsidRDefault="0051542C">
            <w:pPr>
              <w:spacing w:line="480" w:lineRule="auto"/>
              <w:jc w:val="center"/>
            </w:pPr>
            <w:r>
              <w:t>5.00</w:t>
            </w:r>
          </w:p>
        </w:tc>
      </w:tr>
      <w:tr w:rsidR="009765D0" w14:paraId="46840107" w14:textId="77777777">
        <w:tc>
          <w:tcPr>
            <w:tcW w:w="2765" w:type="dxa"/>
            <w:tcBorders>
              <w:bottom w:val="single" w:sz="4" w:space="0" w:color="000000"/>
            </w:tcBorders>
          </w:tcPr>
          <w:p w14:paraId="2764E1FB" w14:textId="77777777" w:rsidR="009765D0" w:rsidRDefault="0051542C">
            <w:pPr>
              <w:spacing w:line="480" w:lineRule="auto"/>
              <w:jc w:val="center"/>
            </w:pPr>
            <w:r>
              <w:t>Bekasi</w:t>
            </w:r>
          </w:p>
        </w:tc>
        <w:tc>
          <w:tcPr>
            <w:tcW w:w="2765" w:type="dxa"/>
            <w:tcBorders>
              <w:bottom w:val="single" w:sz="4" w:space="0" w:color="000000"/>
            </w:tcBorders>
          </w:tcPr>
          <w:p w14:paraId="643E2137" w14:textId="77777777" w:rsidR="009765D0" w:rsidRDefault="0051542C">
            <w:pPr>
              <w:spacing w:line="480" w:lineRule="auto"/>
              <w:jc w:val="center"/>
            </w:pPr>
            <w:r>
              <w:t>1</w:t>
            </w:r>
          </w:p>
        </w:tc>
        <w:tc>
          <w:tcPr>
            <w:tcW w:w="2678" w:type="dxa"/>
            <w:tcBorders>
              <w:bottom w:val="single" w:sz="4" w:space="0" w:color="000000"/>
            </w:tcBorders>
          </w:tcPr>
          <w:p w14:paraId="3E8D1C50" w14:textId="77777777" w:rsidR="009765D0" w:rsidRDefault="0051542C">
            <w:pPr>
              <w:spacing w:line="480" w:lineRule="auto"/>
              <w:jc w:val="center"/>
            </w:pPr>
            <w:r>
              <w:t>2.50</w:t>
            </w:r>
          </w:p>
        </w:tc>
      </w:tr>
    </w:tbl>
    <w:p w14:paraId="51284CD2" w14:textId="77777777" w:rsidR="009765D0" w:rsidRDefault="009765D0">
      <w:pPr>
        <w:pBdr>
          <w:top w:val="nil"/>
          <w:left w:val="nil"/>
          <w:bottom w:val="nil"/>
          <w:right w:val="nil"/>
          <w:between w:val="nil"/>
        </w:pBdr>
        <w:spacing w:after="240"/>
        <w:jc w:val="both"/>
        <w:rPr>
          <w:color w:val="000000"/>
        </w:rPr>
      </w:pPr>
    </w:p>
    <w:p w14:paraId="121807FB" w14:textId="77777777" w:rsidR="009765D0" w:rsidRDefault="0051542C">
      <w:pPr>
        <w:pBdr>
          <w:top w:val="nil"/>
          <w:left w:val="nil"/>
          <w:bottom w:val="nil"/>
          <w:right w:val="nil"/>
          <w:between w:val="nil"/>
        </w:pBdr>
        <w:spacing w:after="60" w:line="276" w:lineRule="auto"/>
        <w:jc w:val="center"/>
        <w:rPr>
          <w:color w:val="000000"/>
        </w:rPr>
      </w:pPr>
      <w:r>
        <w:rPr>
          <w:color w:val="000000"/>
        </w:rPr>
        <w:t>Table 4 shows that the largest share of respondents came from Cirebon Regency (40.00%). This spatial concentration suggests the presence of production clusters shaped by pond infrastructure, input access, and marketing networks (FAO, 2020).</w:t>
      </w:r>
    </w:p>
    <w:p w14:paraId="3EF6ED0B" w14:textId="77777777" w:rsidR="009765D0" w:rsidRDefault="009765D0">
      <w:pPr>
        <w:pBdr>
          <w:top w:val="nil"/>
          <w:left w:val="nil"/>
          <w:bottom w:val="nil"/>
          <w:right w:val="nil"/>
          <w:between w:val="nil"/>
        </w:pBdr>
        <w:spacing w:after="60" w:line="276" w:lineRule="auto"/>
        <w:jc w:val="center"/>
        <w:rPr>
          <w:color w:val="000000"/>
        </w:rPr>
      </w:pPr>
    </w:p>
    <w:p w14:paraId="21F09611" w14:textId="77777777" w:rsidR="009765D0" w:rsidRDefault="0051542C">
      <w:pPr>
        <w:pBdr>
          <w:top w:val="nil"/>
          <w:left w:val="nil"/>
          <w:bottom w:val="nil"/>
          <w:right w:val="nil"/>
          <w:between w:val="nil"/>
        </w:pBdr>
        <w:spacing w:after="60" w:line="276" w:lineRule="auto"/>
        <w:rPr>
          <w:b/>
          <w:bCs/>
          <w:color w:val="000000"/>
        </w:rPr>
      </w:pPr>
      <w:r>
        <w:rPr>
          <w:b/>
          <w:bCs/>
          <w:color w:val="000000"/>
        </w:rPr>
        <w:t>Business model of shrimp farming enterprises</w:t>
      </w:r>
    </w:p>
    <w:p w14:paraId="25B9C033" w14:textId="77777777" w:rsidR="009765D0" w:rsidRDefault="0051542C">
      <w:pPr>
        <w:pBdr>
          <w:top w:val="nil"/>
          <w:left w:val="nil"/>
          <w:bottom w:val="nil"/>
          <w:right w:val="nil"/>
          <w:between w:val="nil"/>
        </w:pBdr>
        <w:spacing w:after="60" w:line="276" w:lineRule="auto"/>
        <w:jc w:val="center"/>
        <w:rPr>
          <w:color w:val="000000"/>
        </w:rPr>
      </w:pPr>
      <w:r>
        <w:rPr>
          <w:color w:val="000000"/>
        </w:rPr>
        <w:t>Table 5. Business model of shrimp farming enterprises</w:t>
      </w:r>
    </w:p>
    <w:tbl>
      <w:tblPr>
        <w:tblStyle w:val="a3"/>
        <w:tblW w:w="8208" w:type="dxa"/>
        <w:tblInd w:w="0" w:type="dxa"/>
        <w:tblLayout w:type="fixed"/>
        <w:tblLook w:val="0400" w:firstRow="0" w:lastRow="0" w:firstColumn="0" w:lastColumn="0" w:noHBand="0" w:noVBand="1"/>
      </w:tblPr>
      <w:tblGrid>
        <w:gridCol w:w="2744"/>
        <w:gridCol w:w="2775"/>
        <w:gridCol w:w="2689"/>
      </w:tblGrid>
      <w:tr w:rsidR="009765D0" w14:paraId="3A02EFBC" w14:textId="77777777">
        <w:tc>
          <w:tcPr>
            <w:tcW w:w="2744" w:type="dxa"/>
            <w:tcBorders>
              <w:top w:val="single" w:sz="4" w:space="0" w:color="000000"/>
              <w:bottom w:val="single" w:sz="4" w:space="0" w:color="000000"/>
            </w:tcBorders>
          </w:tcPr>
          <w:p w14:paraId="620F3CF1" w14:textId="77777777" w:rsidR="009765D0" w:rsidRDefault="0051542C">
            <w:pPr>
              <w:jc w:val="center"/>
            </w:pPr>
            <w:r>
              <w:t>Category</w:t>
            </w:r>
          </w:p>
        </w:tc>
        <w:tc>
          <w:tcPr>
            <w:tcW w:w="2775" w:type="dxa"/>
            <w:tcBorders>
              <w:top w:val="single" w:sz="4" w:space="0" w:color="000000"/>
              <w:bottom w:val="single" w:sz="4" w:space="0" w:color="000000"/>
            </w:tcBorders>
          </w:tcPr>
          <w:p w14:paraId="7DA1D046" w14:textId="77777777" w:rsidR="009765D0" w:rsidRDefault="0051542C">
            <w:pPr>
              <w:spacing w:line="480" w:lineRule="auto"/>
              <w:jc w:val="center"/>
            </w:pPr>
            <w:r>
              <w:t>Frequency (n)</w:t>
            </w:r>
          </w:p>
        </w:tc>
        <w:tc>
          <w:tcPr>
            <w:tcW w:w="2689" w:type="dxa"/>
            <w:tcBorders>
              <w:top w:val="single" w:sz="4" w:space="0" w:color="000000"/>
              <w:bottom w:val="single" w:sz="4" w:space="0" w:color="000000"/>
            </w:tcBorders>
          </w:tcPr>
          <w:p w14:paraId="43C00EC2" w14:textId="77777777" w:rsidR="009765D0" w:rsidRDefault="0051542C">
            <w:pPr>
              <w:spacing w:line="480" w:lineRule="auto"/>
              <w:jc w:val="center"/>
            </w:pPr>
            <w:r>
              <w:t>Percent (%)</w:t>
            </w:r>
          </w:p>
        </w:tc>
      </w:tr>
      <w:tr w:rsidR="009765D0" w14:paraId="51872651" w14:textId="77777777">
        <w:tc>
          <w:tcPr>
            <w:tcW w:w="2744" w:type="dxa"/>
            <w:tcBorders>
              <w:top w:val="single" w:sz="4" w:space="0" w:color="000000"/>
            </w:tcBorders>
          </w:tcPr>
          <w:p w14:paraId="1DB3CF2C" w14:textId="77777777" w:rsidR="009765D0" w:rsidRDefault="0051542C">
            <w:pPr>
              <w:jc w:val="center"/>
            </w:pPr>
            <w:r>
              <w:t>Individual</w:t>
            </w:r>
          </w:p>
        </w:tc>
        <w:tc>
          <w:tcPr>
            <w:tcW w:w="2775" w:type="dxa"/>
            <w:tcBorders>
              <w:top w:val="single" w:sz="4" w:space="0" w:color="000000"/>
            </w:tcBorders>
          </w:tcPr>
          <w:p w14:paraId="161F9697" w14:textId="77777777" w:rsidR="009765D0" w:rsidRDefault="0051542C">
            <w:pPr>
              <w:jc w:val="center"/>
            </w:pPr>
            <w:r>
              <w:t>39</w:t>
            </w:r>
          </w:p>
        </w:tc>
        <w:tc>
          <w:tcPr>
            <w:tcW w:w="2689" w:type="dxa"/>
            <w:tcBorders>
              <w:top w:val="single" w:sz="4" w:space="0" w:color="000000"/>
            </w:tcBorders>
          </w:tcPr>
          <w:p w14:paraId="54E0DCE5" w14:textId="77777777" w:rsidR="009765D0" w:rsidRDefault="0051542C">
            <w:pPr>
              <w:jc w:val="center"/>
            </w:pPr>
            <w:r>
              <w:t>97.50</w:t>
            </w:r>
          </w:p>
        </w:tc>
      </w:tr>
      <w:tr w:rsidR="009765D0" w14:paraId="770DF380" w14:textId="77777777">
        <w:tc>
          <w:tcPr>
            <w:tcW w:w="2744" w:type="dxa"/>
            <w:tcBorders>
              <w:bottom w:val="single" w:sz="4" w:space="0" w:color="000000"/>
            </w:tcBorders>
          </w:tcPr>
          <w:p w14:paraId="48D5C532" w14:textId="77777777" w:rsidR="009765D0" w:rsidRDefault="0051542C">
            <w:pPr>
              <w:jc w:val="center"/>
            </w:pPr>
            <w:r>
              <w:t>Company</w:t>
            </w:r>
          </w:p>
        </w:tc>
        <w:tc>
          <w:tcPr>
            <w:tcW w:w="2775" w:type="dxa"/>
            <w:tcBorders>
              <w:bottom w:val="single" w:sz="4" w:space="0" w:color="000000"/>
            </w:tcBorders>
          </w:tcPr>
          <w:p w14:paraId="4BFAEBDA" w14:textId="77777777" w:rsidR="009765D0" w:rsidRDefault="0051542C">
            <w:pPr>
              <w:jc w:val="center"/>
            </w:pPr>
            <w:r>
              <w:t>1</w:t>
            </w:r>
          </w:p>
        </w:tc>
        <w:tc>
          <w:tcPr>
            <w:tcW w:w="2689" w:type="dxa"/>
            <w:tcBorders>
              <w:bottom w:val="single" w:sz="4" w:space="0" w:color="000000"/>
            </w:tcBorders>
          </w:tcPr>
          <w:p w14:paraId="7436D81E" w14:textId="77777777" w:rsidR="009765D0" w:rsidRDefault="0051542C">
            <w:pPr>
              <w:jc w:val="center"/>
            </w:pPr>
            <w:r>
              <w:t>2.50</w:t>
            </w:r>
          </w:p>
        </w:tc>
      </w:tr>
    </w:tbl>
    <w:p w14:paraId="6D437866" w14:textId="77777777" w:rsidR="009765D0" w:rsidRDefault="0051542C">
      <w:pPr>
        <w:pBdr>
          <w:top w:val="nil"/>
          <w:left w:val="nil"/>
          <w:bottom w:val="nil"/>
          <w:right w:val="nil"/>
          <w:between w:val="nil"/>
        </w:pBdr>
        <w:spacing w:after="60" w:line="276" w:lineRule="auto"/>
        <w:jc w:val="both"/>
        <w:rPr>
          <w:color w:val="000000"/>
        </w:rPr>
      </w:pPr>
      <w:r>
        <w:rPr>
          <w:color w:val="000000"/>
        </w:rPr>
        <w:t>Table 5 shows that the business model was dominated by individual operators (97.50%). This dominance implies limited economies of scale; strengthening farmer institutions (groups/partnerships) can improve input efficiency, market access, and bargaining power.</w:t>
      </w:r>
    </w:p>
    <w:p w14:paraId="78AD662B" w14:textId="77777777" w:rsidR="00760824" w:rsidRDefault="00760824">
      <w:pPr>
        <w:pBdr>
          <w:top w:val="nil"/>
          <w:left w:val="nil"/>
          <w:bottom w:val="nil"/>
          <w:right w:val="nil"/>
          <w:between w:val="nil"/>
        </w:pBdr>
        <w:spacing w:after="60" w:line="276" w:lineRule="auto"/>
        <w:jc w:val="both"/>
        <w:rPr>
          <w:color w:val="000000"/>
        </w:rPr>
      </w:pPr>
    </w:p>
    <w:p w14:paraId="506EC77B" w14:textId="77777777" w:rsidR="009765D0" w:rsidRDefault="009765D0">
      <w:pPr>
        <w:pBdr>
          <w:top w:val="nil"/>
          <w:left w:val="nil"/>
          <w:bottom w:val="nil"/>
          <w:right w:val="nil"/>
          <w:between w:val="nil"/>
        </w:pBdr>
        <w:spacing w:after="60" w:line="276" w:lineRule="auto"/>
        <w:jc w:val="both"/>
        <w:rPr>
          <w:color w:val="000000"/>
        </w:rPr>
      </w:pPr>
    </w:p>
    <w:p w14:paraId="44E79F36"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MSME scale category</w:t>
      </w:r>
    </w:p>
    <w:p w14:paraId="04D3B92E" w14:textId="77777777" w:rsidR="009765D0" w:rsidRDefault="0051542C">
      <w:pPr>
        <w:pBdr>
          <w:top w:val="nil"/>
          <w:left w:val="nil"/>
          <w:bottom w:val="nil"/>
          <w:right w:val="nil"/>
          <w:between w:val="nil"/>
        </w:pBdr>
        <w:spacing w:after="60" w:line="276" w:lineRule="auto"/>
        <w:jc w:val="center"/>
        <w:rPr>
          <w:color w:val="000000"/>
        </w:rPr>
      </w:pPr>
      <w:r>
        <w:rPr>
          <w:color w:val="000000"/>
        </w:rPr>
        <w:t>Table 6. MSME scale category (Total)</w:t>
      </w:r>
    </w:p>
    <w:tbl>
      <w:tblPr>
        <w:tblStyle w:val="a4"/>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734"/>
        <w:gridCol w:w="2780"/>
        <w:gridCol w:w="2694"/>
      </w:tblGrid>
      <w:tr w:rsidR="009765D0" w14:paraId="217AB58B" w14:textId="77777777">
        <w:tc>
          <w:tcPr>
            <w:tcW w:w="2734" w:type="dxa"/>
            <w:tcBorders>
              <w:top w:val="single" w:sz="4" w:space="0" w:color="000000"/>
              <w:bottom w:val="single" w:sz="4" w:space="0" w:color="000000"/>
            </w:tcBorders>
          </w:tcPr>
          <w:p w14:paraId="4973D607" w14:textId="77777777" w:rsidR="009765D0" w:rsidRDefault="0051542C">
            <w:pPr>
              <w:jc w:val="center"/>
            </w:pPr>
            <w:r>
              <w:t>Category</w:t>
            </w:r>
          </w:p>
        </w:tc>
        <w:tc>
          <w:tcPr>
            <w:tcW w:w="2780" w:type="dxa"/>
            <w:tcBorders>
              <w:top w:val="single" w:sz="4" w:space="0" w:color="000000"/>
              <w:bottom w:val="single" w:sz="4" w:space="0" w:color="000000"/>
            </w:tcBorders>
          </w:tcPr>
          <w:p w14:paraId="7BE6ACD8"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5B81E6A9" w14:textId="77777777" w:rsidR="009765D0" w:rsidRDefault="0051542C">
            <w:pPr>
              <w:spacing w:line="480" w:lineRule="auto"/>
              <w:jc w:val="center"/>
            </w:pPr>
            <w:r>
              <w:t>Percent (%)</w:t>
            </w:r>
          </w:p>
        </w:tc>
      </w:tr>
      <w:tr w:rsidR="009765D0" w14:paraId="049F3E83" w14:textId="77777777">
        <w:tc>
          <w:tcPr>
            <w:tcW w:w="2734" w:type="dxa"/>
            <w:tcBorders>
              <w:top w:val="single" w:sz="4" w:space="0" w:color="000000"/>
            </w:tcBorders>
          </w:tcPr>
          <w:p w14:paraId="7B93484B" w14:textId="77777777" w:rsidR="009765D0" w:rsidRDefault="0051542C">
            <w:pPr>
              <w:spacing w:line="480" w:lineRule="auto"/>
              <w:jc w:val="center"/>
            </w:pPr>
            <w:r>
              <w:t>Small</w:t>
            </w:r>
          </w:p>
        </w:tc>
        <w:tc>
          <w:tcPr>
            <w:tcW w:w="2780" w:type="dxa"/>
            <w:tcBorders>
              <w:top w:val="single" w:sz="4" w:space="0" w:color="000000"/>
            </w:tcBorders>
          </w:tcPr>
          <w:p w14:paraId="5C496B4B" w14:textId="77777777" w:rsidR="009765D0" w:rsidRDefault="0051542C">
            <w:pPr>
              <w:spacing w:line="480" w:lineRule="auto"/>
              <w:jc w:val="center"/>
            </w:pPr>
            <w:r>
              <w:t>23</w:t>
            </w:r>
          </w:p>
        </w:tc>
        <w:tc>
          <w:tcPr>
            <w:tcW w:w="2694" w:type="dxa"/>
            <w:tcBorders>
              <w:top w:val="single" w:sz="4" w:space="0" w:color="000000"/>
            </w:tcBorders>
          </w:tcPr>
          <w:p w14:paraId="07A5F471" w14:textId="77777777" w:rsidR="009765D0" w:rsidRDefault="0051542C">
            <w:pPr>
              <w:spacing w:line="480" w:lineRule="auto"/>
              <w:jc w:val="center"/>
            </w:pPr>
            <w:r>
              <w:t>57.50</w:t>
            </w:r>
          </w:p>
        </w:tc>
      </w:tr>
      <w:tr w:rsidR="009765D0" w14:paraId="72E8EF2B" w14:textId="77777777">
        <w:tc>
          <w:tcPr>
            <w:tcW w:w="2734" w:type="dxa"/>
          </w:tcPr>
          <w:p w14:paraId="6C2DE88D" w14:textId="77777777" w:rsidR="009765D0" w:rsidRDefault="0051542C">
            <w:pPr>
              <w:spacing w:line="480" w:lineRule="auto"/>
              <w:jc w:val="center"/>
            </w:pPr>
            <w:r>
              <w:t>Micro</w:t>
            </w:r>
          </w:p>
        </w:tc>
        <w:tc>
          <w:tcPr>
            <w:tcW w:w="2780" w:type="dxa"/>
          </w:tcPr>
          <w:p w14:paraId="383F5592" w14:textId="77777777" w:rsidR="009765D0" w:rsidRDefault="0051542C">
            <w:pPr>
              <w:spacing w:line="480" w:lineRule="auto"/>
              <w:jc w:val="center"/>
            </w:pPr>
            <w:r>
              <w:t>13</w:t>
            </w:r>
          </w:p>
        </w:tc>
        <w:tc>
          <w:tcPr>
            <w:tcW w:w="2694" w:type="dxa"/>
          </w:tcPr>
          <w:p w14:paraId="70C28EB0" w14:textId="77777777" w:rsidR="009765D0" w:rsidRDefault="0051542C">
            <w:pPr>
              <w:spacing w:line="480" w:lineRule="auto"/>
              <w:jc w:val="center"/>
            </w:pPr>
            <w:r>
              <w:t>32.50</w:t>
            </w:r>
          </w:p>
        </w:tc>
      </w:tr>
      <w:tr w:rsidR="009765D0" w14:paraId="6E816AF0" w14:textId="77777777">
        <w:tc>
          <w:tcPr>
            <w:tcW w:w="2734" w:type="dxa"/>
          </w:tcPr>
          <w:p w14:paraId="6D2C40ED" w14:textId="77777777" w:rsidR="009765D0" w:rsidRDefault="0051542C">
            <w:pPr>
              <w:spacing w:line="480" w:lineRule="auto"/>
              <w:jc w:val="center"/>
            </w:pPr>
            <w:r>
              <w:t>Medium</w:t>
            </w:r>
          </w:p>
        </w:tc>
        <w:tc>
          <w:tcPr>
            <w:tcW w:w="2780" w:type="dxa"/>
          </w:tcPr>
          <w:p w14:paraId="55C3AB20" w14:textId="77777777" w:rsidR="009765D0" w:rsidRDefault="0051542C">
            <w:pPr>
              <w:spacing w:line="480" w:lineRule="auto"/>
              <w:jc w:val="center"/>
            </w:pPr>
            <w:r>
              <w:t>4</w:t>
            </w:r>
          </w:p>
        </w:tc>
        <w:tc>
          <w:tcPr>
            <w:tcW w:w="2694" w:type="dxa"/>
          </w:tcPr>
          <w:p w14:paraId="4E88BB2C" w14:textId="77777777" w:rsidR="009765D0" w:rsidRDefault="0051542C">
            <w:pPr>
              <w:spacing w:line="480" w:lineRule="auto"/>
              <w:jc w:val="center"/>
            </w:pPr>
            <w:r>
              <w:t>10.00</w:t>
            </w:r>
          </w:p>
        </w:tc>
      </w:tr>
    </w:tbl>
    <w:p w14:paraId="75F05EDD" w14:textId="77777777" w:rsidR="009765D0" w:rsidRDefault="0051542C">
      <w:pPr>
        <w:pBdr>
          <w:top w:val="nil"/>
          <w:left w:val="nil"/>
          <w:bottom w:val="nil"/>
          <w:right w:val="nil"/>
          <w:between w:val="nil"/>
        </w:pBdr>
        <w:spacing w:after="60" w:line="276" w:lineRule="auto"/>
        <w:jc w:val="both"/>
        <w:rPr>
          <w:color w:val="000000"/>
        </w:rPr>
      </w:pPr>
      <w:r>
        <w:rPr>
          <w:color w:val="000000"/>
        </w:rPr>
        <w:t>Table 6 shows that enterprise scale was dominated by the small category (57.50%). This micro–small structure indicates constraints in productive assets and highlights the need for investment support (infrastructure, technology, and risk management) (Yi et al., 2018).</w:t>
      </w:r>
    </w:p>
    <w:p w14:paraId="217430DC" w14:textId="77777777" w:rsidR="009765D0" w:rsidRDefault="009765D0">
      <w:pPr>
        <w:pBdr>
          <w:top w:val="nil"/>
          <w:left w:val="nil"/>
          <w:bottom w:val="nil"/>
          <w:right w:val="nil"/>
          <w:between w:val="nil"/>
        </w:pBdr>
        <w:spacing w:after="60" w:line="276" w:lineRule="auto"/>
        <w:jc w:val="center"/>
        <w:rPr>
          <w:color w:val="000000"/>
        </w:rPr>
      </w:pPr>
    </w:p>
    <w:p w14:paraId="0183230B" w14:textId="77777777" w:rsidR="009765D0" w:rsidRDefault="0051542C">
      <w:pPr>
        <w:pBdr>
          <w:top w:val="nil"/>
          <w:left w:val="nil"/>
          <w:bottom w:val="nil"/>
          <w:right w:val="nil"/>
          <w:between w:val="nil"/>
        </w:pBdr>
        <w:spacing w:after="60" w:line="276" w:lineRule="auto"/>
        <w:jc w:val="center"/>
        <w:rPr>
          <w:color w:val="000000"/>
        </w:rPr>
      </w:pPr>
      <w:r>
        <w:rPr>
          <w:color w:val="000000"/>
        </w:rPr>
        <w:t>Fig. 1. The MSME scale category by district.</w:t>
      </w:r>
    </w:p>
    <w:p w14:paraId="1EE41C8A" w14:textId="77777777" w:rsidR="009765D0" w:rsidRDefault="0051542C">
      <w:pPr>
        <w:pBdr>
          <w:top w:val="nil"/>
          <w:left w:val="nil"/>
          <w:bottom w:val="nil"/>
          <w:right w:val="nil"/>
          <w:between w:val="nil"/>
        </w:pBdr>
        <w:spacing w:after="120"/>
        <w:jc w:val="center"/>
        <w:rPr>
          <w:color w:val="000000"/>
        </w:rPr>
      </w:pPr>
      <w:r>
        <w:rPr>
          <w:noProof/>
          <w:color w:val="000000"/>
        </w:rPr>
        <w:lastRenderedPageBreak/>
        <w:drawing>
          <wp:inline distT="0" distB="0" distL="0" distR="0" wp14:anchorId="2D731259" wp14:editId="3293B36E">
            <wp:extent cx="5212080" cy="301117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212080" cy="3011170"/>
                    </a:xfrm>
                    <a:prstGeom prst="rect">
                      <a:avLst/>
                    </a:prstGeom>
                    <a:ln/>
                  </pic:spPr>
                </pic:pic>
              </a:graphicData>
            </a:graphic>
          </wp:inline>
        </w:drawing>
      </w:r>
    </w:p>
    <w:p w14:paraId="2C71ED1B" w14:textId="27B6E060" w:rsidR="002A1EAC" w:rsidRDefault="002A1EAC">
      <w:pPr>
        <w:pBdr>
          <w:top w:val="nil"/>
          <w:left w:val="nil"/>
          <w:bottom w:val="nil"/>
          <w:right w:val="nil"/>
          <w:between w:val="nil"/>
        </w:pBdr>
        <w:spacing w:after="60" w:line="276" w:lineRule="auto"/>
        <w:jc w:val="both"/>
        <w:rPr>
          <w:color w:val="000000"/>
        </w:rPr>
      </w:pPr>
      <w:r w:rsidRPr="002A1EAC">
        <w:rPr>
          <w:color w:val="000000"/>
        </w:rPr>
        <w:t>As shown in Table 5 and Table 6, most enterprises were individually operated (97.5%) and concentrated in micro and small categories, indicating limited productive assets and working-capital capacity among the majority of farmers. This structure provides the baseline for interpreting differences in production capacity and risk exposure across regencies.</w:t>
      </w:r>
    </w:p>
    <w:p w14:paraId="30278ECF" w14:textId="63937EBC" w:rsidR="009765D0" w:rsidRDefault="0051542C">
      <w:pPr>
        <w:pBdr>
          <w:top w:val="nil"/>
          <w:left w:val="nil"/>
          <w:bottom w:val="nil"/>
          <w:right w:val="nil"/>
          <w:between w:val="nil"/>
        </w:pBdr>
        <w:spacing w:after="60" w:line="276" w:lineRule="auto"/>
        <w:jc w:val="both"/>
        <w:rPr>
          <w:color w:val="000000"/>
        </w:rPr>
      </w:pPr>
      <w:r>
        <w:rPr>
          <w:color w:val="000000"/>
        </w:rPr>
        <w:t>Highlights differences in enterprise-scale structure across regencies. Cirebon recorded the largest number of respondents, while the shares of micro, small, and medium enterprises varied across areas. This variation reflects heterogeneity in capital capacity and infrastructure; areas with higher proportions of small/medium operators tend to be better prepared for intensification and have better input access (Yi et al., 2018).</w:t>
      </w:r>
    </w:p>
    <w:p w14:paraId="789E74C6" w14:textId="7CA76678" w:rsidR="009765D0" w:rsidRDefault="0051542C">
      <w:pPr>
        <w:pBdr>
          <w:top w:val="nil"/>
          <w:left w:val="nil"/>
          <w:bottom w:val="nil"/>
          <w:right w:val="nil"/>
          <w:between w:val="nil"/>
        </w:pBdr>
        <w:spacing w:after="120" w:line="276" w:lineRule="auto"/>
        <w:jc w:val="both"/>
        <w:rPr>
          <w:color w:val="000000"/>
        </w:rPr>
      </w:pPr>
      <w:r>
        <w:rPr>
          <w:color w:val="000000"/>
        </w:rPr>
        <w:t xml:space="preserve">The concentration of respondents in several regencies along the North Coast of West Java indicates spatial clustering, a common pattern for high-value, market-oriented commodities such as </w:t>
      </w:r>
      <w:proofErr w:type="spellStart"/>
      <w:r>
        <w:rPr>
          <w:color w:val="000000"/>
        </w:rPr>
        <w:t>vannamei</w:t>
      </w:r>
      <w:proofErr w:type="spellEnd"/>
      <w:r>
        <w:rPr>
          <w:color w:val="000000"/>
        </w:rPr>
        <w:t xml:space="preserve"> shrimp (</w:t>
      </w:r>
      <w:proofErr w:type="spellStart"/>
      <w:r>
        <w:rPr>
          <w:color w:val="000000"/>
        </w:rPr>
        <w:t>Henriksson</w:t>
      </w:r>
      <w:proofErr w:type="spellEnd"/>
      <w:r>
        <w:rPr>
          <w:color w:val="000000"/>
        </w:rPr>
        <w:t xml:space="preserve"> et al., 2017; Rimmer et al., 2013). Such clusters typically reflect combined advantages in water access and land suitability, input availability (post</w:t>
      </w:r>
      <w:r w:rsidR="00066594">
        <w:rPr>
          <w:color w:val="000000"/>
        </w:rPr>
        <w:t xml:space="preserve"> </w:t>
      </w:r>
      <w:r>
        <w:rPr>
          <w:color w:val="000000"/>
        </w:rPr>
        <w:t xml:space="preserve">larvae, feed, equipment), logistics, and established buyer/intermediary networks (FAO, 2020; Henriksson et al., 2017). Clustering also has governance implications because disease and other production risks often extend beyond individual ponds, requiring coordinated prevention and response at the area level; therefore, </w:t>
      </w:r>
      <w:proofErr w:type="gramStart"/>
      <w:r>
        <w:rPr>
          <w:color w:val="000000"/>
        </w:rPr>
        <w:t>cluster</w:t>
      </w:r>
      <w:r w:rsidR="00066594">
        <w:rPr>
          <w:color w:val="000000"/>
        </w:rPr>
        <w:t xml:space="preserve"> </w:t>
      </w:r>
      <w:r>
        <w:rPr>
          <w:color w:val="000000"/>
        </w:rPr>
        <w:t>based</w:t>
      </w:r>
      <w:proofErr w:type="gramEnd"/>
      <w:r>
        <w:rPr>
          <w:color w:val="000000"/>
        </w:rPr>
        <w:t xml:space="preserve"> policies (e.g., targeting concentration centers such as Cirebon–Subang) are likely to be more effective than uniform interventions (Stentiford et al., 2017; Rimmer et al., 2013; FAO, 2020).</w:t>
      </w:r>
    </w:p>
    <w:p w14:paraId="71F2C2C1" w14:textId="77777777" w:rsidR="009765D0" w:rsidRDefault="0051542C">
      <w:pPr>
        <w:pBdr>
          <w:top w:val="nil"/>
          <w:left w:val="nil"/>
          <w:bottom w:val="nil"/>
          <w:right w:val="nil"/>
          <w:between w:val="nil"/>
        </w:pBdr>
        <w:spacing w:after="120" w:line="276" w:lineRule="auto"/>
        <w:jc w:val="both"/>
        <w:rPr>
          <w:color w:val="000000"/>
        </w:rPr>
      </w:pPr>
      <w:r>
        <w:rPr>
          <w:color w:val="000000"/>
        </w:rPr>
        <w:t xml:space="preserve">The dominance of individual business models confirms household-based and fragmented enterprise structures in Indonesian aquaculture, which can increase transaction costs and weaken bargaining power due to small-volume input purchasing, uneven market information, and variable capacity to meet good farming practice requirements (Henriksson et al., 2017; Rimmer et al., 2013; </w:t>
      </w:r>
      <w:proofErr w:type="spellStart"/>
      <w:r>
        <w:rPr>
          <w:color w:val="000000"/>
        </w:rPr>
        <w:t>Kusumawati</w:t>
      </w:r>
      <w:proofErr w:type="spellEnd"/>
      <w:r>
        <w:rPr>
          <w:color w:val="000000"/>
        </w:rPr>
        <w:t xml:space="preserve"> &amp; Bush, 2015; Vince &amp; Haward, 2019). Strengthening farmer institutions through groups/clusters/partnerships is therefore critical to consolidate input procurement, align biosecurity SOPs, and improve collective water and effluent management; </w:t>
      </w:r>
      <w:r>
        <w:rPr>
          <w:color w:val="000000"/>
        </w:rPr>
        <w:lastRenderedPageBreak/>
        <w:t>evidence from Asia suggests cluster participation can enhance network interactions, risk perceptions, and adoption of improved practices (Joffre et al., 2019; Stentiford et al., 2017).</w:t>
      </w:r>
    </w:p>
    <w:p w14:paraId="09266139" w14:textId="113A671C" w:rsidR="009765D0" w:rsidRDefault="0051542C">
      <w:pPr>
        <w:pBdr>
          <w:top w:val="nil"/>
          <w:left w:val="nil"/>
          <w:bottom w:val="nil"/>
          <w:right w:val="nil"/>
          <w:between w:val="nil"/>
        </w:pBdr>
        <w:spacing w:after="120" w:line="276" w:lineRule="auto"/>
        <w:jc w:val="both"/>
        <w:rPr>
          <w:color w:val="000000"/>
        </w:rPr>
      </w:pPr>
      <w:r>
        <w:rPr>
          <w:color w:val="000000"/>
        </w:rPr>
        <w:t>Enterprise-scale results further show a predominance of micro and small categories, indicating constraints in productive assets and working capital that shape intensification potential and technology adoption (Yi et al., 2018; Henriksson et al., 2017). While classification follows the national MSME framework (Republi</w:t>
      </w:r>
      <w:r w:rsidR="00663BF9">
        <w:rPr>
          <w:color w:val="000000"/>
        </w:rPr>
        <w:t>c</w:t>
      </w:r>
      <w:r>
        <w:rPr>
          <w:color w:val="000000"/>
        </w:rPr>
        <w:t xml:space="preserve"> </w:t>
      </w:r>
      <w:r w:rsidR="00663BF9">
        <w:rPr>
          <w:color w:val="000000"/>
        </w:rPr>
        <w:t xml:space="preserve">of </w:t>
      </w:r>
      <w:r>
        <w:rPr>
          <w:color w:val="000000"/>
        </w:rPr>
        <w:t>Indonesia, 2008), scale also proxies risk</w:t>
      </w:r>
      <w:r w:rsidR="002A1EAC">
        <w:rPr>
          <w:color w:val="000000"/>
        </w:rPr>
        <w:t xml:space="preserve"> </w:t>
      </w:r>
      <w:r>
        <w:rPr>
          <w:color w:val="000000"/>
        </w:rPr>
        <w:t>absorption capacity and reinvestment ability in infrastructure and technology; limited productive capital has been linked to slower adoption of inputs and production management, increasing vulnerability to cost volatility and disease shocks (Yi et al., 2018; Stentiford et al., 2017). Finally, cross</w:t>
      </w:r>
      <w:r w:rsidR="002A1EAC">
        <w:rPr>
          <w:color w:val="000000"/>
        </w:rPr>
        <w:t xml:space="preserve"> </w:t>
      </w:r>
      <w:r>
        <w:rPr>
          <w:color w:val="000000"/>
        </w:rPr>
        <w:t xml:space="preserve">regency differences in scale structure imply that policy needs are heterogeneous: micro-dominated areas require working-capital and basic technical support, whereas small–medium areas warrant efficiency, disease-management, and market-compliance interventions (FAO, 2020; Yi et al., 2018; Henriksson et al., 2017; Vince &amp; Haward, 2019). This is consistent with evidence of economies of scale in Indonesian </w:t>
      </w:r>
      <w:proofErr w:type="spellStart"/>
      <w:r>
        <w:rPr>
          <w:color w:val="000000"/>
        </w:rPr>
        <w:t>vannamei</w:t>
      </w:r>
      <w:proofErr w:type="spellEnd"/>
      <w:r>
        <w:rPr>
          <w:color w:val="000000"/>
        </w:rPr>
        <w:t xml:space="preserve"> farming, where technical efficiency improves with scale and stronger inputs—suggesting that institutional mechanisms are needed so micro operators do not fall behind in cost competitiveness and standards (Asmild et al., 2024; Yi et al., 2018).</w:t>
      </w:r>
    </w:p>
    <w:p w14:paraId="206C8BF8" w14:textId="50368C0E" w:rsidR="009765D0" w:rsidRDefault="0051542C">
      <w:pPr>
        <w:pBdr>
          <w:top w:val="nil"/>
          <w:left w:val="nil"/>
          <w:bottom w:val="nil"/>
          <w:right w:val="nil"/>
          <w:between w:val="nil"/>
        </w:pBdr>
        <w:spacing w:after="120" w:line="276" w:lineRule="auto"/>
        <w:jc w:val="both"/>
        <w:rPr>
          <w:color w:val="000000"/>
        </w:rPr>
      </w:pPr>
      <w:r>
        <w:rPr>
          <w:color w:val="000000"/>
        </w:rPr>
        <w:t>From a sustainability-governance perspective, the dominance of individual and small-scale enterprises is consistent with literature arguing that improving practices in fragmented systems is more effective through co-production approaches (government–private–farmer collaboration) and sustained technical support, rather than merely imposing standards on paper (</w:t>
      </w:r>
      <w:proofErr w:type="spellStart"/>
      <w:r>
        <w:rPr>
          <w:color w:val="000000"/>
        </w:rPr>
        <w:t>Kusumawati</w:t>
      </w:r>
      <w:proofErr w:type="spellEnd"/>
      <w:r>
        <w:rPr>
          <w:color w:val="000000"/>
        </w:rPr>
        <w:t xml:space="preserve"> &amp; Bush, 2015; Bush et al., 2013). Studies on shrimp certification/eco-labels in Indonesia also show that market instruments can motivate practice improvements, but benefits are not always evenly distributed and may be captured more easily by larger operators when mentoring and governance are weak (Azizah et al., 2020; Bush et al., 2013). Therefore, the combination of spatial concentration, individual business dominance, and a micro–small structure in the North Coast of West Java reinforces the urgency of </w:t>
      </w:r>
      <w:proofErr w:type="gramStart"/>
      <w:r>
        <w:rPr>
          <w:color w:val="000000"/>
        </w:rPr>
        <w:t>cluster</w:t>
      </w:r>
      <w:r w:rsidR="00066594">
        <w:rPr>
          <w:color w:val="000000"/>
        </w:rPr>
        <w:t xml:space="preserve"> </w:t>
      </w:r>
      <w:r>
        <w:rPr>
          <w:color w:val="000000"/>
        </w:rPr>
        <w:t>based</w:t>
      </w:r>
      <w:proofErr w:type="gramEnd"/>
      <w:r>
        <w:rPr>
          <w:color w:val="000000"/>
        </w:rPr>
        <w:t xml:space="preserve"> policies: institution strengthening, cycle</w:t>
      </w:r>
      <w:r w:rsidR="002A1EAC">
        <w:rPr>
          <w:color w:val="000000"/>
        </w:rPr>
        <w:t xml:space="preserve"> </w:t>
      </w:r>
      <w:r>
        <w:rPr>
          <w:color w:val="000000"/>
        </w:rPr>
        <w:t>adaptive financing, and area</w:t>
      </w:r>
      <w:r w:rsidR="00066594">
        <w:rPr>
          <w:color w:val="000000"/>
        </w:rPr>
        <w:t xml:space="preserve"> </w:t>
      </w:r>
      <w:r>
        <w:rPr>
          <w:color w:val="000000"/>
        </w:rPr>
        <w:t xml:space="preserve">level governance of disease and environmental risks (FAO, 2020; Stentiford et al., 2017; Joffre et al., 2019). </w:t>
      </w:r>
      <w:r w:rsidR="00240261" w:rsidRPr="00240261">
        <w:rPr>
          <w:color w:val="000000"/>
        </w:rPr>
        <w:t>In addition, social capital and farmer networks have been shown to be associated with higher profitability in shrimp farming, suggesting that strengthening local cooperation may also improve MSME performance (Duy et al., 2022).</w:t>
      </w:r>
      <w:r w:rsidR="00240261">
        <w:rPr>
          <w:color w:val="000000"/>
        </w:rPr>
        <w:t xml:space="preserve"> </w:t>
      </w:r>
      <w:r>
        <w:rPr>
          <w:color w:val="000000"/>
        </w:rPr>
        <w:t>This enterprise structure provides the context for examining production capacity and farming systems in Section 3.3.</w:t>
      </w:r>
    </w:p>
    <w:p w14:paraId="7F426EC6" w14:textId="77777777" w:rsidR="009765D0" w:rsidRDefault="0051542C">
      <w:pPr>
        <w:pBdr>
          <w:top w:val="nil"/>
          <w:left w:val="nil"/>
          <w:bottom w:val="nil"/>
          <w:right w:val="nil"/>
          <w:between w:val="nil"/>
        </w:pBdr>
        <w:spacing w:before="120" w:after="60"/>
        <w:jc w:val="both"/>
        <w:rPr>
          <w:b/>
          <w:bCs/>
          <w:color w:val="000000"/>
        </w:rPr>
      </w:pPr>
      <w:r>
        <w:rPr>
          <w:b/>
          <w:bCs/>
          <w:color w:val="000000"/>
        </w:rPr>
        <w:t>3.3 Production Profile and Farming System</w:t>
      </w:r>
    </w:p>
    <w:p w14:paraId="32A09F49" w14:textId="77777777" w:rsidR="009765D0" w:rsidRDefault="0051542C">
      <w:pPr>
        <w:pBdr>
          <w:top w:val="nil"/>
          <w:left w:val="nil"/>
          <w:bottom w:val="nil"/>
          <w:right w:val="nil"/>
          <w:between w:val="nil"/>
        </w:pBdr>
        <w:spacing w:before="120" w:after="60"/>
        <w:jc w:val="both"/>
        <w:rPr>
          <w:b/>
          <w:bCs/>
          <w:color w:val="000000"/>
        </w:rPr>
      </w:pPr>
      <w:r>
        <w:rPr>
          <w:b/>
          <w:bCs/>
          <w:color w:val="000000"/>
        </w:rPr>
        <w:t>Number of ponds</w:t>
      </w:r>
    </w:p>
    <w:p w14:paraId="570B8903" w14:textId="77777777" w:rsidR="009765D0" w:rsidRDefault="0051542C">
      <w:pPr>
        <w:pBdr>
          <w:top w:val="nil"/>
          <w:left w:val="nil"/>
          <w:bottom w:val="nil"/>
          <w:right w:val="nil"/>
          <w:between w:val="nil"/>
        </w:pBdr>
        <w:spacing w:after="60" w:line="276" w:lineRule="auto"/>
        <w:jc w:val="center"/>
        <w:rPr>
          <w:color w:val="000000"/>
        </w:rPr>
      </w:pPr>
      <w:r>
        <w:rPr>
          <w:color w:val="000000"/>
        </w:rPr>
        <w:t>Table 7. Summary statistics of total number of ponds</w:t>
      </w:r>
    </w:p>
    <w:tbl>
      <w:tblPr>
        <w:tblStyle w:val="a5"/>
        <w:tblW w:w="8208" w:type="dxa"/>
        <w:tblInd w:w="0" w:type="dxa"/>
        <w:tblLayout w:type="fixed"/>
        <w:tblLook w:val="0400" w:firstRow="0" w:lastRow="0" w:firstColumn="0" w:lastColumn="0" w:noHBand="0" w:noVBand="1"/>
      </w:tblPr>
      <w:tblGrid>
        <w:gridCol w:w="1389"/>
        <w:gridCol w:w="1463"/>
        <w:gridCol w:w="1230"/>
        <w:gridCol w:w="1311"/>
        <w:gridCol w:w="1393"/>
        <w:gridCol w:w="1422"/>
      </w:tblGrid>
      <w:tr w:rsidR="009765D0" w14:paraId="00E223FD" w14:textId="77777777">
        <w:tc>
          <w:tcPr>
            <w:tcW w:w="1389" w:type="dxa"/>
            <w:tcBorders>
              <w:top w:val="single" w:sz="4" w:space="0" w:color="000000"/>
              <w:bottom w:val="single" w:sz="4" w:space="0" w:color="000000"/>
            </w:tcBorders>
          </w:tcPr>
          <w:p w14:paraId="70941B98" w14:textId="77777777" w:rsidR="009765D0" w:rsidRDefault="0051542C">
            <w:pPr>
              <w:jc w:val="center"/>
            </w:pPr>
            <w:r>
              <w:t>Statistics</w:t>
            </w:r>
          </w:p>
        </w:tc>
        <w:tc>
          <w:tcPr>
            <w:tcW w:w="1463" w:type="dxa"/>
            <w:tcBorders>
              <w:top w:val="single" w:sz="4" w:space="0" w:color="000000"/>
              <w:bottom w:val="single" w:sz="4" w:space="0" w:color="000000"/>
            </w:tcBorders>
          </w:tcPr>
          <w:p w14:paraId="7CF37872" w14:textId="77777777" w:rsidR="009765D0" w:rsidRDefault="0051542C">
            <w:pPr>
              <w:spacing w:line="480" w:lineRule="auto"/>
              <w:jc w:val="center"/>
            </w:pPr>
            <w:r>
              <w:t>Frequency (n)</w:t>
            </w:r>
          </w:p>
        </w:tc>
        <w:tc>
          <w:tcPr>
            <w:tcW w:w="1230" w:type="dxa"/>
            <w:tcBorders>
              <w:top w:val="single" w:sz="4" w:space="0" w:color="000000"/>
              <w:bottom w:val="single" w:sz="4" w:space="0" w:color="000000"/>
            </w:tcBorders>
          </w:tcPr>
          <w:p w14:paraId="2360B2B7" w14:textId="77777777" w:rsidR="009765D0" w:rsidRDefault="0051542C">
            <w:pPr>
              <w:jc w:val="center"/>
            </w:pPr>
            <w:r>
              <w:t>Mean</w:t>
            </w:r>
          </w:p>
        </w:tc>
        <w:tc>
          <w:tcPr>
            <w:tcW w:w="1311" w:type="dxa"/>
            <w:tcBorders>
              <w:top w:val="single" w:sz="4" w:space="0" w:color="000000"/>
              <w:bottom w:val="single" w:sz="4" w:space="0" w:color="000000"/>
            </w:tcBorders>
          </w:tcPr>
          <w:p w14:paraId="4FB4CF5A" w14:textId="77777777" w:rsidR="009765D0" w:rsidRDefault="0051542C">
            <w:pPr>
              <w:spacing w:line="480" w:lineRule="auto"/>
              <w:jc w:val="center"/>
            </w:pPr>
            <w:r>
              <w:t>Median</w:t>
            </w:r>
          </w:p>
        </w:tc>
        <w:tc>
          <w:tcPr>
            <w:tcW w:w="1393" w:type="dxa"/>
            <w:tcBorders>
              <w:top w:val="single" w:sz="4" w:space="0" w:color="000000"/>
              <w:bottom w:val="single" w:sz="4" w:space="0" w:color="000000"/>
            </w:tcBorders>
          </w:tcPr>
          <w:p w14:paraId="6683845D" w14:textId="77777777" w:rsidR="009765D0" w:rsidRDefault="0051542C">
            <w:pPr>
              <w:spacing w:line="480" w:lineRule="auto"/>
              <w:jc w:val="center"/>
            </w:pPr>
            <w:r>
              <w:t>Minimum</w:t>
            </w:r>
          </w:p>
        </w:tc>
        <w:tc>
          <w:tcPr>
            <w:tcW w:w="1422" w:type="dxa"/>
            <w:tcBorders>
              <w:top w:val="single" w:sz="4" w:space="0" w:color="000000"/>
              <w:bottom w:val="single" w:sz="4" w:space="0" w:color="000000"/>
            </w:tcBorders>
          </w:tcPr>
          <w:p w14:paraId="5E79C75D" w14:textId="77777777" w:rsidR="009765D0" w:rsidRDefault="0051542C">
            <w:pPr>
              <w:jc w:val="center"/>
            </w:pPr>
            <w:r>
              <w:t>Maximum</w:t>
            </w:r>
          </w:p>
        </w:tc>
      </w:tr>
      <w:tr w:rsidR="009765D0" w14:paraId="39284698" w14:textId="77777777">
        <w:tc>
          <w:tcPr>
            <w:tcW w:w="1389" w:type="dxa"/>
            <w:tcBorders>
              <w:top w:val="single" w:sz="4" w:space="0" w:color="000000"/>
              <w:bottom w:val="single" w:sz="4" w:space="0" w:color="000000"/>
            </w:tcBorders>
          </w:tcPr>
          <w:p w14:paraId="7E8B5548" w14:textId="65DCECF6" w:rsidR="009765D0" w:rsidRDefault="00663BF9">
            <w:pPr>
              <w:jc w:val="center"/>
            </w:pPr>
            <w:r>
              <w:t>Count</w:t>
            </w:r>
          </w:p>
        </w:tc>
        <w:tc>
          <w:tcPr>
            <w:tcW w:w="1463" w:type="dxa"/>
            <w:tcBorders>
              <w:top w:val="single" w:sz="4" w:space="0" w:color="000000"/>
              <w:bottom w:val="single" w:sz="4" w:space="0" w:color="000000"/>
            </w:tcBorders>
          </w:tcPr>
          <w:p w14:paraId="4253AA16" w14:textId="77777777" w:rsidR="009765D0" w:rsidRDefault="0051542C">
            <w:pPr>
              <w:spacing w:line="480" w:lineRule="auto"/>
              <w:jc w:val="center"/>
            </w:pPr>
            <w:r>
              <w:t>40</w:t>
            </w:r>
          </w:p>
        </w:tc>
        <w:tc>
          <w:tcPr>
            <w:tcW w:w="1230" w:type="dxa"/>
            <w:tcBorders>
              <w:top w:val="single" w:sz="4" w:space="0" w:color="000000"/>
              <w:bottom w:val="single" w:sz="4" w:space="0" w:color="000000"/>
            </w:tcBorders>
          </w:tcPr>
          <w:p w14:paraId="1EB0E7D5" w14:textId="77777777" w:rsidR="009765D0" w:rsidRDefault="0051542C">
            <w:pPr>
              <w:spacing w:line="480" w:lineRule="auto"/>
              <w:jc w:val="center"/>
            </w:pPr>
            <w:r>
              <w:t>14.68</w:t>
            </w:r>
          </w:p>
        </w:tc>
        <w:tc>
          <w:tcPr>
            <w:tcW w:w="1311" w:type="dxa"/>
            <w:tcBorders>
              <w:top w:val="single" w:sz="4" w:space="0" w:color="000000"/>
              <w:bottom w:val="single" w:sz="4" w:space="0" w:color="000000"/>
            </w:tcBorders>
          </w:tcPr>
          <w:p w14:paraId="03BAA80E" w14:textId="77777777" w:rsidR="009765D0" w:rsidRDefault="0051542C">
            <w:pPr>
              <w:spacing w:line="480" w:lineRule="auto"/>
              <w:jc w:val="center"/>
            </w:pPr>
            <w:r>
              <w:t>7</w:t>
            </w:r>
          </w:p>
        </w:tc>
        <w:tc>
          <w:tcPr>
            <w:tcW w:w="1393" w:type="dxa"/>
            <w:tcBorders>
              <w:top w:val="single" w:sz="4" w:space="0" w:color="000000"/>
              <w:bottom w:val="single" w:sz="4" w:space="0" w:color="000000"/>
            </w:tcBorders>
          </w:tcPr>
          <w:p w14:paraId="2ACDD41D" w14:textId="77777777" w:rsidR="009765D0" w:rsidRDefault="0051542C">
            <w:pPr>
              <w:spacing w:line="480" w:lineRule="auto"/>
              <w:jc w:val="center"/>
            </w:pPr>
            <w:r>
              <w:t>1</w:t>
            </w:r>
          </w:p>
        </w:tc>
        <w:tc>
          <w:tcPr>
            <w:tcW w:w="1422" w:type="dxa"/>
            <w:tcBorders>
              <w:top w:val="single" w:sz="4" w:space="0" w:color="000000"/>
              <w:bottom w:val="single" w:sz="4" w:space="0" w:color="000000"/>
            </w:tcBorders>
          </w:tcPr>
          <w:p w14:paraId="354F2AC3" w14:textId="77777777" w:rsidR="009765D0" w:rsidRDefault="0051542C">
            <w:pPr>
              <w:spacing w:line="480" w:lineRule="auto"/>
              <w:jc w:val="center"/>
            </w:pPr>
            <w:r>
              <w:t>120</w:t>
            </w:r>
          </w:p>
        </w:tc>
      </w:tr>
    </w:tbl>
    <w:p w14:paraId="59290132" w14:textId="77777777" w:rsidR="009765D0" w:rsidRDefault="009765D0">
      <w:pPr>
        <w:pBdr>
          <w:top w:val="nil"/>
          <w:left w:val="nil"/>
          <w:bottom w:val="nil"/>
          <w:right w:val="nil"/>
          <w:between w:val="nil"/>
        </w:pBdr>
        <w:spacing w:after="240"/>
        <w:jc w:val="both"/>
        <w:rPr>
          <w:color w:val="000000"/>
        </w:rPr>
      </w:pPr>
    </w:p>
    <w:p w14:paraId="151FBC0D" w14:textId="77777777" w:rsidR="009765D0" w:rsidRDefault="0051542C">
      <w:pPr>
        <w:pBdr>
          <w:top w:val="nil"/>
          <w:left w:val="nil"/>
          <w:bottom w:val="nil"/>
          <w:right w:val="nil"/>
          <w:between w:val="nil"/>
        </w:pBdr>
        <w:spacing w:after="60" w:line="276" w:lineRule="auto"/>
        <w:jc w:val="center"/>
        <w:rPr>
          <w:color w:val="000000"/>
        </w:rPr>
      </w:pPr>
      <w:r>
        <w:rPr>
          <w:color w:val="000000"/>
        </w:rPr>
        <w:lastRenderedPageBreak/>
        <w:t>Table 7 summarizes the number of ponds owned (n=40) with a mean of 14.68, a median of 7.00, and a range of 1–120. This wide variation indicates differences in productive-asset capacity that can shape output volume and the ability to absorb operational risk.</w:t>
      </w:r>
    </w:p>
    <w:p w14:paraId="7D7DECE0" w14:textId="77777777" w:rsidR="009765D0" w:rsidRDefault="009765D0">
      <w:pPr>
        <w:pBdr>
          <w:top w:val="nil"/>
          <w:left w:val="nil"/>
          <w:bottom w:val="nil"/>
          <w:right w:val="nil"/>
          <w:between w:val="nil"/>
        </w:pBdr>
        <w:spacing w:after="60" w:line="276" w:lineRule="auto"/>
        <w:jc w:val="center"/>
        <w:rPr>
          <w:color w:val="000000"/>
        </w:rPr>
      </w:pPr>
    </w:p>
    <w:p w14:paraId="62F54961" w14:textId="77777777" w:rsidR="009765D0" w:rsidRDefault="0051542C">
      <w:pPr>
        <w:pBdr>
          <w:top w:val="nil"/>
          <w:left w:val="nil"/>
          <w:bottom w:val="nil"/>
          <w:right w:val="nil"/>
          <w:between w:val="nil"/>
        </w:pBdr>
        <w:spacing w:after="60" w:line="276" w:lineRule="auto"/>
        <w:rPr>
          <w:b/>
          <w:bCs/>
          <w:color w:val="000000"/>
        </w:rPr>
      </w:pPr>
      <w:r>
        <w:rPr>
          <w:b/>
          <w:bCs/>
          <w:color w:val="000000"/>
        </w:rPr>
        <w:t>Active ponds</w:t>
      </w:r>
    </w:p>
    <w:p w14:paraId="770CFFC0" w14:textId="77777777" w:rsidR="009765D0" w:rsidRDefault="0051542C">
      <w:pPr>
        <w:pBdr>
          <w:top w:val="nil"/>
          <w:left w:val="nil"/>
          <w:bottom w:val="nil"/>
          <w:right w:val="nil"/>
          <w:between w:val="nil"/>
        </w:pBdr>
        <w:spacing w:after="60" w:line="276" w:lineRule="auto"/>
        <w:jc w:val="center"/>
        <w:rPr>
          <w:color w:val="000000"/>
        </w:rPr>
      </w:pPr>
      <w:r>
        <w:rPr>
          <w:color w:val="000000"/>
        </w:rPr>
        <w:t>Table 8. Summary statistics of active ponds</w:t>
      </w:r>
    </w:p>
    <w:tbl>
      <w:tblPr>
        <w:tblStyle w:val="a6"/>
        <w:tblW w:w="8208" w:type="dxa"/>
        <w:tblInd w:w="0" w:type="dxa"/>
        <w:tblLayout w:type="fixed"/>
        <w:tblLook w:val="0400" w:firstRow="0" w:lastRow="0" w:firstColumn="0" w:lastColumn="0" w:noHBand="0" w:noVBand="1"/>
      </w:tblPr>
      <w:tblGrid>
        <w:gridCol w:w="1389"/>
        <w:gridCol w:w="1463"/>
        <w:gridCol w:w="1230"/>
        <w:gridCol w:w="1311"/>
        <w:gridCol w:w="1393"/>
        <w:gridCol w:w="1422"/>
      </w:tblGrid>
      <w:tr w:rsidR="009765D0" w14:paraId="36CEA61F" w14:textId="77777777">
        <w:tc>
          <w:tcPr>
            <w:tcW w:w="1389" w:type="dxa"/>
            <w:tcBorders>
              <w:top w:val="single" w:sz="4" w:space="0" w:color="000000"/>
              <w:bottom w:val="single" w:sz="4" w:space="0" w:color="000000"/>
            </w:tcBorders>
          </w:tcPr>
          <w:p w14:paraId="48BC7012" w14:textId="77777777" w:rsidR="009765D0" w:rsidRDefault="0051542C">
            <w:r>
              <w:t>Statistics</w:t>
            </w:r>
          </w:p>
        </w:tc>
        <w:tc>
          <w:tcPr>
            <w:tcW w:w="1463" w:type="dxa"/>
            <w:tcBorders>
              <w:top w:val="single" w:sz="4" w:space="0" w:color="000000"/>
              <w:bottom w:val="single" w:sz="4" w:space="0" w:color="000000"/>
            </w:tcBorders>
          </w:tcPr>
          <w:p w14:paraId="00243E2E" w14:textId="77777777" w:rsidR="009765D0" w:rsidRDefault="0051542C">
            <w:pPr>
              <w:spacing w:line="480" w:lineRule="auto"/>
            </w:pPr>
            <w:r>
              <w:t>Frequency (n)</w:t>
            </w:r>
          </w:p>
        </w:tc>
        <w:tc>
          <w:tcPr>
            <w:tcW w:w="1230" w:type="dxa"/>
            <w:tcBorders>
              <w:top w:val="single" w:sz="4" w:space="0" w:color="000000"/>
              <w:bottom w:val="single" w:sz="4" w:space="0" w:color="000000"/>
            </w:tcBorders>
          </w:tcPr>
          <w:p w14:paraId="097223CF" w14:textId="77777777" w:rsidR="009765D0" w:rsidRDefault="0051542C">
            <w:r>
              <w:t>Mean</w:t>
            </w:r>
          </w:p>
        </w:tc>
        <w:tc>
          <w:tcPr>
            <w:tcW w:w="1311" w:type="dxa"/>
            <w:tcBorders>
              <w:top w:val="single" w:sz="4" w:space="0" w:color="000000"/>
              <w:bottom w:val="single" w:sz="4" w:space="0" w:color="000000"/>
            </w:tcBorders>
          </w:tcPr>
          <w:p w14:paraId="7AD47F68" w14:textId="77777777" w:rsidR="009765D0" w:rsidRDefault="0051542C">
            <w:pPr>
              <w:spacing w:line="480" w:lineRule="auto"/>
            </w:pPr>
            <w:r>
              <w:t>Median</w:t>
            </w:r>
          </w:p>
        </w:tc>
        <w:tc>
          <w:tcPr>
            <w:tcW w:w="1393" w:type="dxa"/>
            <w:tcBorders>
              <w:top w:val="single" w:sz="4" w:space="0" w:color="000000"/>
              <w:bottom w:val="single" w:sz="4" w:space="0" w:color="000000"/>
            </w:tcBorders>
          </w:tcPr>
          <w:p w14:paraId="4528C4BD" w14:textId="77777777" w:rsidR="009765D0" w:rsidRDefault="0051542C">
            <w:pPr>
              <w:spacing w:line="480" w:lineRule="auto"/>
            </w:pPr>
            <w:r>
              <w:t>Minimum</w:t>
            </w:r>
          </w:p>
        </w:tc>
        <w:tc>
          <w:tcPr>
            <w:tcW w:w="1422" w:type="dxa"/>
            <w:tcBorders>
              <w:top w:val="single" w:sz="4" w:space="0" w:color="000000"/>
              <w:bottom w:val="single" w:sz="4" w:space="0" w:color="000000"/>
            </w:tcBorders>
          </w:tcPr>
          <w:p w14:paraId="48105D0D" w14:textId="77777777" w:rsidR="009765D0" w:rsidRDefault="0051542C">
            <w:r>
              <w:t>Maximum</w:t>
            </w:r>
          </w:p>
        </w:tc>
      </w:tr>
      <w:tr w:rsidR="009765D0" w14:paraId="40DE7A6D" w14:textId="77777777">
        <w:tc>
          <w:tcPr>
            <w:tcW w:w="1389" w:type="dxa"/>
            <w:tcBorders>
              <w:top w:val="single" w:sz="4" w:space="0" w:color="000000"/>
              <w:bottom w:val="single" w:sz="4" w:space="0" w:color="000000"/>
            </w:tcBorders>
          </w:tcPr>
          <w:p w14:paraId="30C7CA68" w14:textId="0A5AD7C0" w:rsidR="009765D0" w:rsidRDefault="00663BF9">
            <w:r>
              <w:t>Count</w:t>
            </w:r>
          </w:p>
        </w:tc>
        <w:tc>
          <w:tcPr>
            <w:tcW w:w="1463" w:type="dxa"/>
            <w:tcBorders>
              <w:top w:val="single" w:sz="4" w:space="0" w:color="000000"/>
              <w:bottom w:val="single" w:sz="4" w:space="0" w:color="000000"/>
            </w:tcBorders>
          </w:tcPr>
          <w:p w14:paraId="7BACB4C5" w14:textId="77777777" w:rsidR="009765D0" w:rsidRDefault="0051542C">
            <w:pPr>
              <w:spacing w:line="480" w:lineRule="auto"/>
            </w:pPr>
            <w:r>
              <w:t>40</w:t>
            </w:r>
          </w:p>
        </w:tc>
        <w:tc>
          <w:tcPr>
            <w:tcW w:w="1230" w:type="dxa"/>
            <w:tcBorders>
              <w:top w:val="single" w:sz="4" w:space="0" w:color="000000"/>
              <w:bottom w:val="single" w:sz="4" w:space="0" w:color="000000"/>
            </w:tcBorders>
          </w:tcPr>
          <w:p w14:paraId="2B9FE43A" w14:textId="77777777" w:rsidR="009765D0" w:rsidRDefault="0051542C">
            <w:pPr>
              <w:spacing w:line="480" w:lineRule="auto"/>
            </w:pPr>
            <w:r>
              <w:t>11.50</w:t>
            </w:r>
          </w:p>
        </w:tc>
        <w:tc>
          <w:tcPr>
            <w:tcW w:w="1311" w:type="dxa"/>
            <w:tcBorders>
              <w:top w:val="single" w:sz="4" w:space="0" w:color="000000"/>
              <w:bottom w:val="single" w:sz="4" w:space="0" w:color="000000"/>
            </w:tcBorders>
          </w:tcPr>
          <w:p w14:paraId="300345E2" w14:textId="77777777" w:rsidR="009765D0" w:rsidRDefault="0051542C">
            <w:pPr>
              <w:spacing w:line="480" w:lineRule="auto"/>
            </w:pPr>
            <w:r>
              <w:t>5.50</w:t>
            </w:r>
          </w:p>
        </w:tc>
        <w:tc>
          <w:tcPr>
            <w:tcW w:w="1393" w:type="dxa"/>
            <w:tcBorders>
              <w:top w:val="single" w:sz="4" w:space="0" w:color="000000"/>
              <w:bottom w:val="single" w:sz="4" w:space="0" w:color="000000"/>
            </w:tcBorders>
          </w:tcPr>
          <w:p w14:paraId="089CCD84" w14:textId="77777777" w:rsidR="009765D0" w:rsidRDefault="0051542C">
            <w:pPr>
              <w:spacing w:line="480" w:lineRule="auto"/>
            </w:pPr>
            <w:r>
              <w:t>1</w:t>
            </w:r>
          </w:p>
        </w:tc>
        <w:tc>
          <w:tcPr>
            <w:tcW w:w="1422" w:type="dxa"/>
            <w:tcBorders>
              <w:top w:val="single" w:sz="4" w:space="0" w:color="000000"/>
              <w:bottom w:val="single" w:sz="4" w:space="0" w:color="000000"/>
            </w:tcBorders>
          </w:tcPr>
          <w:p w14:paraId="0284EF56" w14:textId="77777777" w:rsidR="009765D0" w:rsidRDefault="0051542C">
            <w:pPr>
              <w:spacing w:line="480" w:lineRule="auto"/>
            </w:pPr>
            <w:r>
              <w:t>120</w:t>
            </w:r>
          </w:p>
        </w:tc>
      </w:tr>
    </w:tbl>
    <w:p w14:paraId="320B8CAE" w14:textId="77777777" w:rsidR="009765D0" w:rsidRDefault="009765D0">
      <w:pPr>
        <w:pBdr>
          <w:top w:val="nil"/>
          <w:left w:val="nil"/>
          <w:bottom w:val="nil"/>
          <w:right w:val="nil"/>
          <w:between w:val="nil"/>
        </w:pBdr>
        <w:spacing w:after="240"/>
        <w:jc w:val="both"/>
        <w:rPr>
          <w:color w:val="000000"/>
        </w:rPr>
      </w:pPr>
    </w:p>
    <w:p w14:paraId="0020BAF8" w14:textId="77777777" w:rsidR="009765D0" w:rsidRDefault="0051542C">
      <w:pPr>
        <w:pBdr>
          <w:top w:val="nil"/>
          <w:left w:val="nil"/>
          <w:bottom w:val="nil"/>
          <w:right w:val="nil"/>
          <w:between w:val="nil"/>
        </w:pBdr>
        <w:spacing w:after="60" w:line="276" w:lineRule="auto"/>
        <w:jc w:val="center"/>
        <w:rPr>
          <w:color w:val="000000"/>
        </w:rPr>
      </w:pPr>
      <w:r>
        <w:rPr>
          <w:color w:val="000000"/>
        </w:rPr>
        <w:t>Table 8 summarizes the number of active ponds (n=40) with a mean of 11.50, a median of 5.50, and a range of 1–120. The variation reflects differences in operational scale and, potentially, differences in working-capital strength and risk exposure across enterprises.</w:t>
      </w:r>
    </w:p>
    <w:p w14:paraId="02B161B6" w14:textId="77777777" w:rsidR="009765D0" w:rsidRDefault="0051542C">
      <w:pPr>
        <w:pBdr>
          <w:top w:val="nil"/>
          <w:left w:val="nil"/>
          <w:bottom w:val="nil"/>
          <w:right w:val="nil"/>
          <w:between w:val="nil"/>
        </w:pBdr>
        <w:spacing w:after="60" w:line="276" w:lineRule="auto"/>
        <w:rPr>
          <w:b/>
          <w:bCs/>
          <w:color w:val="000000"/>
        </w:rPr>
      </w:pPr>
      <w:r>
        <w:rPr>
          <w:b/>
          <w:bCs/>
          <w:color w:val="000000"/>
        </w:rPr>
        <w:t>Average pond size (m²)</w:t>
      </w:r>
    </w:p>
    <w:p w14:paraId="69FE3DA3" w14:textId="77777777" w:rsidR="009765D0" w:rsidRDefault="0051542C">
      <w:pPr>
        <w:pBdr>
          <w:top w:val="nil"/>
          <w:left w:val="nil"/>
          <w:bottom w:val="nil"/>
          <w:right w:val="nil"/>
          <w:between w:val="nil"/>
        </w:pBdr>
        <w:spacing w:after="60" w:line="276" w:lineRule="auto"/>
        <w:jc w:val="center"/>
        <w:rPr>
          <w:color w:val="000000"/>
        </w:rPr>
      </w:pPr>
      <w:r>
        <w:rPr>
          <w:color w:val="000000"/>
        </w:rPr>
        <w:t>Table 9. Summary statistics of average pond size (m²)</w:t>
      </w:r>
    </w:p>
    <w:tbl>
      <w:tblPr>
        <w:tblStyle w:val="a7"/>
        <w:tblW w:w="8208" w:type="dxa"/>
        <w:tblInd w:w="0" w:type="dxa"/>
        <w:tblLayout w:type="fixed"/>
        <w:tblLook w:val="0400" w:firstRow="0" w:lastRow="0" w:firstColumn="0" w:lastColumn="0" w:noHBand="0" w:noVBand="1"/>
      </w:tblPr>
      <w:tblGrid>
        <w:gridCol w:w="1260"/>
        <w:gridCol w:w="1556"/>
        <w:gridCol w:w="1325"/>
        <w:gridCol w:w="1288"/>
        <w:gridCol w:w="1374"/>
        <w:gridCol w:w="1405"/>
      </w:tblGrid>
      <w:tr w:rsidR="009765D0" w14:paraId="565F98E1" w14:textId="77777777">
        <w:tc>
          <w:tcPr>
            <w:tcW w:w="1260" w:type="dxa"/>
            <w:tcBorders>
              <w:top w:val="single" w:sz="4" w:space="0" w:color="000000"/>
              <w:bottom w:val="single" w:sz="4" w:space="0" w:color="000000"/>
            </w:tcBorders>
          </w:tcPr>
          <w:p w14:paraId="598F791B" w14:textId="77777777" w:rsidR="009765D0" w:rsidRDefault="0051542C">
            <w:pPr>
              <w:spacing w:line="480" w:lineRule="auto"/>
              <w:jc w:val="center"/>
            </w:pPr>
            <w:r>
              <w:t>Statistics</w:t>
            </w:r>
          </w:p>
        </w:tc>
        <w:tc>
          <w:tcPr>
            <w:tcW w:w="1556" w:type="dxa"/>
            <w:tcBorders>
              <w:top w:val="single" w:sz="4" w:space="0" w:color="000000"/>
              <w:bottom w:val="single" w:sz="4" w:space="0" w:color="000000"/>
            </w:tcBorders>
          </w:tcPr>
          <w:p w14:paraId="7025F818" w14:textId="77777777" w:rsidR="009765D0" w:rsidRDefault="0051542C">
            <w:pPr>
              <w:spacing w:line="480" w:lineRule="auto"/>
              <w:jc w:val="center"/>
            </w:pPr>
            <w:r>
              <w:t>Frequency (n)</w:t>
            </w:r>
          </w:p>
        </w:tc>
        <w:tc>
          <w:tcPr>
            <w:tcW w:w="1325" w:type="dxa"/>
            <w:tcBorders>
              <w:top w:val="single" w:sz="4" w:space="0" w:color="000000"/>
              <w:bottom w:val="single" w:sz="4" w:space="0" w:color="000000"/>
            </w:tcBorders>
          </w:tcPr>
          <w:p w14:paraId="7BAB9126" w14:textId="77777777" w:rsidR="009765D0" w:rsidRDefault="0051542C">
            <w:pPr>
              <w:spacing w:line="480" w:lineRule="auto"/>
              <w:jc w:val="center"/>
            </w:pPr>
            <w:r>
              <w:t>Mean</w:t>
            </w:r>
          </w:p>
        </w:tc>
        <w:tc>
          <w:tcPr>
            <w:tcW w:w="1288" w:type="dxa"/>
            <w:tcBorders>
              <w:top w:val="single" w:sz="4" w:space="0" w:color="000000"/>
              <w:bottom w:val="single" w:sz="4" w:space="0" w:color="000000"/>
            </w:tcBorders>
          </w:tcPr>
          <w:p w14:paraId="7FEC5650" w14:textId="77777777" w:rsidR="009765D0" w:rsidRDefault="0051542C">
            <w:pPr>
              <w:spacing w:line="480" w:lineRule="auto"/>
              <w:jc w:val="center"/>
            </w:pPr>
            <w:r>
              <w:t>Median</w:t>
            </w:r>
          </w:p>
        </w:tc>
        <w:tc>
          <w:tcPr>
            <w:tcW w:w="1374" w:type="dxa"/>
            <w:tcBorders>
              <w:top w:val="single" w:sz="4" w:space="0" w:color="000000"/>
              <w:bottom w:val="single" w:sz="4" w:space="0" w:color="000000"/>
            </w:tcBorders>
          </w:tcPr>
          <w:p w14:paraId="28B8307A" w14:textId="77777777" w:rsidR="009765D0" w:rsidRDefault="0051542C">
            <w:pPr>
              <w:spacing w:line="480" w:lineRule="auto"/>
              <w:jc w:val="center"/>
            </w:pPr>
            <w:r>
              <w:t>Minimum</w:t>
            </w:r>
          </w:p>
        </w:tc>
        <w:tc>
          <w:tcPr>
            <w:tcW w:w="1405" w:type="dxa"/>
            <w:tcBorders>
              <w:top w:val="single" w:sz="4" w:space="0" w:color="000000"/>
              <w:bottom w:val="single" w:sz="4" w:space="0" w:color="000000"/>
            </w:tcBorders>
          </w:tcPr>
          <w:p w14:paraId="3D288413" w14:textId="77777777" w:rsidR="009765D0" w:rsidRDefault="0051542C">
            <w:pPr>
              <w:spacing w:line="480" w:lineRule="auto"/>
              <w:jc w:val="center"/>
            </w:pPr>
            <w:r>
              <w:t>Maximum</w:t>
            </w:r>
          </w:p>
        </w:tc>
      </w:tr>
      <w:tr w:rsidR="009765D0" w14:paraId="02E98639" w14:textId="77777777">
        <w:tc>
          <w:tcPr>
            <w:tcW w:w="1260" w:type="dxa"/>
            <w:tcBorders>
              <w:top w:val="single" w:sz="4" w:space="0" w:color="000000"/>
              <w:bottom w:val="single" w:sz="4" w:space="0" w:color="000000"/>
            </w:tcBorders>
          </w:tcPr>
          <w:p w14:paraId="2C78D09F" w14:textId="3DF0724F" w:rsidR="009765D0" w:rsidRDefault="00663BF9">
            <w:pPr>
              <w:spacing w:line="480" w:lineRule="auto"/>
              <w:jc w:val="center"/>
            </w:pPr>
            <w:r>
              <w:t>Count</w:t>
            </w:r>
          </w:p>
        </w:tc>
        <w:tc>
          <w:tcPr>
            <w:tcW w:w="1556" w:type="dxa"/>
            <w:tcBorders>
              <w:top w:val="single" w:sz="4" w:space="0" w:color="000000"/>
              <w:bottom w:val="single" w:sz="4" w:space="0" w:color="000000"/>
            </w:tcBorders>
          </w:tcPr>
          <w:p w14:paraId="31E83848" w14:textId="77777777" w:rsidR="009765D0" w:rsidRDefault="0051542C">
            <w:pPr>
              <w:spacing w:line="480" w:lineRule="auto"/>
              <w:jc w:val="center"/>
            </w:pPr>
            <w:r>
              <w:t>40</w:t>
            </w:r>
          </w:p>
        </w:tc>
        <w:tc>
          <w:tcPr>
            <w:tcW w:w="1325" w:type="dxa"/>
            <w:tcBorders>
              <w:top w:val="single" w:sz="4" w:space="0" w:color="000000"/>
              <w:bottom w:val="single" w:sz="4" w:space="0" w:color="000000"/>
            </w:tcBorders>
          </w:tcPr>
          <w:p w14:paraId="34C3F7CD" w14:textId="77777777" w:rsidR="009765D0" w:rsidRDefault="0051542C">
            <w:pPr>
              <w:spacing w:line="480" w:lineRule="auto"/>
              <w:jc w:val="center"/>
            </w:pPr>
            <w:r>
              <w:t>1334.80</w:t>
            </w:r>
          </w:p>
        </w:tc>
        <w:tc>
          <w:tcPr>
            <w:tcW w:w="1288" w:type="dxa"/>
            <w:tcBorders>
              <w:top w:val="single" w:sz="4" w:space="0" w:color="000000"/>
              <w:bottom w:val="single" w:sz="4" w:space="0" w:color="000000"/>
            </w:tcBorders>
          </w:tcPr>
          <w:p w14:paraId="5D063E8D" w14:textId="77777777" w:rsidR="009765D0" w:rsidRDefault="0051542C">
            <w:pPr>
              <w:spacing w:line="480" w:lineRule="auto"/>
              <w:jc w:val="center"/>
            </w:pPr>
            <w:r>
              <w:t>1000</w:t>
            </w:r>
          </w:p>
        </w:tc>
        <w:tc>
          <w:tcPr>
            <w:tcW w:w="1374" w:type="dxa"/>
            <w:tcBorders>
              <w:top w:val="single" w:sz="4" w:space="0" w:color="000000"/>
              <w:bottom w:val="single" w:sz="4" w:space="0" w:color="000000"/>
            </w:tcBorders>
          </w:tcPr>
          <w:p w14:paraId="539A8136" w14:textId="77777777" w:rsidR="009765D0" w:rsidRDefault="0051542C">
            <w:pPr>
              <w:spacing w:line="480" w:lineRule="auto"/>
              <w:jc w:val="center"/>
            </w:pPr>
            <w:r>
              <w:t>314</w:t>
            </w:r>
          </w:p>
        </w:tc>
        <w:tc>
          <w:tcPr>
            <w:tcW w:w="1405" w:type="dxa"/>
            <w:tcBorders>
              <w:top w:val="single" w:sz="4" w:space="0" w:color="000000"/>
              <w:bottom w:val="single" w:sz="4" w:space="0" w:color="000000"/>
            </w:tcBorders>
          </w:tcPr>
          <w:p w14:paraId="695BD439" w14:textId="77777777" w:rsidR="009765D0" w:rsidRDefault="0051542C">
            <w:pPr>
              <w:spacing w:line="480" w:lineRule="auto"/>
              <w:jc w:val="center"/>
            </w:pPr>
            <w:r>
              <w:t>4000</w:t>
            </w:r>
          </w:p>
        </w:tc>
      </w:tr>
    </w:tbl>
    <w:p w14:paraId="53CEE151" w14:textId="77777777" w:rsidR="009765D0" w:rsidRDefault="0051542C">
      <w:pPr>
        <w:pBdr>
          <w:top w:val="nil"/>
          <w:left w:val="nil"/>
          <w:bottom w:val="nil"/>
          <w:right w:val="nil"/>
          <w:between w:val="nil"/>
        </w:pBdr>
        <w:spacing w:after="60" w:line="276" w:lineRule="auto"/>
        <w:jc w:val="both"/>
        <w:rPr>
          <w:color w:val="000000"/>
        </w:rPr>
      </w:pPr>
      <w:r>
        <w:rPr>
          <w:color w:val="000000"/>
        </w:rPr>
        <w:t>Table 9 summarizes average pond size (n=40) with a mean of 1,334.80 m², a median of 1,000.00 m², and a range of 314.00–4,000.00 m². Differences in pond size affect aeration/energy requirements and working-capital needs; larger ponds generally demand stronger infrastructure planning and financing.</w:t>
      </w:r>
    </w:p>
    <w:p w14:paraId="42A6CB80" w14:textId="77777777" w:rsidR="009765D0" w:rsidRDefault="009765D0">
      <w:pPr>
        <w:pBdr>
          <w:top w:val="nil"/>
          <w:left w:val="nil"/>
          <w:bottom w:val="nil"/>
          <w:right w:val="nil"/>
          <w:between w:val="nil"/>
        </w:pBdr>
        <w:spacing w:after="60" w:line="276" w:lineRule="auto"/>
        <w:jc w:val="center"/>
        <w:rPr>
          <w:color w:val="000000"/>
        </w:rPr>
      </w:pPr>
    </w:p>
    <w:p w14:paraId="13D9CDA3" w14:textId="77777777" w:rsidR="009765D0" w:rsidRDefault="009765D0">
      <w:pPr>
        <w:pBdr>
          <w:top w:val="nil"/>
          <w:left w:val="nil"/>
          <w:bottom w:val="nil"/>
          <w:right w:val="nil"/>
          <w:between w:val="nil"/>
        </w:pBdr>
        <w:spacing w:after="60" w:line="276" w:lineRule="auto"/>
        <w:rPr>
          <w:b/>
          <w:bCs/>
        </w:rPr>
      </w:pPr>
    </w:p>
    <w:p w14:paraId="25B29B6A" w14:textId="77777777" w:rsidR="009765D0" w:rsidRDefault="009765D0">
      <w:pPr>
        <w:pBdr>
          <w:top w:val="nil"/>
          <w:left w:val="nil"/>
          <w:bottom w:val="nil"/>
          <w:right w:val="nil"/>
          <w:between w:val="nil"/>
        </w:pBdr>
        <w:spacing w:after="60" w:line="276" w:lineRule="auto"/>
        <w:rPr>
          <w:b/>
          <w:bCs/>
        </w:rPr>
      </w:pPr>
    </w:p>
    <w:p w14:paraId="500109FF" w14:textId="77777777" w:rsidR="009765D0" w:rsidRDefault="0051542C">
      <w:pPr>
        <w:pBdr>
          <w:top w:val="nil"/>
          <w:left w:val="nil"/>
          <w:bottom w:val="nil"/>
          <w:right w:val="nil"/>
          <w:between w:val="nil"/>
        </w:pBdr>
        <w:spacing w:after="60" w:line="276" w:lineRule="auto"/>
        <w:rPr>
          <w:b/>
          <w:bCs/>
          <w:color w:val="000000"/>
        </w:rPr>
      </w:pPr>
      <w:r>
        <w:rPr>
          <w:b/>
          <w:bCs/>
          <w:color w:val="000000"/>
        </w:rPr>
        <w:t>Pond type used</w:t>
      </w:r>
    </w:p>
    <w:p w14:paraId="52E96955" w14:textId="77777777" w:rsidR="009765D0" w:rsidRDefault="0051542C">
      <w:pPr>
        <w:pBdr>
          <w:top w:val="nil"/>
          <w:left w:val="nil"/>
          <w:bottom w:val="nil"/>
          <w:right w:val="nil"/>
          <w:between w:val="nil"/>
        </w:pBdr>
        <w:spacing w:after="60" w:line="276" w:lineRule="auto"/>
        <w:jc w:val="center"/>
        <w:rPr>
          <w:color w:val="000000"/>
        </w:rPr>
      </w:pPr>
      <w:r>
        <w:rPr>
          <w:color w:val="000000"/>
        </w:rPr>
        <w:t>Table 10. Pond type used</w:t>
      </w:r>
    </w:p>
    <w:tbl>
      <w:tblPr>
        <w:tblStyle w:val="a8"/>
        <w:tblW w:w="8208" w:type="dxa"/>
        <w:tblInd w:w="0" w:type="dxa"/>
        <w:tblLayout w:type="fixed"/>
        <w:tblLook w:val="0400" w:firstRow="0" w:lastRow="0" w:firstColumn="0" w:lastColumn="0" w:noHBand="0" w:noVBand="1"/>
      </w:tblPr>
      <w:tblGrid>
        <w:gridCol w:w="2734"/>
        <w:gridCol w:w="2780"/>
        <w:gridCol w:w="2694"/>
      </w:tblGrid>
      <w:tr w:rsidR="009765D0" w14:paraId="6AF61E15" w14:textId="77777777">
        <w:tc>
          <w:tcPr>
            <w:tcW w:w="2734" w:type="dxa"/>
            <w:tcBorders>
              <w:top w:val="single" w:sz="4" w:space="0" w:color="000000"/>
              <w:bottom w:val="single" w:sz="4" w:space="0" w:color="000000"/>
            </w:tcBorders>
          </w:tcPr>
          <w:p w14:paraId="5F7AB8B8" w14:textId="77777777" w:rsidR="009765D0" w:rsidRDefault="0051542C">
            <w:pPr>
              <w:jc w:val="center"/>
            </w:pPr>
            <w:r>
              <w:t>Category</w:t>
            </w:r>
          </w:p>
        </w:tc>
        <w:tc>
          <w:tcPr>
            <w:tcW w:w="2780" w:type="dxa"/>
            <w:tcBorders>
              <w:top w:val="single" w:sz="4" w:space="0" w:color="000000"/>
              <w:bottom w:val="single" w:sz="4" w:space="0" w:color="000000"/>
            </w:tcBorders>
          </w:tcPr>
          <w:p w14:paraId="020D58B1"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55103CB7" w14:textId="77777777" w:rsidR="009765D0" w:rsidRDefault="0051542C">
            <w:pPr>
              <w:spacing w:line="480" w:lineRule="auto"/>
              <w:jc w:val="center"/>
            </w:pPr>
            <w:r>
              <w:t>Percent (%)</w:t>
            </w:r>
          </w:p>
        </w:tc>
      </w:tr>
      <w:tr w:rsidR="009765D0" w14:paraId="79903879" w14:textId="77777777">
        <w:tc>
          <w:tcPr>
            <w:tcW w:w="2734" w:type="dxa"/>
            <w:tcBorders>
              <w:top w:val="single" w:sz="4" w:space="0" w:color="000000"/>
            </w:tcBorders>
          </w:tcPr>
          <w:p w14:paraId="7EED0828" w14:textId="77777777" w:rsidR="009765D0" w:rsidRDefault="0051542C">
            <w:pPr>
              <w:spacing w:line="480" w:lineRule="auto"/>
              <w:jc w:val="center"/>
            </w:pPr>
            <w:r>
              <w:t>Plastic (HDPE)</w:t>
            </w:r>
          </w:p>
        </w:tc>
        <w:tc>
          <w:tcPr>
            <w:tcW w:w="2780" w:type="dxa"/>
            <w:tcBorders>
              <w:top w:val="single" w:sz="4" w:space="0" w:color="000000"/>
            </w:tcBorders>
          </w:tcPr>
          <w:p w14:paraId="665EE289" w14:textId="77777777" w:rsidR="009765D0" w:rsidRDefault="0051542C">
            <w:pPr>
              <w:spacing w:line="480" w:lineRule="auto"/>
              <w:jc w:val="center"/>
            </w:pPr>
            <w:r>
              <w:t>37</w:t>
            </w:r>
          </w:p>
        </w:tc>
        <w:tc>
          <w:tcPr>
            <w:tcW w:w="2694" w:type="dxa"/>
            <w:tcBorders>
              <w:top w:val="single" w:sz="4" w:space="0" w:color="000000"/>
            </w:tcBorders>
          </w:tcPr>
          <w:p w14:paraId="61259349" w14:textId="77777777" w:rsidR="009765D0" w:rsidRDefault="0051542C">
            <w:pPr>
              <w:spacing w:line="480" w:lineRule="auto"/>
              <w:jc w:val="center"/>
            </w:pPr>
            <w:r>
              <w:t>92.50</w:t>
            </w:r>
          </w:p>
        </w:tc>
      </w:tr>
      <w:tr w:rsidR="009765D0" w14:paraId="405EF4C1" w14:textId="77777777">
        <w:tc>
          <w:tcPr>
            <w:tcW w:w="2734" w:type="dxa"/>
          </w:tcPr>
          <w:p w14:paraId="2CD37BCF" w14:textId="77777777" w:rsidR="009765D0" w:rsidRDefault="0051542C">
            <w:pPr>
              <w:spacing w:line="480" w:lineRule="auto"/>
              <w:jc w:val="center"/>
            </w:pPr>
            <w:r>
              <w:t>Earthen</w:t>
            </w:r>
          </w:p>
        </w:tc>
        <w:tc>
          <w:tcPr>
            <w:tcW w:w="2780" w:type="dxa"/>
          </w:tcPr>
          <w:p w14:paraId="484185CC" w14:textId="77777777" w:rsidR="009765D0" w:rsidRDefault="0051542C">
            <w:pPr>
              <w:spacing w:line="480" w:lineRule="auto"/>
              <w:jc w:val="center"/>
            </w:pPr>
            <w:r>
              <w:t>2</w:t>
            </w:r>
          </w:p>
        </w:tc>
        <w:tc>
          <w:tcPr>
            <w:tcW w:w="2694" w:type="dxa"/>
          </w:tcPr>
          <w:p w14:paraId="14B6B589" w14:textId="77777777" w:rsidR="009765D0" w:rsidRDefault="0051542C">
            <w:pPr>
              <w:spacing w:line="480" w:lineRule="auto"/>
              <w:jc w:val="center"/>
            </w:pPr>
            <w:r>
              <w:t>5.00</w:t>
            </w:r>
          </w:p>
        </w:tc>
      </w:tr>
      <w:tr w:rsidR="009765D0" w14:paraId="5DE9763B" w14:textId="77777777">
        <w:tc>
          <w:tcPr>
            <w:tcW w:w="2734" w:type="dxa"/>
            <w:tcBorders>
              <w:bottom w:val="single" w:sz="4" w:space="0" w:color="000000"/>
            </w:tcBorders>
          </w:tcPr>
          <w:p w14:paraId="15E05B7E" w14:textId="77777777" w:rsidR="009765D0" w:rsidRDefault="0051542C">
            <w:pPr>
              <w:spacing w:line="480" w:lineRule="auto"/>
              <w:jc w:val="center"/>
            </w:pPr>
            <w:r>
              <w:t>Concrete</w:t>
            </w:r>
          </w:p>
        </w:tc>
        <w:tc>
          <w:tcPr>
            <w:tcW w:w="2780" w:type="dxa"/>
            <w:tcBorders>
              <w:bottom w:val="single" w:sz="4" w:space="0" w:color="000000"/>
            </w:tcBorders>
          </w:tcPr>
          <w:p w14:paraId="5B22C045" w14:textId="77777777" w:rsidR="009765D0" w:rsidRDefault="0051542C">
            <w:pPr>
              <w:spacing w:line="480" w:lineRule="auto"/>
              <w:jc w:val="center"/>
            </w:pPr>
            <w:r>
              <w:t>1</w:t>
            </w:r>
          </w:p>
        </w:tc>
        <w:tc>
          <w:tcPr>
            <w:tcW w:w="2694" w:type="dxa"/>
            <w:tcBorders>
              <w:bottom w:val="single" w:sz="4" w:space="0" w:color="000000"/>
            </w:tcBorders>
          </w:tcPr>
          <w:p w14:paraId="5F370C8D" w14:textId="77777777" w:rsidR="009765D0" w:rsidRDefault="0051542C">
            <w:pPr>
              <w:spacing w:line="480" w:lineRule="auto"/>
              <w:jc w:val="center"/>
            </w:pPr>
            <w:r>
              <w:t>2.50</w:t>
            </w:r>
          </w:p>
        </w:tc>
      </w:tr>
    </w:tbl>
    <w:p w14:paraId="60699CAF" w14:textId="77777777" w:rsidR="009765D0" w:rsidRDefault="009765D0">
      <w:pPr>
        <w:pBdr>
          <w:top w:val="nil"/>
          <w:left w:val="nil"/>
          <w:bottom w:val="nil"/>
          <w:right w:val="nil"/>
          <w:between w:val="nil"/>
        </w:pBdr>
        <w:spacing w:after="240"/>
        <w:jc w:val="both"/>
        <w:rPr>
          <w:color w:val="000000"/>
        </w:rPr>
      </w:pPr>
    </w:p>
    <w:p w14:paraId="4EACCAF4" w14:textId="40FD1289" w:rsidR="009765D0" w:rsidRDefault="0051542C">
      <w:pPr>
        <w:pBdr>
          <w:top w:val="nil"/>
          <w:left w:val="nil"/>
          <w:bottom w:val="nil"/>
          <w:right w:val="nil"/>
          <w:between w:val="nil"/>
        </w:pBdr>
        <w:spacing w:after="60" w:line="276" w:lineRule="auto"/>
        <w:jc w:val="center"/>
        <w:rPr>
          <w:color w:val="000000"/>
        </w:rPr>
      </w:pPr>
      <w:r>
        <w:rPr>
          <w:color w:val="000000"/>
        </w:rPr>
        <w:t>Table 10 shows that pond type was dominated by plastic/HDPE-lined ponds (92.50%). Pond construction reflects investment level and water</w:t>
      </w:r>
      <w:r w:rsidR="002A1EAC">
        <w:rPr>
          <w:color w:val="000000"/>
        </w:rPr>
        <w:t xml:space="preserve"> </w:t>
      </w:r>
      <w:r>
        <w:rPr>
          <w:color w:val="000000"/>
        </w:rPr>
        <w:t>quality controllability; better construction can improve operational efficiency, but usually requires higher upfront costs (Yi et al., 2018).</w:t>
      </w:r>
    </w:p>
    <w:p w14:paraId="55F2C343" w14:textId="77777777" w:rsidR="009765D0" w:rsidRDefault="0051542C">
      <w:pPr>
        <w:pBdr>
          <w:top w:val="nil"/>
          <w:left w:val="nil"/>
          <w:bottom w:val="nil"/>
          <w:right w:val="nil"/>
          <w:between w:val="nil"/>
        </w:pBdr>
        <w:spacing w:after="120" w:line="276" w:lineRule="auto"/>
        <w:jc w:val="both"/>
        <w:rPr>
          <w:color w:val="000000"/>
        </w:rPr>
      </w:pPr>
      <w:r>
        <w:rPr>
          <w:color w:val="000000"/>
        </w:rPr>
        <w:lastRenderedPageBreak/>
        <w:t>Most frequently reported smallest pond sizes (m</w:t>
      </w:r>
      <w:r w:rsidRPr="00663BF9">
        <w:rPr>
          <w:color w:val="000000"/>
          <w:vertAlign w:val="superscript"/>
        </w:rPr>
        <w:t>2</w:t>
      </w:r>
      <w:r>
        <w:rPr>
          <w:color w:val="000000"/>
        </w:rPr>
        <w:t>): 1000 (n=12); 800 (n=7); 2000 (n=3); 900 (n=3); 314 (n=3).</w:t>
      </w:r>
    </w:p>
    <w:p w14:paraId="5D39CC43" w14:textId="77777777" w:rsidR="009765D0" w:rsidRDefault="0051542C">
      <w:pPr>
        <w:pBdr>
          <w:top w:val="nil"/>
          <w:left w:val="nil"/>
          <w:bottom w:val="nil"/>
          <w:right w:val="nil"/>
          <w:between w:val="nil"/>
        </w:pBdr>
        <w:spacing w:after="120" w:line="276" w:lineRule="auto"/>
        <w:jc w:val="both"/>
        <w:rPr>
          <w:color w:val="000000"/>
        </w:rPr>
      </w:pPr>
      <w:r>
        <w:rPr>
          <w:color w:val="000000"/>
        </w:rPr>
        <w:t>Most frequently reported largest pond sizes (m</w:t>
      </w:r>
      <w:r w:rsidRPr="00663BF9">
        <w:rPr>
          <w:color w:val="000000"/>
          <w:vertAlign w:val="superscript"/>
        </w:rPr>
        <w:t>2</w:t>
      </w:r>
      <w:r>
        <w:rPr>
          <w:color w:val="000000"/>
        </w:rPr>
        <w:t>): 1000 (n=7); 2000 (n=5); 2500 (n=3); 3000 (n=3); 1200 (n=3).</w:t>
      </w:r>
    </w:p>
    <w:p w14:paraId="0D5E07E6" w14:textId="77777777" w:rsidR="009765D0" w:rsidRDefault="009765D0">
      <w:pPr>
        <w:pBdr>
          <w:top w:val="nil"/>
          <w:left w:val="nil"/>
          <w:bottom w:val="nil"/>
          <w:right w:val="nil"/>
          <w:between w:val="nil"/>
        </w:pBdr>
        <w:spacing w:after="60" w:line="276" w:lineRule="auto"/>
        <w:jc w:val="both"/>
        <w:rPr>
          <w:color w:val="000000"/>
        </w:rPr>
      </w:pPr>
    </w:p>
    <w:p w14:paraId="6B61C90F"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Stocking density (shrimp/m³)</w:t>
      </w:r>
    </w:p>
    <w:p w14:paraId="216B41BB" w14:textId="77777777" w:rsidR="009765D0" w:rsidRDefault="0051542C">
      <w:pPr>
        <w:pBdr>
          <w:top w:val="nil"/>
          <w:left w:val="nil"/>
          <w:bottom w:val="nil"/>
          <w:right w:val="nil"/>
          <w:between w:val="nil"/>
        </w:pBdr>
        <w:spacing w:after="60" w:line="276" w:lineRule="auto"/>
        <w:jc w:val="center"/>
        <w:rPr>
          <w:color w:val="000000"/>
        </w:rPr>
      </w:pPr>
      <w:r>
        <w:rPr>
          <w:color w:val="000000"/>
        </w:rPr>
        <w:t>Table 11. Summary statistics of stocking density (shrimp/m³)</w:t>
      </w:r>
    </w:p>
    <w:tbl>
      <w:tblPr>
        <w:tblStyle w:val="a9"/>
        <w:tblW w:w="8208" w:type="dxa"/>
        <w:tblInd w:w="0" w:type="dxa"/>
        <w:tblLayout w:type="fixed"/>
        <w:tblLook w:val="0400" w:firstRow="0" w:lastRow="0" w:firstColumn="0" w:lastColumn="0" w:noHBand="0" w:noVBand="1"/>
      </w:tblPr>
      <w:tblGrid>
        <w:gridCol w:w="1260"/>
        <w:gridCol w:w="1574"/>
        <w:gridCol w:w="1276"/>
        <w:gridCol w:w="1300"/>
        <w:gridCol w:w="1384"/>
        <w:gridCol w:w="1414"/>
      </w:tblGrid>
      <w:tr w:rsidR="009765D0" w14:paraId="5855504E" w14:textId="77777777">
        <w:tc>
          <w:tcPr>
            <w:tcW w:w="1260" w:type="dxa"/>
            <w:tcBorders>
              <w:top w:val="single" w:sz="4" w:space="0" w:color="000000"/>
              <w:bottom w:val="single" w:sz="4" w:space="0" w:color="000000"/>
            </w:tcBorders>
          </w:tcPr>
          <w:p w14:paraId="2AC57163" w14:textId="77777777" w:rsidR="009765D0" w:rsidRDefault="0051542C">
            <w:pPr>
              <w:jc w:val="center"/>
            </w:pPr>
            <w:r>
              <w:t>Statistics</w:t>
            </w:r>
          </w:p>
        </w:tc>
        <w:tc>
          <w:tcPr>
            <w:tcW w:w="1574" w:type="dxa"/>
            <w:tcBorders>
              <w:top w:val="single" w:sz="4" w:space="0" w:color="000000"/>
              <w:bottom w:val="single" w:sz="4" w:space="0" w:color="000000"/>
            </w:tcBorders>
          </w:tcPr>
          <w:p w14:paraId="739B9D42" w14:textId="77777777" w:rsidR="009765D0" w:rsidRDefault="0051542C">
            <w:pPr>
              <w:spacing w:line="480" w:lineRule="auto"/>
              <w:jc w:val="center"/>
            </w:pPr>
            <w:r>
              <w:t>Frequency (n)</w:t>
            </w:r>
          </w:p>
        </w:tc>
        <w:tc>
          <w:tcPr>
            <w:tcW w:w="1276" w:type="dxa"/>
            <w:tcBorders>
              <w:top w:val="single" w:sz="4" w:space="0" w:color="000000"/>
              <w:bottom w:val="single" w:sz="4" w:space="0" w:color="000000"/>
            </w:tcBorders>
          </w:tcPr>
          <w:p w14:paraId="33ECD2F4" w14:textId="77777777" w:rsidR="009765D0" w:rsidRDefault="0051542C">
            <w:pPr>
              <w:jc w:val="center"/>
            </w:pPr>
            <w:r>
              <w:t>Mean</w:t>
            </w:r>
          </w:p>
        </w:tc>
        <w:tc>
          <w:tcPr>
            <w:tcW w:w="1300" w:type="dxa"/>
            <w:tcBorders>
              <w:top w:val="single" w:sz="4" w:space="0" w:color="000000"/>
              <w:bottom w:val="single" w:sz="4" w:space="0" w:color="000000"/>
            </w:tcBorders>
          </w:tcPr>
          <w:p w14:paraId="1F65BCB9" w14:textId="77777777" w:rsidR="009765D0" w:rsidRDefault="0051542C">
            <w:pPr>
              <w:spacing w:line="480" w:lineRule="auto"/>
              <w:jc w:val="center"/>
            </w:pPr>
            <w:r>
              <w:t>Median</w:t>
            </w:r>
          </w:p>
        </w:tc>
        <w:tc>
          <w:tcPr>
            <w:tcW w:w="1384" w:type="dxa"/>
            <w:tcBorders>
              <w:top w:val="single" w:sz="4" w:space="0" w:color="000000"/>
              <w:bottom w:val="single" w:sz="4" w:space="0" w:color="000000"/>
            </w:tcBorders>
          </w:tcPr>
          <w:p w14:paraId="1D05D622" w14:textId="77777777" w:rsidR="009765D0" w:rsidRDefault="0051542C">
            <w:pPr>
              <w:spacing w:line="480" w:lineRule="auto"/>
              <w:jc w:val="center"/>
            </w:pPr>
            <w:r>
              <w:t>Minimum</w:t>
            </w:r>
          </w:p>
        </w:tc>
        <w:tc>
          <w:tcPr>
            <w:tcW w:w="1414" w:type="dxa"/>
            <w:tcBorders>
              <w:top w:val="single" w:sz="4" w:space="0" w:color="000000"/>
              <w:bottom w:val="single" w:sz="4" w:space="0" w:color="000000"/>
            </w:tcBorders>
          </w:tcPr>
          <w:p w14:paraId="03F4906D" w14:textId="77777777" w:rsidR="009765D0" w:rsidRDefault="0051542C">
            <w:pPr>
              <w:jc w:val="center"/>
            </w:pPr>
            <w:r>
              <w:t>Maximum</w:t>
            </w:r>
          </w:p>
        </w:tc>
      </w:tr>
      <w:tr w:rsidR="009765D0" w14:paraId="35C35C77" w14:textId="77777777">
        <w:tc>
          <w:tcPr>
            <w:tcW w:w="1260" w:type="dxa"/>
            <w:tcBorders>
              <w:top w:val="single" w:sz="4" w:space="0" w:color="000000"/>
              <w:bottom w:val="single" w:sz="4" w:space="0" w:color="000000"/>
            </w:tcBorders>
          </w:tcPr>
          <w:p w14:paraId="5BF6AEB4" w14:textId="72FF7D6F" w:rsidR="009765D0" w:rsidRDefault="00663BF9">
            <w:pPr>
              <w:jc w:val="center"/>
            </w:pPr>
            <w:r>
              <w:t>Count</w:t>
            </w:r>
          </w:p>
        </w:tc>
        <w:tc>
          <w:tcPr>
            <w:tcW w:w="1574" w:type="dxa"/>
            <w:tcBorders>
              <w:top w:val="single" w:sz="4" w:space="0" w:color="000000"/>
              <w:bottom w:val="single" w:sz="4" w:space="0" w:color="000000"/>
            </w:tcBorders>
          </w:tcPr>
          <w:p w14:paraId="21991E96" w14:textId="77777777" w:rsidR="009765D0" w:rsidRDefault="0051542C">
            <w:pPr>
              <w:spacing w:line="480" w:lineRule="auto"/>
              <w:jc w:val="center"/>
            </w:pPr>
            <w:r>
              <w:t>40</w:t>
            </w:r>
          </w:p>
        </w:tc>
        <w:tc>
          <w:tcPr>
            <w:tcW w:w="1276" w:type="dxa"/>
            <w:tcBorders>
              <w:top w:val="single" w:sz="4" w:space="0" w:color="000000"/>
              <w:bottom w:val="single" w:sz="4" w:space="0" w:color="000000"/>
            </w:tcBorders>
          </w:tcPr>
          <w:p w14:paraId="0A372940" w14:textId="77777777" w:rsidR="009765D0" w:rsidRDefault="0051542C">
            <w:pPr>
              <w:spacing w:line="480" w:lineRule="auto"/>
              <w:jc w:val="center"/>
            </w:pPr>
            <w:r>
              <w:t>114.20</w:t>
            </w:r>
          </w:p>
        </w:tc>
        <w:tc>
          <w:tcPr>
            <w:tcW w:w="1300" w:type="dxa"/>
            <w:tcBorders>
              <w:top w:val="single" w:sz="4" w:space="0" w:color="000000"/>
              <w:bottom w:val="single" w:sz="4" w:space="0" w:color="000000"/>
            </w:tcBorders>
          </w:tcPr>
          <w:p w14:paraId="01363E0B" w14:textId="77777777" w:rsidR="009765D0" w:rsidRDefault="0051542C">
            <w:pPr>
              <w:spacing w:line="480" w:lineRule="auto"/>
              <w:jc w:val="center"/>
            </w:pPr>
            <w:r>
              <w:t>100</w:t>
            </w:r>
          </w:p>
        </w:tc>
        <w:tc>
          <w:tcPr>
            <w:tcW w:w="1384" w:type="dxa"/>
            <w:tcBorders>
              <w:top w:val="single" w:sz="4" w:space="0" w:color="000000"/>
              <w:bottom w:val="single" w:sz="4" w:space="0" w:color="000000"/>
            </w:tcBorders>
          </w:tcPr>
          <w:p w14:paraId="18F6CB8B" w14:textId="77777777" w:rsidR="009765D0" w:rsidRDefault="0051542C">
            <w:pPr>
              <w:spacing w:line="480" w:lineRule="auto"/>
              <w:jc w:val="center"/>
            </w:pPr>
            <w:r>
              <w:t>35</w:t>
            </w:r>
          </w:p>
        </w:tc>
        <w:tc>
          <w:tcPr>
            <w:tcW w:w="1414" w:type="dxa"/>
            <w:tcBorders>
              <w:top w:val="single" w:sz="4" w:space="0" w:color="000000"/>
              <w:bottom w:val="single" w:sz="4" w:space="0" w:color="000000"/>
            </w:tcBorders>
          </w:tcPr>
          <w:p w14:paraId="4EEB5908" w14:textId="77777777" w:rsidR="009765D0" w:rsidRDefault="0051542C">
            <w:pPr>
              <w:spacing w:line="480" w:lineRule="auto"/>
              <w:jc w:val="center"/>
            </w:pPr>
            <w:r>
              <w:t>250</w:t>
            </w:r>
          </w:p>
        </w:tc>
      </w:tr>
    </w:tbl>
    <w:p w14:paraId="22BF0737" w14:textId="37B2B9CF" w:rsidR="009765D0" w:rsidRDefault="0051542C">
      <w:pPr>
        <w:pBdr>
          <w:top w:val="nil"/>
          <w:left w:val="nil"/>
          <w:bottom w:val="nil"/>
          <w:right w:val="nil"/>
          <w:between w:val="nil"/>
        </w:pBdr>
        <w:spacing w:after="60" w:line="276" w:lineRule="auto"/>
        <w:jc w:val="both"/>
        <w:rPr>
          <w:color w:val="000000"/>
        </w:rPr>
      </w:pPr>
      <w:r>
        <w:rPr>
          <w:color w:val="000000"/>
        </w:rPr>
        <w:t>Table 11 summarizes stocking density (n=40) with a mean of 114.20 individuals per m³ and a range of 35.00–250.00. Stocking density is a key determinant of intensification; increasing density must be matched by stronger water</w:t>
      </w:r>
      <w:r w:rsidR="002A1EAC">
        <w:rPr>
          <w:color w:val="000000"/>
        </w:rPr>
        <w:t xml:space="preserve"> </w:t>
      </w:r>
      <w:r>
        <w:rPr>
          <w:color w:val="000000"/>
        </w:rPr>
        <w:t>quality management, biosecurity, and higher input costs (Pomeroy et al., 2020).</w:t>
      </w:r>
    </w:p>
    <w:p w14:paraId="1584957C" w14:textId="77777777" w:rsidR="009765D0" w:rsidRDefault="0051542C">
      <w:pPr>
        <w:pBdr>
          <w:top w:val="nil"/>
          <w:left w:val="nil"/>
          <w:bottom w:val="nil"/>
          <w:right w:val="nil"/>
          <w:between w:val="nil"/>
        </w:pBdr>
        <w:spacing w:after="120" w:line="276" w:lineRule="auto"/>
        <w:jc w:val="both"/>
        <w:rPr>
          <w:color w:val="000000"/>
        </w:rPr>
      </w:pPr>
      <w:r>
        <w:rPr>
          <w:rFonts w:ascii="Arial Unicode MS" w:eastAsia="Arial Unicode MS" w:hAnsi="Arial Unicode MS" w:cs="Arial Unicode MS"/>
          <w:color w:val="000000"/>
        </w:rPr>
        <w:t>Classification: &lt;100 = semi-intensive; ≥100 = intensive.</w:t>
      </w:r>
    </w:p>
    <w:p w14:paraId="1A677AFC" w14:textId="77777777" w:rsidR="009765D0" w:rsidRDefault="0051542C">
      <w:pPr>
        <w:pBdr>
          <w:top w:val="nil"/>
          <w:left w:val="nil"/>
          <w:bottom w:val="nil"/>
          <w:right w:val="nil"/>
          <w:between w:val="nil"/>
        </w:pBdr>
        <w:spacing w:after="60" w:line="276" w:lineRule="auto"/>
        <w:rPr>
          <w:b/>
          <w:bCs/>
          <w:color w:val="000000"/>
        </w:rPr>
      </w:pPr>
      <w:r>
        <w:rPr>
          <w:b/>
          <w:bCs/>
          <w:color w:val="000000"/>
        </w:rPr>
        <w:t>Farming system by stocking density</w:t>
      </w:r>
    </w:p>
    <w:p w14:paraId="0EE5CD39" w14:textId="77777777" w:rsidR="009765D0" w:rsidRDefault="0051542C">
      <w:pPr>
        <w:pBdr>
          <w:top w:val="nil"/>
          <w:left w:val="nil"/>
          <w:bottom w:val="nil"/>
          <w:right w:val="nil"/>
          <w:between w:val="nil"/>
        </w:pBdr>
        <w:spacing w:after="60" w:line="276" w:lineRule="auto"/>
        <w:jc w:val="center"/>
        <w:rPr>
          <w:color w:val="000000"/>
        </w:rPr>
      </w:pPr>
      <w:r>
        <w:rPr>
          <w:color w:val="000000"/>
        </w:rPr>
        <w:t>Table 12. Farming system by stocking density</w:t>
      </w:r>
    </w:p>
    <w:tbl>
      <w:tblPr>
        <w:tblStyle w:val="aa"/>
        <w:tblW w:w="8208" w:type="dxa"/>
        <w:tblInd w:w="0" w:type="dxa"/>
        <w:tblLayout w:type="fixed"/>
        <w:tblLook w:val="0400" w:firstRow="0" w:lastRow="0" w:firstColumn="0" w:lastColumn="0" w:noHBand="0" w:noVBand="1"/>
      </w:tblPr>
      <w:tblGrid>
        <w:gridCol w:w="2768"/>
        <w:gridCol w:w="2764"/>
        <w:gridCol w:w="2676"/>
      </w:tblGrid>
      <w:tr w:rsidR="009765D0" w14:paraId="64BDF342" w14:textId="77777777">
        <w:tc>
          <w:tcPr>
            <w:tcW w:w="2768" w:type="dxa"/>
            <w:tcBorders>
              <w:top w:val="single" w:sz="4" w:space="0" w:color="000000"/>
              <w:bottom w:val="single" w:sz="4" w:space="0" w:color="000000"/>
            </w:tcBorders>
          </w:tcPr>
          <w:p w14:paraId="20FEB59D" w14:textId="77777777" w:rsidR="009765D0" w:rsidRDefault="0051542C">
            <w:pPr>
              <w:jc w:val="center"/>
            </w:pPr>
            <w:r>
              <w:t>Category</w:t>
            </w:r>
          </w:p>
        </w:tc>
        <w:tc>
          <w:tcPr>
            <w:tcW w:w="2764" w:type="dxa"/>
            <w:tcBorders>
              <w:top w:val="single" w:sz="4" w:space="0" w:color="000000"/>
              <w:bottom w:val="single" w:sz="4" w:space="0" w:color="000000"/>
            </w:tcBorders>
          </w:tcPr>
          <w:p w14:paraId="6689FA76" w14:textId="77777777" w:rsidR="009765D0" w:rsidRDefault="0051542C">
            <w:pPr>
              <w:spacing w:line="480" w:lineRule="auto"/>
              <w:jc w:val="center"/>
            </w:pPr>
            <w:r>
              <w:t>Frequency (n)</w:t>
            </w:r>
          </w:p>
        </w:tc>
        <w:tc>
          <w:tcPr>
            <w:tcW w:w="2676" w:type="dxa"/>
            <w:tcBorders>
              <w:top w:val="single" w:sz="4" w:space="0" w:color="000000"/>
              <w:bottom w:val="single" w:sz="4" w:space="0" w:color="000000"/>
            </w:tcBorders>
          </w:tcPr>
          <w:p w14:paraId="565A6412" w14:textId="77777777" w:rsidR="009765D0" w:rsidRDefault="0051542C">
            <w:pPr>
              <w:spacing w:line="480" w:lineRule="auto"/>
              <w:jc w:val="center"/>
            </w:pPr>
            <w:r>
              <w:t>Percent (%)</w:t>
            </w:r>
          </w:p>
        </w:tc>
      </w:tr>
      <w:tr w:rsidR="009765D0" w14:paraId="1F9385E1" w14:textId="77777777">
        <w:tc>
          <w:tcPr>
            <w:tcW w:w="2768" w:type="dxa"/>
            <w:tcBorders>
              <w:top w:val="single" w:sz="4" w:space="0" w:color="000000"/>
            </w:tcBorders>
          </w:tcPr>
          <w:p w14:paraId="662A1A51" w14:textId="77777777" w:rsidR="009765D0" w:rsidRDefault="0051542C">
            <w:pPr>
              <w:jc w:val="center"/>
            </w:pPr>
            <w:r>
              <w:rPr>
                <w:rFonts w:ascii="Arial Unicode MS" w:eastAsia="Arial Unicode MS" w:hAnsi="Arial Unicode MS" w:cs="Arial Unicode MS"/>
              </w:rPr>
              <w:t>Intensive (≥100 shrimp/m³)</w:t>
            </w:r>
          </w:p>
        </w:tc>
        <w:tc>
          <w:tcPr>
            <w:tcW w:w="2764" w:type="dxa"/>
            <w:tcBorders>
              <w:top w:val="single" w:sz="4" w:space="0" w:color="000000"/>
            </w:tcBorders>
          </w:tcPr>
          <w:p w14:paraId="7840927A" w14:textId="77777777" w:rsidR="009765D0" w:rsidRDefault="0051542C">
            <w:pPr>
              <w:spacing w:line="480" w:lineRule="auto"/>
              <w:jc w:val="center"/>
            </w:pPr>
            <w:r>
              <w:t>28</w:t>
            </w:r>
          </w:p>
        </w:tc>
        <w:tc>
          <w:tcPr>
            <w:tcW w:w="2676" w:type="dxa"/>
            <w:tcBorders>
              <w:top w:val="single" w:sz="4" w:space="0" w:color="000000"/>
            </w:tcBorders>
          </w:tcPr>
          <w:p w14:paraId="60405897" w14:textId="77777777" w:rsidR="009765D0" w:rsidRDefault="0051542C">
            <w:pPr>
              <w:spacing w:line="480" w:lineRule="auto"/>
              <w:jc w:val="center"/>
            </w:pPr>
            <w:r>
              <w:t>70.00</w:t>
            </w:r>
          </w:p>
        </w:tc>
      </w:tr>
      <w:tr w:rsidR="009765D0" w14:paraId="3AF4CE5A" w14:textId="77777777">
        <w:tc>
          <w:tcPr>
            <w:tcW w:w="2768" w:type="dxa"/>
            <w:tcBorders>
              <w:bottom w:val="single" w:sz="4" w:space="0" w:color="000000"/>
            </w:tcBorders>
          </w:tcPr>
          <w:p w14:paraId="7983C73A" w14:textId="77777777" w:rsidR="009765D0" w:rsidRDefault="0051542C">
            <w:pPr>
              <w:jc w:val="center"/>
            </w:pPr>
            <w:r>
              <w:t>Semi-intensive (&lt;100 shrimp/m³)</w:t>
            </w:r>
          </w:p>
        </w:tc>
        <w:tc>
          <w:tcPr>
            <w:tcW w:w="2764" w:type="dxa"/>
            <w:tcBorders>
              <w:bottom w:val="single" w:sz="4" w:space="0" w:color="000000"/>
            </w:tcBorders>
          </w:tcPr>
          <w:p w14:paraId="4F7EE8A4" w14:textId="77777777" w:rsidR="009765D0" w:rsidRDefault="0051542C">
            <w:pPr>
              <w:spacing w:line="480" w:lineRule="auto"/>
              <w:jc w:val="center"/>
            </w:pPr>
            <w:r>
              <w:t>12</w:t>
            </w:r>
          </w:p>
        </w:tc>
        <w:tc>
          <w:tcPr>
            <w:tcW w:w="2676" w:type="dxa"/>
            <w:tcBorders>
              <w:bottom w:val="single" w:sz="4" w:space="0" w:color="000000"/>
            </w:tcBorders>
          </w:tcPr>
          <w:p w14:paraId="52AFBD0F" w14:textId="77777777" w:rsidR="009765D0" w:rsidRDefault="0051542C">
            <w:pPr>
              <w:spacing w:line="480" w:lineRule="auto"/>
              <w:jc w:val="center"/>
            </w:pPr>
            <w:r>
              <w:t>30.00</w:t>
            </w:r>
          </w:p>
        </w:tc>
      </w:tr>
    </w:tbl>
    <w:p w14:paraId="5C9D2DBB" w14:textId="77777777" w:rsidR="009765D0" w:rsidRDefault="009765D0">
      <w:pPr>
        <w:pBdr>
          <w:top w:val="nil"/>
          <w:left w:val="nil"/>
          <w:bottom w:val="nil"/>
          <w:right w:val="nil"/>
          <w:between w:val="nil"/>
        </w:pBdr>
        <w:spacing w:after="60" w:line="276" w:lineRule="auto"/>
        <w:jc w:val="both"/>
        <w:rPr>
          <w:color w:val="000000"/>
        </w:rPr>
      </w:pPr>
    </w:p>
    <w:p w14:paraId="14F05360" w14:textId="77777777" w:rsidR="009765D0" w:rsidRPr="00760824" w:rsidRDefault="0051542C" w:rsidP="00760824">
      <w:pPr>
        <w:spacing w:line="276" w:lineRule="auto"/>
        <w:jc w:val="both"/>
      </w:pPr>
      <w:r w:rsidRPr="00760824">
        <w:t>Table 12 indicates that production systems were dominated by the intensive category (≥100 individuals per m³) (70.00%). A tendency toward intensification increases the need for supporting technologies and risk management; therefore, working-capital access and technical assistance become critical (Pomeroy et al., 2020).</w:t>
      </w:r>
    </w:p>
    <w:p w14:paraId="62BB47B0" w14:textId="7CC0294D" w:rsidR="009765D0" w:rsidRPr="00760824" w:rsidRDefault="0051542C" w:rsidP="00760824">
      <w:pPr>
        <w:spacing w:line="276" w:lineRule="auto"/>
        <w:jc w:val="both"/>
      </w:pPr>
      <w:r w:rsidRPr="00760824">
        <w:t>The predominance of intensive farming implies greater management demands, including stricter water</w:t>
      </w:r>
      <w:r w:rsidR="002A1EAC">
        <w:t xml:space="preserve"> </w:t>
      </w:r>
      <w:r w:rsidRPr="00760824">
        <w:t>quality control, disease-risk mitigation, and more precise feeding to prevent rapid pond deterioration under high biomass loads (Boyd, 2003; Boyd, 2020; Stentiford et al., 2017). Accordingly, farming-system and stocking-density patterns should be read as risk profiles: higher intensification increases the need for documented SOPs, routine mentoring, and incentive–disincentive arrangements to support compliance with good aquaculture practices. Biosecurity becomes especially critical, as Indonesian shrimp ponds show variable compliance and require improvements in access control, equipment disinfection, and management of post</w:t>
      </w:r>
      <w:r w:rsidR="00066594">
        <w:t xml:space="preserve"> </w:t>
      </w:r>
      <w:r w:rsidRPr="00760824">
        <w:t>larvae and incoming water, particularly among resource-constrained small enterprises (</w:t>
      </w:r>
      <w:proofErr w:type="spellStart"/>
      <w:r w:rsidRPr="00760824">
        <w:t>Delphino</w:t>
      </w:r>
      <w:proofErr w:type="spellEnd"/>
      <w:r w:rsidRPr="00760824">
        <w:t xml:space="preserve"> et al., 2022; Stentiford et al., 2017). Using the study’s classification (semi-intensive &lt;100 individuals m</w:t>
      </w:r>
      <w:r w:rsidRPr="00760824">
        <w:rPr>
          <w:rFonts w:ascii="Cambria Math" w:hAnsi="Cambria Math" w:cs="Cambria Math"/>
        </w:rPr>
        <w:t>⁻</w:t>
      </w:r>
      <w:r w:rsidRPr="00760824">
        <w:t>³; intensive ≥100 individuals m</w:t>
      </w:r>
      <w:r w:rsidRPr="00760824">
        <w:rPr>
          <w:rFonts w:ascii="Cambria Math" w:hAnsi="Cambria Math" w:cs="Cambria Math"/>
        </w:rPr>
        <w:t>⁻</w:t>
      </w:r>
      <w:r w:rsidRPr="00760824">
        <w:t>³), intensification can raise output through higher feed and aeration inputs but also elevates organic and nutrient loading when feeding and water</w:t>
      </w:r>
      <w:r w:rsidR="002A1EAC">
        <w:t xml:space="preserve"> </w:t>
      </w:r>
      <w:r w:rsidRPr="00760824">
        <w:t>quality management are inadequate (</w:t>
      </w:r>
      <w:proofErr w:type="spellStart"/>
      <w:r w:rsidRPr="00760824">
        <w:t>Chatvijitkul</w:t>
      </w:r>
      <w:proofErr w:type="spellEnd"/>
      <w:r w:rsidRPr="00760824">
        <w:t xml:space="preserve"> et al., 2017).</w:t>
      </w:r>
    </w:p>
    <w:p w14:paraId="45BA2585" w14:textId="6FCA3175" w:rsidR="009765D0" w:rsidRPr="00760824" w:rsidRDefault="0051542C" w:rsidP="00760824">
      <w:pPr>
        <w:spacing w:line="276" w:lineRule="auto"/>
        <w:jc w:val="both"/>
      </w:pPr>
      <w:r w:rsidRPr="00760824">
        <w:t>Productive-asset capacity is reflected in wide variation in pond ownership and operation. The number of ponds ranged from 1–120 (mean 14.68; median 7), a common smallholder-</w:t>
      </w:r>
      <w:r w:rsidRPr="00760824">
        <w:lastRenderedPageBreak/>
        <w:t xml:space="preserve">dominated structure with substantial heterogeneity in productive assets in Indonesian aquaculture, implying that interventions should not be standardized across farmers (Rimmer et al., 2013; Henriksson et al., 2017). This heterogeneity also aligns with evidence of economies of scale in </w:t>
      </w:r>
      <w:proofErr w:type="spellStart"/>
      <w:r w:rsidRPr="00760824">
        <w:t>vannamei</w:t>
      </w:r>
      <w:proofErr w:type="spellEnd"/>
      <w:r w:rsidRPr="00760824">
        <w:t xml:space="preserve"> farming, where technical efficiency tends to improve with scale and strengthened inputs (Asmild et al., 2024). Active ponds averaged 11.50 (median 5.5), and the active-to-total ratio averaged 0.80 (median 1.00), suggesting that while many operate all ponds, some maintain idle capacity due to working-capital constraints, disease risk, or strategic production withholding—reinforcing the need for risk management and cycle</w:t>
      </w:r>
      <w:r w:rsidR="002A1EAC">
        <w:t xml:space="preserve"> </w:t>
      </w:r>
      <w:r w:rsidRPr="00760824">
        <w:t>adaptive financing (FAO, 2020; Stentiford et al., 2017). Pond size also varied (mean 1,334.80 m²; median 1,000 m²), which matters for aeration needs, energy demand, and the ability to maintain water</w:t>
      </w:r>
      <w:r w:rsidR="002A1EAC">
        <w:t xml:space="preserve"> </w:t>
      </w:r>
      <w:r w:rsidRPr="00760824">
        <w:t>quality homogeneity without appropriate hydrodynamic design and operational SOPs (Boyd &amp; Tucker, 2012; FAO, 2020).</w:t>
      </w:r>
    </w:p>
    <w:p w14:paraId="113E3F74" w14:textId="70395E5F" w:rsidR="009765D0" w:rsidRPr="00760824" w:rsidRDefault="0051542C" w:rsidP="00760824">
      <w:pPr>
        <w:spacing w:line="276" w:lineRule="auto"/>
        <w:jc w:val="both"/>
      </w:pPr>
      <w:r w:rsidRPr="00760824">
        <w:t>Pond types were dominated by plastic/HDPE-lined ponds (92.5%), with earthen and concrete ponds remaining marginal. HDPE preference suggests a more controlled management orientation (easier sanitation and bottom cleaning), which supports intensified production and disease prevention (Boyd &amp; Tucker, 2012; Stentiford et al., 2017). However, liners involve higher upfront costs, indicating the importance of financing and investment schemes that match payback cycles for smaller MSMEs (Henriksson et al., 2017). Overall, stocking density ranged from 35–250 individuals m</w:t>
      </w:r>
      <w:r w:rsidRPr="00760824">
        <w:rPr>
          <w:rFonts w:ascii="Cambria Math" w:hAnsi="Cambria Math" w:cs="Cambria Math"/>
        </w:rPr>
        <w:t>⁻</w:t>
      </w:r>
      <w:r w:rsidRPr="00760824">
        <w:t>³ (mean 114.20; median 100), with intensive systems comprising 70.0% of farms; this reinforces that most MSMEs require reliable aeration energy and disciplined feed and water</w:t>
      </w:r>
      <w:r w:rsidR="002A1EAC">
        <w:t xml:space="preserve"> </w:t>
      </w:r>
      <w:r w:rsidRPr="00760824">
        <w:t>quality management, because disease risks in aquaculture are systemic and intensify when governance and biosecurity are weak (FAO, 2020; Boyd &amp; Tucker, 2012; Stentiford et al., 2017). Given these intensive and asset-heterogeneous systems, the next section reviews supporting infrastructure that underpins water and energy management (Section 3.4).</w:t>
      </w:r>
    </w:p>
    <w:p w14:paraId="1C14FA58" w14:textId="77777777" w:rsidR="009765D0" w:rsidRDefault="0051542C">
      <w:pPr>
        <w:pBdr>
          <w:top w:val="nil"/>
          <w:left w:val="nil"/>
          <w:bottom w:val="nil"/>
          <w:right w:val="nil"/>
          <w:between w:val="nil"/>
        </w:pBdr>
        <w:spacing w:before="120" w:after="60"/>
        <w:jc w:val="both"/>
        <w:rPr>
          <w:color w:val="000000"/>
        </w:rPr>
      </w:pPr>
      <w:r>
        <w:rPr>
          <w:b/>
          <w:bCs/>
          <w:color w:val="000000"/>
        </w:rPr>
        <w:t>3.4 Supporting Infrastructure and Sustainability</w:t>
      </w:r>
    </w:p>
    <w:p w14:paraId="6BD4B418" w14:textId="77777777" w:rsidR="009765D0" w:rsidRDefault="009765D0">
      <w:pPr>
        <w:pBdr>
          <w:top w:val="nil"/>
          <w:left w:val="nil"/>
          <w:bottom w:val="nil"/>
          <w:right w:val="nil"/>
          <w:between w:val="nil"/>
        </w:pBdr>
        <w:spacing w:after="60" w:line="276" w:lineRule="auto"/>
        <w:rPr>
          <w:b/>
          <w:bCs/>
          <w:color w:val="000000"/>
        </w:rPr>
      </w:pPr>
    </w:p>
    <w:p w14:paraId="5A0DEA6A" w14:textId="77777777" w:rsidR="009765D0" w:rsidRDefault="0051542C">
      <w:pPr>
        <w:pBdr>
          <w:top w:val="nil"/>
          <w:left w:val="nil"/>
          <w:bottom w:val="nil"/>
          <w:right w:val="nil"/>
          <w:between w:val="nil"/>
        </w:pBdr>
        <w:spacing w:after="60" w:line="276" w:lineRule="auto"/>
        <w:rPr>
          <w:b/>
          <w:bCs/>
          <w:color w:val="000000"/>
        </w:rPr>
      </w:pPr>
      <w:r>
        <w:rPr>
          <w:b/>
          <w:bCs/>
          <w:color w:val="000000"/>
        </w:rPr>
        <w:t>Electricity source</w:t>
      </w:r>
    </w:p>
    <w:p w14:paraId="62E6BB59" w14:textId="015ECA4B" w:rsidR="009765D0" w:rsidRDefault="0051542C">
      <w:pPr>
        <w:pBdr>
          <w:top w:val="nil"/>
          <w:left w:val="nil"/>
          <w:bottom w:val="nil"/>
          <w:right w:val="nil"/>
          <w:between w:val="nil"/>
        </w:pBdr>
        <w:spacing w:after="120" w:line="276" w:lineRule="auto"/>
        <w:jc w:val="both"/>
        <w:rPr>
          <w:color w:val="000000"/>
        </w:rPr>
      </w:pPr>
      <w:r>
        <w:rPr>
          <w:color w:val="000000"/>
        </w:rPr>
        <w:t>The exclusive reliance on the public electricity grid (PLN) indicates that pond operations—especially those using aeration, pumps, and circulation—depend heavily on energy-supply stability. In shrimp farming, electricity disruptions can interrupt aeration and circulation, reducing dissolved oxygen and accelerating the accumulation of harmful metabolites (e.g., ammonia), which in intensive systems can rapidly lead to stress and mortality (Boyd &amp; Tucker, 2012; FAO, 2020). Dependence on PLN also implies routine energy expenditures that can be a significant cost component; therefore, improving energy efficiency (using energy-efficient equipment, optimizing operating hours, and monitoring power loads) is important for MSME</w:t>
      </w:r>
      <w:r w:rsidR="00663BF9">
        <w:rPr>
          <w:color w:val="000000"/>
        </w:rPr>
        <w:t>s</w:t>
      </w:r>
      <w:r w:rsidR="00066594">
        <w:rPr>
          <w:color w:val="000000"/>
        </w:rPr>
        <w:t>’</w:t>
      </w:r>
      <w:r>
        <w:rPr>
          <w:color w:val="000000"/>
        </w:rPr>
        <w:t xml:space="preserve"> profitability (Henriksson et al., 2017).</w:t>
      </w:r>
    </w:p>
    <w:p w14:paraId="48AE332D" w14:textId="5E782A35" w:rsidR="009765D0" w:rsidRDefault="0051542C">
      <w:pPr>
        <w:pBdr>
          <w:top w:val="nil"/>
          <w:left w:val="nil"/>
          <w:bottom w:val="nil"/>
          <w:right w:val="nil"/>
          <w:between w:val="nil"/>
        </w:pBdr>
        <w:spacing w:after="120" w:line="276" w:lineRule="auto"/>
        <w:jc w:val="both"/>
        <w:rPr>
          <w:color w:val="000000"/>
        </w:rPr>
      </w:pPr>
      <w:r>
        <w:rPr>
          <w:color w:val="000000"/>
        </w:rPr>
        <w:t>Accordingly, mitigating power disruptions should be positioned as part of production-risk management, for example through backup power (generators), oxygen alarms/monitoring, and emergency SOPs during outages (FAO, 2020; Boyd &amp; Tucker, 2012). At the policy level, MSME</w:t>
      </w:r>
      <w:r w:rsidR="00663BF9">
        <w:rPr>
          <w:color w:val="000000"/>
        </w:rPr>
        <w:t>s</w:t>
      </w:r>
      <w:r>
        <w:rPr>
          <w:color w:val="000000"/>
        </w:rPr>
        <w:t xml:space="preserve"> support can be directed toward incentives or financing access for backup power and monitoring equipment, because stronger energy resilience is directly linked to production sustainability and reduced crop-failure risk (Henriksson et al., 2017; FAO, 2020).</w:t>
      </w:r>
    </w:p>
    <w:p w14:paraId="5DEE2A20" w14:textId="77777777" w:rsidR="009765D0" w:rsidRDefault="009765D0">
      <w:pPr>
        <w:pBdr>
          <w:top w:val="nil"/>
          <w:left w:val="nil"/>
          <w:bottom w:val="nil"/>
          <w:right w:val="nil"/>
          <w:between w:val="nil"/>
        </w:pBdr>
        <w:spacing w:after="120" w:line="276" w:lineRule="auto"/>
        <w:jc w:val="both"/>
        <w:rPr>
          <w:color w:val="000000"/>
        </w:rPr>
      </w:pPr>
    </w:p>
    <w:p w14:paraId="14D2F33B" w14:textId="77777777" w:rsidR="009765D0" w:rsidRDefault="0051542C">
      <w:pPr>
        <w:pBdr>
          <w:top w:val="nil"/>
          <w:left w:val="nil"/>
          <w:bottom w:val="nil"/>
          <w:right w:val="nil"/>
          <w:between w:val="nil"/>
        </w:pBdr>
        <w:spacing w:after="60" w:line="276" w:lineRule="auto"/>
        <w:rPr>
          <w:b/>
          <w:bCs/>
          <w:color w:val="000000"/>
        </w:rPr>
      </w:pPr>
      <w:r>
        <w:rPr>
          <w:b/>
          <w:bCs/>
          <w:color w:val="000000"/>
        </w:rPr>
        <w:lastRenderedPageBreak/>
        <w:t>Water source</w:t>
      </w:r>
    </w:p>
    <w:p w14:paraId="7BC9DD98" w14:textId="77777777" w:rsidR="009765D0" w:rsidRDefault="0051542C">
      <w:pPr>
        <w:pBdr>
          <w:top w:val="nil"/>
          <w:left w:val="nil"/>
          <w:bottom w:val="nil"/>
          <w:right w:val="nil"/>
          <w:between w:val="nil"/>
        </w:pBdr>
        <w:spacing w:after="60" w:line="276" w:lineRule="auto"/>
        <w:jc w:val="center"/>
        <w:rPr>
          <w:color w:val="000000"/>
        </w:rPr>
      </w:pPr>
      <w:r>
        <w:rPr>
          <w:color w:val="000000"/>
        </w:rPr>
        <w:t>Table 13. Water source</w:t>
      </w:r>
    </w:p>
    <w:tbl>
      <w:tblPr>
        <w:tblStyle w:val="ab"/>
        <w:tblW w:w="8208" w:type="dxa"/>
        <w:tblInd w:w="0" w:type="dxa"/>
        <w:tblLayout w:type="fixed"/>
        <w:tblLook w:val="0400" w:firstRow="0" w:lastRow="0" w:firstColumn="0" w:lastColumn="0" w:noHBand="0" w:noVBand="1"/>
      </w:tblPr>
      <w:tblGrid>
        <w:gridCol w:w="2742"/>
        <w:gridCol w:w="2776"/>
        <w:gridCol w:w="2690"/>
      </w:tblGrid>
      <w:tr w:rsidR="009765D0" w14:paraId="53BD7E44" w14:textId="77777777">
        <w:tc>
          <w:tcPr>
            <w:tcW w:w="2742" w:type="dxa"/>
            <w:tcBorders>
              <w:top w:val="single" w:sz="4" w:space="0" w:color="000000"/>
              <w:bottom w:val="single" w:sz="4" w:space="0" w:color="000000"/>
            </w:tcBorders>
          </w:tcPr>
          <w:p w14:paraId="0A471525" w14:textId="77777777" w:rsidR="009765D0" w:rsidRDefault="0051542C">
            <w:pPr>
              <w:jc w:val="center"/>
            </w:pPr>
            <w:r>
              <w:t>Category</w:t>
            </w:r>
          </w:p>
        </w:tc>
        <w:tc>
          <w:tcPr>
            <w:tcW w:w="2776" w:type="dxa"/>
            <w:tcBorders>
              <w:top w:val="single" w:sz="4" w:space="0" w:color="000000"/>
              <w:bottom w:val="single" w:sz="4" w:space="0" w:color="000000"/>
            </w:tcBorders>
          </w:tcPr>
          <w:p w14:paraId="6402E8E8" w14:textId="77777777" w:rsidR="009765D0" w:rsidRDefault="0051542C">
            <w:pPr>
              <w:spacing w:line="480" w:lineRule="auto"/>
              <w:jc w:val="center"/>
            </w:pPr>
            <w:r>
              <w:t>Frequency (n)</w:t>
            </w:r>
          </w:p>
        </w:tc>
        <w:tc>
          <w:tcPr>
            <w:tcW w:w="2690" w:type="dxa"/>
            <w:tcBorders>
              <w:top w:val="single" w:sz="4" w:space="0" w:color="000000"/>
              <w:bottom w:val="single" w:sz="4" w:space="0" w:color="000000"/>
            </w:tcBorders>
          </w:tcPr>
          <w:p w14:paraId="5EADFC86" w14:textId="77777777" w:rsidR="009765D0" w:rsidRDefault="0051542C">
            <w:pPr>
              <w:spacing w:line="480" w:lineRule="auto"/>
              <w:jc w:val="center"/>
            </w:pPr>
            <w:r>
              <w:t>Percent (%)</w:t>
            </w:r>
          </w:p>
        </w:tc>
      </w:tr>
      <w:tr w:rsidR="009765D0" w14:paraId="10DAE8BC" w14:textId="77777777">
        <w:tc>
          <w:tcPr>
            <w:tcW w:w="2742" w:type="dxa"/>
            <w:tcBorders>
              <w:top w:val="single" w:sz="4" w:space="0" w:color="000000"/>
            </w:tcBorders>
          </w:tcPr>
          <w:p w14:paraId="27A1CB86" w14:textId="77777777" w:rsidR="009765D0" w:rsidRDefault="0051542C">
            <w:pPr>
              <w:jc w:val="center"/>
            </w:pPr>
            <w:r>
              <w:t>Seawater</w:t>
            </w:r>
          </w:p>
        </w:tc>
        <w:tc>
          <w:tcPr>
            <w:tcW w:w="2776" w:type="dxa"/>
            <w:tcBorders>
              <w:top w:val="single" w:sz="4" w:space="0" w:color="000000"/>
            </w:tcBorders>
          </w:tcPr>
          <w:p w14:paraId="05099ED6" w14:textId="77777777" w:rsidR="009765D0" w:rsidRDefault="0051542C">
            <w:pPr>
              <w:spacing w:line="480" w:lineRule="auto"/>
              <w:jc w:val="center"/>
            </w:pPr>
            <w:r>
              <w:t>18</w:t>
            </w:r>
          </w:p>
        </w:tc>
        <w:tc>
          <w:tcPr>
            <w:tcW w:w="2690" w:type="dxa"/>
            <w:tcBorders>
              <w:top w:val="single" w:sz="4" w:space="0" w:color="000000"/>
            </w:tcBorders>
          </w:tcPr>
          <w:p w14:paraId="5D1F3256" w14:textId="77777777" w:rsidR="009765D0" w:rsidRDefault="0051542C">
            <w:pPr>
              <w:spacing w:line="480" w:lineRule="auto"/>
              <w:jc w:val="center"/>
            </w:pPr>
            <w:r>
              <w:t>45.00</w:t>
            </w:r>
          </w:p>
        </w:tc>
      </w:tr>
      <w:tr w:rsidR="009765D0" w14:paraId="6CF6EC1C" w14:textId="77777777">
        <w:tc>
          <w:tcPr>
            <w:tcW w:w="2742" w:type="dxa"/>
          </w:tcPr>
          <w:p w14:paraId="391F1F75" w14:textId="77777777" w:rsidR="009765D0" w:rsidRDefault="0051542C">
            <w:pPr>
              <w:jc w:val="center"/>
            </w:pPr>
            <w:r>
              <w:t>Bore well</w:t>
            </w:r>
          </w:p>
        </w:tc>
        <w:tc>
          <w:tcPr>
            <w:tcW w:w="2776" w:type="dxa"/>
          </w:tcPr>
          <w:p w14:paraId="7A0696F4" w14:textId="77777777" w:rsidR="009765D0" w:rsidRDefault="0051542C">
            <w:pPr>
              <w:spacing w:line="480" w:lineRule="auto"/>
              <w:jc w:val="center"/>
            </w:pPr>
            <w:r>
              <w:t>18</w:t>
            </w:r>
          </w:p>
        </w:tc>
        <w:tc>
          <w:tcPr>
            <w:tcW w:w="2690" w:type="dxa"/>
          </w:tcPr>
          <w:p w14:paraId="69DA0B78" w14:textId="77777777" w:rsidR="009765D0" w:rsidRDefault="0051542C">
            <w:pPr>
              <w:spacing w:line="480" w:lineRule="auto"/>
              <w:jc w:val="center"/>
            </w:pPr>
            <w:r>
              <w:t>45.00</w:t>
            </w:r>
          </w:p>
        </w:tc>
      </w:tr>
      <w:tr w:rsidR="009765D0" w14:paraId="1DC712B5" w14:textId="77777777">
        <w:tc>
          <w:tcPr>
            <w:tcW w:w="2742" w:type="dxa"/>
            <w:tcBorders>
              <w:bottom w:val="single" w:sz="4" w:space="0" w:color="000000"/>
            </w:tcBorders>
          </w:tcPr>
          <w:p w14:paraId="57CCCF21" w14:textId="77777777" w:rsidR="009765D0" w:rsidRDefault="0051542C">
            <w:pPr>
              <w:jc w:val="center"/>
            </w:pPr>
            <w:r>
              <w:t>Estuary</w:t>
            </w:r>
          </w:p>
        </w:tc>
        <w:tc>
          <w:tcPr>
            <w:tcW w:w="2776" w:type="dxa"/>
            <w:tcBorders>
              <w:bottom w:val="single" w:sz="4" w:space="0" w:color="000000"/>
            </w:tcBorders>
          </w:tcPr>
          <w:p w14:paraId="673300A0" w14:textId="77777777" w:rsidR="009765D0" w:rsidRDefault="0051542C">
            <w:pPr>
              <w:spacing w:line="480" w:lineRule="auto"/>
              <w:jc w:val="center"/>
            </w:pPr>
            <w:r>
              <w:t>4</w:t>
            </w:r>
          </w:p>
        </w:tc>
        <w:tc>
          <w:tcPr>
            <w:tcW w:w="2690" w:type="dxa"/>
            <w:tcBorders>
              <w:bottom w:val="single" w:sz="4" w:space="0" w:color="000000"/>
            </w:tcBorders>
          </w:tcPr>
          <w:p w14:paraId="2AABD996" w14:textId="77777777" w:rsidR="009765D0" w:rsidRDefault="0051542C">
            <w:pPr>
              <w:spacing w:line="480" w:lineRule="auto"/>
              <w:jc w:val="center"/>
            </w:pPr>
            <w:r>
              <w:t>10.00</w:t>
            </w:r>
          </w:p>
        </w:tc>
      </w:tr>
    </w:tbl>
    <w:p w14:paraId="79255A9B" w14:textId="77777777" w:rsidR="009765D0" w:rsidRDefault="009765D0">
      <w:pPr>
        <w:pBdr>
          <w:top w:val="nil"/>
          <w:left w:val="nil"/>
          <w:bottom w:val="nil"/>
          <w:right w:val="nil"/>
          <w:between w:val="nil"/>
        </w:pBdr>
        <w:spacing w:after="240"/>
        <w:jc w:val="both"/>
        <w:rPr>
          <w:color w:val="000000"/>
        </w:rPr>
      </w:pPr>
    </w:p>
    <w:p w14:paraId="2911D6A2" w14:textId="148904B8" w:rsidR="009765D0" w:rsidRDefault="0051542C">
      <w:pPr>
        <w:pBdr>
          <w:top w:val="nil"/>
          <w:left w:val="nil"/>
          <w:bottom w:val="nil"/>
          <w:right w:val="nil"/>
          <w:between w:val="nil"/>
        </w:pBdr>
        <w:spacing w:after="120" w:line="276" w:lineRule="auto"/>
        <w:jc w:val="both"/>
        <w:rPr>
          <w:color w:val="000000"/>
        </w:rPr>
      </w:pPr>
      <w:r>
        <w:rPr>
          <w:color w:val="000000"/>
        </w:rPr>
        <w:t>The relatively balanced composition of seawater and bore-well sources indicates that shrimp-pond MSMEs in the North Coast of West Java use different water</w:t>
      </w:r>
      <w:r w:rsidR="002A1EAC">
        <w:rPr>
          <w:color w:val="000000"/>
        </w:rPr>
        <w:t xml:space="preserve"> </w:t>
      </w:r>
      <w:r>
        <w:rPr>
          <w:color w:val="000000"/>
        </w:rPr>
        <w:t>supply strategies depending on location and infrastructure. Seawater use is typically related to proximity to the shoreline and easier intake, but water quality may fluctuate with seasons, effluent intrusion, and plankton dynamics, requiring sound intake management (FAO, 2020; Henriksson et al., 2017). Bore wells are often used to increase control over supply stability, but they can carry energy-cost implications and chemical characteristics that still require conditioning before use (Boyd &amp; Tucker, 2012).</w:t>
      </w:r>
    </w:p>
    <w:p w14:paraId="2C63D51A" w14:textId="77777777" w:rsidR="009765D0" w:rsidRDefault="0051542C">
      <w:pPr>
        <w:pBdr>
          <w:top w:val="nil"/>
          <w:left w:val="nil"/>
          <w:bottom w:val="nil"/>
          <w:right w:val="nil"/>
          <w:between w:val="nil"/>
        </w:pBdr>
        <w:spacing w:after="120" w:line="276" w:lineRule="auto"/>
        <w:jc w:val="both"/>
        <w:rPr>
          <w:color w:val="000000"/>
        </w:rPr>
      </w:pPr>
      <w:r>
        <w:rPr>
          <w:color w:val="000000"/>
        </w:rPr>
        <w:t>The small share of estuarine water users suggests that some operators are located in transitional zones that are more exposed to salinity variability and potential land-based pollution. From a biosecurity and disease-risk perspective, intake water is a key pathway for pathogen entry; thus, strengthening intake–outlet management and water treatment (settling, filtration, and appropriate disinfection procedures) is critical to suppress systemic risk (Stentiford et al., 2017; FAO, 2020). Hence, variation in water sources reinforces the need for differentiated interventions: areas relying on seawater/estuaries need prioritization of intake-quality control and biosecurity, while bore-well-based areas should focus on energy efficiency and standardized water conditioning (Boyd &amp; Tucker, 2012; Henriksson et al., 2017).</w:t>
      </w:r>
    </w:p>
    <w:p w14:paraId="134BD028" w14:textId="77777777" w:rsidR="00663BF9" w:rsidRDefault="00663BF9">
      <w:pPr>
        <w:pBdr>
          <w:top w:val="nil"/>
          <w:left w:val="nil"/>
          <w:bottom w:val="nil"/>
          <w:right w:val="nil"/>
          <w:between w:val="nil"/>
        </w:pBdr>
        <w:spacing w:after="120" w:line="276" w:lineRule="auto"/>
        <w:jc w:val="both"/>
        <w:rPr>
          <w:b/>
          <w:bCs/>
          <w:color w:val="000000"/>
        </w:rPr>
      </w:pPr>
      <w:r w:rsidRPr="00663BF9">
        <w:rPr>
          <w:b/>
          <w:bCs/>
          <w:color w:val="000000"/>
        </w:rPr>
        <w:t>Availability of reservoir/settling pond</w:t>
      </w:r>
    </w:p>
    <w:p w14:paraId="638120D7" w14:textId="56BCABFA" w:rsidR="009765D0" w:rsidRDefault="0051542C">
      <w:pPr>
        <w:pBdr>
          <w:top w:val="nil"/>
          <w:left w:val="nil"/>
          <w:bottom w:val="nil"/>
          <w:right w:val="nil"/>
          <w:between w:val="nil"/>
        </w:pBdr>
        <w:spacing w:after="120" w:line="276" w:lineRule="auto"/>
        <w:jc w:val="both"/>
        <w:rPr>
          <w:color w:val="000000"/>
        </w:rPr>
      </w:pPr>
      <w:r>
        <w:rPr>
          <w:color w:val="000000"/>
        </w:rPr>
        <w:t>The presence of reservoir/settling ponds among all respondents is a positive signal that MSME farmers recognize the importance of a buffer system for water management. In practice, reservoirs function not only as a water reserve, but also as a water</w:t>
      </w:r>
      <w:r w:rsidR="002A1EAC">
        <w:rPr>
          <w:color w:val="000000"/>
        </w:rPr>
        <w:t xml:space="preserve"> </w:t>
      </w:r>
      <w:r>
        <w:rPr>
          <w:color w:val="000000"/>
        </w:rPr>
        <w:t>quality control unit through settling processes and parameter adjustment (salinity, pH), and as an initial barrier that can reduce the entry risk of contaminants and pathogens from source water (Boyd &amp; Tucker, 2012; FAO, 2020). Reservoir availability also supports resilience to seasonal water</w:t>
      </w:r>
      <w:r w:rsidR="002A1EAC">
        <w:rPr>
          <w:color w:val="000000"/>
        </w:rPr>
        <w:t xml:space="preserve"> </w:t>
      </w:r>
      <w:r>
        <w:rPr>
          <w:color w:val="000000"/>
        </w:rPr>
        <w:t>quality changes by helping stabilize pond environments before water enters production ponds (FAO, 2020).</w:t>
      </w:r>
    </w:p>
    <w:p w14:paraId="6BD5C31A" w14:textId="77777777" w:rsidR="009765D0" w:rsidRDefault="009765D0">
      <w:pPr>
        <w:pBdr>
          <w:top w:val="nil"/>
          <w:left w:val="nil"/>
          <w:bottom w:val="nil"/>
          <w:right w:val="nil"/>
          <w:between w:val="nil"/>
        </w:pBdr>
        <w:spacing w:after="60" w:line="276" w:lineRule="auto"/>
        <w:jc w:val="both"/>
        <w:rPr>
          <w:color w:val="000000"/>
        </w:rPr>
      </w:pPr>
    </w:p>
    <w:p w14:paraId="02AAA4F9"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Availability of wastewater treatment (IPAL)</w:t>
      </w:r>
    </w:p>
    <w:p w14:paraId="6787A6EB" w14:textId="77777777" w:rsidR="009765D0" w:rsidRDefault="0051542C">
      <w:pPr>
        <w:pBdr>
          <w:top w:val="nil"/>
          <w:left w:val="nil"/>
          <w:bottom w:val="nil"/>
          <w:right w:val="nil"/>
          <w:between w:val="nil"/>
        </w:pBdr>
        <w:spacing w:after="60" w:line="276" w:lineRule="auto"/>
        <w:jc w:val="center"/>
        <w:rPr>
          <w:color w:val="000000"/>
        </w:rPr>
      </w:pPr>
      <w:r>
        <w:rPr>
          <w:color w:val="000000"/>
        </w:rPr>
        <w:t>Table 14. Availability of wastewater treatment (IPAL)</w:t>
      </w:r>
    </w:p>
    <w:tbl>
      <w:tblPr>
        <w:tblStyle w:val="ac"/>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734"/>
        <w:gridCol w:w="2780"/>
        <w:gridCol w:w="2694"/>
      </w:tblGrid>
      <w:tr w:rsidR="009765D0" w14:paraId="7DA1C00C" w14:textId="77777777">
        <w:tc>
          <w:tcPr>
            <w:tcW w:w="2734" w:type="dxa"/>
            <w:tcBorders>
              <w:top w:val="single" w:sz="4" w:space="0" w:color="000000"/>
              <w:bottom w:val="single" w:sz="4" w:space="0" w:color="000000"/>
            </w:tcBorders>
          </w:tcPr>
          <w:p w14:paraId="5A1B63A2" w14:textId="77777777" w:rsidR="009765D0" w:rsidRDefault="0051542C">
            <w:pPr>
              <w:jc w:val="center"/>
            </w:pPr>
            <w:r>
              <w:t>Category</w:t>
            </w:r>
          </w:p>
        </w:tc>
        <w:tc>
          <w:tcPr>
            <w:tcW w:w="2780" w:type="dxa"/>
            <w:tcBorders>
              <w:top w:val="single" w:sz="4" w:space="0" w:color="000000"/>
              <w:bottom w:val="single" w:sz="4" w:space="0" w:color="000000"/>
            </w:tcBorders>
          </w:tcPr>
          <w:p w14:paraId="67CA1BA9"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4F940C1E" w14:textId="77777777" w:rsidR="009765D0" w:rsidRDefault="0051542C">
            <w:pPr>
              <w:spacing w:line="480" w:lineRule="auto"/>
              <w:jc w:val="center"/>
            </w:pPr>
            <w:r>
              <w:t>Percent (%)</w:t>
            </w:r>
          </w:p>
        </w:tc>
      </w:tr>
      <w:tr w:rsidR="009765D0" w14:paraId="46565A9C" w14:textId="77777777">
        <w:tc>
          <w:tcPr>
            <w:tcW w:w="2734" w:type="dxa"/>
            <w:tcBorders>
              <w:top w:val="single" w:sz="4" w:space="0" w:color="000000"/>
            </w:tcBorders>
          </w:tcPr>
          <w:p w14:paraId="415194CE" w14:textId="77777777" w:rsidR="009765D0" w:rsidRDefault="0051542C">
            <w:pPr>
              <w:jc w:val="center"/>
            </w:pPr>
            <w:r>
              <w:t>Yes</w:t>
            </w:r>
          </w:p>
        </w:tc>
        <w:tc>
          <w:tcPr>
            <w:tcW w:w="2780" w:type="dxa"/>
            <w:tcBorders>
              <w:top w:val="single" w:sz="4" w:space="0" w:color="000000"/>
            </w:tcBorders>
          </w:tcPr>
          <w:p w14:paraId="71C673D5" w14:textId="77777777" w:rsidR="009765D0" w:rsidRDefault="0051542C">
            <w:pPr>
              <w:spacing w:line="480" w:lineRule="auto"/>
              <w:jc w:val="center"/>
            </w:pPr>
            <w:r>
              <w:t>33</w:t>
            </w:r>
          </w:p>
        </w:tc>
        <w:tc>
          <w:tcPr>
            <w:tcW w:w="2694" w:type="dxa"/>
            <w:tcBorders>
              <w:top w:val="single" w:sz="4" w:space="0" w:color="000000"/>
            </w:tcBorders>
          </w:tcPr>
          <w:p w14:paraId="655699C7" w14:textId="77777777" w:rsidR="009765D0" w:rsidRDefault="0051542C">
            <w:pPr>
              <w:spacing w:line="480" w:lineRule="auto"/>
              <w:jc w:val="center"/>
            </w:pPr>
            <w:r>
              <w:t>82.50</w:t>
            </w:r>
          </w:p>
        </w:tc>
      </w:tr>
      <w:tr w:rsidR="009765D0" w14:paraId="73D512DB" w14:textId="77777777">
        <w:tc>
          <w:tcPr>
            <w:tcW w:w="2734" w:type="dxa"/>
          </w:tcPr>
          <w:p w14:paraId="79DEDB0D" w14:textId="77777777" w:rsidR="009765D0" w:rsidRDefault="0051542C">
            <w:pPr>
              <w:jc w:val="center"/>
            </w:pPr>
            <w:r>
              <w:lastRenderedPageBreak/>
              <w:t>No</w:t>
            </w:r>
          </w:p>
        </w:tc>
        <w:tc>
          <w:tcPr>
            <w:tcW w:w="2780" w:type="dxa"/>
          </w:tcPr>
          <w:p w14:paraId="75866D64" w14:textId="77777777" w:rsidR="009765D0" w:rsidRDefault="0051542C">
            <w:pPr>
              <w:spacing w:line="480" w:lineRule="auto"/>
              <w:jc w:val="center"/>
            </w:pPr>
            <w:r>
              <w:t>7</w:t>
            </w:r>
          </w:p>
        </w:tc>
        <w:tc>
          <w:tcPr>
            <w:tcW w:w="2694" w:type="dxa"/>
          </w:tcPr>
          <w:p w14:paraId="411F9648" w14:textId="77777777" w:rsidR="009765D0" w:rsidRDefault="0051542C">
            <w:pPr>
              <w:spacing w:line="480" w:lineRule="auto"/>
              <w:jc w:val="center"/>
            </w:pPr>
            <w:r>
              <w:t>17.50</w:t>
            </w:r>
          </w:p>
        </w:tc>
      </w:tr>
    </w:tbl>
    <w:p w14:paraId="50415F6F" w14:textId="77777777" w:rsidR="009765D0" w:rsidRDefault="009765D0">
      <w:pPr>
        <w:pBdr>
          <w:top w:val="nil"/>
          <w:left w:val="nil"/>
          <w:bottom w:val="nil"/>
          <w:right w:val="nil"/>
          <w:between w:val="nil"/>
        </w:pBdr>
        <w:spacing w:after="240"/>
        <w:jc w:val="center"/>
        <w:rPr>
          <w:color w:val="000000"/>
        </w:rPr>
      </w:pPr>
    </w:p>
    <w:p w14:paraId="76F6F32C" w14:textId="5CB44084" w:rsidR="009765D0" w:rsidRDefault="0051542C">
      <w:pPr>
        <w:pBdr>
          <w:top w:val="nil"/>
          <w:left w:val="nil"/>
          <w:bottom w:val="nil"/>
          <w:right w:val="nil"/>
          <w:between w:val="nil"/>
        </w:pBdr>
        <w:spacing w:after="120" w:line="276" w:lineRule="auto"/>
        <w:jc w:val="both"/>
        <w:rPr>
          <w:color w:val="000000"/>
        </w:rPr>
      </w:pPr>
      <w:r>
        <w:rPr>
          <w:color w:val="000000"/>
        </w:rPr>
        <w:t xml:space="preserve">The dominance of operators who already have wastewater management facilities (IPAL) indicates some attention to effluent management—an important element of sustainable aquaculture in coastal areas. Effluent from shrimp ponds is often nutrient- and solids-rich; without proper management it can degrade surrounding waters and generate socio-environmental conflicts (Bush et al., 2013; Henriksson et al., 2017; International Finance Corporation, 2007). In fragmented shrimp production systems dominated by many small actors, effluent governance often requires collective or </w:t>
      </w:r>
      <w:proofErr w:type="gramStart"/>
      <w:r>
        <w:rPr>
          <w:color w:val="000000"/>
        </w:rPr>
        <w:t>area</w:t>
      </w:r>
      <w:r w:rsidR="00066594">
        <w:rPr>
          <w:color w:val="000000"/>
        </w:rPr>
        <w:t xml:space="preserve"> </w:t>
      </w:r>
      <w:r>
        <w:rPr>
          <w:color w:val="000000"/>
        </w:rPr>
        <w:t>based</w:t>
      </w:r>
      <w:proofErr w:type="gramEnd"/>
      <w:r>
        <w:rPr>
          <w:color w:val="000000"/>
        </w:rPr>
        <w:t xml:space="preserve"> approaches because impacts are cumulative across operators (Henriksson et al., 2017; International Finance Corporation, 2007).</w:t>
      </w:r>
    </w:p>
    <w:p w14:paraId="7ADBD49E" w14:textId="7D969A93" w:rsidR="009765D0" w:rsidRDefault="0051542C">
      <w:pPr>
        <w:pBdr>
          <w:top w:val="nil"/>
          <w:left w:val="nil"/>
          <w:bottom w:val="nil"/>
          <w:right w:val="nil"/>
          <w:between w:val="nil"/>
        </w:pBdr>
        <w:spacing w:after="120" w:line="276" w:lineRule="auto"/>
        <w:jc w:val="both"/>
        <w:rPr>
          <w:color w:val="000000"/>
        </w:rPr>
      </w:pPr>
      <w:r>
        <w:rPr>
          <w:color w:val="000000"/>
        </w:rPr>
        <w:t xml:space="preserve">The existence of operators without IPAL signals an infrastructure-capacity gap and potential vulnerability to stricter environmental compliance requirements. Shrimp governance literature highlights that instruments such as standards/BMPs and certification can encourage practice change, but their effectiveness depends on technical support, institutional design, and farmer capacity—meaning that small operators require mentoring to avoid being left behind (Bush et al., 2013; International Finance Corporation, 2007; </w:t>
      </w:r>
      <w:proofErr w:type="spellStart"/>
      <w:r>
        <w:rPr>
          <w:color w:val="000000"/>
        </w:rPr>
        <w:t>Kusumawati</w:t>
      </w:r>
      <w:proofErr w:type="spellEnd"/>
      <w:r>
        <w:rPr>
          <w:color w:val="000000"/>
        </w:rPr>
        <w:t xml:space="preserve"> &amp; Bush, 2015). Thus, policy implications extend beyond promoting IPAL ‘availability’ to ensuring functional performance through operational standards, simple monitoring, and </w:t>
      </w:r>
      <w:proofErr w:type="gramStart"/>
      <w:r>
        <w:rPr>
          <w:color w:val="000000"/>
        </w:rPr>
        <w:t>cluster</w:t>
      </w:r>
      <w:r w:rsidR="00066594">
        <w:rPr>
          <w:color w:val="000000"/>
        </w:rPr>
        <w:t xml:space="preserve"> </w:t>
      </w:r>
      <w:r>
        <w:rPr>
          <w:color w:val="000000"/>
        </w:rPr>
        <w:t>based</w:t>
      </w:r>
      <w:proofErr w:type="gramEnd"/>
      <w:r>
        <w:rPr>
          <w:color w:val="000000"/>
        </w:rPr>
        <w:t xml:space="preserve"> co-investment/financing schemes for MSMEs constrained by capital (FAO, 2020; </w:t>
      </w:r>
      <w:proofErr w:type="spellStart"/>
      <w:r>
        <w:rPr>
          <w:color w:val="000000"/>
        </w:rPr>
        <w:t>Kusumawati</w:t>
      </w:r>
      <w:proofErr w:type="spellEnd"/>
      <w:r>
        <w:rPr>
          <w:color w:val="000000"/>
        </w:rPr>
        <w:t xml:space="preserve"> &amp; Bush, 2015). These infrastructure conditions are closely linked to capital availability and risk absorption, which are further examined through financing and asset indicators in Section 3.5.</w:t>
      </w:r>
    </w:p>
    <w:p w14:paraId="5E78B87E" w14:textId="77777777" w:rsidR="009765D0" w:rsidRDefault="009765D0">
      <w:pPr>
        <w:pBdr>
          <w:top w:val="nil"/>
          <w:left w:val="nil"/>
          <w:bottom w:val="nil"/>
          <w:right w:val="nil"/>
          <w:between w:val="nil"/>
        </w:pBdr>
        <w:spacing w:after="120" w:line="276" w:lineRule="auto"/>
        <w:jc w:val="both"/>
        <w:rPr>
          <w:color w:val="000000"/>
        </w:rPr>
      </w:pPr>
    </w:p>
    <w:p w14:paraId="584AA6CB" w14:textId="77777777" w:rsidR="009765D0" w:rsidRDefault="0051542C">
      <w:pPr>
        <w:pBdr>
          <w:top w:val="nil"/>
          <w:left w:val="nil"/>
          <w:bottom w:val="nil"/>
          <w:right w:val="nil"/>
          <w:between w:val="nil"/>
        </w:pBdr>
        <w:spacing w:before="120" w:after="60"/>
        <w:jc w:val="both"/>
        <w:rPr>
          <w:b/>
          <w:bCs/>
          <w:color w:val="000000"/>
        </w:rPr>
      </w:pPr>
      <w:r>
        <w:rPr>
          <w:b/>
          <w:bCs/>
          <w:color w:val="000000"/>
        </w:rPr>
        <w:t>3.5 Finance, Labor, Assets, and Financing</w:t>
      </w:r>
    </w:p>
    <w:p w14:paraId="42ED9E9A" w14:textId="77777777" w:rsidR="009765D0" w:rsidRDefault="009765D0">
      <w:pPr>
        <w:pBdr>
          <w:top w:val="nil"/>
          <w:left w:val="nil"/>
          <w:bottom w:val="nil"/>
          <w:right w:val="nil"/>
          <w:between w:val="nil"/>
        </w:pBdr>
        <w:spacing w:before="120" w:after="60"/>
        <w:jc w:val="both"/>
        <w:rPr>
          <w:b/>
          <w:bCs/>
          <w:color w:val="000000"/>
        </w:rPr>
      </w:pPr>
    </w:p>
    <w:p w14:paraId="30EA4028"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Feed purchasing method</w:t>
      </w:r>
    </w:p>
    <w:p w14:paraId="25ABF994" w14:textId="77777777" w:rsidR="009765D0" w:rsidRDefault="0051542C">
      <w:pPr>
        <w:pBdr>
          <w:top w:val="nil"/>
          <w:left w:val="nil"/>
          <w:bottom w:val="nil"/>
          <w:right w:val="nil"/>
          <w:between w:val="nil"/>
        </w:pBdr>
        <w:spacing w:after="60" w:line="276" w:lineRule="auto"/>
        <w:jc w:val="center"/>
        <w:rPr>
          <w:color w:val="000000"/>
        </w:rPr>
      </w:pPr>
      <w:r>
        <w:rPr>
          <w:color w:val="000000"/>
        </w:rPr>
        <w:t>Table 15. Feed purchasing method</w:t>
      </w:r>
    </w:p>
    <w:tbl>
      <w:tblPr>
        <w:tblStyle w:val="ad"/>
        <w:tblW w:w="8208" w:type="dxa"/>
        <w:tblInd w:w="0" w:type="dxa"/>
        <w:tblLayout w:type="fixed"/>
        <w:tblLook w:val="0400" w:firstRow="0" w:lastRow="0" w:firstColumn="0" w:lastColumn="0" w:noHBand="0" w:noVBand="1"/>
      </w:tblPr>
      <w:tblGrid>
        <w:gridCol w:w="2735"/>
        <w:gridCol w:w="2784"/>
        <w:gridCol w:w="2689"/>
      </w:tblGrid>
      <w:tr w:rsidR="009765D0" w14:paraId="1EC8A8AD" w14:textId="77777777">
        <w:tc>
          <w:tcPr>
            <w:tcW w:w="2735" w:type="dxa"/>
            <w:tcBorders>
              <w:top w:val="single" w:sz="4" w:space="0" w:color="000000"/>
              <w:bottom w:val="single" w:sz="4" w:space="0" w:color="000000"/>
            </w:tcBorders>
          </w:tcPr>
          <w:p w14:paraId="51925B56" w14:textId="77777777" w:rsidR="009765D0" w:rsidRDefault="0051542C">
            <w:pPr>
              <w:jc w:val="center"/>
            </w:pPr>
            <w:r>
              <w:rPr>
                <w:b/>
                <w:bCs/>
              </w:rPr>
              <w:t>Category</w:t>
            </w:r>
          </w:p>
        </w:tc>
        <w:tc>
          <w:tcPr>
            <w:tcW w:w="2784" w:type="dxa"/>
            <w:tcBorders>
              <w:top w:val="single" w:sz="4" w:space="0" w:color="000000"/>
              <w:bottom w:val="single" w:sz="4" w:space="0" w:color="000000"/>
            </w:tcBorders>
          </w:tcPr>
          <w:p w14:paraId="76C6D166" w14:textId="77777777" w:rsidR="009765D0" w:rsidRDefault="0051542C">
            <w:pPr>
              <w:jc w:val="center"/>
            </w:pPr>
            <w:r>
              <w:rPr>
                <w:b/>
                <w:bCs/>
              </w:rPr>
              <w:t>Frequency (n)</w:t>
            </w:r>
          </w:p>
        </w:tc>
        <w:tc>
          <w:tcPr>
            <w:tcW w:w="2689" w:type="dxa"/>
            <w:tcBorders>
              <w:top w:val="single" w:sz="4" w:space="0" w:color="000000"/>
              <w:bottom w:val="single" w:sz="4" w:space="0" w:color="000000"/>
            </w:tcBorders>
          </w:tcPr>
          <w:p w14:paraId="445C2A1E" w14:textId="77777777" w:rsidR="009765D0" w:rsidRDefault="0051542C">
            <w:pPr>
              <w:jc w:val="center"/>
            </w:pPr>
            <w:r>
              <w:rPr>
                <w:b/>
                <w:bCs/>
              </w:rPr>
              <w:t>Percent (%)</w:t>
            </w:r>
          </w:p>
        </w:tc>
      </w:tr>
      <w:tr w:rsidR="009765D0" w14:paraId="375928A2" w14:textId="77777777">
        <w:tc>
          <w:tcPr>
            <w:tcW w:w="2735" w:type="dxa"/>
            <w:tcBorders>
              <w:top w:val="single" w:sz="4" w:space="0" w:color="000000"/>
            </w:tcBorders>
          </w:tcPr>
          <w:p w14:paraId="12FBBE48" w14:textId="77777777" w:rsidR="009765D0" w:rsidRDefault="0051542C">
            <w:pPr>
              <w:jc w:val="center"/>
            </w:pPr>
            <w:r>
              <w:t>Cash</w:t>
            </w:r>
          </w:p>
        </w:tc>
        <w:tc>
          <w:tcPr>
            <w:tcW w:w="2784" w:type="dxa"/>
            <w:tcBorders>
              <w:top w:val="single" w:sz="4" w:space="0" w:color="000000"/>
            </w:tcBorders>
          </w:tcPr>
          <w:p w14:paraId="5EBF83EE" w14:textId="77777777" w:rsidR="009765D0" w:rsidRDefault="0051542C">
            <w:pPr>
              <w:jc w:val="center"/>
            </w:pPr>
            <w:r>
              <w:t>24</w:t>
            </w:r>
          </w:p>
        </w:tc>
        <w:tc>
          <w:tcPr>
            <w:tcW w:w="2689" w:type="dxa"/>
            <w:tcBorders>
              <w:top w:val="single" w:sz="4" w:space="0" w:color="000000"/>
            </w:tcBorders>
          </w:tcPr>
          <w:p w14:paraId="74352F01" w14:textId="77777777" w:rsidR="009765D0" w:rsidRDefault="0051542C">
            <w:pPr>
              <w:jc w:val="center"/>
            </w:pPr>
            <w:r>
              <w:t>60.00</w:t>
            </w:r>
          </w:p>
        </w:tc>
      </w:tr>
      <w:tr w:rsidR="009765D0" w14:paraId="7243D3E2" w14:textId="77777777">
        <w:tc>
          <w:tcPr>
            <w:tcW w:w="2735" w:type="dxa"/>
          </w:tcPr>
          <w:p w14:paraId="72789EA6" w14:textId="77777777" w:rsidR="009765D0" w:rsidRDefault="0051542C">
            <w:pPr>
              <w:jc w:val="center"/>
            </w:pPr>
            <w:r>
              <w:t>Partial credit</w:t>
            </w:r>
          </w:p>
        </w:tc>
        <w:tc>
          <w:tcPr>
            <w:tcW w:w="2784" w:type="dxa"/>
          </w:tcPr>
          <w:p w14:paraId="186B314E" w14:textId="77777777" w:rsidR="009765D0" w:rsidRDefault="0051542C">
            <w:pPr>
              <w:jc w:val="center"/>
            </w:pPr>
            <w:r>
              <w:t>14</w:t>
            </w:r>
          </w:p>
        </w:tc>
        <w:tc>
          <w:tcPr>
            <w:tcW w:w="2689" w:type="dxa"/>
          </w:tcPr>
          <w:p w14:paraId="634F3F7F" w14:textId="77777777" w:rsidR="009765D0" w:rsidRDefault="0051542C">
            <w:pPr>
              <w:jc w:val="center"/>
            </w:pPr>
            <w:r>
              <w:t>35.00</w:t>
            </w:r>
          </w:p>
        </w:tc>
      </w:tr>
      <w:tr w:rsidR="009765D0" w14:paraId="4F76891F" w14:textId="77777777">
        <w:tc>
          <w:tcPr>
            <w:tcW w:w="2735" w:type="dxa"/>
            <w:tcBorders>
              <w:bottom w:val="single" w:sz="4" w:space="0" w:color="000000"/>
            </w:tcBorders>
          </w:tcPr>
          <w:p w14:paraId="2F2482C2" w14:textId="77777777" w:rsidR="009765D0" w:rsidRDefault="0051542C">
            <w:pPr>
              <w:jc w:val="center"/>
            </w:pPr>
            <w:r>
              <w:t>Full credit</w:t>
            </w:r>
          </w:p>
        </w:tc>
        <w:tc>
          <w:tcPr>
            <w:tcW w:w="2784" w:type="dxa"/>
            <w:tcBorders>
              <w:bottom w:val="single" w:sz="4" w:space="0" w:color="000000"/>
            </w:tcBorders>
          </w:tcPr>
          <w:p w14:paraId="26B9177B" w14:textId="77777777" w:rsidR="009765D0" w:rsidRDefault="0051542C">
            <w:pPr>
              <w:jc w:val="center"/>
            </w:pPr>
            <w:r>
              <w:t>2</w:t>
            </w:r>
          </w:p>
        </w:tc>
        <w:tc>
          <w:tcPr>
            <w:tcW w:w="2689" w:type="dxa"/>
            <w:tcBorders>
              <w:bottom w:val="single" w:sz="4" w:space="0" w:color="000000"/>
            </w:tcBorders>
          </w:tcPr>
          <w:p w14:paraId="25C69CB5" w14:textId="77777777" w:rsidR="009765D0" w:rsidRDefault="0051542C">
            <w:pPr>
              <w:jc w:val="center"/>
            </w:pPr>
            <w:r>
              <w:t>5.00</w:t>
            </w:r>
          </w:p>
        </w:tc>
      </w:tr>
    </w:tbl>
    <w:p w14:paraId="11773B0A" w14:textId="77777777" w:rsidR="009765D0" w:rsidRDefault="0051542C">
      <w:pPr>
        <w:pBdr>
          <w:top w:val="nil"/>
          <w:left w:val="nil"/>
          <w:bottom w:val="nil"/>
          <w:right w:val="nil"/>
          <w:between w:val="nil"/>
        </w:pBdr>
        <w:spacing w:after="120" w:line="276" w:lineRule="auto"/>
        <w:jc w:val="both"/>
        <w:rPr>
          <w:color w:val="000000"/>
        </w:rPr>
      </w:pPr>
      <w:r>
        <w:rPr>
          <w:color w:val="000000"/>
        </w:rPr>
        <w:t>Feed purchasing patterns indicate that 60.0% of respondents (24/40) purchased feed in cash, 35.0% used partial credit, and 5.0% relied on full credit. Cash purchasing typically reflects stronger working capital and lower short-term liquidity pressure, whereas credit-based purchases can function as a coping mechanism when cash flow is constrained during the production cycle (FAO, 2020; Pomeroy et al., 2020).</w:t>
      </w:r>
    </w:p>
    <w:p w14:paraId="26209AC4" w14:textId="77777777" w:rsidR="009765D0" w:rsidRDefault="0051542C">
      <w:pPr>
        <w:pBdr>
          <w:top w:val="nil"/>
          <w:left w:val="nil"/>
          <w:bottom w:val="nil"/>
          <w:right w:val="nil"/>
          <w:between w:val="nil"/>
        </w:pBdr>
        <w:spacing w:after="120" w:line="276" w:lineRule="auto"/>
        <w:jc w:val="both"/>
        <w:rPr>
          <w:color w:val="000000"/>
        </w:rPr>
      </w:pPr>
      <w:r>
        <w:rPr>
          <w:color w:val="000000"/>
        </w:rPr>
        <w:t>Cash-based feed purchasing reflects stronger working-capital capacity than partial/full credit. This aligns with literature indicating that working-capital constraints influence input decisions (including feed) and ultimately affect productivity (Yi et al., 2018). In addition, input purchasing patterns and supply-chain connectivity shape enterprise efficiency (Yusuf et al., 2020).</w:t>
      </w:r>
    </w:p>
    <w:p w14:paraId="4BDE2A84" w14:textId="77777777" w:rsidR="009765D0" w:rsidRDefault="0051542C">
      <w:pPr>
        <w:pBdr>
          <w:top w:val="nil"/>
          <w:left w:val="nil"/>
          <w:bottom w:val="nil"/>
          <w:right w:val="nil"/>
          <w:between w:val="nil"/>
        </w:pBdr>
        <w:spacing w:after="60" w:line="276" w:lineRule="auto"/>
        <w:rPr>
          <w:b/>
          <w:bCs/>
          <w:color w:val="000000"/>
        </w:rPr>
      </w:pPr>
      <w:r>
        <w:rPr>
          <w:b/>
          <w:bCs/>
          <w:color w:val="000000"/>
        </w:rPr>
        <w:t>Total cost per cycle (IDR)</w:t>
      </w:r>
    </w:p>
    <w:p w14:paraId="2511F793" w14:textId="77777777" w:rsidR="009765D0" w:rsidRDefault="0051542C">
      <w:pPr>
        <w:pBdr>
          <w:top w:val="nil"/>
          <w:left w:val="nil"/>
          <w:bottom w:val="nil"/>
          <w:right w:val="nil"/>
          <w:between w:val="nil"/>
        </w:pBdr>
        <w:spacing w:after="60" w:line="276" w:lineRule="auto"/>
        <w:jc w:val="center"/>
        <w:rPr>
          <w:color w:val="000000"/>
        </w:rPr>
      </w:pPr>
      <w:r>
        <w:rPr>
          <w:color w:val="000000"/>
        </w:rPr>
        <w:t>Table 16. Total cost per cycle (IDR)</w:t>
      </w:r>
    </w:p>
    <w:tbl>
      <w:tblPr>
        <w:tblStyle w:val="ae"/>
        <w:tblW w:w="8208" w:type="dxa"/>
        <w:jc w:val="center"/>
        <w:tblInd w:w="0" w:type="dxa"/>
        <w:tblLayout w:type="fixed"/>
        <w:tblLook w:val="0400" w:firstRow="0" w:lastRow="0" w:firstColumn="0" w:lastColumn="0" w:noHBand="0" w:noVBand="1"/>
      </w:tblPr>
      <w:tblGrid>
        <w:gridCol w:w="1017"/>
        <w:gridCol w:w="1505"/>
        <w:gridCol w:w="1410"/>
        <w:gridCol w:w="1410"/>
        <w:gridCol w:w="1317"/>
        <w:gridCol w:w="1549"/>
      </w:tblGrid>
      <w:tr w:rsidR="009765D0" w14:paraId="3A5DD5C2" w14:textId="77777777">
        <w:trPr>
          <w:jc w:val="center"/>
        </w:trPr>
        <w:tc>
          <w:tcPr>
            <w:tcW w:w="1017" w:type="dxa"/>
            <w:tcBorders>
              <w:top w:val="single" w:sz="4" w:space="0" w:color="000000"/>
              <w:bottom w:val="single" w:sz="4" w:space="0" w:color="000000"/>
            </w:tcBorders>
          </w:tcPr>
          <w:p w14:paraId="3D539247" w14:textId="77777777" w:rsidR="009765D0" w:rsidRDefault="0051542C">
            <w:pPr>
              <w:jc w:val="center"/>
            </w:pPr>
            <w:r>
              <w:lastRenderedPageBreak/>
              <w:t>Statistics</w:t>
            </w:r>
          </w:p>
        </w:tc>
        <w:tc>
          <w:tcPr>
            <w:tcW w:w="1505" w:type="dxa"/>
            <w:tcBorders>
              <w:top w:val="single" w:sz="4" w:space="0" w:color="000000"/>
              <w:bottom w:val="single" w:sz="4" w:space="0" w:color="000000"/>
            </w:tcBorders>
          </w:tcPr>
          <w:p w14:paraId="4A1F7965" w14:textId="77777777" w:rsidR="009765D0" w:rsidRDefault="0051542C">
            <w:r>
              <w:t>Frequency (n)</w:t>
            </w:r>
          </w:p>
        </w:tc>
        <w:tc>
          <w:tcPr>
            <w:tcW w:w="1410" w:type="dxa"/>
            <w:tcBorders>
              <w:top w:val="single" w:sz="4" w:space="0" w:color="000000"/>
              <w:bottom w:val="single" w:sz="4" w:space="0" w:color="000000"/>
            </w:tcBorders>
          </w:tcPr>
          <w:p w14:paraId="3480FC19" w14:textId="77777777" w:rsidR="009765D0" w:rsidRDefault="0051542C">
            <w:pPr>
              <w:jc w:val="center"/>
            </w:pPr>
            <w:r>
              <w:t>Mean</w:t>
            </w:r>
          </w:p>
        </w:tc>
        <w:tc>
          <w:tcPr>
            <w:tcW w:w="1410" w:type="dxa"/>
            <w:tcBorders>
              <w:top w:val="single" w:sz="4" w:space="0" w:color="000000"/>
              <w:bottom w:val="single" w:sz="4" w:space="0" w:color="000000"/>
            </w:tcBorders>
          </w:tcPr>
          <w:p w14:paraId="53540DD8" w14:textId="77777777" w:rsidR="009765D0" w:rsidRDefault="0051542C">
            <w:pPr>
              <w:spacing w:line="480" w:lineRule="auto"/>
              <w:jc w:val="center"/>
            </w:pPr>
            <w:r>
              <w:t>Median</w:t>
            </w:r>
          </w:p>
        </w:tc>
        <w:tc>
          <w:tcPr>
            <w:tcW w:w="1317" w:type="dxa"/>
            <w:tcBorders>
              <w:top w:val="single" w:sz="4" w:space="0" w:color="000000"/>
              <w:bottom w:val="single" w:sz="4" w:space="0" w:color="000000"/>
            </w:tcBorders>
          </w:tcPr>
          <w:p w14:paraId="5AA3EB3D" w14:textId="77777777" w:rsidR="009765D0" w:rsidRDefault="0051542C">
            <w:pPr>
              <w:spacing w:line="480" w:lineRule="auto"/>
              <w:jc w:val="center"/>
            </w:pPr>
            <w:r>
              <w:t>Minimum</w:t>
            </w:r>
          </w:p>
        </w:tc>
        <w:tc>
          <w:tcPr>
            <w:tcW w:w="1549" w:type="dxa"/>
            <w:tcBorders>
              <w:top w:val="single" w:sz="4" w:space="0" w:color="000000"/>
              <w:bottom w:val="single" w:sz="4" w:space="0" w:color="000000"/>
            </w:tcBorders>
          </w:tcPr>
          <w:p w14:paraId="5D845FD8" w14:textId="77777777" w:rsidR="009765D0" w:rsidRDefault="0051542C">
            <w:pPr>
              <w:jc w:val="center"/>
            </w:pPr>
            <w:r>
              <w:t>Maximum</w:t>
            </w:r>
          </w:p>
        </w:tc>
      </w:tr>
      <w:tr w:rsidR="009765D0" w14:paraId="5F8B5DE4" w14:textId="77777777">
        <w:trPr>
          <w:jc w:val="center"/>
        </w:trPr>
        <w:tc>
          <w:tcPr>
            <w:tcW w:w="1017" w:type="dxa"/>
            <w:tcBorders>
              <w:top w:val="single" w:sz="4" w:space="0" w:color="000000"/>
              <w:bottom w:val="single" w:sz="4" w:space="0" w:color="000000"/>
            </w:tcBorders>
          </w:tcPr>
          <w:p w14:paraId="3CDE49B8" w14:textId="3490C95D" w:rsidR="009765D0" w:rsidRDefault="00663BF9">
            <w:pPr>
              <w:jc w:val="center"/>
            </w:pPr>
            <w:r>
              <w:t>Count</w:t>
            </w:r>
          </w:p>
        </w:tc>
        <w:tc>
          <w:tcPr>
            <w:tcW w:w="1505" w:type="dxa"/>
            <w:tcBorders>
              <w:top w:val="single" w:sz="4" w:space="0" w:color="000000"/>
              <w:bottom w:val="single" w:sz="4" w:space="0" w:color="000000"/>
            </w:tcBorders>
          </w:tcPr>
          <w:p w14:paraId="36BEF44E" w14:textId="77777777" w:rsidR="009765D0" w:rsidRDefault="0051542C">
            <w:pPr>
              <w:spacing w:line="480" w:lineRule="auto"/>
              <w:jc w:val="center"/>
            </w:pPr>
            <w:r>
              <w:t>40</w:t>
            </w:r>
          </w:p>
        </w:tc>
        <w:tc>
          <w:tcPr>
            <w:tcW w:w="1410" w:type="dxa"/>
            <w:tcBorders>
              <w:top w:val="single" w:sz="4" w:space="0" w:color="000000"/>
              <w:bottom w:val="single" w:sz="4" w:space="0" w:color="000000"/>
            </w:tcBorders>
          </w:tcPr>
          <w:p w14:paraId="56AF33B8" w14:textId="77777777" w:rsidR="009765D0" w:rsidRDefault="0051542C">
            <w:pPr>
              <w:spacing w:line="480" w:lineRule="auto"/>
              <w:jc w:val="center"/>
            </w:pPr>
            <w:r>
              <w:t>752.400.000</w:t>
            </w:r>
          </w:p>
        </w:tc>
        <w:tc>
          <w:tcPr>
            <w:tcW w:w="1410" w:type="dxa"/>
            <w:tcBorders>
              <w:top w:val="single" w:sz="4" w:space="0" w:color="000000"/>
              <w:bottom w:val="single" w:sz="4" w:space="0" w:color="000000"/>
            </w:tcBorders>
          </w:tcPr>
          <w:p w14:paraId="1A5FFC74" w14:textId="77777777" w:rsidR="009765D0" w:rsidRDefault="0051542C">
            <w:pPr>
              <w:spacing w:line="480" w:lineRule="auto"/>
              <w:jc w:val="center"/>
            </w:pPr>
            <w:r>
              <w:t>400.000.000</w:t>
            </w:r>
          </w:p>
        </w:tc>
        <w:tc>
          <w:tcPr>
            <w:tcW w:w="1317" w:type="dxa"/>
            <w:tcBorders>
              <w:top w:val="single" w:sz="4" w:space="0" w:color="000000"/>
              <w:bottom w:val="single" w:sz="4" w:space="0" w:color="000000"/>
            </w:tcBorders>
          </w:tcPr>
          <w:p w14:paraId="6F64A31D" w14:textId="77777777" w:rsidR="009765D0" w:rsidRDefault="0051542C">
            <w:pPr>
              <w:spacing w:line="480" w:lineRule="auto"/>
              <w:jc w:val="center"/>
            </w:pPr>
            <w:r>
              <w:t>60.000.000</w:t>
            </w:r>
          </w:p>
        </w:tc>
        <w:tc>
          <w:tcPr>
            <w:tcW w:w="1549" w:type="dxa"/>
            <w:tcBorders>
              <w:top w:val="single" w:sz="4" w:space="0" w:color="000000"/>
              <w:bottom w:val="single" w:sz="4" w:space="0" w:color="000000"/>
            </w:tcBorders>
          </w:tcPr>
          <w:p w14:paraId="02D2797D" w14:textId="77777777" w:rsidR="009765D0" w:rsidRDefault="0051542C">
            <w:pPr>
              <w:spacing w:line="480" w:lineRule="auto"/>
              <w:jc w:val="center"/>
            </w:pPr>
            <w:r>
              <w:t>4.800.000.000</w:t>
            </w:r>
          </w:p>
        </w:tc>
      </w:tr>
    </w:tbl>
    <w:p w14:paraId="009DD77D" w14:textId="1887F0A3" w:rsidR="009765D0" w:rsidRDefault="0051542C">
      <w:pPr>
        <w:pBdr>
          <w:top w:val="nil"/>
          <w:left w:val="nil"/>
          <w:bottom w:val="nil"/>
          <w:right w:val="nil"/>
          <w:between w:val="nil"/>
        </w:pBdr>
        <w:spacing w:after="60" w:line="276" w:lineRule="auto"/>
        <w:jc w:val="both"/>
        <w:rPr>
          <w:color w:val="000000"/>
        </w:rPr>
      </w:pPr>
      <w:r>
        <w:rPr>
          <w:color w:val="000000"/>
        </w:rPr>
        <w:t>Table 16 summarizes total production costs per cycle (n=40) with a mean of IDR 752,400,000, a median of IDR 400,000,000, and a range of IDR 60,000,000–4,800,000,000. The very wide range reflects heterogeneity in intensification and scale; therefore, financing design should be flexible and aligned with cycle</w:t>
      </w:r>
      <w:r w:rsidR="002A1EAC">
        <w:rPr>
          <w:color w:val="000000"/>
        </w:rPr>
        <w:t xml:space="preserve"> </w:t>
      </w:r>
      <w:r>
        <w:rPr>
          <w:color w:val="000000"/>
        </w:rPr>
        <w:t>specific input needs and risk profiles.</w:t>
      </w:r>
    </w:p>
    <w:p w14:paraId="426090DB" w14:textId="77777777" w:rsidR="009765D0" w:rsidRDefault="009765D0">
      <w:pPr>
        <w:pBdr>
          <w:top w:val="nil"/>
          <w:left w:val="nil"/>
          <w:bottom w:val="nil"/>
          <w:right w:val="nil"/>
          <w:between w:val="nil"/>
        </w:pBdr>
        <w:spacing w:after="60" w:line="276" w:lineRule="auto"/>
        <w:jc w:val="both"/>
        <w:rPr>
          <w:color w:val="000000"/>
        </w:rPr>
      </w:pPr>
    </w:p>
    <w:p w14:paraId="0DA1EF1D"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Profit per production cycle (IDR)</w:t>
      </w:r>
    </w:p>
    <w:p w14:paraId="185EEA67" w14:textId="77777777" w:rsidR="009765D0" w:rsidRDefault="0051542C">
      <w:pPr>
        <w:pBdr>
          <w:top w:val="nil"/>
          <w:left w:val="nil"/>
          <w:bottom w:val="nil"/>
          <w:right w:val="nil"/>
          <w:between w:val="nil"/>
        </w:pBdr>
        <w:spacing w:after="60" w:line="276" w:lineRule="auto"/>
        <w:jc w:val="center"/>
        <w:rPr>
          <w:color w:val="000000"/>
        </w:rPr>
      </w:pPr>
      <w:r>
        <w:rPr>
          <w:color w:val="000000"/>
        </w:rPr>
        <w:t>Table 17. Profit per production cycle (IDR)</w:t>
      </w:r>
    </w:p>
    <w:tbl>
      <w:tblPr>
        <w:tblStyle w:val="af"/>
        <w:tblW w:w="8208"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1018"/>
        <w:gridCol w:w="1565"/>
        <w:gridCol w:w="1394"/>
        <w:gridCol w:w="1394"/>
        <w:gridCol w:w="1298"/>
        <w:gridCol w:w="1539"/>
      </w:tblGrid>
      <w:tr w:rsidR="009765D0" w14:paraId="2E59120A" w14:textId="77777777">
        <w:trPr>
          <w:jc w:val="center"/>
        </w:trPr>
        <w:tc>
          <w:tcPr>
            <w:tcW w:w="1018" w:type="dxa"/>
            <w:tcBorders>
              <w:top w:val="single" w:sz="4" w:space="0" w:color="000000"/>
              <w:bottom w:val="single" w:sz="4" w:space="0" w:color="000000"/>
            </w:tcBorders>
          </w:tcPr>
          <w:p w14:paraId="0C53341C" w14:textId="77777777" w:rsidR="009765D0" w:rsidRDefault="0051542C">
            <w:pPr>
              <w:jc w:val="center"/>
            </w:pPr>
            <w:r>
              <w:t>Statistics</w:t>
            </w:r>
          </w:p>
        </w:tc>
        <w:tc>
          <w:tcPr>
            <w:tcW w:w="1565" w:type="dxa"/>
            <w:tcBorders>
              <w:top w:val="single" w:sz="4" w:space="0" w:color="000000"/>
              <w:bottom w:val="single" w:sz="4" w:space="0" w:color="000000"/>
            </w:tcBorders>
          </w:tcPr>
          <w:p w14:paraId="6F02BC9C" w14:textId="77777777" w:rsidR="009765D0" w:rsidRDefault="0051542C">
            <w:r>
              <w:t>Frequency (n)</w:t>
            </w:r>
          </w:p>
        </w:tc>
        <w:tc>
          <w:tcPr>
            <w:tcW w:w="1394" w:type="dxa"/>
            <w:tcBorders>
              <w:top w:val="single" w:sz="4" w:space="0" w:color="000000"/>
              <w:bottom w:val="single" w:sz="4" w:space="0" w:color="000000"/>
            </w:tcBorders>
          </w:tcPr>
          <w:p w14:paraId="570A8D7A" w14:textId="77777777" w:rsidR="009765D0" w:rsidRDefault="0051542C">
            <w:pPr>
              <w:jc w:val="center"/>
            </w:pPr>
            <w:r>
              <w:t>Mean</w:t>
            </w:r>
          </w:p>
        </w:tc>
        <w:tc>
          <w:tcPr>
            <w:tcW w:w="1394" w:type="dxa"/>
            <w:tcBorders>
              <w:top w:val="single" w:sz="4" w:space="0" w:color="000000"/>
              <w:bottom w:val="single" w:sz="4" w:space="0" w:color="000000"/>
            </w:tcBorders>
          </w:tcPr>
          <w:p w14:paraId="4AE2753C" w14:textId="77777777" w:rsidR="009765D0" w:rsidRDefault="0051542C">
            <w:pPr>
              <w:spacing w:line="480" w:lineRule="auto"/>
              <w:jc w:val="center"/>
            </w:pPr>
            <w:r>
              <w:t>Median</w:t>
            </w:r>
          </w:p>
        </w:tc>
        <w:tc>
          <w:tcPr>
            <w:tcW w:w="1298" w:type="dxa"/>
            <w:tcBorders>
              <w:top w:val="single" w:sz="4" w:space="0" w:color="000000"/>
              <w:bottom w:val="single" w:sz="4" w:space="0" w:color="000000"/>
            </w:tcBorders>
          </w:tcPr>
          <w:p w14:paraId="6CB8588F" w14:textId="77777777" w:rsidR="009765D0" w:rsidRDefault="0051542C">
            <w:pPr>
              <w:spacing w:line="480" w:lineRule="auto"/>
              <w:jc w:val="center"/>
            </w:pPr>
            <w:r>
              <w:t>Minimum</w:t>
            </w:r>
          </w:p>
        </w:tc>
        <w:tc>
          <w:tcPr>
            <w:tcW w:w="1539" w:type="dxa"/>
            <w:tcBorders>
              <w:top w:val="single" w:sz="4" w:space="0" w:color="000000"/>
              <w:bottom w:val="single" w:sz="4" w:space="0" w:color="000000"/>
            </w:tcBorders>
          </w:tcPr>
          <w:p w14:paraId="772A5703" w14:textId="77777777" w:rsidR="009765D0" w:rsidRDefault="0051542C">
            <w:pPr>
              <w:jc w:val="center"/>
            </w:pPr>
            <w:r>
              <w:t>Maximum</w:t>
            </w:r>
          </w:p>
        </w:tc>
      </w:tr>
      <w:tr w:rsidR="009765D0" w14:paraId="6F4C04DE" w14:textId="77777777">
        <w:trPr>
          <w:jc w:val="center"/>
        </w:trPr>
        <w:tc>
          <w:tcPr>
            <w:tcW w:w="1018" w:type="dxa"/>
            <w:tcBorders>
              <w:top w:val="single" w:sz="4" w:space="0" w:color="000000"/>
            </w:tcBorders>
          </w:tcPr>
          <w:p w14:paraId="2A15DE87" w14:textId="762EF885" w:rsidR="009765D0" w:rsidRDefault="00663BF9">
            <w:pPr>
              <w:jc w:val="center"/>
            </w:pPr>
            <w:r>
              <w:t>Count</w:t>
            </w:r>
          </w:p>
        </w:tc>
        <w:tc>
          <w:tcPr>
            <w:tcW w:w="1565" w:type="dxa"/>
            <w:tcBorders>
              <w:top w:val="single" w:sz="4" w:space="0" w:color="000000"/>
            </w:tcBorders>
          </w:tcPr>
          <w:p w14:paraId="2406B32B" w14:textId="77777777" w:rsidR="009765D0" w:rsidRDefault="0051542C">
            <w:pPr>
              <w:spacing w:line="480" w:lineRule="auto"/>
              <w:jc w:val="center"/>
            </w:pPr>
            <w:r>
              <w:t>40</w:t>
            </w:r>
          </w:p>
        </w:tc>
        <w:tc>
          <w:tcPr>
            <w:tcW w:w="1394" w:type="dxa"/>
            <w:tcBorders>
              <w:top w:val="single" w:sz="4" w:space="0" w:color="000000"/>
            </w:tcBorders>
          </w:tcPr>
          <w:p w14:paraId="30142F18" w14:textId="77777777" w:rsidR="009765D0" w:rsidRDefault="0051542C">
            <w:pPr>
              <w:spacing w:line="480" w:lineRule="auto"/>
              <w:jc w:val="center"/>
            </w:pPr>
            <w:r>
              <w:t>341.675.000</w:t>
            </w:r>
          </w:p>
        </w:tc>
        <w:tc>
          <w:tcPr>
            <w:tcW w:w="1394" w:type="dxa"/>
            <w:tcBorders>
              <w:top w:val="single" w:sz="4" w:space="0" w:color="000000"/>
            </w:tcBorders>
          </w:tcPr>
          <w:p w14:paraId="115F8796" w14:textId="77777777" w:rsidR="009765D0" w:rsidRDefault="0051542C">
            <w:pPr>
              <w:spacing w:line="480" w:lineRule="auto"/>
              <w:jc w:val="center"/>
            </w:pPr>
            <w:r>
              <w:t>139.500.000</w:t>
            </w:r>
          </w:p>
        </w:tc>
        <w:tc>
          <w:tcPr>
            <w:tcW w:w="1298" w:type="dxa"/>
            <w:tcBorders>
              <w:top w:val="single" w:sz="4" w:space="0" w:color="000000"/>
            </w:tcBorders>
          </w:tcPr>
          <w:p w14:paraId="18E12D22" w14:textId="77777777" w:rsidR="009765D0" w:rsidRDefault="0051542C">
            <w:pPr>
              <w:spacing w:line="480" w:lineRule="auto"/>
              <w:jc w:val="center"/>
            </w:pPr>
            <w:r>
              <w:t>10.000.000</w:t>
            </w:r>
          </w:p>
        </w:tc>
        <w:tc>
          <w:tcPr>
            <w:tcW w:w="1539" w:type="dxa"/>
            <w:tcBorders>
              <w:top w:val="single" w:sz="4" w:space="0" w:color="000000"/>
            </w:tcBorders>
          </w:tcPr>
          <w:p w14:paraId="118D2834" w14:textId="77777777" w:rsidR="009765D0" w:rsidRDefault="0051542C">
            <w:pPr>
              <w:spacing w:line="480" w:lineRule="auto"/>
              <w:jc w:val="center"/>
            </w:pPr>
            <w:r>
              <w:t>2.600.000.000</w:t>
            </w:r>
          </w:p>
        </w:tc>
      </w:tr>
    </w:tbl>
    <w:p w14:paraId="52639868" w14:textId="77777777" w:rsidR="009765D0" w:rsidRDefault="009765D0">
      <w:pPr>
        <w:pBdr>
          <w:top w:val="nil"/>
          <w:left w:val="nil"/>
          <w:bottom w:val="nil"/>
          <w:right w:val="nil"/>
          <w:between w:val="nil"/>
        </w:pBdr>
        <w:spacing w:after="240"/>
        <w:jc w:val="both"/>
        <w:rPr>
          <w:color w:val="000000"/>
        </w:rPr>
      </w:pPr>
    </w:p>
    <w:p w14:paraId="51DAAD04" w14:textId="77777777" w:rsidR="009765D0" w:rsidRDefault="0051542C">
      <w:pPr>
        <w:pBdr>
          <w:top w:val="nil"/>
          <w:left w:val="nil"/>
          <w:bottom w:val="nil"/>
          <w:right w:val="nil"/>
          <w:between w:val="nil"/>
        </w:pBdr>
        <w:spacing w:after="60" w:line="276" w:lineRule="auto"/>
        <w:jc w:val="center"/>
        <w:rPr>
          <w:color w:val="000000"/>
        </w:rPr>
      </w:pPr>
      <w:r>
        <w:rPr>
          <w:color w:val="000000"/>
        </w:rPr>
        <w:t>Table 17 summarizes profits per cycle (n=40) with a mean of IDR 341,675,000, a median of IDR 139,500,000, and a range of IDR 10,000,000–2,600,000,000. The wide range again indicates heterogeneity in intensification and scale; financing instruments should therefore be adapted to production-cycle characteristics and risk.</w:t>
      </w:r>
    </w:p>
    <w:p w14:paraId="4D2C471F" w14:textId="77777777" w:rsidR="009765D0" w:rsidRDefault="009765D0">
      <w:pPr>
        <w:pBdr>
          <w:top w:val="nil"/>
          <w:left w:val="nil"/>
          <w:bottom w:val="nil"/>
          <w:right w:val="nil"/>
          <w:between w:val="nil"/>
        </w:pBdr>
        <w:spacing w:after="60" w:line="276" w:lineRule="auto"/>
        <w:jc w:val="center"/>
        <w:rPr>
          <w:b/>
          <w:bCs/>
          <w:color w:val="000000"/>
        </w:rPr>
      </w:pPr>
    </w:p>
    <w:p w14:paraId="36B153D8" w14:textId="77777777" w:rsidR="009765D0" w:rsidRDefault="0051542C">
      <w:pPr>
        <w:pBdr>
          <w:top w:val="nil"/>
          <w:left w:val="nil"/>
          <w:bottom w:val="nil"/>
          <w:right w:val="nil"/>
          <w:between w:val="nil"/>
        </w:pBdr>
        <w:spacing w:after="60" w:line="276" w:lineRule="auto"/>
        <w:rPr>
          <w:b/>
          <w:bCs/>
          <w:color w:val="000000"/>
        </w:rPr>
      </w:pPr>
      <w:r>
        <w:rPr>
          <w:b/>
          <w:bCs/>
          <w:color w:val="000000"/>
        </w:rPr>
        <w:t>Return on investment (Profit/Total cost)</w:t>
      </w:r>
    </w:p>
    <w:p w14:paraId="4BEA484E" w14:textId="77777777" w:rsidR="009765D0" w:rsidRDefault="009765D0">
      <w:pPr>
        <w:pBdr>
          <w:top w:val="nil"/>
          <w:left w:val="nil"/>
          <w:bottom w:val="nil"/>
          <w:right w:val="nil"/>
          <w:between w:val="nil"/>
        </w:pBdr>
        <w:spacing w:after="60" w:line="276" w:lineRule="auto"/>
        <w:jc w:val="center"/>
        <w:rPr>
          <w:b/>
          <w:bCs/>
          <w:color w:val="000000"/>
        </w:rPr>
      </w:pPr>
    </w:p>
    <w:p w14:paraId="75E4B312" w14:textId="77777777" w:rsidR="009765D0" w:rsidRDefault="0051542C">
      <w:pPr>
        <w:pBdr>
          <w:top w:val="nil"/>
          <w:left w:val="nil"/>
          <w:bottom w:val="nil"/>
          <w:right w:val="nil"/>
          <w:between w:val="nil"/>
        </w:pBdr>
        <w:spacing w:after="60" w:line="276" w:lineRule="auto"/>
        <w:jc w:val="center"/>
        <w:rPr>
          <w:color w:val="000000"/>
        </w:rPr>
      </w:pPr>
      <w:r>
        <w:rPr>
          <w:color w:val="000000"/>
        </w:rPr>
        <w:t>Table 18. Return on investment (Profit/Total cost)</w:t>
      </w:r>
    </w:p>
    <w:tbl>
      <w:tblPr>
        <w:tblStyle w:val="af0"/>
        <w:tblW w:w="8208" w:type="dxa"/>
        <w:tblInd w:w="0" w:type="dxa"/>
        <w:tblLayout w:type="fixed"/>
        <w:tblLook w:val="0400" w:firstRow="0" w:lastRow="0" w:firstColumn="0" w:lastColumn="0" w:noHBand="0" w:noVBand="1"/>
      </w:tblPr>
      <w:tblGrid>
        <w:gridCol w:w="1389"/>
        <w:gridCol w:w="1581"/>
        <w:gridCol w:w="1112"/>
        <w:gridCol w:w="1311"/>
        <w:gridCol w:w="1393"/>
        <w:gridCol w:w="1422"/>
      </w:tblGrid>
      <w:tr w:rsidR="009765D0" w14:paraId="67FDB8E0" w14:textId="77777777" w:rsidTr="00760824">
        <w:tc>
          <w:tcPr>
            <w:tcW w:w="1389" w:type="dxa"/>
            <w:tcBorders>
              <w:top w:val="single" w:sz="4" w:space="0" w:color="000000"/>
              <w:bottom w:val="single" w:sz="4" w:space="0" w:color="000000"/>
            </w:tcBorders>
          </w:tcPr>
          <w:p w14:paraId="61B6B877" w14:textId="77777777" w:rsidR="009765D0" w:rsidRDefault="0051542C">
            <w:pPr>
              <w:jc w:val="center"/>
            </w:pPr>
            <w:r>
              <w:t>Statistics</w:t>
            </w:r>
          </w:p>
        </w:tc>
        <w:tc>
          <w:tcPr>
            <w:tcW w:w="1581" w:type="dxa"/>
            <w:tcBorders>
              <w:top w:val="single" w:sz="4" w:space="0" w:color="000000"/>
              <w:bottom w:val="single" w:sz="4" w:space="0" w:color="000000"/>
            </w:tcBorders>
          </w:tcPr>
          <w:p w14:paraId="39CFA20B" w14:textId="77777777" w:rsidR="009765D0" w:rsidRDefault="0051542C">
            <w:r>
              <w:t>Frequency (n)</w:t>
            </w:r>
          </w:p>
        </w:tc>
        <w:tc>
          <w:tcPr>
            <w:tcW w:w="1112" w:type="dxa"/>
            <w:tcBorders>
              <w:top w:val="single" w:sz="4" w:space="0" w:color="000000"/>
              <w:bottom w:val="single" w:sz="4" w:space="0" w:color="000000"/>
            </w:tcBorders>
          </w:tcPr>
          <w:p w14:paraId="6D8860A7" w14:textId="77777777" w:rsidR="009765D0" w:rsidRDefault="0051542C">
            <w:pPr>
              <w:jc w:val="center"/>
            </w:pPr>
            <w:r>
              <w:t>Mean</w:t>
            </w:r>
          </w:p>
        </w:tc>
        <w:tc>
          <w:tcPr>
            <w:tcW w:w="1311" w:type="dxa"/>
            <w:tcBorders>
              <w:top w:val="single" w:sz="4" w:space="0" w:color="000000"/>
              <w:bottom w:val="single" w:sz="4" w:space="0" w:color="000000"/>
            </w:tcBorders>
          </w:tcPr>
          <w:p w14:paraId="23F0CCA6" w14:textId="77777777" w:rsidR="009765D0" w:rsidRDefault="0051542C">
            <w:pPr>
              <w:spacing w:line="480" w:lineRule="auto"/>
              <w:jc w:val="center"/>
            </w:pPr>
            <w:r>
              <w:t>Median</w:t>
            </w:r>
          </w:p>
        </w:tc>
        <w:tc>
          <w:tcPr>
            <w:tcW w:w="1393" w:type="dxa"/>
            <w:tcBorders>
              <w:top w:val="single" w:sz="4" w:space="0" w:color="000000"/>
              <w:bottom w:val="single" w:sz="4" w:space="0" w:color="000000"/>
            </w:tcBorders>
          </w:tcPr>
          <w:p w14:paraId="67E7B805" w14:textId="77777777" w:rsidR="009765D0" w:rsidRDefault="0051542C">
            <w:pPr>
              <w:spacing w:line="480" w:lineRule="auto"/>
              <w:jc w:val="center"/>
            </w:pPr>
            <w:r>
              <w:t>Minimum</w:t>
            </w:r>
          </w:p>
        </w:tc>
        <w:tc>
          <w:tcPr>
            <w:tcW w:w="1422" w:type="dxa"/>
            <w:tcBorders>
              <w:top w:val="single" w:sz="4" w:space="0" w:color="000000"/>
              <w:bottom w:val="single" w:sz="4" w:space="0" w:color="000000"/>
            </w:tcBorders>
          </w:tcPr>
          <w:p w14:paraId="3F8B8F1A" w14:textId="77777777" w:rsidR="009765D0" w:rsidRDefault="0051542C">
            <w:pPr>
              <w:jc w:val="center"/>
            </w:pPr>
            <w:r>
              <w:t>Maximum</w:t>
            </w:r>
          </w:p>
        </w:tc>
      </w:tr>
      <w:tr w:rsidR="009765D0" w14:paraId="4EA7C5A0" w14:textId="77777777" w:rsidTr="00760824">
        <w:tc>
          <w:tcPr>
            <w:tcW w:w="1389" w:type="dxa"/>
            <w:tcBorders>
              <w:top w:val="single" w:sz="4" w:space="0" w:color="000000"/>
              <w:bottom w:val="single" w:sz="4" w:space="0" w:color="000000"/>
            </w:tcBorders>
          </w:tcPr>
          <w:p w14:paraId="0BAA60D0" w14:textId="5758C599" w:rsidR="009765D0" w:rsidRDefault="00663BF9">
            <w:pPr>
              <w:jc w:val="center"/>
            </w:pPr>
            <w:r>
              <w:t>Count</w:t>
            </w:r>
          </w:p>
        </w:tc>
        <w:tc>
          <w:tcPr>
            <w:tcW w:w="1581" w:type="dxa"/>
            <w:tcBorders>
              <w:top w:val="single" w:sz="4" w:space="0" w:color="000000"/>
              <w:bottom w:val="single" w:sz="4" w:space="0" w:color="000000"/>
            </w:tcBorders>
          </w:tcPr>
          <w:p w14:paraId="2250D392" w14:textId="77777777" w:rsidR="009765D0" w:rsidRDefault="0051542C">
            <w:pPr>
              <w:spacing w:line="480" w:lineRule="auto"/>
              <w:jc w:val="center"/>
            </w:pPr>
            <w:r>
              <w:t>40</w:t>
            </w:r>
          </w:p>
        </w:tc>
        <w:tc>
          <w:tcPr>
            <w:tcW w:w="1112" w:type="dxa"/>
            <w:tcBorders>
              <w:top w:val="single" w:sz="4" w:space="0" w:color="000000"/>
              <w:bottom w:val="single" w:sz="4" w:space="0" w:color="000000"/>
            </w:tcBorders>
          </w:tcPr>
          <w:p w14:paraId="11D150DF" w14:textId="77777777" w:rsidR="009765D0" w:rsidRDefault="0051542C">
            <w:pPr>
              <w:spacing w:line="480" w:lineRule="auto"/>
              <w:jc w:val="center"/>
            </w:pPr>
            <w:r>
              <w:t>0.48</w:t>
            </w:r>
          </w:p>
        </w:tc>
        <w:tc>
          <w:tcPr>
            <w:tcW w:w="1311" w:type="dxa"/>
            <w:tcBorders>
              <w:top w:val="single" w:sz="4" w:space="0" w:color="000000"/>
              <w:bottom w:val="single" w:sz="4" w:space="0" w:color="000000"/>
            </w:tcBorders>
          </w:tcPr>
          <w:p w14:paraId="261843C5" w14:textId="77777777" w:rsidR="009765D0" w:rsidRDefault="0051542C">
            <w:pPr>
              <w:spacing w:line="480" w:lineRule="auto"/>
              <w:jc w:val="center"/>
            </w:pPr>
            <w:r>
              <w:t>0.33</w:t>
            </w:r>
          </w:p>
        </w:tc>
        <w:tc>
          <w:tcPr>
            <w:tcW w:w="1393" w:type="dxa"/>
            <w:tcBorders>
              <w:top w:val="single" w:sz="4" w:space="0" w:color="000000"/>
              <w:bottom w:val="single" w:sz="4" w:space="0" w:color="000000"/>
            </w:tcBorders>
          </w:tcPr>
          <w:p w14:paraId="0BEC9E5B" w14:textId="77777777" w:rsidR="009765D0" w:rsidRDefault="0051542C">
            <w:pPr>
              <w:spacing w:line="480" w:lineRule="auto"/>
              <w:jc w:val="center"/>
            </w:pPr>
            <w:r>
              <w:t>0.05</w:t>
            </w:r>
          </w:p>
        </w:tc>
        <w:tc>
          <w:tcPr>
            <w:tcW w:w="1422" w:type="dxa"/>
            <w:tcBorders>
              <w:top w:val="single" w:sz="4" w:space="0" w:color="000000"/>
              <w:bottom w:val="single" w:sz="4" w:space="0" w:color="000000"/>
            </w:tcBorders>
          </w:tcPr>
          <w:p w14:paraId="0F83CEF8" w14:textId="77777777" w:rsidR="009765D0" w:rsidRDefault="0051542C">
            <w:pPr>
              <w:spacing w:line="480" w:lineRule="auto"/>
              <w:jc w:val="center"/>
            </w:pPr>
            <w:r>
              <w:t>2.32</w:t>
            </w:r>
          </w:p>
        </w:tc>
      </w:tr>
    </w:tbl>
    <w:p w14:paraId="15557A8C" w14:textId="77777777" w:rsidR="009765D0" w:rsidRDefault="009765D0">
      <w:pPr>
        <w:pBdr>
          <w:top w:val="nil"/>
          <w:left w:val="nil"/>
          <w:bottom w:val="nil"/>
          <w:right w:val="nil"/>
          <w:between w:val="nil"/>
        </w:pBdr>
        <w:spacing w:after="240"/>
        <w:jc w:val="center"/>
        <w:rPr>
          <w:color w:val="000000"/>
        </w:rPr>
      </w:pPr>
    </w:p>
    <w:p w14:paraId="0B4B0429" w14:textId="77777777" w:rsidR="009765D0" w:rsidRDefault="0051542C">
      <w:pPr>
        <w:pBdr>
          <w:top w:val="nil"/>
          <w:left w:val="nil"/>
          <w:bottom w:val="nil"/>
          <w:right w:val="nil"/>
          <w:between w:val="nil"/>
        </w:pBdr>
        <w:spacing w:after="60" w:line="276" w:lineRule="auto"/>
        <w:ind w:firstLine="720"/>
        <w:jc w:val="both"/>
        <w:rPr>
          <w:color w:val="000000"/>
        </w:rPr>
      </w:pPr>
      <w:r>
        <w:rPr>
          <w:color w:val="000000"/>
        </w:rPr>
        <w:t>Based on a simple ROI proxy (profit/total cost), the mean value was 0.48 with a median of 0.33 and a range of 0.05–2.32 (Table 18). The very wide ROI range suggests that profitability is shaped not only by cost magnitude but also by the interaction of production management (water quality and disease control), feed strategy, energy efficiency, and harvest outcomes (Boyd &amp; Tucker, 2012; Stentiford et al., 2017). These results also imply that economies of scale should be interpreted cautiously: larger scale may improve technical efficiency, but it does not automatically guarantee higher ROI if risk management and input governance are weak (Asmild et al., 2024).</w:t>
      </w:r>
    </w:p>
    <w:p w14:paraId="32AC3105" w14:textId="454E3306" w:rsidR="00760824" w:rsidRDefault="00760824">
      <w:pPr>
        <w:pBdr>
          <w:top w:val="nil"/>
          <w:left w:val="nil"/>
          <w:bottom w:val="nil"/>
          <w:right w:val="nil"/>
          <w:between w:val="nil"/>
        </w:pBdr>
        <w:spacing w:after="60" w:line="276" w:lineRule="auto"/>
        <w:ind w:firstLine="720"/>
        <w:jc w:val="both"/>
        <w:rPr>
          <w:color w:val="000000"/>
        </w:rPr>
      </w:pPr>
      <w:r w:rsidRPr="00760824">
        <w:rPr>
          <w:color w:val="000000"/>
        </w:rPr>
        <w:t>In addition to technical and cost efficiency, enterprise performance can also be shaped by social and institutional factors. Evidence from shrimp farming indicates that social capital contributes to profitability, reinforcing the relevance of strengthening farmer networks and collective action as part of MSME</w:t>
      </w:r>
      <w:r w:rsidR="00663BF9">
        <w:rPr>
          <w:color w:val="000000"/>
        </w:rPr>
        <w:t>s</w:t>
      </w:r>
      <w:r w:rsidRPr="00760824">
        <w:rPr>
          <w:color w:val="000000"/>
        </w:rPr>
        <w:t xml:space="preserve"> upgrading strategies (Duy et al., 2022; </w:t>
      </w:r>
      <w:proofErr w:type="spellStart"/>
      <w:r w:rsidRPr="00760824">
        <w:rPr>
          <w:color w:val="000000"/>
        </w:rPr>
        <w:t>Hukom</w:t>
      </w:r>
      <w:proofErr w:type="spellEnd"/>
      <w:r w:rsidRPr="00760824">
        <w:rPr>
          <w:color w:val="000000"/>
        </w:rPr>
        <w:t xml:space="preserve"> et al., 2020).</w:t>
      </w:r>
    </w:p>
    <w:p w14:paraId="57EB4E51" w14:textId="77777777" w:rsidR="009765D0" w:rsidRDefault="009765D0">
      <w:pPr>
        <w:pBdr>
          <w:top w:val="nil"/>
          <w:left w:val="nil"/>
          <w:bottom w:val="nil"/>
          <w:right w:val="nil"/>
          <w:between w:val="nil"/>
        </w:pBdr>
        <w:spacing w:after="60" w:line="276" w:lineRule="auto"/>
        <w:ind w:firstLine="720"/>
        <w:jc w:val="both"/>
        <w:rPr>
          <w:color w:val="000000"/>
        </w:rPr>
      </w:pPr>
    </w:p>
    <w:p w14:paraId="792866D1" w14:textId="38164B4C" w:rsidR="009765D0" w:rsidRDefault="0051542C">
      <w:pPr>
        <w:pBdr>
          <w:top w:val="nil"/>
          <w:left w:val="nil"/>
          <w:bottom w:val="nil"/>
          <w:right w:val="nil"/>
          <w:between w:val="nil"/>
        </w:pBdr>
        <w:spacing w:after="60" w:line="276" w:lineRule="auto"/>
        <w:jc w:val="both"/>
        <w:rPr>
          <w:b/>
          <w:bCs/>
          <w:color w:val="000000"/>
        </w:rPr>
      </w:pPr>
      <w:r>
        <w:rPr>
          <w:b/>
          <w:bCs/>
          <w:color w:val="000000"/>
        </w:rPr>
        <w:lastRenderedPageBreak/>
        <w:t>Number of Employee</w:t>
      </w:r>
      <w:r w:rsidR="00663BF9">
        <w:rPr>
          <w:b/>
          <w:bCs/>
          <w:color w:val="000000"/>
        </w:rPr>
        <w:t>s</w:t>
      </w:r>
    </w:p>
    <w:p w14:paraId="1DFD67A0"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19. Number of employees</w:t>
      </w:r>
    </w:p>
    <w:tbl>
      <w:tblPr>
        <w:tblStyle w:val="af1"/>
        <w:tblW w:w="8208"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1389"/>
        <w:gridCol w:w="1463"/>
        <w:gridCol w:w="1230"/>
        <w:gridCol w:w="1311"/>
        <w:gridCol w:w="1393"/>
        <w:gridCol w:w="1422"/>
      </w:tblGrid>
      <w:tr w:rsidR="009765D0" w14:paraId="27178B94" w14:textId="77777777">
        <w:trPr>
          <w:jc w:val="center"/>
        </w:trPr>
        <w:tc>
          <w:tcPr>
            <w:tcW w:w="1389" w:type="dxa"/>
            <w:tcBorders>
              <w:top w:val="single" w:sz="4" w:space="0" w:color="000000"/>
              <w:bottom w:val="single" w:sz="4" w:space="0" w:color="000000"/>
            </w:tcBorders>
          </w:tcPr>
          <w:p w14:paraId="1D7D16CE" w14:textId="77777777" w:rsidR="009765D0" w:rsidRDefault="0051542C">
            <w:pPr>
              <w:jc w:val="center"/>
            </w:pPr>
            <w:r>
              <w:t>Statistics</w:t>
            </w:r>
          </w:p>
        </w:tc>
        <w:tc>
          <w:tcPr>
            <w:tcW w:w="1463" w:type="dxa"/>
            <w:tcBorders>
              <w:top w:val="single" w:sz="4" w:space="0" w:color="000000"/>
              <w:bottom w:val="single" w:sz="4" w:space="0" w:color="000000"/>
            </w:tcBorders>
          </w:tcPr>
          <w:p w14:paraId="62E0A0B8" w14:textId="77777777" w:rsidR="009765D0" w:rsidRDefault="0051542C">
            <w:r>
              <w:t>Frequency (n)</w:t>
            </w:r>
          </w:p>
        </w:tc>
        <w:tc>
          <w:tcPr>
            <w:tcW w:w="1230" w:type="dxa"/>
            <w:tcBorders>
              <w:top w:val="single" w:sz="4" w:space="0" w:color="000000"/>
              <w:bottom w:val="single" w:sz="4" w:space="0" w:color="000000"/>
            </w:tcBorders>
          </w:tcPr>
          <w:p w14:paraId="5E82A269" w14:textId="77777777" w:rsidR="009765D0" w:rsidRDefault="0051542C">
            <w:pPr>
              <w:jc w:val="center"/>
            </w:pPr>
            <w:r>
              <w:t>Mean</w:t>
            </w:r>
          </w:p>
        </w:tc>
        <w:tc>
          <w:tcPr>
            <w:tcW w:w="1311" w:type="dxa"/>
            <w:tcBorders>
              <w:top w:val="single" w:sz="4" w:space="0" w:color="000000"/>
              <w:bottom w:val="single" w:sz="4" w:space="0" w:color="000000"/>
            </w:tcBorders>
          </w:tcPr>
          <w:p w14:paraId="549D81BE" w14:textId="77777777" w:rsidR="009765D0" w:rsidRDefault="0051542C">
            <w:pPr>
              <w:spacing w:line="480" w:lineRule="auto"/>
              <w:jc w:val="center"/>
            </w:pPr>
            <w:r>
              <w:t>Median</w:t>
            </w:r>
          </w:p>
        </w:tc>
        <w:tc>
          <w:tcPr>
            <w:tcW w:w="1393" w:type="dxa"/>
            <w:tcBorders>
              <w:top w:val="single" w:sz="4" w:space="0" w:color="000000"/>
              <w:bottom w:val="single" w:sz="4" w:space="0" w:color="000000"/>
            </w:tcBorders>
          </w:tcPr>
          <w:p w14:paraId="39872992" w14:textId="77777777" w:rsidR="009765D0" w:rsidRDefault="0051542C">
            <w:pPr>
              <w:spacing w:line="480" w:lineRule="auto"/>
              <w:jc w:val="center"/>
            </w:pPr>
            <w:r>
              <w:t>Minimum</w:t>
            </w:r>
          </w:p>
        </w:tc>
        <w:tc>
          <w:tcPr>
            <w:tcW w:w="1422" w:type="dxa"/>
            <w:tcBorders>
              <w:top w:val="single" w:sz="4" w:space="0" w:color="000000"/>
              <w:bottom w:val="single" w:sz="4" w:space="0" w:color="000000"/>
            </w:tcBorders>
          </w:tcPr>
          <w:p w14:paraId="11528DD3" w14:textId="77777777" w:rsidR="009765D0" w:rsidRDefault="0051542C">
            <w:pPr>
              <w:jc w:val="center"/>
            </w:pPr>
            <w:r>
              <w:t>Maximum</w:t>
            </w:r>
          </w:p>
        </w:tc>
      </w:tr>
      <w:tr w:rsidR="009765D0" w14:paraId="75447421" w14:textId="77777777">
        <w:trPr>
          <w:jc w:val="center"/>
        </w:trPr>
        <w:tc>
          <w:tcPr>
            <w:tcW w:w="1389" w:type="dxa"/>
            <w:tcBorders>
              <w:top w:val="single" w:sz="4" w:space="0" w:color="000000"/>
            </w:tcBorders>
          </w:tcPr>
          <w:p w14:paraId="4D5281E2" w14:textId="63EEC030" w:rsidR="009765D0" w:rsidRDefault="00663BF9">
            <w:pPr>
              <w:jc w:val="center"/>
            </w:pPr>
            <w:r>
              <w:t>Count</w:t>
            </w:r>
          </w:p>
        </w:tc>
        <w:tc>
          <w:tcPr>
            <w:tcW w:w="1463" w:type="dxa"/>
            <w:tcBorders>
              <w:top w:val="single" w:sz="4" w:space="0" w:color="000000"/>
            </w:tcBorders>
          </w:tcPr>
          <w:p w14:paraId="714DA220" w14:textId="77777777" w:rsidR="009765D0" w:rsidRDefault="0051542C">
            <w:pPr>
              <w:spacing w:line="480" w:lineRule="auto"/>
              <w:jc w:val="center"/>
            </w:pPr>
            <w:r>
              <w:t>40</w:t>
            </w:r>
          </w:p>
        </w:tc>
        <w:tc>
          <w:tcPr>
            <w:tcW w:w="1230" w:type="dxa"/>
            <w:tcBorders>
              <w:top w:val="single" w:sz="4" w:space="0" w:color="000000"/>
            </w:tcBorders>
          </w:tcPr>
          <w:p w14:paraId="4A519C76" w14:textId="77777777" w:rsidR="009765D0" w:rsidRDefault="0051542C">
            <w:pPr>
              <w:spacing w:line="480" w:lineRule="auto"/>
              <w:jc w:val="center"/>
            </w:pPr>
            <w:r>
              <w:t>3.70</w:t>
            </w:r>
          </w:p>
        </w:tc>
        <w:tc>
          <w:tcPr>
            <w:tcW w:w="1311" w:type="dxa"/>
            <w:tcBorders>
              <w:top w:val="single" w:sz="4" w:space="0" w:color="000000"/>
            </w:tcBorders>
          </w:tcPr>
          <w:p w14:paraId="37EC3801" w14:textId="77777777" w:rsidR="009765D0" w:rsidRDefault="0051542C">
            <w:pPr>
              <w:spacing w:line="480" w:lineRule="auto"/>
              <w:jc w:val="center"/>
            </w:pPr>
            <w:r>
              <w:t>1.50</w:t>
            </w:r>
          </w:p>
        </w:tc>
        <w:tc>
          <w:tcPr>
            <w:tcW w:w="1393" w:type="dxa"/>
            <w:tcBorders>
              <w:top w:val="single" w:sz="4" w:space="0" w:color="000000"/>
            </w:tcBorders>
          </w:tcPr>
          <w:p w14:paraId="7C2D4FBB" w14:textId="77777777" w:rsidR="009765D0" w:rsidRDefault="0051542C">
            <w:pPr>
              <w:spacing w:line="480" w:lineRule="auto"/>
              <w:jc w:val="center"/>
            </w:pPr>
            <w:r>
              <w:t>0</w:t>
            </w:r>
          </w:p>
        </w:tc>
        <w:tc>
          <w:tcPr>
            <w:tcW w:w="1422" w:type="dxa"/>
            <w:tcBorders>
              <w:top w:val="single" w:sz="4" w:space="0" w:color="000000"/>
            </w:tcBorders>
          </w:tcPr>
          <w:p w14:paraId="7158C32C" w14:textId="77777777" w:rsidR="009765D0" w:rsidRDefault="0051542C">
            <w:pPr>
              <w:spacing w:line="480" w:lineRule="auto"/>
              <w:jc w:val="center"/>
            </w:pPr>
            <w:r>
              <w:t>20</w:t>
            </w:r>
          </w:p>
        </w:tc>
      </w:tr>
    </w:tbl>
    <w:p w14:paraId="5E280DA6" w14:textId="77777777" w:rsidR="009765D0" w:rsidRDefault="009765D0">
      <w:pPr>
        <w:pBdr>
          <w:top w:val="nil"/>
          <w:left w:val="nil"/>
          <w:bottom w:val="nil"/>
          <w:right w:val="nil"/>
          <w:between w:val="nil"/>
        </w:pBdr>
        <w:spacing w:after="240"/>
        <w:jc w:val="center"/>
        <w:rPr>
          <w:color w:val="000000"/>
        </w:rPr>
      </w:pPr>
    </w:p>
    <w:p w14:paraId="41A0764A" w14:textId="77777777" w:rsidR="009765D0" w:rsidRDefault="0051542C">
      <w:pPr>
        <w:pBdr>
          <w:top w:val="nil"/>
          <w:left w:val="nil"/>
          <w:bottom w:val="nil"/>
          <w:right w:val="nil"/>
          <w:between w:val="nil"/>
        </w:pBdr>
        <w:spacing w:after="60" w:line="276" w:lineRule="auto"/>
        <w:ind w:firstLine="720"/>
        <w:jc w:val="both"/>
        <w:rPr>
          <w:color w:val="000000"/>
        </w:rPr>
      </w:pPr>
      <w:r>
        <w:rPr>
          <w:color w:val="000000"/>
        </w:rPr>
        <w:t>Table 19 shows the number of employees (n=40) with a mean of 3.70 workers. This labor absorption indicates the contribution of shrimp-pond MSMEs to local economies; scaling up production has the potential to expand employment opportunities in communities surrounding pond areas (FAO, 2020).</w:t>
      </w:r>
    </w:p>
    <w:p w14:paraId="43E6DEAF" w14:textId="77777777" w:rsidR="009765D0" w:rsidRDefault="009765D0">
      <w:pPr>
        <w:pBdr>
          <w:top w:val="nil"/>
          <w:left w:val="nil"/>
          <w:bottom w:val="nil"/>
          <w:right w:val="nil"/>
          <w:between w:val="nil"/>
        </w:pBdr>
        <w:spacing w:after="60" w:line="276" w:lineRule="auto"/>
        <w:jc w:val="center"/>
        <w:rPr>
          <w:b/>
          <w:bCs/>
          <w:color w:val="000000"/>
        </w:rPr>
      </w:pPr>
    </w:p>
    <w:p w14:paraId="0AF9A556"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Land/house ownership status</w:t>
      </w:r>
    </w:p>
    <w:p w14:paraId="26488BD7"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20. Land/house ownership status</w:t>
      </w:r>
    </w:p>
    <w:tbl>
      <w:tblPr>
        <w:tblStyle w:val="af2"/>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849"/>
        <w:gridCol w:w="2725"/>
        <w:gridCol w:w="2634"/>
      </w:tblGrid>
      <w:tr w:rsidR="009765D0" w14:paraId="0FB4694A" w14:textId="77777777">
        <w:tc>
          <w:tcPr>
            <w:tcW w:w="2849" w:type="dxa"/>
            <w:tcBorders>
              <w:top w:val="single" w:sz="4" w:space="0" w:color="000000"/>
              <w:bottom w:val="single" w:sz="4" w:space="0" w:color="000000"/>
            </w:tcBorders>
          </w:tcPr>
          <w:p w14:paraId="48298867" w14:textId="77777777" w:rsidR="009765D0" w:rsidRDefault="0051542C">
            <w:pPr>
              <w:jc w:val="center"/>
            </w:pPr>
            <w:r>
              <w:t>Category</w:t>
            </w:r>
          </w:p>
        </w:tc>
        <w:tc>
          <w:tcPr>
            <w:tcW w:w="2725" w:type="dxa"/>
            <w:tcBorders>
              <w:top w:val="single" w:sz="4" w:space="0" w:color="000000"/>
              <w:bottom w:val="single" w:sz="4" w:space="0" w:color="000000"/>
            </w:tcBorders>
          </w:tcPr>
          <w:p w14:paraId="7C62B453" w14:textId="77777777" w:rsidR="009765D0" w:rsidRDefault="0051542C">
            <w:r>
              <w:t>Frequency (n)</w:t>
            </w:r>
          </w:p>
        </w:tc>
        <w:tc>
          <w:tcPr>
            <w:tcW w:w="2634" w:type="dxa"/>
            <w:tcBorders>
              <w:top w:val="single" w:sz="4" w:space="0" w:color="000000"/>
              <w:bottom w:val="single" w:sz="4" w:space="0" w:color="000000"/>
            </w:tcBorders>
          </w:tcPr>
          <w:p w14:paraId="71ACDD58" w14:textId="77777777" w:rsidR="009765D0" w:rsidRDefault="0051542C">
            <w:r>
              <w:t>Percent (%)</w:t>
            </w:r>
          </w:p>
        </w:tc>
      </w:tr>
      <w:tr w:rsidR="009765D0" w14:paraId="7105E598" w14:textId="77777777">
        <w:tc>
          <w:tcPr>
            <w:tcW w:w="2849" w:type="dxa"/>
            <w:tcBorders>
              <w:top w:val="single" w:sz="4" w:space="0" w:color="000000"/>
            </w:tcBorders>
          </w:tcPr>
          <w:p w14:paraId="1737FA27" w14:textId="77777777" w:rsidR="009765D0" w:rsidRDefault="0051542C">
            <w:pPr>
              <w:jc w:val="center"/>
            </w:pPr>
            <w:r>
              <w:t>Own land</w:t>
            </w:r>
          </w:p>
        </w:tc>
        <w:tc>
          <w:tcPr>
            <w:tcW w:w="2725" w:type="dxa"/>
            <w:tcBorders>
              <w:top w:val="single" w:sz="4" w:space="0" w:color="000000"/>
            </w:tcBorders>
          </w:tcPr>
          <w:p w14:paraId="59845B78" w14:textId="77777777" w:rsidR="009765D0" w:rsidRDefault="0051542C">
            <w:pPr>
              <w:spacing w:line="480" w:lineRule="auto"/>
              <w:jc w:val="center"/>
            </w:pPr>
            <w:r>
              <w:t>34</w:t>
            </w:r>
          </w:p>
        </w:tc>
        <w:tc>
          <w:tcPr>
            <w:tcW w:w="2634" w:type="dxa"/>
            <w:tcBorders>
              <w:top w:val="single" w:sz="4" w:space="0" w:color="000000"/>
            </w:tcBorders>
          </w:tcPr>
          <w:p w14:paraId="45B5F85D" w14:textId="77777777" w:rsidR="009765D0" w:rsidRDefault="0051542C">
            <w:pPr>
              <w:spacing w:line="480" w:lineRule="auto"/>
              <w:jc w:val="center"/>
            </w:pPr>
            <w:r>
              <w:t>85.00</w:t>
            </w:r>
          </w:p>
        </w:tc>
      </w:tr>
      <w:tr w:rsidR="009765D0" w14:paraId="157BE2C6" w14:textId="77777777">
        <w:tc>
          <w:tcPr>
            <w:tcW w:w="2849" w:type="dxa"/>
          </w:tcPr>
          <w:p w14:paraId="0A45E1F2" w14:textId="77777777" w:rsidR="009765D0" w:rsidRDefault="0051542C">
            <w:pPr>
              <w:jc w:val="center"/>
            </w:pPr>
            <w:r>
              <w:t>Rented/leased</w:t>
            </w:r>
          </w:p>
        </w:tc>
        <w:tc>
          <w:tcPr>
            <w:tcW w:w="2725" w:type="dxa"/>
          </w:tcPr>
          <w:p w14:paraId="35F9BFC8" w14:textId="77777777" w:rsidR="009765D0" w:rsidRDefault="0051542C">
            <w:pPr>
              <w:spacing w:line="480" w:lineRule="auto"/>
              <w:jc w:val="center"/>
            </w:pPr>
            <w:r>
              <w:t>3</w:t>
            </w:r>
          </w:p>
        </w:tc>
        <w:tc>
          <w:tcPr>
            <w:tcW w:w="2634" w:type="dxa"/>
          </w:tcPr>
          <w:p w14:paraId="493F1E58" w14:textId="77777777" w:rsidR="009765D0" w:rsidRDefault="0051542C">
            <w:pPr>
              <w:spacing w:line="480" w:lineRule="auto"/>
              <w:jc w:val="center"/>
            </w:pPr>
            <w:r>
              <w:t>7.50</w:t>
            </w:r>
          </w:p>
        </w:tc>
      </w:tr>
      <w:tr w:rsidR="009765D0" w14:paraId="500CFD7D" w14:textId="77777777">
        <w:tc>
          <w:tcPr>
            <w:tcW w:w="2849" w:type="dxa"/>
          </w:tcPr>
          <w:p w14:paraId="4CB78060" w14:textId="77777777" w:rsidR="009765D0" w:rsidRDefault="0051542C">
            <w:pPr>
              <w:spacing w:line="480" w:lineRule="auto"/>
              <w:jc w:val="center"/>
            </w:pPr>
            <w:r>
              <w:t>Parents' ownership</w:t>
            </w:r>
          </w:p>
        </w:tc>
        <w:tc>
          <w:tcPr>
            <w:tcW w:w="2725" w:type="dxa"/>
          </w:tcPr>
          <w:p w14:paraId="36C4B06D" w14:textId="77777777" w:rsidR="009765D0" w:rsidRDefault="0051542C">
            <w:pPr>
              <w:spacing w:line="480" w:lineRule="auto"/>
              <w:jc w:val="center"/>
            </w:pPr>
            <w:r>
              <w:t>3</w:t>
            </w:r>
          </w:p>
        </w:tc>
        <w:tc>
          <w:tcPr>
            <w:tcW w:w="2634" w:type="dxa"/>
          </w:tcPr>
          <w:p w14:paraId="32B11F5D" w14:textId="77777777" w:rsidR="009765D0" w:rsidRDefault="0051542C">
            <w:pPr>
              <w:spacing w:line="480" w:lineRule="auto"/>
              <w:jc w:val="center"/>
            </w:pPr>
            <w:r>
              <w:t>7.50</w:t>
            </w:r>
          </w:p>
        </w:tc>
      </w:tr>
    </w:tbl>
    <w:p w14:paraId="1D6581EC" w14:textId="77777777" w:rsidR="009765D0" w:rsidRDefault="009765D0">
      <w:pPr>
        <w:pBdr>
          <w:top w:val="nil"/>
          <w:left w:val="nil"/>
          <w:bottom w:val="nil"/>
          <w:right w:val="nil"/>
          <w:between w:val="nil"/>
        </w:pBdr>
        <w:spacing w:after="240"/>
        <w:jc w:val="both"/>
        <w:rPr>
          <w:color w:val="000000"/>
        </w:rPr>
      </w:pPr>
    </w:p>
    <w:p w14:paraId="5A360895" w14:textId="77777777" w:rsidR="009765D0" w:rsidRDefault="0051542C">
      <w:pPr>
        <w:pBdr>
          <w:top w:val="nil"/>
          <w:left w:val="nil"/>
          <w:bottom w:val="nil"/>
          <w:right w:val="nil"/>
          <w:between w:val="nil"/>
        </w:pBdr>
        <w:spacing w:after="60" w:line="276" w:lineRule="auto"/>
        <w:ind w:firstLine="720"/>
        <w:jc w:val="both"/>
        <w:rPr>
          <w:color w:val="000000"/>
        </w:rPr>
      </w:pPr>
      <w:r>
        <w:rPr>
          <w:color w:val="000000"/>
        </w:rPr>
        <w:t>Table 20 shows that land tenure was dominated by ‘Own land’ (85.00%). More secure ownership/access generally strengthens incentives for long-term investment in infrastructure upgrades and the adoption of sustainable farming practices.</w:t>
      </w:r>
    </w:p>
    <w:p w14:paraId="65F431C4" w14:textId="77777777" w:rsidR="009765D0" w:rsidRDefault="0051542C">
      <w:pPr>
        <w:pBdr>
          <w:top w:val="nil"/>
          <w:left w:val="nil"/>
          <w:bottom w:val="nil"/>
          <w:right w:val="nil"/>
          <w:between w:val="nil"/>
        </w:pBdr>
        <w:spacing w:after="60" w:line="276" w:lineRule="auto"/>
        <w:jc w:val="both"/>
        <w:rPr>
          <w:color w:val="000000"/>
        </w:rPr>
      </w:pPr>
      <w:r>
        <w:rPr>
          <w:b/>
          <w:bCs/>
          <w:color w:val="000000"/>
        </w:rPr>
        <w:t>Two-wheeled vehicle assets (units)</w:t>
      </w:r>
    </w:p>
    <w:p w14:paraId="64260CC9" w14:textId="77777777" w:rsidR="009765D0" w:rsidRDefault="0051542C">
      <w:pPr>
        <w:pBdr>
          <w:top w:val="nil"/>
          <w:left w:val="nil"/>
          <w:bottom w:val="nil"/>
          <w:right w:val="nil"/>
          <w:between w:val="nil"/>
        </w:pBdr>
        <w:spacing w:after="60" w:line="276" w:lineRule="auto"/>
        <w:jc w:val="center"/>
        <w:rPr>
          <w:color w:val="000000"/>
        </w:rPr>
      </w:pPr>
      <w:r>
        <w:rPr>
          <w:color w:val="000000"/>
        </w:rPr>
        <w:t>Table 21. Two-wheeled vehicle assets (units)</w:t>
      </w:r>
    </w:p>
    <w:tbl>
      <w:tblPr>
        <w:tblStyle w:val="af3"/>
        <w:tblW w:w="8208" w:type="dxa"/>
        <w:tblInd w:w="0" w:type="dxa"/>
        <w:tblLayout w:type="fixed"/>
        <w:tblLook w:val="0400" w:firstRow="0" w:lastRow="0" w:firstColumn="0" w:lastColumn="0" w:noHBand="0" w:noVBand="1"/>
      </w:tblPr>
      <w:tblGrid>
        <w:gridCol w:w="2734"/>
        <w:gridCol w:w="2780"/>
        <w:gridCol w:w="2694"/>
      </w:tblGrid>
      <w:tr w:rsidR="009765D0" w14:paraId="533961E3" w14:textId="77777777">
        <w:tc>
          <w:tcPr>
            <w:tcW w:w="2734" w:type="dxa"/>
            <w:tcBorders>
              <w:top w:val="single" w:sz="4" w:space="0" w:color="000000"/>
              <w:bottom w:val="single" w:sz="4" w:space="0" w:color="000000"/>
            </w:tcBorders>
          </w:tcPr>
          <w:p w14:paraId="22C55A08" w14:textId="77777777" w:rsidR="009765D0" w:rsidRDefault="0051542C">
            <w:pPr>
              <w:jc w:val="center"/>
            </w:pPr>
            <w:r>
              <w:t>Category</w:t>
            </w:r>
          </w:p>
        </w:tc>
        <w:tc>
          <w:tcPr>
            <w:tcW w:w="2780" w:type="dxa"/>
            <w:tcBorders>
              <w:top w:val="single" w:sz="4" w:space="0" w:color="000000"/>
              <w:bottom w:val="single" w:sz="4" w:space="0" w:color="000000"/>
            </w:tcBorders>
          </w:tcPr>
          <w:p w14:paraId="081BA4AD"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27892411" w14:textId="77777777" w:rsidR="009765D0" w:rsidRDefault="0051542C">
            <w:pPr>
              <w:spacing w:line="480" w:lineRule="auto"/>
              <w:jc w:val="center"/>
            </w:pPr>
            <w:r>
              <w:t>Percent (%)</w:t>
            </w:r>
          </w:p>
        </w:tc>
      </w:tr>
      <w:tr w:rsidR="009765D0" w14:paraId="7E89A325" w14:textId="77777777">
        <w:tc>
          <w:tcPr>
            <w:tcW w:w="2734" w:type="dxa"/>
            <w:tcBorders>
              <w:top w:val="single" w:sz="4" w:space="0" w:color="000000"/>
            </w:tcBorders>
          </w:tcPr>
          <w:p w14:paraId="5B6D26C4" w14:textId="77777777" w:rsidR="009765D0" w:rsidRDefault="0051542C">
            <w:pPr>
              <w:spacing w:line="480" w:lineRule="auto"/>
              <w:jc w:val="center"/>
            </w:pPr>
            <w:r>
              <w:t>1.0</w:t>
            </w:r>
          </w:p>
        </w:tc>
        <w:tc>
          <w:tcPr>
            <w:tcW w:w="2780" w:type="dxa"/>
            <w:tcBorders>
              <w:top w:val="single" w:sz="4" w:space="0" w:color="000000"/>
            </w:tcBorders>
          </w:tcPr>
          <w:p w14:paraId="05751D3A" w14:textId="77777777" w:rsidR="009765D0" w:rsidRDefault="0051542C">
            <w:pPr>
              <w:spacing w:line="480" w:lineRule="auto"/>
              <w:jc w:val="center"/>
            </w:pPr>
            <w:r>
              <w:t>26</w:t>
            </w:r>
          </w:p>
        </w:tc>
        <w:tc>
          <w:tcPr>
            <w:tcW w:w="2694" w:type="dxa"/>
            <w:tcBorders>
              <w:top w:val="single" w:sz="4" w:space="0" w:color="000000"/>
            </w:tcBorders>
          </w:tcPr>
          <w:p w14:paraId="78EEDC62" w14:textId="77777777" w:rsidR="009765D0" w:rsidRDefault="0051542C">
            <w:pPr>
              <w:spacing w:line="480" w:lineRule="auto"/>
              <w:jc w:val="center"/>
            </w:pPr>
            <w:r>
              <w:t>65.00</w:t>
            </w:r>
          </w:p>
        </w:tc>
      </w:tr>
      <w:tr w:rsidR="009765D0" w14:paraId="78419B98" w14:textId="77777777">
        <w:tc>
          <w:tcPr>
            <w:tcW w:w="2734" w:type="dxa"/>
          </w:tcPr>
          <w:p w14:paraId="0144B2EA" w14:textId="77777777" w:rsidR="009765D0" w:rsidRDefault="0051542C">
            <w:pPr>
              <w:spacing w:line="480" w:lineRule="auto"/>
              <w:jc w:val="center"/>
            </w:pPr>
            <w:r>
              <w:t>2.0</w:t>
            </w:r>
          </w:p>
        </w:tc>
        <w:tc>
          <w:tcPr>
            <w:tcW w:w="2780" w:type="dxa"/>
          </w:tcPr>
          <w:p w14:paraId="439060D9" w14:textId="77777777" w:rsidR="009765D0" w:rsidRDefault="0051542C">
            <w:pPr>
              <w:spacing w:line="480" w:lineRule="auto"/>
              <w:jc w:val="center"/>
            </w:pPr>
            <w:r>
              <w:t>5</w:t>
            </w:r>
          </w:p>
        </w:tc>
        <w:tc>
          <w:tcPr>
            <w:tcW w:w="2694" w:type="dxa"/>
          </w:tcPr>
          <w:p w14:paraId="14E03443" w14:textId="77777777" w:rsidR="009765D0" w:rsidRDefault="0051542C">
            <w:pPr>
              <w:spacing w:line="480" w:lineRule="auto"/>
              <w:jc w:val="center"/>
            </w:pPr>
            <w:r>
              <w:t>12.50</w:t>
            </w:r>
          </w:p>
        </w:tc>
      </w:tr>
      <w:tr w:rsidR="009765D0" w14:paraId="38C51797" w14:textId="77777777">
        <w:tc>
          <w:tcPr>
            <w:tcW w:w="2734" w:type="dxa"/>
          </w:tcPr>
          <w:p w14:paraId="07FB0B56" w14:textId="77777777" w:rsidR="009765D0" w:rsidRDefault="0051542C">
            <w:pPr>
              <w:spacing w:line="480" w:lineRule="auto"/>
              <w:jc w:val="center"/>
            </w:pPr>
            <w:r>
              <w:t>4.0</w:t>
            </w:r>
          </w:p>
        </w:tc>
        <w:tc>
          <w:tcPr>
            <w:tcW w:w="2780" w:type="dxa"/>
          </w:tcPr>
          <w:p w14:paraId="44EE921F" w14:textId="77777777" w:rsidR="009765D0" w:rsidRDefault="0051542C">
            <w:pPr>
              <w:spacing w:line="480" w:lineRule="auto"/>
              <w:jc w:val="center"/>
            </w:pPr>
            <w:r>
              <w:t>3</w:t>
            </w:r>
          </w:p>
        </w:tc>
        <w:tc>
          <w:tcPr>
            <w:tcW w:w="2694" w:type="dxa"/>
          </w:tcPr>
          <w:p w14:paraId="0F688BBA" w14:textId="77777777" w:rsidR="009765D0" w:rsidRDefault="0051542C">
            <w:pPr>
              <w:spacing w:line="480" w:lineRule="auto"/>
              <w:jc w:val="center"/>
            </w:pPr>
            <w:r>
              <w:t>7.50</w:t>
            </w:r>
          </w:p>
        </w:tc>
      </w:tr>
      <w:tr w:rsidR="009765D0" w14:paraId="157BFFC0" w14:textId="77777777">
        <w:tc>
          <w:tcPr>
            <w:tcW w:w="2734" w:type="dxa"/>
          </w:tcPr>
          <w:p w14:paraId="7C26DE75" w14:textId="77777777" w:rsidR="009765D0" w:rsidRDefault="0051542C">
            <w:pPr>
              <w:spacing w:line="480" w:lineRule="auto"/>
              <w:jc w:val="center"/>
            </w:pPr>
            <w:r>
              <w:t>0.0</w:t>
            </w:r>
          </w:p>
        </w:tc>
        <w:tc>
          <w:tcPr>
            <w:tcW w:w="2780" w:type="dxa"/>
          </w:tcPr>
          <w:p w14:paraId="7A313034" w14:textId="77777777" w:rsidR="009765D0" w:rsidRDefault="0051542C">
            <w:pPr>
              <w:spacing w:line="480" w:lineRule="auto"/>
              <w:jc w:val="center"/>
            </w:pPr>
            <w:r>
              <w:t>3</w:t>
            </w:r>
          </w:p>
        </w:tc>
        <w:tc>
          <w:tcPr>
            <w:tcW w:w="2694" w:type="dxa"/>
          </w:tcPr>
          <w:p w14:paraId="4C1324EA" w14:textId="77777777" w:rsidR="009765D0" w:rsidRDefault="0051542C">
            <w:pPr>
              <w:spacing w:line="480" w:lineRule="auto"/>
              <w:jc w:val="center"/>
            </w:pPr>
            <w:r>
              <w:t>7.50</w:t>
            </w:r>
          </w:p>
        </w:tc>
      </w:tr>
      <w:tr w:rsidR="009765D0" w14:paraId="7D42C548" w14:textId="77777777">
        <w:tc>
          <w:tcPr>
            <w:tcW w:w="2734" w:type="dxa"/>
          </w:tcPr>
          <w:p w14:paraId="510F1AF4" w14:textId="77777777" w:rsidR="009765D0" w:rsidRDefault="0051542C">
            <w:pPr>
              <w:spacing w:line="480" w:lineRule="auto"/>
              <w:jc w:val="center"/>
            </w:pPr>
            <w:r>
              <w:t>3.0</w:t>
            </w:r>
          </w:p>
        </w:tc>
        <w:tc>
          <w:tcPr>
            <w:tcW w:w="2780" w:type="dxa"/>
          </w:tcPr>
          <w:p w14:paraId="4B89D0F1" w14:textId="77777777" w:rsidR="009765D0" w:rsidRDefault="0051542C">
            <w:pPr>
              <w:spacing w:line="480" w:lineRule="auto"/>
              <w:jc w:val="center"/>
            </w:pPr>
            <w:r>
              <w:t>2</w:t>
            </w:r>
          </w:p>
        </w:tc>
        <w:tc>
          <w:tcPr>
            <w:tcW w:w="2694" w:type="dxa"/>
          </w:tcPr>
          <w:p w14:paraId="01218047" w14:textId="77777777" w:rsidR="009765D0" w:rsidRDefault="0051542C">
            <w:pPr>
              <w:spacing w:line="480" w:lineRule="auto"/>
              <w:jc w:val="center"/>
            </w:pPr>
            <w:r>
              <w:t>5.00</w:t>
            </w:r>
          </w:p>
        </w:tc>
      </w:tr>
      <w:tr w:rsidR="009765D0" w14:paraId="6B349BA1" w14:textId="77777777">
        <w:tc>
          <w:tcPr>
            <w:tcW w:w="2734" w:type="dxa"/>
            <w:tcBorders>
              <w:bottom w:val="single" w:sz="4" w:space="0" w:color="000000"/>
            </w:tcBorders>
          </w:tcPr>
          <w:p w14:paraId="059762C8" w14:textId="77777777" w:rsidR="009765D0" w:rsidRDefault="0051542C">
            <w:pPr>
              <w:spacing w:line="480" w:lineRule="auto"/>
              <w:jc w:val="center"/>
            </w:pPr>
            <w:r>
              <w:t>8.0</w:t>
            </w:r>
          </w:p>
        </w:tc>
        <w:tc>
          <w:tcPr>
            <w:tcW w:w="2780" w:type="dxa"/>
            <w:tcBorders>
              <w:bottom w:val="single" w:sz="4" w:space="0" w:color="000000"/>
            </w:tcBorders>
          </w:tcPr>
          <w:p w14:paraId="1BB548D5" w14:textId="77777777" w:rsidR="009765D0" w:rsidRDefault="0051542C">
            <w:pPr>
              <w:spacing w:line="480" w:lineRule="auto"/>
              <w:jc w:val="center"/>
            </w:pPr>
            <w:r>
              <w:t>1</w:t>
            </w:r>
          </w:p>
        </w:tc>
        <w:tc>
          <w:tcPr>
            <w:tcW w:w="2694" w:type="dxa"/>
            <w:tcBorders>
              <w:bottom w:val="single" w:sz="4" w:space="0" w:color="000000"/>
            </w:tcBorders>
          </w:tcPr>
          <w:p w14:paraId="14B7D35F" w14:textId="77777777" w:rsidR="009765D0" w:rsidRDefault="0051542C">
            <w:pPr>
              <w:spacing w:line="480" w:lineRule="auto"/>
              <w:jc w:val="center"/>
            </w:pPr>
            <w:r>
              <w:t>2.50</w:t>
            </w:r>
          </w:p>
        </w:tc>
      </w:tr>
    </w:tbl>
    <w:p w14:paraId="5C437190" w14:textId="77777777" w:rsidR="009765D0" w:rsidRDefault="009765D0">
      <w:pPr>
        <w:pBdr>
          <w:top w:val="nil"/>
          <w:left w:val="nil"/>
          <w:bottom w:val="nil"/>
          <w:right w:val="nil"/>
          <w:between w:val="nil"/>
        </w:pBdr>
        <w:spacing w:after="240"/>
        <w:jc w:val="both"/>
        <w:rPr>
          <w:color w:val="000000"/>
        </w:rPr>
      </w:pPr>
    </w:p>
    <w:p w14:paraId="226887BE" w14:textId="77777777" w:rsidR="009765D0" w:rsidRDefault="0051542C">
      <w:pPr>
        <w:pBdr>
          <w:top w:val="nil"/>
          <w:left w:val="nil"/>
          <w:bottom w:val="nil"/>
          <w:right w:val="nil"/>
          <w:between w:val="nil"/>
        </w:pBdr>
        <w:spacing w:after="60" w:line="276" w:lineRule="auto"/>
        <w:jc w:val="center"/>
        <w:rPr>
          <w:color w:val="000000"/>
        </w:rPr>
      </w:pPr>
      <w:r>
        <w:rPr>
          <w:color w:val="000000"/>
        </w:rPr>
        <w:t>Table 21 reports two-wheeled vehicle ownership as an operational/logistics asset. A total of 37 out of 40 respondents (92.50%) owned at least one vehicle, which can improve operational mobility and input distribution efficiency.</w:t>
      </w:r>
    </w:p>
    <w:p w14:paraId="1F2C431E" w14:textId="77777777" w:rsidR="009765D0" w:rsidRDefault="009765D0">
      <w:pPr>
        <w:pBdr>
          <w:top w:val="nil"/>
          <w:left w:val="nil"/>
          <w:bottom w:val="nil"/>
          <w:right w:val="nil"/>
          <w:between w:val="nil"/>
        </w:pBdr>
        <w:spacing w:after="60" w:line="276" w:lineRule="auto"/>
        <w:jc w:val="center"/>
        <w:rPr>
          <w:color w:val="000000"/>
        </w:rPr>
      </w:pPr>
    </w:p>
    <w:p w14:paraId="00178721" w14:textId="77777777" w:rsidR="009765D0" w:rsidRDefault="0051542C">
      <w:pPr>
        <w:pBdr>
          <w:top w:val="nil"/>
          <w:left w:val="nil"/>
          <w:bottom w:val="nil"/>
          <w:right w:val="nil"/>
          <w:between w:val="nil"/>
        </w:pBdr>
        <w:spacing w:after="60" w:line="276" w:lineRule="auto"/>
        <w:rPr>
          <w:b/>
          <w:bCs/>
          <w:color w:val="000000"/>
        </w:rPr>
      </w:pPr>
      <w:r>
        <w:rPr>
          <w:b/>
          <w:bCs/>
          <w:color w:val="000000"/>
        </w:rPr>
        <w:t>Loan access status</w:t>
      </w:r>
    </w:p>
    <w:p w14:paraId="21A7BD6E" w14:textId="77777777" w:rsidR="009765D0" w:rsidRDefault="0051542C">
      <w:pPr>
        <w:pBdr>
          <w:top w:val="nil"/>
          <w:left w:val="nil"/>
          <w:bottom w:val="nil"/>
          <w:right w:val="nil"/>
          <w:between w:val="nil"/>
        </w:pBdr>
        <w:spacing w:after="60" w:line="276" w:lineRule="auto"/>
        <w:jc w:val="center"/>
        <w:rPr>
          <w:color w:val="000000"/>
        </w:rPr>
      </w:pPr>
      <w:r>
        <w:rPr>
          <w:color w:val="000000"/>
        </w:rPr>
        <w:t>Table 22. Loan access status</w:t>
      </w:r>
    </w:p>
    <w:tbl>
      <w:tblPr>
        <w:tblStyle w:val="af4"/>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734"/>
        <w:gridCol w:w="2780"/>
        <w:gridCol w:w="2694"/>
      </w:tblGrid>
      <w:tr w:rsidR="009765D0" w14:paraId="655C13C9" w14:textId="77777777">
        <w:tc>
          <w:tcPr>
            <w:tcW w:w="2734" w:type="dxa"/>
            <w:tcBorders>
              <w:top w:val="single" w:sz="4" w:space="0" w:color="000000"/>
              <w:bottom w:val="single" w:sz="4" w:space="0" w:color="000000"/>
            </w:tcBorders>
          </w:tcPr>
          <w:p w14:paraId="3B1AE088" w14:textId="77777777" w:rsidR="009765D0" w:rsidRDefault="0051542C">
            <w:pPr>
              <w:jc w:val="center"/>
            </w:pPr>
            <w:r>
              <w:t>Category</w:t>
            </w:r>
          </w:p>
        </w:tc>
        <w:tc>
          <w:tcPr>
            <w:tcW w:w="2780" w:type="dxa"/>
            <w:tcBorders>
              <w:top w:val="single" w:sz="4" w:space="0" w:color="000000"/>
              <w:bottom w:val="single" w:sz="4" w:space="0" w:color="000000"/>
            </w:tcBorders>
          </w:tcPr>
          <w:p w14:paraId="11249208" w14:textId="77777777" w:rsidR="009765D0" w:rsidRDefault="0051542C">
            <w:r>
              <w:t>Frequency (n)</w:t>
            </w:r>
          </w:p>
        </w:tc>
        <w:tc>
          <w:tcPr>
            <w:tcW w:w="2694" w:type="dxa"/>
            <w:tcBorders>
              <w:top w:val="single" w:sz="4" w:space="0" w:color="000000"/>
              <w:bottom w:val="single" w:sz="4" w:space="0" w:color="000000"/>
            </w:tcBorders>
          </w:tcPr>
          <w:p w14:paraId="43030177" w14:textId="77777777" w:rsidR="009765D0" w:rsidRDefault="0051542C">
            <w:pPr>
              <w:spacing w:line="480" w:lineRule="auto"/>
              <w:jc w:val="center"/>
            </w:pPr>
            <w:r>
              <w:t>Percent (%)</w:t>
            </w:r>
          </w:p>
        </w:tc>
      </w:tr>
      <w:tr w:rsidR="009765D0" w14:paraId="4F4C0E66" w14:textId="77777777">
        <w:tc>
          <w:tcPr>
            <w:tcW w:w="2734" w:type="dxa"/>
            <w:tcBorders>
              <w:top w:val="single" w:sz="4" w:space="0" w:color="000000"/>
            </w:tcBorders>
          </w:tcPr>
          <w:p w14:paraId="186FF2E5" w14:textId="77777777" w:rsidR="009765D0" w:rsidRDefault="0051542C">
            <w:pPr>
              <w:jc w:val="center"/>
            </w:pPr>
            <w:r>
              <w:t>Yes</w:t>
            </w:r>
          </w:p>
        </w:tc>
        <w:tc>
          <w:tcPr>
            <w:tcW w:w="2780" w:type="dxa"/>
            <w:tcBorders>
              <w:top w:val="single" w:sz="4" w:space="0" w:color="000000"/>
            </w:tcBorders>
          </w:tcPr>
          <w:p w14:paraId="19C5EBBF" w14:textId="77777777" w:rsidR="009765D0" w:rsidRDefault="0051542C">
            <w:pPr>
              <w:spacing w:line="480" w:lineRule="auto"/>
              <w:jc w:val="center"/>
            </w:pPr>
            <w:r>
              <w:t>29</w:t>
            </w:r>
          </w:p>
        </w:tc>
        <w:tc>
          <w:tcPr>
            <w:tcW w:w="2694" w:type="dxa"/>
            <w:tcBorders>
              <w:top w:val="single" w:sz="4" w:space="0" w:color="000000"/>
            </w:tcBorders>
          </w:tcPr>
          <w:p w14:paraId="58F1CCD6" w14:textId="77777777" w:rsidR="009765D0" w:rsidRDefault="0051542C">
            <w:pPr>
              <w:spacing w:line="480" w:lineRule="auto"/>
              <w:jc w:val="center"/>
            </w:pPr>
            <w:r>
              <w:t>72.50</w:t>
            </w:r>
          </w:p>
        </w:tc>
      </w:tr>
      <w:tr w:rsidR="009765D0" w14:paraId="04C00100" w14:textId="77777777">
        <w:tc>
          <w:tcPr>
            <w:tcW w:w="2734" w:type="dxa"/>
          </w:tcPr>
          <w:p w14:paraId="33D14508" w14:textId="77777777" w:rsidR="009765D0" w:rsidRDefault="0051542C" w:rsidP="00760824">
            <w:pPr>
              <w:jc w:val="center"/>
            </w:pPr>
            <w:r>
              <w:t>No</w:t>
            </w:r>
          </w:p>
        </w:tc>
        <w:tc>
          <w:tcPr>
            <w:tcW w:w="2780" w:type="dxa"/>
          </w:tcPr>
          <w:p w14:paraId="7E5225E9" w14:textId="77777777" w:rsidR="009765D0" w:rsidRDefault="0051542C">
            <w:pPr>
              <w:spacing w:line="480" w:lineRule="auto"/>
              <w:jc w:val="center"/>
            </w:pPr>
            <w:r>
              <w:t>11</w:t>
            </w:r>
          </w:p>
        </w:tc>
        <w:tc>
          <w:tcPr>
            <w:tcW w:w="2694" w:type="dxa"/>
          </w:tcPr>
          <w:p w14:paraId="30854BF7" w14:textId="77777777" w:rsidR="009765D0" w:rsidRDefault="0051542C">
            <w:pPr>
              <w:spacing w:line="480" w:lineRule="auto"/>
              <w:jc w:val="center"/>
            </w:pPr>
            <w:r>
              <w:t>27.50</w:t>
            </w:r>
          </w:p>
        </w:tc>
      </w:tr>
    </w:tbl>
    <w:p w14:paraId="54F30E4D" w14:textId="77777777" w:rsidR="009765D0" w:rsidRDefault="009765D0">
      <w:pPr>
        <w:pBdr>
          <w:top w:val="nil"/>
          <w:left w:val="nil"/>
          <w:bottom w:val="nil"/>
          <w:right w:val="nil"/>
          <w:between w:val="nil"/>
        </w:pBdr>
        <w:spacing w:after="240"/>
        <w:jc w:val="center"/>
        <w:rPr>
          <w:color w:val="000000"/>
        </w:rPr>
      </w:pPr>
    </w:p>
    <w:p w14:paraId="0B788DBF" w14:textId="29D8705E" w:rsidR="009765D0" w:rsidRDefault="0051542C">
      <w:pPr>
        <w:pBdr>
          <w:top w:val="nil"/>
          <w:left w:val="nil"/>
          <w:bottom w:val="nil"/>
          <w:right w:val="nil"/>
          <w:between w:val="nil"/>
        </w:pBdr>
        <w:spacing w:after="60" w:line="276" w:lineRule="auto"/>
        <w:jc w:val="both"/>
        <w:rPr>
          <w:color w:val="000000"/>
        </w:rPr>
      </w:pPr>
      <w:r>
        <w:rPr>
          <w:color w:val="000000"/>
        </w:rPr>
        <w:t>Table 22 shows that 72.5% of respondents had accessed loans. Among borrowers, 96.55% used banks (the remaining 3.45% used start-ups/fintech). The dominance of bank loans suggests that formal finance is relatively accessible; however, it remains important to assess how well credit products match the high-risk and cyclical nature of shrimp farming. Loans that are misaligned with production cycles may intensify cash-flow stress when production declines or disease occurs (Pomeroy et al., 2020; FAO, 2020). Therefore, MSME</w:t>
      </w:r>
      <w:r w:rsidR="00663BF9">
        <w:rPr>
          <w:color w:val="000000"/>
        </w:rPr>
        <w:t>s</w:t>
      </w:r>
      <w:r>
        <w:rPr>
          <w:color w:val="000000"/>
        </w:rPr>
        <w:t xml:space="preserve"> pond-financing policies are likely to be more effective when oriented to adaptive schemes (tenor aligned to cycles, grace periods during stocking, and risk</w:t>
      </w:r>
      <w:r w:rsidR="002A1EAC">
        <w:rPr>
          <w:color w:val="000000"/>
        </w:rPr>
        <w:t xml:space="preserve"> </w:t>
      </w:r>
      <w:r>
        <w:rPr>
          <w:color w:val="000000"/>
        </w:rPr>
        <w:t>mitigation mechanisms) alongside administrative mentoring so that MSMEs can maintain financial discipline and creditworthiness over time (Pomeroy et al., 2020).</w:t>
      </w:r>
    </w:p>
    <w:p w14:paraId="2AE28FD6" w14:textId="77777777" w:rsidR="009765D0" w:rsidRDefault="009765D0">
      <w:pPr>
        <w:pBdr>
          <w:top w:val="nil"/>
          <w:left w:val="nil"/>
          <w:bottom w:val="nil"/>
          <w:right w:val="nil"/>
          <w:between w:val="nil"/>
        </w:pBdr>
        <w:spacing w:after="60" w:line="276" w:lineRule="auto"/>
        <w:jc w:val="both"/>
        <w:rPr>
          <w:color w:val="000000"/>
        </w:rPr>
      </w:pPr>
    </w:p>
    <w:p w14:paraId="50B4C81A"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Lending institutions (respondents who have ever borrowed)</w:t>
      </w:r>
    </w:p>
    <w:p w14:paraId="426D7299" w14:textId="77777777" w:rsidR="009765D0" w:rsidRDefault="009765D0">
      <w:pPr>
        <w:pBdr>
          <w:top w:val="nil"/>
          <w:left w:val="nil"/>
          <w:bottom w:val="nil"/>
          <w:right w:val="nil"/>
          <w:between w:val="nil"/>
        </w:pBdr>
        <w:spacing w:after="60" w:line="276" w:lineRule="auto"/>
        <w:jc w:val="both"/>
        <w:rPr>
          <w:color w:val="000000"/>
        </w:rPr>
      </w:pPr>
    </w:p>
    <w:p w14:paraId="7BD239A9"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23. Lending institutions (respondents who have ever borrowed)</w:t>
      </w:r>
    </w:p>
    <w:tbl>
      <w:tblPr>
        <w:tblStyle w:val="af5"/>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866"/>
        <w:gridCol w:w="2717"/>
        <w:gridCol w:w="2625"/>
      </w:tblGrid>
      <w:tr w:rsidR="009765D0" w14:paraId="256DA676" w14:textId="77777777">
        <w:tc>
          <w:tcPr>
            <w:tcW w:w="2866" w:type="dxa"/>
            <w:tcBorders>
              <w:top w:val="single" w:sz="4" w:space="0" w:color="000000"/>
              <w:bottom w:val="single" w:sz="4" w:space="0" w:color="000000"/>
            </w:tcBorders>
          </w:tcPr>
          <w:p w14:paraId="4AFAFFAE" w14:textId="77777777" w:rsidR="009765D0" w:rsidRDefault="0051542C">
            <w:pPr>
              <w:jc w:val="center"/>
            </w:pPr>
            <w:r>
              <w:t>Category</w:t>
            </w:r>
          </w:p>
        </w:tc>
        <w:tc>
          <w:tcPr>
            <w:tcW w:w="2717" w:type="dxa"/>
            <w:tcBorders>
              <w:top w:val="single" w:sz="4" w:space="0" w:color="000000"/>
              <w:bottom w:val="single" w:sz="4" w:space="0" w:color="000000"/>
            </w:tcBorders>
          </w:tcPr>
          <w:p w14:paraId="1A2F96A5" w14:textId="77777777" w:rsidR="009765D0" w:rsidRDefault="0051542C">
            <w:r>
              <w:t>Frequency (n)</w:t>
            </w:r>
          </w:p>
        </w:tc>
        <w:tc>
          <w:tcPr>
            <w:tcW w:w="2625" w:type="dxa"/>
            <w:tcBorders>
              <w:top w:val="single" w:sz="4" w:space="0" w:color="000000"/>
              <w:bottom w:val="single" w:sz="4" w:space="0" w:color="000000"/>
            </w:tcBorders>
          </w:tcPr>
          <w:p w14:paraId="2EB30904" w14:textId="77777777" w:rsidR="009765D0" w:rsidRDefault="0051542C">
            <w:pPr>
              <w:spacing w:line="480" w:lineRule="auto"/>
              <w:jc w:val="center"/>
            </w:pPr>
            <w:r>
              <w:t>Percent (%)</w:t>
            </w:r>
          </w:p>
        </w:tc>
      </w:tr>
      <w:tr w:rsidR="009765D0" w14:paraId="616896FA" w14:textId="77777777">
        <w:tc>
          <w:tcPr>
            <w:tcW w:w="2866" w:type="dxa"/>
            <w:tcBorders>
              <w:top w:val="single" w:sz="4" w:space="0" w:color="000000"/>
            </w:tcBorders>
          </w:tcPr>
          <w:p w14:paraId="7A97C5B2" w14:textId="77777777" w:rsidR="009765D0" w:rsidRDefault="0051542C">
            <w:pPr>
              <w:spacing w:line="480" w:lineRule="auto"/>
              <w:jc w:val="center"/>
            </w:pPr>
            <w:r>
              <w:t>Bank</w:t>
            </w:r>
          </w:p>
        </w:tc>
        <w:tc>
          <w:tcPr>
            <w:tcW w:w="2717" w:type="dxa"/>
            <w:tcBorders>
              <w:top w:val="single" w:sz="4" w:space="0" w:color="000000"/>
            </w:tcBorders>
          </w:tcPr>
          <w:p w14:paraId="2B882CC9" w14:textId="77777777" w:rsidR="009765D0" w:rsidRDefault="0051542C">
            <w:pPr>
              <w:spacing w:line="480" w:lineRule="auto"/>
              <w:jc w:val="center"/>
            </w:pPr>
            <w:r>
              <w:t>28</w:t>
            </w:r>
          </w:p>
        </w:tc>
        <w:tc>
          <w:tcPr>
            <w:tcW w:w="2625" w:type="dxa"/>
            <w:tcBorders>
              <w:top w:val="single" w:sz="4" w:space="0" w:color="000000"/>
            </w:tcBorders>
          </w:tcPr>
          <w:p w14:paraId="222ADCE2" w14:textId="77777777" w:rsidR="009765D0" w:rsidRDefault="0051542C">
            <w:pPr>
              <w:spacing w:line="480" w:lineRule="auto"/>
              <w:jc w:val="center"/>
            </w:pPr>
            <w:r>
              <w:t>96.55</w:t>
            </w:r>
          </w:p>
        </w:tc>
      </w:tr>
      <w:tr w:rsidR="009765D0" w14:paraId="54A6929D" w14:textId="77777777">
        <w:tc>
          <w:tcPr>
            <w:tcW w:w="2866" w:type="dxa"/>
          </w:tcPr>
          <w:p w14:paraId="0474DC9A" w14:textId="77777777" w:rsidR="009765D0" w:rsidRDefault="0051542C">
            <w:pPr>
              <w:spacing w:line="480" w:lineRule="auto"/>
              <w:jc w:val="center"/>
            </w:pPr>
            <w:r>
              <w:t>Startup/Fintech</w:t>
            </w:r>
          </w:p>
        </w:tc>
        <w:tc>
          <w:tcPr>
            <w:tcW w:w="2717" w:type="dxa"/>
          </w:tcPr>
          <w:p w14:paraId="123FA304" w14:textId="77777777" w:rsidR="009765D0" w:rsidRDefault="0051542C">
            <w:pPr>
              <w:spacing w:line="480" w:lineRule="auto"/>
              <w:jc w:val="center"/>
            </w:pPr>
            <w:r>
              <w:t>1</w:t>
            </w:r>
          </w:p>
        </w:tc>
        <w:tc>
          <w:tcPr>
            <w:tcW w:w="2625" w:type="dxa"/>
          </w:tcPr>
          <w:p w14:paraId="2E5D843B" w14:textId="77777777" w:rsidR="009765D0" w:rsidRDefault="0051542C">
            <w:pPr>
              <w:spacing w:line="480" w:lineRule="auto"/>
              <w:jc w:val="center"/>
            </w:pPr>
            <w:r>
              <w:t>3.45</w:t>
            </w:r>
          </w:p>
        </w:tc>
      </w:tr>
    </w:tbl>
    <w:p w14:paraId="1553804E" w14:textId="77777777" w:rsidR="009765D0" w:rsidRDefault="009765D0">
      <w:pPr>
        <w:pBdr>
          <w:top w:val="nil"/>
          <w:left w:val="nil"/>
          <w:bottom w:val="nil"/>
          <w:right w:val="nil"/>
          <w:between w:val="nil"/>
        </w:pBdr>
        <w:spacing w:after="240"/>
        <w:jc w:val="center"/>
        <w:rPr>
          <w:color w:val="000000"/>
        </w:rPr>
      </w:pPr>
    </w:p>
    <w:p w14:paraId="3F6E000F" w14:textId="77777777" w:rsidR="009765D0" w:rsidRDefault="0051542C">
      <w:pPr>
        <w:pBdr>
          <w:top w:val="nil"/>
          <w:left w:val="nil"/>
          <w:bottom w:val="nil"/>
          <w:right w:val="nil"/>
          <w:between w:val="nil"/>
        </w:pBdr>
        <w:spacing w:after="60" w:line="276" w:lineRule="auto"/>
        <w:jc w:val="center"/>
        <w:rPr>
          <w:color w:val="000000"/>
        </w:rPr>
      </w:pPr>
      <w:r>
        <w:rPr>
          <w:color w:val="000000"/>
        </w:rPr>
        <w:t>Table 23 shows that ‘Bank’ was the most frequently accessed lending institution (96.55% of respondents who had borrowed). This concentration indicates the main financing channel; tailoring credit products to shrimp-production cycles and disease risk could improve financing sustainability.</w:t>
      </w:r>
    </w:p>
    <w:p w14:paraId="7A05237A" w14:textId="77777777" w:rsidR="009765D0" w:rsidRDefault="009765D0">
      <w:pPr>
        <w:pBdr>
          <w:top w:val="nil"/>
          <w:left w:val="nil"/>
          <w:bottom w:val="nil"/>
          <w:right w:val="nil"/>
          <w:between w:val="nil"/>
        </w:pBdr>
        <w:spacing w:after="60" w:line="276" w:lineRule="auto"/>
        <w:jc w:val="center"/>
        <w:rPr>
          <w:color w:val="000000"/>
        </w:rPr>
      </w:pPr>
    </w:p>
    <w:p w14:paraId="322EEBF8"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Highest education level × loan access</w:t>
      </w:r>
    </w:p>
    <w:p w14:paraId="4D1F4B41" w14:textId="70FE9888" w:rsidR="009765D0" w:rsidRDefault="0051542C">
      <w:pPr>
        <w:pBdr>
          <w:top w:val="nil"/>
          <w:left w:val="nil"/>
          <w:bottom w:val="nil"/>
          <w:right w:val="nil"/>
          <w:between w:val="nil"/>
        </w:pBdr>
        <w:spacing w:after="60" w:line="276" w:lineRule="auto"/>
        <w:jc w:val="center"/>
        <w:rPr>
          <w:b/>
          <w:bCs/>
          <w:color w:val="000000"/>
        </w:rPr>
      </w:pPr>
      <w:r>
        <w:rPr>
          <w:color w:val="000000"/>
        </w:rPr>
        <w:t>Table 24. Cross</w:t>
      </w:r>
      <w:r w:rsidR="002A1EAC">
        <w:rPr>
          <w:color w:val="000000"/>
        </w:rPr>
        <w:t xml:space="preserve"> </w:t>
      </w:r>
      <w:r>
        <w:rPr>
          <w:color w:val="000000"/>
        </w:rPr>
        <w:t>tabulation: Highest education level × loan access</w:t>
      </w:r>
    </w:p>
    <w:tbl>
      <w:tblPr>
        <w:tblStyle w:val="af6"/>
        <w:tblW w:w="8208" w:type="dxa"/>
        <w:tblInd w:w="0" w:type="dxa"/>
        <w:tblLayout w:type="fixed"/>
        <w:tblLook w:val="0400" w:firstRow="0" w:lastRow="0" w:firstColumn="0" w:lastColumn="0" w:noHBand="0" w:noVBand="1"/>
      </w:tblPr>
      <w:tblGrid>
        <w:gridCol w:w="2952"/>
        <w:gridCol w:w="2642"/>
        <w:gridCol w:w="2614"/>
      </w:tblGrid>
      <w:tr w:rsidR="009765D0" w14:paraId="46986437" w14:textId="77777777">
        <w:tc>
          <w:tcPr>
            <w:tcW w:w="2952" w:type="dxa"/>
            <w:tcBorders>
              <w:top w:val="single" w:sz="4" w:space="0" w:color="000000"/>
              <w:bottom w:val="single" w:sz="4" w:space="0" w:color="000000"/>
            </w:tcBorders>
          </w:tcPr>
          <w:p w14:paraId="4496E55D" w14:textId="77777777" w:rsidR="009765D0" w:rsidRDefault="0051542C">
            <w:pPr>
              <w:jc w:val="center"/>
            </w:pPr>
            <w:r>
              <w:rPr>
                <w:b/>
                <w:bCs/>
              </w:rPr>
              <w:t>Education</w:t>
            </w:r>
          </w:p>
        </w:tc>
        <w:tc>
          <w:tcPr>
            <w:tcW w:w="2642" w:type="dxa"/>
            <w:tcBorders>
              <w:top w:val="single" w:sz="4" w:space="0" w:color="000000"/>
              <w:bottom w:val="single" w:sz="4" w:space="0" w:color="000000"/>
            </w:tcBorders>
          </w:tcPr>
          <w:p w14:paraId="6BE9F813" w14:textId="77777777" w:rsidR="009765D0" w:rsidRDefault="0051542C">
            <w:pPr>
              <w:jc w:val="center"/>
            </w:pPr>
            <w:r>
              <w:rPr>
                <w:b/>
                <w:bCs/>
              </w:rPr>
              <w:t>Yes</w:t>
            </w:r>
          </w:p>
        </w:tc>
        <w:tc>
          <w:tcPr>
            <w:tcW w:w="2614" w:type="dxa"/>
            <w:tcBorders>
              <w:top w:val="single" w:sz="4" w:space="0" w:color="000000"/>
              <w:bottom w:val="single" w:sz="4" w:space="0" w:color="000000"/>
            </w:tcBorders>
          </w:tcPr>
          <w:p w14:paraId="09DEE233" w14:textId="77777777" w:rsidR="009765D0" w:rsidRDefault="0051542C">
            <w:pPr>
              <w:jc w:val="center"/>
            </w:pPr>
            <w:r>
              <w:rPr>
                <w:b/>
                <w:bCs/>
              </w:rPr>
              <w:t>No</w:t>
            </w:r>
          </w:p>
        </w:tc>
      </w:tr>
      <w:tr w:rsidR="009765D0" w14:paraId="2DACFC9F" w14:textId="77777777">
        <w:tc>
          <w:tcPr>
            <w:tcW w:w="2952" w:type="dxa"/>
            <w:tcBorders>
              <w:top w:val="single" w:sz="4" w:space="0" w:color="000000"/>
            </w:tcBorders>
          </w:tcPr>
          <w:p w14:paraId="5F4979D4" w14:textId="77777777" w:rsidR="009765D0" w:rsidRDefault="0051542C">
            <w:pPr>
              <w:jc w:val="center"/>
            </w:pPr>
            <w:r>
              <w:t>No formal schooling</w:t>
            </w:r>
          </w:p>
        </w:tc>
        <w:tc>
          <w:tcPr>
            <w:tcW w:w="2642" w:type="dxa"/>
            <w:tcBorders>
              <w:top w:val="single" w:sz="4" w:space="0" w:color="000000"/>
            </w:tcBorders>
          </w:tcPr>
          <w:p w14:paraId="20D3B0C7" w14:textId="77777777" w:rsidR="009765D0" w:rsidRDefault="0051542C">
            <w:pPr>
              <w:jc w:val="center"/>
            </w:pPr>
            <w:r>
              <w:t>2</w:t>
            </w:r>
          </w:p>
        </w:tc>
        <w:tc>
          <w:tcPr>
            <w:tcW w:w="2614" w:type="dxa"/>
            <w:tcBorders>
              <w:top w:val="single" w:sz="4" w:space="0" w:color="000000"/>
            </w:tcBorders>
          </w:tcPr>
          <w:p w14:paraId="7431984F" w14:textId="77777777" w:rsidR="009765D0" w:rsidRDefault="0051542C">
            <w:pPr>
              <w:jc w:val="center"/>
            </w:pPr>
            <w:r>
              <w:t>0</w:t>
            </w:r>
          </w:p>
        </w:tc>
      </w:tr>
      <w:tr w:rsidR="009765D0" w14:paraId="35FB7488" w14:textId="77777777">
        <w:tc>
          <w:tcPr>
            <w:tcW w:w="2952" w:type="dxa"/>
          </w:tcPr>
          <w:p w14:paraId="60642538" w14:textId="77777777" w:rsidR="009765D0" w:rsidRDefault="0051542C">
            <w:pPr>
              <w:jc w:val="center"/>
            </w:pPr>
            <w:r>
              <w:t>Elementary school</w:t>
            </w:r>
          </w:p>
        </w:tc>
        <w:tc>
          <w:tcPr>
            <w:tcW w:w="2642" w:type="dxa"/>
          </w:tcPr>
          <w:p w14:paraId="7CF4BDCA" w14:textId="77777777" w:rsidR="009765D0" w:rsidRDefault="0051542C">
            <w:pPr>
              <w:jc w:val="center"/>
            </w:pPr>
            <w:r>
              <w:t>2</w:t>
            </w:r>
          </w:p>
        </w:tc>
        <w:tc>
          <w:tcPr>
            <w:tcW w:w="2614" w:type="dxa"/>
          </w:tcPr>
          <w:p w14:paraId="5421F687" w14:textId="77777777" w:rsidR="009765D0" w:rsidRDefault="0051542C">
            <w:pPr>
              <w:jc w:val="center"/>
            </w:pPr>
            <w:r>
              <w:t>1</w:t>
            </w:r>
          </w:p>
        </w:tc>
      </w:tr>
      <w:tr w:rsidR="009765D0" w14:paraId="6CE88979" w14:textId="77777777">
        <w:tc>
          <w:tcPr>
            <w:tcW w:w="2952" w:type="dxa"/>
          </w:tcPr>
          <w:p w14:paraId="0AB256EF" w14:textId="77777777" w:rsidR="009765D0" w:rsidRDefault="0051542C">
            <w:pPr>
              <w:jc w:val="center"/>
            </w:pPr>
            <w:r>
              <w:t>Junior high school</w:t>
            </w:r>
          </w:p>
        </w:tc>
        <w:tc>
          <w:tcPr>
            <w:tcW w:w="2642" w:type="dxa"/>
          </w:tcPr>
          <w:p w14:paraId="76BDB3E9" w14:textId="77777777" w:rsidR="009765D0" w:rsidRDefault="0051542C">
            <w:pPr>
              <w:jc w:val="center"/>
            </w:pPr>
            <w:r>
              <w:t>3</w:t>
            </w:r>
          </w:p>
        </w:tc>
        <w:tc>
          <w:tcPr>
            <w:tcW w:w="2614" w:type="dxa"/>
          </w:tcPr>
          <w:p w14:paraId="66ABEE79" w14:textId="77777777" w:rsidR="009765D0" w:rsidRDefault="0051542C">
            <w:pPr>
              <w:jc w:val="center"/>
            </w:pPr>
            <w:r>
              <w:t>2</w:t>
            </w:r>
          </w:p>
        </w:tc>
      </w:tr>
      <w:tr w:rsidR="009765D0" w14:paraId="5A78F6C7" w14:textId="77777777">
        <w:tc>
          <w:tcPr>
            <w:tcW w:w="2952" w:type="dxa"/>
          </w:tcPr>
          <w:p w14:paraId="2FEEC7EA" w14:textId="77777777" w:rsidR="009765D0" w:rsidRDefault="0051542C">
            <w:pPr>
              <w:jc w:val="center"/>
            </w:pPr>
            <w:r>
              <w:t>Senior high/vocational</w:t>
            </w:r>
          </w:p>
        </w:tc>
        <w:tc>
          <w:tcPr>
            <w:tcW w:w="2642" w:type="dxa"/>
          </w:tcPr>
          <w:p w14:paraId="767837A4" w14:textId="77777777" w:rsidR="009765D0" w:rsidRDefault="0051542C">
            <w:pPr>
              <w:jc w:val="center"/>
            </w:pPr>
            <w:r>
              <w:t>13</w:t>
            </w:r>
          </w:p>
        </w:tc>
        <w:tc>
          <w:tcPr>
            <w:tcW w:w="2614" w:type="dxa"/>
          </w:tcPr>
          <w:p w14:paraId="7CFB9466" w14:textId="77777777" w:rsidR="009765D0" w:rsidRDefault="0051542C">
            <w:pPr>
              <w:jc w:val="center"/>
            </w:pPr>
            <w:r>
              <w:t>7</w:t>
            </w:r>
          </w:p>
        </w:tc>
      </w:tr>
      <w:tr w:rsidR="009765D0" w14:paraId="69935CD3" w14:textId="77777777">
        <w:tc>
          <w:tcPr>
            <w:tcW w:w="2952" w:type="dxa"/>
            <w:tcBorders>
              <w:bottom w:val="single" w:sz="4" w:space="0" w:color="000000"/>
            </w:tcBorders>
          </w:tcPr>
          <w:p w14:paraId="6DA01585" w14:textId="77777777" w:rsidR="009765D0" w:rsidRDefault="0051542C">
            <w:pPr>
              <w:jc w:val="center"/>
            </w:pPr>
            <w:r>
              <w:t>University</w:t>
            </w:r>
          </w:p>
        </w:tc>
        <w:tc>
          <w:tcPr>
            <w:tcW w:w="2642" w:type="dxa"/>
            <w:tcBorders>
              <w:bottom w:val="single" w:sz="4" w:space="0" w:color="000000"/>
            </w:tcBorders>
          </w:tcPr>
          <w:p w14:paraId="3166785E" w14:textId="77777777" w:rsidR="009765D0" w:rsidRDefault="0051542C">
            <w:pPr>
              <w:jc w:val="center"/>
            </w:pPr>
            <w:r>
              <w:t>9</w:t>
            </w:r>
          </w:p>
        </w:tc>
        <w:tc>
          <w:tcPr>
            <w:tcW w:w="2614" w:type="dxa"/>
            <w:tcBorders>
              <w:bottom w:val="single" w:sz="4" w:space="0" w:color="000000"/>
            </w:tcBorders>
          </w:tcPr>
          <w:p w14:paraId="43247B1A" w14:textId="77777777" w:rsidR="009765D0" w:rsidRDefault="0051542C">
            <w:pPr>
              <w:jc w:val="center"/>
            </w:pPr>
            <w:r>
              <w:t>1</w:t>
            </w:r>
          </w:p>
        </w:tc>
      </w:tr>
    </w:tbl>
    <w:p w14:paraId="555CF653" w14:textId="77777777" w:rsidR="009765D0" w:rsidRDefault="009765D0">
      <w:pPr>
        <w:pBdr>
          <w:top w:val="nil"/>
          <w:left w:val="nil"/>
          <w:bottom w:val="nil"/>
          <w:right w:val="nil"/>
          <w:between w:val="nil"/>
        </w:pBdr>
        <w:spacing w:after="240"/>
        <w:jc w:val="center"/>
        <w:rPr>
          <w:color w:val="000000"/>
        </w:rPr>
      </w:pPr>
    </w:p>
    <w:p w14:paraId="6A62A8AA" w14:textId="019F5DCC" w:rsidR="009765D0" w:rsidRDefault="0051542C">
      <w:pPr>
        <w:pBdr>
          <w:top w:val="nil"/>
          <w:left w:val="nil"/>
          <w:bottom w:val="nil"/>
          <w:right w:val="nil"/>
          <w:between w:val="nil"/>
        </w:pBdr>
        <w:spacing w:after="60" w:line="276" w:lineRule="auto"/>
        <w:jc w:val="both"/>
        <w:rPr>
          <w:color w:val="000000"/>
        </w:rPr>
      </w:pPr>
      <w:r>
        <w:rPr>
          <w:color w:val="000000"/>
        </w:rPr>
        <w:t>Table 24 presents a cross</w:t>
      </w:r>
      <w:r w:rsidR="002A1EAC">
        <w:rPr>
          <w:color w:val="000000"/>
        </w:rPr>
        <w:t xml:space="preserve"> </w:t>
      </w:r>
      <w:r>
        <w:rPr>
          <w:color w:val="000000"/>
        </w:rPr>
        <w:t>tabulation between education and loan access. Loan access is highest among university-educated farmers, while patterns in lower-education groups are less stable due to small subgroup sizes and the influence of collateral, social networks, and local banking relationships. Nevertheless, strengthening financial literacy and administrative capacity remains important for widening inclusive finance, particularly through practical bookkeeping and mentoring for credit applications (Pomeroy et al., 2020; Lusardi &amp; Mitchell, 2014).</w:t>
      </w:r>
    </w:p>
    <w:p w14:paraId="65ED6BC8" w14:textId="77777777" w:rsidR="009765D0" w:rsidRDefault="009765D0">
      <w:pPr>
        <w:pBdr>
          <w:top w:val="nil"/>
          <w:left w:val="nil"/>
          <w:bottom w:val="nil"/>
          <w:right w:val="nil"/>
          <w:between w:val="nil"/>
        </w:pBdr>
        <w:spacing w:after="60" w:line="276" w:lineRule="auto"/>
        <w:jc w:val="both"/>
        <w:rPr>
          <w:color w:val="000000"/>
        </w:rPr>
      </w:pPr>
    </w:p>
    <w:p w14:paraId="604CB251" w14:textId="77777777" w:rsidR="009765D0" w:rsidRDefault="0051542C">
      <w:pPr>
        <w:pBdr>
          <w:top w:val="nil"/>
          <w:left w:val="nil"/>
          <w:bottom w:val="nil"/>
          <w:right w:val="nil"/>
          <w:between w:val="nil"/>
        </w:pBdr>
        <w:spacing w:after="60" w:line="276" w:lineRule="auto"/>
        <w:jc w:val="center"/>
        <w:rPr>
          <w:b/>
          <w:bCs/>
          <w:color w:val="000000"/>
        </w:rPr>
      </w:pPr>
      <w:r>
        <w:rPr>
          <w:color w:val="000000"/>
        </w:rPr>
        <w:t>Fig. 2. Loan access by education level (n = 40).</w:t>
      </w:r>
    </w:p>
    <w:p w14:paraId="7961C562" w14:textId="77777777" w:rsidR="009765D0" w:rsidRDefault="0051542C">
      <w:pPr>
        <w:pBdr>
          <w:top w:val="nil"/>
          <w:left w:val="nil"/>
          <w:bottom w:val="nil"/>
          <w:right w:val="nil"/>
          <w:between w:val="nil"/>
        </w:pBdr>
        <w:spacing w:after="120"/>
        <w:jc w:val="center"/>
        <w:rPr>
          <w:color w:val="000000"/>
        </w:rPr>
      </w:pPr>
      <w:r>
        <w:rPr>
          <w:noProof/>
          <w:color w:val="000000"/>
        </w:rPr>
        <w:drawing>
          <wp:inline distT="0" distB="0" distL="0" distR="0" wp14:anchorId="6757474B" wp14:editId="1A56FB43">
            <wp:extent cx="5212080" cy="29584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12080" cy="2958465"/>
                    </a:xfrm>
                    <a:prstGeom prst="rect">
                      <a:avLst/>
                    </a:prstGeom>
                    <a:ln/>
                  </pic:spPr>
                </pic:pic>
              </a:graphicData>
            </a:graphic>
          </wp:inline>
        </w:drawing>
      </w:r>
    </w:p>
    <w:p w14:paraId="36DE3963" w14:textId="17921F91" w:rsidR="009765D0" w:rsidRDefault="0051542C">
      <w:pPr>
        <w:pBdr>
          <w:top w:val="nil"/>
          <w:left w:val="nil"/>
          <w:bottom w:val="nil"/>
          <w:right w:val="nil"/>
          <w:between w:val="nil"/>
        </w:pBdr>
        <w:spacing w:before="120" w:after="60"/>
        <w:jc w:val="both"/>
        <w:rPr>
          <w:color w:val="000000"/>
        </w:rPr>
      </w:pPr>
      <w:r>
        <w:rPr>
          <w:color w:val="000000"/>
        </w:rPr>
        <w:t>Overall, the cross</w:t>
      </w:r>
      <w:r w:rsidR="002A1EAC">
        <w:rPr>
          <w:color w:val="000000"/>
        </w:rPr>
        <w:t xml:space="preserve"> t</w:t>
      </w:r>
      <w:r>
        <w:rPr>
          <w:color w:val="000000"/>
        </w:rPr>
        <w:t>abulation suggests relatively stronger loan access among farmers with medium-to-higher education, consistent with the role of financial literacy and administrative capacity in enabling financing inclusion (Pomeroy et al., 2020; Lusardi &amp; Mitchell, 2014).</w:t>
      </w:r>
    </w:p>
    <w:p w14:paraId="064C5D51" w14:textId="77777777" w:rsidR="009765D0" w:rsidRDefault="009765D0">
      <w:pPr>
        <w:pBdr>
          <w:top w:val="nil"/>
          <w:left w:val="nil"/>
          <w:bottom w:val="nil"/>
          <w:right w:val="nil"/>
          <w:between w:val="nil"/>
        </w:pBdr>
        <w:spacing w:before="120" w:after="60"/>
        <w:jc w:val="both"/>
        <w:rPr>
          <w:color w:val="000000"/>
        </w:rPr>
      </w:pPr>
    </w:p>
    <w:p w14:paraId="3AA49171" w14:textId="26C6BA7F" w:rsidR="009765D0" w:rsidRDefault="0051542C">
      <w:pPr>
        <w:pBdr>
          <w:top w:val="nil"/>
          <w:left w:val="nil"/>
          <w:bottom w:val="nil"/>
          <w:right w:val="nil"/>
          <w:between w:val="nil"/>
        </w:pBdr>
        <w:spacing w:before="120" w:after="60"/>
        <w:jc w:val="both"/>
        <w:rPr>
          <w:color w:val="000000"/>
        </w:rPr>
      </w:pPr>
      <w:r>
        <w:rPr>
          <w:color w:val="000000"/>
        </w:rPr>
        <w:t>Cost–profit patterns serve as a proxy for enterprise efficiency: as intensification increases, technical and cost efficiency become central to competitiveness. Evidence from Indonesia suggests that scale expansion and stronger productive assets can improve technical efficiency, implying that productivity policies should prioritize asset strengthening and feasible production services for smallholders (Asmild et al., 2024), consistent with broader aquaculture efficiency research linking profitability to input</w:t>
      </w:r>
      <w:r w:rsidR="00066594">
        <w:rPr>
          <w:color w:val="000000"/>
        </w:rPr>
        <w:t xml:space="preserve"> </w:t>
      </w:r>
      <w:r>
        <w:rPr>
          <w:color w:val="000000"/>
        </w:rPr>
        <w:t>use efficiency and resilience (</w:t>
      </w:r>
      <w:proofErr w:type="spellStart"/>
      <w:r>
        <w:rPr>
          <w:color w:val="000000"/>
        </w:rPr>
        <w:t>Hukom</w:t>
      </w:r>
      <w:proofErr w:type="spellEnd"/>
      <w:r>
        <w:rPr>
          <w:color w:val="000000"/>
        </w:rPr>
        <w:t xml:space="preserve"> et al., 2020). Although loan access is relatively high and dominated by banks, financing instruments must match production cycles, biological risks, and seasonal cash-flow needs to avoid over-leverage among small farmers (Pomeroy et al., 2020; Yusuf et al., 2020). Finally, feed purchasing modes (cash–partial credit–full credit) reflect working-capital capacity; because feed is typically the largest cost component, these patterns should be interpreted together with loan access and asset structure to gauge MSME</w:t>
      </w:r>
      <w:r w:rsidR="00663BF9">
        <w:rPr>
          <w:color w:val="000000"/>
        </w:rPr>
        <w:t>s</w:t>
      </w:r>
      <w:r>
        <w:rPr>
          <w:color w:val="000000"/>
        </w:rPr>
        <w:t xml:space="preserve"> financial resilience.</w:t>
      </w:r>
    </w:p>
    <w:p w14:paraId="566C6B8C" w14:textId="77777777" w:rsidR="009765D0" w:rsidRDefault="009765D0">
      <w:pPr>
        <w:keepNext/>
        <w:pBdr>
          <w:top w:val="nil"/>
          <w:left w:val="nil"/>
          <w:bottom w:val="nil"/>
          <w:right w:val="nil"/>
          <w:between w:val="nil"/>
        </w:pBdr>
        <w:spacing w:before="120" w:after="60"/>
        <w:rPr>
          <w:b/>
          <w:bCs/>
          <w:smallCaps/>
          <w:color w:val="000000"/>
          <w:sz w:val="22"/>
          <w:szCs w:val="22"/>
        </w:rPr>
      </w:pPr>
    </w:p>
    <w:p w14:paraId="1866CF5A"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4. CONCLUSION</w:t>
      </w:r>
    </w:p>
    <w:p w14:paraId="3B2D5BFB" w14:textId="77777777" w:rsidR="009765D0" w:rsidRDefault="0051542C">
      <w:pPr>
        <w:pBdr>
          <w:top w:val="nil"/>
          <w:left w:val="nil"/>
          <w:bottom w:val="nil"/>
          <w:right w:val="nil"/>
          <w:between w:val="nil"/>
        </w:pBdr>
        <w:spacing w:after="40" w:line="276" w:lineRule="auto"/>
        <w:jc w:val="both"/>
        <w:rPr>
          <w:color w:val="000000"/>
        </w:rPr>
      </w:pPr>
      <w:proofErr w:type="spellStart"/>
      <w:r>
        <w:rPr>
          <w:color w:val="000000"/>
        </w:rPr>
        <w:t>Vannamei</w:t>
      </w:r>
      <w:proofErr w:type="spellEnd"/>
      <w:r>
        <w:rPr>
          <w:color w:val="000000"/>
        </w:rPr>
        <w:t xml:space="preserve"> shrimp farming MSMEs along the North Coast of West Java are predominantly small-scale and individually managed, with production systems largely characterized by intensive practices. Although this structure reflects an effort to increase productivity, it also entails higher technical, financial, and environmental risks. Considerable heterogeneity exists in production capacity, working-capital strength, and access to environmental infrastructure, particularly wastewater treatment facilities.</w:t>
      </w:r>
    </w:p>
    <w:p w14:paraId="562E6D12" w14:textId="59AD8E81" w:rsidR="009765D0" w:rsidRDefault="0051542C">
      <w:pPr>
        <w:pBdr>
          <w:top w:val="nil"/>
          <w:left w:val="nil"/>
          <w:bottom w:val="nil"/>
          <w:right w:val="nil"/>
          <w:between w:val="nil"/>
        </w:pBdr>
        <w:spacing w:after="40" w:line="276" w:lineRule="auto"/>
        <w:jc w:val="both"/>
        <w:rPr>
          <w:color w:val="000000"/>
        </w:rPr>
      </w:pPr>
      <w:r>
        <w:rPr>
          <w:color w:val="000000"/>
        </w:rPr>
        <w:t xml:space="preserve">To enhance the resilience and sustainability of the sector, policy interventions should prioritize capacity building, adaptive </w:t>
      </w:r>
      <w:proofErr w:type="gramStart"/>
      <w:r>
        <w:rPr>
          <w:color w:val="000000"/>
        </w:rPr>
        <w:t>cycle</w:t>
      </w:r>
      <w:r w:rsidR="002A1EAC">
        <w:rPr>
          <w:color w:val="000000"/>
        </w:rPr>
        <w:t xml:space="preserve"> </w:t>
      </w:r>
      <w:r>
        <w:rPr>
          <w:color w:val="000000"/>
        </w:rPr>
        <w:t>based</w:t>
      </w:r>
      <w:proofErr w:type="gramEnd"/>
      <w:r>
        <w:rPr>
          <w:color w:val="000000"/>
        </w:rPr>
        <w:t xml:space="preserve"> financing, and cluster</w:t>
      </w:r>
      <w:r w:rsidR="00066594">
        <w:rPr>
          <w:color w:val="000000"/>
        </w:rPr>
        <w:t xml:space="preserve"> </w:t>
      </w:r>
      <w:r>
        <w:rPr>
          <w:color w:val="000000"/>
        </w:rPr>
        <w:t xml:space="preserve">oriented infrastructure support. Tailoring these interventions to enterprise scale is essential to improve risk management, environmental performance, and the long-term competitiveness of </w:t>
      </w:r>
      <w:proofErr w:type="spellStart"/>
      <w:r>
        <w:rPr>
          <w:color w:val="000000"/>
        </w:rPr>
        <w:t>vannamei</w:t>
      </w:r>
      <w:proofErr w:type="spellEnd"/>
      <w:r>
        <w:rPr>
          <w:color w:val="000000"/>
        </w:rPr>
        <w:t xml:space="preserve"> shrimp farming MSMEs</w:t>
      </w:r>
      <w:r w:rsidR="002A1EAC">
        <w:rPr>
          <w:color w:val="000000"/>
        </w:rPr>
        <w:t xml:space="preserve">. </w:t>
      </w:r>
    </w:p>
    <w:p w14:paraId="39A1D85D" w14:textId="4140204F" w:rsidR="002A1EAC" w:rsidRDefault="002A1EAC">
      <w:pPr>
        <w:pBdr>
          <w:top w:val="nil"/>
          <w:left w:val="nil"/>
          <w:bottom w:val="nil"/>
          <w:right w:val="nil"/>
          <w:between w:val="nil"/>
        </w:pBdr>
        <w:spacing w:after="40" w:line="276" w:lineRule="auto"/>
        <w:jc w:val="both"/>
        <w:rPr>
          <w:color w:val="000000"/>
        </w:rPr>
      </w:pPr>
      <w:r w:rsidRPr="002A1EAC">
        <w:rPr>
          <w:color w:val="000000"/>
        </w:rPr>
        <w:t>This study has several limitations. First, the sample size was modest (n = 40) and respondents were selected using purposive sampling; therefore, findings may not fully represent all shrimp MSMEs across the North Coast of West Java. Second, several production and financial indicators were self-reported and may be subject to recall or reporting bias. Third, the analysis is cross sectional and reflects conditions during the survey period (October 2025), so changes across cycles or seasons were not captured. Future research with larger samples, probability-based designs, and longitudinal farm records would strengthen generalizability and causal interpretation.</w:t>
      </w:r>
    </w:p>
    <w:p w14:paraId="4E1B30EB" w14:textId="77777777" w:rsidR="009765D0" w:rsidRDefault="009765D0">
      <w:pPr>
        <w:rPr>
          <w:b/>
          <w:bCs/>
        </w:rPr>
      </w:pPr>
    </w:p>
    <w:p w14:paraId="043077FF" w14:textId="77777777" w:rsidR="009765D0" w:rsidRDefault="0051542C">
      <w:pPr>
        <w:rPr>
          <w:b/>
          <w:bCs/>
        </w:rPr>
      </w:pPr>
      <w:bookmarkStart w:id="0" w:name="_GoBack"/>
      <w:r>
        <w:rPr>
          <w:b/>
          <w:bCs/>
        </w:rPr>
        <w:t xml:space="preserve">Ethical </w:t>
      </w:r>
      <w:bookmarkEnd w:id="0"/>
      <w:r>
        <w:rPr>
          <w:b/>
          <w:bCs/>
        </w:rPr>
        <w:t>Approval</w:t>
      </w:r>
    </w:p>
    <w:p w14:paraId="52783632" w14:textId="77777777" w:rsidR="009765D0" w:rsidRDefault="009765D0">
      <w:pPr>
        <w:rPr>
          <w:b/>
          <w:bCs/>
        </w:rPr>
      </w:pPr>
    </w:p>
    <w:p w14:paraId="68C3FDB8" w14:textId="77777777" w:rsidR="009765D0" w:rsidRDefault="0051542C">
      <w:pPr>
        <w:pBdr>
          <w:top w:val="nil"/>
          <w:left w:val="nil"/>
          <w:bottom w:val="nil"/>
          <w:right w:val="nil"/>
          <w:between w:val="nil"/>
        </w:pBdr>
        <w:spacing w:after="240"/>
        <w:jc w:val="both"/>
        <w:rPr>
          <w:color w:val="000000"/>
        </w:rPr>
      </w:pPr>
      <w:r>
        <w:rPr>
          <w:color w:val="000000"/>
        </w:rPr>
        <w:t>The study involved an anonymous survey of adult farmers; no clinical/medical interventions were conducted. Ethical approval was not required by the authors’ institution for this type of study.</w:t>
      </w:r>
    </w:p>
    <w:p w14:paraId="41E968B7" w14:textId="77777777" w:rsidR="009765D0" w:rsidRDefault="0051542C">
      <w:pPr>
        <w:rPr>
          <w:b/>
          <w:bCs/>
        </w:rPr>
      </w:pPr>
      <w:r>
        <w:rPr>
          <w:b/>
          <w:bCs/>
        </w:rPr>
        <w:t>Consent</w:t>
      </w:r>
    </w:p>
    <w:p w14:paraId="32630B66" w14:textId="77777777" w:rsidR="009765D0" w:rsidRDefault="009765D0">
      <w:pPr>
        <w:rPr>
          <w:b/>
          <w:bCs/>
        </w:rPr>
      </w:pPr>
    </w:p>
    <w:p w14:paraId="0B71DC2E" w14:textId="77E412AD" w:rsidR="003D5FC2" w:rsidRDefault="0051542C">
      <w:pPr>
        <w:pBdr>
          <w:top w:val="nil"/>
          <w:left w:val="nil"/>
          <w:bottom w:val="nil"/>
          <w:right w:val="nil"/>
          <w:between w:val="nil"/>
        </w:pBdr>
        <w:spacing w:after="240"/>
        <w:jc w:val="both"/>
        <w:rPr>
          <w:color w:val="000000"/>
        </w:rPr>
      </w:pPr>
      <w:r>
        <w:rPr>
          <w:color w:val="000000"/>
        </w:rPr>
        <w:t>Informed consent was obtained from all respondents prior to participation. Personal identifiers were not collected and the dataset was anonymized.</w:t>
      </w:r>
    </w:p>
    <w:p w14:paraId="080FA2D6" w14:textId="77777777" w:rsidR="002C6672" w:rsidRPr="002C6672" w:rsidRDefault="002C6672" w:rsidP="002C6672">
      <w:pPr>
        <w:pBdr>
          <w:top w:val="nil"/>
          <w:left w:val="nil"/>
          <w:bottom w:val="nil"/>
          <w:right w:val="nil"/>
          <w:between w:val="nil"/>
        </w:pBdr>
        <w:spacing w:after="240"/>
        <w:jc w:val="both"/>
        <w:rPr>
          <w:color w:val="000000"/>
        </w:rPr>
      </w:pPr>
      <w:r w:rsidRPr="002C6672">
        <w:rPr>
          <w:color w:val="000000"/>
        </w:rPr>
        <w:t>COMPETING INTERESTS DISCLAIMER:</w:t>
      </w:r>
    </w:p>
    <w:p w14:paraId="545708CD" w14:textId="315F536F" w:rsidR="002C6672" w:rsidRDefault="002C6672" w:rsidP="002C6672">
      <w:pPr>
        <w:pBdr>
          <w:top w:val="nil"/>
          <w:left w:val="nil"/>
          <w:bottom w:val="nil"/>
          <w:right w:val="nil"/>
          <w:between w:val="nil"/>
        </w:pBdr>
        <w:spacing w:after="240"/>
        <w:jc w:val="both"/>
        <w:rPr>
          <w:color w:val="000000"/>
        </w:rPr>
      </w:pPr>
      <w:r w:rsidRPr="002C6672">
        <w:rPr>
          <w:color w:val="000000"/>
        </w:rPr>
        <w:t>Authors have declared that they have no known competing financial interests OR non-financial interests OR personal relationships that could have appeared to influence the work reported in this paper.</w:t>
      </w:r>
    </w:p>
    <w:p w14:paraId="3110A88F" w14:textId="3AF60BB3" w:rsidR="00446B96" w:rsidRDefault="00446B96" w:rsidP="002C6672">
      <w:pPr>
        <w:pBdr>
          <w:top w:val="nil"/>
          <w:left w:val="nil"/>
          <w:bottom w:val="nil"/>
          <w:right w:val="nil"/>
          <w:between w:val="nil"/>
        </w:pBdr>
        <w:spacing w:after="240"/>
        <w:jc w:val="both"/>
        <w:rPr>
          <w:color w:val="000000"/>
        </w:rPr>
      </w:pPr>
    </w:p>
    <w:p w14:paraId="0C2B9F6F" w14:textId="77777777" w:rsidR="00E62C3C" w:rsidRDefault="00E62C3C" w:rsidP="002C6672">
      <w:pPr>
        <w:pBdr>
          <w:top w:val="nil"/>
          <w:left w:val="nil"/>
          <w:bottom w:val="nil"/>
          <w:right w:val="nil"/>
          <w:between w:val="nil"/>
        </w:pBdr>
        <w:spacing w:after="240"/>
        <w:jc w:val="both"/>
        <w:rPr>
          <w:color w:val="000000"/>
        </w:rPr>
      </w:pPr>
    </w:p>
    <w:p w14:paraId="2C0DCA05" w14:textId="77777777" w:rsidR="00446B96" w:rsidRDefault="00446B96" w:rsidP="00446B96">
      <w:pPr>
        <w:rPr>
          <w:rFonts w:ascii="Calibri" w:eastAsia="Calibri" w:hAnsi="Calibri" w:cs="Times New Roman"/>
          <w:kern w:val="2"/>
          <w:highlight w:val="yellow"/>
          <w:lang w:val="en-US"/>
        </w:rPr>
      </w:pPr>
      <w:bookmarkStart w:id="1" w:name="_Hlk219110679"/>
    </w:p>
    <w:p w14:paraId="280BFC8E" w14:textId="77777777" w:rsidR="00446B96" w:rsidRPr="00005ED1" w:rsidRDefault="00446B96" w:rsidP="00446B96">
      <w:pPr>
        <w:pStyle w:val="NoSpacing"/>
        <w:rPr>
          <w:rFonts w:ascii="Arial" w:hAnsi="Arial" w:cs="Arial"/>
          <w:highlight w:val="yellow"/>
        </w:rPr>
      </w:pPr>
      <w:bookmarkStart w:id="2" w:name="_Hlk219284361"/>
      <w:bookmarkStart w:id="3" w:name="_Hlk198031404"/>
      <w:bookmarkStart w:id="4" w:name="_Hlk219128673"/>
      <w:r w:rsidRPr="00005ED1">
        <w:rPr>
          <w:rFonts w:ascii="Arial" w:hAnsi="Arial" w:cs="Arial"/>
          <w:highlight w:val="yellow"/>
        </w:rPr>
        <w:t>Disclaimer (Artificial intelligence)</w:t>
      </w:r>
    </w:p>
    <w:p w14:paraId="6EE4AC26" w14:textId="77777777" w:rsidR="00446B96" w:rsidRPr="00005ED1" w:rsidRDefault="00446B96" w:rsidP="00446B96">
      <w:pPr>
        <w:pStyle w:val="NoSpacing"/>
        <w:rPr>
          <w:rFonts w:ascii="Arial" w:hAnsi="Arial" w:cs="Arial"/>
          <w:highlight w:val="yellow"/>
        </w:rPr>
      </w:pPr>
    </w:p>
    <w:p w14:paraId="55AD2278" w14:textId="77777777" w:rsidR="00446B96" w:rsidRPr="00005ED1" w:rsidRDefault="00446B96" w:rsidP="00446B96">
      <w:pPr>
        <w:pStyle w:val="NoSpacing"/>
        <w:rPr>
          <w:rFonts w:ascii="Arial" w:hAnsi="Arial" w:cs="Arial"/>
          <w:highlight w:val="yellow"/>
        </w:rPr>
      </w:pPr>
      <w:r w:rsidRPr="00005ED1">
        <w:rPr>
          <w:rFonts w:ascii="Arial" w:hAnsi="Arial" w:cs="Arial"/>
          <w:highlight w:val="yellow"/>
        </w:rPr>
        <w:lastRenderedPageBreak/>
        <w:t>Author(s) hereby declare that NO generative AI technologies such as Large Language Models (ChatGPT,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6E102863" w14:textId="77777777" w:rsidR="00446B96" w:rsidRDefault="00446B96" w:rsidP="00446B96">
      <w:pPr>
        <w:pStyle w:val="NoSpacing"/>
        <w:rPr>
          <w:rFonts w:ascii="Arial" w:hAnsi="Arial" w:cs="Arial"/>
        </w:rPr>
      </w:pPr>
    </w:p>
    <w:bookmarkEnd w:id="1"/>
    <w:bookmarkEnd w:id="4"/>
    <w:p w14:paraId="367E72FB" w14:textId="77777777" w:rsidR="00446B96" w:rsidRDefault="00446B96" w:rsidP="002C6672">
      <w:pPr>
        <w:pBdr>
          <w:top w:val="nil"/>
          <w:left w:val="nil"/>
          <w:bottom w:val="nil"/>
          <w:right w:val="nil"/>
          <w:between w:val="nil"/>
        </w:pBdr>
        <w:spacing w:after="240"/>
        <w:jc w:val="both"/>
        <w:rPr>
          <w:color w:val="000000"/>
        </w:rPr>
      </w:pPr>
    </w:p>
    <w:p w14:paraId="33B9713B"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REFERENCES</w:t>
      </w:r>
    </w:p>
    <w:p w14:paraId="6C39B7D4"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proofErr w:type="spellStart"/>
      <w:r w:rsidRPr="00C24C58">
        <w:rPr>
          <w:color w:val="000000"/>
        </w:rPr>
        <w:t>Alaydrus</w:t>
      </w:r>
      <w:proofErr w:type="spellEnd"/>
      <w:r w:rsidRPr="00C24C58">
        <w:rPr>
          <w:color w:val="000000"/>
        </w:rPr>
        <w:t xml:space="preserve">, A. T., &amp; Rahayu, S. (2019). Empowering coastal communities through innovation in </w:t>
      </w:r>
      <w:proofErr w:type="spellStart"/>
      <w:r w:rsidRPr="00C24C58">
        <w:rPr>
          <w:color w:val="000000"/>
        </w:rPr>
        <w:t>vannamei</w:t>
      </w:r>
      <w:proofErr w:type="spellEnd"/>
      <w:r w:rsidRPr="00C24C58">
        <w:rPr>
          <w:color w:val="000000"/>
        </w:rPr>
        <w:t xml:space="preserve"> shrimp farming using bamboo-framed tarpaulin ponds [In Indonesian]. Village Bulletin Journal (JWD), 1(2). https://doi.org/10.29303/jwd.v1i2.63</w:t>
      </w:r>
    </w:p>
    <w:p w14:paraId="7D4E2038"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proofErr w:type="spellStart"/>
      <w:r w:rsidRPr="00C24C58">
        <w:rPr>
          <w:color w:val="000000"/>
        </w:rPr>
        <w:t>Aribawa</w:t>
      </w:r>
      <w:proofErr w:type="spellEnd"/>
      <w:r w:rsidRPr="00C24C58">
        <w:rPr>
          <w:color w:val="000000"/>
        </w:rPr>
        <w:t>, D. (2016). The effect of financial literacy on MSME performance and business continuity in Central Java [In Indonesian]. Business Strategy Journal, 20(1), 1–13. https://doi.org/10.20885/jsb.vol20.iss1.art1</w:t>
      </w:r>
    </w:p>
    <w:p w14:paraId="39370D3D"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Asmild, M., </w:t>
      </w:r>
      <w:proofErr w:type="spellStart"/>
      <w:r w:rsidRPr="00C24C58">
        <w:rPr>
          <w:color w:val="000000"/>
        </w:rPr>
        <w:t>Hukom</w:t>
      </w:r>
      <w:proofErr w:type="spellEnd"/>
      <w:r w:rsidRPr="00C24C58">
        <w:rPr>
          <w:color w:val="000000"/>
        </w:rPr>
        <w:t xml:space="preserve">, V., Nielsen, R., &amp; Nielsen, M. (2024). </w:t>
      </w:r>
      <w:proofErr w:type="gramStart"/>
      <w:r w:rsidRPr="00C24C58">
        <w:rPr>
          <w:color w:val="000000"/>
        </w:rPr>
        <w:t>Is</w:t>
      </w:r>
      <w:proofErr w:type="gramEnd"/>
      <w:r w:rsidRPr="00C24C58">
        <w:rPr>
          <w:color w:val="000000"/>
        </w:rPr>
        <w:t xml:space="preserve"> economies of scale driving the development in shrimp farming from Penaeus monodon to </w:t>
      </w:r>
      <w:proofErr w:type="spellStart"/>
      <w:r w:rsidRPr="00C24C58">
        <w:rPr>
          <w:color w:val="000000"/>
        </w:rPr>
        <w:t>Litopenaeus</w:t>
      </w:r>
      <w:proofErr w:type="spellEnd"/>
      <w:r w:rsidRPr="00C24C58">
        <w:rPr>
          <w:color w:val="000000"/>
        </w:rPr>
        <w:t xml:space="preserve"> </w:t>
      </w:r>
      <w:proofErr w:type="spellStart"/>
      <w:r w:rsidRPr="00C24C58">
        <w:rPr>
          <w:color w:val="000000"/>
        </w:rPr>
        <w:t>vannamei</w:t>
      </w:r>
      <w:proofErr w:type="spellEnd"/>
      <w:r w:rsidRPr="00C24C58">
        <w:rPr>
          <w:color w:val="000000"/>
        </w:rPr>
        <w:t>? The case of Indonesia. Aquaculture, 579, 740178. https://doi.org/10.1016/j.aquaculture.2023.740178</w:t>
      </w:r>
    </w:p>
    <w:p w14:paraId="1003B19C"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Azizah, M. K., Wibowo, A., &amp; </w:t>
      </w:r>
      <w:proofErr w:type="spellStart"/>
      <w:r w:rsidRPr="00C24C58">
        <w:rPr>
          <w:color w:val="000000"/>
        </w:rPr>
        <w:t>Puspitasari</w:t>
      </w:r>
      <w:proofErr w:type="spellEnd"/>
      <w:r w:rsidRPr="00C24C58">
        <w:rPr>
          <w:color w:val="000000"/>
        </w:rPr>
        <w:t>, D. (2020). Shrimp aquaculture in Indonesia: Perceptions of smallholder farmers on an eco-certification scheme. Sustainability, 12(22), 9387. https://doi.org/10.3390/su12229387</w:t>
      </w:r>
    </w:p>
    <w:p w14:paraId="78C155FB"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Boyd, C. E. (2003). Guidelines for aquaculture effluent management at the farm-level. Aquaculture, 226(1–4), 101–112. https://doi.org/10.1016/S0044-8486(03)00471-X</w:t>
      </w:r>
    </w:p>
    <w:p w14:paraId="2C0C73BF"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Boyd, C. E. (2020). Achieving sustainable aquaculture: Historical and current perspectives and future needs and challenges. Journal of the World Aquaculture Society, 51(3), 578–633. https://doi.org/10.1111/jwas.12714</w:t>
      </w:r>
    </w:p>
    <w:p w14:paraId="74C14013"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Boyd, C. E., &amp; Tucker, C. S. (2012). Pond aquaculture water quality management. Springer. https://doi.org/10.1007/978-1-4615-5407-3</w:t>
      </w:r>
    </w:p>
    <w:p w14:paraId="34C40300"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Bush, S. R., Belton, B., Hall, D., Vandergeest, P., Murray, F. J., Ponte, S., </w:t>
      </w:r>
      <w:proofErr w:type="spellStart"/>
      <w:r w:rsidRPr="00C24C58">
        <w:rPr>
          <w:color w:val="000000"/>
        </w:rPr>
        <w:t>Oosterveer</w:t>
      </w:r>
      <w:proofErr w:type="spellEnd"/>
      <w:r w:rsidRPr="00C24C58">
        <w:rPr>
          <w:color w:val="000000"/>
        </w:rPr>
        <w:t xml:space="preserve">, P., Islam, M. S., Mol, A. P. J., Hatanaka, M., Kruijssen, F., Ha, T. T. T., Little, D. C., &amp; </w:t>
      </w:r>
      <w:proofErr w:type="spellStart"/>
      <w:r w:rsidRPr="00C24C58">
        <w:rPr>
          <w:color w:val="000000"/>
        </w:rPr>
        <w:t>Kusumawati</w:t>
      </w:r>
      <w:proofErr w:type="spellEnd"/>
      <w:r w:rsidRPr="00C24C58">
        <w:rPr>
          <w:color w:val="000000"/>
        </w:rPr>
        <w:t>, R. (2013). Global food supply: Certify sustainable aquaculture? Science, 341(6150), 1067–1068. https://doi.org/10.1126/science.1237314</w:t>
      </w:r>
    </w:p>
    <w:p w14:paraId="5EB3F8A1"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proofErr w:type="spellStart"/>
      <w:r w:rsidRPr="00C24C58">
        <w:rPr>
          <w:color w:val="000000"/>
        </w:rPr>
        <w:t>Chatvijitkul</w:t>
      </w:r>
      <w:proofErr w:type="spellEnd"/>
      <w:r w:rsidRPr="00C24C58">
        <w:rPr>
          <w:color w:val="000000"/>
        </w:rPr>
        <w:t>, S., Boyd, C. E., Davis, D. A., &amp; McNevin, A. A. (2017). Pollution potential indicators for feed-based fish and shrimp culture. Aquaculture, 477, 43–49. https://doi.org/10.1016/j.aquaculture.2017.04.041</w:t>
      </w:r>
    </w:p>
    <w:p w14:paraId="39562C54"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proofErr w:type="spellStart"/>
      <w:r w:rsidRPr="00C24C58">
        <w:rPr>
          <w:color w:val="000000"/>
        </w:rPr>
        <w:t>Delphino</w:t>
      </w:r>
      <w:proofErr w:type="spellEnd"/>
      <w:r w:rsidRPr="00C24C58">
        <w:rPr>
          <w:color w:val="000000"/>
        </w:rPr>
        <w:t>, V. N., Roggeveen, A., Fitriana, N., &amp; Bosma, R. H. (2022). Adoption of biosecurity practices in shrimp farms in Indonesia: Current status and future directions. Aquaculture, 556, 738277. https://doi.org/10.1016/j.aquaculture.2022.738277</w:t>
      </w:r>
    </w:p>
    <w:p w14:paraId="05C3CC27" w14:textId="020D317A" w:rsidR="00760824" w:rsidRPr="00C24C58" w:rsidRDefault="00760824"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Duy, D. T., Trung, T. Q., Lan, T. H. P., Berg, H., &amp; </w:t>
      </w:r>
      <w:proofErr w:type="spellStart"/>
      <w:r w:rsidRPr="00C24C58">
        <w:rPr>
          <w:color w:val="000000"/>
        </w:rPr>
        <w:t>Thi</w:t>
      </w:r>
      <w:proofErr w:type="spellEnd"/>
      <w:r w:rsidRPr="00C24C58">
        <w:rPr>
          <w:color w:val="000000"/>
        </w:rPr>
        <w:t xml:space="preserve"> Da, C. (2022). Assessment of the impacts of social capital on the profit of shrimp farming production in the Mekong Delta, Vietnam. </w:t>
      </w:r>
      <w:r w:rsidRPr="00C24C58">
        <w:rPr>
          <w:i/>
          <w:iCs/>
          <w:color w:val="000000"/>
        </w:rPr>
        <w:t>Aquaculture Economics &amp; Management</w:t>
      </w:r>
      <w:r w:rsidRPr="00C24C58">
        <w:rPr>
          <w:color w:val="000000"/>
        </w:rPr>
        <w:t>. https://doi.org/10.1080/13657305.2021.1947414</w:t>
      </w:r>
    </w:p>
    <w:p w14:paraId="39EF6550"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Food and Agriculture Organization of the United Nations. (2020). The state of world fisheries and aquaculture 2020: Sustainability in action. FAO. https://doi.org/10.4060/ca9229en</w:t>
      </w:r>
    </w:p>
    <w:p w14:paraId="300E7CE3"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Henriksson, P. J. G., Tran, N., Mohan, C. V., Chan, C. Y., Rodriguez, U.-P., Suri, S., Mateos, L. D., </w:t>
      </w:r>
      <w:proofErr w:type="spellStart"/>
      <w:r w:rsidRPr="00C24C58">
        <w:rPr>
          <w:color w:val="000000"/>
        </w:rPr>
        <w:t>Priyo</w:t>
      </w:r>
      <w:proofErr w:type="spellEnd"/>
      <w:r w:rsidRPr="00C24C58">
        <w:rPr>
          <w:color w:val="000000"/>
        </w:rPr>
        <w:t xml:space="preserve"> </w:t>
      </w:r>
      <w:proofErr w:type="spellStart"/>
      <w:r w:rsidRPr="00C24C58">
        <w:rPr>
          <w:color w:val="000000"/>
        </w:rPr>
        <w:t>Utomo</w:t>
      </w:r>
      <w:proofErr w:type="spellEnd"/>
      <w:r w:rsidRPr="00C24C58">
        <w:rPr>
          <w:color w:val="000000"/>
        </w:rPr>
        <w:t xml:space="preserve">, N. B., Hall, S., &amp; Phillips, M. J. (2017). Indonesian </w:t>
      </w:r>
      <w:r w:rsidRPr="00C24C58">
        <w:rPr>
          <w:color w:val="000000"/>
        </w:rPr>
        <w:lastRenderedPageBreak/>
        <w:t>aquaculture futures – Evaluating environmental and socioeconomic potentials and limitations. Journal of Cleaner Production, 162, 1482–1490. https://doi.org/10.1016/j.jclepro.2017.06.133</w:t>
      </w:r>
    </w:p>
    <w:p w14:paraId="36D9ED9A"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proofErr w:type="spellStart"/>
      <w:r w:rsidRPr="00C24C58">
        <w:rPr>
          <w:color w:val="000000"/>
        </w:rPr>
        <w:t>Hukom</w:t>
      </w:r>
      <w:proofErr w:type="spellEnd"/>
      <w:r w:rsidRPr="00C24C58">
        <w:rPr>
          <w:color w:val="000000"/>
        </w:rPr>
        <w:t>, V., Nielsen, R., &amp; Nielsen, M. (2020). Do aquaculture farmers have an incentive to maintain good water quality? The case of small-scale shrimp farming in Indonesia. Ecological Economics, 176, 106717. https://doi.org/10.1016/j.ecolecon.2020.106717</w:t>
      </w:r>
    </w:p>
    <w:p w14:paraId="617CFE51"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International Finance Corporation. (2007). Environmental, health, and safety guidelines for aquaculture. World Bank Group.</w:t>
      </w:r>
    </w:p>
    <w:p w14:paraId="13354D4F"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Joffre, O. M., Klerkx, L., Dickson, M., &amp; </w:t>
      </w:r>
      <w:proofErr w:type="spellStart"/>
      <w:r w:rsidRPr="00C24C58">
        <w:rPr>
          <w:color w:val="000000"/>
        </w:rPr>
        <w:t>Verdegem</w:t>
      </w:r>
      <w:proofErr w:type="spellEnd"/>
      <w:r w:rsidRPr="00C24C58">
        <w:rPr>
          <w:color w:val="000000"/>
        </w:rPr>
        <w:t>, M. C. J. (2019). To cluster or not to cluster farmers? Influences on network interactions, risk perceptions, and adoption of aquaculture practices. Agricultural Systems, 173, 503–515. https://doi.org/10.1016/j.agsy.2019.03.011</w:t>
      </w:r>
    </w:p>
    <w:p w14:paraId="7EE3880B"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proofErr w:type="spellStart"/>
      <w:r w:rsidRPr="00C24C58">
        <w:rPr>
          <w:color w:val="000000"/>
        </w:rPr>
        <w:t>Kusumawati</w:t>
      </w:r>
      <w:proofErr w:type="spellEnd"/>
      <w:r w:rsidRPr="00C24C58">
        <w:rPr>
          <w:color w:val="000000"/>
        </w:rPr>
        <w:t>, R., &amp; Bush, S. R. (2015). Co-producing better management practice standards for shrimp aquaculture in Indonesia. Marine Policy, 60, 151–159. https://doi.org/10.1016/j.marpol.2015.06.012</w:t>
      </w:r>
    </w:p>
    <w:p w14:paraId="79E6FE9C"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Lusardi, A., &amp; Mitchell, O. S. (2014). The economic importance of financial literacy: Theory and evidence. Journal of Economic Literature, 52(1), 5–44. https://doi.org/10.1257/jel.52.1.5</w:t>
      </w:r>
    </w:p>
    <w:p w14:paraId="2DC2A72D"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Pomeroy, R., Arango, C., Lomboy, C. G., &amp; Box, S. (2020). Financial inclusion to build economic resilience in small-scale fisheries and aquaculture. Marine Policy, 118, 103982. https://doi.org/10.1016/j.marpol.2020.103982</w:t>
      </w:r>
    </w:p>
    <w:p w14:paraId="1F94309B"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Republic of Indonesia. (2008). Law of the Republic of Indonesia No. 20 of 2008 on Micro, Small, and Medium Enterprises [In Indonesian].</w:t>
      </w:r>
    </w:p>
    <w:p w14:paraId="13197A2F"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Rimmer, M. A., </w:t>
      </w:r>
      <w:proofErr w:type="spellStart"/>
      <w:r w:rsidRPr="00C24C58">
        <w:rPr>
          <w:color w:val="000000"/>
        </w:rPr>
        <w:t>Sugama</w:t>
      </w:r>
      <w:proofErr w:type="spellEnd"/>
      <w:r w:rsidRPr="00C24C58">
        <w:rPr>
          <w:color w:val="000000"/>
        </w:rPr>
        <w:t xml:space="preserve">, K., </w:t>
      </w:r>
      <w:proofErr w:type="spellStart"/>
      <w:r w:rsidRPr="00C24C58">
        <w:rPr>
          <w:color w:val="000000"/>
        </w:rPr>
        <w:t>Rakhmawati</w:t>
      </w:r>
      <w:proofErr w:type="spellEnd"/>
      <w:r w:rsidRPr="00C24C58">
        <w:rPr>
          <w:color w:val="000000"/>
        </w:rPr>
        <w:t xml:space="preserve">, D., </w:t>
      </w:r>
      <w:proofErr w:type="spellStart"/>
      <w:r w:rsidRPr="00C24C58">
        <w:rPr>
          <w:color w:val="000000"/>
        </w:rPr>
        <w:t>Habgood</w:t>
      </w:r>
      <w:proofErr w:type="spellEnd"/>
      <w:r w:rsidRPr="00C24C58">
        <w:rPr>
          <w:color w:val="000000"/>
        </w:rPr>
        <w:t>, R. H., &amp; Macfadyen, G. (2013). A review and SWOT analysis of aquaculture development in Indonesia. Reviews in Aquaculture, 5(4), 255–279. https://doi.org/10.1111/raq.12017</w:t>
      </w:r>
    </w:p>
    <w:p w14:paraId="537128AD"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Riski, A. (2021). Development strategy for </w:t>
      </w:r>
      <w:proofErr w:type="spellStart"/>
      <w:r w:rsidRPr="00C24C58">
        <w:rPr>
          <w:color w:val="000000"/>
        </w:rPr>
        <w:t>vannamei</w:t>
      </w:r>
      <w:proofErr w:type="spellEnd"/>
      <w:r w:rsidRPr="00C24C58">
        <w:rPr>
          <w:color w:val="000000"/>
        </w:rPr>
        <w:t xml:space="preserve"> shrimp ponds based on coastal community empowerment [In Indonesian]. Indonesian Journal of Aquaculture, 20(1), 33–42.</w:t>
      </w:r>
    </w:p>
    <w:p w14:paraId="37325941"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Stentiford, G. D., </w:t>
      </w:r>
      <w:proofErr w:type="spellStart"/>
      <w:r w:rsidRPr="00C24C58">
        <w:rPr>
          <w:color w:val="000000"/>
        </w:rPr>
        <w:t>Sritunyalucksana</w:t>
      </w:r>
      <w:proofErr w:type="spellEnd"/>
      <w:r w:rsidRPr="00C24C58">
        <w:rPr>
          <w:color w:val="000000"/>
        </w:rPr>
        <w:t xml:space="preserve">, K., Flegel, T. W., Williams, B. A. P., </w:t>
      </w:r>
      <w:proofErr w:type="spellStart"/>
      <w:r w:rsidRPr="00C24C58">
        <w:rPr>
          <w:color w:val="000000"/>
        </w:rPr>
        <w:t>Withyachumnarnkul</w:t>
      </w:r>
      <w:proofErr w:type="spellEnd"/>
      <w:r w:rsidRPr="00C24C58">
        <w:rPr>
          <w:color w:val="000000"/>
        </w:rPr>
        <w:t xml:space="preserve">, B., </w:t>
      </w:r>
      <w:proofErr w:type="spellStart"/>
      <w:r w:rsidRPr="00C24C58">
        <w:rPr>
          <w:color w:val="000000"/>
        </w:rPr>
        <w:t>Itsathitphaisarn</w:t>
      </w:r>
      <w:proofErr w:type="spellEnd"/>
      <w:r w:rsidRPr="00C24C58">
        <w:rPr>
          <w:color w:val="000000"/>
        </w:rPr>
        <w:t>, O., &amp; Bass, D. (2017). New paradigms to help solve the global aquaculture disease crisis. PLOS Pathogens, 13(2), e1006160. https://doi.org/10.1371/journal.ppat.1006160</w:t>
      </w:r>
    </w:p>
    <w:p w14:paraId="2196D560"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Susilo, H., </w:t>
      </w:r>
      <w:proofErr w:type="spellStart"/>
      <w:r w:rsidRPr="00C24C58">
        <w:rPr>
          <w:color w:val="000000"/>
        </w:rPr>
        <w:t>Erwiantono</w:t>
      </w:r>
      <w:proofErr w:type="spellEnd"/>
      <w:r w:rsidRPr="00C24C58">
        <w:rPr>
          <w:color w:val="000000"/>
        </w:rPr>
        <w:t xml:space="preserve">, </w:t>
      </w:r>
      <w:proofErr w:type="spellStart"/>
      <w:r w:rsidRPr="00C24C58">
        <w:rPr>
          <w:color w:val="000000"/>
        </w:rPr>
        <w:t>Darmansyah</w:t>
      </w:r>
      <w:proofErr w:type="spellEnd"/>
      <w:r w:rsidRPr="00C24C58">
        <w:rPr>
          <w:color w:val="000000"/>
        </w:rPr>
        <w:t xml:space="preserve">, O., Saleha, Q., &amp; </w:t>
      </w:r>
      <w:proofErr w:type="spellStart"/>
      <w:r w:rsidRPr="00C24C58">
        <w:rPr>
          <w:color w:val="000000"/>
        </w:rPr>
        <w:t>Maryanto</w:t>
      </w:r>
      <w:proofErr w:type="spellEnd"/>
      <w:r w:rsidRPr="00C24C58">
        <w:rPr>
          <w:color w:val="000000"/>
        </w:rPr>
        <w:t xml:space="preserve">, F. (2019). Determinants of </w:t>
      </w:r>
      <w:proofErr w:type="gramStart"/>
      <w:r w:rsidRPr="00C24C58">
        <w:rPr>
          <w:color w:val="000000"/>
        </w:rPr>
        <w:t>small scale</w:t>
      </w:r>
      <w:proofErr w:type="gramEnd"/>
      <w:r w:rsidRPr="00C24C58">
        <w:rPr>
          <w:color w:val="000000"/>
        </w:rPr>
        <w:t xml:space="preserve"> farmers’ decision to adopt polyculture system in Mahakam Delta, Indonesia. AACL </w:t>
      </w:r>
      <w:proofErr w:type="spellStart"/>
      <w:r w:rsidRPr="00C24C58">
        <w:rPr>
          <w:color w:val="000000"/>
        </w:rPr>
        <w:t>Bioflux</w:t>
      </w:r>
      <w:proofErr w:type="spellEnd"/>
      <w:r w:rsidRPr="00C24C58">
        <w:rPr>
          <w:color w:val="000000"/>
        </w:rPr>
        <w:t>, 12(6), 2202–2211.</w:t>
      </w:r>
    </w:p>
    <w:p w14:paraId="328497A5"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Tacon, A. G. J., &amp; Metian, M. (2015). Feed matters: Satisfying the feed demand of aquaculture. Reviews in Fisheries Science &amp; Aquaculture, 23(1), 1–10. https://doi.org/10.1080/23308249.2014.987209</w:t>
      </w:r>
    </w:p>
    <w:p w14:paraId="23BA71A1"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Utami, E. S., Aprilia, M. R., &amp; Putra, I. C. A. (2021). Financial literacy of micro, small, and medium enterprises of consumption sector in </w:t>
      </w:r>
      <w:proofErr w:type="spellStart"/>
      <w:r w:rsidRPr="00C24C58">
        <w:rPr>
          <w:color w:val="000000"/>
        </w:rPr>
        <w:t>Probolinggo</w:t>
      </w:r>
      <w:proofErr w:type="spellEnd"/>
      <w:r w:rsidRPr="00C24C58">
        <w:rPr>
          <w:color w:val="000000"/>
        </w:rPr>
        <w:t xml:space="preserve"> city. Journal of Management and Entrepreneurship, 23(1), 10–17. https://doi.org/10.9744/jmk.23.1.10-17</w:t>
      </w:r>
    </w:p>
    <w:p w14:paraId="42A5FB6A"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lastRenderedPageBreak/>
        <w:t xml:space="preserve">Vince, J., &amp; Haward, M. (2019). Hybrid governance in aquaculture: Certification schemes and </w:t>
      </w:r>
      <w:proofErr w:type="gramStart"/>
      <w:r w:rsidRPr="00C24C58">
        <w:rPr>
          <w:color w:val="000000"/>
        </w:rPr>
        <w:t>third party</w:t>
      </w:r>
      <w:proofErr w:type="gramEnd"/>
      <w:r w:rsidRPr="00C24C58">
        <w:rPr>
          <w:color w:val="000000"/>
        </w:rPr>
        <w:t xml:space="preserve"> accreditation. Aquaculture, 507, 322–328. https://doi.org/10.1016/j.aquaculture.2019.04.041</w:t>
      </w:r>
    </w:p>
    <w:p w14:paraId="74AAE7BF"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Yi, D., Reardon, T., &amp; Stringer, R. (2018). Shrimp aquaculture technology change in Indonesia: Are small farmers included? Aquaculture, 493, 436–445. https://doi.org/10.1016/j.aquaculture.2016.11.003</w:t>
      </w:r>
    </w:p>
    <w:p w14:paraId="5B898D36" w14:textId="77777777" w:rsidR="009765D0" w:rsidRPr="00C24C58" w:rsidRDefault="0051542C" w:rsidP="00C24C58">
      <w:pPr>
        <w:pStyle w:val="ListParagraph"/>
        <w:numPr>
          <w:ilvl w:val="0"/>
          <w:numId w:val="1"/>
        </w:numPr>
        <w:pBdr>
          <w:top w:val="nil"/>
          <w:left w:val="nil"/>
          <w:bottom w:val="nil"/>
          <w:right w:val="nil"/>
          <w:between w:val="nil"/>
        </w:pBdr>
        <w:spacing w:after="120" w:line="276" w:lineRule="auto"/>
        <w:jc w:val="both"/>
        <w:rPr>
          <w:color w:val="000000"/>
        </w:rPr>
      </w:pPr>
      <w:r w:rsidRPr="00C24C58">
        <w:rPr>
          <w:color w:val="000000"/>
        </w:rPr>
        <w:t xml:space="preserve">Yusuf, R., </w:t>
      </w:r>
      <w:proofErr w:type="spellStart"/>
      <w:r w:rsidRPr="00C24C58">
        <w:rPr>
          <w:color w:val="000000"/>
        </w:rPr>
        <w:t>Rosyidah</w:t>
      </w:r>
      <w:proofErr w:type="spellEnd"/>
      <w:r w:rsidRPr="00C24C58">
        <w:rPr>
          <w:color w:val="000000"/>
        </w:rPr>
        <w:t xml:space="preserve">, L., Zamroni, A., &amp; </w:t>
      </w:r>
      <w:proofErr w:type="spellStart"/>
      <w:r w:rsidRPr="00C24C58">
        <w:rPr>
          <w:color w:val="000000"/>
        </w:rPr>
        <w:t>Apriliani</w:t>
      </w:r>
      <w:proofErr w:type="spellEnd"/>
      <w:r w:rsidRPr="00C24C58">
        <w:rPr>
          <w:color w:val="000000"/>
        </w:rPr>
        <w:t xml:space="preserve">, T. (2020). Supply chain and logistics system of </w:t>
      </w:r>
      <w:proofErr w:type="spellStart"/>
      <w:r w:rsidRPr="00C24C58">
        <w:rPr>
          <w:color w:val="000000"/>
        </w:rPr>
        <w:t>vannamei</w:t>
      </w:r>
      <w:proofErr w:type="spellEnd"/>
      <w:r w:rsidRPr="00C24C58">
        <w:rPr>
          <w:color w:val="000000"/>
        </w:rPr>
        <w:t xml:space="preserve"> shrimp in </w:t>
      </w:r>
      <w:proofErr w:type="spellStart"/>
      <w:r w:rsidRPr="00C24C58">
        <w:rPr>
          <w:color w:val="000000"/>
        </w:rPr>
        <w:t>Pinrang</w:t>
      </w:r>
      <w:proofErr w:type="spellEnd"/>
      <w:r w:rsidRPr="00C24C58">
        <w:rPr>
          <w:color w:val="000000"/>
        </w:rPr>
        <w:t xml:space="preserve"> Regency, South Sulawesi Province [In Indonesian]. Marina: Marine and Fisheries Socio-Economics Bulletin, 6(1), 51–60. https://doi.org/10.15578/marina.v6i1.8494</w:t>
      </w:r>
    </w:p>
    <w:p w14:paraId="46FB3027" w14:textId="77777777" w:rsidR="009765D0" w:rsidRDefault="009765D0">
      <w:pPr>
        <w:keepNext/>
        <w:pBdr>
          <w:top w:val="nil"/>
          <w:left w:val="nil"/>
          <w:bottom w:val="nil"/>
          <w:right w:val="nil"/>
          <w:between w:val="nil"/>
        </w:pBdr>
        <w:spacing w:before="120" w:after="60"/>
        <w:rPr>
          <w:b/>
          <w:bCs/>
          <w:smallCaps/>
          <w:color w:val="000000"/>
          <w:sz w:val="22"/>
          <w:szCs w:val="22"/>
        </w:rPr>
      </w:pPr>
    </w:p>
    <w:sectPr w:rsidR="009765D0">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11094" w14:textId="77777777" w:rsidR="001B0B82" w:rsidRDefault="001B0B82">
      <w:r>
        <w:separator/>
      </w:r>
    </w:p>
  </w:endnote>
  <w:endnote w:type="continuationSeparator" w:id="0">
    <w:p w14:paraId="472343E5" w14:textId="77777777" w:rsidR="001B0B82" w:rsidRDefault="001B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783F058-A2E8-45D0-9E03-9E8A88F657D8}"/>
  </w:font>
  <w:font w:name="Cambria">
    <w:panose1 w:val="02040503050406030204"/>
    <w:charset w:val="00"/>
    <w:family w:val="roman"/>
    <w:pitch w:val="variable"/>
    <w:sig w:usb0="E00006FF" w:usb1="420024FF" w:usb2="02000000" w:usb3="00000000" w:csb0="0000019F" w:csb1="00000000"/>
    <w:embedRegular r:id="rId2" w:fontKey="{67797BC3-18B7-4B5E-A0EA-7F1C243F0F36}"/>
  </w:font>
  <w:font w:name="Cambria Math">
    <w:panose1 w:val="02040503050406030204"/>
    <w:charset w:val="00"/>
    <w:family w:val="roman"/>
    <w:pitch w:val="variable"/>
    <w:sig w:usb0="E00006FF" w:usb1="420024FF" w:usb2="02000000" w:usb3="00000000" w:csb0="0000019F" w:csb1="00000000"/>
    <w:embedRegular r:id="rId3" w:fontKey="{7CA4297D-396B-4680-953E-BA51EFEE854D}"/>
  </w:font>
  <w:font w:name="Arial Unicode MS">
    <w:panose1 w:val="020B0604020202020204"/>
    <w:charset w:val="80"/>
    <w:family w:val="swiss"/>
    <w:pitch w:val="variable"/>
    <w:sig w:usb0="F7FFAFFF" w:usb1="E9DFFFFF" w:usb2="0000003F" w:usb3="00000000" w:csb0="003F01FF" w:csb1="00000000"/>
    <w:embedRegular r:id="rId4" w:subsetted="1" w:fontKey="{3C6FA04B-DF90-4C59-A29C-92C25409F3D6}"/>
  </w:font>
  <w:font w:name="Calibri">
    <w:panose1 w:val="020F0502020204030204"/>
    <w:charset w:val="00"/>
    <w:family w:val="swiss"/>
    <w:pitch w:val="variable"/>
    <w:sig w:usb0="E4002EFF" w:usb1="C200247B" w:usb2="00000009" w:usb3="00000000" w:csb0="000001FF" w:csb1="00000000"/>
    <w:embedRegular r:id="rId5" w:fontKey="{C4036755-CF92-4631-9937-4C30D9B153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C3F1" w14:textId="77777777" w:rsidR="003D5FC2" w:rsidRDefault="003D5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8A41D" w14:textId="77777777" w:rsidR="003D5FC2" w:rsidRDefault="003D5F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B935E" w14:textId="77777777" w:rsidR="003D5FC2" w:rsidRDefault="003D5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9C45E" w14:textId="77777777" w:rsidR="001B0B82" w:rsidRDefault="001B0B82">
      <w:r>
        <w:separator/>
      </w:r>
    </w:p>
  </w:footnote>
  <w:footnote w:type="continuationSeparator" w:id="0">
    <w:p w14:paraId="798FA131" w14:textId="77777777" w:rsidR="001B0B82" w:rsidRDefault="001B0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1F50B" w14:textId="0750B3C0" w:rsidR="003D5FC2" w:rsidRDefault="001B0B82">
    <w:pPr>
      <w:pStyle w:val="Header"/>
    </w:pPr>
    <w:r>
      <w:rPr>
        <w:noProof/>
      </w:rPr>
      <w:pict w14:anchorId="68CC7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919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53C8" w14:textId="20A3D4FF" w:rsidR="003D5FC2" w:rsidRDefault="001B0B82">
    <w:pPr>
      <w:pStyle w:val="Header"/>
    </w:pPr>
    <w:r>
      <w:rPr>
        <w:noProof/>
      </w:rPr>
      <w:pict w14:anchorId="775F5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919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027B9" w14:textId="38F7EA9C" w:rsidR="003D5FC2" w:rsidRDefault="001B0B82">
    <w:pPr>
      <w:pStyle w:val="Header"/>
    </w:pPr>
    <w:r>
      <w:rPr>
        <w:noProof/>
      </w:rPr>
      <w:pict w14:anchorId="1217D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91937"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0D5A"/>
    <w:multiLevelType w:val="hybridMultilevel"/>
    <w:tmpl w:val="E206B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5D0"/>
    <w:rsid w:val="00066594"/>
    <w:rsid w:val="001B0B82"/>
    <w:rsid w:val="001F69F8"/>
    <w:rsid w:val="00240261"/>
    <w:rsid w:val="002A1EAC"/>
    <w:rsid w:val="002C6672"/>
    <w:rsid w:val="002D5154"/>
    <w:rsid w:val="00362DFD"/>
    <w:rsid w:val="003D5FC2"/>
    <w:rsid w:val="003D6E19"/>
    <w:rsid w:val="00446B96"/>
    <w:rsid w:val="004A7A8D"/>
    <w:rsid w:val="0051542C"/>
    <w:rsid w:val="005B5E49"/>
    <w:rsid w:val="00663BF9"/>
    <w:rsid w:val="00760824"/>
    <w:rsid w:val="007F0AAC"/>
    <w:rsid w:val="008D6353"/>
    <w:rsid w:val="00914047"/>
    <w:rsid w:val="009765D0"/>
    <w:rsid w:val="009B7F08"/>
    <w:rsid w:val="00A63DEB"/>
    <w:rsid w:val="00A92B65"/>
    <w:rsid w:val="00AC3735"/>
    <w:rsid w:val="00B857C0"/>
    <w:rsid w:val="00C24C58"/>
    <w:rsid w:val="00CF00D4"/>
    <w:rsid w:val="00D4395E"/>
    <w:rsid w:val="00D91F8E"/>
    <w:rsid w:val="00E62C3C"/>
    <w:rsid w:val="00F6689E"/>
    <w:rsid w:val="00F83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FA040D"/>
  <w15:docId w15:val="{CE1F4617-1DD1-44FD-90D4-8E5BDD18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362DFD"/>
    <w:pPr>
      <w:tabs>
        <w:tab w:val="center" w:pos="4680"/>
        <w:tab w:val="right" w:pos="9360"/>
      </w:tabs>
    </w:pPr>
  </w:style>
  <w:style w:type="character" w:customStyle="1" w:styleId="HeaderChar">
    <w:name w:val="Header Char"/>
    <w:basedOn w:val="DefaultParagraphFont"/>
    <w:link w:val="Header"/>
    <w:uiPriority w:val="99"/>
    <w:rsid w:val="00362DFD"/>
  </w:style>
  <w:style w:type="paragraph" w:styleId="Footer">
    <w:name w:val="footer"/>
    <w:basedOn w:val="Normal"/>
    <w:link w:val="FooterChar"/>
    <w:uiPriority w:val="99"/>
    <w:unhideWhenUsed/>
    <w:rsid w:val="00362DFD"/>
    <w:pPr>
      <w:tabs>
        <w:tab w:val="center" w:pos="4680"/>
        <w:tab w:val="right" w:pos="9360"/>
      </w:tabs>
    </w:pPr>
  </w:style>
  <w:style w:type="character" w:customStyle="1" w:styleId="FooterChar">
    <w:name w:val="Footer Char"/>
    <w:basedOn w:val="DefaultParagraphFont"/>
    <w:link w:val="Footer"/>
    <w:uiPriority w:val="99"/>
    <w:rsid w:val="00362DFD"/>
  </w:style>
  <w:style w:type="paragraph" w:styleId="ListParagraph">
    <w:name w:val="List Paragraph"/>
    <w:basedOn w:val="Normal"/>
    <w:uiPriority w:val="34"/>
    <w:qFormat/>
    <w:rsid w:val="002C6672"/>
    <w:pPr>
      <w:ind w:left="720"/>
      <w:contextualSpacing/>
    </w:pPr>
  </w:style>
  <w:style w:type="paragraph" w:styleId="NoSpacing">
    <w:name w:val="No Spacing"/>
    <w:uiPriority w:val="1"/>
    <w:qFormat/>
    <w:rsid w:val="00446B96"/>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60824"/>
    <w:rPr>
      <w:color w:val="0000FF" w:themeColor="hyperlink"/>
      <w:u w:val="single"/>
    </w:rPr>
  </w:style>
  <w:style w:type="character" w:styleId="UnresolvedMention">
    <w:name w:val="Unresolved Mention"/>
    <w:basedOn w:val="DefaultParagraphFont"/>
    <w:uiPriority w:val="99"/>
    <w:semiHidden/>
    <w:unhideWhenUsed/>
    <w:rsid w:val="00760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21</Pages>
  <Words>7461</Words>
  <Characters>42532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18</cp:revision>
  <dcterms:created xsi:type="dcterms:W3CDTF">2026-01-15T05:26:00Z</dcterms:created>
  <dcterms:modified xsi:type="dcterms:W3CDTF">2026-01-20T11:24:00Z</dcterms:modified>
</cp:coreProperties>
</file>