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34CFC" w14:textId="09A59357" w:rsidR="00CA5723" w:rsidRPr="00CA5723" w:rsidRDefault="00CA5723" w:rsidP="004932AA">
      <w:pPr>
        <w:pStyle w:val="Title"/>
        <w:spacing w:after="0"/>
        <w:jc w:val="both"/>
        <w:rPr>
          <w:rFonts w:ascii="Arial" w:hAnsi="Arial" w:cs="Arial"/>
          <w:u w:val="single"/>
        </w:rPr>
      </w:pPr>
    </w:p>
    <w:p w14:paraId="2D87F502" w14:textId="1712FC28" w:rsidR="00163BC4" w:rsidRPr="00163BC4" w:rsidRDefault="00FA7E2E" w:rsidP="004932AA">
      <w:pPr>
        <w:pStyle w:val="Author"/>
        <w:spacing w:line="240" w:lineRule="auto"/>
        <w:rPr>
          <w:rFonts w:ascii="Arial" w:hAnsi="Arial" w:cs="Arial"/>
          <w:bCs/>
          <w:iCs/>
          <w:kern w:val="28"/>
          <w:sz w:val="36"/>
        </w:rPr>
      </w:pPr>
      <w:r w:rsidRPr="00FA7E2E">
        <w:rPr>
          <w:rFonts w:ascii="Arial" w:hAnsi="Arial" w:cs="Arial"/>
          <w:bCs/>
          <w:iCs/>
          <w:kern w:val="28"/>
          <w:sz w:val="32"/>
          <w:szCs w:val="18"/>
          <w:highlight w:val="yellow"/>
        </w:rPr>
        <w:t>The Impact of Social Participation on Employment Opportunities for Workers with Disabilities: A Comparative Study with Non-Disabled Workers</w:t>
      </w:r>
      <w:r w:rsidR="00231920">
        <w:rPr>
          <w:rFonts w:ascii="Arial" w:hAnsi="Arial" w:cs="Arial"/>
          <w:bCs/>
          <w:iCs/>
          <w:kern w:val="28"/>
          <w:sz w:val="36"/>
        </w:rPr>
        <w:t xml:space="preserve"> </w:t>
      </w:r>
    </w:p>
    <w:p w14:paraId="0EAC5AFF" w14:textId="4A63A678" w:rsidR="00790ADA" w:rsidRDefault="00790ADA" w:rsidP="004932AA">
      <w:pPr>
        <w:pStyle w:val="Affiliation"/>
        <w:spacing w:after="0" w:line="240" w:lineRule="auto"/>
        <w:jc w:val="both"/>
        <w:rPr>
          <w:rFonts w:ascii="Arial" w:hAnsi="Arial" w:cs="Arial"/>
        </w:rPr>
      </w:pPr>
    </w:p>
    <w:p w14:paraId="6BF6368A" w14:textId="77777777" w:rsidR="001B48DB" w:rsidRDefault="001B48DB" w:rsidP="004932AA">
      <w:pPr>
        <w:pStyle w:val="Affiliation"/>
        <w:spacing w:after="0" w:line="240" w:lineRule="auto"/>
        <w:jc w:val="both"/>
        <w:rPr>
          <w:rFonts w:ascii="Arial" w:hAnsi="Arial" w:cs="Arial"/>
        </w:rPr>
      </w:pPr>
    </w:p>
    <w:p w14:paraId="052BA99A" w14:textId="77777777" w:rsidR="002C57D2" w:rsidRPr="00FB3A86" w:rsidRDefault="002C57D2" w:rsidP="004932AA">
      <w:pPr>
        <w:pStyle w:val="Affiliation"/>
        <w:spacing w:after="0" w:line="240" w:lineRule="auto"/>
        <w:jc w:val="both"/>
        <w:rPr>
          <w:rFonts w:ascii="Arial" w:hAnsi="Arial" w:cs="Arial"/>
        </w:rPr>
      </w:pPr>
    </w:p>
    <w:p w14:paraId="77163EED" w14:textId="77777777" w:rsidR="00B01FCD" w:rsidRPr="00FB3A86" w:rsidRDefault="001F3B56" w:rsidP="004932AA">
      <w:pPr>
        <w:pStyle w:val="Copyright"/>
        <w:spacing w:after="0" w:line="240" w:lineRule="auto"/>
        <w:jc w:val="both"/>
        <w:rPr>
          <w:rFonts w:ascii="Arial" w:hAnsi="Arial" w:cs="Arial"/>
        </w:rPr>
        <w:sectPr w:rsidR="00B01FCD" w:rsidRPr="00FB3A86" w:rsidSect="009F357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D0D2A7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B78FCF7" w14:textId="0F8A61D1" w:rsidR="00B01FCD" w:rsidRDefault="00B01FCD" w:rsidP="004932AA">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B8D54BD" w14:textId="77777777" w:rsidR="00790ADA" w:rsidRPr="00FB3A86" w:rsidRDefault="00790ADA" w:rsidP="004932A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C72B34E" w14:textId="77777777" w:rsidTr="001E44FE">
        <w:tc>
          <w:tcPr>
            <w:tcW w:w="9576" w:type="dxa"/>
            <w:shd w:val="clear" w:color="auto" w:fill="F2F2F2"/>
          </w:tcPr>
          <w:p w14:paraId="622505FD" w14:textId="77777777" w:rsidR="00283DED" w:rsidRPr="00283DED" w:rsidRDefault="00283DED" w:rsidP="004932AA">
            <w:pPr>
              <w:pStyle w:val="Body"/>
              <w:spacing w:after="0"/>
              <w:rPr>
                <w:rFonts w:ascii="Arial" w:eastAsia="Calibri" w:hAnsi="Arial" w:cs="Arial"/>
                <w:szCs w:val="22"/>
              </w:rPr>
            </w:pPr>
            <w:r w:rsidRPr="00283DED">
              <w:rPr>
                <w:rFonts w:ascii="Arial" w:eastAsia="Calibri" w:hAnsi="Arial" w:cs="Arial"/>
                <w:b/>
                <w:bCs/>
                <w:szCs w:val="22"/>
              </w:rPr>
              <w:t>Aims:</w:t>
            </w:r>
            <w:r w:rsidRPr="00283DED">
              <w:rPr>
                <w:rFonts w:ascii="Arial" w:eastAsia="Calibri" w:hAnsi="Arial" w:cs="Arial"/>
                <w:szCs w:val="22"/>
              </w:rPr>
              <w:t xml:space="preserve"> This study examines the impact of social participation on employment opportunities among workers with disabilities compared with non-disabled workers, and assesses how education, training, and digital technology shape social participation in both groups.</w:t>
            </w:r>
          </w:p>
          <w:p w14:paraId="032AECA3" w14:textId="1008EB63" w:rsidR="00223117" w:rsidRDefault="00283DED" w:rsidP="004932AA">
            <w:pPr>
              <w:pStyle w:val="Body"/>
              <w:spacing w:after="0"/>
              <w:rPr>
                <w:rFonts w:ascii="Arial" w:eastAsia="Calibri" w:hAnsi="Arial" w:cs="Arial"/>
                <w:szCs w:val="22"/>
              </w:rPr>
            </w:pPr>
            <w:r w:rsidRPr="00283DED">
              <w:rPr>
                <w:rFonts w:ascii="Arial" w:eastAsia="Calibri" w:hAnsi="Arial" w:cs="Arial"/>
                <w:b/>
                <w:bCs/>
                <w:szCs w:val="22"/>
              </w:rPr>
              <w:t>Study design:</w:t>
            </w:r>
            <w:r w:rsidRPr="00283DED">
              <w:rPr>
                <w:rFonts w:ascii="Arial" w:eastAsia="Calibri" w:hAnsi="Arial" w:cs="Arial"/>
                <w:szCs w:val="22"/>
              </w:rPr>
              <w:t xml:space="preserve"> </w:t>
            </w:r>
            <w:r w:rsidR="00223117" w:rsidRPr="00223117">
              <w:rPr>
                <w:rFonts w:ascii="Arial" w:eastAsia="Calibri" w:hAnsi="Arial" w:cs="Arial"/>
                <w:szCs w:val="22"/>
              </w:rPr>
              <w:t>Quantitative observational study using a cross-sectional secondary dataset, combined with a quasi-experimental approach through matching and regression analysis.</w:t>
            </w:r>
            <w:r w:rsidR="00223117" w:rsidRPr="00223117">
              <w:rPr>
                <w:rFonts w:ascii="Arial" w:eastAsia="Calibri" w:hAnsi="Arial" w:cs="Arial"/>
                <w:szCs w:val="22"/>
              </w:rPr>
              <w:br/>
            </w:r>
            <w:r w:rsidR="00223117" w:rsidRPr="00223117">
              <w:rPr>
                <w:rFonts w:ascii="Arial" w:eastAsia="Calibri" w:hAnsi="Arial" w:cs="Arial"/>
                <w:b/>
                <w:bCs/>
                <w:szCs w:val="22"/>
              </w:rPr>
              <w:t>Place and Duration of Study</w:t>
            </w:r>
            <w:r w:rsidR="00223117" w:rsidRPr="00223117">
              <w:rPr>
                <w:rFonts w:ascii="Arial" w:eastAsia="Calibri" w:hAnsi="Arial" w:cs="Arial"/>
                <w:szCs w:val="22"/>
              </w:rPr>
              <w:t xml:space="preserve">: </w:t>
            </w:r>
            <w:r w:rsidR="00223117" w:rsidRPr="00223117">
              <w:rPr>
                <w:rFonts w:ascii="Arial" w:eastAsia="Calibri" w:hAnsi="Arial" w:cs="Arial"/>
                <w:szCs w:val="22"/>
                <w:highlight w:val="yellow"/>
              </w:rPr>
              <w:t xml:space="preserve">Indonesia (DKI Jakarta sub-sample); analysis used a worker survey dataset comprising 789 workers with disabilities and 12,273 non-disabled workers from the 2021 National </w:t>
            </w:r>
            <w:proofErr w:type="spellStart"/>
            <w:r w:rsidR="00736F52">
              <w:rPr>
                <w:rFonts w:ascii="Arial" w:eastAsia="Calibri" w:hAnsi="Arial" w:cs="Arial"/>
                <w:szCs w:val="22"/>
                <w:highlight w:val="yellow"/>
              </w:rPr>
              <w:t>Labour</w:t>
            </w:r>
            <w:proofErr w:type="spellEnd"/>
            <w:r w:rsidR="00223117" w:rsidRPr="00223117">
              <w:rPr>
                <w:rFonts w:ascii="Arial" w:eastAsia="Calibri" w:hAnsi="Arial" w:cs="Arial"/>
                <w:szCs w:val="22"/>
                <w:highlight w:val="yellow"/>
              </w:rPr>
              <w:t xml:space="preserve"> Force Survey (</w:t>
            </w:r>
            <w:proofErr w:type="spellStart"/>
            <w:r w:rsidR="00223117" w:rsidRPr="00223117">
              <w:rPr>
                <w:rFonts w:ascii="Arial" w:eastAsia="Calibri" w:hAnsi="Arial" w:cs="Arial"/>
                <w:szCs w:val="22"/>
                <w:highlight w:val="yellow"/>
              </w:rPr>
              <w:t>Sakernas</w:t>
            </w:r>
            <w:proofErr w:type="spellEnd"/>
            <w:r w:rsidR="00223117" w:rsidRPr="00223117">
              <w:rPr>
                <w:rFonts w:ascii="Arial" w:eastAsia="Calibri" w:hAnsi="Arial" w:cs="Arial"/>
                <w:szCs w:val="22"/>
                <w:highlight w:val="yellow"/>
              </w:rPr>
              <w:t>), a nationally administered survey by Statistics Indonesia (BPS) with publicly accessible microdata</w:t>
            </w:r>
            <w:r w:rsidR="00223117" w:rsidRPr="00223117">
              <w:rPr>
                <w:rFonts w:ascii="Arial" w:eastAsia="Calibri" w:hAnsi="Arial" w:cs="Arial"/>
                <w:szCs w:val="22"/>
              </w:rPr>
              <w:t>.</w:t>
            </w:r>
          </w:p>
          <w:p w14:paraId="68CBDB11" w14:textId="2B5BFDF8" w:rsidR="00283DED" w:rsidRPr="00283DED" w:rsidRDefault="00283DED" w:rsidP="004932AA">
            <w:pPr>
              <w:pStyle w:val="Body"/>
              <w:spacing w:after="0"/>
              <w:rPr>
                <w:rFonts w:ascii="Arial" w:eastAsia="Calibri" w:hAnsi="Arial" w:cs="Arial"/>
                <w:szCs w:val="22"/>
              </w:rPr>
            </w:pPr>
            <w:r w:rsidRPr="00283DED">
              <w:rPr>
                <w:rFonts w:ascii="Arial" w:eastAsia="Calibri" w:hAnsi="Arial" w:cs="Arial"/>
                <w:b/>
                <w:bCs/>
                <w:szCs w:val="22"/>
              </w:rPr>
              <w:t>Methodology:</w:t>
            </w:r>
            <w:r w:rsidRPr="00283DED">
              <w:rPr>
                <w:rFonts w:ascii="Arial" w:eastAsia="Calibri" w:hAnsi="Arial" w:cs="Arial"/>
                <w:szCs w:val="22"/>
              </w:rPr>
              <w:t xml:space="preserve"> The effect of social participation on employment opportunities was estimated using Propensity Score Matching (PSM) to compare individuals with similar characteristics, followed by Probit regression to test the association between social participation and employment opportunities, including an interaction between education and digital technology. Education and training were also included to assess differences in their influence across the two groups.</w:t>
            </w:r>
          </w:p>
          <w:p w14:paraId="6FA00978" w14:textId="77777777" w:rsidR="00283DED" w:rsidRPr="00283DED" w:rsidRDefault="00283DED" w:rsidP="004932AA">
            <w:pPr>
              <w:pStyle w:val="Body"/>
              <w:spacing w:after="0"/>
              <w:rPr>
                <w:rFonts w:ascii="Arial" w:eastAsia="Calibri" w:hAnsi="Arial" w:cs="Arial"/>
                <w:szCs w:val="22"/>
              </w:rPr>
            </w:pPr>
            <w:r w:rsidRPr="00283DED">
              <w:rPr>
                <w:rFonts w:ascii="Arial" w:eastAsia="Calibri" w:hAnsi="Arial" w:cs="Arial"/>
                <w:b/>
                <w:bCs/>
                <w:szCs w:val="22"/>
              </w:rPr>
              <w:t>Results:</w:t>
            </w:r>
            <w:r w:rsidRPr="00283DED">
              <w:rPr>
                <w:rFonts w:ascii="Arial" w:eastAsia="Calibri" w:hAnsi="Arial" w:cs="Arial"/>
                <w:szCs w:val="22"/>
              </w:rPr>
              <w:t xml:space="preserve"> Active social participation increased employment opportunities for workers with disabilities by 10.5%, while the increase for non-disabled workers was 1.2%. The interaction between education and digital technology was positively associated with social participation in both groups, with a stronger effect among workers with disabilities. Education and training were also associated with participation, but their influence was relatively more pronounced for non-disabled workers.</w:t>
            </w:r>
          </w:p>
          <w:p w14:paraId="699828D1" w14:textId="0F4F820F" w:rsidR="00283DED" w:rsidRPr="00283DED" w:rsidRDefault="00283DED" w:rsidP="004932AA">
            <w:pPr>
              <w:pStyle w:val="Body"/>
              <w:spacing w:after="0"/>
              <w:rPr>
                <w:rFonts w:ascii="Arial" w:eastAsia="Calibri" w:hAnsi="Arial" w:cs="Arial"/>
                <w:szCs w:val="22"/>
              </w:rPr>
            </w:pPr>
            <w:r w:rsidRPr="00283DED">
              <w:rPr>
                <w:rFonts w:ascii="Arial" w:eastAsia="Calibri" w:hAnsi="Arial" w:cs="Arial"/>
                <w:b/>
                <w:bCs/>
                <w:szCs w:val="22"/>
              </w:rPr>
              <w:t>Conclusion:</w:t>
            </w:r>
            <w:r w:rsidRPr="00283DED">
              <w:rPr>
                <w:rFonts w:ascii="Arial" w:eastAsia="Calibri" w:hAnsi="Arial" w:cs="Arial"/>
                <w:szCs w:val="22"/>
              </w:rPr>
              <w:t xml:space="preserve"> The findings underscore the importance of social inclusion in reducing employment barriers faced by people with disabilities. Policies that expand opportunities for social participation and improve access to education, training, and digital technology may help narrow the employment gap between workers with and without disabilities.</w:t>
            </w:r>
            <w:r w:rsidR="00223117" w:rsidRPr="00223117">
              <w:t xml:space="preserve"> </w:t>
            </w:r>
            <w:r w:rsidR="00223117" w:rsidRPr="00223117">
              <w:rPr>
                <w:rFonts w:ascii="Arial" w:eastAsia="Calibri" w:hAnsi="Arial" w:cs="Arial"/>
                <w:szCs w:val="22"/>
                <w:highlight w:val="yellow"/>
              </w:rPr>
              <w:t xml:space="preserve">For the scientific community, this study contributes evidence from a developing-country setting on how social participation relates to employment inequality. It also demonstrates the value of combining PSM with regression-based models to strengthen inference in disability employment research. The results highlight the role of digital capability as a complement to education in shaping participation and </w:t>
            </w:r>
            <w:proofErr w:type="spellStart"/>
            <w:r w:rsidR="00736F52">
              <w:rPr>
                <w:rFonts w:ascii="Arial" w:eastAsia="Calibri" w:hAnsi="Arial" w:cs="Arial"/>
                <w:szCs w:val="22"/>
                <w:highlight w:val="yellow"/>
              </w:rPr>
              <w:t>labour</w:t>
            </w:r>
            <w:proofErr w:type="spellEnd"/>
            <w:r w:rsidR="00223117" w:rsidRPr="00223117">
              <w:rPr>
                <w:rFonts w:ascii="Arial" w:eastAsia="Calibri" w:hAnsi="Arial" w:cs="Arial"/>
                <w:szCs w:val="22"/>
                <w:highlight w:val="yellow"/>
              </w:rPr>
              <w:t>-market opportunities, especially for workers with disabilities.</w:t>
            </w:r>
          </w:p>
          <w:p w14:paraId="172D35B9" w14:textId="4CC52ECA" w:rsidR="00505F06" w:rsidRPr="00BA1B01" w:rsidRDefault="00505F06" w:rsidP="004932AA">
            <w:pPr>
              <w:pStyle w:val="Body"/>
              <w:spacing w:after="0"/>
              <w:rPr>
                <w:rFonts w:ascii="Arial" w:eastAsia="Calibri" w:hAnsi="Arial" w:cs="Arial"/>
                <w:szCs w:val="22"/>
              </w:rPr>
            </w:pPr>
          </w:p>
        </w:tc>
      </w:tr>
    </w:tbl>
    <w:p w14:paraId="17557A8D" w14:textId="77777777" w:rsidR="00636EB2" w:rsidRDefault="00636EB2" w:rsidP="004932AA">
      <w:pPr>
        <w:pStyle w:val="Body"/>
        <w:spacing w:after="0"/>
        <w:rPr>
          <w:rFonts w:ascii="Arial" w:hAnsi="Arial" w:cs="Arial"/>
          <w:i/>
        </w:rPr>
      </w:pPr>
    </w:p>
    <w:p w14:paraId="454B2413" w14:textId="42B903F0" w:rsidR="00A24E7E" w:rsidRDefault="00A24E7E" w:rsidP="004932AA">
      <w:pPr>
        <w:pStyle w:val="Body"/>
        <w:spacing w:after="0"/>
        <w:rPr>
          <w:rFonts w:ascii="Arial" w:hAnsi="Arial" w:cs="Arial"/>
          <w:i/>
        </w:rPr>
      </w:pPr>
      <w:r>
        <w:rPr>
          <w:rFonts w:ascii="Arial" w:hAnsi="Arial" w:cs="Arial"/>
          <w:i/>
        </w:rPr>
        <w:t xml:space="preserve">Keywords: </w:t>
      </w:r>
      <w:r w:rsidR="00283DED" w:rsidRPr="00283DED">
        <w:rPr>
          <w:rFonts w:ascii="Arial" w:hAnsi="Arial" w:cs="Arial"/>
          <w:bCs/>
          <w:i/>
        </w:rPr>
        <w:t>Social participation; Employment opportunities; Workers with disabilities; Non-disabled workers; Propensity Score Matching</w:t>
      </w:r>
    </w:p>
    <w:p w14:paraId="6EB3D739" w14:textId="77777777" w:rsidR="00790ADA" w:rsidRDefault="00790ADA" w:rsidP="004932AA">
      <w:pPr>
        <w:pStyle w:val="Body"/>
        <w:spacing w:after="0"/>
        <w:rPr>
          <w:rFonts w:ascii="Arial" w:hAnsi="Arial" w:cs="Arial"/>
          <w:i/>
        </w:rPr>
      </w:pPr>
    </w:p>
    <w:p w14:paraId="715C9ACC" w14:textId="77777777" w:rsidR="00505F06" w:rsidRPr="00A24E7E" w:rsidRDefault="00505F06" w:rsidP="004932AA">
      <w:pPr>
        <w:pStyle w:val="Body"/>
        <w:spacing w:after="0"/>
        <w:rPr>
          <w:rFonts w:ascii="Arial" w:hAnsi="Arial" w:cs="Arial"/>
          <w:i/>
        </w:rPr>
      </w:pPr>
    </w:p>
    <w:p w14:paraId="08AB8178" w14:textId="582377D1" w:rsidR="007F7B32" w:rsidRDefault="00902823" w:rsidP="004932AA">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37BABBA" w14:textId="77777777" w:rsidR="004932AA" w:rsidRDefault="004932AA" w:rsidP="004932AA">
      <w:pPr>
        <w:pStyle w:val="Body"/>
        <w:spacing w:after="0"/>
        <w:rPr>
          <w:rFonts w:ascii="Arial" w:hAnsi="Arial" w:cs="Arial"/>
        </w:rPr>
      </w:pPr>
    </w:p>
    <w:p w14:paraId="0B78C976" w14:textId="0AFAC642" w:rsidR="00283DED" w:rsidRDefault="00283DED" w:rsidP="004932AA">
      <w:pPr>
        <w:pStyle w:val="Body"/>
        <w:spacing w:after="0"/>
        <w:rPr>
          <w:rFonts w:ascii="Arial" w:hAnsi="Arial" w:cs="Arial"/>
        </w:rPr>
      </w:pPr>
      <w:r w:rsidRPr="00283DED">
        <w:rPr>
          <w:rFonts w:ascii="Arial" w:hAnsi="Arial" w:cs="Arial"/>
        </w:rPr>
        <w:lastRenderedPageBreak/>
        <w:t xml:space="preserve">Achieving equality and inclusion in the </w:t>
      </w:r>
      <w:proofErr w:type="spellStart"/>
      <w:r w:rsidR="00736F52">
        <w:rPr>
          <w:rFonts w:ascii="Arial" w:hAnsi="Arial" w:cs="Arial"/>
        </w:rPr>
        <w:t>labour</w:t>
      </w:r>
      <w:proofErr w:type="spellEnd"/>
      <w:r w:rsidRPr="00283DED">
        <w:rPr>
          <w:rFonts w:ascii="Arial" w:hAnsi="Arial" w:cs="Arial"/>
        </w:rPr>
        <w:t xml:space="preserve"> market requires more than expanding vacancies or offering general training. It also requires understanding the social mechanisms that shape who receives information, support, and access to opportunities. One mechanism that is often discussed but still under-tested in many settings is </w:t>
      </w:r>
      <w:r w:rsidRPr="00283DED">
        <w:rPr>
          <w:rFonts w:ascii="Arial" w:hAnsi="Arial" w:cs="Arial"/>
          <w:b/>
          <w:bCs/>
        </w:rPr>
        <w:t>social participation</w:t>
      </w:r>
      <w:r w:rsidRPr="00283DED">
        <w:rPr>
          <w:rFonts w:ascii="Arial" w:hAnsi="Arial" w:cs="Arial"/>
        </w:rPr>
        <w:t xml:space="preserve">, meaning active involvement in community groups, associations, volunteering, and other social activities. Social participation can strengthen social networks, improve access to job information, and increase confidence and visibility in the community, which may translate into better employment outcomes. Prior studies suggest that social participation is closely linked to broader social inclusion and quality of life, including for people with disabilities (Cummins &amp; Lau, 2003; </w:t>
      </w:r>
      <w:proofErr w:type="spellStart"/>
      <w:r w:rsidRPr="00283DED">
        <w:rPr>
          <w:rFonts w:ascii="Arial" w:hAnsi="Arial" w:cs="Arial"/>
        </w:rPr>
        <w:t>Simplican</w:t>
      </w:r>
      <w:proofErr w:type="spellEnd"/>
      <w:r w:rsidRPr="00283DED">
        <w:rPr>
          <w:rFonts w:ascii="Arial" w:hAnsi="Arial" w:cs="Arial"/>
        </w:rPr>
        <w:t xml:space="preserve"> et al., 2015).</w:t>
      </w:r>
    </w:p>
    <w:p w14:paraId="5009A7E7" w14:textId="77777777" w:rsidR="00CD2D48" w:rsidRPr="00283DED" w:rsidRDefault="00CD2D48" w:rsidP="004932AA">
      <w:pPr>
        <w:pStyle w:val="Body"/>
        <w:spacing w:after="0"/>
        <w:rPr>
          <w:rFonts w:ascii="Arial" w:hAnsi="Arial" w:cs="Arial"/>
        </w:rPr>
      </w:pPr>
    </w:p>
    <w:p w14:paraId="33D5707C" w14:textId="4A859CAA" w:rsidR="00283DED" w:rsidRPr="00283DED" w:rsidRDefault="00283DED" w:rsidP="004932AA">
      <w:pPr>
        <w:pStyle w:val="Body"/>
        <w:rPr>
          <w:rFonts w:ascii="Arial" w:hAnsi="Arial" w:cs="Arial"/>
        </w:rPr>
      </w:pPr>
      <w:r w:rsidRPr="00283DED">
        <w:rPr>
          <w:rFonts w:ascii="Arial" w:hAnsi="Arial" w:cs="Arial"/>
        </w:rPr>
        <w:t xml:space="preserve">For workers with disabilities, the </w:t>
      </w:r>
      <w:proofErr w:type="spellStart"/>
      <w:r w:rsidR="00736F52">
        <w:rPr>
          <w:rFonts w:ascii="Arial" w:hAnsi="Arial" w:cs="Arial"/>
        </w:rPr>
        <w:t>labour</w:t>
      </w:r>
      <w:proofErr w:type="spellEnd"/>
      <w:r w:rsidRPr="00283DED">
        <w:rPr>
          <w:rFonts w:ascii="Arial" w:hAnsi="Arial" w:cs="Arial"/>
        </w:rPr>
        <w:t xml:space="preserve"> market remains less accessible. Barriers include limited access to education and skills training, discriminatory recruitment practices, workplace inaccessibility, and weaker connections to job networks. These constraints reduce the probability of entering and staying in decent employment compared with non-disabled workers (Lamichhane &amp; Sawada, 2013; Patrinos, 2016; Bryan et al., 2022). While policy discussions often focus on supply-side solutions such as training or placement programs, social participation may be an important and complementary pathway because it can reduce information gaps and strengthen informal support systems that matter in hiring and job retention.</w:t>
      </w:r>
    </w:p>
    <w:p w14:paraId="1E491CDD" w14:textId="34BA33A4" w:rsidR="00283DED" w:rsidRPr="00283DED" w:rsidRDefault="00283DED" w:rsidP="004932AA">
      <w:pPr>
        <w:pStyle w:val="Body"/>
        <w:rPr>
          <w:rFonts w:ascii="Arial" w:hAnsi="Arial" w:cs="Arial"/>
        </w:rPr>
      </w:pPr>
      <w:r w:rsidRPr="00283DED">
        <w:rPr>
          <w:rFonts w:ascii="Arial" w:hAnsi="Arial" w:cs="Arial"/>
        </w:rPr>
        <w:t xml:space="preserve">However, two gaps remain. First, the evidence on whether the employment “returns” to social participation differ between workers with and without disabilities is still limited, especially in developing-country contexts. Second, the role of </w:t>
      </w:r>
      <w:r w:rsidRPr="00283DED">
        <w:rPr>
          <w:rFonts w:ascii="Arial" w:hAnsi="Arial" w:cs="Arial"/>
          <w:b/>
          <w:bCs/>
        </w:rPr>
        <w:t>digital technology</w:t>
      </w:r>
      <w:r w:rsidRPr="00283DED">
        <w:rPr>
          <w:rFonts w:ascii="Arial" w:hAnsi="Arial" w:cs="Arial"/>
        </w:rPr>
        <w:t xml:space="preserve"> is becoming increasingly important in how people participate socially and access </w:t>
      </w:r>
      <w:proofErr w:type="spellStart"/>
      <w:r w:rsidR="00736F52">
        <w:rPr>
          <w:rFonts w:ascii="Arial" w:hAnsi="Arial" w:cs="Arial"/>
        </w:rPr>
        <w:t>labour</w:t>
      </w:r>
      <w:proofErr w:type="spellEnd"/>
      <w:r w:rsidRPr="00283DED">
        <w:rPr>
          <w:rFonts w:ascii="Arial" w:hAnsi="Arial" w:cs="Arial"/>
        </w:rPr>
        <w:t>-market information, but it is not yet clear whether digital access amplifies the benefits of education for social participation and employment, particularly for workers with disabilities.</w:t>
      </w:r>
    </w:p>
    <w:p w14:paraId="75E51FA0" w14:textId="0E1C6071" w:rsidR="00283DED" w:rsidRPr="00283DED" w:rsidRDefault="00283DED" w:rsidP="004932AA">
      <w:pPr>
        <w:pStyle w:val="Body"/>
        <w:rPr>
          <w:rFonts w:ascii="Arial" w:hAnsi="Arial" w:cs="Arial"/>
        </w:rPr>
      </w:pPr>
      <w:r w:rsidRPr="00283DED">
        <w:rPr>
          <w:rFonts w:ascii="Arial" w:hAnsi="Arial" w:cs="Arial"/>
        </w:rPr>
        <w:t>This study addresses these gaps by examining the differential effect of active social participation on employment opportunities among workers with disabilities and non-disabled workers in Indonesia.</w:t>
      </w:r>
      <w:r w:rsidR="00223117" w:rsidRPr="00223117">
        <w:t xml:space="preserve"> </w:t>
      </w:r>
      <w:r w:rsidR="00223117" w:rsidRPr="00223117">
        <w:rPr>
          <w:rFonts w:ascii="Arial" w:hAnsi="Arial" w:cs="Arial"/>
          <w:highlight w:val="yellow"/>
        </w:rPr>
        <w:t xml:space="preserve">Using the 2021 National </w:t>
      </w:r>
      <w:proofErr w:type="spellStart"/>
      <w:r w:rsidR="00736F52">
        <w:rPr>
          <w:rFonts w:ascii="Arial" w:hAnsi="Arial" w:cs="Arial"/>
          <w:highlight w:val="yellow"/>
        </w:rPr>
        <w:t>Labour</w:t>
      </w:r>
      <w:proofErr w:type="spellEnd"/>
      <w:r w:rsidR="00223117" w:rsidRPr="00223117">
        <w:rPr>
          <w:rFonts w:ascii="Arial" w:hAnsi="Arial" w:cs="Arial"/>
          <w:highlight w:val="yellow"/>
        </w:rPr>
        <w:t xml:space="preserve"> Force Survey (</w:t>
      </w:r>
      <w:proofErr w:type="spellStart"/>
      <w:r w:rsidR="00223117" w:rsidRPr="00223117">
        <w:rPr>
          <w:rFonts w:ascii="Arial" w:hAnsi="Arial" w:cs="Arial"/>
          <w:highlight w:val="yellow"/>
        </w:rPr>
        <w:t>Sakernas</w:t>
      </w:r>
      <w:proofErr w:type="spellEnd"/>
      <w:r w:rsidR="00223117" w:rsidRPr="00223117">
        <w:rPr>
          <w:rFonts w:ascii="Arial" w:hAnsi="Arial" w:cs="Arial"/>
          <w:highlight w:val="yellow"/>
        </w:rPr>
        <w:t>) microdata published by Statistics Indonesia (BPS), this research applies a cross-sectional observational design and a quasi-experimental strategy through matching and regression</w:t>
      </w:r>
      <w:r w:rsidR="00223117" w:rsidRPr="00223117">
        <w:rPr>
          <w:rFonts w:ascii="Arial" w:hAnsi="Arial" w:cs="Arial"/>
        </w:rPr>
        <w:t>.</w:t>
      </w:r>
      <w:r w:rsidRPr="00283DED">
        <w:rPr>
          <w:rFonts w:ascii="Arial" w:hAnsi="Arial" w:cs="Arial"/>
        </w:rPr>
        <w:t xml:space="preserve"> The study is grounded in </w:t>
      </w:r>
      <w:r w:rsidRPr="00283DED">
        <w:rPr>
          <w:rFonts w:ascii="Arial" w:hAnsi="Arial" w:cs="Arial"/>
          <w:b/>
          <w:bCs/>
        </w:rPr>
        <w:t>human capital theory</w:t>
      </w:r>
      <w:r w:rsidRPr="00283DED">
        <w:rPr>
          <w:rFonts w:ascii="Arial" w:hAnsi="Arial" w:cs="Arial"/>
        </w:rPr>
        <w:t xml:space="preserve">, which explains how education and training increase productivity and earnings, commonly </w:t>
      </w:r>
      <w:proofErr w:type="spellStart"/>
      <w:r w:rsidRPr="00283DED">
        <w:rPr>
          <w:rFonts w:ascii="Arial" w:hAnsi="Arial" w:cs="Arial"/>
        </w:rPr>
        <w:t>formalised</w:t>
      </w:r>
      <w:proofErr w:type="spellEnd"/>
      <w:r w:rsidRPr="00283DED">
        <w:rPr>
          <w:rFonts w:ascii="Arial" w:hAnsi="Arial" w:cs="Arial"/>
        </w:rPr>
        <w:t xml:space="preserve"> through the Mincer earnings framework (Mincer, 1974). At the same time, </w:t>
      </w:r>
      <w:proofErr w:type="spellStart"/>
      <w:r w:rsidR="00736F52">
        <w:rPr>
          <w:rFonts w:ascii="Arial" w:hAnsi="Arial" w:cs="Arial"/>
        </w:rPr>
        <w:t>labour</w:t>
      </w:r>
      <w:proofErr w:type="spellEnd"/>
      <w:r w:rsidRPr="00283DED">
        <w:rPr>
          <w:rFonts w:ascii="Arial" w:hAnsi="Arial" w:cs="Arial"/>
        </w:rPr>
        <w:t xml:space="preserve">-market outcomes are also shaped by social networks and access to information, which can be strengthened through participation in social activities (Beaman, 2012). In today’s </w:t>
      </w:r>
      <w:proofErr w:type="spellStart"/>
      <w:r w:rsidR="00736F52">
        <w:rPr>
          <w:rFonts w:ascii="Arial" w:hAnsi="Arial" w:cs="Arial"/>
        </w:rPr>
        <w:t>labour</w:t>
      </w:r>
      <w:proofErr w:type="spellEnd"/>
      <w:r w:rsidRPr="00283DED">
        <w:rPr>
          <w:rFonts w:ascii="Arial" w:hAnsi="Arial" w:cs="Arial"/>
        </w:rPr>
        <w:t xml:space="preserve"> market, </w:t>
      </w:r>
      <w:proofErr w:type="spellStart"/>
      <w:r w:rsidRPr="00283DED">
        <w:rPr>
          <w:rFonts w:ascii="Arial" w:hAnsi="Arial" w:cs="Arial"/>
        </w:rPr>
        <w:t>digitalisation</w:t>
      </w:r>
      <w:proofErr w:type="spellEnd"/>
      <w:r w:rsidRPr="00283DED">
        <w:rPr>
          <w:rFonts w:ascii="Arial" w:hAnsi="Arial" w:cs="Arial"/>
        </w:rPr>
        <w:t xml:space="preserve"> may further change this relationship because education can be more valuable when paired with the ability to use digital tools for communication, learning, and job search (Katz et al., 2014; Manzoor &amp; </w:t>
      </w:r>
      <w:proofErr w:type="spellStart"/>
      <w:r w:rsidRPr="00283DED">
        <w:rPr>
          <w:rFonts w:ascii="Arial" w:hAnsi="Arial" w:cs="Arial"/>
        </w:rPr>
        <w:t>Vimarlund</w:t>
      </w:r>
      <w:proofErr w:type="spellEnd"/>
      <w:r w:rsidRPr="00283DED">
        <w:rPr>
          <w:rFonts w:ascii="Arial" w:hAnsi="Arial" w:cs="Arial"/>
        </w:rPr>
        <w:t>, 2018). Based on this logic, this study incorporates an interaction between education and digital technology use to test whether the combination of the two is associated with higher social participation and, in turn, improved employment outcomes, with particular attention to workers with disabilities.</w:t>
      </w:r>
    </w:p>
    <w:p w14:paraId="71FB390E" w14:textId="77777777" w:rsidR="00283DED" w:rsidRPr="00283DED" w:rsidRDefault="00283DED" w:rsidP="004932AA">
      <w:pPr>
        <w:pStyle w:val="Body"/>
        <w:rPr>
          <w:rFonts w:ascii="Arial" w:hAnsi="Arial" w:cs="Arial"/>
        </w:rPr>
      </w:pPr>
      <w:r w:rsidRPr="00283DED">
        <w:rPr>
          <w:rFonts w:ascii="Arial" w:hAnsi="Arial" w:cs="Arial"/>
        </w:rPr>
        <w:t xml:space="preserve">Methodologically, the study applies </w:t>
      </w:r>
      <w:r w:rsidRPr="00283DED">
        <w:rPr>
          <w:rFonts w:ascii="Arial" w:hAnsi="Arial" w:cs="Arial"/>
          <w:b/>
          <w:bCs/>
        </w:rPr>
        <w:t>Propensity Score Matching (PSM)</w:t>
      </w:r>
      <w:r w:rsidRPr="00283DED">
        <w:rPr>
          <w:rFonts w:ascii="Arial" w:hAnsi="Arial" w:cs="Arial"/>
        </w:rPr>
        <w:t xml:space="preserve"> to reduce observable selection bias by comparing individuals with similar characteristics who differ mainly in their level of social participation. This is followed by regression analysis (Probit) to estimate the association between social participation and employment opportunities and to test the education–digital technology interaction. This combined approach is intended to provide a more credible estimate than simple comparisons, while remaining feasible for large survey datasets.</w:t>
      </w:r>
    </w:p>
    <w:p w14:paraId="4DC8B8B5" w14:textId="67BA97F9" w:rsidR="00283DED" w:rsidRPr="00283DED" w:rsidRDefault="00283DED" w:rsidP="004932AA">
      <w:pPr>
        <w:pStyle w:val="Body"/>
        <w:rPr>
          <w:rFonts w:ascii="Arial" w:hAnsi="Arial" w:cs="Arial"/>
        </w:rPr>
      </w:pPr>
      <w:r w:rsidRPr="00283DED">
        <w:rPr>
          <w:rFonts w:ascii="Arial" w:hAnsi="Arial" w:cs="Arial"/>
        </w:rPr>
        <w:lastRenderedPageBreak/>
        <w:t xml:space="preserve">The scope of the study is comparative: it focuses on two </w:t>
      </w:r>
      <w:proofErr w:type="spellStart"/>
      <w:r w:rsidR="00736F52">
        <w:rPr>
          <w:rFonts w:ascii="Arial" w:hAnsi="Arial" w:cs="Arial"/>
        </w:rPr>
        <w:t>labour</w:t>
      </w:r>
      <w:proofErr w:type="spellEnd"/>
      <w:r w:rsidRPr="00283DED">
        <w:rPr>
          <w:rFonts w:ascii="Arial" w:hAnsi="Arial" w:cs="Arial"/>
        </w:rPr>
        <w:t xml:space="preserve"> groups (workers with disabilities and non-disabled workers) within the same national setting, allowing the analysis to identify whether social participation operates similarly across groups or whether it plays a stronger compensatory role for those facing structural disadvantages. The study contributes to the literature in two ways. First, it provides evidence on whether social participation is associated with a larger improvement in employment opportunities for workers with disabilities than for non-disabled workers. Second, it highlights how education, training, and digital technology may interact in shaping participation and </w:t>
      </w:r>
      <w:proofErr w:type="spellStart"/>
      <w:r w:rsidR="00736F52">
        <w:rPr>
          <w:rFonts w:ascii="Arial" w:hAnsi="Arial" w:cs="Arial"/>
        </w:rPr>
        <w:t>labour</w:t>
      </w:r>
      <w:proofErr w:type="spellEnd"/>
      <w:r w:rsidRPr="00283DED">
        <w:rPr>
          <w:rFonts w:ascii="Arial" w:hAnsi="Arial" w:cs="Arial"/>
        </w:rPr>
        <w:t>-market outcomes, informing policies that aim to reduce employment gaps.</w:t>
      </w:r>
      <w:r w:rsidR="00CD2D48">
        <w:rPr>
          <w:rFonts w:ascii="Arial" w:hAnsi="Arial" w:cs="Arial"/>
        </w:rPr>
        <w:t xml:space="preserve"> </w:t>
      </w:r>
      <w:r w:rsidR="00223117" w:rsidRPr="00223117">
        <w:rPr>
          <w:rFonts w:ascii="Arial" w:hAnsi="Arial" w:cs="Arial"/>
          <w:highlight w:val="yellow"/>
        </w:rPr>
        <w:t xml:space="preserve">For the scientific community, this study contributes empirical evidence from a developing-country context and demonstrates the use of PSM combined with regression models to strengthen inference in disability employment research. This research offers a contribution to the scientific community by applying Propensity Score Matching (PSM) to minimize selection bias in disability employment studies. It fills a critical gap in literature by analyzing how social participation acts as a compensatory mechanism for workers with disabilities in developing economies. Furthermore, the findings provide evidence-based insights for designing more inclusive </w:t>
      </w:r>
      <w:proofErr w:type="spellStart"/>
      <w:r w:rsidR="00736F52">
        <w:rPr>
          <w:rFonts w:ascii="Arial" w:hAnsi="Arial" w:cs="Arial"/>
          <w:highlight w:val="yellow"/>
        </w:rPr>
        <w:t>labour</w:t>
      </w:r>
      <w:proofErr w:type="spellEnd"/>
      <w:r w:rsidR="00223117" w:rsidRPr="00223117">
        <w:rPr>
          <w:rFonts w:ascii="Arial" w:hAnsi="Arial" w:cs="Arial"/>
          <w:highlight w:val="yellow"/>
        </w:rPr>
        <w:t xml:space="preserve"> policies that integrate social and digital dimensions</w:t>
      </w:r>
      <w:r w:rsidR="00CD2D48" w:rsidRPr="00CD2D48">
        <w:rPr>
          <w:rFonts w:ascii="Arial" w:hAnsi="Arial" w:cs="Arial"/>
          <w:highlight w:val="yellow"/>
        </w:rPr>
        <w:t>.</w:t>
      </w:r>
      <w:r w:rsidR="00CD2D48">
        <w:rPr>
          <w:rFonts w:ascii="Arial" w:hAnsi="Arial" w:cs="Arial"/>
        </w:rPr>
        <w:t xml:space="preserve"> </w:t>
      </w:r>
    </w:p>
    <w:p w14:paraId="0B080E13" w14:textId="5DB07284" w:rsidR="00223117" w:rsidRPr="00223117" w:rsidRDefault="00283DED" w:rsidP="00223117">
      <w:pPr>
        <w:pStyle w:val="Body"/>
        <w:rPr>
          <w:rFonts w:ascii="Arial" w:hAnsi="Arial" w:cs="Arial"/>
        </w:rPr>
      </w:pPr>
      <w:r w:rsidRPr="00283DED">
        <w:rPr>
          <w:rFonts w:ascii="Arial" w:hAnsi="Arial" w:cs="Arial"/>
        </w:rPr>
        <w:t xml:space="preserve">From a policy perspective, the findings are expected to support more targeted strategies. If social participation is shown to have a stronger association with employment among workers with disabilities, then promoting social inclusion through community-based programs, accessible public spaces, disability-friendly </w:t>
      </w:r>
      <w:proofErr w:type="spellStart"/>
      <w:r w:rsidRPr="00283DED">
        <w:rPr>
          <w:rFonts w:ascii="Arial" w:hAnsi="Arial" w:cs="Arial"/>
        </w:rPr>
        <w:t>organisations</w:t>
      </w:r>
      <w:proofErr w:type="spellEnd"/>
      <w:r w:rsidRPr="00283DED">
        <w:rPr>
          <w:rFonts w:ascii="Arial" w:hAnsi="Arial" w:cs="Arial"/>
        </w:rPr>
        <w:t>, and digital access initiatives becomes directly relevant to employment policy, not only to social welfare. In addition, strengthening access to education, training, and digital skills may help ensure that people with disabilities can participate socially and economically on equal terms.</w:t>
      </w:r>
      <w:r w:rsidR="00223117">
        <w:rPr>
          <w:rFonts w:ascii="Arial" w:hAnsi="Arial" w:cs="Arial"/>
        </w:rPr>
        <w:t xml:space="preserve"> </w:t>
      </w:r>
      <w:r w:rsidR="00223117" w:rsidRPr="00223117">
        <w:rPr>
          <w:rFonts w:ascii="Arial" w:hAnsi="Arial" w:cs="Arial"/>
          <w:bCs/>
          <w:highlight w:val="yellow"/>
        </w:rPr>
        <w:t xml:space="preserve">Because the empirical analysis focuses on a DKI Jakarta sub-sample, the findings should be interpreted with caution when </w:t>
      </w:r>
      <w:proofErr w:type="spellStart"/>
      <w:r w:rsidR="00223117" w:rsidRPr="00223117">
        <w:rPr>
          <w:rFonts w:ascii="Arial" w:hAnsi="Arial" w:cs="Arial"/>
          <w:bCs/>
          <w:highlight w:val="yellow"/>
        </w:rPr>
        <w:t>generalising</w:t>
      </w:r>
      <w:proofErr w:type="spellEnd"/>
      <w:r w:rsidR="00223117" w:rsidRPr="00223117">
        <w:rPr>
          <w:rFonts w:ascii="Arial" w:hAnsi="Arial" w:cs="Arial"/>
          <w:bCs/>
          <w:highlight w:val="yellow"/>
        </w:rPr>
        <w:t xml:space="preserve"> to other regions; future studies can replicate the same approach using </w:t>
      </w:r>
      <w:proofErr w:type="spellStart"/>
      <w:r w:rsidR="00223117" w:rsidRPr="00223117">
        <w:rPr>
          <w:rFonts w:ascii="Arial" w:hAnsi="Arial" w:cs="Arial"/>
          <w:bCs/>
          <w:highlight w:val="yellow"/>
        </w:rPr>
        <w:t>Sakernas</w:t>
      </w:r>
      <w:proofErr w:type="spellEnd"/>
      <w:r w:rsidR="00223117" w:rsidRPr="00223117">
        <w:rPr>
          <w:rFonts w:ascii="Arial" w:hAnsi="Arial" w:cs="Arial"/>
          <w:bCs/>
          <w:highlight w:val="yellow"/>
        </w:rPr>
        <w:t xml:space="preserve"> sub-samples from other provinces to test robustness across </w:t>
      </w:r>
      <w:proofErr w:type="spellStart"/>
      <w:proofErr w:type="gramStart"/>
      <w:r w:rsidR="00223117" w:rsidRPr="00223117">
        <w:rPr>
          <w:rFonts w:ascii="Arial" w:hAnsi="Arial" w:cs="Arial"/>
          <w:bCs/>
          <w:highlight w:val="yellow"/>
        </w:rPr>
        <w:t>settings.</w:t>
      </w:r>
      <w:r w:rsidR="00223117" w:rsidRPr="00223117">
        <w:rPr>
          <w:rFonts w:ascii="Arial" w:hAnsi="Arial" w:cs="Arial"/>
          <w:highlight w:val="yellow"/>
        </w:rPr>
        <w:t>This</w:t>
      </w:r>
      <w:proofErr w:type="spellEnd"/>
      <w:proofErr w:type="gramEnd"/>
      <w:r w:rsidR="00223117" w:rsidRPr="00223117">
        <w:rPr>
          <w:rFonts w:ascii="Arial" w:hAnsi="Arial" w:cs="Arial"/>
          <w:highlight w:val="yellow"/>
        </w:rPr>
        <w:t xml:space="preserve"> study uses a secondary dataset provided by BPS (</w:t>
      </w:r>
      <w:proofErr w:type="spellStart"/>
      <w:r w:rsidR="00223117" w:rsidRPr="00223117">
        <w:rPr>
          <w:rFonts w:ascii="Arial" w:hAnsi="Arial" w:cs="Arial"/>
          <w:highlight w:val="yellow"/>
        </w:rPr>
        <w:t>Sakernas</w:t>
      </w:r>
      <w:proofErr w:type="spellEnd"/>
      <w:r w:rsidR="00223117" w:rsidRPr="00223117">
        <w:rPr>
          <w:rFonts w:ascii="Arial" w:hAnsi="Arial" w:cs="Arial"/>
          <w:highlight w:val="yellow"/>
        </w:rPr>
        <w:t>) and relies on legally obtained, publicly available microdata for research purposes</w:t>
      </w:r>
      <w:r w:rsidR="00223117" w:rsidRPr="00223117">
        <w:rPr>
          <w:rFonts w:ascii="Arial" w:hAnsi="Arial" w:cs="Arial"/>
          <w:b/>
          <w:bCs/>
          <w:highlight w:val="yellow"/>
        </w:rPr>
        <w:t>.</w:t>
      </w:r>
    </w:p>
    <w:p w14:paraId="74CCE655" w14:textId="77777777" w:rsidR="00283DED" w:rsidRPr="00283DED" w:rsidRDefault="00283DED" w:rsidP="004932AA">
      <w:pPr>
        <w:pStyle w:val="Body"/>
        <w:rPr>
          <w:rFonts w:ascii="Arial" w:hAnsi="Arial" w:cs="Arial"/>
        </w:rPr>
      </w:pPr>
      <w:r w:rsidRPr="00283DED">
        <w:rPr>
          <w:rFonts w:ascii="Arial" w:hAnsi="Arial" w:cs="Arial"/>
        </w:rPr>
        <w:t xml:space="preserve">The remainder of the article is </w:t>
      </w:r>
      <w:proofErr w:type="spellStart"/>
      <w:r w:rsidRPr="00283DED">
        <w:rPr>
          <w:rFonts w:ascii="Arial" w:hAnsi="Arial" w:cs="Arial"/>
        </w:rPr>
        <w:t>organised</w:t>
      </w:r>
      <w:proofErr w:type="spellEnd"/>
      <w:r w:rsidRPr="00283DED">
        <w:rPr>
          <w:rFonts w:ascii="Arial" w:hAnsi="Arial" w:cs="Arial"/>
        </w:rPr>
        <w:t xml:space="preserve"> as follows. The next section describes the data, variables, and empirical strategy, including the PSM procedure and the Probit model specification. The results section presents the estimated effects and group differences, followed by a discussion of implications and limitations. The final section concludes with policy recommendations and directions for future research.</w:t>
      </w:r>
    </w:p>
    <w:p w14:paraId="7003DC30" w14:textId="53DE1FDA" w:rsidR="00B01FCD" w:rsidRDefault="00B01FCD" w:rsidP="004932AA">
      <w:pPr>
        <w:pStyle w:val="Body"/>
        <w:spacing w:after="0"/>
        <w:rPr>
          <w:rFonts w:ascii="Arial" w:hAnsi="Arial" w:cs="Arial"/>
        </w:rPr>
      </w:pPr>
    </w:p>
    <w:p w14:paraId="60F5B12B" w14:textId="7DDC22FA" w:rsidR="007F7B32" w:rsidRDefault="00902823" w:rsidP="004932AA">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C9AACEA" w14:textId="77777777" w:rsidR="00790ADA" w:rsidRPr="00FB3A86" w:rsidRDefault="00790ADA" w:rsidP="004932AA">
      <w:pPr>
        <w:pStyle w:val="AbstHead"/>
        <w:spacing w:after="0"/>
        <w:jc w:val="both"/>
        <w:rPr>
          <w:rFonts w:ascii="Arial" w:hAnsi="Arial" w:cs="Arial"/>
        </w:rPr>
      </w:pPr>
    </w:p>
    <w:p w14:paraId="1A3D2560" w14:textId="318DBF3A" w:rsidR="00283DED" w:rsidRPr="00283DED" w:rsidRDefault="00B97B1D" w:rsidP="004932AA">
      <w:pPr>
        <w:pStyle w:val="Body"/>
        <w:rPr>
          <w:rFonts w:ascii="Arial" w:hAnsi="Arial" w:cs="Arial"/>
        </w:rPr>
      </w:pPr>
      <w:r w:rsidRPr="00B97B1D">
        <w:rPr>
          <w:rFonts w:ascii="Arial" w:hAnsi="Arial" w:cs="Arial"/>
          <w:bCs/>
        </w:rPr>
        <w:t xml:space="preserve">This study examines the impact of active social participation on employment opportunities for workers with disabilities and non-disabled workers using the Propensity Score Matching (PSM) method. </w:t>
      </w:r>
      <w:r w:rsidRPr="00B97B1D">
        <w:rPr>
          <w:rFonts w:ascii="Arial" w:hAnsi="Arial" w:cs="Arial"/>
          <w:highlight w:val="yellow"/>
        </w:rPr>
        <w:t>The study is a quantitative observational analysis of cross-sectional secondary data (</w:t>
      </w:r>
      <w:proofErr w:type="spellStart"/>
      <w:r w:rsidRPr="00B97B1D">
        <w:rPr>
          <w:rFonts w:ascii="Arial" w:hAnsi="Arial" w:cs="Arial"/>
          <w:highlight w:val="yellow"/>
        </w:rPr>
        <w:t>Sakernas</w:t>
      </w:r>
      <w:proofErr w:type="spellEnd"/>
      <w:r w:rsidRPr="00B97B1D">
        <w:rPr>
          <w:rFonts w:ascii="Arial" w:hAnsi="Arial" w:cs="Arial"/>
          <w:highlight w:val="yellow"/>
        </w:rPr>
        <w:t xml:space="preserve"> 2021) and applies a quasi-experimental approach through matching to reduce observable selection bias</w:t>
      </w:r>
      <w:r w:rsidRPr="00B97B1D">
        <w:rPr>
          <w:rFonts w:ascii="Arial" w:hAnsi="Arial" w:cs="Arial"/>
          <w:b/>
          <w:bCs/>
        </w:rPr>
        <w:t>.</w:t>
      </w:r>
      <w:r w:rsidRPr="00B97B1D">
        <w:rPr>
          <w:rFonts w:ascii="Arial" w:hAnsi="Arial" w:cs="Arial"/>
          <w:bCs/>
        </w:rPr>
        <w:t xml:space="preserve"> The Mincer equation framework serves as the foundation to explore how education, training, and the interaction between education and digitalization influence employment outcomes. The mathematical model used in this study is</w:t>
      </w:r>
      <w:r w:rsidR="00283DED" w:rsidRPr="00283DED">
        <w:rPr>
          <w:rFonts w:ascii="Arial" w:hAnsi="Arial" w:cs="Arial"/>
        </w:rPr>
        <w:t>:</w:t>
      </w:r>
    </w:p>
    <w:p w14:paraId="36CF9DAE" w14:textId="4FE66F82" w:rsidR="00283DED" w:rsidRPr="00283DED" w:rsidRDefault="00283DED" w:rsidP="004932AA">
      <w:pPr>
        <w:pStyle w:val="Body"/>
        <w:spacing w:after="0"/>
        <w:rPr>
          <w:rFonts w:ascii="Arial" w:hAnsi="Arial" w:cs="Arial"/>
        </w:rPr>
      </w:pPr>
      <m:oMathPara>
        <m:oMathParaPr>
          <m:jc m:val="left"/>
        </m:oMathParaPr>
        <m:oMath>
          <m:r>
            <w:rPr>
              <w:rFonts w:ascii="Cambria Math" w:hAnsi="Cambria Math" w:cs="Arial"/>
            </w:rPr>
            <m:t>E=</m:t>
          </m:r>
          <m:r>
            <m:rPr>
              <m:sty m:val="p"/>
            </m:rPr>
            <w:rPr>
              <w:rFonts w:ascii="Cambria Math" w:hAnsi="Cambria Math" w:cs="Arial"/>
            </w:rPr>
            <m:t>α1 +β1SP +γ1Edu+γ2Tr+γ3(Edu*Dig)+</m:t>
          </m:r>
          <m:r>
            <w:rPr>
              <w:rFonts w:ascii="Cambria Math" w:hAnsi="Cambria Math" w:cs="Arial"/>
            </w:rPr>
            <m:t>ε</m:t>
          </m:r>
        </m:oMath>
      </m:oMathPara>
    </w:p>
    <w:p w14:paraId="55E0F2D4" w14:textId="77777777" w:rsidR="00283DED" w:rsidRPr="00283DED" w:rsidRDefault="00283DED" w:rsidP="004932AA">
      <w:pPr>
        <w:pStyle w:val="Body"/>
        <w:spacing w:after="0"/>
        <w:rPr>
          <w:rFonts w:ascii="Arial" w:hAnsi="Arial" w:cs="Arial"/>
          <w:bCs/>
        </w:rPr>
      </w:pPr>
      <w:r w:rsidRPr="00283DED">
        <w:rPr>
          <w:rFonts w:ascii="Arial" w:hAnsi="Arial" w:cs="Arial"/>
          <w:bCs/>
        </w:rPr>
        <w:t>Where:</w:t>
      </w:r>
    </w:p>
    <w:p w14:paraId="31D087F5" w14:textId="6ECB0BAA" w:rsidR="00283DED" w:rsidRPr="00283DED" w:rsidRDefault="00283DED" w:rsidP="004932AA">
      <w:pPr>
        <w:pStyle w:val="Body"/>
        <w:spacing w:after="0"/>
        <w:rPr>
          <w:rFonts w:ascii="Arial" w:hAnsi="Arial" w:cs="Arial"/>
          <w:bCs/>
        </w:rPr>
      </w:pPr>
      <m:oMath>
        <m:r>
          <w:rPr>
            <w:rFonts w:ascii="Cambria Math" w:hAnsi="Cambria Math" w:cs="Arial"/>
          </w:rPr>
          <m:t>E</m:t>
        </m:r>
      </m:oMath>
      <w:r w:rsidRPr="00283DED">
        <w:rPr>
          <w:rFonts w:ascii="Arial" w:hAnsi="Arial" w:cs="Arial"/>
          <w:bCs/>
        </w:rPr>
        <w:tab/>
      </w:r>
      <w:r w:rsidRPr="00283DED">
        <w:rPr>
          <w:rFonts w:ascii="Arial" w:hAnsi="Arial" w:cs="Arial"/>
          <w:bCs/>
        </w:rPr>
        <w:tab/>
        <w:t xml:space="preserve">: </w:t>
      </w:r>
      <w:r w:rsidRPr="00283DED">
        <w:rPr>
          <w:rFonts w:ascii="Arial" w:hAnsi="Arial" w:cs="Arial"/>
          <w:bCs/>
          <w:i/>
          <w:iCs/>
        </w:rPr>
        <w:t>Employment</w:t>
      </w:r>
    </w:p>
    <w:p w14:paraId="27FC8CC9" w14:textId="77777777" w:rsidR="00283DED" w:rsidRPr="00283DED" w:rsidRDefault="00283DED" w:rsidP="004932AA">
      <w:pPr>
        <w:pStyle w:val="Body"/>
        <w:spacing w:after="0"/>
        <w:rPr>
          <w:rFonts w:ascii="Arial" w:hAnsi="Arial" w:cs="Arial"/>
          <w:bCs/>
        </w:rPr>
      </w:pPr>
      <w:r w:rsidRPr="00283DED">
        <w:rPr>
          <w:rFonts w:ascii="Arial" w:hAnsi="Arial" w:cs="Arial"/>
          <w:bCs/>
        </w:rPr>
        <w:t>SP</w:t>
      </w:r>
      <w:r w:rsidRPr="00283DED">
        <w:rPr>
          <w:rFonts w:ascii="Arial" w:hAnsi="Arial" w:cs="Arial"/>
          <w:bCs/>
        </w:rPr>
        <w:tab/>
      </w:r>
      <w:r w:rsidRPr="00283DED">
        <w:rPr>
          <w:rFonts w:ascii="Arial" w:hAnsi="Arial" w:cs="Arial"/>
          <w:bCs/>
        </w:rPr>
        <w:tab/>
        <w:t xml:space="preserve">: </w:t>
      </w:r>
      <w:r w:rsidRPr="00283DED">
        <w:rPr>
          <w:rFonts w:ascii="Arial" w:hAnsi="Arial" w:cs="Arial"/>
          <w:bCs/>
          <w:i/>
          <w:iCs/>
        </w:rPr>
        <w:t>Social Participation</w:t>
      </w:r>
    </w:p>
    <w:p w14:paraId="1EB1B923" w14:textId="77777777" w:rsidR="00283DED" w:rsidRPr="00283DED" w:rsidRDefault="00283DED" w:rsidP="004932AA">
      <w:pPr>
        <w:pStyle w:val="Body"/>
        <w:spacing w:after="0"/>
        <w:rPr>
          <w:rFonts w:ascii="Arial" w:hAnsi="Arial" w:cs="Arial"/>
          <w:bCs/>
          <w:i/>
          <w:iCs/>
        </w:rPr>
      </w:pPr>
      <w:r w:rsidRPr="00283DED">
        <w:rPr>
          <w:rFonts w:ascii="Arial" w:hAnsi="Arial" w:cs="Arial"/>
          <w:bCs/>
        </w:rPr>
        <w:t>Edu</w:t>
      </w:r>
      <w:r w:rsidRPr="00283DED">
        <w:rPr>
          <w:rFonts w:ascii="Arial" w:hAnsi="Arial" w:cs="Arial"/>
          <w:bCs/>
        </w:rPr>
        <w:tab/>
      </w:r>
      <w:r w:rsidRPr="00283DED">
        <w:rPr>
          <w:rFonts w:ascii="Arial" w:hAnsi="Arial" w:cs="Arial"/>
          <w:bCs/>
        </w:rPr>
        <w:tab/>
        <w:t xml:space="preserve">: </w:t>
      </w:r>
      <w:r w:rsidRPr="00283DED">
        <w:rPr>
          <w:rFonts w:ascii="Arial" w:hAnsi="Arial" w:cs="Arial"/>
          <w:bCs/>
          <w:i/>
          <w:iCs/>
        </w:rPr>
        <w:t>Education</w:t>
      </w:r>
    </w:p>
    <w:p w14:paraId="23183D72" w14:textId="77777777" w:rsidR="00283DED" w:rsidRPr="00283DED" w:rsidRDefault="00283DED" w:rsidP="004932AA">
      <w:pPr>
        <w:pStyle w:val="Body"/>
        <w:spacing w:after="0"/>
        <w:rPr>
          <w:rFonts w:ascii="Arial" w:hAnsi="Arial" w:cs="Arial"/>
          <w:bCs/>
        </w:rPr>
      </w:pPr>
      <w:r w:rsidRPr="00283DED">
        <w:rPr>
          <w:rFonts w:ascii="Arial" w:hAnsi="Arial" w:cs="Arial"/>
          <w:bCs/>
        </w:rPr>
        <w:lastRenderedPageBreak/>
        <w:t>Tr</w:t>
      </w:r>
      <w:r w:rsidRPr="00283DED">
        <w:rPr>
          <w:rFonts w:ascii="Arial" w:hAnsi="Arial" w:cs="Arial"/>
          <w:bCs/>
        </w:rPr>
        <w:tab/>
      </w:r>
      <w:r w:rsidRPr="00283DED">
        <w:rPr>
          <w:rFonts w:ascii="Arial" w:hAnsi="Arial" w:cs="Arial"/>
          <w:bCs/>
        </w:rPr>
        <w:tab/>
        <w:t xml:space="preserve">: </w:t>
      </w:r>
      <w:r w:rsidRPr="00283DED">
        <w:rPr>
          <w:rFonts w:ascii="Arial" w:hAnsi="Arial" w:cs="Arial"/>
          <w:bCs/>
          <w:i/>
          <w:iCs/>
        </w:rPr>
        <w:t>Training</w:t>
      </w:r>
    </w:p>
    <w:p w14:paraId="73FA0E0F" w14:textId="77777777" w:rsidR="00283DED" w:rsidRPr="00283DED" w:rsidRDefault="00283DED" w:rsidP="004932AA">
      <w:pPr>
        <w:pStyle w:val="Body"/>
        <w:spacing w:after="0"/>
        <w:rPr>
          <w:rFonts w:ascii="Arial" w:hAnsi="Arial" w:cs="Arial"/>
          <w:bCs/>
        </w:rPr>
      </w:pPr>
      <w:r w:rsidRPr="00283DED">
        <w:rPr>
          <w:rFonts w:ascii="Arial" w:hAnsi="Arial" w:cs="Arial"/>
          <w:bCs/>
        </w:rPr>
        <w:t>Edu*Dig</w:t>
      </w:r>
      <w:r w:rsidRPr="00283DED">
        <w:rPr>
          <w:rFonts w:ascii="Arial" w:hAnsi="Arial" w:cs="Arial"/>
          <w:bCs/>
        </w:rPr>
        <w:tab/>
        <w:t xml:space="preserve">: </w:t>
      </w:r>
      <w:r w:rsidRPr="00283DED">
        <w:rPr>
          <w:rFonts w:ascii="Arial" w:hAnsi="Arial" w:cs="Arial"/>
          <w:bCs/>
          <w:i/>
          <w:iCs/>
        </w:rPr>
        <w:t>Interaction between Education and Digitalization</w:t>
      </w:r>
    </w:p>
    <w:p w14:paraId="5AFA58DF" w14:textId="46A6B2CF" w:rsidR="00283DED" w:rsidRPr="00283DED" w:rsidRDefault="00283DED" w:rsidP="004932AA">
      <w:pPr>
        <w:pStyle w:val="Body"/>
        <w:spacing w:after="0"/>
        <w:rPr>
          <w:rFonts w:ascii="Arial" w:hAnsi="Arial" w:cs="Arial"/>
          <w:bCs/>
        </w:rPr>
      </w:pPr>
      <m:oMath>
        <m:r>
          <m:rPr>
            <m:sty m:val="p"/>
          </m:rPr>
          <w:rPr>
            <w:rFonts w:ascii="Cambria Math" w:hAnsi="Cambria Math" w:cs="Arial"/>
          </w:rPr>
          <m:t>α1, β1, γ1- γ3</m:t>
        </m:r>
      </m:oMath>
      <w:r w:rsidRPr="00283DED">
        <w:rPr>
          <w:rFonts w:ascii="Arial" w:hAnsi="Arial" w:cs="Arial"/>
          <w:bCs/>
        </w:rPr>
        <w:tab/>
        <w:t xml:space="preserve">: </w:t>
      </w:r>
      <w:r w:rsidRPr="00283DED">
        <w:rPr>
          <w:rFonts w:ascii="Arial" w:hAnsi="Arial" w:cs="Arial"/>
          <w:bCs/>
          <w:i/>
          <w:iCs/>
        </w:rPr>
        <w:t>Estimation coefficient</w:t>
      </w:r>
    </w:p>
    <w:p w14:paraId="513053EE" w14:textId="540B25D3" w:rsidR="00283DED" w:rsidRPr="00283DED" w:rsidRDefault="00283DED" w:rsidP="004932AA">
      <w:pPr>
        <w:pStyle w:val="Body"/>
        <w:spacing w:after="0"/>
        <w:rPr>
          <w:rFonts w:ascii="Arial" w:hAnsi="Arial" w:cs="Arial"/>
          <w:bCs/>
          <w:i/>
          <w:iCs/>
        </w:rPr>
      </w:pPr>
      <m:oMath>
        <m:r>
          <w:rPr>
            <w:rFonts w:ascii="Cambria Math" w:hAnsi="Cambria Math" w:cs="Arial"/>
          </w:rPr>
          <m:t>ε</m:t>
        </m:r>
      </m:oMath>
      <w:r w:rsidRPr="00283DED">
        <w:rPr>
          <w:rFonts w:ascii="Arial" w:hAnsi="Arial" w:cs="Arial"/>
          <w:bCs/>
        </w:rPr>
        <w:tab/>
      </w:r>
      <w:r w:rsidRPr="00283DED">
        <w:rPr>
          <w:rFonts w:ascii="Arial" w:hAnsi="Arial" w:cs="Arial"/>
          <w:bCs/>
        </w:rPr>
        <w:tab/>
        <w:t xml:space="preserve">: </w:t>
      </w:r>
      <w:r w:rsidRPr="00283DED">
        <w:rPr>
          <w:rFonts w:ascii="Arial" w:hAnsi="Arial" w:cs="Arial"/>
          <w:bCs/>
          <w:i/>
          <w:iCs/>
        </w:rPr>
        <w:t>Error of term</w:t>
      </w:r>
    </w:p>
    <w:p w14:paraId="73DE6E2B" w14:textId="105CBD81" w:rsidR="00B97B1D" w:rsidRDefault="00B97B1D" w:rsidP="00B97B1D">
      <w:pPr>
        <w:pStyle w:val="Body"/>
        <w:spacing w:before="240"/>
        <w:rPr>
          <w:rFonts w:ascii="Arial" w:hAnsi="Arial" w:cs="Arial"/>
        </w:rPr>
      </w:pPr>
      <w:r w:rsidRPr="00B97B1D">
        <w:rPr>
          <w:rFonts w:ascii="Arial" w:hAnsi="Arial" w:cs="Arial"/>
          <w:highlight w:val="yellow"/>
        </w:rPr>
        <w:t xml:space="preserve">In practice, the empirical strategy is implemented in two parts. First, PSM is used to estimate the effect of active social participation (treatment) on employment (outcome). Second, a Probit regression model is used to examine how education, training, and the education–digital technology interaction </w:t>
      </w:r>
      <w:proofErr w:type="gramStart"/>
      <w:r w:rsidRPr="00B97B1D">
        <w:rPr>
          <w:rFonts w:ascii="Arial" w:hAnsi="Arial" w:cs="Arial"/>
          <w:highlight w:val="yellow"/>
        </w:rPr>
        <w:t>are</w:t>
      </w:r>
      <w:proofErr w:type="gramEnd"/>
      <w:r w:rsidRPr="00B97B1D">
        <w:rPr>
          <w:rFonts w:ascii="Arial" w:hAnsi="Arial" w:cs="Arial"/>
          <w:highlight w:val="yellow"/>
        </w:rPr>
        <w:t xml:space="preserve"> associated with social participation within each group (workers with disabilities and non-disabled workers), consistent with the results reported in Table 3.</w:t>
      </w:r>
    </w:p>
    <w:p w14:paraId="06FEAC5E" w14:textId="099D554F" w:rsidR="00283DED" w:rsidRPr="00283DED" w:rsidRDefault="00283DED" w:rsidP="00B97B1D">
      <w:pPr>
        <w:pStyle w:val="Body"/>
        <w:spacing w:before="240"/>
        <w:rPr>
          <w:rFonts w:ascii="Arial" w:hAnsi="Arial" w:cs="Arial"/>
        </w:rPr>
      </w:pPr>
      <w:r w:rsidRPr="00283DED">
        <w:rPr>
          <w:rFonts w:ascii="Arial" w:hAnsi="Arial" w:cs="Arial"/>
        </w:rPr>
        <w:t>This model seeks to evaluate how social participation, education, training, and the interaction between education and digitalization influence employment outcomes, particularly for workers with disabilities. The application of PSM allows for a more accurate estimation of these effects by matching individuals with similar characteristics across the groups of workers with and without disabilities.</w:t>
      </w:r>
    </w:p>
    <w:p w14:paraId="19D17FEA" w14:textId="421880A9" w:rsidR="00283DED" w:rsidRDefault="00283DED" w:rsidP="004932AA">
      <w:pPr>
        <w:pStyle w:val="Body"/>
        <w:spacing w:after="0"/>
        <w:rPr>
          <w:rFonts w:ascii="Arial" w:hAnsi="Arial" w:cs="Arial"/>
          <w:b/>
          <w:bCs/>
        </w:rPr>
      </w:pPr>
      <w:r>
        <w:rPr>
          <w:rFonts w:ascii="Arial" w:hAnsi="Arial" w:cs="Arial"/>
          <w:b/>
          <w:bCs/>
        </w:rPr>
        <w:t xml:space="preserve">2.1 </w:t>
      </w:r>
      <w:r w:rsidRPr="00283DED">
        <w:rPr>
          <w:rFonts w:ascii="Arial" w:hAnsi="Arial" w:cs="Arial"/>
          <w:b/>
          <w:bCs/>
        </w:rPr>
        <w:t>Data</w:t>
      </w:r>
    </w:p>
    <w:p w14:paraId="42F4D053" w14:textId="1D9D0480" w:rsidR="00283DED" w:rsidRDefault="00283DED" w:rsidP="004932AA">
      <w:pPr>
        <w:pStyle w:val="Body"/>
        <w:spacing w:after="0"/>
        <w:rPr>
          <w:rFonts w:ascii="Arial" w:hAnsi="Arial" w:cs="Arial"/>
        </w:rPr>
      </w:pPr>
      <w:r w:rsidRPr="00283DED">
        <w:rPr>
          <w:rFonts w:ascii="Arial" w:hAnsi="Arial" w:cs="Arial"/>
        </w:rPr>
        <w:t xml:space="preserve">The data used in this study is sourced from the 2021 National </w:t>
      </w:r>
      <w:proofErr w:type="spellStart"/>
      <w:r w:rsidR="00736F52">
        <w:rPr>
          <w:rFonts w:ascii="Arial" w:hAnsi="Arial" w:cs="Arial"/>
        </w:rPr>
        <w:t>Labour</w:t>
      </w:r>
      <w:proofErr w:type="spellEnd"/>
      <w:r w:rsidRPr="00283DED">
        <w:rPr>
          <w:rFonts w:ascii="Arial" w:hAnsi="Arial" w:cs="Arial"/>
        </w:rPr>
        <w:t xml:space="preserve"> Force Survey (</w:t>
      </w:r>
      <w:proofErr w:type="spellStart"/>
      <w:r w:rsidRPr="00283DED">
        <w:rPr>
          <w:rFonts w:ascii="Arial" w:hAnsi="Arial" w:cs="Arial"/>
        </w:rPr>
        <w:t>Sakernas</w:t>
      </w:r>
      <w:proofErr w:type="spellEnd"/>
      <w:r w:rsidRPr="00283DED">
        <w:rPr>
          <w:rFonts w:ascii="Arial" w:hAnsi="Arial" w:cs="Arial"/>
        </w:rPr>
        <w:t xml:space="preserve">) published by the Central Bureau of Statistics (BPS). </w:t>
      </w:r>
      <w:proofErr w:type="spellStart"/>
      <w:r w:rsidRPr="00283DED">
        <w:rPr>
          <w:rFonts w:ascii="Arial" w:hAnsi="Arial" w:cs="Arial"/>
        </w:rPr>
        <w:t>Sakernas</w:t>
      </w:r>
      <w:proofErr w:type="spellEnd"/>
      <w:r w:rsidRPr="00283DED">
        <w:rPr>
          <w:rFonts w:ascii="Arial" w:hAnsi="Arial" w:cs="Arial"/>
        </w:rPr>
        <w:t xml:space="preserve"> provides comprehensive data on the </w:t>
      </w:r>
      <w:proofErr w:type="spellStart"/>
      <w:r w:rsidR="00736F52">
        <w:rPr>
          <w:rFonts w:ascii="Arial" w:hAnsi="Arial" w:cs="Arial"/>
        </w:rPr>
        <w:t>labour</w:t>
      </w:r>
      <w:proofErr w:type="spellEnd"/>
      <w:r w:rsidRPr="00283DED">
        <w:rPr>
          <w:rFonts w:ascii="Arial" w:hAnsi="Arial" w:cs="Arial"/>
        </w:rPr>
        <w:t xml:space="preserve"> market conditions in Indonesia, including relevant variables such as employment status, social participation, education, training, and digital technology usage.</w:t>
      </w:r>
    </w:p>
    <w:p w14:paraId="05E81880" w14:textId="77777777" w:rsidR="00B97B1D" w:rsidRPr="00283DED" w:rsidRDefault="00B97B1D" w:rsidP="004932AA">
      <w:pPr>
        <w:pStyle w:val="Body"/>
        <w:spacing w:after="0"/>
        <w:rPr>
          <w:rFonts w:ascii="Arial" w:hAnsi="Arial" w:cs="Arial"/>
        </w:rPr>
      </w:pPr>
    </w:p>
    <w:p w14:paraId="44E8E215" w14:textId="23009BA3" w:rsidR="00283DED" w:rsidRPr="00283DED" w:rsidRDefault="00283DED" w:rsidP="004932AA">
      <w:pPr>
        <w:pStyle w:val="Body"/>
        <w:spacing w:after="0"/>
        <w:rPr>
          <w:rFonts w:ascii="Arial" w:hAnsi="Arial" w:cs="Arial"/>
        </w:rPr>
      </w:pPr>
      <w:r w:rsidRPr="00283DED">
        <w:rPr>
          <w:rFonts w:ascii="Arial" w:hAnsi="Arial" w:cs="Arial"/>
        </w:rPr>
        <w:t xml:space="preserve">The research focuses on </w:t>
      </w:r>
      <w:proofErr w:type="spellStart"/>
      <w:r w:rsidRPr="00283DED">
        <w:rPr>
          <w:rFonts w:ascii="Arial" w:hAnsi="Arial" w:cs="Arial"/>
        </w:rPr>
        <w:t>on</w:t>
      </w:r>
      <w:proofErr w:type="spellEnd"/>
      <w:r w:rsidRPr="00283DED">
        <w:rPr>
          <w:rFonts w:ascii="Arial" w:hAnsi="Arial" w:cs="Arial"/>
        </w:rPr>
        <w:t xml:space="preserve"> the Special Capital Region of Jakarta (DKI Jakarta), encompassing both disabled and non-disabled workers. Jakarta was selected as the study region because it is the capital city and the economic, political, and social center of Indonesia, offering a more complex and diverse level of social participation. This diversity enables the research results to reflect broader social conditions, thereby representing the overall situation in Indonesia.</w:t>
      </w:r>
      <w:r w:rsidR="00B97B1D" w:rsidRPr="00B97B1D">
        <w:t xml:space="preserve"> </w:t>
      </w:r>
      <w:r w:rsidR="00B97B1D" w:rsidRPr="00B97B1D">
        <w:rPr>
          <w:rFonts w:ascii="Arial" w:hAnsi="Arial" w:cs="Arial"/>
          <w:highlight w:val="yellow"/>
        </w:rPr>
        <w:t xml:space="preserve">However, because the empirical analysis is based on DKI Jakarta, interpretation should be cautious when </w:t>
      </w:r>
      <w:proofErr w:type="spellStart"/>
      <w:r w:rsidR="00B97B1D" w:rsidRPr="00B97B1D">
        <w:rPr>
          <w:rFonts w:ascii="Arial" w:hAnsi="Arial" w:cs="Arial"/>
          <w:highlight w:val="yellow"/>
        </w:rPr>
        <w:t>generalising</w:t>
      </w:r>
      <w:proofErr w:type="spellEnd"/>
      <w:r w:rsidR="00B97B1D" w:rsidRPr="00B97B1D">
        <w:rPr>
          <w:rFonts w:ascii="Arial" w:hAnsi="Arial" w:cs="Arial"/>
          <w:highlight w:val="yellow"/>
        </w:rPr>
        <w:t xml:space="preserve"> to other provinces (see Section 2.6).</w:t>
      </w:r>
    </w:p>
    <w:p w14:paraId="79CEE77E" w14:textId="77777777" w:rsidR="00283DED" w:rsidRPr="00283DED" w:rsidRDefault="00283DED" w:rsidP="004932AA">
      <w:pPr>
        <w:pStyle w:val="Body"/>
        <w:spacing w:after="0"/>
        <w:rPr>
          <w:rFonts w:ascii="Arial" w:hAnsi="Arial" w:cs="Arial"/>
          <w:b/>
          <w:bCs/>
        </w:rPr>
      </w:pPr>
    </w:p>
    <w:p w14:paraId="35CA8B2C" w14:textId="77777777" w:rsidR="00283DED" w:rsidRDefault="00283DED" w:rsidP="004932AA">
      <w:pPr>
        <w:pStyle w:val="Body"/>
        <w:spacing w:after="0"/>
        <w:rPr>
          <w:rFonts w:ascii="Arial" w:hAnsi="Arial" w:cs="Arial"/>
          <w:b/>
          <w:bCs/>
        </w:rPr>
      </w:pPr>
      <w:r>
        <w:rPr>
          <w:rFonts w:ascii="Arial" w:hAnsi="Arial" w:cs="Arial"/>
          <w:b/>
          <w:bCs/>
        </w:rPr>
        <w:t xml:space="preserve">2.2 </w:t>
      </w:r>
      <w:r w:rsidRPr="00283DED">
        <w:rPr>
          <w:rFonts w:ascii="Arial" w:hAnsi="Arial" w:cs="Arial"/>
          <w:b/>
          <w:bCs/>
        </w:rPr>
        <w:t>Propensity Score Matching (PSM) Method</w:t>
      </w:r>
    </w:p>
    <w:p w14:paraId="1193C377" w14:textId="2E042909" w:rsidR="00283DED" w:rsidRPr="00B97B1D" w:rsidRDefault="00B97B1D" w:rsidP="004932AA">
      <w:pPr>
        <w:pStyle w:val="Body"/>
        <w:spacing w:after="0"/>
        <w:rPr>
          <w:rFonts w:ascii="Arial" w:hAnsi="Arial" w:cs="Arial"/>
        </w:rPr>
      </w:pPr>
      <w:r w:rsidRPr="00B97B1D">
        <w:rPr>
          <w:rFonts w:ascii="Arial" w:hAnsi="Arial" w:cs="Arial"/>
        </w:rPr>
        <w:t xml:space="preserve">The PSM method is employed to adjust the characteristics between the active and inactive social participation groups so that a more accurate comparison of the role of social participation on employment outcomes can be conducted. </w:t>
      </w:r>
      <w:r w:rsidRPr="00B97B1D">
        <w:rPr>
          <w:rFonts w:ascii="Arial" w:hAnsi="Arial" w:cs="Arial"/>
          <w:highlight w:val="yellow"/>
        </w:rPr>
        <w:t>PSM works by estimating the propensity score, which is the probability of an individual being an active social participant (treatment = 1), influenced by observed covariates such as education, training, and digital technology use, within each respondent group (workers with disabilities and non-disabled workers)</w:t>
      </w:r>
      <w:r>
        <w:rPr>
          <w:rFonts w:ascii="Arial" w:hAnsi="Arial" w:cs="Arial"/>
          <w:highlight w:val="yellow"/>
        </w:rPr>
        <w:t>.</w:t>
      </w:r>
    </w:p>
    <w:p w14:paraId="0C520BEE" w14:textId="77777777" w:rsidR="004932AA" w:rsidRPr="00283DED" w:rsidRDefault="004932AA" w:rsidP="004932AA">
      <w:pPr>
        <w:pStyle w:val="Body"/>
        <w:spacing w:after="0"/>
        <w:rPr>
          <w:rFonts w:ascii="Arial" w:hAnsi="Arial" w:cs="Arial"/>
        </w:rPr>
      </w:pPr>
    </w:p>
    <w:p w14:paraId="6CBE54EA" w14:textId="3D1B98A6" w:rsidR="00283DED" w:rsidRDefault="00283DED" w:rsidP="004932AA">
      <w:pPr>
        <w:pStyle w:val="Body"/>
        <w:spacing w:after="0"/>
        <w:rPr>
          <w:rFonts w:ascii="Arial" w:hAnsi="Arial" w:cs="Arial"/>
        </w:rPr>
      </w:pPr>
      <w:r w:rsidRPr="00283DED">
        <w:rPr>
          <w:rFonts w:ascii="Arial" w:hAnsi="Arial" w:cs="Arial"/>
        </w:rPr>
        <w:t xml:space="preserve">PSM is a statistical matching technique that builds a comparison group based on a probabilistic model—creating treatment and control groups using observed </w:t>
      </w:r>
      <w:r w:rsidRPr="00283DED">
        <w:rPr>
          <w:rFonts w:ascii="Arial" w:hAnsi="Arial" w:cs="Arial"/>
          <w:bCs/>
        </w:rPr>
        <w:fldChar w:fldCharType="begin" w:fldLock="1"/>
      </w:r>
      <w:r w:rsidRPr="00283DED">
        <w:rPr>
          <w:rFonts w:ascii="Arial" w:hAnsi="Arial" w:cs="Arial"/>
          <w:bCs/>
        </w:rPr>
        <w:instrText>ADDIN CSL_CITATION {"citationItems":[{"id":"ITEM-1","itemData":{"ISBN":"9780821380284","author":[{"dropping-particle":"","family":"Khandker","given":"Shahidur R","non-dropping-particle":"","parse-names":false,"suffix":""},{"dropping-particle":"","family":"Koolwal","given":"Gayatri B","non-dropping-particle":"","parse-names":false,"suffix":""},{"dropping-particle":"","family":"Samad","given":"Hussain A","non-dropping-particle":"","parse-names":false,"suffix":""}],"id":"ITEM-1","issued":{"date-parts":[["2010"]]},"publisher":"The International Bank for Reconstruction and Development / The World Bank","title":"handbook On Impact Evaluation","type":"book"},"uris":["http://www.mendeley.com/documents/?uuid=b1d77001-a800-4167-a92e-0c38c6b15b81"]}],"mendeley":{"formattedCitation":"(Khandker et al., 2010)","plainTextFormattedCitation":"(Khandker et al., 2010)","previouslyFormattedCitation":"(Khandker et al., 2010)"},"properties":{"noteIndex":0},"schema":"https://github.com/citation-style-language/schema/raw/master/csl-citation.json"}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(Khandker et al., 2010)</w:t>
      </w:r>
      <w:r w:rsidRPr="00283DED">
        <w:rPr>
          <w:rFonts w:ascii="Arial" w:hAnsi="Arial" w:cs="Arial"/>
        </w:rPr>
        <w:fldChar w:fldCharType="end"/>
      </w:r>
      <w:r w:rsidRPr="00283DED">
        <w:rPr>
          <w:rFonts w:ascii="Arial" w:hAnsi="Arial" w:cs="Arial"/>
          <w:bCs/>
        </w:rPr>
        <w:t>.</w:t>
      </w:r>
      <w:r w:rsidRPr="00283DED">
        <w:rPr>
          <w:rFonts w:ascii="Arial" w:hAnsi="Arial" w:cs="Arial"/>
        </w:rPr>
        <w:t xml:space="preserve"> These two groups are then matched based on their propensity scores, and the average treatment effect of the program is calculated as the mean difference in outcomes between the two groups </w:t>
      </w:r>
      <w:r w:rsidRPr="00283DED">
        <w:rPr>
          <w:rFonts w:ascii="Arial" w:hAnsi="Arial" w:cs="Arial"/>
          <w:bCs/>
        </w:rPr>
        <w:fldChar w:fldCharType="begin" w:fldLock="1"/>
      </w:r>
      <w:r w:rsidRPr="00283DED">
        <w:rPr>
          <w:rFonts w:ascii="Arial" w:hAnsi="Arial" w:cs="Arial"/>
          <w:bCs/>
        </w:rPr>
        <w:instrText>ADDIN CSL_CITATION {"citationItems":[{"id":"ITEM-1","itemData":{"DOI":"10.1016/j.procs.2022.11.164","ISSN":"18770509","abstract":"The difference of cognitive function between home-based elderly care and non-home-based elderly care is analyzed based on propensity score matching (PSM) method in this paper. Logistic regression is used to screen out the matching variables, and PSM is used to match the data. The balance test is also carried out. And independent t-test analysis is carried out on the data after matching processing to analyze the difference of cognitive function of the elderly under different elderly care models. The study result shows that there are significant differences in the cognitive function of the elderly residents under different elderly care models. The elderly residents who are in home-based elderly care have better cognitive function than those who are in other elderly care models.","author":[{"dropping-particle":"","family":"Li","given":"Aihua","non-dropping-particle":"","parse-names":false,"suffix":""},{"dropping-particle":"","family":"Wei","given":"Qinyan","non-dropping-particle":"","parse-names":false,"suffix":""},{"dropping-particle":"","family":"Xing","given":"Xinzhu","non-dropping-particle":"","parse-names":false,"suffix":""},{"dropping-particle":"","family":"Pu","given":"Fan","non-dropping-particle":"","parse-names":false,"suffix":""}],"container-title":"Procedia Computer Science","id":"ITEM-1","issue":"C","issued":{"date-parts":[["2022"]]},"page":"179-186","publisher":"Elsevier B.V.","title":"Analysis on differences of cognitive function between home-based and non-home-based elderly care based on PSM method","type":"article-journal","volume":"214"},"uris":["http://www.mendeley.com/documents/?uuid=6aafc21f-51a5-455d-a096-e7f6733b0395"]}],"mendeley":{"formattedCitation":"(Li et al., 2022)","plainTextFormattedCitation":"(Li et al., 2022)","previouslyFormattedCitation":"(Li et al., 2022)"},"properties":{"noteIndex":0},"schema":"https://github.com/citation-style-language/schema/raw/master/csl-citation.json"}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(Li et al., 2022)</w:t>
      </w:r>
      <w:r w:rsidRPr="00283DED">
        <w:rPr>
          <w:rFonts w:ascii="Arial" w:hAnsi="Arial" w:cs="Arial"/>
        </w:rPr>
        <w:fldChar w:fldCharType="end"/>
      </w:r>
      <w:r w:rsidRPr="00283DED">
        <w:rPr>
          <w:rFonts w:ascii="Arial" w:hAnsi="Arial" w:cs="Arial"/>
          <w:bCs/>
        </w:rPr>
        <w:t>.</w:t>
      </w:r>
      <w:r w:rsidRPr="00283DED">
        <w:rPr>
          <w:rFonts w:ascii="Arial" w:hAnsi="Arial" w:cs="Arial"/>
        </w:rPr>
        <w:t xml:space="preserve"> The validity of PSM relies on two conditions: (a) conditional independence (i.e.,</w:t>
      </w:r>
      <w:r w:rsidR="00B97B1D">
        <w:t xml:space="preserve"> </w:t>
      </w:r>
      <w:r w:rsidR="00B97B1D" w:rsidRPr="00B97B1D">
        <w:rPr>
          <w:rFonts w:ascii="Arial" w:hAnsi="Arial" w:cs="Arial"/>
          <w:highlight w:val="yellow"/>
        </w:rPr>
        <w:t>after conditioning on observed covariates, unobserved factors do not jointly determine treatment and outcomes</w:t>
      </w:r>
      <w:r w:rsidR="00B97B1D">
        <w:rPr>
          <w:rFonts w:ascii="Arial" w:hAnsi="Arial" w:cs="Arial"/>
        </w:rPr>
        <w:t xml:space="preserve">) </w:t>
      </w:r>
      <w:r w:rsidRPr="00283DED">
        <w:rPr>
          <w:rFonts w:ascii="Arial" w:hAnsi="Arial" w:cs="Arial"/>
        </w:rPr>
        <w:t>unobserved factors do not affect participation), and (b) sufficient overlap in propensity scores across the entire sample of participants and non-participants. This study used different approaches to match active and inactive groups in social participation based on propensity scores, including nearest-</w:t>
      </w:r>
      <w:r w:rsidRPr="00283DED">
        <w:rPr>
          <w:rFonts w:ascii="Arial" w:hAnsi="Arial" w:cs="Arial"/>
        </w:rPr>
        <w:lastRenderedPageBreak/>
        <w:t>neighbor (NN) matching and radius matching.</w:t>
      </w:r>
      <w:r w:rsidR="00B97B1D">
        <w:rPr>
          <w:rFonts w:ascii="Arial" w:hAnsi="Arial" w:cs="Arial"/>
        </w:rPr>
        <w:t xml:space="preserve"> </w:t>
      </w:r>
      <w:r w:rsidR="00B97B1D" w:rsidRPr="00B97B1D">
        <w:rPr>
          <w:rFonts w:ascii="Arial" w:hAnsi="Arial" w:cs="Arial"/>
          <w:highlight w:val="yellow"/>
        </w:rPr>
        <w:t>The main results reported in this manuscript use nearest-neighbor matching, consistent with Table 5</w:t>
      </w:r>
      <w:r w:rsidR="00B97B1D">
        <w:rPr>
          <w:rFonts w:ascii="Arial" w:hAnsi="Arial" w:cs="Arial"/>
        </w:rPr>
        <w:t>.</w:t>
      </w:r>
    </w:p>
    <w:p w14:paraId="78FB463E" w14:textId="77777777" w:rsidR="004932AA" w:rsidRPr="00283DED" w:rsidRDefault="004932AA" w:rsidP="004932AA">
      <w:pPr>
        <w:pStyle w:val="Body"/>
        <w:spacing w:after="0"/>
        <w:rPr>
          <w:rFonts w:ascii="Arial" w:hAnsi="Arial" w:cs="Arial"/>
        </w:rPr>
      </w:pPr>
    </w:p>
    <w:p w14:paraId="5CCC870C" w14:textId="77777777" w:rsidR="00283DED" w:rsidRPr="00283DED" w:rsidRDefault="00283DED" w:rsidP="004932AA">
      <w:pPr>
        <w:pStyle w:val="Body"/>
        <w:spacing w:after="0"/>
        <w:rPr>
          <w:rFonts w:ascii="Arial" w:hAnsi="Arial" w:cs="Arial"/>
        </w:rPr>
      </w:pPr>
      <w:r w:rsidRPr="00283DED">
        <w:rPr>
          <w:rFonts w:ascii="Arial" w:hAnsi="Arial" w:cs="Arial"/>
        </w:rPr>
        <w:t xml:space="preserve">According to Li et al. (2022), in the case of binary treatment, the treatment group is assigned a value of 1, and the control group is assigned a value of 0. The potential outcomes are then defined as Yi (Di), for each individual </w:t>
      </w:r>
      <w:proofErr w:type="spellStart"/>
      <w:r w:rsidRPr="00283DED">
        <w:rPr>
          <w:rFonts w:ascii="Arial" w:hAnsi="Arial" w:cs="Arial"/>
        </w:rPr>
        <w:t>i</w:t>
      </w:r>
      <w:proofErr w:type="spellEnd"/>
      <w:r w:rsidRPr="00283DED">
        <w:rPr>
          <w:rFonts w:ascii="Arial" w:hAnsi="Arial" w:cs="Arial"/>
        </w:rPr>
        <w:t xml:space="preserve">, where </w:t>
      </w:r>
      <w:proofErr w:type="spellStart"/>
      <w:r w:rsidRPr="00283DED">
        <w:rPr>
          <w:rFonts w:ascii="Arial" w:hAnsi="Arial" w:cs="Arial"/>
        </w:rPr>
        <w:t>i</w:t>
      </w:r>
      <w:proofErr w:type="spellEnd"/>
      <w:r w:rsidRPr="00283DED">
        <w:rPr>
          <w:rFonts w:ascii="Arial" w:hAnsi="Arial" w:cs="Arial"/>
        </w:rPr>
        <w:t xml:space="preserve"> = 1…n and n </w:t>
      </w:r>
      <w:proofErr w:type="gramStart"/>
      <w:r w:rsidRPr="00283DED">
        <w:rPr>
          <w:rFonts w:ascii="Arial" w:hAnsi="Arial" w:cs="Arial"/>
        </w:rPr>
        <w:t>represents</w:t>
      </w:r>
      <w:proofErr w:type="gramEnd"/>
      <w:r w:rsidRPr="00283DED">
        <w:rPr>
          <w:rFonts w:ascii="Arial" w:hAnsi="Arial" w:cs="Arial"/>
        </w:rPr>
        <w:t xml:space="preserve"> the population. The treatment effect for individual iii can be expressed as:</w:t>
      </w:r>
    </w:p>
    <w:p w14:paraId="2D65C2E2" w14:textId="79359A58" w:rsidR="00283DED" w:rsidRPr="004932AA" w:rsidRDefault="001F3B56" w:rsidP="004932AA">
      <w:pPr>
        <w:pStyle w:val="Body"/>
        <w:spacing w:after="0"/>
        <w:rPr>
          <w:rFonts w:ascii="Arial" w:hAnsi="Arial" w:cs="Arial"/>
        </w:rPr>
      </w:pPr>
      <m:oMathPara>
        <m:oMathParaPr>
          <m:jc m:val="center"/>
        </m:oMathParaPr>
        <m:oMath>
          <m:sSub>
            <m:sSubPr>
              <m:ctrlPr>
                <w:rPr>
                  <w:rFonts w:ascii="Cambria Math" w:hAnsi="Cambria Math" w:cs="Arial"/>
                  <w:i/>
                </w:rPr>
              </m:ctrlPr>
            </m:sSubPr>
            <m:e>
              <m:r>
                <w:rPr>
                  <w:rFonts w:ascii="Cambria Math" w:hAnsi="Cambria Math" w:cs="Arial"/>
                </w:rPr>
                <m:t>T</m:t>
              </m:r>
            </m:e>
            <m:sub>
              <m:r>
                <w:rPr>
                  <w:rFonts w:ascii="Cambria Math" w:hAnsi="Cambria Math" w:cs="Arial"/>
                </w:rPr>
                <m:t>i</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d>
            <m:dPr>
              <m:ctrlPr>
                <w:rPr>
                  <w:rFonts w:ascii="Cambria Math" w:hAnsi="Cambria Math" w:cs="Arial"/>
                  <w:i/>
                </w:rPr>
              </m:ctrlPr>
            </m:dPr>
            <m:e>
              <m:r>
                <w:rPr>
                  <w:rFonts w:ascii="Cambria Math" w:hAnsi="Cambria Math" w:cs="Arial"/>
                </w:rPr>
                <m:t>1</m:t>
              </m:r>
            </m:e>
          </m:d>
          <m:r>
            <w:rPr>
              <w:rFonts w:ascii="Cambria Math" w:hAnsi="Cambria Math" w:cs="Arial"/>
            </w:rPr>
            <m:t>+</m:t>
          </m:r>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d>
            <m:dPr>
              <m:ctrlPr>
                <w:rPr>
                  <w:rFonts w:ascii="Cambria Math" w:hAnsi="Cambria Math" w:cs="Arial"/>
                  <w:i/>
                </w:rPr>
              </m:ctrlPr>
            </m:dPr>
            <m:e>
              <m:r>
                <w:rPr>
                  <w:rFonts w:ascii="Cambria Math" w:hAnsi="Cambria Math" w:cs="Arial"/>
                </w:rPr>
                <m:t>0</m:t>
              </m:r>
            </m:e>
          </m:d>
        </m:oMath>
      </m:oMathPara>
    </w:p>
    <w:p w14:paraId="7A0BCEDE" w14:textId="77777777" w:rsidR="004932AA" w:rsidRPr="00283DED" w:rsidRDefault="004932AA" w:rsidP="004932AA">
      <w:pPr>
        <w:pStyle w:val="Body"/>
        <w:spacing w:after="0"/>
        <w:rPr>
          <w:rFonts w:ascii="Arial" w:hAnsi="Arial" w:cs="Arial"/>
        </w:rPr>
      </w:pPr>
    </w:p>
    <w:p w14:paraId="33F224AE" w14:textId="77777777" w:rsidR="00283DED" w:rsidRPr="00283DED" w:rsidRDefault="00283DED" w:rsidP="004932AA">
      <w:pPr>
        <w:pStyle w:val="Body"/>
        <w:spacing w:after="0"/>
        <w:rPr>
          <w:rFonts w:ascii="Arial" w:hAnsi="Arial" w:cs="Arial"/>
        </w:rPr>
      </w:pPr>
      <w:r w:rsidRPr="00283DED">
        <w:rPr>
          <w:rFonts w:ascii="Arial" w:hAnsi="Arial" w:cs="Arial"/>
        </w:rPr>
        <w:t xml:space="preserve">Where </w:t>
      </w:r>
      <w:proofErr w:type="spellStart"/>
      <w:r w:rsidRPr="00283DED">
        <w:rPr>
          <w:rFonts w:ascii="Arial" w:hAnsi="Arial" w:cs="Arial"/>
        </w:rPr>
        <w:t>TiT_iTi</w:t>
      </w:r>
      <w:proofErr w:type="spellEnd"/>
      <w:r w:rsidRPr="00283DED">
        <w:rPr>
          <w:rFonts w:ascii="Arial" w:hAnsi="Arial" w:cs="Arial"/>
        </w:rPr>
        <w:t xml:space="preserve">​ is the treatment effect for individual </w:t>
      </w:r>
      <w:proofErr w:type="spellStart"/>
      <w:r w:rsidRPr="00283DED">
        <w:rPr>
          <w:rFonts w:ascii="Arial" w:hAnsi="Arial" w:cs="Arial"/>
        </w:rPr>
        <w:t>i</w:t>
      </w:r>
      <w:proofErr w:type="spellEnd"/>
      <w:r w:rsidRPr="00283DED">
        <w:rPr>
          <w:rFonts w:ascii="Arial" w:hAnsi="Arial" w:cs="Arial"/>
        </w:rPr>
        <w:t xml:space="preserve">, Yi </w:t>
      </w:r>
      <w:proofErr w:type="gramStart"/>
      <w:r w:rsidRPr="00283DED">
        <w:rPr>
          <w:rFonts w:ascii="Arial" w:hAnsi="Arial" w:cs="Arial"/>
        </w:rPr>
        <w:t>​(</w:t>
      </w:r>
      <w:proofErr w:type="gramEnd"/>
      <w:r w:rsidRPr="00283DED">
        <w:rPr>
          <w:rFonts w:ascii="Arial" w:hAnsi="Arial" w:cs="Arial"/>
        </w:rPr>
        <w:t>1) and Yi​ (0) are the potential outcomes (income) with and without treatment, respectively—i.e., active participation in social environments. The average effect of active participation in social environments across the entire population, known as the average treatment effect (ATE), is defined as:</w:t>
      </w:r>
    </w:p>
    <w:p w14:paraId="6B75F31C" w14:textId="56AFC770" w:rsidR="00283DED" w:rsidRPr="004932AA" w:rsidRDefault="00283DED" w:rsidP="004932AA">
      <w:pPr>
        <w:pStyle w:val="Body"/>
        <w:spacing w:after="0"/>
        <w:rPr>
          <w:rFonts w:ascii="Arial" w:hAnsi="Arial" w:cs="Arial"/>
        </w:rPr>
      </w:pPr>
      <m:oMathPara>
        <m:oMath>
          <m:r>
            <w:rPr>
              <w:rFonts w:ascii="Cambria Math" w:hAnsi="Cambria Math" w:cs="Arial"/>
            </w:rPr>
            <m:t>ATE = E(</m:t>
          </m:r>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Y</m:t>
              </m:r>
            </m:e>
            <m:sub>
              <m:r>
                <w:rPr>
                  <w:rFonts w:ascii="Cambria Math" w:hAnsi="Cambria Math" w:cs="Arial"/>
                </w:rPr>
                <m:t>0</m:t>
              </m:r>
            </m:sub>
          </m:sSub>
          <m:r>
            <w:rPr>
              <w:rFonts w:ascii="Cambria Math" w:hAnsi="Cambria Math" w:cs="Arial"/>
            </w:rPr>
            <m:t>)</m:t>
          </m:r>
        </m:oMath>
      </m:oMathPara>
    </w:p>
    <w:p w14:paraId="2CFD3A68" w14:textId="77777777" w:rsidR="004932AA" w:rsidRPr="00283DED" w:rsidRDefault="004932AA" w:rsidP="004932AA">
      <w:pPr>
        <w:pStyle w:val="Body"/>
        <w:spacing w:after="0"/>
        <w:rPr>
          <w:rFonts w:ascii="Arial" w:hAnsi="Arial" w:cs="Arial"/>
        </w:rPr>
      </w:pPr>
    </w:p>
    <w:p w14:paraId="26FC7973" w14:textId="77777777" w:rsidR="00283DED" w:rsidRPr="00283DED" w:rsidRDefault="00283DED" w:rsidP="004932AA">
      <w:pPr>
        <w:pStyle w:val="Body"/>
        <w:spacing w:after="0"/>
        <w:rPr>
          <w:rFonts w:ascii="Arial" w:hAnsi="Arial" w:cs="Arial"/>
        </w:rPr>
      </w:pPr>
      <w:r w:rsidRPr="00283DED">
        <w:rPr>
          <w:rFonts w:ascii="Arial" w:hAnsi="Arial" w:cs="Arial"/>
        </w:rPr>
        <w:t>Another parameter used is the average treatment effect on the treated (ATT), which aims to measure the impact of active social participation for both disabled and non-disabled groups, expressed as:</w:t>
      </w:r>
    </w:p>
    <w:p w14:paraId="3ECC096B" w14:textId="30D94072" w:rsidR="00283DED" w:rsidRPr="00283DED" w:rsidRDefault="00283DED" w:rsidP="004932AA">
      <w:pPr>
        <w:pStyle w:val="Body"/>
        <w:spacing w:after="0"/>
        <w:rPr>
          <w:rFonts w:ascii="Arial" w:hAnsi="Arial" w:cs="Arial"/>
        </w:rPr>
      </w:pPr>
      <m:oMathPara>
        <m:oMath>
          <m:r>
            <w:rPr>
              <w:rFonts w:ascii="Cambria Math" w:hAnsi="Cambria Math" w:cs="Arial"/>
            </w:rPr>
            <m:t>ATT=E</m:t>
          </m:r>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Y</m:t>
                  </m:r>
                </m:e>
                <m:sub>
                  <m:r>
                    <w:rPr>
                      <w:rFonts w:ascii="Cambria Math" w:hAnsi="Cambria Math" w:cs="Arial"/>
                    </w:rPr>
                    <m:t>0</m:t>
                  </m:r>
                </m:sub>
              </m:sSub>
              <m:r>
                <w:rPr>
                  <w:rFonts w:ascii="Cambria Math" w:hAnsi="Cambria Math" w:cs="Arial"/>
                </w:rPr>
                <m:t xml:space="preserve"> </m:t>
              </m:r>
              <m:r>
                <m:rPr>
                  <m:sty m:val="p"/>
                </m:rPr>
                <w:rPr>
                  <w:rFonts w:ascii="Cambria Math" w:hAnsi="Cambria Math" w:cs="Arial"/>
                </w:rPr>
                <m:t xml:space="preserve">| </m:t>
              </m:r>
              <m:sSub>
                <m:sSubPr>
                  <m:ctrlPr>
                    <w:rPr>
                      <w:rFonts w:ascii="Cambria Math" w:hAnsi="Cambria Math" w:cs="Arial"/>
                    </w:rPr>
                  </m:ctrlPr>
                </m:sSubPr>
                <m:e>
                  <m:r>
                    <w:rPr>
                      <w:rFonts w:ascii="Cambria Math" w:hAnsi="Cambria Math" w:cs="Arial"/>
                    </w:rPr>
                    <m:t>D</m:t>
                  </m:r>
                </m:e>
                <m:sub>
                  <m:r>
                    <w:rPr>
                      <w:rFonts w:ascii="Cambria Math" w:hAnsi="Cambria Math" w:cs="Arial"/>
                    </w:rPr>
                    <m:t>i</m:t>
                  </m:r>
                </m:sub>
              </m:sSub>
              <m:r>
                <w:rPr>
                  <w:rFonts w:ascii="Cambria Math" w:hAnsi="Cambria Math" w:cs="Arial"/>
                </w:rPr>
                <m:t>=1</m:t>
              </m:r>
            </m:e>
          </m:d>
        </m:oMath>
      </m:oMathPara>
    </w:p>
    <w:p w14:paraId="3542BBC1" w14:textId="77777777" w:rsidR="00283DED" w:rsidRDefault="00283DED" w:rsidP="004932AA">
      <w:pPr>
        <w:pStyle w:val="Body"/>
        <w:spacing w:after="0"/>
        <w:rPr>
          <w:rFonts w:ascii="Arial" w:hAnsi="Arial" w:cs="Arial"/>
          <w:b/>
          <w:bCs/>
        </w:rPr>
      </w:pPr>
    </w:p>
    <w:p w14:paraId="2E8DE0D0" w14:textId="77777777" w:rsidR="00283DED" w:rsidRDefault="00283DED" w:rsidP="004932AA">
      <w:pPr>
        <w:pStyle w:val="Body"/>
        <w:spacing w:after="0"/>
        <w:rPr>
          <w:rFonts w:ascii="Arial" w:hAnsi="Arial" w:cs="Arial"/>
          <w:b/>
          <w:bCs/>
        </w:rPr>
      </w:pPr>
      <w:r>
        <w:rPr>
          <w:rFonts w:ascii="Arial" w:hAnsi="Arial" w:cs="Arial"/>
          <w:b/>
          <w:bCs/>
        </w:rPr>
        <w:t xml:space="preserve">2.3 </w:t>
      </w:r>
      <w:r w:rsidRPr="00283DED">
        <w:rPr>
          <w:rFonts w:ascii="Arial" w:hAnsi="Arial" w:cs="Arial"/>
          <w:b/>
          <w:bCs/>
        </w:rPr>
        <w:t>Application of the PSM Method</w:t>
      </w:r>
    </w:p>
    <w:p w14:paraId="34922324" w14:textId="089EA96B" w:rsidR="00283DED" w:rsidRDefault="00283DED" w:rsidP="004932AA">
      <w:pPr>
        <w:pStyle w:val="Body"/>
        <w:spacing w:after="0"/>
        <w:rPr>
          <w:rFonts w:ascii="Arial" w:hAnsi="Arial" w:cs="Arial"/>
          <w:bCs/>
        </w:rPr>
      </w:pPr>
      <w:r w:rsidRPr="00283DED">
        <w:rPr>
          <w:rFonts w:ascii="Arial" w:hAnsi="Arial" w:cs="Arial"/>
          <w:bCs/>
        </w:rPr>
        <w:t>To calculate the effect of active participation in social activities, the first step is to estimate the propensity score P(X) based on all covariates that affect participation and the desired outcome. The matching objective is to find the nearest comparison group from the sample of non-active social participants to the sample of active participants.</w:t>
      </w:r>
    </w:p>
    <w:p w14:paraId="3DC4C620" w14:textId="77777777" w:rsidR="004932AA" w:rsidRPr="00283DED" w:rsidRDefault="004932AA" w:rsidP="004932AA">
      <w:pPr>
        <w:pStyle w:val="Body"/>
        <w:spacing w:after="0"/>
        <w:rPr>
          <w:rFonts w:ascii="Arial" w:hAnsi="Arial" w:cs="Arial"/>
          <w:bCs/>
        </w:rPr>
      </w:pPr>
    </w:p>
    <w:p w14:paraId="655AEAAD" w14:textId="77777777" w:rsidR="00283DED" w:rsidRDefault="00283DED" w:rsidP="004932AA">
      <w:pPr>
        <w:pStyle w:val="Body"/>
        <w:spacing w:after="0"/>
        <w:rPr>
          <w:rFonts w:ascii="Arial" w:hAnsi="Arial" w:cs="Arial"/>
          <w:bCs/>
        </w:rPr>
      </w:pPr>
      <w:r w:rsidRPr="00283DED">
        <w:rPr>
          <w:rFonts w:ascii="Arial" w:hAnsi="Arial" w:cs="Arial"/>
          <w:b/>
          <w:bCs/>
        </w:rPr>
        <w:t xml:space="preserve">Step 1: Estimating the Program Participation Model. </w:t>
      </w:r>
      <w:r w:rsidRPr="00283DED">
        <w:rPr>
          <w:rFonts w:ascii="Arial" w:hAnsi="Arial" w:cs="Arial"/>
          <w:bCs/>
        </w:rPr>
        <w:t>First, the active and inactive respondent samples must be combined, and participation T is estimated based on all existing covariates X. This estimation can be performed using probit or logit models. After estimating the participation equation, the predicted value of T, i.e., the propensity score, can be calculated. It is important to note that the participation equation is not a causal model, so outputs such as t-statistics and adjusted R2 are not particularly informative and could be misleading.</w:t>
      </w:r>
    </w:p>
    <w:p w14:paraId="5254D51A" w14:textId="77777777" w:rsidR="004932AA" w:rsidRPr="00283DED" w:rsidRDefault="004932AA" w:rsidP="004932AA">
      <w:pPr>
        <w:pStyle w:val="Body"/>
        <w:spacing w:after="0"/>
        <w:rPr>
          <w:rFonts w:ascii="Arial" w:hAnsi="Arial" w:cs="Arial"/>
          <w:bCs/>
        </w:rPr>
      </w:pPr>
    </w:p>
    <w:p w14:paraId="6BE9DD71" w14:textId="77777777" w:rsidR="00283DED" w:rsidRDefault="00283DED" w:rsidP="004932AA">
      <w:pPr>
        <w:pStyle w:val="Body"/>
        <w:spacing w:after="0"/>
        <w:rPr>
          <w:rFonts w:ascii="Arial" w:hAnsi="Arial" w:cs="Arial"/>
          <w:bCs/>
        </w:rPr>
      </w:pPr>
      <w:r w:rsidRPr="00283DED">
        <w:rPr>
          <w:rFonts w:ascii="Arial" w:hAnsi="Arial" w:cs="Arial"/>
          <w:b/>
          <w:bCs/>
        </w:rPr>
        <w:t xml:space="preserve">Step 2: Defining the Common Support Region and Balancing Test. </w:t>
      </w:r>
      <w:r w:rsidRPr="00283DED">
        <w:rPr>
          <w:rFonts w:ascii="Arial" w:hAnsi="Arial" w:cs="Arial"/>
          <w:bCs/>
        </w:rPr>
        <w:t>Next, it is necessary to define the region of common support, where the distribution of propensity scores for the treatment and comparison groups overlap. Some non-participant observations may need to be discarded if they fall outside the common support region. A balancing test can also be performed to ensure that, for each quantile of the propensity score distribution, the average propensity score and average covariate X are the same between the treatment and comparison groups.</w:t>
      </w:r>
    </w:p>
    <w:p w14:paraId="07802586" w14:textId="77777777" w:rsidR="004932AA" w:rsidRPr="00283DED" w:rsidRDefault="004932AA" w:rsidP="004932AA">
      <w:pPr>
        <w:pStyle w:val="Body"/>
        <w:spacing w:after="0"/>
        <w:rPr>
          <w:rFonts w:ascii="Arial" w:hAnsi="Arial" w:cs="Arial"/>
          <w:bCs/>
        </w:rPr>
      </w:pPr>
    </w:p>
    <w:p w14:paraId="05E115CA" w14:textId="77777777" w:rsidR="00283DED" w:rsidRDefault="00283DED" w:rsidP="004932AA">
      <w:pPr>
        <w:pStyle w:val="Body"/>
        <w:spacing w:after="0"/>
        <w:rPr>
          <w:rFonts w:ascii="Arial" w:hAnsi="Arial" w:cs="Arial"/>
          <w:bCs/>
        </w:rPr>
      </w:pPr>
      <w:r w:rsidRPr="00283DED">
        <w:rPr>
          <w:rFonts w:ascii="Arial" w:hAnsi="Arial" w:cs="Arial"/>
          <w:b/>
          <w:bCs/>
        </w:rPr>
        <w:t xml:space="preserve">Step 3: Matching Participants with Non-Participants. </w:t>
      </w:r>
      <w:r w:rsidRPr="00283DED">
        <w:rPr>
          <w:rFonts w:ascii="Arial" w:hAnsi="Arial" w:cs="Arial"/>
          <w:bCs/>
        </w:rPr>
        <w:t>Various matching criteria can be used to pair active social participants with inactive participants based on their propensity score. The matching method used in this study is nearest-neighbor matching. This method pairs each treated unit with the comparison unit that has the closest propensity score.</w:t>
      </w:r>
    </w:p>
    <w:p w14:paraId="634749A1" w14:textId="77777777" w:rsidR="00B97B1D" w:rsidRDefault="00B97B1D" w:rsidP="004932AA">
      <w:pPr>
        <w:pStyle w:val="Body"/>
        <w:spacing w:after="0"/>
        <w:rPr>
          <w:rFonts w:ascii="Arial" w:hAnsi="Arial" w:cs="Arial"/>
          <w:bCs/>
        </w:rPr>
      </w:pPr>
    </w:p>
    <w:p w14:paraId="4AAFA4E2" w14:textId="0308316B" w:rsidR="00B97B1D" w:rsidRDefault="00B97B1D" w:rsidP="004932AA">
      <w:pPr>
        <w:pStyle w:val="Body"/>
        <w:spacing w:after="0"/>
        <w:rPr>
          <w:rFonts w:ascii="Arial" w:hAnsi="Arial" w:cs="Arial"/>
          <w:bCs/>
        </w:rPr>
      </w:pPr>
      <w:r w:rsidRPr="00B97B1D">
        <w:rPr>
          <w:rFonts w:ascii="Arial" w:hAnsi="Arial" w:cs="Arial"/>
          <w:b/>
          <w:bCs/>
          <w:highlight w:val="yellow"/>
        </w:rPr>
        <w:t>Step 4: Estimating ATT on Employment.</w:t>
      </w:r>
      <w:r w:rsidRPr="00B97B1D">
        <w:rPr>
          <w:rFonts w:ascii="Arial" w:hAnsi="Arial" w:cs="Arial"/>
          <w:bCs/>
          <w:highlight w:val="yellow"/>
        </w:rPr>
        <w:t xml:space="preserve"> </w:t>
      </w:r>
      <w:r w:rsidRPr="00B97B1D">
        <w:rPr>
          <w:rFonts w:ascii="Arial" w:hAnsi="Arial" w:cs="Arial"/>
          <w:b/>
          <w:bCs/>
          <w:highlight w:val="yellow"/>
        </w:rPr>
        <w:t>After matching, ATT is computed as the mean difference in employment status between matched active and inactive participants. Standard errors are reported alongside ATT estimates.</w:t>
      </w:r>
    </w:p>
    <w:p w14:paraId="64C1A460" w14:textId="77777777" w:rsidR="00283DED" w:rsidRDefault="00283DED" w:rsidP="004932AA">
      <w:pPr>
        <w:pStyle w:val="Body"/>
        <w:spacing w:after="0"/>
        <w:rPr>
          <w:rFonts w:ascii="Arial" w:hAnsi="Arial" w:cs="Arial"/>
        </w:rPr>
      </w:pPr>
      <w:r>
        <w:rPr>
          <w:rFonts w:ascii="Arial" w:hAnsi="Arial" w:cs="Arial"/>
          <w:b/>
          <w:bCs/>
        </w:rPr>
        <w:t xml:space="preserve">2.4 </w:t>
      </w:r>
      <w:r w:rsidRPr="00283DED">
        <w:rPr>
          <w:rFonts w:ascii="Arial" w:hAnsi="Arial" w:cs="Arial"/>
          <w:b/>
          <w:bCs/>
        </w:rPr>
        <w:t>Operational Definition</w:t>
      </w:r>
    </w:p>
    <w:p w14:paraId="512D4F13" w14:textId="5E03B478" w:rsidR="00283DED" w:rsidRPr="00283DED" w:rsidRDefault="00283DED" w:rsidP="004932AA">
      <w:pPr>
        <w:pStyle w:val="Body"/>
        <w:spacing w:after="0"/>
        <w:rPr>
          <w:rFonts w:ascii="Arial" w:hAnsi="Arial" w:cs="Arial"/>
          <w:lang w:val="sv-SE"/>
        </w:rPr>
      </w:pPr>
      <w:r w:rsidRPr="00283DED">
        <w:rPr>
          <w:rFonts w:ascii="Arial" w:hAnsi="Arial" w:cs="Arial"/>
        </w:rPr>
        <w:t xml:space="preserve">According to the </w:t>
      </w:r>
      <w:proofErr w:type="spellStart"/>
      <w:r w:rsidRPr="00283DED">
        <w:rPr>
          <w:rFonts w:ascii="Arial" w:hAnsi="Arial" w:cs="Arial"/>
        </w:rPr>
        <w:t>Sakernas</w:t>
      </w:r>
      <w:proofErr w:type="spellEnd"/>
      <w:r w:rsidRPr="00283DED">
        <w:rPr>
          <w:rFonts w:ascii="Arial" w:hAnsi="Arial" w:cs="Arial"/>
        </w:rPr>
        <w:t xml:space="preserve"> questionnaire, individuals with disabilities in the </w:t>
      </w:r>
      <w:proofErr w:type="spellStart"/>
      <w:r w:rsidR="00736F52">
        <w:rPr>
          <w:rFonts w:ascii="Arial" w:hAnsi="Arial" w:cs="Arial"/>
        </w:rPr>
        <w:t>labour</w:t>
      </w:r>
      <w:proofErr w:type="spellEnd"/>
      <w:r w:rsidRPr="00283DED">
        <w:rPr>
          <w:rFonts w:ascii="Arial" w:hAnsi="Arial" w:cs="Arial"/>
        </w:rPr>
        <w:t xml:space="preserve"> force are those experiencing impairments in vision, hearing, mobility, finger movement, </w:t>
      </w:r>
      <w:r w:rsidRPr="00283DED">
        <w:rPr>
          <w:rFonts w:ascii="Arial" w:hAnsi="Arial" w:cs="Arial"/>
        </w:rPr>
        <w:lastRenderedPageBreak/>
        <w:t>speech/communication, or other difficulties like memory, self-care, or emotional/behavioral issues. These individuals may use assistive devices like glasses or hearing aids.</w:t>
      </w:r>
    </w:p>
    <w:p w14:paraId="523F697D" w14:textId="77777777" w:rsidR="00283DED" w:rsidRPr="00283DED" w:rsidRDefault="00283DED" w:rsidP="004932AA">
      <w:pPr>
        <w:pStyle w:val="Body"/>
        <w:spacing w:after="0"/>
        <w:rPr>
          <w:rFonts w:ascii="Arial" w:hAnsi="Arial" w:cs="Arial"/>
          <w:lang w:val="sv-SE"/>
        </w:rPr>
      </w:pPr>
    </w:p>
    <w:p w14:paraId="65BEB53A" w14:textId="77777777" w:rsidR="00283DED" w:rsidRPr="00283DED" w:rsidRDefault="00283DED" w:rsidP="004932AA">
      <w:pPr>
        <w:pStyle w:val="Body"/>
        <w:spacing w:after="0"/>
        <w:rPr>
          <w:rFonts w:ascii="Arial" w:hAnsi="Arial" w:cs="Arial"/>
          <w:b/>
          <w:bCs/>
          <w:lang w:val="en-GB"/>
        </w:rPr>
      </w:pPr>
      <w:r w:rsidRPr="00283DED">
        <w:rPr>
          <w:rFonts w:ascii="Arial" w:hAnsi="Arial" w:cs="Arial"/>
          <w:b/>
          <w:bCs/>
          <w:lang w:val="en-GB"/>
        </w:rPr>
        <w:t>Table 1. Operational Definition</w:t>
      </w:r>
    </w:p>
    <w:tbl>
      <w:tblPr>
        <w:tblW w:w="8298" w:type="dxa"/>
        <w:tblBorders>
          <w:top w:val="single" w:sz="4" w:space="0" w:color="auto"/>
          <w:bottom w:val="single" w:sz="4" w:space="0" w:color="auto"/>
          <w:insideH w:val="single" w:sz="4" w:space="0" w:color="auto"/>
        </w:tblBorders>
        <w:tblLook w:val="04A0" w:firstRow="1" w:lastRow="0" w:firstColumn="1" w:lastColumn="0" w:noHBand="0" w:noVBand="1"/>
      </w:tblPr>
      <w:tblGrid>
        <w:gridCol w:w="1390"/>
        <w:gridCol w:w="1688"/>
        <w:gridCol w:w="5220"/>
      </w:tblGrid>
      <w:tr w:rsidR="00283DED" w:rsidRPr="00283DED" w14:paraId="19E1BF3A" w14:textId="77777777" w:rsidTr="00CE0B06">
        <w:trPr>
          <w:trHeight w:val="570"/>
        </w:trPr>
        <w:tc>
          <w:tcPr>
            <w:tcW w:w="1390" w:type="dxa"/>
            <w:vAlign w:val="center"/>
            <w:hideMark/>
          </w:tcPr>
          <w:p w14:paraId="603B6396" w14:textId="77777777" w:rsidR="00283DED" w:rsidRPr="00283DED" w:rsidRDefault="00283DED" w:rsidP="004932AA">
            <w:pPr>
              <w:pStyle w:val="Body"/>
              <w:spacing w:after="0"/>
              <w:rPr>
                <w:rFonts w:ascii="Arial" w:hAnsi="Arial" w:cs="Arial"/>
                <w:b/>
                <w:bCs/>
              </w:rPr>
            </w:pPr>
            <w:r w:rsidRPr="00283DED">
              <w:rPr>
                <w:rFonts w:ascii="Arial" w:hAnsi="Arial" w:cs="Arial"/>
                <w:b/>
                <w:bCs/>
              </w:rPr>
              <w:t>Variable Type</w:t>
            </w:r>
          </w:p>
        </w:tc>
        <w:tc>
          <w:tcPr>
            <w:tcW w:w="1688" w:type="dxa"/>
            <w:vAlign w:val="center"/>
            <w:hideMark/>
          </w:tcPr>
          <w:p w14:paraId="61685273" w14:textId="77777777" w:rsidR="00283DED" w:rsidRPr="00283DED" w:rsidRDefault="00283DED" w:rsidP="004932AA">
            <w:pPr>
              <w:pStyle w:val="Body"/>
              <w:spacing w:after="0"/>
              <w:rPr>
                <w:rFonts w:ascii="Arial" w:hAnsi="Arial" w:cs="Arial"/>
                <w:b/>
                <w:bCs/>
              </w:rPr>
            </w:pPr>
            <w:r w:rsidRPr="00283DED">
              <w:rPr>
                <w:rFonts w:ascii="Arial" w:hAnsi="Arial" w:cs="Arial"/>
                <w:b/>
                <w:bCs/>
              </w:rPr>
              <w:t>Variable Name</w:t>
            </w:r>
          </w:p>
        </w:tc>
        <w:tc>
          <w:tcPr>
            <w:tcW w:w="5220" w:type="dxa"/>
            <w:vAlign w:val="center"/>
            <w:hideMark/>
          </w:tcPr>
          <w:p w14:paraId="7A2FE143" w14:textId="77777777" w:rsidR="00283DED" w:rsidRPr="00283DED" w:rsidRDefault="00283DED" w:rsidP="004932AA">
            <w:pPr>
              <w:pStyle w:val="Body"/>
              <w:spacing w:after="0"/>
              <w:rPr>
                <w:rFonts w:ascii="Arial" w:hAnsi="Arial" w:cs="Arial"/>
                <w:b/>
                <w:bCs/>
              </w:rPr>
            </w:pPr>
            <w:r w:rsidRPr="00283DED">
              <w:rPr>
                <w:rFonts w:ascii="Arial" w:hAnsi="Arial" w:cs="Arial"/>
                <w:b/>
                <w:bCs/>
              </w:rPr>
              <w:t>Variable Definition</w:t>
            </w:r>
          </w:p>
        </w:tc>
      </w:tr>
      <w:tr w:rsidR="00283DED" w:rsidRPr="00283DED" w14:paraId="7813C237" w14:textId="77777777" w:rsidTr="00CE0B06">
        <w:trPr>
          <w:trHeight w:val="575"/>
        </w:trPr>
        <w:tc>
          <w:tcPr>
            <w:tcW w:w="1390" w:type="dxa"/>
            <w:vAlign w:val="center"/>
            <w:hideMark/>
          </w:tcPr>
          <w:p w14:paraId="0471DF87" w14:textId="77777777" w:rsidR="00283DED" w:rsidRPr="00283DED" w:rsidRDefault="00283DED" w:rsidP="004932AA">
            <w:pPr>
              <w:pStyle w:val="Body"/>
              <w:spacing w:after="0"/>
              <w:rPr>
                <w:rFonts w:ascii="Arial" w:hAnsi="Arial" w:cs="Arial"/>
                <w:b/>
                <w:bCs/>
              </w:rPr>
            </w:pPr>
            <w:r w:rsidRPr="00283DED">
              <w:rPr>
                <w:rFonts w:ascii="Arial" w:hAnsi="Arial" w:cs="Arial"/>
                <w:b/>
                <w:bCs/>
              </w:rPr>
              <w:t>Explained Variable</w:t>
            </w:r>
          </w:p>
        </w:tc>
        <w:tc>
          <w:tcPr>
            <w:tcW w:w="1688" w:type="dxa"/>
            <w:vAlign w:val="center"/>
            <w:hideMark/>
          </w:tcPr>
          <w:p w14:paraId="1F98EE26" w14:textId="77777777" w:rsidR="00283DED" w:rsidRPr="00283DED" w:rsidRDefault="00283DED" w:rsidP="004932AA">
            <w:pPr>
              <w:pStyle w:val="Body"/>
              <w:spacing w:after="0"/>
              <w:rPr>
                <w:rFonts w:ascii="Arial" w:hAnsi="Arial" w:cs="Arial"/>
              </w:rPr>
            </w:pPr>
            <w:r w:rsidRPr="00283DED">
              <w:rPr>
                <w:rFonts w:ascii="Arial" w:hAnsi="Arial" w:cs="Arial"/>
              </w:rPr>
              <w:t>Employment (E)</w:t>
            </w:r>
          </w:p>
        </w:tc>
        <w:tc>
          <w:tcPr>
            <w:tcW w:w="5220" w:type="dxa"/>
            <w:vAlign w:val="center"/>
            <w:hideMark/>
          </w:tcPr>
          <w:p w14:paraId="48F4F2CF" w14:textId="77777777" w:rsidR="00283DED" w:rsidRPr="00283DED" w:rsidRDefault="00283DED" w:rsidP="004932AA">
            <w:pPr>
              <w:pStyle w:val="Body"/>
              <w:spacing w:after="0"/>
              <w:rPr>
                <w:rFonts w:ascii="Arial" w:hAnsi="Arial" w:cs="Arial"/>
              </w:rPr>
            </w:pPr>
            <w:r w:rsidRPr="00283DED">
              <w:rPr>
                <w:rFonts w:ascii="Arial" w:hAnsi="Arial" w:cs="Arial"/>
              </w:rPr>
              <w:t>Respondents who are employed. If employed = 1, and not employed = 0</w:t>
            </w:r>
          </w:p>
        </w:tc>
      </w:tr>
      <w:tr w:rsidR="00283DED" w:rsidRPr="00283DED" w14:paraId="47B8512C" w14:textId="77777777" w:rsidTr="00CE0B06">
        <w:trPr>
          <w:trHeight w:val="1070"/>
        </w:trPr>
        <w:tc>
          <w:tcPr>
            <w:tcW w:w="1390" w:type="dxa"/>
            <w:vAlign w:val="center"/>
            <w:hideMark/>
          </w:tcPr>
          <w:p w14:paraId="290EC213" w14:textId="77777777" w:rsidR="00283DED" w:rsidRPr="00283DED" w:rsidRDefault="00283DED" w:rsidP="004932AA">
            <w:pPr>
              <w:pStyle w:val="Body"/>
              <w:spacing w:after="0"/>
              <w:rPr>
                <w:rFonts w:ascii="Arial" w:hAnsi="Arial" w:cs="Arial"/>
                <w:b/>
                <w:bCs/>
              </w:rPr>
            </w:pPr>
            <w:r w:rsidRPr="00283DED">
              <w:rPr>
                <w:rFonts w:ascii="Arial" w:hAnsi="Arial" w:cs="Arial"/>
                <w:b/>
                <w:bCs/>
              </w:rPr>
              <w:t>Explanatory Variable</w:t>
            </w:r>
          </w:p>
        </w:tc>
        <w:tc>
          <w:tcPr>
            <w:tcW w:w="1688" w:type="dxa"/>
            <w:vAlign w:val="center"/>
            <w:hideMark/>
          </w:tcPr>
          <w:p w14:paraId="363823C0" w14:textId="77777777" w:rsidR="00283DED" w:rsidRPr="00283DED" w:rsidRDefault="00283DED" w:rsidP="004932AA">
            <w:pPr>
              <w:pStyle w:val="Body"/>
              <w:spacing w:after="0"/>
              <w:rPr>
                <w:rFonts w:ascii="Arial" w:hAnsi="Arial" w:cs="Arial"/>
              </w:rPr>
            </w:pPr>
            <w:r w:rsidRPr="00283DED">
              <w:rPr>
                <w:rFonts w:ascii="Arial" w:hAnsi="Arial" w:cs="Arial"/>
              </w:rPr>
              <w:t>Social Participation (SP)</w:t>
            </w:r>
          </w:p>
        </w:tc>
        <w:tc>
          <w:tcPr>
            <w:tcW w:w="5220" w:type="dxa"/>
            <w:vAlign w:val="center"/>
            <w:hideMark/>
          </w:tcPr>
          <w:p w14:paraId="22C05637" w14:textId="616AAC9E" w:rsidR="00283DED" w:rsidRPr="00283DED" w:rsidRDefault="00283DED" w:rsidP="004932AA">
            <w:pPr>
              <w:pStyle w:val="Body"/>
              <w:spacing w:after="0"/>
              <w:rPr>
                <w:rFonts w:ascii="Arial" w:hAnsi="Arial" w:cs="Arial"/>
              </w:rPr>
            </w:pPr>
            <w:r w:rsidRPr="00283DED">
              <w:rPr>
                <w:rFonts w:ascii="Arial" w:hAnsi="Arial" w:cs="Arial"/>
              </w:rPr>
              <w:t xml:space="preserve">Active involvement/participation of respondents in social environments, including workplace, home, and other social environments. For example, participating in activities such as community gatherings, study groups, mutual assistance, joining a </w:t>
            </w:r>
            <w:proofErr w:type="spellStart"/>
            <w:r w:rsidR="00736F52">
              <w:rPr>
                <w:rFonts w:ascii="Arial" w:hAnsi="Arial" w:cs="Arial"/>
              </w:rPr>
              <w:t>labour</w:t>
            </w:r>
            <w:proofErr w:type="spellEnd"/>
            <w:r w:rsidRPr="00283DED">
              <w:rPr>
                <w:rFonts w:ascii="Arial" w:hAnsi="Arial" w:cs="Arial"/>
              </w:rPr>
              <w:t xml:space="preserve"> union, and having social media. If participating in at least one activity = 1, and not participating in any activities = 0</w:t>
            </w:r>
          </w:p>
        </w:tc>
      </w:tr>
      <w:tr w:rsidR="00283DED" w:rsidRPr="00283DED" w14:paraId="10A5B445" w14:textId="77777777" w:rsidTr="00CE0B06">
        <w:trPr>
          <w:trHeight w:val="1185"/>
        </w:trPr>
        <w:tc>
          <w:tcPr>
            <w:tcW w:w="1390" w:type="dxa"/>
            <w:vAlign w:val="center"/>
            <w:hideMark/>
          </w:tcPr>
          <w:p w14:paraId="050EF2FC" w14:textId="77777777" w:rsidR="00283DED" w:rsidRPr="00283DED" w:rsidRDefault="00283DED" w:rsidP="004932AA">
            <w:pPr>
              <w:pStyle w:val="Body"/>
              <w:spacing w:after="0"/>
              <w:rPr>
                <w:rFonts w:ascii="Arial" w:hAnsi="Arial" w:cs="Arial"/>
                <w:b/>
                <w:bCs/>
              </w:rPr>
            </w:pPr>
            <w:r w:rsidRPr="00283DED">
              <w:rPr>
                <w:rFonts w:ascii="Arial" w:hAnsi="Arial" w:cs="Arial"/>
                <w:b/>
                <w:bCs/>
              </w:rPr>
              <w:t>Covariate</w:t>
            </w:r>
          </w:p>
        </w:tc>
        <w:tc>
          <w:tcPr>
            <w:tcW w:w="1688" w:type="dxa"/>
            <w:vAlign w:val="center"/>
            <w:hideMark/>
          </w:tcPr>
          <w:p w14:paraId="298C538A" w14:textId="77777777" w:rsidR="00283DED" w:rsidRPr="00283DED" w:rsidRDefault="00283DED" w:rsidP="004932AA">
            <w:pPr>
              <w:pStyle w:val="Body"/>
              <w:spacing w:after="0"/>
              <w:rPr>
                <w:rFonts w:ascii="Arial" w:hAnsi="Arial" w:cs="Arial"/>
              </w:rPr>
            </w:pPr>
            <w:r w:rsidRPr="00283DED">
              <w:rPr>
                <w:rFonts w:ascii="Arial" w:hAnsi="Arial" w:cs="Arial"/>
              </w:rPr>
              <w:t>Education Level (Edu)</w:t>
            </w:r>
          </w:p>
        </w:tc>
        <w:tc>
          <w:tcPr>
            <w:tcW w:w="5220" w:type="dxa"/>
            <w:vAlign w:val="center"/>
            <w:hideMark/>
          </w:tcPr>
          <w:p w14:paraId="076D8C22" w14:textId="77777777" w:rsidR="00283DED" w:rsidRPr="00283DED" w:rsidRDefault="00283DED" w:rsidP="004932AA">
            <w:pPr>
              <w:pStyle w:val="Body"/>
              <w:spacing w:after="0"/>
              <w:rPr>
                <w:rFonts w:ascii="Arial" w:hAnsi="Arial" w:cs="Arial"/>
              </w:rPr>
            </w:pPr>
            <w:r w:rsidRPr="00283DED">
              <w:rPr>
                <w:rFonts w:ascii="Arial" w:hAnsi="Arial" w:cs="Arial"/>
              </w:rPr>
              <w:t>The highest level of education completed, with a minimum of elementary school (6 years of formal education in Indonesia). If completed at least elementary school = 1, and did not complete elementary school = 0</w:t>
            </w:r>
          </w:p>
        </w:tc>
      </w:tr>
      <w:tr w:rsidR="00283DED" w:rsidRPr="00283DED" w14:paraId="6EE44607" w14:textId="77777777" w:rsidTr="00CE0B06">
        <w:trPr>
          <w:trHeight w:val="413"/>
        </w:trPr>
        <w:tc>
          <w:tcPr>
            <w:tcW w:w="1390" w:type="dxa"/>
            <w:vAlign w:val="center"/>
            <w:hideMark/>
          </w:tcPr>
          <w:p w14:paraId="40016C38" w14:textId="77777777" w:rsidR="00283DED" w:rsidRPr="00283DED" w:rsidRDefault="00283DED" w:rsidP="004932AA">
            <w:pPr>
              <w:pStyle w:val="Body"/>
              <w:spacing w:after="0"/>
              <w:rPr>
                <w:rFonts w:ascii="Arial" w:hAnsi="Arial" w:cs="Arial"/>
              </w:rPr>
            </w:pPr>
            <w:r w:rsidRPr="00283DED">
              <w:rPr>
                <w:rFonts w:ascii="Arial" w:hAnsi="Arial" w:cs="Arial"/>
              </w:rPr>
              <w:t> </w:t>
            </w:r>
          </w:p>
        </w:tc>
        <w:tc>
          <w:tcPr>
            <w:tcW w:w="1688" w:type="dxa"/>
            <w:vAlign w:val="center"/>
            <w:hideMark/>
          </w:tcPr>
          <w:p w14:paraId="11A1802E" w14:textId="77777777" w:rsidR="00283DED" w:rsidRPr="00283DED" w:rsidRDefault="00283DED" w:rsidP="004932AA">
            <w:pPr>
              <w:pStyle w:val="Body"/>
              <w:spacing w:after="0"/>
              <w:rPr>
                <w:rFonts w:ascii="Arial" w:hAnsi="Arial" w:cs="Arial"/>
              </w:rPr>
            </w:pPr>
            <w:r w:rsidRPr="00283DED">
              <w:rPr>
                <w:rFonts w:ascii="Arial" w:hAnsi="Arial" w:cs="Arial"/>
              </w:rPr>
              <w:t>Training (Tr)</w:t>
            </w:r>
          </w:p>
        </w:tc>
        <w:tc>
          <w:tcPr>
            <w:tcW w:w="5220" w:type="dxa"/>
            <w:vAlign w:val="center"/>
            <w:hideMark/>
          </w:tcPr>
          <w:p w14:paraId="7BBF2466" w14:textId="77777777" w:rsidR="00283DED" w:rsidRPr="00283DED" w:rsidRDefault="00283DED" w:rsidP="004932AA">
            <w:pPr>
              <w:pStyle w:val="Body"/>
              <w:spacing w:after="0"/>
              <w:rPr>
                <w:rFonts w:ascii="Arial" w:hAnsi="Arial" w:cs="Arial"/>
              </w:rPr>
            </w:pPr>
            <w:r w:rsidRPr="00283DED">
              <w:rPr>
                <w:rFonts w:ascii="Arial" w:hAnsi="Arial" w:cs="Arial"/>
              </w:rPr>
              <w:t>Participation in training/courses/workshops. If participated in any training = 1, and has never participated = 0</w:t>
            </w:r>
          </w:p>
        </w:tc>
      </w:tr>
      <w:tr w:rsidR="00283DED" w:rsidRPr="00283DED" w14:paraId="6E57ED48" w14:textId="77777777" w:rsidTr="00CE0B06">
        <w:trPr>
          <w:trHeight w:val="1493"/>
        </w:trPr>
        <w:tc>
          <w:tcPr>
            <w:tcW w:w="1390" w:type="dxa"/>
            <w:vAlign w:val="center"/>
            <w:hideMark/>
          </w:tcPr>
          <w:p w14:paraId="465F66D0" w14:textId="77777777" w:rsidR="00283DED" w:rsidRPr="00283DED" w:rsidRDefault="00283DED" w:rsidP="004932AA">
            <w:pPr>
              <w:pStyle w:val="Body"/>
              <w:spacing w:after="0"/>
              <w:rPr>
                <w:rFonts w:ascii="Arial" w:hAnsi="Arial" w:cs="Arial"/>
              </w:rPr>
            </w:pPr>
            <w:r w:rsidRPr="00283DED">
              <w:rPr>
                <w:rFonts w:ascii="Arial" w:hAnsi="Arial" w:cs="Arial"/>
              </w:rPr>
              <w:t> </w:t>
            </w:r>
          </w:p>
        </w:tc>
        <w:tc>
          <w:tcPr>
            <w:tcW w:w="1688" w:type="dxa"/>
            <w:vAlign w:val="center"/>
            <w:hideMark/>
          </w:tcPr>
          <w:p w14:paraId="54F82589" w14:textId="77777777" w:rsidR="00283DED" w:rsidRPr="00283DED" w:rsidRDefault="00283DED" w:rsidP="004932AA">
            <w:pPr>
              <w:pStyle w:val="Body"/>
              <w:spacing w:after="0"/>
              <w:rPr>
                <w:rFonts w:ascii="Arial" w:hAnsi="Arial" w:cs="Arial"/>
              </w:rPr>
            </w:pPr>
            <w:r w:rsidRPr="00283DED">
              <w:rPr>
                <w:rFonts w:ascii="Arial" w:hAnsi="Arial" w:cs="Arial"/>
                <w:bCs/>
              </w:rPr>
              <w:t>Interaction between Education and Digitalization</w:t>
            </w:r>
            <w:r w:rsidRPr="00283DED">
              <w:rPr>
                <w:rFonts w:ascii="Arial" w:hAnsi="Arial" w:cs="Arial"/>
              </w:rPr>
              <w:t xml:space="preserve"> (Edu*Dig)</w:t>
            </w:r>
          </w:p>
        </w:tc>
        <w:tc>
          <w:tcPr>
            <w:tcW w:w="5220" w:type="dxa"/>
            <w:vAlign w:val="center"/>
            <w:hideMark/>
          </w:tcPr>
          <w:p w14:paraId="4EC4C8CB" w14:textId="77777777" w:rsidR="00283DED" w:rsidRPr="00283DED" w:rsidRDefault="00283DED" w:rsidP="004932AA">
            <w:pPr>
              <w:pStyle w:val="Body"/>
              <w:spacing w:after="0"/>
              <w:rPr>
                <w:rFonts w:ascii="Arial" w:hAnsi="Arial" w:cs="Arial"/>
              </w:rPr>
            </w:pPr>
            <w:r w:rsidRPr="00283DED">
              <w:rPr>
                <w:rFonts w:ascii="Arial" w:hAnsi="Arial" w:cs="Arial"/>
              </w:rPr>
              <w:t>A combination of a minimum education level of elementary school and the ability to use digital technologies in the workplace, such as computers, smartphones, or other digital tools. If there is a significant interaction between education and digitalization, the value is 1; otherwise, it is 0.</w:t>
            </w:r>
          </w:p>
        </w:tc>
      </w:tr>
    </w:tbl>
    <w:p w14:paraId="48F47BD3" w14:textId="2455E917" w:rsidR="00B97B1D" w:rsidRDefault="00AA74E0" w:rsidP="004932AA">
      <w:pPr>
        <w:pStyle w:val="Body"/>
        <w:spacing w:after="0"/>
        <w:rPr>
          <w:rFonts w:ascii="Arial" w:hAnsi="Arial" w:cs="Arial"/>
        </w:rPr>
      </w:pPr>
      <w:r w:rsidRPr="00FB3A86">
        <w:rPr>
          <w:rFonts w:ascii="Arial" w:hAnsi="Arial" w:cs="Arial"/>
        </w:rPr>
        <w:t xml:space="preserve">  </w:t>
      </w:r>
    </w:p>
    <w:p w14:paraId="25764BB6" w14:textId="77777777" w:rsidR="00B97B1D" w:rsidRDefault="00B97B1D" w:rsidP="004932AA">
      <w:pPr>
        <w:pStyle w:val="Body"/>
        <w:spacing w:after="0"/>
        <w:rPr>
          <w:rFonts w:ascii="Arial" w:hAnsi="Arial" w:cs="Arial"/>
        </w:rPr>
      </w:pPr>
    </w:p>
    <w:p w14:paraId="7C87AA77" w14:textId="77777777" w:rsidR="00B97B1D" w:rsidRPr="00B97B1D" w:rsidRDefault="00B97B1D" w:rsidP="00B97B1D">
      <w:pPr>
        <w:pStyle w:val="Body"/>
        <w:spacing w:after="0"/>
        <w:rPr>
          <w:rFonts w:ascii="Arial" w:hAnsi="Arial" w:cs="Arial"/>
          <w:b/>
          <w:bCs/>
          <w:highlight w:val="yellow"/>
        </w:rPr>
      </w:pPr>
      <w:r w:rsidRPr="00B97B1D">
        <w:rPr>
          <w:rFonts w:ascii="Arial" w:hAnsi="Arial" w:cs="Arial"/>
          <w:b/>
          <w:bCs/>
          <w:highlight w:val="yellow"/>
        </w:rPr>
        <w:t>2.5 Ethical Considerations and Data Access</w:t>
      </w:r>
    </w:p>
    <w:p w14:paraId="7BA392A2" w14:textId="77777777" w:rsidR="00B97B1D" w:rsidRPr="00B97B1D" w:rsidRDefault="00B97B1D" w:rsidP="00B97B1D">
      <w:pPr>
        <w:pStyle w:val="Body"/>
        <w:spacing w:after="0"/>
        <w:rPr>
          <w:rFonts w:ascii="Arial" w:hAnsi="Arial" w:cs="Arial"/>
        </w:rPr>
      </w:pPr>
      <w:r w:rsidRPr="00B97B1D">
        <w:rPr>
          <w:rFonts w:ascii="Arial" w:hAnsi="Arial" w:cs="Arial"/>
          <w:highlight w:val="yellow"/>
        </w:rPr>
        <w:t>This study uses secondary data from BPS (</w:t>
      </w:r>
      <w:proofErr w:type="spellStart"/>
      <w:r w:rsidRPr="00B97B1D">
        <w:rPr>
          <w:rFonts w:ascii="Arial" w:hAnsi="Arial" w:cs="Arial"/>
          <w:highlight w:val="yellow"/>
        </w:rPr>
        <w:t>Sakernas</w:t>
      </w:r>
      <w:proofErr w:type="spellEnd"/>
      <w:r w:rsidRPr="00B97B1D">
        <w:rPr>
          <w:rFonts w:ascii="Arial" w:hAnsi="Arial" w:cs="Arial"/>
          <w:highlight w:val="yellow"/>
        </w:rPr>
        <w:t xml:space="preserve"> 2021). The analysis relies on legally obtained, publicly available microdata provided by BPS for research purposes. No direct contact with respondents was conducted, and the dataset is </w:t>
      </w:r>
      <w:proofErr w:type="spellStart"/>
      <w:r w:rsidRPr="00B97B1D">
        <w:rPr>
          <w:rFonts w:ascii="Arial" w:hAnsi="Arial" w:cs="Arial"/>
          <w:highlight w:val="yellow"/>
        </w:rPr>
        <w:t>analysed</w:t>
      </w:r>
      <w:proofErr w:type="spellEnd"/>
      <w:r w:rsidRPr="00B97B1D">
        <w:rPr>
          <w:rFonts w:ascii="Arial" w:hAnsi="Arial" w:cs="Arial"/>
          <w:highlight w:val="yellow"/>
        </w:rPr>
        <w:t xml:space="preserve"> in de-identified form.</w:t>
      </w:r>
    </w:p>
    <w:p w14:paraId="3C477523" w14:textId="77777777" w:rsidR="00B97B1D" w:rsidRPr="00B97B1D" w:rsidRDefault="00B97B1D" w:rsidP="00B97B1D">
      <w:pPr>
        <w:pStyle w:val="Body"/>
        <w:spacing w:after="0"/>
        <w:rPr>
          <w:rFonts w:ascii="Arial" w:hAnsi="Arial" w:cs="Arial"/>
        </w:rPr>
      </w:pPr>
    </w:p>
    <w:p w14:paraId="4D3D5759" w14:textId="77777777" w:rsidR="00B97B1D" w:rsidRPr="00B97B1D" w:rsidRDefault="00B97B1D" w:rsidP="00B97B1D">
      <w:pPr>
        <w:pStyle w:val="Body"/>
        <w:spacing w:after="0"/>
        <w:rPr>
          <w:rFonts w:ascii="Arial" w:hAnsi="Arial" w:cs="Arial"/>
          <w:b/>
          <w:bCs/>
          <w:highlight w:val="yellow"/>
        </w:rPr>
      </w:pPr>
      <w:r w:rsidRPr="00B97B1D">
        <w:rPr>
          <w:rFonts w:ascii="Arial" w:hAnsi="Arial" w:cs="Arial"/>
          <w:b/>
          <w:bCs/>
          <w:highlight w:val="yellow"/>
        </w:rPr>
        <w:t>2.6 Study Limitations and Replicability</w:t>
      </w:r>
    </w:p>
    <w:p w14:paraId="454CCCF8" w14:textId="751C4D16" w:rsidR="00B97B1D" w:rsidRPr="00B97B1D" w:rsidRDefault="00B97B1D" w:rsidP="00B97B1D">
      <w:pPr>
        <w:pStyle w:val="Body"/>
        <w:spacing w:after="0"/>
        <w:rPr>
          <w:rFonts w:ascii="Arial" w:hAnsi="Arial" w:cs="Arial"/>
        </w:rPr>
      </w:pPr>
      <w:r w:rsidRPr="00B97B1D">
        <w:rPr>
          <w:rFonts w:ascii="Arial" w:hAnsi="Arial" w:cs="Arial"/>
          <w:highlight w:val="yellow"/>
        </w:rPr>
        <w:t xml:space="preserve">First, the analysis focuses on a DKI Jakarta sub-sample; therefore, findings may not fully </w:t>
      </w:r>
      <w:proofErr w:type="spellStart"/>
      <w:r w:rsidRPr="00B97B1D">
        <w:rPr>
          <w:rFonts w:ascii="Arial" w:hAnsi="Arial" w:cs="Arial"/>
          <w:highlight w:val="yellow"/>
        </w:rPr>
        <w:t>generalise</w:t>
      </w:r>
      <w:proofErr w:type="spellEnd"/>
      <w:r w:rsidRPr="00B97B1D">
        <w:rPr>
          <w:rFonts w:ascii="Arial" w:hAnsi="Arial" w:cs="Arial"/>
          <w:highlight w:val="yellow"/>
        </w:rPr>
        <w:t xml:space="preserve"> to other provinces with different </w:t>
      </w:r>
      <w:proofErr w:type="spellStart"/>
      <w:r w:rsidR="00736F52">
        <w:rPr>
          <w:rFonts w:ascii="Arial" w:hAnsi="Arial" w:cs="Arial"/>
          <w:highlight w:val="yellow"/>
        </w:rPr>
        <w:t>labour</w:t>
      </w:r>
      <w:proofErr w:type="spellEnd"/>
      <w:r w:rsidRPr="00B97B1D">
        <w:rPr>
          <w:rFonts w:ascii="Arial" w:hAnsi="Arial" w:cs="Arial"/>
          <w:highlight w:val="yellow"/>
        </w:rPr>
        <w:t xml:space="preserve">-market structures and accessibility contexts. Second, PSM addresses selection bias only for observed covariates; unobserved factors may still influence both social participation and employment outcomes. Replication is feasible because </w:t>
      </w:r>
      <w:proofErr w:type="spellStart"/>
      <w:r w:rsidRPr="00B97B1D">
        <w:rPr>
          <w:rFonts w:ascii="Arial" w:hAnsi="Arial" w:cs="Arial"/>
          <w:highlight w:val="yellow"/>
        </w:rPr>
        <w:t>Sakernas</w:t>
      </w:r>
      <w:proofErr w:type="spellEnd"/>
      <w:r w:rsidRPr="00B97B1D">
        <w:rPr>
          <w:rFonts w:ascii="Arial" w:hAnsi="Arial" w:cs="Arial"/>
          <w:highlight w:val="yellow"/>
        </w:rPr>
        <w:t xml:space="preserve"> is a </w:t>
      </w:r>
      <w:proofErr w:type="spellStart"/>
      <w:r w:rsidRPr="00B97B1D">
        <w:rPr>
          <w:rFonts w:ascii="Arial" w:hAnsi="Arial" w:cs="Arial"/>
          <w:highlight w:val="yellow"/>
        </w:rPr>
        <w:t>standardised</w:t>
      </w:r>
      <w:proofErr w:type="spellEnd"/>
      <w:r w:rsidRPr="00B97B1D">
        <w:rPr>
          <w:rFonts w:ascii="Arial" w:hAnsi="Arial" w:cs="Arial"/>
          <w:highlight w:val="yellow"/>
        </w:rPr>
        <w:t xml:space="preserve"> national survey; future studies can apply the same variable construction and matching strategy to other provincial sub-samples to test robustness across regions.</w:t>
      </w:r>
    </w:p>
    <w:p w14:paraId="1DD5FA43" w14:textId="77777777" w:rsidR="00B97B1D" w:rsidRPr="00B97B1D" w:rsidRDefault="00B97B1D" w:rsidP="004932AA">
      <w:pPr>
        <w:pStyle w:val="Body"/>
        <w:spacing w:after="0"/>
        <w:rPr>
          <w:rFonts w:ascii="Arial" w:hAnsi="Arial" w:cs="Arial"/>
        </w:rPr>
      </w:pPr>
    </w:p>
    <w:p w14:paraId="1ACC703F" w14:textId="77777777" w:rsidR="004932AA" w:rsidRDefault="004932AA" w:rsidP="004932AA">
      <w:pPr>
        <w:pStyle w:val="Body"/>
        <w:spacing w:after="0"/>
        <w:rPr>
          <w:rFonts w:ascii="Arial" w:hAnsi="Arial" w:cs="Arial"/>
        </w:rPr>
      </w:pPr>
    </w:p>
    <w:p w14:paraId="53FE4B9E" w14:textId="77777777" w:rsidR="004932AA" w:rsidRDefault="004932AA" w:rsidP="004932AA">
      <w:pPr>
        <w:pStyle w:val="Body"/>
        <w:spacing w:after="0"/>
        <w:rPr>
          <w:rFonts w:ascii="Arial" w:hAnsi="Arial" w:cs="Arial"/>
        </w:rPr>
      </w:pPr>
    </w:p>
    <w:p w14:paraId="71469A03" w14:textId="52A87499" w:rsidR="00902823" w:rsidRDefault="00000F8F" w:rsidP="004932AA">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r w:rsidR="000A485C">
        <w:rPr>
          <w:rFonts w:ascii="Arial" w:hAnsi="Arial" w:cs="Arial"/>
        </w:rPr>
        <w:t>.</w:t>
      </w:r>
    </w:p>
    <w:p w14:paraId="238DFB62" w14:textId="77777777" w:rsidR="000A485C" w:rsidRDefault="000A485C" w:rsidP="004932AA">
      <w:pPr>
        <w:pStyle w:val="Head1"/>
        <w:spacing w:after="0"/>
        <w:jc w:val="both"/>
        <w:rPr>
          <w:rFonts w:ascii="Arial" w:hAnsi="Arial" w:cs="Arial"/>
        </w:rPr>
      </w:pPr>
      <w:bookmarkStart w:id="0" w:name="_GoBack"/>
      <w:bookmarkEnd w:id="0"/>
    </w:p>
    <w:p w14:paraId="7B03A436" w14:textId="40AC6C68" w:rsidR="000A485C" w:rsidRDefault="000A485C" w:rsidP="004932AA">
      <w:pPr>
        <w:pStyle w:val="Head1"/>
        <w:spacing w:after="0"/>
        <w:jc w:val="both"/>
        <w:rPr>
          <w:rFonts w:ascii="Arial" w:hAnsi="Arial" w:cs="Arial"/>
        </w:rPr>
      </w:pPr>
      <w:r>
        <w:rPr>
          <w:rFonts w:ascii="Arial" w:hAnsi="Arial" w:cs="Arial"/>
        </w:rPr>
        <w:t xml:space="preserve">Result: </w:t>
      </w:r>
    </w:p>
    <w:p w14:paraId="6F11A603" w14:textId="702A0A3D" w:rsidR="00283DED" w:rsidRPr="00283DED" w:rsidRDefault="00283DED" w:rsidP="004932AA">
      <w:pPr>
        <w:pStyle w:val="Body"/>
        <w:spacing w:after="0"/>
        <w:rPr>
          <w:rFonts w:ascii="Arial" w:hAnsi="Arial" w:cs="Arial"/>
          <w:b/>
        </w:rPr>
      </w:pPr>
      <w:r>
        <w:rPr>
          <w:rFonts w:ascii="Arial" w:hAnsi="Arial" w:cs="Arial"/>
          <w:b/>
        </w:rPr>
        <w:t xml:space="preserve">3.1 </w:t>
      </w:r>
      <w:r w:rsidRPr="00283DED">
        <w:rPr>
          <w:rFonts w:ascii="Arial" w:hAnsi="Arial" w:cs="Arial"/>
          <w:b/>
        </w:rPr>
        <w:t>Descriptive Statistics</w:t>
      </w:r>
    </w:p>
    <w:p w14:paraId="131AA75F" w14:textId="77777777" w:rsidR="00283DED" w:rsidRPr="00283DED" w:rsidRDefault="00283DED" w:rsidP="004932AA">
      <w:pPr>
        <w:pStyle w:val="Body"/>
        <w:spacing w:after="0"/>
        <w:rPr>
          <w:rFonts w:ascii="Arial" w:hAnsi="Arial" w:cs="Arial"/>
          <w:b/>
        </w:rPr>
      </w:pPr>
      <w:r w:rsidRPr="00283DED">
        <w:rPr>
          <w:rFonts w:ascii="Arial" w:hAnsi="Arial" w:cs="Arial"/>
          <w:noProof/>
        </w:rPr>
        <w:lastRenderedPageBreak/>
        <w:drawing>
          <wp:inline distT="0" distB="0" distL="0" distR="0" wp14:anchorId="2C93C2ED" wp14:editId="2363E220">
            <wp:extent cx="4391025" cy="2266950"/>
            <wp:effectExtent l="0" t="0" r="0" b="0"/>
            <wp:docPr id="1123519838" name="Chart 1">
              <a:extLst xmlns:a="http://schemas.openxmlformats.org/drawingml/2006/main">
                <a:ext uri="{FF2B5EF4-FFF2-40B4-BE49-F238E27FC236}">
                  <a16:creationId xmlns:a16="http://schemas.microsoft.com/office/drawing/2014/main" id="{7C18E96A-A7B4-2109-4222-D3D9F86740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09398BE" w14:textId="77777777" w:rsidR="00283DED" w:rsidRPr="00283DED" w:rsidRDefault="00283DED" w:rsidP="004932AA">
      <w:pPr>
        <w:pStyle w:val="Body"/>
        <w:spacing w:after="0"/>
        <w:rPr>
          <w:rFonts w:ascii="Arial" w:hAnsi="Arial" w:cs="Arial"/>
          <w:b/>
        </w:rPr>
      </w:pPr>
      <w:r w:rsidRPr="00283DED">
        <w:rPr>
          <w:rFonts w:ascii="Arial" w:hAnsi="Arial" w:cs="Arial"/>
          <w:b/>
        </w:rPr>
        <w:t>Figure 1. Respondents with Disabilities by Type of Disorder</w:t>
      </w:r>
    </w:p>
    <w:p w14:paraId="39577176" w14:textId="089FE890" w:rsidR="00283DED" w:rsidRPr="00A231B3" w:rsidRDefault="00283DED" w:rsidP="004932AA">
      <w:pPr>
        <w:pStyle w:val="Body"/>
        <w:spacing w:after="0"/>
        <w:rPr>
          <w:rFonts w:ascii="Arial" w:hAnsi="Arial" w:cs="Arial"/>
        </w:rPr>
      </w:pPr>
      <w:r w:rsidRPr="00283DED">
        <w:rPr>
          <w:rFonts w:ascii="Arial" w:hAnsi="Arial" w:cs="Arial"/>
          <w:bCs/>
        </w:rPr>
        <w:t>Figure 1 illustrates the distribution of the sample by disability type: visual disabilities (29.28%), mental disabilities (23.83%), walking disabilities (20.91%), finger/hand disabilities (11.66%), hearing disabilities (8.49%), and communication disabilities (5.83%). The sample consists of 789 respondents, representing a diverse range of disabilities</w:t>
      </w:r>
      <w:r w:rsidR="00A231B3">
        <w:rPr>
          <w:rFonts w:ascii="Arial" w:hAnsi="Arial" w:cs="Arial"/>
          <w:bCs/>
        </w:rPr>
        <w:t xml:space="preserve"> </w:t>
      </w:r>
      <w:r w:rsidR="00A231B3" w:rsidRPr="00A231B3">
        <w:rPr>
          <w:rFonts w:ascii="Arial" w:hAnsi="Arial" w:cs="Arial"/>
        </w:rPr>
        <w:t xml:space="preserve">in the DKI Jakarta </w:t>
      </w:r>
      <w:proofErr w:type="spellStart"/>
      <w:r w:rsidR="00A231B3" w:rsidRPr="00A231B3">
        <w:rPr>
          <w:rFonts w:ascii="Arial" w:hAnsi="Arial" w:cs="Arial"/>
        </w:rPr>
        <w:t>Sakernas</w:t>
      </w:r>
      <w:proofErr w:type="spellEnd"/>
      <w:r w:rsidR="00A231B3" w:rsidRPr="00A231B3">
        <w:rPr>
          <w:rFonts w:ascii="Arial" w:hAnsi="Arial" w:cs="Arial"/>
        </w:rPr>
        <w:t xml:space="preserve"> sub-sample</w:t>
      </w:r>
      <w:r w:rsidRPr="00A231B3">
        <w:rPr>
          <w:rFonts w:ascii="Arial" w:hAnsi="Arial" w:cs="Arial"/>
        </w:rPr>
        <w:t>.</w:t>
      </w:r>
    </w:p>
    <w:p w14:paraId="6AA89DCC" w14:textId="77777777" w:rsidR="00283DED" w:rsidRPr="00283DED" w:rsidRDefault="00283DED" w:rsidP="004932AA">
      <w:pPr>
        <w:pStyle w:val="Body"/>
        <w:spacing w:after="0"/>
        <w:rPr>
          <w:rFonts w:ascii="Arial" w:hAnsi="Arial" w:cs="Arial"/>
          <w:bCs/>
        </w:rPr>
      </w:pPr>
    </w:p>
    <w:p w14:paraId="61BA8FEC" w14:textId="77777777" w:rsidR="00283DED" w:rsidRPr="00283DED" w:rsidRDefault="00283DED" w:rsidP="004932AA">
      <w:pPr>
        <w:pStyle w:val="Body"/>
        <w:spacing w:after="0"/>
        <w:rPr>
          <w:rFonts w:ascii="Arial" w:hAnsi="Arial" w:cs="Arial"/>
          <w:b/>
        </w:rPr>
      </w:pPr>
      <w:r w:rsidRPr="00283DED">
        <w:rPr>
          <w:rFonts w:ascii="Arial" w:hAnsi="Arial" w:cs="Arial"/>
          <w:b/>
        </w:rPr>
        <w:t>Table 2. Comparison between treated and matched control groups</w:t>
      </w:r>
    </w:p>
    <w:tbl>
      <w:tblPr>
        <w:tblW w:w="8388" w:type="dxa"/>
        <w:tblLook w:val="04A0" w:firstRow="1" w:lastRow="0" w:firstColumn="1" w:lastColumn="0" w:noHBand="0" w:noVBand="1"/>
      </w:tblPr>
      <w:tblGrid>
        <w:gridCol w:w="4230"/>
        <w:gridCol w:w="972"/>
        <w:gridCol w:w="1368"/>
        <w:gridCol w:w="1073"/>
        <w:gridCol w:w="745"/>
      </w:tblGrid>
      <w:tr w:rsidR="00283DED" w:rsidRPr="00283DED" w14:paraId="20AA6AED" w14:textId="77777777" w:rsidTr="004932AA">
        <w:trPr>
          <w:trHeight w:val="855"/>
        </w:trPr>
        <w:tc>
          <w:tcPr>
            <w:tcW w:w="4230" w:type="dxa"/>
            <w:vMerge w:val="restart"/>
            <w:tcBorders>
              <w:top w:val="single" w:sz="8" w:space="0" w:color="auto"/>
              <w:left w:val="nil"/>
              <w:bottom w:val="single" w:sz="8" w:space="0" w:color="000000"/>
              <w:right w:val="nil"/>
            </w:tcBorders>
            <w:noWrap/>
            <w:vAlign w:val="center"/>
            <w:hideMark/>
          </w:tcPr>
          <w:p w14:paraId="4D303164" w14:textId="77777777" w:rsidR="00283DED" w:rsidRPr="00283DED" w:rsidRDefault="00283DED" w:rsidP="004932AA">
            <w:pPr>
              <w:pStyle w:val="Body"/>
              <w:spacing w:after="0"/>
              <w:rPr>
                <w:rFonts w:ascii="Arial" w:hAnsi="Arial" w:cs="Arial"/>
                <w:b/>
                <w:bCs/>
              </w:rPr>
            </w:pPr>
            <w:r w:rsidRPr="00283DED">
              <w:rPr>
                <w:rFonts w:ascii="Arial" w:hAnsi="Arial" w:cs="Arial"/>
                <w:b/>
                <w:bCs/>
              </w:rPr>
              <w:t>Respondent Group</w:t>
            </w:r>
          </w:p>
        </w:tc>
        <w:tc>
          <w:tcPr>
            <w:tcW w:w="2340" w:type="dxa"/>
            <w:gridSpan w:val="2"/>
            <w:tcBorders>
              <w:top w:val="single" w:sz="8" w:space="0" w:color="auto"/>
              <w:left w:val="nil"/>
              <w:bottom w:val="single" w:sz="8" w:space="0" w:color="auto"/>
              <w:right w:val="nil"/>
            </w:tcBorders>
            <w:vAlign w:val="center"/>
            <w:hideMark/>
          </w:tcPr>
          <w:p w14:paraId="4CE3AF4E" w14:textId="77777777" w:rsidR="00283DED" w:rsidRPr="00283DED" w:rsidRDefault="00283DED" w:rsidP="004932AA">
            <w:pPr>
              <w:pStyle w:val="Body"/>
              <w:spacing w:after="0"/>
              <w:rPr>
                <w:rFonts w:ascii="Arial" w:hAnsi="Arial" w:cs="Arial"/>
                <w:b/>
                <w:bCs/>
              </w:rPr>
            </w:pPr>
            <w:r w:rsidRPr="00283DED">
              <w:rPr>
                <w:rFonts w:ascii="Arial" w:hAnsi="Arial" w:cs="Arial"/>
                <w:b/>
                <w:bCs/>
              </w:rPr>
              <w:t>Disabled workers</w:t>
            </w:r>
          </w:p>
        </w:tc>
        <w:tc>
          <w:tcPr>
            <w:tcW w:w="1818" w:type="dxa"/>
            <w:gridSpan w:val="2"/>
            <w:tcBorders>
              <w:top w:val="single" w:sz="8" w:space="0" w:color="auto"/>
              <w:left w:val="nil"/>
              <w:bottom w:val="single" w:sz="8" w:space="0" w:color="auto"/>
              <w:right w:val="nil"/>
            </w:tcBorders>
            <w:vAlign w:val="center"/>
            <w:hideMark/>
          </w:tcPr>
          <w:p w14:paraId="55C92557" w14:textId="77777777" w:rsidR="00283DED" w:rsidRPr="00283DED" w:rsidRDefault="00283DED" w:rsidP="004932AA">
            <w:pPr>
              <w:pStyle w:val="Body"/>
              <w:spacing w:after="0"/>
              <w:rPr>
                <w:rFonts w:ascii="Arial" w:hAnsi="Arial" w:cs="Arial"/>
                <w:b/>
                <w:bCs/>
              </w:rPr>
            </w:pPr>
            <w:r w:rsidRPr="00283DED">
              <w:rPr>
                <w:rFonts w:ascii="Arial" w:hAnsi="Arial" w:cs="Arial"/>
                <w:b/>
                <w:bCs/>
              </w:rPr>
              <w:t>Non-disabled workers</w:t>
            </w:r>
          </w:p>
        </w:tc>
      </w:tr>
      <w:tr w:rsidR="00283DED" w:rsidRPr="00283DED" w14:paraId="349D15B7" w14:textId="77777777" w:rsidTr="004932AA">
        <w:trPr>
          <w:trHeight w:val="315"/>
        </w:trPr>
        <w:tc>
          <w:tcPr>
            <w:tcW w:w="4230" w:type="dxa"/>
            <w:vMerge/>
            <w:tcBorders>
              <w:top w:val="single" w:sz="8" w:space="0" w:color="auto"/>
              <w:left w:val="nil"/>
              <w:bottom w:val="single" w:sz="8" w:space="0" w:color="000000"/>
              <w:right w:val="nil"/>
            </w:tcBorders>
            <w:vAlign w:val="center"/>
            <w:hideMark/>
          </w:tcPr>
          <w:p w14:paraId="44D4C44A" w14:textId="77777777" w:rsidR="00283DED" w:rsidRPr="00283DED" w:rsidRDefault="00283DED" w:rsidP="004932AA">
            <w:pPr>
              <w:pStyle w:val="Body"/>
              <w:spacing w:after="0"/>
              <w:rPr>
                <w:rFonts w:ascii="Arial" w:hAnsi="Arial" w:cs="Arial"/>
                <w:b/>
                <w:bCs/>
              </w:rPr>
            </w:pPr>
          </w:p>
        </w:tc>
        <w:tc>
          <w:tcPr>
            <w:tcW w:w="972" w:type="dxa"/>
            <w:tcBorders>
              <w:top w:val="nil"/>
              <w:left w:val="nil"/>
              <w:bottom w:val="single" w:sz="8" w:space="0" w:color="auto"/>
              <w:right w:val="nil"/>
            </w:tcBorders>
            <w:noWrap/>
            <w:vAlign w:val="center"/>
            <w:hideMark/>
          </w:tcPr>
          <w:p w14:paraId="317B1B95" w14:textId="77777777" w:rsidR="00283DED" w:rsidRPr="00283DED" w:rsidRDefault="00283DED" w:rsidP="004932AA">
            <w:pPr>
              <w:pStyle w:val="Body"/>
              <w:spacing w:after="0"/>
              <w:rPr>
                <w:rFonts w:ascii="Arial" w:hAnsi="Arial" w:cs="Arial"/>
                <w:b/>
                <w:bCs/>
              </w:rPr>
            </w:pPr>
            <w:r w:rsidRPr="00283DED">
              <w:rPr>
                <w:rFonts w:ascii="Arial" w:hAnsi="Arial" w:cs="Arial"/>
                <w:b/>
                <w:bCs/>
              </w:rPr>
              <w:t>Freq.</w:t>
            </w:r>
          </w:p>
        </w:tc>
        <w:tc>
          <w:tcPr>
            <w:tcW w:w="1368" w:type="dxa"/>
            <w:tcBorders>
              <w:top w:val="nil"/>
              <w:left w:val="nil"/>
              <w:bottom w:val="single" w:sz="8" w:space="0" w:color="auto"/>
              <w:right w:val="nil"/>
            </w:tcBorders>
            <w:noWrap/>
            <w:vAlign w:val="center"/>
            <w:hideMark/>
          </w:tcPr>
          <w:p w14:paraId="5ADDEEA8" w14:textId="77777777" w:rsidR="00283DED" w:rsidRPr="00283DED" w:rsidRDefault="00283DED" w:rsidP="004932AA">
            <w:pPr>
              <w:pStyle w:val="Body"/>
              <w:spacing w:after="0"/>
              <w:rPr>
                <w:rFonts w:ascii="Arial" w:hAnsi="Arial" w:cs="Arial"/>
                <w:b/>
                <w:bCs/>
              </w:rPr>
            </w:pPr>
            <w:r w:rsidRPr="00283DED">
              <w:rPr>
                <w:rFonts w:ascii="Arial" w:hAnsi="Arial" w:cs="Arial"/>
                <w:b/>
                <w:bCs/>
              </w:rPr>
              <w:t>%</w:t>
            </w:r>
          </w:p>
        </w:tc>
        <w:tc>
          <w:tcPr>
            <w:tcW w:w="1073" w:type="dxa"/>
            <w:tcBorders>
              <w:top w:val="nil"/>
              <w:left w:val="nil"/>
              <w:bottom w:val="single" w:sz="8" w:space="0" w:color="auto"/>
              <w:right w:val="nil"/>
            </w:tcBorders>
            <w:noWrap/>
            <w:vAlign w:val="center"/>
            <w:hideMark/>
          </w:tcPr>
          <w:p w14:paraId="0F198078" w14:textId="77777777" w:rsidR="00283DED" w:rsidRPr="00283DED" w:rsidRDefault="00283DED" w:rsidP="004932AA">
            <w:pPr>
              <w:pStyle w:val="Body"/>
              <w:spacing w:after="0"/>
              <w:rPr>
                <w:rFonts w:ascii="Arial" w:hAnsi="Arial" w:cs="Arial"/>
                <w:b/>
                <w:bCs/>
              </w:rPr>
            </w:pPr>
            <w:r w:rsidRPr="00283DED">
              <w:rPr>
                <w:rFonts w:ascii="Arial" w:hAnsi="Arial" w:cs="Arial"/>
                <w:b/>
                <w:bCs/>
              </w:rPr>
              <w:t xml:space="preserve"> Freq.</w:t>
            </w:r>
          </w:p>
        </w:tc>
        <w:tc>
          <w:tcPr>
            <w:tcW w:w="745" w:type="dxa"/>
            <w:tcBorders>
              <w:top w:val="nil"/>
              <w:left w:val="nil"/>
              <w:bottom w:val="single" w:sz="8" w:space="0" w:color="auto"/>
              <w:right w:val="nil"/>
            </w:tcBorders>
            <w:noWrap/>
            <w:vAlign w:val="center"/>
            <w:hideMark/>
          </w:tcPr>
          <w:p w14:paraId="60624279" w14:textId="77777777" w:rsidR="00283DED" w:rsidRPr="00283DED" w:rsidRDefault="00283DED" w:rsidP="004932AA">
            <w:pPr>
              <w:pStyle w:val="Body"/>
              <w:spacing w:after="0"/>
              <w:rPr>
                <w:rFonts w:ascii="Arial" w:hAnsi="Arial" w:cs="Arial"/>
                <w:b/>
                <w:bCs/>
              </w:rPr>
            </w:pPr>
            <w:r w:rsidRPr="00283DED">
              <w:rPr>
                <w:rFonts w:ascii="Arial" w:hAnsi="Arial" w:cs="Arial"/>
                <w:b/>
                <w:bCs/>
              </w:rPr>
              <w:t>%</w:t>
            </w:r>
          </w:p>
        </w:tc>
      </w:tr>
      <w:tr w:rsidR="00283DED" w:rsidRPr="00283DED" w14:paraId="6A608AF7" w14:textId="77777777" w:rsidTr="004932AA">
        <w:trPr>
          <w:trHeight w:val="600"/>
        </w:trPr>
        <w:tc>
          <w:tcPr>
            <w:tcW w:w="4230" w:type="dxa"/>
            <w:tcBorders>
              <w:top w:val="nil"/>
              <w:left w:val="nil"/>
              <w:bottom w:val="nil"/>
              <w:right w:val="nil"/>
            </w:tcBorders>
            <w:vAlign w:val="center"/>
            <w:hideMark/>
          </w:tcPr>
          <w:p w14:paraId="0956EDB1" w14:textId="77777777" w:rsidR="00283DED" w:rsidRPr="00283DED" w:rsidRDefault="00283DED" w:rsidP="004932AA">
            <w:pPr>
              <w:pStyle w:val="Body"/>
              <w:spacing w:after="0"/>
              <w:rPr>
                <w:rFonts w:ascii="Arial" w:hAnsi="Arial" w:cs="Arial"/>
              </w:rPr>
            </w:pPr>
            <w:r w:rsidRPr="00283DED">
              <w:rPr>
                <w:rFonts w:ascii="Arial" w:hAnsi="Arial" w:cs="Arial"/>
              </w:rPr>
              <w:t>Active in social participation</w:t>
            </w:r>
          </w:p>
        </w:tc>
        <w:tc>
          <w:tcPr>
            <w:tcW w:w="972" w:type="dxa"/>
            <w:tcBorders>
              <w:top w:val="nil"/>
              <w:left w:val="nil"/>
              <w:bottom w:val="nil"/>
              <w:right w:val="nil"/>
            </w:tcBorders>
            <w:noWrap/>
            <w:vAlign w:val="center"/>
            <w:hideMark/>
          </w:tcPr>
          <w:p w14:paraId="66E95B77" w14:textId="77777777" w:rsidR="00283DED" w:rsidRPr="00283DED" w:rsidRDefault="00283DED" w:rsidP="004932AA">
            <w:pPr>
              <w:pStyle w:val="Body"/>
              <w:spacing w:after="0"/>
              <w:rPr>
                <w:rFonts w:ascii="Arial" w:hAnsi="Arial" w:cs="Arial"/>
              </w:rPr>
            </w:pPr>
            <w:r w:rsidRPr="00283DED">
              <w:rPr>
                <w:rFonts w:ascii="Arial" w:hAnsi="Arial" w:cs="Arial"/>
              </w:rPr>
              <w:t>502</w:t>
            </w:r>
          </w:p>
        </w:tc>
        <w:tc>
          <w:tcPr>
            <w:tcW w:w="1368" w:type="dxa"/>
            <w:tcBorders>
              <w:top w:val="nil"/>
              <w:left w:val="nil"/>
              <w:bottom w:val="nil"/>
              <w:right w:val="nil"/>
            </w:tcBorders>
            <w:noWrap/>
            <w:vAlign w:val="center"/>
            <w:hideMark/>
          </w:tcPr>
          <w:p w14:paraId="2166DEF7" w14:textId="77777777" w:rsidR="00283DED" w:rsidRPr="00283DED" w:rsidRDefault="00283DED" w:rsidP="004932AA">
            <w:pPr>
              <w:pStyle w:val="Body"/>
              <w:spacing w:after="0"/>
              <w:rPr>
                <w:rFonts w:ascii="Arial" w:hAnsi="Arial" w:cs="Arial"/>
              </w:rPr>
            </w:pPr>
            <w:r w:rsidRPr="00283DED">
              <w:rPr>
                <w:rFonts w:ascii="Arial" w:hAnsi="Arial" w:cs="Arial"/>
              </w:rPr>
              <w:t>63.62</w:t>
            </w:r>
          </w:p>
        </w:tc>
        <w:tc>
          <w:tcPr>
            <w:tcW w:w="1073" w:type="dxa"/>
            <w:tcBorders>
              <w:top w:val="nil"/>
              <w:left w:val="nil"/>
              <w:bottom w:val="nil"/>
              <w:right w:val="nil"/>
            </w:tcBorders>
            <w:noWrap/>
            <w:vAlign w:val="center"/>
            <w:hideMark/>
          </w:tcPr>
          <w:p w14:paraId="02847171" w14:textId="77777777" w:rsidR="00283DED" w:rsidRPr="00283DED" w:rsidRDefault="00283DED" w:rsidP="004932AA">
            <w:pPr>
              <w:pStyle w:val="Body"/>
              <w:spacing w:after="0"/>
              <w:rPr>
                <w:rFonts w:ascii="Arial" w:hAnsi="Arial" w:cs="Arial"/>
              </w:rPr>
            </w:pPr>
            <w:r w:rsidRPr="00283DED">
              <w:rPr>
                <w:rFonts w:ascii="Arial" w:hAnsi="Arial" w:cs="Arial"/>
              </w:rPr>
              <w:t>10,095</w:t>
            </w:r>
          </w:p>
        </w:tc>
        <w:tc>
          <w:tcPr>
            <w:tcW w:w="745" w:type="dxa"/>
            <w:tcBorders>
              <w:top w:val="nil"/>
              <w:left w:val="nil"/>
              <w:bottom w:val="nil"/>
              <w:right w:val="nil"/>
            </w:tcBorders>
            <w:noWrap/>
            <w:vAlign w:val="center"/>
            <w:hideMark/>
          </w:tcPr>
          <w:p w14:paraId="2E00A902" w14:textId="77777777" w:rsidR="00283DED" w:rsidRPr="00283DED" w:rsidRDefault="00283DED" w:rsidP="004932AA">
            <w:pPr>
              <w:pStyle w:val="Body"/>
              <w:spacing w:after="0"/>
              <w:rPr>
                <w:rFonts w:ascii="Arial" w:hAnsi="Arial" w:cs="Arial"/>
              </w:rPr>
            </w:pPr>
            <w:r w:rsidRPr="00283DED">
              <w:rPr>
                <w:rFonts w:ascii="Arial" w:hAnsi="Arial" w:cs="Arial"/>
              </w:rPr>
              <w:t>82.25</w:t>
            </w:r>
          </w:p>
        </w:tc>
      </w:tr>
      <w:tr w:rsidR="00283DED" w:rsidRPr="00283DED" w14:paraId="08F7B473" w14:textId="77777777" w:rsidTr="004932AA">
        <w:trPr>
          <w:trHeight w:val="600"/>
        </w:trPr>
        <w:tc>
          <w:tcPr>
            <w:tcW w:w="4230" w:type="dxa"/>
            <w:tcBorders>
              <w:top w:val="nil"/>
              <w:left w:val="nil"/>
              <w:bottom w:val="nil"/>
              <w:right w:val="nil"/>
            </w:tcBorders>
            <w:vAlign w:val="center"/>
            <w:hideMark/>
          </w:tcPr>
          <w:p w14:paraId="14C02363" w14:textId="77777777" w:rsidR="00283DED" w:rsidRPr="00283DED" w:rsidRDefault="00283DED" w:rsidP="004932AA">
            <w:pPr>
              <w:pStyle w:val="Body"/>
              <w:spacing w:after="0"/>
              <w:rPr>
                <w:rFonts w:ascii="Arial" w:hAnsi="Arial" w:cs="Arial"/>
              </w:rPr>
            </w:pPr>
            <w:r w:rsidRPr="00283DED">
              <w:rPr>
                <w:rFonts w:ascii="Arial" w:hAnsi="Arial" w:cs="Arial"/>
              </w:rPr>
              <w:t>Not active in social participation</w:t>
            </w:r>
          </w:p>
        </w:tc>
        <w:tc>
          <w:tcPr>
            <w:tcW w:w="972" w:type="dxa"/>
            <w:tcBorders>
              <w:top w:val="nil"/>
              <w:left w:val="nil"/>
              <w:bottom w:val="nil"/>
              <w:right w:val="nil"/>
            </w:tcBorders>
            <w:noWrap/>
            <w:vAlign w:val="center"/>
            <w:hideMark/>
          </w:tcPr>
          <w:p w14:paraId="2A1A57E5" w14:textId="77777777" w:rsidR="00283DED" w:rsidRPr="00283DED" w:rsidRDefault="00283DED" w:rsidP="004932AA">
            <w:pPr>
              <w:pStyle w:val="Body"/>
              <w:spacing w:after="0"/>
              <w:rPr>
                <w:rFonts w:ascii="Arial" w:hAnsi="Arial" w:cs="Arial"/>
              </w:rPr>
            </w:pPr>
            <w:r w:rsidRPr="00283DED">
              <w:rPr>
                <w:rFonts w:ascii="Arial" w:hAnsi="Arial" w:cs="Arial"/>
              </w:rPr>
              <w:t>287</w:t>
            </w:r>
          </w:p>
        </w:tc>
        <w:tc>
          <w:tcPr>
            <w:tcW w:w="1368" w:type="dxa"/>
            <w:tcBorders>
              <w:top w:val="nil"/>
              <w:left w:val="nil"/>
              <w:bottom w:val="nil"/>
              <w:right w:val="nil"/>
            </w:tcBorders>
            <w:noWrap/>
            <w:vAlign w:val="center"/>
            <w:hideMark/>
          </w:tcPr>
          <w:p w14:paraId="4FAAB83E" w14:textId="77777777" w:rsidR="00283DED" w:rsidRPr="00283DED" w:rsidRDefault="00283DED" w:rsidP="004932AA">
            <w:pPr>
              <w:pStyle w:val="Body"/>
              <w:spacing w:after="0"/>
              <w:rPr>
                <w:rFonts w:ascii="Arial" w:hAnsi="Arial" w:cs="Arial"/>
              </w:rPr>
            </w:pPr>
            <w:r w:rsidRPr="00283DED">
              <w:rPr>
                <w:rFonts w:ascii="Arial" w:hAnsi="Arial" w:cs="Arial"/>
              </w:rPr>
              <w:t>36.38</w:t>
            </w:r>
          </w:p>
        </w:tc>
        <w:tc>
          <w:tcPr>
            <w:tcW w:w="1073" w:type="dxa"/>
            <w:tcBorders>
              <w:top w:val="nil"/>
              <w:left w:val="nil"/>
              <w:bottom w:val="nil"/>
              <w:right w:val="nil"/>
            </w:tcBorders>
            <w:noWrap/>
            <w:vAlign w:val="center"/>
            <w:hideMark/>
          </w:tcPr>
          <w:p w14:paraId="636B0A5F" w14:textId="77777777" w:rsidR="00283DED" w:rsidRPr="00283DED" w:rsidRDefault="00283DED" w:rsidP="004932AA">
            <w:pPr>
              <w:pStyle w:val="Body"/>
              <w:spacing w:after="0"/>
              <w:rPr>
                <w:rFonts w:ascii="Arial" w:hAnsi="Arial" w:cs="Arial"/>
              </w:rPr>
            </w:pPr>
            <w:r w:rsidRPr="00283DED">
              <w:rPr>
                <w:rFonts w:ascii="Arial" w:hAnsi="Arial" w:cs="Arial"/>
              </w:rPr>
              <w:t>2,178</w:t>
            </w:r>
          </w:p>
        </w:tc>
        <w:tc>
          <w:tcPr>
            <w:tcW w:w="745" w:type="dxa"/>
            <w:tcBorders>
              <w:top w:val="nil"/>
              <w:left w:val="nil"/>
              <w:bottom w:val="nil"/>
              <w:right w:val="nil"/>
            </w:tcBorders>
            <w:noWrap/>
            <w:vAlign w:val="center"/>
            <w:hideMark/>
          </w:tcPr>
          <w:p w14:paraId="1C79D547" w14:textId="77777777" w:rsidR="00283DED" w:rsidRPr="00283DED" w:rsidRDefault="00283DED" w:rsidP="004932AA">
            <w:pPr>
              <w:pStyle w:val="Body"/>
              <w:spacing w:after="0"/>
              <w:rPr>
                <w:rFonts w:ascii="Arial" w:hAnsi="Arial" w:cs="Arial"/>
              </w:rPr>
            </w:pPr>
            <w:r w:rsidRPr="00283DED">
              <w:rPr>
                <w:rFonts w:ascii="Arial" w:hAnsi="Arial" w:cs="Arial"/>
              </w:rPr>
              <w:t>17.75</w:t>
            </w:r>
          </w:p>
        </w:tc>
      </w:tr>
      <w:tr w:rsidR="00283DED" w:rsidRPr="00283DED" w14:paraId="0472CF2F" w14:textId="77777777" w:rsidTr="004932AA">
        <w:trPr>
          <w:trHeight w:val="315"/>
        </w:trPr>
        <w:tc>
          <w:tcPr>
            <w:tcW w:w="4230" w:type="dxa"/>
            <w:tcBorders>
              <w:top w:val="nil"/>
              <w:left w:val="nil"/>
              <w:bottom w:val="single" w:sz="8" w:space="0" w:color="auto"/>
              <w:right w:val="nil"/>
            </w:tcBorders>
            <w:noWrap/>
            <w:vAlign w:val="center"/>
            <w:hideMark/>
          </w:tcPr>
          <w:p w14:paraId="21D26756" w14:textId="77777777" w:rsidR="00283DED" w:rsidRPr="00283DED" w:rsidRDefault="00283DED" w:rsidP="004932AA">
            <w:pPr>
              <w:pStyle w:val="Body"/>
              <w:spacing w:after="0"/>
              <w:rPr>
                <w:rFonts w:ascii="Arial" w:hAnsi="Arial" w:cs="Arial"/>
                <w:b/>
                <w:bCs/>
              </w:rPr>
            </w:pPr>
            <w:r w:rsidRPr="00283DED">
              <w:rPr>
                <w:rFonts w:ascii="Arial" w:hAnsi="Arial" w:cs="Arial"/>
                <w:b/>
                <w:bCs/>
              </w:rPr>
              <w:t>Total Respondents</w:t>
            </w:r>
          </w:p>
        </w:tc>
        <w:tc>
          <w:tcPr>
            <w:tcW w:w="972" w:type="dxa"/>
            <w:tcBorders>
              <w:top w:val="nil"/>
              <w:left w:val="nil"/>
              <w:bottom w:val="single" w:sz="8" w:space="0" w:color="auto"/>
              <w:right w:val="nil"/>
            </w:tcBorders>
            <w:noWrap/>
            <w:vAlign w:val="center"/>
            <w:hideMark/>
          </w:tcPr>
          <w:p w14:paraId="1FD313A1" w14:textId="77777777" w:rsidR="00283DED" w:rsidRPr="00283DED" w:rsidRDefault="00283DED" w:rsidP="004932AA">
            <w:pPr>
              <w:pStyle w:val="Body"/>
              <w:spacing w:after="0"/>
              <w:rPr>
                <w:rFonts w:ascii="Arial" w:hAnsi="Arial" w:cs="Arial"/>
                <w:b/>
                <w:bCs/>
              </w:rPr>
            </w:pPr>
            <w:r w:rsidRPr="00283DED">
              <w:rPr>
                <w:rFonts w:ascii="Arial" w:hAnsi="Arial" w:cs="Arial"/>
                <w:b/>
                <w:bCs/>
              </w:rPr>
              <w:t>789</w:t>
            </w:r>
          </w:p>
        </w:tc>
        <w:tc>
          <w:tcPr>
            <w:tcW w:w="1368" w:type="dxa"/>
            <w:tcBorders>
              <w:top w:val="nil"/>
              <w:left w:val="nil"/>
              <w:bottom w:val="single" w:sz="8" w:space="0" w:color="auto"/>
              <w:right w:val="nil"/>
            </w:tcBorders>
            <w:noWrap/>
            <w:vAlign w:val="center"/>
            <w:hideMark/>
          </w:tcPr>
          <w:p w14:paraId="7FA4C29A" w14:textId="77777777" w:rsidR="00283DED" w:rsidRPr="00283DED" w:rsidRDefault="00283DED" w:rsidP="004932AA">
            <w:pPr>
              <w:pStyle w:val="Body"/>
              <w:spacing w:after="0"/>
              <w:rPr>
                <w:rFonts w:ascii="Arial" w:hAnsi="Arial" w:cs="Arial"/>
                <w:b/>
                <w:bCs/>
              </w:rPr>
            </w:pPr>
            <w:r w:rsidRPr="00283DED">
              <w:rPr>
                <w:rFonts w:ascii="Arial" w:hAnsi="Arial" w:cs="Arial"/>
                <w:b/>
                <w:bCs/>
              </w:rPr>
              <w:t>100</w:t>
            </w:r>
          </w:p>
        </w:tc>
        <w:tc>
          <w:tcPr>
            <w:tcW w:w="1073" w:type="dxa"/>
            <w:tcBorders>
              <w:top w:val="nil"/>
              <w:left w:val="nil"/>
              <w:bottom w:val="single" w:sz="8" w:space="0" w:color="auto"/>
              <w:right w:val="nil"/>
            </w:tcBorders>
            <w:noWrap/>
            <w:vAlign w:val="center"/>
            <w:hideMark/>
          </w:tcPr>
          <w:p w14:paraId="6ECA9A35" w14:textId="77777777" w:rsidR="00283DED" w:rsidRPr="00283DED" w:rsidRDefault="00283DED" w:rsidP="004932AA">
            <w:pPr>
              <w:pStyle w:val="Body"/>
              <w:spacing w:after="0"/>
              <w:rPr>
                <w:rFonts w:ascii="Arial" w:hAnsi="Arial" w:cs="Arial"/>
                <w:b/>
                <w:bCs/>
              </w:rPr>
            </w:pPr>
            <w:r w:rsidRPr="00283DED">
              <w:rPr>
                <w:rFonts w:ascii="Arial" w:hAnsi="Arial" w:cs="Arial"/>
                <w:b/>
                <w:bCs/>
              </w:rPr>
              <w:t>12,273</w:t>
            </w:r>
          </w:p>
        </w:tc>
        <w:tc>
          <w:tcPr>
            <w:tcW w:w="745" w:type="dxa"/>
            <w:tcBorders>
              <w:top w:val="nil"/>
              <w:left w:val="nil"/>
              <w:bottom w:val="single" w:sz="8" w:space="0" w:color="auto"/>
              <w:right w:val="nil"/>
            </w:tcBorders>
            <w:noWrap/>
            <w:vAlign w:val="center"/>
            <w:hideMark/>
          </w:tcPr>
          <w:p w14:paraId="6D8AE4A7" w14:textId="77777777" w:rsidR="00283DED" w:rsidRPr="00283DED" w:rsidRDefault="00283DED" w:rsidP="004932AA">
            <w:pPr>
              <w:pStyle w:val="Body"/>
              <w:spacing w:after="0"/>
              <w:rPr>
                <w:rFonts w:ascii="Arial" w:hAnsi="Arial" w:cs="Arial"/>
                <w:b/>
                <w:bCs/>
              </w:rPr>
            </w:pPr>
            <w:r w:rsidRPr="00283DED">
              <w:rPr>
                <w:rFonts w:ascii="Arial" w:hAnsi="Arial" w:cs="Arial"/>
                <w:b/>
                <w:bCs/>
              </w:rPr>
              <w:t>100</w:t>
            </w:r>
          </w:p>
        </w:tc>
      </w:tr>
    </w:tbl>
    <w:p w14:paraId="438302EF" w14:textId="77777777" w:rsidR="00283DED" w:rsidRPr="00283DED" w:rsidRDefault="00283DED" w:rsidP="004932AA">
      <w:pPr>
        <w:pStyle w:val="Body"/>
        <w:spacing w:after="0"/>
        <w:rPr>
          <w:rFonts w:ascii="Arial" w:hAnsi="Arial" w:cs="Arial"/>
          <w:bCs/>
        </w:rPr>
      </w:pPr>
      <w:r w:rsidRPr="00283DED">
        <w:rPr>
          <w:rFonts w:ascii="Arial" w:hAnsi="Arial" w:cs="Arial"/>
          <w:bCs/>
        </w:rPr>
        <w:t>Source: Data processed by the author</w:t>
      </w:r>
    </w:p>
    <w:p w14:paraId="141461E5" w14:textId="77777777" w:rsidR="00283DED" w:rsidRPr="00283DED" w:rsidRDefault="00283DED" w:rsidP="004932AA">
      <w:pPr>
        <w:pStyle w:val="Body"/>
        <w:spacing w:after="0"/>
        <w:rPr>
          <w:rFonts w:ascii="Arial" w:hAnsi="Arial" w:cs="Arial"/>
          <w:bCs/>
        </w:rPr>
      </w:pPr>
    </w:p>
    <w:p w14:paraId="6CFC4436" w14:textId="77777777" w:rsidR="00283DED" w:rsidRPr="00283DED" w:rsidRDefault="00283DED" w:rsidP="004932AA">
      <w:pPr>
        <w:pStyle w:val="Body"/>
        <w:spacing w:after="0"/>
        <w:rPr>
          <w:rFonts w:ascii="Arial" w:hAnsi="Arial" w:cs="Arial"/>
          <w:bCs/>
        </w:rPr>
      </w:pPr>
      <w:r w:rsidRPr="00283DED">
        <w:rPr>
          <w:rFonts w:ascii="Arial" w:hAnsi="Arial" w:cs="Arial"/>
          <w:b/>
          <w:bCs/>
        </w:rPr>
        <w:t>Table 2</w:t>
      </w:r>
      <w:r w:rsidRPr="00283DED">
        <w:rPr>
          <w:rFonts w:ascii="Arial" w:hAnsi="Arial" w:cs="Arial"/>
          <w:bCs/>
        </w:rPr>
        <w:t xml:space="preserve"> presents a comparison of social participation between individuals with disabilities and those without disabilities. A total of 63.62% of individuals with disabilities are actively engaged in social participation, while the rate is higher for those without disabilities, at 82.25%. Conversely, 36.38% of individuals with disabilities are inactive in social participation, compared to 17.75% of individuals without disabilities. These data indicate that the level of social participation is lower in the disability group compared to the non-disability group.</w:t>
      </w:r>
    </w:p>
    <w:p w14:paraId="24D1CA66" w14:textId="77777777" w:rsidR="00283DED" w:rsidRDefault="00283DED" w:rsidP="004932AA">
      <w:pPr>
        <w:pStyle w:val="Body"/>
        <w:spacing w:after="0"/>
        <w:rPr>
          <w:rFonts w:ascii="Arial" w:hAnsi="Arial" w:cs="Arial"/>
          <w:b/>
        </w:rPr>
      </w:pPr>
    </w:p>
    <w:p w14:paraId="1233E0A6" w14:textId="77777777" w:rsidR="004932AA" w:rsidRDefault="004932AA" w:rsidP="004932AA">
      <w:pPr>
        <w:pStyle w:val="Body"/>
        <w:spacing w:after="0"/>
        <w:rPr>
          <w:rFonts w:ascii="Arial" w:hAnsi="Arial" w:cs="Arial"/>
          <w:b/>
        </w:rPr>
      </w:pPr>
    </w:p>
    <w:p w14:paraId="79E8143F" w14:textId="77777777" w:rsidR="004932AA" w:rsidRDefault="004932AA" w:rsidP="004932AA">
      <w:pPr>
        <w:pStyle w:val="Body"/>
        <w:spacing w:after="0"/>
        <w:rPr>
          <w:rFonts w:ascii="Arial" w:hAnsi="Arial" w:cs="Arial"/>
          <w:b/>
        </w:rPr>
      </w:pPr>
    </w:p>
    <w:p w14:paraId="5D89148D" w14:textId="77777777" w:rsidR="004932AA" w:rsidRDefault="004932AA" w:rsidP="004932AA">
      <w:pPr>
        <w:pStyle w:val="Body"/>
        <w:spacing w:after="0"/>
        <w:rPr>
          <w:rFonts w:ascii="Arial" w:hAnsi="Arial" w:cs="Arial"/>
          <w:b/>
        </w:rPr>
      </w:pPr>
    </w:p>
    <w:p w14:paraId="1F25D6B2" w14:textId="77777777" w:rsidR="004932AA" w:rsidRDefault="004932AA" w:rsidP="004932AA">
      <w:pPr>
        <w:pStyle w:val="Body"/>
        <w:spacing w:after="0"/>
        <w:rPr>
          <w:rFonts w:ascii="Arial" w:hAnsi="Arial" w:cs="Arial"/>
          <w:b/>
        </w:rPr>
      </w:pPr>
    </w:p>
    <w:p w14:paraId="0D45A301" w14:textId="77777777" w:rsidR="004932AA" w:rsidRDefault="004932AA" w:rsidP="004932AA">
      <w:pPr>
        <w:pStyle w:val="Body"/>
        <w:spacing w:after="0"/>
        <w:rPr>
          <w:rFonts w:ascii="Arial" w:hAnsi="Arial" w:cs="Arial"/>
          <w:b/>
        </w:rPr>
      </w:pPr>
    </w:p>
    <w:p w14:paraId="42C175F4" w14:textId="77777777" w:rsidR="004932AA" w:rsidRDefault="004932AA" w:rsidP="004932AA">
      <w:pPr>
        <w:pStyle w:val="Body"/>
        <w:spacing w:after="0"/>
        <w:rPr>
          <w:rFonts w:ascii="Arial" w:hAnsi="Arial" w:cs="Arial"/>
          <w:b/>
        </w:rPr>
      </w:pPr>
    </w:p>
    <w:p w14:paraId="51A1D8C6" w14:textId="77777777" w:rsidR="004932AA" w:rsidRDefault="004932AA" w:rsidP="004932AA">
      <w:pPr>
        <w:pStyle w:val="Body"/>
        <w:spacing w:after="0"/>
        <w:rPr>
          <w:rFonts w:ascii="Arial" w:hAnsi="Arial" w:cs="Arial"/>
          <w:b/>
        </w:rPr>
      </w:pPr>
    </w:p>
    <w:p w14:paraId="1F4E6B6C" w14:textId="77777777" w:rsidR="00283DED" w:rsidRPr="00283DED" w:rsidRDefault="00283DED" w:rsidP="004932AA">
      <w:pPr>
        <w:pStyle w:val="Body"/>
        <w:spacing w:after="0"/>
        <w:rPr>
          <w:rFonts w:ascii="Arial" w:hAnsi="Arial" w:cs="Arial"/>
          <w:b/>
        </w:rPr>
      </w:pPr>
      <w:r w:rsidRPr="00283DED">
        <w:rPr>
          <w:rFonts w:ascii="Arial" w:hAnsi="Arial" w:cs="Arial"/>
          <w:b/>
        </w:rPr>
        <w:t>Table 3. Probit Regression Result</w:t>
      </w:r>
    </w:p>
    <w:tbl>
      <w:tblPr>
        <w:tblW w:w="8208" w:type="dxa"/>
        <w:tblLook w:val="04A0" w:firstRow="1" w:lastRow="0" w:firstColumn="1" w:lastColumn="0" w:noHBand="0" w:noVBand="1"/>
      </w:tblPr>
      <w:tblGrid>
        <w:gridCol w:w="2988"/>
        <w:gridCol w:w="1558"/>
        <w:gridCol w:w="1272"/>
        <w:gridCol w:w="1446"/>
        <w:gridCol w:w="944"/>
      </w:tblGrid>
      <w:tr w:rsidR="00283DED" w:rsidRPr="00283DED" w14:paraId="2DED3722" w14:textId="77777777" w:rsidTr="004932AA">
        <w:trPr>
          <w:trHeight w:val="315"/>
        </w:trPr>
        <w:tc>
          <w:tcPr>
            <w:tcW w:w="2988" w:type="dxa"/>
            <w:vMerge w:val="restart"/>
            <w:tcBorders>
              <w:top w:val="single" w:sz="8" w:space="0" w:color="auto"/>
              <w:left w:val="nil"/>
              <w:bottom w:val="single" w:sz="8" w:space="0" w:color="000000"/>
              <w:right w:val="nil"/>
            </w:tcBorders>
            <w:noWrap/>
            <w:vAlign w:val="center"/>
            <w:hideMark/>
          </w:tcPr>
          <w:p w14:paraId="1E7BC2D6" w14:textId="77777777" w:rsidR="00283DED" w:rsidRPr="00283DED" w:rsidRDefault="00283DED" w:rsidP="004932AA">
            <w:pPr>
              <w:pStyle w:val="Body"/>
              <w:spacing w:after="0"/>
              <w:rPr>
                <w:rFonts w:ascii="Arial" w:hAnsi="Arial" w:cs="Arial"/>
                <w:b/>
                <w:bCs/>
              </w:rPr>
            </w:pPr>
            <w:r w:rsidRPr="00283DED">
              <w:rPr>
                <w:rFonts w:ascii="Arial" w:hAnsi="Arial" w:cs="Arial"/>
                <w:b/>
                <w:bCs/>
              </w:rPr>
              <w:lastRenderedPageBreak/>
              <w:t>Variables</w:t>
            </w:r>
          </w:p>
        </w:tc>
        <w:tc>
          <w:tcPr>
            <w:tcW w:w="5220" w:type="dxa"/>
            <w:gridSpan w:val="4"/>
            <w:tcBorders>
              <w:top w:val="single" w:sz="8" w:space="0" w:color="auto"/>
              <w:left w:val="nil"/>
              <w:bottom w:val="single" w:sz="8" w:space="0" w:color="auto"/>
              <w:right w:val="nil"/>
            </w:tcBorders>
            <w:noWrap/>
            <w:vAlign w:val="center"/>
            <w:hideMark/>
          </w:tcPr>
          <w:p w14:paraId="0CEE52DA" w14:textId="77777777" w:rsidR="00283DED" w:rsidRPr="00283DED" w:rsidRDefault="00283DED" w:rsidP="004932AA">
            <w:pPr>
              <w:pStyle w:val="Body"/>
              <w:spacing w:after="0"/>
              <w:rPr>
                <w:rFonts w:ascii="Arial" w:hAnsi="Arial" w:cs="Arial"/>
                <w:b/>
                <w:bCs/>
              </w:rPr>
            </w:pPr>
            <w:r w:rsidRPr="00283DED">
              <w:rPr>
                <w:rFonts w:ascii="Arial" w:hAnsi="Arial" w:cs="Arial"/>
                <w:b/>
                <w:bCs/>
              </w:rPr>
              <w:t>Respondent Group</w:t>
            </w:r>
          </w:p>
        </w:tc>
      </w:tr>
      <w:tr w:rsidR="00283DED" w:rsidRPr="00283DED" w14:paraId="151223BA" w14:textId="77777777" w:rsidTr="004932AA">
        <w:trPr>
          <w:trHeight w:val="600"/>
        </w:trPr>
        <w:tc>
          <w:tcPr>
            <w:tcW w:w="2988" w:type="dxa"/>
            <w:vMerge/>
            <w:tcBorders>
              <w:top w:val="single" w:sz="8" w:space="0" w:color="auto"/>
              <w:left w:val="nil"/>
              <w:bottom w:val="single" w:sz="8" w:space="0" w:color="000000"/>
              <w:right w:val="nil"/>
            </w:tcBorders>
            <w:vAlign w:val="center"/>
            <w:hideMark/>
          </w:tcPr>
          <w:p w14:paraId="0068E733" w14:textId="77777777" w:rsidR="00283DED" w:rsidRPr="00283DED" w:rsidRDefault="00283DED" w:rsidP="004932AA">
            <w:pPr>
              <w:pStyle w:val="Body"/>
              <w:spacing w:after="0"/>
              <w:rPr>
                <w:rFonts w:ascii="Arial" w:hAnsi="Arial" w:cs="Arial"/>
                <w:b/>
                <w:bCs/>
              </w:rPr>
            </w:pPr>
          </w:p>
        </w:tc>
        <w:tc>
          <w:tcPr>
            <w:tcW w:w="2830" w:type="dxa"/>
            <w:gridSpan w:val="2"/>
            <w:tcBorders>
              <w:top w:val="single" w:sz="8" w:space="0" w:color="auto"/>
              <w:left w:val="nil"/>
              <w:bottom w:val="single" w:sz="8" w:space="0" w:color="auto"/>
              <w:right w:val="nil"/>
            </w:tcBorders>
            <w:vAlign w:val="center"/>
            <w:hideMark/>
          </w:tcPr>
          <w:p w14:paraId="537A4CD1" w14:textId="77777777" w:rsidR="00283DED" w:rsidRPr="00283DED" w:rsidRDefault="00283DED" w:rsidP="004932AA">
            <w:pPr>
              <w:pStyle w:val="Body"/>
              <w:spacing w:after="0"/>
              <w:rPr>
                <w:rFonts w:ascii="Arial" w:hAnsi="Arial" w:cs="Arial"/>
                <w:b/>
                <w:bCs/>
              </w:rPr>
            </w:pPr>
            <w:r w:rsidRPr="00283DED">
              <w:rPr>
                <w:rFonts w:ascii="Arial" w:hAnsi="Arial" w:cs="Arial"/>
                <w:b/>
                <w:bCs/>
              </w:rPr>
              <w:t>Persons with Disabilities</w:t>
            </w:r>
          </w:p>
        </w:tc>
        <w:tc>
          <w:tcPr>
            <w:tcW w:w="2390" w:type="dxa"/>
            <w:gridSpan w:val="2"/>
            <w:tcBorders>
              <w:top w:val="single" w:sz="8" w:space="0" w:color="auto"/>
              <w:left w:val="nil"/>
              <w:bottom w:val="single" w:sz="8" w:space="0" w:color="auto"/>
              <w:right w:val="nil"/>
            </w:tcBorders>
            <w:vAlign w:val="center"/>
            <w:hideMark/>
          </w:tcPr>
          <w:p w14:paraId="15E1DE19" w14:textId="77777777" w:rsidR="00283DED" w:rsidRPr="00283DED" w:rsidRDefault="00283DED" w:rsidP="004932AA">
            <w:pPr>
              <w:pStyle w:val="Body"/>
              <w:spacing w:after="0"/>
              <w:rPr>
                <w:rFonts w:ascii="Arial" w:hAnsi="Arial" w:cs="Arial"/>
                <w:b/>
                <w:bCs/>
              </w:rPr>
            </w:pPr>
            <w:r w:rsidRPr="00283DED">
              <w:rPr>
                <w:rFonts w:ascii="Arial" w:hAnsi="Arial" w:cs="Arial"/>
                <w:b/>
                <w:bCs/>
              </w:rPr>
              <w:t>Non-Disabled</w:t>
            </w:r>
          </w:p>
        </w:tc>
      </w:tr>
      <w:tr w:rsidR="00283DED" w:rsidRPr="00283DED" w14:paraId="4E8315A1" w14:textId="77777777" w:rsidTr="004932AA">
        <w:trPr>
          <w:trHeight w:val="315"/>
        </w:trPr>
        <w:tc>
          <w:tcPr>
            <w:tcW w:w="2988" w:type="dxa"/>
            <w:vMerge/>
            <w:tcBorders>
              <w:top w:val="single" w:sz="8" w:space="0" w:color="auto"/>
              <w:left w:val="nil"/>
              <w:bottom w:val="single" w:sz="8" w:space="0" w:color="000000"/>
              <w:right w:val="nil"/>
            </w:tcBorders>
            <w:vAlign w:val="center"/>
            <w:hideMark/>
          </w:tcPr>
          <w:p w14:paraId="73F14459" w14:textId="77777777" w:rsidR="00283DED" w:rsidRPr="00283DED" w:rsidRDefault="00283DED" w:rsidP="004932AA">
            <w:pPr>
              <w:pStyle w:val="Body"/>
              <w:spacing w:after="0"/>
              <w:rPr>
                <w:rFonts w:ascii="Arial" w:hAnsi="Arial" w:cs="Arial"/>
                <w:b/>
                <w:bCs/>
              </w:rPr>
            </w:pPr>
          </w:p>
        </w:tc>
        <w:tc>
          <w:tcPr>
            <w:tcW w:w="1558" w:type="dxa"/>
            <w:tcBorders>
              <w:top w:val="nil"/>
              <w:left w:val="nil"/>
              <w:bottom w:val="single" w:sz="8" w:space="0" w:color="auto"/>
              <w:right w:val="nil"/>
            </w:tcBorders>
            <w:noWrap/>
            <w:vAlign w:val="center"/>
            <w:hideMark/>
          </w:tcPr>
          <w:p w14:paraId="09D809DD" w14:textId="77777777" w:rsidR="00283DED" w:rsidRPr="00283DED" w:rsidRDefault="00283DED" w:rsidP="004932AA">
            <w:pPr>
              <w:pStyle w:val="Body"/>
              <w:spacing w:after="0"/>
              <w:rPr>
                <w:rFonts w:ascii="Arial" w:hAnsi="Arial" w:cs="Arial"/>
                <w:b/>
                <w:bCs/>
              </w:rPr>
            </w:pPr>
            <w:r w:rsidRPr="00283DED">
              <w:rPr>
                <w:rFonts w:ascii="Arial" w:hAnsi="Arial" w:cs="Arial"/>
                <w:b/>
                <w:bCs/>
              </w:rPr>
              <w:t>Coeff.</w:t>
            </w:r>
          </w:p>
        </w:tc>
        <w:tc>
          <w:tcPr>
            <w:tcW w:w="1272" w:type="dxa"/>
            <w:tcBorders>
              <w:top w:val="nil"/>
              <w:left w:val="nil"/>
              <w:bottom w:val="single" w:sz="8" w:space="0" w:color="auto"/>
              <w:right w:val="nil"/>
            </w:tcBorders>
            <w:noWrap/>
            <w:vAlign w:val="center"/>
            <w:hideMark/>
          </w:tcPr>
          <w:p w14:paraId="3FFF1CC1" w14:textId="77777777" w:rsidR="00283DED" w:rsidRPr="00283DED" w:rsidRDefault="00283DED" w:rsidP="004932AA">
            <w:pPr>
              <w:pStyle w:val="Body"/>
              <w:spacing w:after="0"/>
              <w:rPr>
                <w:rFonts w:ascii="Arial" w:hAnsi="Arial" w:cs="Arial"/>
                <w:b/>
                <w:bCs/>
              </w:rPr>
            </w:pPr>
            <w:r w:rsidRPr="00283DED">
              <w:rPr>
                <w:rFonts w:ascii="Arial" w:hAnsi="Arial" w:cs="Arial"/>
                <w:b/>
                <w:bCs/>
              </w:rPr>
              <w:t>P&gt;z</w:t>
            </w:r>
          </w:p>
        </w:tc>
        <w:tc>
          <w:tcPr>
            <w:tcW w:w="1446" w:type="dxa"/>
            <w:tcBorders>
              <w:top w:val="nil"/>
              <w:left w:val="nil"/>
              <w:bottom w:val="single" w:sz="8" w:space="0" w:color="auto"/>
              <w:right w:val="nil"/>
            </w:tcBorders>
            <w:noWrap/>
            <w:vAlign w:val="center"/>
            <w:hideMark/>
          </w:tcPr>
          <w:p w14:paraId="38FEFE2B" w14:textId="77777777" w:rsidR="00283DED" w:rsidRPr="00283DED" w:rsidRDefault="00283DED" w:rsidP="004932AA">
            <w:pPr>
              <w:pStyle w:val="Body"/>
              <w:spacing w:after="0"/>
              <w:rPr>
                <w:rFonts w:ascii="Arial" w:hAnsi="Arial" w:cs="Arial"/>
                <w:b/>
                <w:bCs/>
              </w:rPr>
            </w:pPr>
            <w:r w:rsidRPr="00283DED">
              <w:rPr>
                <w:rFonts w:ascii="Arial" w:hAnsi="Arial" w:cs="Arial"/>
                <w:b/>
                <w:bCs/>
              </w:rPr>
              <w:t>Coeff.</w:t>
            </w:r>
          </w:p>
        </w:tc>
        <w:tc>
          <w:tcPr>
            <w:tcW w:w="944" w:type="dxa"/>
            <w:tcBorders>
              <w:top w:val="nil"/>
              <w:left w:val="nil"/>
              <w:bottom w:val="single" w:sz="8" w:space="0" w:color="auto"/>
              <w:right w:val="nil"/>
            </w:tcBorders>
            <w:noWrap/>
            <w:vAlign w:val="center"/>
            <w:hideMark/>
          </w:tcPr>
          <w:p w14:paraId="29697A3C" w14:textId="77777777" w:rsidR="00283DED" w:rsidRPr="00283DED" w:rsidRDefault="00283DED" w:rsidP="004932AA">
            <w:pPr>
              <w:pStyle w:val="Body"/>
              <w:spacing w:after="0"/>
              <w:rPr>
                <w:rFonts w:ascii="Arial" w:hAnsi="Arial" w:cs="Arial"/>
                <w:b/>
                <w:bCs/>
              </w:rPr>
            </w:pPr>
            <w:r w:rsidRPr="00283DED">
              <w:rPr>
                <w:rFonts w:ascii="Arial" w:hAnsi="Arial" w:cs="Arial"/>
                <w:b/>
                <w:bCs/>
              </w:rPr>
              <w:t>P&gt;z</w:t>
            </w:r>
          </w:p>
        </w:tc>
      </w:tr>
      <w:tr w:rsidR="00283DED" w:rsidRPr="00283DED" w14:paraId="0F811FED" w14:textId="77777777" w:rsidTr="004932AA">
        <w:trPr>
          <w:trHeight w:val="300"/>
        </w:trPr>
        <w:tc>
          <w:tcPr>
            <w:tcW w:w="2988" w:type="dxa"/>
            <w:tcBorders>
              <w:top w:val="nil"/>
              <w:left w:val="nil"/>
              <w:bottom w:val="nil"/>
              <w:right w:val="nil"/>
            </w:tcBorders>
            <w:noWrap/>
            <w:vAlign w:val="center"/>
            <w:hideMark/>
          </w:tcPr>
          <w:p w14:paraId="15E1A66B" w14:textId="77777777" w:rsidR="00283DED" w:rsidRPr="00283DED" w:rsidRDefault="00283DED" w:rsidP="004932AA">
            <w:pPr>
              <w:pStyle w:val="Body"/>
              <w:spacing w:after="0"/>
              <w:rPr>
                <w:rFonts w:ascii="Arial" w:hAnsi="Arial" w:cs="Arial"/>
              </w:rPr>
            </w:pPr>
            <w:r w:rsidRPr="00283DED">
              <w:rPr>
                <w:rFonts w:ascii="Arial" w:hAnsi="Arial" w:cs="Arial"/>
              </w:rPr>
              <w:t>Education</w:t>
            </w:r>
          </w:p>
        </w:tc>
        <w:tc>
          <w:tcPr>
            <w:tcW w:w="1558" w:type="dxa"/>
            <w:tcBorders>
              <w:top w:val="nil"/>
              <w:left w:val="nil"/>
              <w:bottom w:val="nil"/>
              <w:right w:val="nil"/>
            </w:tcBorders>
            <w:noWrap/>
            <w:vAlign w:val="bottom"/>
            <w:hideMark/>
          </w:tcPr>
          <w:p w14:paraId="0CBA240D" w14:textId="77777777" w:rsidR="00283DED" w:rsidRPr="00283DED" w:rsidRDefault="00283DED" w:rsidP="004932AA">
            <w:pPr>
              <w:pStyle w:val="Body"/>
              <w:spacing w:after="0"/>
              <w:rPr>
                <w:rFonts w:ascii="Arial" w:hAnsi="Arial" w:cs="Arial"/>
              </w:rPr>
            </w:pPr>
            <w:r w:rsidRPr="00283DED">
              <w:rPr>
                <w:rFonts w:ascii="Arial" w:hAnsi="Arial" w:cs="Arial"/>
              </w:rPr>
              <w:t>0.2608155</w:t>
            </w:r>
          </w:p>
        </w:tc>
        <w:tc>
          <w:tcPr>
            <w:tcW w:w="1272" w:type="dxa"/>
            <w:tcBorders>
              <w:top w:val="nil"/>
              <w:left w:val="nil"/>
              <w:bottom w:val="nil"/>
              <w:right w:val="nil"/>
            </w:tcBorders>
            <w:noWrap/>
            <w:vAlign w:val="bottom"/>
            <w:hideMark/>
          </w:tcPr>
          <w:p w14:paraId="5C05BDA5" w14:textId="77777777" w:rsidR="00283DED" w:rsidRPr="00283DED" w:rsidRDefault="00283DED" w:rsidP="004932AA">
            <w:pPr>
              <w:pStyle w:val="Body"/>
              <w:spacing w:after="0"/>
              <w:rPr>
                <w:rFonts w:ascii="Arial" w:hAnsi="Arial" w:cs="Arial"/>
              </w:rPr>
            </w:pPr>
            <w:r w:rsidRPr="00283DED">
              <w:rPr>
                <w:rFonts w:ascii="Arial" w:hAnsi="Arial" w:cs="Arial"/>
              </w:rPr>
              <w:t>0.028</w:t>
            </w:r>
          </w:p>
        </w:tc>
        <w:tc>
          <w:tcPr>
            <w:tcW w:w="1446" w:type="dxa"/>
            <w:tcBorders>
              <w:top w:val="nil"/>
              <w:left w:val="nil"/>
              <w:bottom w:val="nil"/>
              <w:right w:val="nil"/>
            </w:tcBorders>
            <w:noWrap/>
            <w:vAlign w:val="bottom"/>
            <w:hideMark/>
          </w:tcPr>
          <w:p w14:paraId="63494240" w14:textId="77777777" w:rsidR="00283DED" w:rsidRPr="00283DED" w:rsidRDefault="00283DED" w:rsidP="004932AA">
            <w:pPr>
              <w:pStyle w:val="Body"/>
              <w:spacing w:after="0"/>
              <w:rPr>
                <w:rFonts w:ascii="Arial" w:hAnsi="Arial" w:cs="Arial"/>
              </w:rPr>
            </w:pPr>
            <w:r w:rsidRPr="00283DED">
              <w:rPr>
                <w:rFonts w:ascii="Arial" w:hAnsi="Arial" w:cs="Arial"/>
              </w:rPr>
              <w:t>0.3080974</w:t>
            </w:r>
          </w:p>
        </w:tc>
        <w:tc>
          <w:tcPr>
            <w:tcW w:w="944" w:type="dxa"/>
            <w:tcBorders>
              <w:top w:val="nil"/>
              <w:left w:val="nil"/>
              <w:bottom w:val="nil"/>
              <w:right w:val="nil"/>
            </w:tcBorders>
            <w:noWrap/>
            <w:vAlign w:val="bottom"/>
            <w:hideMark/>
          </w:tcPr>
          <w:p w14:paraId="0C7F6CE4" w14:textId="77777777" w:rsidR="00283DED" w:rsidRPr="00283DED" w:rsidRDefault="00283DED" w:rsidP="004932AA">
            <w:pPr>
              <w:pStyle w:val="Body"/>
              <w:spacing w:after="0"/>
              <w:rPr>
                <w:rFonts w:ascii="Arial" w:hAnsi="Arial" w:cs="Arial"/>
              </w:rPr>
            </w:pPr>
            <w:r w:rsidRPr="00283DED">
              <w:rPr>
                <w:rFonts w:ascii="Arial" w:hAnsi="Arial" w:cs="Arial"/>
              </w:rPr>
              <w:t>0.000</w:t>
            </w:r>
          </w:p>
        </w:tc>
      </w:tr>
      <w:tr w:rsidR="00283DED" w:rsidRPr="00283DED" w14:paraId="76684585" w14:textId="77777777" w:rsidTr="004932AA">
        <w:trPr>
          <w:trHeight w:val="300"/>
        </w:trPr>
        <w:tc>
          <w:tcPr>
            <w:tcW w:w="2988" w:type="dxa"/>
            <w:tcBorders>
              <w:top w:val="nil"/>
              <w:left w:val="nil"/>
              <w:bottom w:val="nil"/>
              <w:right w:val="nil"/>
            </w:tcBorders>
            <w:noWrap/>
            <w:vAlign w:val="center"/>
            <w:hideMark/>
          </w:tcPr>
          <w:p w14:paraId="67B28A4E" w14:textId="77777777" w:rsidR="00283DED" w:rsidRPr="00283DED" w:rsidRDefault="00283DED" w:rsidP="004932AA">
            <w:pPr>
              <w:pStyle w:val="Body"/>
              <w:spacing w:after="0"/>
              <w:rPr>
                <w:rFonts w:ascii="Arial" w:hAnsi="Arial" w:cs="Arial"/>
              </w:rPr>
            </w:pPr>
            <w:r w:rsidRPr="00283DED">
              <w:rPr>
                <w:rFonts w:ascii="Arial" w:hAnsi="Arial" w:cs="Arial"/>
              </w:rPr>
              <w:t>Training</w:t>
            </w:r>
          </w:p>
        </w:tc>
        <w:tc>
          <w:tcPr>
            <w:tcW w:w="1558" w:type="dxa"/>
            <w:tcBorders>
              <w:top w:val="nil"/>
              <w:left w:val="nil"/>
              <w:bottom w:val="nil"/>
              <w:right w:val="nil"/>
            </w:tcBorders>
            <w:noWrap/>
            <w:vAlign w:val="bottom"/>
            <w:hideMark/>
          </w:tcPr>
          <w:p w14:paraId="4770CFEA" w14:textId="77777777" w:rsidR="00283DED" w:rsidRPr="00283DED" w:rsidRDefault="00283DED" w:rsidP="004932AA">
            <w:pPr>
              <w:pStyle w:val="Body"/>
              <w:spacing w:after="0"/>
              <w:rPr>
                <w:rFonts w:ascii="Arial" w:hAnsi="Arial" w:cs="Arial"/>
              </w:rPr>
            </w:pPr>
            <w:r w:rsidRPr="00283DED">
              <w:rPr>
                <w:rFonts w:ascii="Arial" w:hAnsi="Arial" w:cs="Arial"/>
              </w:rPr>
              <w:t>0.0811494</w:t>
            </w:r>
          </w:p>
        </w:tc>
        <w:tc>
          <w:tcPr>
            <w:tcW w:w="1272" w:type="dxa"/>
            <w:tcBorders>
              <w:top w:val="nil"/>
              <w:left w:val="nil"/>
              <w:bottom w:val="nil"/>
              <w:right w:val="nil"/>
            </w:tcBorders>
            <w:noWrap/>
            <w:vAlign w:val="bottom"/>
            <w:hideMark/>
          </w:tcPr>
          <w:p w14:paraId="4DE52E55" w14:textId="77777777" w:rsidR="00283DED" w:rsidRPr="00283DED" w:rsidRDefault="00283DED" w:rsidP="004932AA">
            <w:pPr>
              <w:pStyle w:val="Body"/>
              <w:spacing w:after="0"/>
              <w:rPr>
                <w:rFonts w:ascii="Arial" w:hAnsi="Arial" w:cs="Arial"/>
              </w:rPr>
            </w:pPr>
            <w:r w:rsidRPr="00283DED">
              <w:rPr>
                <w:rFonts w:ascii="Arial" w:hAnsi="Arial" w:cs="Arial"/>
              </w:rPr>
              <w:t>0.650</w:t>
            </w:r>
          </w:p>
        </w:tc>
        <w:tc>
          <w:tcPr>
            <w:tcW w:w="1446" w:type="dxa"/>
            <w:tcBorders>
              <w:top w:val="nil"/>
              <w:left w:val="nil"/>
              <w:bottom w:val="nil"/>
              <w:right w:val="nil"/>
            </w:tcBorders>
            <w:noWrap/>
            <w:vAlign w:val="bottom"/>
            <w:hideMark/>
          </w:tcPr>
          <w:p w14:paraId="6C2F430D" w14:textId="77777777" w:rsidR="00283DED" w:rsidRPr="00283DED" w:rsidRDefault="00283DED" w:rsidP="004932AA">
            <w:pPr>
              <w:pStyle w:val="Body"/>
              <w:spacing w:after="0"/>
              <w:rPr>
                <w:rFonts w:ascii="Arial" w:hAnsi="Arial" w:cs="Arial"/>
              </w:rPr>
            </w:pPr>
            <w:r w:rsidRPr="00283DED">
              <w:rPr>
                <w:rFonts w:ascii="Arial" w:hAnsi="Arial" w:cs="Arial"/>
              </w:rPr>
              <w:t>0.2295138</w:t>
            </w:r>
          </w:p>
        </w:tc>
        <w:tc>
          <w:tcPr>
            <w:tcW w:w="944" w:type="dxa"/>
            <w:tcBorders>
              <w:top w:val="nil"/>
              <w:left w:val="nil"/>
              <w:bottom w:val="nil"/>
              <w:right w:val="nil"/>
            </w:tcBorders>
            <w:noWrap/>
            <w:vAlign w:val="bottom"/>
            <w:hideMark/>
          </w:tcPr>
          <w:p w14:paraId="6C2C3132" w14:textId="77777777" w:rsidR="00283DED" w:rsidRPr="00283DED" w:rsidRDefault="00283DED" w:rsidP="004932AA">
            <w:pPr>
              <w:pStyle w:val="Body"/>
              <w:spacing w:after="0"/>
              <w:rPr>
                <w:rFonts w:ascii="Arial" w:hAnsi="Arial" w:cs="Arial"/>
              </w:rPr>
            </w:pPr>
            <w:r w:rsidRPr="00283DED">
              <w:rPr>
                <w:rFonts w:ascii="Arial" w:hAnsi="Arial" w:cs="Arial"/>
              </w:rPr>
              <w:t>0.000</w:t>
            </w:r>
          </w:p>
        </w:tc>
      </w:tr>
      <w:tr w:rsidR="00283DED" w:rsidRPr="00283DED" w14:paraId="57C952A7" w14:textId="77777777" w:rsidTr="004932AA">
        <w:trPr>
          <w:trHeight w:val="300"/>
        </w:trPr>
        <w:tc>
          <w:tcPr>
            <w:tcW w:w="2988" w:type="dxa"/>
            <w:tcBorders>
              <w:top w:val="nil"/>
              <w:left w:val="nil"/>
              <w:bottom w:val="nil"/>
              <w:right w:val="nil"/>
            </w:tcBorders>
            <w:noWrap/>
            <w:vAlign w:val="center"/>
            <w:hideMark/>
          </w:tcPr>
          <w:p w14:paraId="193FF0FC" w14:textId="77777777" w:rsidR="00283DED" w:rsidRPr="00283DED" w:rsidRDefault="00283DED" w:rsidP="004932AA">
            <w:pPr>
              <w:pStyle w:val="Body"/>
              <w:spacing w:after="0"/>
              <w:rPr>
                <w:rFonts w:ascii="Arial" w:hAnsi="Arial" w:cs="Arial"/>
              </w:rPr>
            </w:pPr>
            <w:r w:rsidRPr="00283DED">
              <w:rPr>
                <w:rFonts w:ascii="Arial" w:hAnsi="Arial" w:cs="Arial"/>
              </w:rPr>
              <w:t>Edu*Dig</w:t>
            </w:r>
          </w:p>
        </w:tc>
        <w:tc>
          <w:tcPr>
            <w:tcW w:w="1558" w:type="dxa"/>
            <w:tcBorders>
              <w:top w:val="nil"/>
              <w:left w:val="nil"/>
              <w:bottom w:val="nil"/>
              <w:right w:val="nil"/>
            </w:tcBorders>
            <w:noWrap/>
            <w:vAlign w:val="bottom"/>
            <w:hideMark/>
          </w:tcPr>
          <w:p w14:paraId="450CBC27" w14:textId="77777777" w:rsidR="00283DED" w:rsidRPr="00283DED" w:rsidRDefault="00283DED" w:rsidP="004932AA">
            <w:pPr>
              <w:pStyle w:val="Body"/>
              <w:spacing w:after="0"/>
              <w:rPr>
                <w:rFonts w:ascii="Arial" w:hAnsi="Arial" w:cs="Arial"/>
              </w:rPr>
            </w:pPr>
            <w:r w:rsidRPr="00283DED">
              <w:rPr>
                <w:rFonts w:ascii="Arial" w:hAnsi="Arial" w:cs="Arial"/>
              </w:rPr>
              <w:t>1.137601</w:t>
            </w:r>
          </w:p>
        </w:tc>
        <w:tc>
          <w:tcPr>
            <w:tcW w:w="1272" w:type="dxa"/>
            <w:tcBorders>
              <w:top w:val="nil"/>
              <w:left w:val="nil"/>
              <w:bottom w:val="nil"/>
              <w:right w:val="nil"/>
            </w:tcBorders>
            <w:noWrap/>
            <w:vAlign w:val="bottom"/>
            <w:hideMark/>
          </w:tcPr>
          <w:p w14:paraId="149AFE62" w14:textId="77777777" w:rsidR="00283DED" w:rsidRPr="00283DED" w:rsidRDefault="00283DED" w:rsidP="004932AA">
            <w:pPr>
              <w:pStyle w:val="Body"/>
              <w:spacing w:after="0"/>
              <w:rPr>
                <w:rFonts w:ascii="Arial" w:hAnsi="Arial" w:cs="Arial"/>
              </w:rPr>
            </w:pPr>
            <w:r w:rsidRPr="00283DED">
              <w:rPr>
                <w:rFonts w:ascii="Arial" w:hAnsi="Arial" w:cs="Arial"/>
              </w:rPr>
              <w:t>0.000</w:t>
            </w:r>
          </w:p>
        </w:tc>
        <w:tc>
          <w:tcPr>
            <w:tcW w:w="1446" w:type="dxa"/>
            <w:tcBorders>
              <w:top w:val="nil"/>
              <w:left w:val="nil"/>
              <w:bottom w:val="nil"/>
              <w:right w:val="nil"/>
            </w:tcBorders>
            <w:noWrap/>
            <w:vAlign w:val="bottom"/>
            <w:hideMark/>
          </w:tcPr>
          <w:p w14:paraId="191DC3C1" w14:textId="77777777" w:rsidR="00283DED" w:rsidRPr="00283DED" w:rsidRDefault="00283DED" w:rsidP="004932AA">
            <w:pPr>
              <w:pStyle w:val="Body"/>
              <w:spacing w:after="0"/>
              <w:rPr>
                <w:rFonts w:ascii="Arial" w:hAnsi="Arial" w:cs="Arial"/>
              </w:rPr>
            </w:pPr>
            <w:r w:rsidRPr="00283DED">
              <w:rPr>
                <w:rFonts w:ascii="Arial" w:hAnsi="Arial" w:cs="Arial"/>
              </w:rPr>
              <w:t>1.232651</w:t>
            </w:r>
          </w:p>
        </w:tc>
        <w:tc>
          <w:tcPr>
            <w:tcW w:w="944" w:type="dxa"/>
            <w:tcBorders>
              <w:top w:val="nil"/>
              <w:left w:val="nil"/>
              <w:bottom w:val="nil"/>
              <w:right w:val="nil"/>
            </w:tcBorders>
            <w:noWrap/>
            <w:vAlign w:val="bottom"/>
            <w:hideMark/>
          </w:tcPr>
          <w:p w14:paraId="25EB87E6" w14:textId="77777777" w:rsidR="00283DED" w:rsidRPr="00283DED" w:rsidRDefault="00283DED" w:rsidP="004932AA">
            <w:pPr>
              <w:pStyle w:val="Body"/>
              <w:spacing w:after="0"/>
              <w:rPr>
                <w:rFonts w:ascii="Arial" w:hAnsi="Arial" w:cs="Arial"/>
              </w:rPr>
            </w:pPr>
            <w:r w:rsidRPr="00283DED">
              <w:rPr>
                <w:rFonts w:ascii="Arial" w:hAnsi="Arial" w:cs="Arial"/>
              </w:rPr>
              <w:t>0.000</w:t>
            </w:r>
          </w:p>
        </w:tc>
      </w:tr>
      <w:tr w:rsidR="00283DED" w:rsidRPr="00283DED" w14:paraId="557E8A07" w14:textId="77777777" w:rsidTr="004932AA">
        <w:trPr>
          <w:trHeight w:val="300"/>
        </w:trPr>
        <w:tc>
          <w:tcPr>
            <w:tcW w:w="2988" w:type="dxa"/>
            <w:tcBorders>
              <w:top w:val="nil"/>
              <w:left w:val="nil"/>
              <w:bottom w:val="nil"/>
              <w:right w:val="nil"/>
            </w:tcBorders>
            <w:noWrap/>
            <w:vAlign w:val="center"/>
            <w:hideMark/>
          </w:tcPr>
          <w:p w14:paraId="6174B12D" w14:textId="77777777" w:rsidR="00283DED" w:rsidRPr="00283DED" w:rsidRDefault="00283DED" w:rsidP="004932AA">
            <w:pPr>
              <w:pStyle w:val="Body"/>
              <w:spacing w:after="0"/>
              <w:rPr>
                <w:rFonts w:ascii="Arial" w:hAnsi="Arial" w:cs="Arial"/>
              </w:rPr>
            </w:pPr>
            <w:r w:rsidRPr="00283DED">
              <w:rPr>
                <w:rFonts w:ascii="Arial" w:hAnsi="Arial" w:cs="Arial"/>
              </w:rPr>
              <w:t>Constant</w:t>
            </w:r>
          </w:p>
        </w:tc>
        <w:tc>
          <w:tcPr>
            <w:tcW w:w="1558" w:type="dxa"/>
            <w:tcBorders>
              <w:top w:val="nil"/>
              <w:left w:val="nil"/>
              <w:bottom w:val="nil"/>
              <w:right w:val="nil"/>
            </w:tcBorders>
            <w:noWrap/>
            <w:vAlign w:val="bottom"/>
            <w:hideMark/>
          </w:tcPr>
          <w:p w14:paraId="54BDE363" w14:textId="77777777" w:rsidR="00283DED" w:rsidRPr="00283DED" w:rsidRDefault="00283DED" w:rsidP="004932AA">
            <w:pPr>
              <w:pStyle w:val="Body"/>
              <w:spacing w:after="0"/>
              <w:rPr>
                <w:rFonts w:ascii="Arial" w:hAnsi="Arial" w:cs="Arial"/>
              </w:rPr>
            </w:pPr>
            <w:r w:rsidRPr="00283DED">
              <w:rPr>
                <w:rFonts w:ascii="Arial" w:hAnsi="Arial" w:cs="Arial"/>
              </w:rPr>
              <w:t>-0.0184928</w:t>
            </w:r>
          </w:p>
        </w:tc>
        <w:tc>
          <w:tcPr>
            <w:tcW w:w="1272" w:type="dxa"/>
            <w:tcBorders>
              <w:top w:val="nil"/>
              <w:left w:val="nil"/>
              <w:bottom w:val="nil"/>
              <w:right w:val="nil"/>
            </w:tcBorders>
            <w:noWrap/>
            <w:vAlign w:val="bottom"/>
            <w:hideMark/>
          </w:tcPr>
          <w:p w14:paraId="13C93737" w14:textId="77777777" w:rsidR="00283DED" w:rsidRPr="00283DED" w:rsidRDefault="00283DED" w:rsidP="004932AA">
            <w:pPr>
              <w:pStyle w:val="Body"/>
              <w:spacing w:after="0"/>
              <w:rPr>
                <w:rFonts w:ascii="Arial" w:hAnsi="Arial" w:cs="Arial"/>
              </w:rPr>
            </w:pPr>
            <w:r w:rsidRPr="00283DED">
              <w:rPr>
                <w:rFonts w:ascii="Arial" w:hAnsi="Arial" w:cs="Arial"/>
              </w:rPr>
              <w:t>0.860</w:t>
            </w:r>
          </w:p>
        </w:tc>
        <w:tc>
          <w:tcPr>
            <w:tcW w:w="1446" w:type="dxa"/>
            <w:tcBorders>
              <w:top w:val="nil"/>
              <w:left w:val="nil"/>
              <w:bottom w:val="nil"/>
              <w:right w:val="nil"/>
            </w:tcBorders>
            <w:noWrap/>
            <w:vAlign w:val="bottom"/>
            <w:hideMark/>
          </w:tcPr>
          <w:p w14:paraId="29580230" w14:textId="77777777" w:rsidR="00283DED" w:rsidRPr="00283DED" w:rsidRDefault="00283DED" w:rsidP="004932AA">
            <w:pPr>
              <w:pStyle w:val="Body"/>
              <w:spacing w:after="0"/>
              <w:rPr>
                <w:rFonts w:ascii="Arial" w:hAnsi="Arial" w:cs="Arial"/>
              </w:rPr>
            </w:pPr>
            <w:r w:rsidRPr="00283DED">
              <w:rPr>
                <w:rFonts w:ascii="Arial" w:hAnsi="Arial" w:cs="Arial"/>
              </w:rPr>
              <w:t>0.2713302</w:t>
            </w:r>
          </w:p>
        </w:tc>
        <w:tc>
          <w:tcPr>
            <w:tcW w:w="944" w:type="dxa"/>
            <w:tcBorders>
              <w:top w:val="nil"/>
              <w:left w:val="nil"/>
              <w:bottom w:val="nil"/>
              <w:right w:val="nil"/>
            </w:tcBorders>
            <w:noWrap/>
            <w:vAlign w:val="bottom"/>
            <w:hideMark/>
          </w:tcPr>
          <w:p w14:paraId="3058B0AC" w14:textId="77777777" w:rsidR="00283DED" w:rsidRPr="00283DED" w:rsidRDefault="00283DED" w:rsidP="004932AA">
            <w:pPr>
              <w:pStyle w:val="Body"/>
              <w:spacing w:after="0"/>
              <w:rPr>
                <w:rFonts w:ascii="Arial" w:hAnsi="Arial" w:cs="Arial"/>
              </w:rPr>
            </w:pPr>
            <w:r w:rsidRPr="00283DED">
              <w:rPr>
                <w:rFonts w:ascii="Arial" w:hAnsi="Arial" w:cs="Arial"/>
              </w:rPr>
              <w:t>0.000</w:t>
            </w:r>
          </w:p>
        </w:tc>
      </w:tr>
      <w:tr w:rsidR="00283DED" w:rsidRPr="00283DED" w14:paraId="1A0ED395" w14:textId="77777777" w:rsidTr="004932AA">
        <w:trPr>
          <w:trHeight w:val="300"/>
        </w:trPr>
        <w:tc>
          <w:tcPr>
            <w:tcW w:w="2988" w:type="dxa"/>
            <w:tcBorders>
              <w:top w:val="nil"/>
              <w:left w:val="nil"/>
              <w:bottom w:val="nil"/>
              <w:right w:val="nil"/>
            </w:tcBorders>
            <w:noWrap/>
            <w:vAlign w:val="center"/>
            <w:hideMark/>
          </w:tcPr>
          <w:p w14:paraId="72821CAF" w14:textId="77777777" w:rsidR="00283DED" w:rsidRPr="00283DED" w:rsidRDefault="00283DED" w:rsidP="004932AA">
            <w:pPr>
              <w:pStyle w:val="Body"/>
              <w:spacing w:after="0"/>
              <w:rPr>
                <w:rFonts w:ascii="Arial" w:hAnsi="Arial" w:cs="Arial"/>
              </w:rPr>
            </w:pPr>
            <w:r w:rsidRPr="00283DED">
              <w:rPr>
                <w:rFonts w:ascii="Arial" w:hAnsi="Arial" w:cs="Arial"/>
              </w:rPr>
              <w:t xml:space="preserve">Number of </w:t>
            </w:r>
            <w:proofErr w:type="spellStart"/>
            <w:r w:rsidRPr="00283DED">
              <w:rPr>
                <w:rFonts w:ascii="Arial" w:hAnsi="Arial" w:cs="Arial"/>
              </w:rPr>
              <w:t>obs</w:t>
            </w:r>
            <w:proofErr w:type="spellEnd"/>
          </w:p>
        </w:tc>
        <w:tc>
          <w:tcPr>
            <w:tcW w:w="1558" w:type="dxa"/>
            <w:tcBorders>
              <w:top w:val="nil"/>
              <w:left w:val="nil"/>
              <w:bottom w:val="nil"/>
              <w:right w:val="nil"/>
            </w:tcBorders>
            <w:noWrap/>
            <w:vAlign w:val="bottom"/>
            <w:hideMark/>
          </w:tcPr>
          <w:p w14:paraId="0493663B" w14:textId="77777777" w:rsidR="00283DED" w:rsidRPr="00283DED" w:rsidRDefault="00283DED" w:rsidP="004932AA">
            <w:pPr>
              <w:pStyle w:val="Body"/>
              <w:spacing w:after="0"/>
              <w:rPr>
                <w:rFonts w:ascii="Arial" w:hAnsi="Arial" w:cs="Arial"/>
              </w:rPr>
            </w:pPr>
            <w:r w:rsidRPr="00283DED">
              <w:rPr>
                <w:rFonts w:ascii="Arial" w:hAnsi="Arial" w:cs="Arial"/>
              </w:rPr>
              <w:t>789</w:t>
            </w:r>
          </w:p>
        </w:tc>
        <w:tc>
          <w:tcPr>
            <w:tcW w:w="1272" w:type="dxa"/>
            <w:tcBorders>
              <w:top w:val="nil"/>
              <w:left w:val="nil"/>
              <w:bottom w:val="nil"/>
              <w:right w:val="nil"/>
            </w:tcBorders>
            <w:noWrap/>
            <w:vAlign w:val="center"/>
            <w:hideMark/>
          </w:tcPr>
          <w:p w14:paraId="25C59444" w14:textId="77777777" w:rsidR="00283DED" w:rsidRPr="00283DED" w:rsidRDefault="00283DED" w:rsidP="004932AA">
            <w:pPr>
              <w:pStyle w:val="Body"/>
              <w:spacing w:after="0"/>
              <w:rPr>
                <w:rFonts w:ascii="Arial" w:hAnsi="Arial" w:cs="Arial"/>
              </w:rPr>
            </w:pPr>
          </w:p>
        </w:tc>
        <w:tc>
          <w:tcPr>
            <w:tcW w:w="1446" w:type="dxa"/>
            <w:tcBorders>
              <w:top w:val="nil"/>
              <w:left w:val="nil"/>
              <w:bottom w:val="nil"/>
              <w:right w:val="nil"/>
            </w:tcBorders>
            <w:noWrap/>
            <w:vAlign w:val="bottom"/>
            <w:hideMark/>
          </w:tcPr>
          <w:p w14:paraId="27D5BC56" w14:textId="77777777" w:rsidR="00283DED" w:rsidRPr="00283DED" w:rsidRDefault="00283DED" w:rsidP="004932AA">
            <w:pPr>
              <w:pStyle w:val="Body"/>
              <w:spacing w:after="0"/>
              <w:rPr>
                <w:rFonts w:ascii="Arial" w:hAnsi="Arial" w:cs="Arial"/>
              </w:rPr>
            </w:pPr>
            <w:r w:rsidRPr="00283DED">
              <w:rPr>
                <w:rFonts w:ascii="Arial" w:hAnsi="Arial" w:cs="Arial"/>
              </w:rPr>
              <w:t>12273</w:t>
            </w:r>
          </w:p>
        </w:tc>
        <w:tc>
          <w:tcPr>
            <w:tcW w:w="944" w:type="dxa"/>
            <w:tcBorders>
              <w:top w:val="nil"/>
              <w:left w:val="nil"/>
              <w:bottom w:val="nil"/>
              <w:right w:val="nil"/>
            </w:tcBorders>
            <w:noWrap/>
            <w:vAlign w:val="center"/>
            <w:hideMark/>
          </w:tcPr>
          <w:p w14:paraId="4DA6FB98" w14:textId="77777777" w:rsidR="00283DED" w:rsidRPr="00283DED" w:rsidRDefault="00283DED" w:rsidP="004932AA">
            <w:pPr>
              <w:pStyle w:val="Body"/>
              <w:spacing w:after="0"/>
              <w:rPr>
                <w:rFonts w:ascii="Arial" w:hAnsi="Arial" w:cs="Arial"/>
              </w:rPr>
            </w:pPr>
          </w:p>
        </w:tc>
      </w:tr>
      <w:tr w:rsidR="00283DED" w:rsidRPr="00283DED" w14:paraId="6713B823" w14:textId="77777777" w:rsidTr="004932AA">
        <w:trPr>
          <w:trHeight w:val="300"/>
        </w:trPr>
        <w:tc>
          <w:tcPr>
            <w:tcW w:w="2988" w:type="dxa"/>
            <w:tcBorders>
              <w:top w:val="nil"/>
              <w:left w:val="nil"/>
              <w:bottom w:val="nil"/>
              <w:right w:val="nil"/>
            </w:tcBorders>
            <w:noWrap/>
            <w:vAlign w:val="center"/>
            <w:hideMark/>
          </w:tcPr>
          <w:p w14:paraId="45D7BB0B" w14:textId="77777777" w:rsidR="00283DED" w:rsidRPr="00283DED" w:rsidRDefault="00283DED" w:rsidP="004932AA">
            <w:pPr>
              <w:pStyle w:val="Body"/>
              <w:spacing w:after="0"/>
              <w:rPr>
                <w:rFonts w:ascii="Arial" w:hAnsi="Arial" w:cs="Arial"/>
              </w:rPr>
            </w:pPr>
            <w:r w:rsidRPr="00283DED">
              <w:rPr>
                <w:rFonts w:ascii="Arial" w:hAnsi="Arial" w:cs="Arial"/>
              </w:rPr>
              <w:t>LR chi2(3)</w:t>
            </w:r>
          </w:p>
        </w:tc>
        <w:tc>
          <w:tcPr>
            <w:tcW w:w="1558" w:type="dxa"/>
            <w:tcBorders>
              <w:top w:val="nil"/>
              <w:left w:val="nil"/>
              <w:bottom w:val="nil"/>
              <w:right w:val="nil"/>
            </w:tcBorders>
            <w:noWrap/>
            <w:vAlign w:val="bottom"/>
            <w:hideMark/>
          </w:tcPr>
          <w:p w14:paraId="002F6C84" w14:textId="77777777" w:rsidR="00283DED" w:rsidRPr="00283DED" w:rsidRDefault="00283DED" w:rsidP="004932AA">
            <w:pPr>
              <w:pStyle w:val="Body"/>
              <w:spacing w:after="0"/>
              <w:rPr>
                <w:rFonts w:ascii="Arial" w:hAnsi="Arial" w:cs="Arial"/>
              </w:rPr>
            </w:pPr>
            <w:r w:rsidRPr="00283DED">
              <w:rPr>
                <w:rFonts w:ascii="Arial" w:hAnsi="Arial" w:cs="Arial"/>
              </w:rPr>
              <w:t>73.39</w:t>
            </w:r>
          </w:p>
        </w:tc>
        <w:tc>
          <w:tcPr>
            <w:tcW w:w="1272" w:type="dxa"/>
            <w:tcBorders>
              <w:top w:val="nil"/>
              <w:left w:val="nil"/>
              <w:bottom w:val="nil"/>
              <w:right w:val="nil"/>
            </w:tcBorders>
            <w:noWrap/>
            <w:vAlign w:val="center"/>
            <w:hideMark/>
          </w:tcPr>
          <w:p w14:paraId="3662BD6D" w14:textId="77777777" w:rsidR="00283DED" w:rsidRPr="00283DED" w:rsidRDefault="00283DED" w:rsidP="004932AA">
            <w:pPr>
              <w:pStyle w:val="Body"/>
              <w:spacing w:after="0"/>
              <w:rPr>
                <w:rFonts w:ascii="Arial" w:hAnsi="Arial" w:cs="Arial"/>
              </w:rPr>
            </w:pPr>
          </w:p>
        </w:tc>
        <w:tc>
          <w:tcPr>
            <w:tcW w:w="1446" w:type="dxa"/>
            <w:tcBorders>
              <w:top w:val="nil"/>
              <w:left w:val="nil"/>
              <w:bottom w:val="nil"/>
              <w:right w:val="nil"/>
            </w:tcBorders>
            <w:noWrap/>
            <w:vAlign w:val="bottom"/>
            <w:hideMark/>
          </w:tcPr>
          <w:p w14:paraId="0509BE4B" w14:textId="77777777" w:rsidR="00283DED" w:rsidRPr="00283DED" w:rsidRDefault="00283DED" w:rsidP="004932AA">
            <w:pPr>
              <w:pStyle w:val="Body"/>
              <w:spacing w:after="0"/>
              <w:rPr>
                <w:rFonts w:ascii="Arial" w:hAnsi="Arial" w:cs="Arial"/>
              </w:rPr>
            </w:pPr>
            <w:r w:rsidRPr="00283DED">
              <w:rPr>
                <w:rFonts w:ascii="Arial" w:hAnsi="Arial" w:cs="Arial"/>
              </w:rPr>
              <w:t>1575.77</w:t>
            </w:r>
          </w:p>
        </w:tc>
        <w:tc>
          <w:tcPr>
            <w:tcW w:w="944" w:type="dxa"/>
            <w:tcBorders>
              <w:top w:val="nil"/>
              <w:left w:val="nil"/>
              <w:bottom w:val="nil"/>
              <w:right w:val="nil"/>
            </w:tcBorders>
            <w:noWrap/>
            <w:vAlign w:val="center"/>
            <w:hideMark/>
          </w:tcPr>
          <w:p w14:paraId="61D5EDE1" w14:textId="77777777" w:rsidR="00283DED" w:rsidRPr="00283DED" w:rsidRDefault="00283DED" w:rsidP="004932AA">
            <w:pPr>
              <w:pStyle w:val="Body"/>
              <w:spacing w:after="0"/>
              <w:rPr>
                <w:rFonts w:ascii="Arial" w:hAnsi="Arial" w:cs="Arial"/>
              </w:rPr>
            </w:pPr>
          </w:p>
        </w:tc>
      </w:tr>
      <w:tr w:rsidR="00283DED" w:rsidRPr="00283DED" w14:paraId="527F6D0F" w14:textId="77777777" w:rsidTr="004932AA">
        <w:trPr>
          <w:trHeight w:val="300"/>
        </w:trPr>
        <w:tc>
          <w:tcPr>
            <w:tcW w:w="2988" w:type="dxa"/>
            <w:tcBorders>
              <w:top w:val="nil"/>
              <w:left w:val="nil"/>
              <w:bottom w:val="nil"/>
              <w:right w:val="nil"/>
            </w:tcBorders>
            <w:noWrap/>
            <w:vAlign w:val="center"/>
            <w:hideMark/>
          </w:tcPr>
          <w:p w14:paraId="7A8C0A07" w14:textId="77777777" w:rsidR="00283DED" w:rsidRPr="00283DED" w:rsidRDefault="00283DED" w:rsidP="004932AA">
            <w:pPr>
              <w:pStyle w:val="Body"/>
              <w:spacing w:after="0"/>
              <w:rPr>
                <w:rFonts w:ascii="Arial" w:hAnsi="Arial" w:cs="Arial"/>
              </w:rPr>
            </w:pPr>
            <w:r w:rsidRPr="00283DED">
              <w:rPr>
                <w:rFonts w:ascii="Arial" w:hAnsi="Arial" w:cs="Arial"/>
              </w:rPr>
              <w:t>Prob &gt; chi2</w:t>
            </w:r>
          </w:p>
        </w:tc>
        <w:tc>
          <w:tcPr>
            <w:tcW w:w="1558" w:type="dxa"/>
            <w:tcBorders>
              <w:top w:val="nil"/>
              <w:left w:val="nil"/>
              <w:bottom w:val="nil"/>
              <w:right w:val="nil"/>
            </w:tcBorders>
            <w:noWrap/>
            <w:vAlign w:val="bottom"/>
            <w:hideMark/>
          </w:tcPr>
          <w:p w14:paraId="69699D49" w14:textId="77777777" w:rsidR="00283DED" w:rsidRPr="00283DED" w:rsidRDefault="00283DED" w:rsidP="004932AA">
            <w:pPr>
              <w:pStyle w:val="Body"/>
              <w:spacing w:after="0"/>
              <w:rPr>
                <w:rFonts w:ascii="Arial" w:hAnsi="Arial" w:cs="Arial"/>
              </w:rPr>
            </w:pPr>
            <w:r w:rsidRPr="00283DED">
              <w:rPr>
                <w:rFonts w:ascii="Arial" w:hAnsi="Arial" w:cs="Arial"/>
              </w:rPr>
              <w:t>0.000</w:t>
            </w:r>
          </w:p>
        </w:tc>
        <w:tc>
          <w:tcPr>
            <w:tcW w:w="1272" w:type="dxa"/>
            <w:tcBorders>
              <w:top w:val="nil"/>
              <w:left w:val="nil"/>
              <w:bottom w:val="nil"/>
              <w:right w:val="nil"/>
            </w:tcBorders>
            <w:noWrap/>
            <w:vAlign w:val="center"/>
            <w:hideMark/>
          </w:tcPr>
          <w:p w14:paraId="13C3E558" w14:textId="77777777" w:rsidR="00283DED" w:rsidRPr="00283DED" w:rsidRDefault="00283DED" w:rsidP="004932AA">
            <w:pPr>
              <w:pStyle w:val="Body"/>
              <w:spacing w:after="0"/>
              <w:rPr>
                <w:rFonts w:ascii="Arial" w:hAnsi="Arial" w:cs="Arial"/>
              </w:rPr>
            </w:pPr>
          </w:p>
        </w:tc>
        <w:tc>
          <w:tcPr>
            <w:tcW w:w="1446" w:type="dxa"/>
            <w:tcBorders>
              <w:top w:val="nil"/>
              <w:left w:val="nil"/>
              <w:bottom w:val="nil"/>
              <w:right w:val="nil"/>
            </w:tcBorders>
            <w:noWrap/>
            <w:vAlign w:val="bottom"/>
            <w:hideMark/>
          </w:tcPr>
          <w:p w14:paraId="5D42230E" w14:textId="77777777" w:rsidR="00283DED" w:rsidRPr="00283DED" w:rsidRDefault="00283DED" w:rsidP="004932AA">
            <w:pPr>
              <w:pStyle w:val="Body"/>
              <w:spacing w:after="0"/>
              <w:rPr>
                <w:rFonts w:ascii="Arial" w:hAnsi="Arial" w:cs="Arial"/>
              </w:rPr>
            </w:pPr>
            <w:r w:rsidRPr="00283DED">
              <w:rPr>
                <w:rFonts w:ascii="Arial" w:hAnsi="Arial" w:cs="Arial"/>
              </w:rPr>
              <w:t>0.000</w:t>
            </w:r>
          </w:p>
        </w:tc>
        <w:tc>
          <w:tcPr>
            <w:tcW w:w="944" w:type="dxa"/>
            <w:tcBorders>
              <w:top w:val="nil"/>
              <w:left w:val="nil"/>
              <w:bottom w:val="nil"/>
              <w:right w:val="nil"/>
            </w:tcBorders>
            <w:noWrap/>
            <w:vAlign w:val="center"/>
            <w:hideMark/>
          </w:tcPr>
          <w:p w14:paraId="4D47B1DE" w14:textId="77777777" w:rsidR="00283DED" w:rsidRPr="00283DED" w:rsidRDefault="00283DED" w:rsidP="004932AA">
            <w:pPr>
              <w:pStyle w:val="Body"/>
              <w:spacing w:after="0"/>
              <w:rPr>
                <w:rFonts w:ascii="Arial" w:hAnsi="Arial" w:cs="Arial"/>
              </w:rPr>
            </w:pPr>
          </w:p>
        </w:tc>
      </w:tr>
      <w:tr w:rsidR="00283DED" w:rsidRPr="00283DED" w14:paraId="54D77B1A" w14:textId="77777777" w:rsidTr="004932AA">
        <w:trPr>
          <w:trHeight w:val="315"/>
        </w:trPr>
        <w:tc>
          <w:tcPr>
            <w:tcW w:w="2988" w:type="dxa"/>
            <w:tcBorders>
              <w:top w:val="nil"/>
              <w:left w:val="nil"/>
              <w:bottom w:val="single" w:sz="4" w:space="0" w:color="auto"/>
              <w:right w:val="nil"/>
            </w:tcBorders>
            <w:noWrap/>
            <w:vAlign w:val="center"/>
            <w:hideMark/>
          </w:tcPr>
          <w:p w14:paraId="7D87C95D" w14:textId="77777777" w:rsidR="00283DED" w:rsidRPr="00283DED" w:rsidRDefault="00283DED" w:rsidP="004932AA">
            <w:pPr>
              <w:pStyle w:val="Body"/>
              <w:spacing w:after="0"/>
              <w:rPr>
                <w:rFonts w:ascii="Arial" w:hAnsi="Arial" w:cs="Arial"/>
              </w:rPr>
            </w:pPr>
            <w:r w:rsidRPr="00283DED">
              <w:rPr>
                <w:rFonts w:ascii="Arial" w:hAnsi="Arial" w:cs="Arial"/>
              </w:rPr>
              <w:t>Pseudo R2</w:t>
            </w:r>
          </w:p>
        </w:tc>
        <w:tc>
          <w:tcPr>
            <w:tcW w:w="1558" w:type="dxa"/>
            <w:tcBorders>
              <w:top w:val="nil"/>
              <w:left w:val="nil"/>
              <w:bottom w:val="single" w:sz="4" w:space="0" w:color="auto"/>
              <w:right w:val="nil"/>
            </w:tcBorders>
            <w:noWrap/>
            <w:vAlign w:val="bottom"/>
            <w:hideMark/>
          </w:tcPr>
          <w:p w14:paraId="5D44EAB9" w14:textId="77777777" w:rsidR="00283DED" w:rsidRPr="00283DED" w:rsidRDefault="00283DED" w:rsidP="004932AA">
            <w:pPr>
              <w:pStyle w:val="Body"/>
              <w:spacing w:after="0"/>
              <w:rPr>
                <w:rFonts w:ascii="Arial" w:hAnsi="Arial" w:cs="Arial"/>
              </w:rPr>
            </w:pPr>
            <w:r w:rsidRPr="00283DED">
              <w:rPr>
                <w:rFonts w:ascii="Arial" w:hAnsi="Arial" w:cs="Arial"/>
              </w:rPr>
              <w:t>0.0709</w:t>
            </w:r>
          </w:p>
        </w:tc>
        <w:tc>
          <w:tcPr>
            <w:tcW w:w="1272" w:type="dxa"/>
            <w:tcBorders>
              <w:top w:val="nil"/>
              <w:left w:val="nil"/>
              <w:bottom w:val="single" w:sz="4" w:space="0" w:color="auto"/>
              <w:right w:val="nil"/>
            </w:tcBorders>
            <w:noWrap/>
            <w:vAlign w:val="center"/>
            <w:hideMark/>
          </w:tcPr>
          <w:p w14:paraId="37ED9173" w14:textId="77777777" w:rsidR="00283DED" w:rsidRPr="00283DED" w:rsidRDefault="00283DED" w:rsidP="004932AA">
            <w:pPr>
              <w:pStyle w:val="Body"/>
              <w:spacing w:after="0"/>
              <w:rPr>
                <w:rFonts w:ascii="Arial" w:hAnsi="Arial" w:cs="Arial"/>
              </w:rPr>
            </w:pPr>
            <w:r w:rsidRPr="00283DED">
              <w:rPr>
                <w:rFonts w:ascii="Arial" w:hAnsi="Arial" w:cs="Arial"/>
              </w:rPr>
              <w:t> </w:t>
            </w:r>
          </w:p>
        </w:tc>
        <w:tc>
          <w:tcPr>
            <w:tcW w:w="1446" w:type="dxa"/>
            <w:tcBorders>
              <w:top w:val="nil"/>
              <w:left w:val="nil"/>
              <w:bottom w:val="single" w:sz="4" w:space="0" w:color="auto"/>
              <w:right w:val="nil"/>
            </w:tcBorders>
            <w:noWrap/>
            <w:vAlign w:val="bottom"/>
            <w:hideMark/>
          </w:tcPr>
          <w:p w14:paraId="2FF1C53D" w14:textId="77777777" w:rsidR="00283DED" w:rsidRPr="00283DED" w:rsidRDefault="00283DED" w:rsidP="004932AA">
            <w:pPr>
              <w:pStyle w:val="Body"/>
              <w:spacing w:after="0"/>
              <w:rPr>
                <w:rFonts w:ascii="Arial" w:hAnsi="Arial" w:cs="Arial"/>
              </w:rPr>
            </w:pPr>
            <w:r w:rsidRPr="00283DED">
              <w:rPr>
                <w:rFonts w:ascii="Arial" w:hAnsi="Arial" w:cs="Arial"/>
              </w:rPr>
              <w:t>0.1373</w:t>
            </w:r>
          </w:p>
        </w:tc>
        <w:tc>
          <w:tcPr>
            <w:tcW w:w="944" w:type="dxa"/>
            <w:tcBorders>
              <w:top w:val="nil"/>
              <w:left w:val="nil"/>
              <w:bottom w:val="single" w:sz="4" w:space="0" w:color="auto"/>
              <w:right w:val="nil"/>
            </w:tcBorders>
            <w:noWrap/>
            <w:vAlign w:val="center"/>
            <w:hideMark/>
          </w:tcPr>
          <w:p w14:paraId="6928948B" w14:textId="77777777" w:rsidR="00283DED" w:rsidRPr="00283DED" w:rsidRDefault="00283DED" w:rsidP="004932AA">
            <w:pPr>
              <w:pStyle w:val="Body"/>
              <w:spacing w:after="0"/>
              <w:rPr>
                <w:rFonts w:ascii="Arial" w:hAnsi="Arial" w:cs="Arial"/>
              </w:rPr>
            </w:pPr>
            <w:r w:rsidRPr="00283DED">
              <w:rPr>
                <w:rFonts w:ascii="Arial" w:hAnsi="Arial" w:cs="Arial"/>
              </w:rPr>
              <w:t> </w:t>
            </w:r>
          </w:p>
        </w:tc>
      </w:tr>
    </w:tbl>
    <w:p w14:paraId="699A6FC8" w14:textId="77777777" w:rsidR="00283DED" w:rsidRPr="00283DED" w:rsidRDefault="00283DED" w:rsidP="004932AA">
      <w:pPr>
        <w:pStyle w:val="Body"/>
        <w:spacing w:after="0"/>
        <w:rPr>
          <w:rFonts w:ascii="Arial" w:hAnsi="Arial" w:cs="Arial"/>
          <w:bCs/>
        </w:rPr>
      </w:pPr>
      <w:r w:rsidRPr="00283DED">
        <w:rPr>
          <w:rFonts w:ascii="Arial" w:hAnsi="Arial" w:cs="Arial"/>
          <w:bCs/>
        </w:rPr>
        <w:t>Source: Data processed by the author</w:t>
      </w:r>
    </w:p>
    <w:p w14:paraId="64BF359A" w14:textId="77777777" w:rsidR="00283DED" w:rsidRPr="00283DED" w:rsidRDefault="00283DED" w:rsidP="004932AA">
      <w:pPr>
        <w:pStyle w:val="Body"/>
        <w:spacing w:after="0"/>
        <w:rPr>
          <w:rFonts w:ascii="Arial" w:hAnsi="Arial" w:cs="Arial"/>
          <w:bCs/>
        </w:rPr>
      </w:pPr>
    </w:p>
    <w:p w14:paraId="16784F02" w14:textId="77777777" w:rsidR="00283DED" w:rsidRPr="00283DED" w:rsidRDefault="00283DED" w:rsidP="004932AA">
      <w:pPr>
        <w:pStyle w:val="Body"/>
        <w:spacing w:after="0"/>
        <w:rPr>
          <w:rFonts w:ascii="Arial" w:hAnsi="Arial" w:cs="Arial"/>
          <w:bCs/>
        </w:rPr>
      </w:pPr>
      <w:r w:rsidRPr="00283DED">
        <w:rPr>
          <w:rFonts w:ascii="Arial" w:hAnsi="Arial" w:cs="Arial"/>
          <w:b/>
          <w:bCs/>
        </w:rPr>
        <w:t>Table 3</w:t>
      </w:r>
      <w:r w:rsidRPr="00283DED">
        <w:rPr>
          <w:rFonts w:ascii="Arial" w:hAnsi="Arial" w:cs="Arial"/>
          <w:bCs/>
        </w:rPr>
        <w:t xml:space="preserve"> demonstrates that education and digital technology significantly influence social participation, both for individuals with disabilities and those without. The interaction variable between education and digital technology exhibits a strong effect on both groups, with education having a slightly greater impact on non-disabled individuals. Training, on the other hand, is only significant for non-disabled individuals and does not affect those with disabilities. Overall, the interaction between education and digital technology emerges as the most crucial factor in promoting social participation across both groups.</w:t>
      </w:r>
    </w:p>
    <w:p w14:paraId="207BAF15" w14:textId="77777777" w:rsidR="00283DED" w:rsidRPr="00283DED" w:rsidRDefault="00283DED" w:rsidP="004932AA">
      <w:pPr>
        <w:pStyle w:val="Body"/>
        <w:spacing w:after="0"/>
        <w:rPr>
          <w:rFonts w:ascii="Arial" w:hAnsi="Arial" w:cs="Arial"/>
          <w:bCs/>
        </w:rPr>
      </w:pPr>
    </w:p>
    <w:p w14:paraId="3866A5BE" w14:textId="77777777" w:rsidR="00283DED" w:rsidRDefault="00283DED" w:rsidP="004932AA">
      <w:pPr>
        <w:pStyle w:val="Body"/>
        <w:spacing w:after="0"/>
        <w:rPr>
          <w:rFonts w:ascii="Arial" w:hAnsi="Arial" w:cs="Arial"/>
          <w:b/>
          <w:bCs/>
        </w:rPr>
      </w:pPr>
      <w:r>
        <w:rPr>
          <w:rFonts w:ascii="Arial" w:hAnsi="Arial" w:cs="Arial"/>
          <w:b/>
          <w:bCs/>
        </w:rPr>
        <w:t xml:space="preserve">3.2 </w:t>
      </w:r>
      <w:r w:rsidRPr="00283DED">
        <w:rPr>
          <w:rFonts w:ascii="Arial" w:hAnsi="Arial" w:cs="Arial"/>
          <w:b/>
          <w:bCs/>
        </w:rPr>
        <w:t>Goodness of Fit of the Model</w:t>
      </w:r>
    </w:p>
    <w:p w14:paraId="43F88AAD" w14:textId="2BC6FA02" w:rsidR="00283DED" w:rsidRPr="00283DED" w:rsidRDefault="00283DED" w:rsidP="004932AA">
      <w:pPr>
        <w:pStyle w:val="Body"/>
        <w:spacing w:after="0"/>
        <w:rPr>
          <w:rFonts w:ascii="Arial" w:hAnsi="Arial" w:cs="Arial"/>
          <w:bCs/>
        </w:rPr>
      </w:pPr>
      <w:r w:rsidRPr="00283DED">
        <w:rPr>
          <w:rFonts w:ascii="Arial" w:hAnsi="Arial" w:cs="Arial"/>
          <w:bCs/>
        </w:rPr>
        <w:t xml:space="preserve">The following table presents the results of the Goodness of Fit test for the Propensity Score Matching (PSM) model applied to analyze the groups of individuals with disabilities and those without disabilities. This test aims to evaluate the effectiveness of matching in creating balance between the treatment and control groups </w:t>
      </w:r>
      <w:r w:rsidRPr="00283DED">
        <w:rPr>
          <w:rFonts w:ascii="Arial" w:hAnsi="Arial" w:cs="Arial"/>
          <w:bCs/>
        </w:rPr>
        <w:fldChar w:fldCharType="begin" w:fldLock="1"/>
      </w:r>
      <w:r w:rsidRPr="00283DED">
        <w:rPr>
          <w:rFonts w:ascii="Arial" w:hAnsi="Arial" w:cs="Arial"/>
          <w:bCs/>
        </w:rPr>
        <w:instrText>ADDIN CSL_CITATION {"citationItems":[{"id":"ITEM-1","itemData":{"DOI":"10.1017/CBO9780511810725.016","ISBN":"9780511810725","abstract":"The propensity score is the conditional probability of assignment to a particular treatment given a vector of observed covariates. Both large and small sample theory show that adjustment for the scalar propensity score is sufficient to remove bias due to all observed covariates. Applications include: (i) matched sampling on the univariate propensity score, which is a generalization of discriminant matching, (ii) multivariate adjustment by subclassification on the propensity score where the same subclasses are used to estimate treatment effects for all outcome variables and in all subpopulations, and (iii) visual representation of multivariate covariance adjustment by a two-dimensional plot.","author":[{"dropping-particle":"","family":"Rosenbaum","given":"Paul R.","non-dropping-particle":"","parse-names":false,"suffix":""},{"dropping-particle":"","family":"Rubin","given":"Donald B.","non-dropping-particle":"","parse-names":false,"suffix":""}],"container-title":"Matched Sampling for Causal Effects","id":"ITEM-1","issue":"1083","issued":{"date-parts":[["2006"]]},"page":"170-184","title":"The central role of the propensity score in observational studies for causal effects","type":"article-journal"},"uris":["http://www.mendeley.com/documents/?uuid=94447b88-4e48-4857-bd74-56a1b5b4c73b"]}],"mendeley":{"formattedCitation":"(Rosenbaum &amp; Rubin, 2006)","plainTextFormattedCitation":"(Rosenbaum &amp; Rubin, 2006)","previouslyFormattedCitation":"(Rosenbaum &amp; Rubin, 2006)"},"properties":{"noteIndex":0},"schema":"https://github.com/citation-style-language/schema/raw/master/csl-citation.json"}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(Rosenbaum &amp; Rubin, 2006)</w:t>
      </w:r>
      <w:r w:rsidRPr="00283DED">
        <w:rPr>
          <w:rFonts w:ascii="Arial" w:hAnsi="Arial" w:cs="Arial"/>
        </w:rPr>
        <w:fldChar w:fldCharType="end"/>
      </w:r>
      <w:r w:rsidRPr="00283DED">
        <w:rPr>
          <w:rFonts w:ascii="Arial" w:hAnsi="Arial" w:cs="Arial"/>
          <w:bCs/>
        </w:rPr>
        <w:t>.</w:t>
      </w:r>
    </w:p>
    <w:p w14:paraId="5E5D42DB" w14:textId="77777777" w:rsidR="00283DED" w:rsidRPr="00283DED" w:rsidRDefault="00283DED" w:rsidP="004932AA">
      <w:pPr>
        <w:pStyle w:val="Body"/>
        <w:spacing w:after="0"/>
        <w:rPr>
          <w:rFonts w:ascii="Arial" w:hAnsi="Arial" w:cs="Arial"/>
          <w:bCs/>
        </w:rPr>
      </w:pPr>
    </w:p>
    <w:p w14:paraId="3ADAAC4B" w14:textId="77777777" w:rsidR="00283DED" w:rsidRPr="00283DED" w:rsidRDefault="00283DED" w:rsidP="004932AA">
      <w:pPr>
        <w:pStyle w:val="Body"/>
        <w:spacing w:after="0"/>
        <w:rPr>
          <w:rFonts w:ascii="Arial" w:hAnsi="Arial" w:cs="Arial"/>
          <w:b/>
        </w:rPr>
      </w:pPr>
      <w:r w:rsidRPr="00283DED">
        <w:rPr>
          <w:rFonts w:ascii="Arial" w:hAnsi="Arial" w:cs="Arial"/>
          <w:b/>
        </w:rPr>
        <w:t>Table 4. Goodness of Fit Test of PSM Model</w:t>
      </w:r>
    </w:p>
    <w:tbl>
      <w:tblPr>
        <w:tblW w:w="8298" w:type="dxa"/>
        <w:tblBorders>
          <w:top w:val="single" w:sz="4" w:space="0" w:color="auto"/>
          <w:bottom w:val="single" w:sz="4" w:space="0" w:color="auto"/>
          <w:insideH w:val="single" w:sz="4" w:space="0" w:color="auto"/>
        </w:tblBorders>
        <w:tblLook w:val="04A0" w:firstRow="1" w:lastRow="0" w:firstColumn="1" w:lastColumn="0" w:noHBand="0" w:noVBand="1"/>
      </w:tblPr>
      <w:tblGrid>
        <w:gridCol w:w="3865"/>
        <w:gridCol w:w="2610"/>
        <w:gridCol w:w="1823"/>
      </w:tblGrid>
      <w:tr w:rsidR="00283DED" w:rsidRPr="00283DED" w14:paraId="76F1A6DD" w14:textId="77777777" w:rsidTr="004932AA">
        <w:trPr>
          <w:trHeight w:val="665"/>
        </w:trPr>
        <w:tc>
          <w:tcPr>
            <w:tcW w:w="3865" w:type="dxa"/>
            <w:tcBorders>
              <w:bottom w:val="single" w:sz="4" w:space="0" w:color="auto"/>
            </w:tcBorders>
            <w:vAlign w:val="center"/>
            <w:hideMark/>
          </w:tcPr>
          <w:p w14:paraId="72107FD3" w14:textId="77777777" w:rsidR="00283DED" w:rsidRPr="00283DED" w:rsidRDefault="00283DED" w:rsidP="004932AA">
            <w:pPr>
              <w:pStyle w:val="Body"/>
              <w:spacing w:after="0"/>
              <w:rPr>
                <w:rFonts w:ascii="Arial" w:hAnsi="Arial" w:cs="Arial"/>
                <w:b/>
                <w:bCs/>
              </w:rPr>
            </w:pPr>
            <w:r w:rsidRPr="00283DED">
              <w:rPr>
                <w:rFonts w:ascii="Arial" w:hAnsi="Arial" w:cs="Arial"/>
                <w:b/>
                <w:bCs/>
              </w:rPr>
              <w:t>Indicator</w:t>
            </w:r>
          </w:p>
        </w:tc>
        <w:tc>
          <w:tcPr>
            <w:tcW w:w="2610" w:type="dxa"/>
            <w:tcBorders>
              <w:bottom w:val="single" w:sz="4" w:space="0" w:color="auto"/>
            </w:tcBorders>
            <w:vAlign w:val="center"/>
            <w:hideMark/>
          </w:tcPr>
          <w:p w14:paraId="7E04C5E6" w14:textId="77777777" w:rsidR="00283DED" w:rsidRPr="00283DED" w:rsidRDefault="00283DED" w:rsidP="004932AA">
            <w:pPr>
              <w:pStyle w:val="Body"/>
              <w:spacing w:after="0"/>
              <w:rPr>
                <w:rFonts w:ascii="Arial" w:hAnsi="Arial" w:cs="Arial"/>
                <w:b/>
                <w:bCs/>
              </w:rPr>
            </w:pPr>
            <w:r w:rsidRPr="00283DED">
              <w:rPr>
                <w:rFonts w:ascii="Arial" w:hAnsi="Arial" w:cs="Arial"/>
                <w:b/>
                <w:bCs/>
              </w:rPr>
              <w:t>Group of Persons with Disabilities</w:t>
            </w:r>
          </w:p>
        </w:tc>
        <w:tc>
          <w:tcPr>
            <w:tcW w:w="1823" w:type="dxa"/>
            <w:tcBorders>
              <w:bottom w:val="single" w:sz="4" w:space="0" w:color="auto"/>
            </w:tcBorders>
            <w:vAlign w:val="center"/>
            <w:hideMark/>
          </w:tcPr>
          <w:p w14:paraId="1828F953" w14:textId="77777777" w:rsidR="00283DED" w:rsidRPr="00283DED" w:rsidRDefault="00283DED" w:rsidP="004932AA">
            <w:pPr>
              <w:pStyle w:val="Body"/>
              <w:spacing w:after="0"/>
              <w:rPr>
                <w:rFonts w:ascii="Arial" w:hAnsi="Arial" w:cs="Arial"/>
                <w:b/>
                <w:bCs/>
              </w:rPr>
            </w:pPr>
            <w:r w:rsidRPr="00283DED">
              <w:rPr>
                <w:rFonts w:ascii="Arial" w:hAnsi="Arial" w:cs="Arial"/>
                <w:b/>
                <w:bCs/>
              </w:rPr>
              <w:t>Non-Disabled Group</w:t>
            </w:r>
          </w:p>
        </w:tc>
      </w:tr>
      <w:tr w:rsidR="00283DED" w:rsidRPr="00283DED" w14:paraId="57FA8966" w14:textId="77777777" w:rsidTr="004932AA">
        <w:trPr>
          <w:trHeight w:val="300"/>
        </w:trPr>
        <w:tc>
          <w:tcPr>
            <w:tcW w:w="3865" w:type="dxa"/>
            <w:tcBorders>
              <w:top w:val="single" w:sz="4" w:space="0" w:color="auto"/>
              <w:bottom w:val="nil"/>
            </w:tcBorders>
            <w:vAlign w:val="center"/>
            <w:hideMark/>
          </w:tcPr>
          <w:p w14:paraId="2F9B5197" w14:textId="77777777" w:rsidR="00283DED" w:rsidRPr="00A231B3" w:rsidRDefault="00283DED" w:rsidP="004932AA">
            <w:pPr>
              <w:pStyle w:val="Body"/>
              <w:spacing w:after="0"/>
              <w:rPr>
                <w:rFonts w:ascii="Arial" w:hAnsi="Arial" w:cs="Arial"/>
              </w:rPr>
            </w:pPr>
            <w:r w:rsidRPr="00A231B3">
              <w:rPr>
                <w:rFonts w:ascii="Arial" w:hAnsi="Arial" w:cs="Arial"/>
              </w:rPr>
              <w:t>Ps R²</w:t>
            </w:r>
          </w:p>
        </w:tc>
        <w:tc>
          <w:tcPr>
            <w:tcW w:w="2610" w:type="dxa"/>
            <w:tcBorders>
              <w:top w:val="single" w:sz="4" w:space="0" w:color="auto"/>
              <w:bottom w:val="nil"/>
            </w:tcBorders>
            <w:vAlign w:val="center"/>
            <w:hideMark/>
          </w:tcPr>
          <w:p w14:paraId="7495D782" w14:textId="77777777" w:rsidR="00283DED" w:rsidRPr="00283DED" w:rsidRDefault="00283DED" w:rsidP="004932AA">
            <w:pPr>
              <w:pStyle w:val="Body"/>
              <w:spacing w:after="0"/>
              <w:rPr>
                <w:rFonts w:ascii="Arial" w:hAnsi="Arial" w:cs="Arial"/>
              </w:rPr>
            </w:pPr>
            <w:r w:rsidRPr="00283DED">
              <w:rPr>
                <w:rFonts w:ascii="Arial" w:hAnsi="Arial" w:cs="Arial"/>
              </w:rPr>
              <w:t>0.006</w:t>
            </w:r>
          </w:p>
        </w:tc>
        <w:tc>
          <w:tcPr>
            <w:tcW w:w="1823" w:type="dxa"/>
            <w:tcBorders>
              <w:top w:val="single" w:sz="4" w:space="0" w:color="auto"/>
              <w:bottom w:val="nil"/>
            </w:tcBorders>
            <w:vAlign w:val="center"/>
            <w:hideMark/>
          </w:tcPr>
          <w:p w14:paraId="33798545" w14:textId="77777777" w:rsidR="00283DED" w:rsidRPr="00283DED" w:rsidRDefault="00283DED" w:rsidP="004932AA">
            <w:pPr>
              <w:pStyle w:val="Body"/>
              <w:spacing w:after="0"/>
              <w:rPr>
                <w:rFonts w:ascii="Arial" w:hAnsi="Arial" w:cs="Arial"/>
              </w:rPr>
            </w:pPr>
            <w:r w:rsidRPr="00283DED">
              <w:rPr>
                <w:rFonts w:ascii="Arial" w:hAnsi="Arial" w:cs="Arial"/>
              </w:rPr>
              <w:t>0.006</w:t>
            </w:r>
          </w:p>
        </w:tc>
      </w:tr>
      <w:tr w:rsidR="00283DED" w:rsidRPr="00283DED" w14:paraId="45F0D601" w14:textId="77777777" w:rsidTr="004932AA">
        <w:trPr>
          <w:trHeight w:val="300"/>
        </w:trPr>
        <w:tc>
          <w:tcPr>
            <w:tcW w:w="3865" w:type="dxa"/>
            <w:tcBorders>
              <w:top w:val="nil"/>
              <w:bottom w:val="nil"/>
            </w:tcBorders>
            <w:vAlign w:val="center"/>
            <w:hideMark/>
          </w:tcPr>
          <w:p w14:paraId="4175E605" w14:textId="77777777" w:rsidR="00283DED" w:rsidRPr="00A231B3" w:rsidRDefault="00283DED" w:rsidP="004932AA">
            <w:pPr>
              <w:pStyle w:val="Body"/>
              <w:spacing w:after="0"/>
              <w:rPr>
                <w:rFonts w:ascii="Arial" w:hAnsi="Arial" w:cs="Arial"/>
              </w:rPr>
            </w:pPr>
            <w:r w:rsidRPr="00A231B3">
              <w:rPr>
                <w:rFonts w:ascii="Arial" w:hAnsi="Arial" w:cs="Arial"/>
              </w:rPr>
              <w:t>LR Chi²</w:t>
            </w:r>
          </w:p>
        </w:tc>
        <w:tc>
          <w:tcPr>
            <w:tcW w:w="2610" w:type="dxa"/>
            <w:tcBorders>
              <w:top w:val="nil"/>
              <w:bottom w:val="nil"/>
            </w:tcBorders>
            <w:vAlign w:val="center"/>
            <w:hideMark/>
          </w:tcPr>
          <w:p w14:paraId="63063118" w14:textId="77777777" w:rsidR="00283DED" w:rsidRPr="00283DED" w:rsidRDefault="00283DED" w:rsidP="004932AA">
            <w:pPr>
              <w:pStyle w:val="Body"/>
              <w:spacing w:after="0"/>
              <w:rPr>
                <w:rFonts w:ascii="Arial" w:hAnsi="Arial" w:cs="Arial"/>
              </w:rPr>
            </w:pPr>
            <w:r w:rsidRPr="00283DED">
              <w:rPr>
                <w:rFonts w:ascii="Arial" w:hAnsi="Arial" w:cs="Arial"/>
              </w:rPr>
              <w:t>8.78</w:t>
            </w:r>
          </w:p>
        </w:tc>
        <w:tc>
          <w:tcPr>
            <w:tcW w:w="1823" w:type="dxa"/>
            <w:tcBorders>
              <w:top w:val="nil"/>
              <w:bottom w:val="nil"/>
            </w:tcBorders>
            <w:vAlign w:val="center"/>
            <w:hideMark/>
          </w:tcPr>
          <w:p w14:paraId="7F965968" w14:textId="77777777" w:rsidR="00283DED" w:rsidRPr="00283DED" w:rsidRDefault="00283DED" w:rsidP="004932AA">
            <w:pPr>
              <w:pStyle w:val="Body"/>
              <w:spacing w:after="0"/>
              <w:rPr>
                <w:rFonts w:ascii="Arial" w:hAnsi="Arial" w:cs="Arial"/>
              </w:rPr>
            </w:pPr>
            <w:r w:rsidRPr="00283DED">
              <w:rPr>
                <w:rFonts w:ascii="Arial" w:hAnsi="Arial" w:cs="Arial"/>
              </w:rPr>
              <w:t>158.73</w:t>
            </w:r>
          </w:p>
        </w:tc>
      </w:tr>
      <w:tr w:rsidR="00283DED" w:rsidRPr="00283DED" w14:paraId="69704B50" w14:textId="77777777" w:rsidTr="004932AA">
        <w:trPr>
          <w:trHeight w:val="300"/>
        </w:trPr>
        <w:tc>
          <w:tcPr>
            <w:tcW w:w="3865" w:type="dxa"/>
            <w:tcBorders>
              <w:top w:val="nil"/>
              <w:bottom w:val="nil"/>
            </w:tcBorders>
            <w:vAlign w:val="center"/>
            <w:hideMark/>
          </w:tcPr>
          <w:p w14:paraId="434EBB81" w14:textId="77777777" w:rsidR="00283DED" w:rsidRPr="00A231B3" w:rsidRDefault="00283DED" w:rsidP="004932AA">
            <w:pPr>
              <w:pStyle w:val="Body"/>
              <w:spacing w:after="0"/>
              <w:rPr>
                <w:rFonts w:ascii="Arial" w:hAnsi="Arial" w:cs="Arial"/>
              </w:rPr>
            </w:pPr>
            <w:r w:rsidRPr="00A231B3">
              <w:rPr>
                <w:rFonts w:ascii="Arial" w:hAnsi="Arial" w:cs="Arial"/>
              </w:rPr>
              <w:t>p &gt; Chi²</w:t>
            </w:r>
          </w:p>
        </w:tc>
        <w:tc>
          <w:tcPr>
            <w:tcW w:w="2610" w:type="dxa"/>
            <w:tcBorders>
              <w:top w:val="nil"/>
              <w:bottom w:val="nil"/>
            </w:tcBorders>
            <w:vAlign w:val="center"/>
            <w:hideMark/>
          </w:tcPr>
          <w:p w14:paraId="3E7C2738" w14:textId="77777777" w:rsidR="00283DED" w:rsidRPr="00283DED" w:rsidRDefault="00283DED" w:rsidP="004932AA">
            <w:pPr>
              <w:pStyle w:val="Body"/>
              <w:spacing w:after="0"/>
              <w:rPr>
                <w:rFonts w:ascii="Arial" w:hAnsi="Arial" w:cs="Arial"/>
              </w:rPr>
            </w:pPr>
            <w:r w:rsidRPr="00283DED">
              <w:rPr>
                <w:rFonts w:ascii="Arial" w:hAnsi="Arial" w:cs="Arial"/>
              </w:rPr>
              <w:t>0.032</w:t>
            </w:r>
          </w:p>
        </w:tc>
        <w:tc>
          <w:tcPr>
            <w:tcW w:w="1823" w:type="dxa"/>
            <w:tcBorders>
              <w:top w:val="nil"/>
              <w:bottom w:val="nil"/>
            </w:tcBorders>
            <w:vAlign w:val="center"/>
            <w:hideMark/>
          </w:tcPr>
          <w:p w14:paraId="3BF963A3" w14:textId="77777777" w:rsidR="00283DED" w:rsidRPr="00283DED" w:rsidRDefault="00283DED" w:rsidP="004932AA">
            <w:pPr>
              <w:pStyle w:val="Body"/>
              <w:spacing w:after="0"/>
              <w:rPr>
                <w:rFonts w:ascii="Arial" w:hAnsi="Arial" w:cs="Arial"/>
              </w:rPr>
            </w:pPr>
            <w:r w:rsidRPr="00283DED">
              <w:rPr>
                <w:rFonts w:ascii="Arial" w:hAnsi="Arial" w:cs="Arial"/>
              </w:rPr>
              <w:t>0.00</w:t>
            </w:r>
          </w:p>
        </w:tc>
      </w:tr>
      <w:tr w:rsidR="00283DED" w:rsidRPr="00283DED" w14:paraId="0BE38271" w14:textId="77777777" w:rsidTr="004932AA">
        <w:trPr>
          <w:trHeight w:val="300"/>
        </w:trPr>
        <w:tc>
          <w:tcPr>
            <w:tcW w:w="3865" w:type="dxa"/>
            <w:tcBorders>
              <w:top w:val="nil"/>
              <w:bottom w:val="nil"/>
            </w:tcBorders>
            <w:vAlign w:val="center"/>
            <w:hideMark/>
          </w:tcPr>
          <w:p w14:paraId="140639DF" w14:textId="77777777" w:rsidR="00283DED" w:rsidRPr="00A231B3" w:rsidRDefault="00283DED" w:rsidP="004932AA">
            <w:pPr>
              <w:pStyle w:val="Body"/>
              <w:spacing w:after="0"/>
              <w:rPr>
                <w:rFonts w:ascii="Arial" w:hAnsi="Arial" w:cs="Arial"/>
              </w:rPr>
            </w:pPr>
            <w:r w:rsidRPr="00A231B3">
              <w:rPr>
                <w:rFonts w:ascii="Arial" w:hAnsi="Arial" w:cs="Arial"/>
              </w:rPr>
              <w:t>Mean Bias</w:t>
            </w:r>
          </w:p>
        </w:tc>
        <w:tc>
          <w:tcPr>
            <w:tcW w:w="2610" w:type="dxa"/>
            <w:tcBorders>
              <w:top w:val="nil"/>
              <w:bottom w:val="nil"/>
            </w:tcBorders>
            <w:vAlign w:val="center"/>
            <w:hideMark/>
          </w:tcPr>
          <w:p w14:paraId="4DE6D283" w14:textId="77777777" w:rsidR="00283DED" w:rsidRPr="00283DED" w:rsidRDefault="00283DED" w:rsidP="004932AA">
            <w:pPr>
              <w:pStyle w:val="Body"/>
              <w:spacing w:after="0"/>
              <w:rPr>
                <w:rFonts w:ascii="Arial" w:hAnsi="Arial" w:cs="Arial"/>
              </w:rPr>
            </w:pPr>
            <w:r w:rsidRPr="00283DED">
              <w:rPr>
                <w:rFonts w:ascii="Arial" w:hAnsi="Arial" w:cs="Arial"/>
              </w:rPr>
              <w:t>4.80%</w:t>
            </w:r>
          </w:p>
        </w:tc>
        <w:tc>
          <w:tcPr>
            <w:tcW w:w="1823" w:type="dxa"/>
            <w:tcBorders>
              <w:top w:val="nil"/>
              <w:bottom w:val="nil"/>
            </w:tcBorders>
            <w:vAlign w:val="center"/>
            <w:hideMark/>
          </w:tcPr>
          <w:p w14:paraId="2B26D5C4" w14:textId="77777777" w:rsidR="00283DED" w:rsidRPr="00283DED" w:rsidRDefault="00283DED" w:rsidP="004932AA">
            <w:pPr>
              <w:pStyle w:val="Body"/>
              <w:spacing w:after="0"/>
              <w:rPr>
                <w:rFonts w:ascii="Arial" w:hAnsi="Arial" w:cs="Arial"/>
              </w:rPr>
            </w:pPr>
            <w:r w:rsidRPr="00283DED">
              <w:rPr>
                <w:rFonts w:ascii="Arial" w:hAnsi="Arial" w:cs="Arial"/>
              </w:rPr>
              <w:t>5.40%</w:t>
            </w:r>
          </w:p>
        </w:tc>
      </w:tr>
      <w:tr w:rsidR="00283DED" w:rsidRPr="00283DED" w14:paraId="0F167D73" w14:textId="77777777" w:rsidTr="004932AA">
        <w:trPr>
          <w:trHeight w:val="300"/>
        </w:trPr>
        <w:tc>
          <w:tcPr>
            <w:tcW w:w="3865" w:type="dxa"/>
            <w:tcBorders>
              <w:top w:val="nil"/>
              <w:bottom w:val="nil"/>
            </w:tcBorders>
            <w:vAlign w:val="center"/>
            <w:hideMark/>
          </w:tcPr>
          <w:p w14:paraId="320FF268" w14:textId="77777777" w:rsidR="00283DED" w:rsidRPr="00A231B3" w:rsidRDefault="00283DED" w:rsidP="004932AA">
            <w:pPr>
              <w:pStyle w:val="Body"/>
              <w:spacing w:after="0"/>
              <w:rPr>
                <w:rFonts w:ascii="Arial" w:hAnsi="Arial" w:cs="Arial"/>
              </w:rPr>
            </w:pPr>
            <w:r w:rsidRPr="00A231B3">
              <w:rPr>
                <w:rFonts w:ascii="Arial" w:hAnsi="Arial" w:cs="Arial"/>
              </w:rPr>
              <w:t>Median Bias</w:t>
            </w:r>
          </w:p>
        </w:tc>
        <w:tc>
          <w:tcPr>
            <w:tcW w:w="2610" w:type="dxa"/>
            <w:tcBorders>
              <w:top w:val="nil"/>
              <w:bottom w:val="nil"/>
            </w:tcBorders>
            <w:vAlign w:val="center"/>
            <w:hideMark/>
          </w:tcPr>
          <w:p w14:paraId="28D352F4" w14:textId="77777777" w:rsidR="00283DED" w:rsidRPr="00283DED" w:rsidRDefault="00283DED" w:rsidP="004932AA">
            <w:pPr>
              <w:pStyle w:val="Body"/>
              <w:spacing w:after="0"/>
              <w:rPr>
                <w:rFonts w:ascii="Arial" w:hAnsi="Arial" w:cs="Arial"/>
              </w:rPr>
            </w:pPr>
            <w:r w:rsidRPr="00283DED">
              <w:rPr>
                <w:rFonts w:ascii="Arial" w:hAnsi="Arial" w:cs="Arial"/>
              </w:rPr>
              <w:t>0.50%</w:t>
            </w:r>
          </w:p>
        </w:tc>
        <w:tc>
          <w:tcPr>
            <w:tcW w:w="1823" w:type="dxa"/>
            <w:tcBorders>
              <w:top w:val="nil"/>
              <w:bottom w:val="nil"/>
            </w:tcBorders>
            <w:vAlign w:val="center"/>
            <w:hideMark/>
          </w:tcPr>
          <w:p w14:paraId="4E2225F1" w14:textId="77777777" w:rsidR="00283DED" w:rsidRPr="00283DED" w:rsidRDefault="00283DED" w:rsidP="004932AA">
            <w:pPr>
              <w:pStyle w:val="Body"/>
              <w:spacing w:after="0"/>
              <w:rPr>
                <w:rFonts w:ascii="Arial" w:hAnsi="Arial" w:cs="Arial"/>
              </w:rPr>
            </w:pPr>
            <w:r w:rsidRPr="00283DED">
              <w:rPr>
                <w:rFonts w:ascii="Arial" w:hAnsi="Arial" w:cs="Arial"/>
              </w:rPr>
              <w:t>1.90%</w:t>
            </w:r>
          </w:p>
        </w:tc>
      </w:tr>
      <w:tr w:rsidR="00283DED" w:rsidRPr="00283DED" w14:paraId="5AB1EAC4" w14:textId="77777777" w:rsidTr="004932AA">
        <w:trPr>
          <w:trHeight w:val="360"/>
        </w:trPr>
        <w:tc>
          <w:tcPr>
            <w:tcW w:w="3865" w:type="dxa"/>
            <w:tcBorders>
              <w:top w:val="nil"/>
              <w:bottom w:val="nil"/>
            </w:tcBorders>
            <w:vAlign w:val="center"/>
            <w:hideMark/>
          </w:tcPr>
          <w:p w14:paraId="6CD751A8" w14:textId="77777777" w:rsidR="00283DED" w:rsidRPr="00A231B3" w:rsidRDefault="00283DED" w:rsidP="004932AA">
            <w:pPr>
              <w:pStyle w:val="Body"/>
              <w:spacing w:after="0"/>
              <w:rPr>
                <w:rFonts w:ascii="Arial" w:hAnsi="Arial" w:cs="Arial"/>
              </w:rPr>
            </w:pPr>
            <w:r w:rsidRPr="00A231B3">
              <w:rPr>
                <w:rFonts w:ascii="Arial" w:hAnsi="Arial" w:cs="Arial"/>
              </w:rPr>
              <w:t>B (Bias Reduction)</w:t>
            </w:r>
          </w:p>
        </w:tc>
        <w:tc>
          <w:tcPr>
            <w:tcW w:w="2610" w:type="dxa"/>
            <w:tcBorders>
              <w:top w:val="nil"/>
              <w:bottom w:val="nil"/>
            </w:tcBorders>
            <w:vAlign w:val="center"/>
            <w:hideMark/>
          </w:tcPr>
          <w:p w14:paraId="1B6492AB" w14:textId="77777777" w:rsidR="00283DED" w:rsidRPr="00283DED" w:rsidRDefault="00283DED" w:rsidP="004932AA">
            <w:pPr>
              <w:pStyle w:val="Body"/>
              <w:spacing w:after="0"/>
              <w:rPr>
                <w:rFonts w:ascii="Arial" w:hAnsi="Arial" w:cs="Arial"/>
              </w:rPr>
            </w:pPr>
            <w:r w:rsidRPr="00283DED">
              <w:rPr>
                <w:rFonts w:ascii="Arial" w:hAnsi="Arial" w:cs="Arial"/>
              </w:rPr>
              <w:t>18.60%</w:t>
            </w:r>
          </w:p>
        </w:tc>
        <w:tc>
          <w:tcPr>
            <w:tcW w:w="1823" w:type="dxa"/>
            <w:tcBorders>
              <w:top w:val="nil"/>
              <w:bottom w:val="nil"/>
            </w:tcBorders>
            <w:vAlign w:val="center"/>
            <w:hideMark/>
          </w:tcPr>
          <w:p w14:paraId="7C5B6EAD" w14:textId="77777777" w:rsidR="00283DED" w:rsidRPr="00283DED" w:rsidRDefault="00283DED" w:rsidP="004932AA">
            <w:pPr>
              <w:pStyle w:val="Body"/>
              <w:spacing w:after="0"/>
              <w:rPr>
                <w:rFonts w:ascii="Arial" w:hAnsi="Arial" w:cs="Arial"/>
              </w:rPr>
            </w:pPr>
            <w:r w:rsidRPr="00283DED">
              <w:rPr>
                <w:rFonts w:ascii="Arial" w:hAnsi="Arial" w:cs="Arial"/>
              </w:rPr>
              <w:t>17.70%</w:t>
            </w:r>
          </w:p>
        </w:tc>
      </w:tr>
      <w:tr w:rsidR="00283DED" w:rsidRPr="00283DED" w14:paraId="0F5DEE78" w14:textId="77777777" w:rsidTr="004932AA">
        <w:trPr>
          <w:trHeight w:val="300"/>
        </w:trPr>
        <w:tc>
          <w:tcPr>
            <w:tcW w:w="3865" w:type="dxa"/>
            <w:tcBorders>
              <w:top w:val="nil"/>
              <w:bottom w:val="single" w:sz="4" w:space="0" w:color="auto"/>
            </w:tcBorders>
            <w:vAlign w:val="center"/>
            <w:hideMark/>
          </w:tcPr>
          <w:p w14:paraId="76884E39" w14:textId="77777777" w:rsidR="00283DED" w:rsidRPr="00A231B3" w:rsidRDefault="00283DED" w:rsidP="004932AA">
            <w:pPr>
              <w:pStyle w:val="Body"/>
              <w:spacing w:after="0"/>
              <w:rPr>
                <w:rFonts w:ascii="Arial" w:hAnsi="Arial" w:cs="Arial"/>
              </w:rPr>
            </w:pPr>
            <w:r w:rsidRPr="00A231B3">
              <w:rPr>
                <w:rFonts w:ascii="Arial" w:hAnsi="Arial" w:cs="Arial"/>
              </w:rPr>
              <w:t>R (Variance Ratio)</w:t>
            </w:r>
          </w:p>
        </w:tc>
        <w:tc>
          <w:tcPr>
            <w:tcW w:w="2610" w:type="dxa"/>
            <w:tcBorders>
              <w:top w:val="nil"/>
              <w:bottom w:val="single" w:sz="4" w:space="0" w:color="auto"/>
            </w:tcBorders>
            <w:vAlign w:val="center"/>
            <w:hideMark/>
          </w:tcPr>
          <w:p w14:paraId="662DC58F" w14:textId="77777777" w:rsidR="00283DED" w:rsidRPr="00283DED" w:rsidRDefault="00283DED" w:rsidP="004932AA">
            <w:pPr>
              <w:pStyle w:val="Body"/>
              <w:spacing w:after="0"/>
              <w:rPr>
                <w:rFonts w:ascii="Arial" w:hAnsi="Arial" w:cs="Arial"/>
              </w:rPr>
            </w:pPr>
            <w:r w:rsidRPr="00283DED">
              <w:rPr>
                <w:rFonts w:ascii="Arial" w:hAnsi="Arial" w:cs="Arial"/>
              </w:rPr>
              <w:t>1.69</w:t>
            </w:r>
          </w:p>
        </w:tc>
        <w:tc>
          <w:tcPr>
            <w:tcW w:w="1823" w:type="dxa"/>
            <w:tcBorders>
              <w:top w:val="nil"/>
              <w:bottom w:val="single" w:sz="4" w:space="0" w:color="auto"/>
            </w:tcBorders>
            <w:vAlign w:val="center"/>
            <w:hideMark/>
          </w:tcPr>
          <w:p w14:paraId="0500EBAD" w14:textId="77777777" w:rsidR="00283DED" w:rsidRPr="00283DED" w:rsidRDefault="00283DED" w:rsidP="004932AA">
            <w:pPr>
              <w:pStyle w:val="Body"/>
              <w:spacing w:after="0"/>
              <w:rPr>
                <w:rFonts w:ascii="Arial" w:hAnsi="Arial" w:cs="Arial"/>
              </w:rPr>
            </w:pPr>
            <w:r w:rsidRPr="00283DED">
              <w:rPr>
                <w:rFonts w:ascii="Arial" w:hAnsi="Arial" w:cs="Arial"/>
              </w:rPr>
              <w:t>1.47</w:t>
            </w:r>
          </w:p>
        </w:tc>
      </w:tr>
    </w:tbl>
    <w:p w14:paraId="219221ED" w14:textId="77777777" w:rsidR="00283DED" w:rsidRPr="00283DED" w:rsidRDefault="00283DED" w:rsidP="004932AA">
      <w:pPr>
        <w:pStyle w:val="Body"/>
        <w:spacing w:after="0"/>
        <w:rPr>
          <w:rFonts w:ascii="Arial" w:hAnsi="Arial" w:cs="Arial"/>
          <w:b/>
        </w:rPr>
      </w:pPr>
      <w:r w:rsidRPr="00283DED">
        <w:rPr>
          <w:rFonts w:ascii="Arial" w:hAnsi="Arial" w:cs="Arial"/>
          <w:bCs/>
        </w:rPr>
        <w:t>Source: Data processed by the author</w:t>
      </w:r>
    </w:p>
    <w:p w14:paraId="27FD9445" w14:textId="77777777" w:rsidR="00283DED" w:rsidRDefault="00283DED" w:rsidP="004932AA">
      <w:pPr>
        <w:pStyle w:val="Body"/>
        <w:spacing w:after="0"/>
        <w:rPr>
          <w:rFonts w:ascii="Arial" w:hAnsi="Arial" w:cs="Arial"/>
          <w:b/>
          <w:bCs/>
        </w:rPr>
      </w:pPr>
    </w:p>
    <w:p w14:paraId="7E2C3AA4" w14:textId="1182AD79" w:rsidR="00283DED" w:rsidRDefault="00283DED" w:rsidP="004932AA">
      <w:pPr>
        <w:pStyle w:val="Body"/>
        <w:spacing w:after="0"/>
        <w:rPr>
          <w:rFonts w:ascii="Arial" w:hAnsi="Arial" w:cs="Arial"/>
          <w:bCs/>
        </w:rPr>
      </w:pPr>
      <w:r w:rsidRPr="00283DED">
        <w:rPr>
          <w:rFonts w:ascii="Arial" w:hAnsi="Arial" w:cs="Arial"/>
          <w:b/>
          <w:bCs/>
        </w:rPr>
        <w:t xml:space="preserve">Table 4 </w:t>
      </w:r>
      <w:r w:rsidR="00A231B3" w:rsidRPr="00A231B3">
        <w:rPr>
          <w:rFonts w:ascii="Arial" w:hAnsi="Arial" w:cs="Arial"/>
        </w:rPr>
        <w:t xml:space="preserve">shows that the Propensity Score Matching (PSM) model </w:t>
      </w:r>
      <w:r w:rsidR="00A231B3" w:rsidRPr="00A231B3">
        <w:rPr>
          <w:rFonts w:ascii="Arial" w:hAnsi="Arial" w:cs="Arial"/>
          <w:highlight w:val="yellow"/>
        </w:rPr>
        <w:t>improves balance between treatment and control groups, as indicated by the low Ps R² and relatively small mean and median bias values in both groups. However, the LR Chi² and p-values suggest that some covariates may remain jointly significant after matching, particularly in the non-disabled group; therefore, the balance should be interpreted as improved but not perfect. Overall, the PSM model performs reasonably well, with similar bias levels across groups</w:t>
      </w:r>
      <w:r w:rsidRPr="00A231B3">
        <w:rPr>
          <w:rFonts w:ascii="Arial" w:hAnsi="Arial" w:cs="Arial"/>
          <w:highlight w:val="yellow"/>
        </w:rPr>
        <w:t>.</w:t>
      </w:r>
    </w:p>
    <w:p w14:paraId="78691D7D" w14:textId="77777777" w:rsidR="00CD2D48" w:rsidRPr="00283DED" w:rsidRDefault="00CD2D48" w:rsidP="004932AA">
      <w:pPr>
        <w:pStyle w:val="Body"/>
        <w:spacing w:after="0"/>
        <w:rPr>
          <w:rFonts w:ascii="Arial" w:hAnsi="Arial" w:cs="Arial"/>
          <w:bCs/>
        </w:rPr>
      </w:pPr>
    </w:p>
    <w:p w14:paraId="1BFDAF8E" w14:textId="77777777" w:rsidR="00283DED" w:rsidRDefault="00283DED" w:rsidP="004932AA">
      <w:pPr>
        <w:pStyle w:val="Body"/>
        <w:spacing w:after="0"/>
        <w:rPr>
          <w:rFonts w:ascii="Arial" w:hAnsi="Arial" w:cs="Arial"/>
          <w:b/>
          <w:bCs/>
        </w:rPr>
      </w:pPr>
      <w:r>
        <w:rPr>
          <w:rFonts w:ascii="Arial" w:hAnsi="Arial" w:cs="Arial"/>
          <w:b/>
          <w:bCs/>
        </w:rPr>
        <w:t xml:space="preserve">3.5 </w:t>
      </w:r>
      <w:r w:rsidRPr="00283DED">
        <w:rPr>
          <w:rFonts w:ascii="Arial" w:hAnsi="Arial" w:cs="Arial"/>
          <w:b/>
          <w:bCs/>
        </w:rPr>
        <w:t>Matching Test</w:t>
      </w:r>
    </w:p>
    <w:p w14:paraId="064EDC84" w14:textId="37BE5633" w:rsidR="00283DED" w:rsidRPr="00283DED" w:rsidRDefault="00283DED" w:rsidP="004932AA">
      <w:pPr>
        <w:pStyle w:val="Body"/>
        <w:spacing w:after="0"/>
        <w:rPr>
          <w:rFonts w:ascii="Arial" w:hAnsi="Arial" w:cs="Arial"/>
        </w:rPr>
      </w:pPr>
      <w:r w:rsidRPr="00283DED">
        <w:rPr>
          <w:rFonts w:ascii="Arial" w:hAnsi="Arial" w:cs="Arial"/>
        </w:rPr>
        <w:t>The table presents the Average Treatment Effect on the Treated (ATT) using Nearest Neighbor Matching. It measures the impact of social participation on employment probability for individuals with and without disabilities, showing the average outcome difference between participants (treatment) and non-participants (control) after matching covariates.</w:t>
      </w:r>
    </w:p>
    <w:p w14:paraId="1A6E5AC5" w14:textId="77777777" w:rsidR="00283DED" w:rsidRPr="00283DED" w:rsidRDefault="00283DED" w:rsidP="004932AA">
      <w:pPr>
        <w:pStyle w:val="Body"/>
        <w:spacing w:after="0"/>
        <w:rPr>
          <w:rFonts w:ascii="Arial" w:hAnsi="Arial" w:cs="Arial"/>
        </w:rPr>
      </w:pPr>
    </w:p>
    <w:p w14:paraId="169D057C" w14:textId="45F3FDA0" w:rsidR="00283DED" w:rsidRPr="00283DED" w:rsidRDefault="00283DED" w:rsidP="004932AA">
      <w:pPr>
        <w:pStyle w:val="Body"/>
        <w:spacing w:after="0"/>
        <w:rPr>
          <w:rFonts w:ascii="Arial" w:hAnsi="Arial" w:cs="Arial"/>
          <w:b/>
          <w:bCs/>
        </w:rPr>
      </w:pPr>
      <w:r w:rsidRPr="00283DED">
        <w:rPr>
          <w:rFonts w:ascii="Arial" w:hAnsi="Arial" w:cs="Arial"/>
          <w:b/>
          <w:bCs/>
        </w:rPr>
        <w:t xml:space="preserve">Table </w:t>
      </w:r>
      <w:r w:rsidR="00D91695">
        <w:rPr>
          <w:rFonts w:ascii="Arial" w:hAnsi="Arial" w:cs="Arial"/>
          <w:b/>
          <w:bCs/>
        </w:rPr>
        <w:t>5</w:t>
      </w:r>
      <w:r w:rsidRPr="00283DED">
        <w:rPr>
          <w:rFonts w:ascii="Arial" w:hAnsi="Arial" w:cs="Arial"/>
          <w:b/>
          <w:bCs/>
        </w:rPr>
        <w:t xml:space="preserve">. ATT Estimation </w:t>
      </w:r>
    </w:p>
    <w:tbl>
      <w:tblPr>
        <w:tblW w:w="8388" w:type="dxa"/>
        <w:tblBorders>
          <w:top w:val="single" w:sz="4" w:space="0" w:color="auto"/>
          <w:bottom w:val="single" w:sz="4" w:space="0" w:color="auto"/>
          <w:insideH w:val="single" w:sz="4" w:space="0" w:color="auto"/>
        </w:tblBorders>
        <w:tblLook w:val="04A0" w:firstRow="1" w:lastRow="0" w:firstColumn="1" w:lastColumn="0" w:noHBand="0" w:noVBand="1"/>
      </w:tblPr>
      <w:tblGrid>
        <w:gridCol w:w="1900"/>
        <w:gridCol w:w="1810"/>
        <w:gridCol w:w="1295"/>
        <w:gridCol w:w="1240"/>
        <w:gridCol w:w="1060"/>
        <w:gridCol w:w="1083"/>
      </w:tblGrid>
      <w:tr w:rsidR="00283DED" w:rsidRPr="00283DED" w14:paraId="77992383" w14:textId="77777777" w:rsidTr="004932AA">
        <w:trPr>
          <w:trHeight w:val="510"/>
        </w:trPr>
        <w:tc>
          <w:tcPr>
            <w:tcW w:w="1999" w:type="dxa"/>
            <w:vMerge w:val="restart"/>
            <w:vAlign w:val="center"/>
            <w:hideMark/>
          </w:tcPr>
          <w:p w14:paraId="20E82D0B" w14:textId="77777777" w:rsidR="00283DED" w:rsidRPr="00283DED" w:rsidRDefault="00283DED" w:rsidP="004932AA">
            <w:pPr>
              <w:pStyle w:val="Body"/>
              <w:spacing w:after="0"/>
              <w:rPr>
                <w:rFonts w:ascii="Arial" w:hAnsi="Arial" w:cs="Arial"/>
                <w:b/>
                <w:bCs/>
              </w:rPr>
            </w:pPr>
            <w:r w:rsidRPr="00283DED">
              <w:rPr>
                <w:rFonts w:ascii="Arial" w:hAnsi="Arial" w:cs="Arial"/>
                <w:b/>
                <w:bCs/>
              </w:rPr>
              <w:t>Matching Method</w:t>
            </w:r>
          </w:p>
        </w:tc>
        <w:tc>
          <w:tcPr>
            <w:tcW w:w="1889" w:type="dxa"/>
            <w:vMerge w:val="restart"/>
            <w:vAlign w:val="bottom"/>
            <w:hideMark/>
          </w:tcPr>
          <w:p w14:paraId="0614C9AA" w14:textId="77777777" w:rsidR="00283DED" w:rsidRPr="00283DED" w:rsidRDefault="00283DED" w:rsidP="004932AA">
            <w:pPr>
              <w:pStyle w:val="Body"/>
              <w:spacing w:after="0"/>
              <w:rPr>
                <w:rFonts w:ascii="Arial" w:hAnsi="Arial" w:cs="Arial"/>
                <w:b/>
                <w:bCs/>
              </w:rPr>
            </w:pPr>
            <w:r w:rsidRPr="00283DED">
              <w:rPr>
                <w:rFonts w:ascii="Arial" w:hAnsi="Arial" w:cs="Arial"/>
                <w:b/>
                <w:bCs/>
              </w:rPr>
              <w:t>Sample Group</w:t>
            </w:r>
          </w:p>
        </w:tc>
        <w:tc>
          <w:tcPr>
            <w:tcW w:w="1295" w:type="dxa"/>
            <w:vMerge w:val="restart"/>
            <w:vAlign w:val="center"/>
            <w:hideMark/>
          </w:tcPr>
          <w:p w14:paraId="6689459A" w14:textId="77777777" w:rsidR="00283DED" w:rsidRPr="00283DED" w:rsidRDefault="00283DED" w:rsidP="004932AA">
            <w:pPr>
              <w:pStyle w:val="Body"/>
              <w:spacing w:after="0"/>
              <w:rPr>
                <w:rFonts w:ascii="Arial" w:hAnsi="Arial" w:cs="Arial"/>
                <w:b/>
                <w:bCs/>
              </w:rPr>
            </w:pPr>
            <w:r w:rsidRPr="00283DED">
              <w:rPr>
                <w:rFonts w:ascii="Arial" w:hAnsi="Arial" w:cs="Arial"/>
                <w:b/>
                <w:bCs/>
              </w:rPr>
              <w:t>Number of Treatments (n. treat.)</w:t>
            </w:r>
          </w:p>
        </w:tc>
        <w:tc>
          <w:tcPr>
            <w:tcW w:w="1240" w:type="dxa"/>
            <w:vAlign w:val="center"/>
            <w:hideMark/>
          </w:tcPr>
          <w:p w14:paraId="3B40080A" w14:textId="77777777" w:rsidR="00283DED" w:rsidRPr="00283DED" w:rsidRDefault="00283DED" w:rsidP="004932AA">
            <w:pPr>
              <w:pStyle w:val="Body"/>
              <w:spacing w:after="0"/>
              <w:rPr>
                <w:rFonts w:ascii="Arial" w:hAnsi="Arial" w:cs="Arial"/>
                <w:b/>
                <w:bCs/>
              </w:rPr>
            </w:pPr>
            <w:r w:rsidRPr="00283DED">
              <w:rPr>
                <w:rFonts w:ascii="Arial" w:hAnsi="Arial" w:cs="Arial"/>
                <w:b/>
                <w:bCs/>
              </w:rPr>
              <w:t xml:space="preserve"> Number of Controls</w:t>
            </w:r>
          </w:p>
        </w:tc>
        <w:tc>
          <w:tcPr>
            <w:tcW w:w="1060" w:type="dxa"/>
            <w:vMerge w:val="restart"/>
            <w:vAlign w:val="center"/>
            <w:hideMark/>
          </w:tcPr>
          <w:p w14:paraId="228136C2" w14:textId="77777777" w:rsidR="00283DED" w:rsidRPr="00283DED" w:rsidRDefault="00283DED" w:rsidP="004932AA">
            <w:pPr>
              <w:pStyle w:val="Body"/>
              <w:spacing w:after="0"/>
              <w:rPr>
                <w:rFonts w:ascii="Arial" w:hAnsi="Arial" w:cs="Arial"/>
                <w:b/>
                <w:bCs/>
                <w:color w:val="FF0000"/>
              </w:rPr>
            </w:pPr>
            <w:r w:rsidRPr="004932AA">
              <w:rPr>
                <w:rFonts w:ascii="Arial" w:hAnsi="Arial" w:cs="Arial"/>
                <w:b/>
                <w:bCs/>
                <w:color w:val="FF0000"/>
              </w:rPr>
              <w:t>ATT</w:t>
            </w:r>
          </w:p>
        </w:tc>
        <w:tc>
          <w:tcPr>
            <w:tcW w:w="905" w:type="dxa"/>
            <w:vMerge w:val="restart"/>
            <w:vAlign w:val="center"/>
            <w:hideMark/>
          </w:tcPr>
          <w:p w14:paraId="521E831F" w14:textId="77777777" w:rsidR="00283DED" w:rsidRPr="00283DED" w:rsidRDefault="00283DED" w:rsidP="004932AA">
            <w:pPr>
              <w:pStyle w:val="Body"/>
              <w:spacing w:after="0"/>
              <w:rPr>
                <w:rFonts w:ascii="Arial" w:hAnsi="Arial" w:cs="Arial"/>
                <w:b/>
                <w:bCs/>
              </w:rPr>
            </w:pPr>
            <w:r w:rsidRPr="00283DED">
              <w:rPr>
                <w:rFonts w:ascii="Arial" w:hAnsi="Arial" w:cs="Arial"/>
                <w:b/>
                <w:bCs/>
              </w:rPr>
              <w:t>Standard Err.</w:t>
            </w:r>
          </w:p>
        </w:tc>
      </w:tr>
      <w:tr w:rsidR="00283DED" w:rsidRPr="00283DED" w14:paraId="661FA7FA" w14:textId="77777777" w:rsidTr="004932AA">
        <w:trPr>
          <w:trHeight w:val="255"/>
        </w:trPr>
        <w:tc>
          <w:tcPr>
            <w:tcW w:w="1999" w:type="dxa"/>
            <w:vMerge/>
            <w:vAlign w:val="center"/>
            <w:hideMark/>
          </w:tcPr>
          <w:p w14:paraId="48F43DF8" w14:textId="77777777" w:rsidR="00283DED" w:rsidRPr="00283DED" w:rsidRDefault="00283DED" w:rsidP="004932AA">
            <w:pPr>
              <w:pStyle w:val="Body"/>
              <w:spacing w:after="0"/>
              <w:rPr>
                <w:rFonts w:ascii="Arial" w:hAnsi="Arial" w:cs="Arial"/>
                <w:b/>
                <w:bCs/>
              </w:rPr>
            </w:pPr>
          </w:p>
        </w:tc>
        <w:tc>
          <w:tcPr>
            <w:tcW w:w="1889" w:type="dxa"/>
            <w:vMerge/>
            <w:vAlign w:val="center"/>
            <w:hideMark/>
          </w:tcPr>
          <w:p w14:paraId="5CFA23CA" w14:textId="77777777" w:rsidR="00283DED" w:rsidRPr="00283DED" w:rsidRDefault="00283DED" w:rsidP="004932AA">
            <w:pPr>
              <w:pStyle w:val="Body"/>
              <w:spacing w:after="0"/>
              <w:rPr>
                <w:rFonts w:ascii="Arial" w:hAnsi="Arial" w:cs="Arial"/>
                <w:b/>
                <w:bCs/>
              </w:rPr>
            </w:pPr>
          </w:p>
        </w:tc>
        <w:tc>
          <w:tcPr>
            <w:tcW w:w="1295" w:type="dxa"/>
            <w:vMerge/>
            <w:vAlign w:val="center"/>
            <w:hideMark/>
          </w:tcPr>
          <w:p w14:paraId="033BEE47" w14:textId="77777777" w:rsidR="00283DED" w:rsidRPr="00283DED" w:rsidRDefault="00283DED" w:rsidP="004932AA">
            <w:pPr>
              <w:pStyle w:val="Body"/>
              <w:spacing w:after="0"/>
              <w:rPr>
                <w:rFonts w:ascii="Arial" w:hAnsi="Arial" w:cs="Arial"/>
                <w:b/>
                <w:bCs/>
              </w:rPr>
            </w:pPr>
          </w:p>
        </w:tc>
        <w:tc>
          <w:tcPr>
            <w:tcW w:w="1240" w:type="dxa"/>
            <w:vAlign w:val="center"/>
            <w:hideMark/>
          </w:tcPr>
          <w:p w14:paraId="2D30D0DE" w14:textId="77777777" w:rsidR="00283DED" w:rsidRPr="00283DED" w:rsidRDefault="00283DED" w:rsidP="004932AA">
            <w:pPr>
              <w:pStyle w:val="Body"/>
              <w:spacing w:after="0"/>
              <w:rPr>
                <w:rFonts w:ascii="Arial" w:hAnsi="Arial" w:cs="Arial"/>
                <w:b/>
                <w:bCs/>
              </w:rPr>
            </w:pPr>
            <w:r w:rsidRPr="00283DED">
              <w:rPr>
                <w:rFonts w:ascii="Arial" w:hAnsi="Arial" w:cs="Arial"/>
                <w:b/>
                <w:bCs/>
              </w:rPr>
              <w:t>(n. contr.)</w:t>
            </w:r>
          </w:p>
        </w:tc>
        <w:tc>
          <w:tcPr>
            <w:tcW w:w="1060" w:type="dxa"/>
            <w:vMerge/>
            <w:vAlign w:val="center"/>
            <w:hideMark/>
          </w:tcPr>
          <w:p w14:paraId="44C99B88" w14:textId="77777777" w:rsidR="00283DED" w:rsidRPr="00283DED" w:rsidRDefault="00283DED" w:rsidP="004932AA">
            <w:pPr>
              <w:pStyle w:val="Body"/>
              <w:spacing w:after="0"/>
              <w:rPr>
                <w:rFonts w:ascii="Arial" w:hAnsi="Arial" w:cs="Arial"/>
                <w:b/>
                <w:bCs/>
              </w:rPr>
            </w:pPr>
          </w:p>
        </w:tc>
        <w:tc>
          <w:tcPr>
            <w:tcW w:w="905" w:type="dxa"/>
            <w:vMerge/>
            <w:vAlign w:val="center"/>
            <w:hideMark/>
          </w:tcPr>
          <w:p w14:paraId="05609ACF" w14:textId="77777777" w:rsidR="00283DED" w:rsidRPr="00283DED" w:rsidRDefault="00283DED" w:rsidP="004932AA">
            <w:pPr>
              <w:pStyle w:val="Body"/>
              <w:spacing w:after="0"/>
              <w:rPr>
                <w:rFonts w:ascii="Arial" w:hAnsi="Arial" w:cs="Arial"/>
                <w:b/>
                <w:bCs/>
              </w:rPr>
            </w:pPr>
          </w:p>
        </w:tc>
      </w:tr>
      <w:tr w:rsidR="00283DED" w:rsidRPr="00283DED" w14:paraId="7D803F5D" w14:textId="77777777" w:rsidTr="004932AA">
        <w:trPr>
          <w:trHeight w:val="600"/>
        </w:trPr>
        <w:tc>
          <w:tcPr>
            <w:tcW w:w="1999" w:type="dxa"/>
            <w:vMerge w:val="restart"/>
            <w:vAlign w:val="center"/>
            <w:hideMark/>
          </w:tcPr>
          <w:p w14:paraId="677C052C" w14:textId="77777777" w:rsidR="00283DED" w:rsidRPr="00283DED" w:rsidRDefault="00283DED" w:rsidP="004932AA">
            <w:pPr>
              <w:pStyle w:val="Body"/>
              <w:spacing w:after="0"/>
              <w:rPr>
                <w:rFonts w:ascii="Arial" w:hAnsi="Arial" w:cs="Arial"/>
              </w:rPr>
            </w:pPr>
            <w:r w:rsidRPr="00283DED">
              <w:rPr>
                <w:rFonts w:ascii="Arial" w:hAnsi="Arial" w:cs="Arial"/>
              </w:rPr>
              <w:t>Nearest Neighbor Matching Method</w:t>
            </w:r>
          </w:p>
        </w:tc>
        <w:tc>
          <w:tcPr>
            <w:tcW w:w="1889" w:type="dxa"/>
            <w:vAlign w:val="bottom"/>
            <w:hideMark/>
          </w:tcPr>
          <w:p w14:paraId="1BDF63A5" w14:textId="77777777" w:rsidR="00283DED" w:rsidRPr="00283DED" w:rsidRDefault="00283DED" w:rsidP="004932AA">
            <w:pPr>
              <w:pStyle w:val="Body"/>
              <w:spacing w:after="0"/>
              <w:rPr>
                <w:rFonts w:ascii="Arial" w:hAnsi="Arial" w:cs="Arial"/>
              </w:rPr>
            </w:pPr>
            <w:r w:rsidRPr="00283DED">
              <w:rPr>
                <w:rFonts w:ascii="Arial" w:hAnsi="Arial" w:cs="Arial"/>
              </w:rPr>
              <w:t>Persons with Disabilities</w:t>
            </w:r>
          </w:p>
        </w:tc>
        <w:tc>
          <w:tcPr>
            <w:tcW w:w="1295" w:type="dxa"/>
            <w:vAlign w:val="center"/>
            <w:hideMark/>
          </w:tcPr>
          <w:p w14:paraId="63FE71AD" w14:textId="77777777" w:rsidR="00283DED" w:rsidRPr="00283DED" w:rsidRDefault="00283DED" w:rsidP="004932AA">
            <w:pPr>
              <w:pStyle w:val="Body"/>
              <w:spacing w:after="0"/>
              <w:rPr>
                <w:rFonts w:ascii="Arial" w:hAnsi="Arial" w:cs="Arial"/>
              </w:rPr>
            </w:pPr>
            <w:r w:rsidRPr="00283DED">
              <w:rPr>
                <w:rFonts w:ascii="Arial" w:hAnsi="Arial" w:cs="Arial"/>
              </w:rPr>
              <w:t>502</w:t>
            </w:r>
          </w:p>
        </w:tc>
        <w:tc>
          <w:tcPr>
            <w:tcW w:w="1240" w:type="dxa"/>
            <w:noWrap/>
            <w:vAlign w:val="center"/>
            <w:hideMark/>
          </w:tcPr>
          <w:p w14:paraId="335BF7A7" w14:textId="77777777" w:rsidR="00283DED" w:rsidRPr="00283DED" w:rsidRDefault="00283DED" w:rsidP="004932AA">
            <w:pPr>
              <w:pStyle w:val="Body"/>
              <w:spacing w:after="0"/>
              <w:rPr>
                <w:rFonts w:ascii="Arial" w:hAnsi="Arial" w:cs="Arial"/>
              </w:rPr>
            </w:pPr>
            <w:r w:rsidRPr="00283DED">
              <w:rPr>
                <w:rFonts w:ascii="Arial" w:hAnsi="Arial" w:cs="Arial"/>
              </w:rPr>
              <w:t>286</w:t>
            </w:r>
          </w:p>
        </w:tc>
        <w:tc>
          <w:tcPr>
            <w:tcW w:w="1060" w:type="dxa"/>
            <w:noWrap/>
            <w:vAlign w:val="center"/>
            <w:hideMark/>
          </w:tcPr>
          <w:p w14:paraId="6A389A88" w14:textId="77777777" w:rsidR="00283DED" w:rsidRPr="00283DED" w:rsidRDefault="00283DED" w:rsidP="004932AA">
            <w:pPr>
              <w:pStyle w:val="Body"/>
              <w:spacing w:after="0"/>
              <w:rPr>
                <w:rFonts w:ascii="Arial" w:hAnsi="Arial" w:cs="Arial"/>
              </w:rPr>
            </w:pPr>
            <w:r w:rsidRPr="00283DED">
              <w:rPr>
                <w:rFonts w:ascii="Arial" w:hAnsi="Arial" w:cs="Arial"/>
              </w:rPr>
              <w:t>0.105</w:t>
            </w:r>
          </w:p>
        </w:tc>
        <w:tc>
          <w:tcPr>
            <w:tcW w:w="905" w:type="dxa"/>
            <w:noWrap/>
            <w:vAlign w:val="center"/>
            <w:hideMark/>
          </w:tcPr>
          <w:p w14:paraId="188D3D95" w14:textId="77777777" w:rsidR="00283DED" w:rsidRPr="00283DED" w:rsidRDefault="00283DED" w:rsidP="004932AA">
            <w:pPr>
              <w:pStyle w:val="Body"/>
              <w:spacing w:after="0"/>
              <w:rPr>
                <w:rFonts w:ascii="Arial" w:hAnsi="Arial" w:cs="Arial"/>
              </w:rPr>
            </w:pPr>
            <w:r w:rsidRPr="00283DED">
              <w:rPr>
                <w:rFonts w:ascii="Arial" w:hAnsi="Arial" w:cs="Arial"/>
              </w:rPr>
              <w:t>0.04</w:t>
            </w:r>
          </w:p>
        </w:tc>
      </w:tr>
      <w:tr w:rsidR="00283DED" w:rsidRPr="00283DED" w14:paraId="606A53E0" w14:textId="77777777" w:rsidTr="004932AA">
        <w:trPr>
          <w:trHeight w:val="555"/>
        </w:trPr>
        <w:tc>
          <w:tcPr>
            <w:tcW w:w="1999" w:type="dxa"/>
            <w:vMerge/>
            <w:vAlign w:val="center"/>
            <w:hideMark/>
          </w:tcPr>
          <w:p w14:paraId="3C0BC281" w14:textId="77777777" w:rsidR="00283DED" w:rsidRPr="00283DED" w:rsidRDefault="00283DED" w:rsidP="004932AA">
            <w:pPr>
              <w:pStyle w:val="Body"/>
              <w:spacing w:after="0"/>
              <w:rPr>
                <w:rFonts w:ascii="Arial" w:hAnsi="Arial" w:cs="Arial"/>
              </w:rPr>
            </w:pPr>
          </w:p>
        </w:tc>
        <w:tc>
          <w:tcPr>
            <w:tcW w:w="1889" w:type="dxa"/>
            <w:vAlign w:val="bottom"/>
            <w:hideMark/>
          </w:tcPr>
          <w:p w14:paraId="2A31A21C" w14:textId="77777777" w:rsidR="00283DED" w:rsidRPr="00283DED" w:rsidRDefault="00283DED" w:rsidP="004932AA">
            <w:pPr>
              <w:pStyle w:val="Body"/>
              <w:spacing w:after="0"/>
              <w:rPr>
                <w:rFonts w:ascii="Arial" w:hAnsi="Arial" w:cs="Arial"/>
              </w:rPr>
            </w:pPr>
            <w:r w:rsidRPr="00283DED">
              <w:rPr>
                <w:rFonts w:ascii="Arial" w:hAnsi="Arial" w:cs="Arial"/>
              </w:rPr>
              <w:t>Non-Disabled</w:t>
            </w:r>
          </w:p>
        </w:tc>
        <w:tc>
          <w:tcPr>
            <w:tcW w:w="1295" w:type="dxa"/>
            <w:noWrap/>
            <w:vAlign w:val="bottom"/>
            <w:hideMark/>
          </w:tcPr>
          <w:p w14:paraId="4D24DE71" w14:textId="77777777" w:rsidR="00283DED" w:rsidRPr="00283DED" w:rsidRDefault="00283DED" w:rsidP="004932AA">
            <w:pPr>
              <w:pStyle w:val="Body"/>
              <w:spacing w:after="0"/>
              <w:rPr>
                <w:rFonts w:ascii="Arial" w:hAnsi="Arial" w:cs="Arial"/>
              </w:rPr>
            </w:pPr>
            <w:r w:rsidRPr="00283DED">
              <w:rPr>
                <w:rFonts w:ascii="Arial" w:hAnsi="Arial" w:cs="Arial"/>
              </w:rPr>
              <w:t>10095</w:t>
            </w:r>
          </w:p>
        </w:tc>
        <w:tc>
          <w:tcPr>
            <w:tcW w:w="1240" w:type="dxa"/>
            <w:noWrap/>
            <w:vAlign w:val="bottom"/>
            <w:hideMark/>
          </w:tcPr>
          <w:p w14:paraId="1A767FD4" w14:textId="77777777" w:rsidR="00283DED" w:rsidRPr="00283DED" w:rsidRDefault="00283DED" w:rsidP="004932AA">
            <w:pPr>
              <w:pStyle w:val="Body"/>
              <w:spacing w:after="0"/>
              <w:rPr>
                <w:rFonts w:ascii="Arial" w:hAnsi="Arial" w:cs="Arial"/>
              </w:rPr>
            </w:pPr>
            <w:r w:rsidRPr="00283DED">
              <w:rPr>
                <w:rFonts w:ascii="Arial" w:hAnsi="Arial" w:cs="Arial"/>
              </w:rPr>
              <w:t>2178</w:t>
            </w:r>
          </w:p>
        </w:tc>
        <w:tc>
          <w:tcPr>
            <w:tcW w:w="1060" w:type="dxa"/>
            <w:noWrap/>
            <w:vAlign w:val="bottom"/>
            <w:hideMark/>
          </w:tcPr>
          <w:p w14:paraId="4F129546" w14:textId="77777777" w:rsidR="00283DED" w:rsidRPr="00283DED" w:rsidRDefault="00283DED" w:rsidP="004932AA">
            <w:pPr>
              <w:pStyle w:val="Body"/>
              <w:spacing w:after="0"/>
              <w:rPr>
                <w:rFonts w:ascii="Arial" w:hAnsi="Arial" w:cs="Arial"/>
              </w:rPr>
            </w:pPr>
            <w:r w:rsidRPr="00283DED">
              <w:rPr>
                <w:rFonts w:ascii="Arial" w:hAnsi="Arial" w:cs="Arial"/>
              </w:rPr>
              <w:t>0.012</w:t>
            </w:r>
          </w:p>
        </w:tc>
        <w:tc>
          <w:tcPr>
            <w:tcW w:w="905" w:type="dxa"/>
            <w:noWrap/>
            <w:vAlign w:val="bottom"/>
            <w:hideMark/>
          </w:tcPr>
          <w:p w14:paraId="16F56D2F" w14:textId="77777777" w:rsidR="00283DED" w:rsidRPr="00283DED" w:rsidRDefault="00283DED" w:rsidP="004932AA">
            <w:pPr>
              <w:pStyle w:val="Body"/>
              <w:spacing w:after="0"/>
              <w:rPr>
                <w:rFonts w:ascii="Arial" w:hAnsi="Arial" w:cs="Arial"/>
              </w:rPr>
            </w:pPr>
            <w:r w:rsidRPr="00283DED">
              <w:rPr>
                <w:rFonts w:ascii="Arial" w:hAnsi="Arial" w:cs="Arial"/>
              </w:rPr>
              <w:t>0.02</w:t>
            </w:r>
          </w:p>
        </w:tc>
      </w:tr>
    </w:tbl>
    <w:p w14:paraId="6A20B43B" w14:textId="77777777" w:rsidR="00283DED" w:rsidRPr="00283DED" w:rsidRDefault="00283DED" w:rsidP="004932AA">
      <w:pPr>
        <w:pStyle w:val="Body"/>
        <w:spacing w:after="0"/>
        <w:rPr>
          <w:rFonts w:ascii="Arial" w:hAnsi="Arial" w:cs="Arial"/>
          <w:b/>
        </w:rPr>
      </w:pPr>
      <w:r w:rsidRPr="00283DED">
        <w:rPr>
          <w:rFonts w:ascii="Arial" w:hAnsi="Arial" w:cs="Arial"/>
          <w:bCs/>
        </w:rPr>
        <w:t>Source: Data processed by the author</w:t>
      </w:r>
    </w:p>
    <w:p w14:paraId="03AF1EF1" w14:textId="77777777" w:rsidR="00283DED" w:rsidRPr="00283DED" w:rsidRDefault="00283DED" w:rsidP="004932AA">
      <w:pPr>
        <w:pStyle w:val="Body"/>
        <w:spacing w:after="0"/>
        <w:rPr>
          <w:rFonts w:ascii="Arial" w:hAnsi="Arial" w:cs="Arial"/>
          <w:b/>
          <w:bCs/>
        </w:rPr>
      </w:pPr>
    </w:p>
    <w:p w14:paraId="7042BF6A" w14:textId="5B28AB45" w:rsidR="00283DED" w:rsidRPr="00283DED" w:rsidRDefault="00283DED" w:rsidP="004932AA">
      <w:pPr>
        <w:pStyle w:val="Body"/>
        <w:spacing w:after="0"/>
        <w:rPr>
          <w:rFonts w:ascii="Arial" w:hAnsi="Arial" w:cs="Arial"/>
        </w:rPr>
      </w:pPr>
      <w:r w:rsidRPr="00283DED">
        <w:rPr>
          <w:rFonts w:ascii="Arial" w:hAnsi="Arial" w:cs="Arial"/>
          <w:b/>
          <w:bCs/>
        </w:rPr>
        <w:t xml:space="preserve">Table </w:t>
      </w:r>
      <w:r w:rsidR="00D91695">
        <w:rPr>
          <w:rFonts w:ascii="Arial" w:hAnsi="Arial" w:cs="Arial"/>
          <w:b/>
          <w:bCs/>
        </w:rPr>
        <w:t>5</w:t>
      </w:r>
      <w:r w:rsidRPr="00283DED">
        <w:rPr>
          <w:rFonts w:ascii="Arial" w:hAnsi="Arial" w:cs="Arial"/>
        </w:rPr>
        <w:t xml:space="preserve"> shows that the ATT value for individuals with disabilities is 0.105, indicating that social participation increases the likelihood of obtaining employment by 10.5%. Conversely, the ATT value for non-disabled individuals is only 0.012, reflecting a much smaller increase of 1.2%. This suggests that the impact of social participation is significantly greater for individuals with disabilities compared to their non-disabled counterparts.</w:t>
      </w:r>
    </w:p>
    <w:p w14:paraId="4BB64ABB" w14:textId="77777777" w:rsidR="00283DED" w:rsidRDefault="00283DED" w:rsidP="004932AA">
      <w:pPr>
        <w:pStyle w:val="Body"/>
        <w:spacing w:after="0"/>
        <w:rPr>
          <w:rFonts w:ascii="Arial" w:hAnsi="Arial" w:cs="Arial"/>
        </w:rPr>
      </w:pPr>
    </w:p>
    <w:p w14:paraId="2B5DC047" w14:textId="3174862A" w:rsidR="00283DED" w:rsidRPr="00283DED" w:rsidRDefault="00283DED" w:rsidP="004932AA">
      <w:pPr>
        <w:pStyle w:val="Body"/>
        <w:spacing w:after="0"/>
        <w:rPr>
          <w:rFonts w:ascii="Arial" w:hAnsi="Arial" w:cs="Arial"/>
          <w:b/>
        </w:rPr>
      </w:pPr>
      <w:r>
        <w:rPr>
          <w:rFonts w:ascii="Arial" w:hAnsi="Arial" w:cs="Arial"/>
          <w:b/>
        </w:rPr>
        <w:t xml:space="preserve">3.6 </w:t>
      </w:r>
      <w:r w:rsidRPr="00283DED">
        <w:rPr>
          <w:rFonts w:ascii="Arial" w:hAnsi="Arial" w:cs="Arial"/>
          <w:b/>
        </w:rPr>
        <w:t>Discussion</w:t>
      </w:r>
    </w:p>
    <w:p w14:paraId="46A61D30" w14:textId="28CD1139" w:rsidR="00283DED" w:rsidRDefault="00283DED" w:rsidP="004932AA">
      <w:pPr>
        <w:pStyle w:val="Body"/>
        <w:spacing w:after="0"/>
        <w:rPr>
          <w:rFonts w:ascii="Arial" w:hAnsi="Arial" w:cs="Arial"/>
          <w:bCs/>
        </w:rPr>
      </w:pPr>
      <w:r w:rsidRPr="00283DED">
        <w:rPr>
          <w:rFonts w:ascii="Arial" w:hAnsi="Arial" w:cs="Arial"/>
          <w:bCs/>
        </w:rPr>
        <w:t>This study explores the impact of social participation on employment opportunities for individuals with and without disabilities. The analysis provides insights into how factors such as education, training, and digital technology influence social participation and employment prospects</w:t>
      </w:r>
      <w:r w:rsidR="00A231B3">
        <w:rPr>
          <w:rFonts w:ascii="Arial" w:hAnsi="Arial" w:cs="Arial"/>
          <w:bCs/>
        </w:rPr>
        <w:t xml:space="preserve"> </w:t>
      </w:r>
      <w:r w:rsidR="00A231B3" w:rsidRPr="00A231B3">
        <w:rPr>
          <w:rFonts w:ascii="Arial" w:hAnsi="Arial" w:cs="Arial"/>
          <w:bCs/>
        </w:rPr>
        <w:t xml:space="preserve">within the DKI Jakarta </w:t>
      </w:r>
      <w:proofErr w:type="spellStart"/>
      <w:r w:rsidR="00A231B3" w:rsidRPr="00A231B3">
        <w:rPr>
          <w:rFonts w:ascii="Arial" w:hAnsi="Arial" w:cs="Arial"/>
          <w:bCs/>
        </w:rPr>
        <w:t>Sakernas</w:t>
      </w:r>
      <w:proofErr w:type="spellEnd"/>
      <w:r w:rsidR="00A231B3" w:rsidRPr="00A231B3">
        <w:rPr>
          <w:rFonts w:ascii="Arial" w:hAnsi="Arial" w:cs="Arial"/>
          <w:bCs/>
        </w:rPr>
        <w:t xml:space="preserve"> sub-sample</w:t>
      </w:r>
      <w:r w:rsidRPr="00283DED">
        <w:rPr>
          <w:rFonts w:ascii="Arial" w:hAnsi="Arial" w:cs="Arial"/>
          <w:bCs/>
        </w:rPr>
        <w:t>.</w:t>
      </w:r>
    </w:p>
    <w:p w14:paraId="0E8E0A1F" w14:textId="77777777" w:rsidR="004932AA" w:rsidRPr="00283DED" w:rsidRDefault="004932AA" w:rsidP="004932AA">
      <w:pPr>
        <w:pStyle w:val="Body"/>
        <w:spacing w:after="0"/>
        <w:rPr>
          <w:rFonts w:ascii="Arial" w:hAnsi="Arial" w:cs="Arial"/>
          <w:bCs/>
        </w:rPr>
      </w:pPr>
    </w:p>
    <w:p w14:paraId="6DBA9985" w14:textId="77777777" w:rsidR="00283DED" w:rsidRDefault="00283DED" w:rsidP="004932AA">
      <w:pPr>
        <w:pStyle w:val="Body"/>
        <w:spacing w:after="0"/>
        <w:rPr>
          <w:rFonts w:ascii="Arial" w:hAnsi="Arial" w:cs="Arial"/>
          <w:bCs/>
        </w:rPr>
      </w:pPr>
      <w:r w:rsidRPr="00283DED">
        <w:rPr>
          <w:rFonts w:ascii="Arial" w:hAnsi="Arial" w:cs="Arial"/>
          <w:bCs/>
        </w:rPr>
        <w:t>Figure 1 shows the distribution of the sample by disability type, with the majority of respondents reporting visual impairments (29.28%) and mental disabilities (23.83%). Hearing (8.49%) and communication disabilities (5.83%) were less common. This diversity reflects the different challenges faced by individuals with disabilities in the workforce, offering a comprehensive basis for examining how social participation impacts various disability groups and for developing interventions to improve their work-related social activities.</w:t>
      </w:r>
    </w:p>
    <w:p w14:paraId="112D88BD" w14:textId="77777777" w:rsidR="004932AA" w:rsidRPr="00283DED" w:rsidRDefault="004932AA" w:rsidP="004932AA">
      <w:pPr>
        <w:pStyle w:val="Body"/>
        <w:spacing w:after="0"/>
        <w:rPr>
          <w:rFonts w:ascii="Arial" w:hAnsi="Arial" w:cs="Arial"/>
          <w:bCs/>
        </w:rPr>
      </w:pPr>
    </w:p>
    <w:p w14:paraId="2AA0706A" w14:textId="27845376" w:rsidR="00283DED" w:rsidRDefault="00283DED" w:rsidP="004932AA">
      <w:pPr>
        <w:pStyle w:val="Body"/>
        <w:spacing w:after="0"/>
        <w:rPr>
          <w:rFonts w:ascii="Arial" w:hAnsi="Arial" w:cs="Arial"/>
          <w:bCs/>
        </w:rPr>
      </w:pPr>
      <w:r w:rsidRPr="00283DED">
        <w:rPr>
          <w:rFonts w:ascii="Arial" w:hAnsi="Arial" w:cs="Arial"/>
          <w:bCs/>
        </w:rPr>
        <w:t xml:space="preserve">Table 2 compares the levels of social participation between individuals with and without disabilities. Results indicate that 63.62% of individuals with disabilities actively participate in social activities, compared to 82.25% of non-disabled individuals. Conversely, 36.38% of individuals with disabilities do not engage in social participation, compared to 17.75% of non-disabled individuals. This significant disparity highlights the barriers faced by individuals with disabilities, such as limited accessibility, social stigma, and a lack of support in workplace and social settings </w:t>
      </w:r>
      <w:r w:rsidRPr="00283DED">
        <w:rPr>
          <w:rFonts w:ascii="Arial" w:hAnsi="Arial" w:cs="Arial"/>
          <w:bCs/>
        </w:rPr>
        <w:fldChar w:fldCharType="begin" w:fldLock="1"/>
      </w:r>
      <w:r w:rsidRPr="00283DED">
        <w:rPr>
          <w:rFonts w:ascii="Arial" w:hAnsi="Arial" w:cs="Arial"/>
          <w:bCs/>
        </w:rPr>
        <w:instrText>ADDIN CSL_CITATION {"citationItems":[{"id":"ITEM-1","itemData":{"author":[{"dropping-particle":"","family":"Bard","given":"Jennifer S","non-dropping-particle":"","parse-names":false,"suffix":""}],"container-title":"U. Pa. JL &amp; Pub. Aff.","id":"ITEM-1","issued":{"date-parts":[["2020"]]},"page":"489","publisher":"HeinOnline","title":"Lifting the barriers excluding people living with disabilities from the benefits of inclusion in research studies","type":"article-journal","volume":"6"},"uris":["http://www.mendeley.com/documents/?uuid=f664c03c-9017-460e-b168-f93120ce8830"]}],"mendeley":{"formattedCitation":"(Bard, 2020)","manualFormatting":"(Bard, 2020","plainTextFormattedCitation":"(Bard, 2020)","previouslyFormattedCitation":"(Bard, 2020)"},"properties":{"noteIndex":0},"schema":"https://github.com/citation-style-language/schema/raw/master/csl-citation.json"}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(Bard, 2020</w:t>
      </w:r>
      <w:r w:rsidRPr="00283DED">
        <w:rPr>
          <w:rFonts w:ascii="Arial" w:hAnsi="Arial" w:cs="Arial"/>
        </w:rPr>
        <w:fldChar w:fldCharType="end"/>
      </w:r>
      <w:r w:rsidRPr="00283DED">
        <w:rPr>
          <w:rFonts w:ascii="Arial" w:hAnsi="Arial" w:cs="Arial"/>
          <w:bCs/>
        </w:rPr>
        <w:t xml:space="preserve">; </w:t>
      </w:r>
      <w:r w:rsidRPr="00283DED">
        <w:rPr>
          <w:rFonts w:ascii="Arial" w:hAnsi="Arial" w:cs="Arial"/>
          <w:bCs/>
        </w:rPr>
        <w:fldChar w:fldCharType="begin" w:fldLock="1"/>
      </w:r>
      <w:r w:rsidRPr="00283DED">
        <w:rPr>
          <w:rFonts w:ascii="Arial" w:hAnsi="Arial" w:cs="Arial"/>
          <w:bCs/>
        </w:rPr>
        <w:instrText>ADDIN CSL_CITATION {"citationItems":[{"id":"ITEM-1","itemData":{"DOI":"10.2196/49750","author":[{"dropping-particle":"","family":"Ebuenyi","given":"Ikenna D","non-dropping-particle":"","parse-names":false,"suffix":""},{"dropping-particle":"","family":"Flocks-Monaghan","given":"Celina","non-dropping-particle":"","parse-names":false,"suffix":""},{"dropping-particle":"","family":"Rai","given":"Sarju S","non-dropping-particle":"","parse-names":false,"suffix":""},{"dropping-particle":"de","family":"Vries","given":"Ralph","non-dropping-particle":"","parse-names":false,"suffix":""},{"dropping-particle":"","family":"Bhuyan","given":"Soumitra S","non-dropping-particle":"","parse-names":false,"suffix":""},{"dropping-particle":"","family":"Pearlman","given":"Jonathan","non-dropping-particle":"","parse-names":false,"suffix":""},{"dropping-particle":"","family":"Jones","given":"Nev","non-dropping-particle":"","parse-names":false,"suffix":""}],"container-title":"Jmir Rehabilitation and Assistive Technologies","id":"ITEM-1","issued":{"date-parts":[["2023"]]},"page":"e49750","title":"Use of Assistive Technology for Persons With Psychosocial Disability: Systematic Review","type":"article-journal","volume":"10"},"uris":["http://www.mendeley.com/documents/?uuid=e08094be-62b9-4332-9011-1e4fa1c7ebc5"]}],"mendeley":{"formattedCitation":"(Ebuenyi et al., 2023)","manualFormatting":"Ebuenyi et al., 2023)","plainTextFormattedCitation":"(Ebuenyi et al., 2023)","previouslyFormattedCitation":"(Ebuenyi et al., 2023)"},"properties":{"noteIndex":0},"schema":"https://github.com/citation-style-language/schema/raw/master/csl-citation.json"}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Ebuenyi et al., 2023)</w:t>
      </w:r>
      <w:r w:rsidRPr="00283DED">
        <w:rPr>
          <w:rFonts w:ascii="Arial" w:hAnsi="Arial" w:cs="Arial"/>
        </w:rPr>
        <w:fldChar w:fldCharType="end"/>
      </w:r>
      <w:r w:rsidRPr="00283DED">
        <w:rPr>
          <w:rFonts w:ascii="Arial" w:hAnsi="Arial" w:cs="Arial"/>
          <w:bCs/>
        </w:rPr>
        <w:t xml:space="preserve">. Low levels of social participation among individuals with disabilities contribute to social exclusion, which further hampers their chances of securing employment and integrating into the </w:t>
      </w:r>
      <w:proofErr w:type="spellStart"/>
      <w:r w:rsidR="00736F52">
        <w:rPr>
          <w:rFonts w:ascii="Arial" w:hAnsi="Arial" w:cs="Arial"/>
          <w:bCs/>
        </w:rPr>
        <w:t>labour</w:t>
      </w:r>
      <w:proofErr w:type="spellEnd"/>
      <w:r w:rsidRPr="00283DED">
        <w:rPr>
          <w:rFonts w:ascii="Arial" w:hAnsi="Arial" w:cs="Arial"/>
          <w:bCs/>
        </w:rPr>
        <w:t xml:space="preserve"> market.</w:t>
      </w:r>
    </w:p>
    <w:p w14:paraId="19174BE7" w14:textId="77777777" w:rsidR="004932AA" w:rsidRPr="00283DED" w:rsidRDefault="004932AA" w:rsidP="004932AA">
      <w:pPr>
        <w:pStyle w:val="Body"/>
        <w:spacing w:after="0"/>
        <w:rPr>
          <w:rFonts w:ascii="Arial" w:hAnsi="Arial" w:cs="Arial"/>
          <w:bCs/>
        </w:rPr>
      </w:pPr>
    </w:p>
    <w:p w14:paraId="680557F7" w14:textId="77777777" w:rsidR="00283DED" w:rsidRDefault="00283DED" w:rsidP="004932AA">
      <w:pPr>
        <w:pStyle w:val="Body"/>
        <w:spacing w:after="0"/>
        <w:rPr>
          <w:rFonts w:ascii="Arial" w:hAnsi="Arial" w:cs="Arial"/>
          <w:bCs/>
        </w:rPr>
      </w:pPr>
      <w:r w:rsidRPr="00283DED">
        <w:rPr>
          <w:rFonts w:ascii="Arial" w:hAnsi="Arial" w:cs="Arial"/>
          <w:bCs/>
        </w:rPr>
        <w:t xml:space="preserve">The probit regression results in Table 3 reveal that education, training, and the interaction between education and digital technology have varying effects on social participation in both groups. The interaction of education and digital technology shows a significant and strong impact on both groups, highlighting the importance of integrating education with technology to enhance social engagement. Digital platforms provide individuals with disabilities the </w:t>
      </w:r>
      <w:r w:rsidRPr="00283DED">
        <w:rPr>
          <w:rFonts w:ascii="Arial" w:hAnsi="Arial" w:cs="Arial"/>
          <w:bCs/>
        </w:rPr>
        <w:lastRenderedPageBreak/>
        <w:t xml:space="preserve">opportunity to interact with the world, reduce physical barriers, and offer more flexible work opportunities </w:t>
      </w:r>
      <w:r w:rsidRPr="00283DED">
        <w:rPr>
          <w:rFonts w:ascii="Arial" w:hAnsi="Arial" w:cs="Arial"/>
          <w:bCs/>
        </w:rPr>
        <w:fldChar w:fldCharType="begin" w:fldLock="1"/>
      </w:r>
      <w:r w:rsidRPr="00283DED">
        <w:rPr>
          <w:rFonts w:ascii="Arial" w:hAnsi="Arial" w:cs="Arial"/>
          <w:bCs/>
        </w:rPr>
        <w:instrText>ADDIN CSL_CITATION {"citationItems":[{"id":"ITEM-1","itemData":{"DOI":"10.1007/s12553-018-0239-1","ISSN":"21907196","abstract":"Information technology can be an important facilitator of social inclusion for people with disabilities into society. However, the goals specified in this area by organizations such as the European Commission have not yet been achieved in their totality. The aim of this paper is to explore which types of information communication technology-based applications and/or digital services have been suggested to facilitate the social integration of people who suffer from different types of disabilities. We performed a literature review that included studies published during a period of 6 years (2010–2016). The results show that, in the data we have had access to, no concrete patterns can be identified regarding the type of technology or technological trends that can be used to support the social integration of individuals with disabilities. This literature review is of relevance to the identification of further research areas and to the identification of issues which have to be considered in the context of the development and implementation of technological innovations that are aimed at promoting or facilitating social inclusion of individuals with disabilities.","author":[{"dropping-particle":"","family":"Manzoor","given":"Mirfa","non-dropping-particle":"","parse-names":false,"suffix":""},{"dropping-particle":"","family":"Vimarlund","given":"Vivian","non-dropping-particle":"","parse-names":false,"suffix":""}],"container-title":"Health and Technology","id":"ITEM-1","issue":"5","issued":{"date-parts":[["2018"]]},"page":"377-390","publisher":"Health and Technology","title":"Digital technologies for social inclusion of individuals with disabilities","type":"article-journal","volume":"8"},"uris":["http://www.mendeley.com/documents/?uuid=fa688a98-0083-4456-8927-81b373f86698"]}],"mendeley":{"formattedCitation":"(Manzoor &amp; Vimarlund, 2018)","plainTextFormattedCitation":"(Manzoor &amp; Vimarlund, 2018)","previouslyFormattedCitation":"(Manzoor &amp; Vimarlund, 2018)"},"properties":{"noteIndex":0},"schema":"https://github.com/citation-style-language/schema/raw/master/csl-citation.json"}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(Manzoor &amp; Vimarlund, 2018)</w:t>
      </w:r>
      <w:r w:rsidRPr="00283DED">
        <w:rPr>
          <w:rFonts w:ascii="Arial" w:hAnsi="Arial" w:cs="Arial"/>
        </w:rPr>
        <w:fldChar w:fldCharType="end"/>
      </w:r>
      <w:r w:rsidRPr="00283DED">
        <w:rPr>
          <w:rFonts w:ascii="Arial" w:hAnsi="Arial" w:cs="Arial"/>
          <w:bCs/>
        </w:rPr>
        <w:t>.</w:t>
      </w:r>
    </w:p>
    <w:p w14:paraId="5A458A71" w14:textId="77777777" w:rsidR="004932AA" w:rsidRPr="00283DED" w:rsidRDefault="004932AA" w:rsidP="004932AA">
      <w:pPr>
        <w:pStyle w:val="Body"/>
        <w:spacing w:after="0"/>
        <w:rPr>
          <w:rFonts w:ascii="Arial" w:hAnsi="Arial" w:cs="Arial"/>
          <w:bCs/>
        </w:rPr>
      </w:pPr>
    </w:p>
    <w:p w14:paraId="300C872F" w14:textId="34541DE1" w:rsidR="00283DED" w:rsidRDefault="00283DED" w:rsidP="004932AA">
      <w:pPr>
        <w:pStyle w:val="Body"/>
        <w:spacing w:after="0"/>
        <w:rPr>
          <w:rFonts w:ascii="Arial" w:hAnsi="Arial" w:cs="Arial"/>
          <w:bCs/>
        </w:rPr>
      </w:pPr>
      <w:r w:rsidRPr="00283DED">
        <w:rPr>
          <w:rFonts w:ascii="Arial" w:hAnsi="Arial" w:cs="Arial"/>
          <w:bCs/>
        </w:rPr>
        <w:t xml:space="preserve">Education significantly affects social participation, but its impact is greater for non-disabled individuals, likely due to better access to educational resources. Individuals with disabilities often face challenges in accessing inclusive education, limiting their ability to acquire skills for active participation, which ultimately impacts their economic outcomes </w:t>
      </w:r>
      <w:r w:rsidRPr="00283DED">
        <w:rPr>
          <w:rFonts w:ascii="Arial" w:hAnsi="Arial" w:cs="Arial"/>
          <w:bCs/>
        </w:rPr>
        <w:fldChar w:fldCharType="begin" w:fldLock="1"/>
      </w:r>
      <w:r w:rsidRPr="00283DED">
        <w:rPr>
          <w:rFonts w:ascii="Arial" w:hAnsi="Arial" w:cs="Arial"/>
          <w:bCs/>
        </w:rPr>
        <w:instrText>ADDIN CSL_CITATION {"citationItems":[{"id":"ITEM-1","itemData":{"author":[{"dropping-particle":"","family":"Sari","given":"Putri Meliza","non-dropping-particle":"","parse-names":false,"suffix":""},{"dropping-particle":"","family":"Bachtiar","given":"Nasri","non-dropping-particle":"","parse-names":false,"suffix":""},{"dropping-particle":"","family":"Taifur","given":"Werry Darta","non-dropping-particle":"","parse-names":false,"suffix":""}],"container-title":"Journal Of Management, Accounting, General Finance and International Economic Issues (MARGINAL)","id":"ITEM-1","issue":"1","issued":{"date-parts":[["2023"]]},"page":"182-196","title":"Exploring the Correlation Between Education and Income: the Impact of Education on Person with Bisabilities in the Formal Sector","type":"article-journal","volume":"3"},"uris":["http://www.mendeley.com/documents/?uuid=382606d5-18cb-4bf0-9053-3adba1990a0d"]}],"mendeley":{"formattedCitation":"(Sari et al., 2023)","manualFormatting":"(Sari et al., 2023","plainTextFormattedCitation":"(Sari et al., 2023)","previouslyFormattedCitation":"(Sari et al., 2023)"},"properties":{"noteIndex":0},"schema":"https://github.com/citation-style-language/schema/raw/master/csl-citation.json"}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(Sari et al., 2023</w:t>
      </w:r>
      <w:r w:rsidRPr="00283DED">
        <w:rPr>
          <w:rFonts w:ascii="Arial" w:hAnsi="Arial" w:cs="Arial"/>
        </w:rPr>
        <w:fldChar w:fldCharType="end"/>
      </w:r>
      <w:r w:rsidRPr="00283DED">
        <w:rPr>
          <w:rFonts w:ascii="Arial" w:hAnsi="Arial" w:cs="Arial"/>
          <w:bCs/>
        </w:rPr>
        <w:t xml:space="preserve">; </w:t>
      </w:r>
      <w:r w:rsidRPr="00283DED">
        <w:rPr>
          <w:rFonts w:ascii="Arial" w:hAnsi="Arial" w:cs="Arial"/>
          <w:bCs/>
        </w:rPr>
        <w:fldChar w:fldCharType="begin" w:fldLock="1"/>
      </w:r>
      <w:r w:rsidRPr="00283DED">
        <w:rPr>
          <w:rFonts w:ascii="Arial" w:hAnsi="Arial" w:cs="Arial"/>
          <w:bCs/>
        </w:rPr>
        <w:instrText>ADDIN CSL_CITATION {"citationItems":[{"id":"ITEM-1","itemData":{"DOI":"10.3390/disabilities1040030","ISSN":"26737272","abstract":"Due to changes in legislation and policy in the United States, higher education has become more available to people with intellectual disability (ID). Currently, over 6000 students with ID are enrolled in 310 colleges and universities. In the past decade, the federal government has invested over 100 million dollars in a model demonstration program aimed at institutions of higher education to create, expand, or enhance high-quality, inclusive higher education experiences to support positive outcomes for individuals with ID. This article will describe the impetus and impact of this funding as well as related changes in policy and practice. With the emergence of these opportunities, a field of research has emerged, offering new knowledge about what higher education can offer to students with ID as well as the positive impact these students have on their peers, professors, and campus communities. We have also begun to see documentation of more long-term impacts of higher education on students’ employment, independent living outcomes, and life satisfaction. By describing these policy, practice, and research developments, this article will provide readers with a better understanding of the background, current status, and future needs of the field of inclusive higher education for people with ID in the United States and potential takeaways for similar stakeholders in other countries.","author":[{"dropping-particle":"","family":"Grigal","given":"Meg","non-dropping-particle":"","parse-names":false,"suffix":""},{"dropping-particle":"","family":"Dukes","given":"Lyman L.","non-dropping-particle":"","parse-names":false,"suffix":""},{"dropping-particle":"","family":"Walker","given":"Zachary","non-dropping-particle":"","parse-names":false,"suffix":""}],"container-title":"Disabilities","id":"ITEM-1","issue":"4","issued":{"date-parts":[["2021"]]},"page":"438-449","title":"Advancing Access to Higher Education for Students with Intellectual Disability in the United States","type":"article-journal","volume":"1"},"uris":["http://www.mendeley.com/documents/?uuid=8b0d3545-0f62-4ad8-86f6-921409a389e5"]}],"mendeley":{"formattedCitation":"(Grigal et al., 2021)","manualFormatting":"Grigal et al., 2021","plainTextFormattedCitation":"(Grigal et al., 2021)","previouslyFormattedCitation":"(Grigal et al., 2021)"},"properties":{"noteIndex":0},"schema":"https://github.com/citation-style-language/schema/raw/master/csl-citation.json"}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Grigal et al., 2021</w:t>
      </w:r>
      <w:r w:rsidRPr="00283DED">
        <w:rPr>
          <w:rFonts w:ascii="Arial" w:hAnsi="Arial" w:cs="Arial"/>
        </w:rPr>
        <w:fldChar w:fldCharType="end"/>
      </w:r>
      <w:r w:rsidRPr="00283DED">
        <w:rPr>
          <w:rFonts w:ascii="Arial" w:hAnsi="Arial" w:cs="Arial"/>
          <w:bCs/>
        </w:rPr>
        <w:t xml:space="preserve">; </w:t>
      </w:r>
      <w:r w:rsidRPr="00283DED">
        <w:rPr>
          <w:rFonts w:ascii="Arial" w:hAnsi="Arial" w:cs="Arial"/>
          <w:bCs/>
        </w:rPr>
        <w:fldChar w:fldCharType="begin" w:fldLock="1"/>
      </w:r>
      <w:r w:rsidRPr="00283DED">
        <w:rPr>
          <w:rFonts w:ascii="Arial" w:hAnsi="Arial" w:cs="Arial"/>
          <w:bCs/>
        </w:rPr>
        <w:instrText>ADDIN CSL_CITATION {"citationItems":[{"id":"ITEM-1","itemData":{"DOI":"10.3233/JVR-150759","ISSN":"18786316","abstract":"OBJECTIVE: To examine the effect of college or university training on earnings of individuals with disabilities receiving services through the public vocational rehabilitation system. METHODS: A non-experimental case-control study design. Data for 178,290 individuals closed as successfully rehabilitation in fiscal year 2011 were extracted from the Rehabilitation Services Administration Case Service Report (RSA-911) database. RESULTS: Propensity scores were estimated based on demographic variables using the classification and regression tree (CART) method, which yielded six homogeneous subgroups, ranging from high propensity to received college or university training as a vocational rehabilitation intervention to low propensity to receive such service. Individuals who received college/university training had higher weekly earnings than those who did not, and had the greatest benefit for young adults; White, Asian, or Native American women with physical impairments; and people with mental impairments. CONCLUSION: College or university training should be considered as a viable and beneficial option to improve employment outcomes and job quality for individuals with disabilities.","author":[{"dropping-particle":"","family":"O'Neill","given":"John","non-dropping-particle":"","parse-names":false,"suffix":""},{"dropping-particle":"","family":"Kang","given":"Hyun Ju","non-dropping-particle":"","parse-names":false,"suffix":""},{"dropping-particle":"","family":"Sánchez","given":"Jennifer","non-dropping-particle":"","parse-names":false,"suffix":""},{"dropping-particle":"","family":"Muller","given":"Veronica","non-dropping-particle":"","parse-names":false,"suffix":""},{"dropping-particle":"","family":"Aldrich","given":"Holly","non-dropping-particle":"","parse-names":false,"suffix":""},{"dropping-particle":"","family":"Pfaller","given":"Joseph","non-dropping-particle":"","parse-names":false,"suffix":""},{"dropping-particle":"","family":"Chan","given":"Fong","non-dropping-particle":"","parse-names":false,"suffix":""}],"container-title":"Journal of Vocational Rehabilitation","id":"ITEM-1","issue":"2","issued":{"date-parts":[["2015"]]},"page":"93-102","title":"Effect of college or university training on earnings of people with disabilities: A case control study","type":"article-journal","volume":"43"},"uris":["http://www.mendeley.com/documents/?uuid=0efcc467-3d2b-4030-827a-46feba31c87a"]}],"mendeley":{"formattedCitation":"(O’Neill et al., 2015)","manualFormatting":"O’Neill et al., 2015)","plainTextFormattedCitation":"(O’Neill et al., 2015)","previouslyFormattedCitation":"(O’Neill et al., 2015)"},"properties":{"noteIndex":0},"schema":"https://github.com/citation-style-language/schema/raw/master/csl-citation.json"}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O’Neill et al., 2015)</w:t>
      </w:r>
      <w:r w:rsidRPr="00283DED">
        <w:rPr>
          <w:rFonts w:ascii="Arial" w:hAnsi="Arial" w:cs="Arial"/>
        </w:rPr>
        <w:fldChar w:fldCharType="end"/>
      </w:r>
      <w:r w:rsidRPr="00283DED">
        <w:rPr>
          <w:rFonts w:ascii="Arial" w:hAnsi="Arial" w:cs="Arial"/>
          <w:bCs/>
        </w:rPr>
        <w:t xml:space="preserve">. Training, however, has a significant effect only for non-disabled individuals, pointing to the limited access to structured and accessible training programs for people with disabilities </w:t>
      </w:r>
      <w:r w:rsidRPr="00283DED">
        <w:rPr>
          <w:rFonts w:ascii="Arial" w:hAnsi="Arial" w:cs="Arial"/>
          <w:bCs/>
        </w:rPr>
        <w:fldChar w:fldCharType="begin" w:fldLock="1"/>
      </w:r>
      <w:r w:rsidRPr="00283DED">
        <w:rPr>
          <w:rFonts w:ascii="Arial" w:hAnsi="Arial" w:cs="Arial"/>
          <w:bCs/>
        </w:rPr>
        <w:instrText>ADDIN CSL_CITATION {"citationItems":[{"id":"ITEM-1","itemData":{"DOI":"10.1147/JRD.2015.2453021","ISSN":"21518556","abstract":"Vocational training can bring significant benefits for people with disabilities (PwD), particularly in terms of self-esteem and autonomy. Nevertheless, only a small fraction of Brazilians with disabilities actually work, due to lack of job qualifications. In this paper, we report on the early progress of an ongoing research agenda that investigates new educational and social engagement technologies to facilitate the qualification and inclusion of PwD in the Brazilian labor market. Based on our experiences working with multiple disability populations in a series of exploratory studies, we discuss relevant aspects to be considered in the design and implementation of a vocational training platform targeted at PwD.","author":[{"dropping-particle":"","family":"Cardonha","given":"C. H.","non-dropping-particle":"","parse-names":false,"suffix":""},{"dropping-particle":"","family":"Guimarães","given":"R. L.","non-dropping-particle":"","parse-names":false,"suffix":""},{"dropping-particle":"","family":"Mattos","given":"A.","non-dropping-particle":"","parse-names":false,"suffix":""},{"dropping-particle":"","family":"Nogima","given":"J.","non-dropping-particle":"","parse-names":false,"suffix":""},{"dropping-particle":"","family":"Avegliano","given":"P.","non-dropping-particle":"","parse-names":false,"suffix":""},{"dropping-particle":"","family":"Gallo","given":"D.","non-dropping-particle":"","parse-names":false,"suffix":""},{"dropping-particle":"","family":"Herrmann","given":"R.","non-dropping-particle":"","parse-names":false,"suffix":""},{"dropping-particle":"","family":"Borger","given":"S.","non-dropping-particle":"","parse-names":false,"suffix":""}],"container-title":"IBM Journal of Research and Development","id":"ITEM-1","issue":"6","issued":{"date-parts":[["2015"]]},"page":"1-7","title":"Toward a platform to support vocational training of people with disabilities","type":"article-journal","volume":"59"},"uris":["http://www.mendeley.com/documents/?uuid=aac73ab1-1a9b-4cec-92ed-8c0a31e6c7cc"]}],"mendeley":{"formattedCitation":"(Cardonha et al., 2015)","plainTextFormattedCitation":"(Cardonha et al., 2015)","previouslyFormattedCitation":"(Cardonha et al., 2015)"},"properties":{"noteIndex":0},"schema":"https://github.com/citation-style-language/schema/raw/master/csl-citation.json"}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(Cardonha et al., 2015)</w:t>
      </w:r>
      <w:r w:rsidRPr="00283DED">
        <w:rPr>
          <w:rFonts w:ascii="Arial" w:hAnsi="Arial" w:cs="Arial"/>
        </w:rPr>
        <w:fldChar w:fldCharType="end"/>
      </w:r>
      <w:r w:rsidRPr="00283DED">
        <w:rPr>
          <w:rFonts w:ascii="Arial" w:hAnsi="Arial" w:cs="Arial"/>
          <w:bCs/>
        </w:rPr>
        <w:t>.</w:t>
      </w:r>
      <w:r w:rsidR="00A231B3">
        <w:rPr>
          <w:rFonts w:ascii="Arial" w:hAnsi="Arial" w:cs="Arial"/>
          <w:bCs/>
        </w:rPr>
        <w:t xml:space="preserve"> </w:t>
      </w:r>
      <w:r w:rsidR="00A231B3" w:rsidRPr="00A231B3">
        <w:rPr>
          <w:rFonts w:ascii="Arial" w:hAnsi="Arial" w:cs="Arial"/>
          <w:bCs/>
          <w:highlight w:val="yellow"/>
        </w:rPr>
        <w:t>This pattern may also indicate that available training is not sufficiently inclusive (e.g., accessibility of venues, materials, or delivery modes), reducing its association with participation among workers with disabilities</w:t>
      </w:r>
      <w:r w:rsidR="00A231B3" w:rsidRPr="00A231B3">
        <w:rPr>
          <w:rFonts w:ascii="Arial" w:hAnsi="Arial" w:cs="Arial"/>
          <w:bCs/>
        </w:rPr>
        <w:t>.</w:t>
      </w:r>
    </w:p>
    <w:p w14:paraId="1266CB72" w14:textId="77777777" w:rsidR="004932AA" w:rsidRPr="00283DED" w:rsidRDefault="004932AA" w:rsidP="004932AA">
      <w:pPr>
        <w:pStyle w:val="Body"/>
        <w:spacing w:after="0"/>
        <w:rPr>
          <w:rFonts w:ascii="Arial" w:hAnsi="Arial" w:cs="Arial"/>
          <w:bCs/>
        </w:rPr>
      </w:pPr>
    </w:p>
    <w:p w14:paraId="6BAAD17D" w14:textId="529894BE" w:rsidR="00283DED" w:rsidRDefault="00283DED" w:rsidP="004932AA">
      <w:pPr>
        <w:pStyle w:val="Body"/>
        <w:spacing w:after="0"/>
        <w:rPr>
          <w:rFonts w:ascii="Arial" w:hAnsi="Arial" w:cs="Arial"/>
          <w:bCs/>
        </w:rPr>
      </w:pPr>
      <w:r w:rsidRPr="00283DED">
        <w:rPr>
          <w:rFonts w:ascii="Arial" w:hAnsi="Arial" w:cs="Arial"/>
          <w:bCs/>
        </w:rPr>
        <w:t xml:space="preserve">Table </w:t>
      </w:r>
      <w:r w:rsidR="00D91695">
        <w:rPr>
          <w:rFonts w:ascii="Arial" w:hAnsi="Arial" w:cs="Arial"/>
          <w:bCs/>
        </w:rPr>
        <w:t>5</w:t>
      </w:r>
      <w:r w:rsidRPr="00283DED">
        <w:rPr>
          <w:rFonts w:ascii="Arial" w:hAnsi="Arial" w:cs="Arial"/>
          <w:bCs/>
        </w:rPr>
        <w:t xml:space="preserve"> presents the Average Treatment Effect on the Treated (ATT) estimates using the Nearest </w:t>
      </w:r>
      <w:proofErr w:type="spellStart"/>
      <w:r w:rsidR="00CD2D48">
        <w:rPr>
          <w:rFonts w:ascii="Arial" w:hAnsi="Arial" w:cs="Arial"/>
          <w:bCs/>
        </w:rPr>
        <w:t>Neighbour</w:t>
      </w:r>
      <w:proofErr w:type="spellEnd"/>
      <w:r w:rsidRPr="00283DED">
        <w:rPr>
          <w:rFonts w:ascii="Arial" w:hAnsi="Arial" w:cs="Arial"/>
          <w:bCs/>
        </w:rPr>
        <w:t xml:space="preserve"> Matching method. The ATT value for individuals with disabilities is 0.105, indicating that social participation increases the likelihood of employment by 10.5%. In contrast, the ATT for non-disabled individuals is only 0.012, a much smaller effect. These findings suggest that social participation has a greater impact on individuals with disabilities than on non-disabled individuals, aligning with social theories that </w:t>
      </w:r>
      <w:proofErr w:type="spellStart"/>
      <w:r w:rsidR="00CD2D48">
        <w:rPr>
          <w:rFonts w:ascii="Arial" w:hAnsi="Arial" w:cs="Arial"/>
          <w:bCs/>
        </w:rPr>
        <w:t>emphasise</w:t>
      </w:r>
      <w:proofErr w:type="spellEnd"/>
      <w:r w:rsidRPr="00283DED">
        <w:rPr>
          <w:rFonts w:ascii="Arial" w:hAnsi="Arial" w:cs="Arial"/>
          <w:bCs/>
        </w:rPr>
        <w:t xml:space="preserve"> the role of social participation in enhancing self-confidence, expanding social networks, and reducing stigma </w:t>
      </w:r>
      <w:r w:rsidRPr="00283DED">
        <w:rPr>
          <w:rFonts w:ascii="Arial" w:hAnsi="Arial" w:cs="Arial"/>
          <w:bCs/>
        </w:rPr>
        <w:fldChar w:fldCharType="begin" w:fldLock="1"/>
      </w:r>
      <w:r w:rsidRPr="00283DED">
        <w:rPr>
          <w:rFonts w:ascii="Arial" w:hAnsi="Arial" w:cs="Arial"/>
          <w:bCs/>
        </w:rPr>
        <w:instrText>ADDIN CSL_CITATION {"citationItems":[{"id":"ITEM-1","itemData":{"DOI":"10.1177/1745499917740654","ISSN":"17454999","abstract":"In Kenya, policies to increase access to quality education have largely focused on reducing rural/urban, gender, and income inequality. Yet, many children do not attend or fully participate in school because they have physical and mental disabilities. The goal of this paper is to examine school enrollment, attendance, and primary school completion patterns for children with disabilities in Kenya. The study used the 2007 Kenya National Survey for Persons with Disabilities. The aim of the survey, the first of its kind in Kenya, was to estimate the number of people with disabilities, their regional distribution, and their demographic and socio-economic characteristics. The study finds that children with disabilities face significant obstacles to schooling. Schools are unable to offer services to children with disabilities, hence making it difficult for them to attend school. These children are significantly less likely to enroll in school, attend school, and complete primary school.","author":[{"dropping-particle":"","family":"Moyi","given":"Peter","non-dropping-particle":"","parse-names":false,"suffix":""}],"container-title":"Research in Comparative and International Education","id":"ITEM-1","issue":"4","issued":{"date-parts":[["2017"]]},"page":"497-511","title":"School participation for children with disabilities in Kenya","type":"article-journal","volume":"12"},"uris":["http://www.mendeley.com/documents/?uuid=4a9e0037-7757-49f2-8f10-0404d5b30b04"]}],"mendeley":{"formattedCitation":"(Moyi, 2017)","manualFormatting":"(Moyi, 2017","plainTextFormattedCitation":"(Moyi, 2017)","previouslyFormattedCitation":"(Moyi, 2017)"},"properties":{"noteIndex":0},"schema":"https://github.com/citation-style-language/schema/raw/master/csl-citation.json"}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(Moyi, 2017</w:t>
      </w:r>
      <w:r w:rsidRPr="00283DED">
        <w:rPr>
          <w:rFonts w:ascii="Arial" w:hAnsi="Arial" w:cs="Arial"/>
        </w:rPr>
        <w:fldChar w:fldCharType="end"/>
      </w:r>
      <w:r w:rsidRPr="00283DED">
        <w:rPr>
          <w:rFonts w:ascii="Arial" w:hAnsi="Arial" w:cs="Arial"/>
          <w:bCs/>
        </w:rPr>
        <w:t xml:space="preserve">; </w:t>
      </w:r>
      <w:r w:rsidRPr="00283DED">
        <w:rPr>
          <w:rFonts w:ascii="Arial" w:hAnsi="Arial" w:cs="Arial"/>
          <w:bCs/>
        </w:rPr>
        <w:fldChar w:fldCharType="begin" w:fldLock="1"/>
      </w:r>
      <w:r w:rsidRPr="00283DED">
        <w:rPr>
          <w:rFonts w:ascii="Arial" w:hAnsi="Arial" w:cs="Arial"/>
          <w:bCs/>
        </w:rPr>
        <w:instrText>ADDIN CSL_CITATION {"citationItems":[{"id":"ITEM-1","itemData":{"author":[{"dropping-particle":"","family":"Mtetwa","given":"Edmos","non-dropping-particle":"","parse-names":false,"suffix":""},{"dropping-particle":"","family":"Nyikahadzoi","given":"Kefasi","non-dropping-particle":"","parse-names":false,"suffix":""}],"id":"ITEM-1","issue":"2","issued":{"date-parts":[["2013"]]},"page":"2013","title":"Socioeconomic circumstances of children with disabilities in Zimbabwe : Implications for human and social capital development","type":"article-journal","volume":"28"},"uris":["http://www.mendeley.com/documents/?uuid=c5c383a8-3624-4c31-9b8f-798af58bba9b"]}],"mendeley":{"formattedCitation":"(Mtetwa &amp; Nyikahadzoi, 2013)","manualFormatting":"Mtetwa &amp; Nyikahadzoi, 2013)","plainTextFormattedCitation":"(Mtetwa &amp; Nyikahadzoi, 2013)","previouslyFormattedCitation":"(Mtetwa &amp; Nyikahadzoi, 2013)"},"properties":{"noteIndex":0},"schema":"https://github.com/citation-style-language/schema/raw/master/csl-citation.json"}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Mtetwa &amp; Nyikahadzoi, 2013)</w:t>
      </w:r>
      <w:r w:rsidRPr="00283DED">
        <w:rPr>
          <w:rFonts w:ascii="Arial" w:hAnsi="Arial" w:cs="Arial"/>
        </w:rPr>
        <w:fldChar w:fldCharType="end"/>
      </w:r>
      <w:r w:rsidRPr="00283DED">
        <w:rPr>
          <w:rFonts w:ascii="Arial" w:hAnsi="Arial" w:cs="Arial"/>
          <w:bCs/>
        </w:rPr>
        <w:t>. These factors are crucial in improving employment opportunities. Although social participation also benefits non-disabled individuals, its impact is less pronounced, likely due to differing social and economic contexts between the two groups.</w:t>
      </w:r>
    </w:p>
    <w:p w14:paraId="4D85A99D" w14:textId="77777777" w:rsidR="00A231B3" w:rsidRDefault="00A231B3" w:rsidP="004932AA">
      <w:pPr>
        <w:pStyle w:val="Body"/>
        <w:spacing w:after="0"/>
        <w:rPr>
          <w:rFonts w:ascii="Arial" w:hAnsi="Arial" w:cs="Arial"/>
          <w:bCs/>
        </w:rPr>
      </w:pPr>
    </w:p>
    <w:p w14:paraId="00BACFC9" w14:textId="1E6EAE38" w:rsidR="00A231B3" w:rsidRPr="00A231B3" w:rsidRDefault="00A231B3" w:rsidP="004932AA">
      <w:pPr>
        <w:pStyle w:val="Body"/>
        <w:spacing w:after="0"/>
        <w:rPr>
          <w:rFonts w:ascii="Arial" w:hAnsi="Arial" w:cs="Arial"/>
        </w:rPr>
      </w:pPr>
      <w:r w:rsidRPr="00A231B3">
        <w:rPr>
          <w:rFonts w:ascii="Arial" w:hAnsi="Arial" w:cs="Arial"/>
          <w:highlight w:val="yellow"/>
        </w:rPr>
        <w:t>Taken together, the results suggest that social participation may function as a compensatory mechanism for workers with disabilities by strengthening access to informal networks and job-related information that are otherwise constrained by structural barriers. At the same time, because the analysis is based on cross-sectional data and matching on observed covariates, the estimated associations should be interpreted cautiously and not as definitive proof of causality.</w:t>
      </w:r>
    </w:p>
    <w:p w14:paraId="1333AA30" w14:textId="77777777" w:rsidR="00283DED" w:rsidRPr="00283DED" w:rsidRDefault="00283DED" w:rsidP="004932AA">
      <w:pPr>
        <w:pStyle w:val="Body"/>
        <w:spacing w:after="0"/>
        <w:rPr>
          <w:rFonts w:ascii="Arial" w:hAnsi="Arial" w:cs="Arial"/>
          <w:bCs/>
        </w:rPr>
      </w:pPr>
    </w:p>
    <w:p w14:paraId="4014BDFE" w14:textId="23E595C5" w:rsidR="00283DED" w:rsidRPr="00283DED" w:rsidRDefault="004932AA" w:rsidP="004932AA">
      <w:pPr>
        <w:pStyle w:val="Body"/>
        <w:spacing w:after="0"/>
        <w:rPr>
          <w:rFonts w:ascii="Arial" w:hAnsi="Arial" w:cs="Arial"/>
          <w:b/>
        </w:rPr>
      </w:pPr>
      <w:r>
        <w:rPr>
          <w:rFonts w:ascii="Arial" w:hAnsi="Arial" w:cs="Arial"/>
          <w:b/>
        </w:rPr>
        <w:t xml:space="preserve">3.7 </w:t>
      </w:r>
      <w:r w:rsidR="00283DED" w:rsidRPr="00283DED">
        <w:rPr>
          <w:rFonts w:ascii="Arial" w:hAnsi="Arial" w:cs="Arial"/>
          <w:b/>
        </w:rPr>
        <w:t>Policy Implications and Recommendations</w:t>
      </w:r>
    </w:p>
    <w:p w14:paraId="76C988D8" w14:textId="2298A48F" w:rsidR="00283DED" w:rsidRPr="00283DED" w:rsidRDefault="00283DED" w:rsidP="004932AA">
      <w:pPr>
        <w:pStyle w:val="Body"/>
        <w:spacing w:after="0"/>
        <w:rPr>
          <w:rFonts w:ascii="Arial" w:hAnsi="Arial" w:cs="Arial"/>
          <w:bCs/>
        </w:rPr>
      </w:pPr>
      <w:r w:rsidRPr="00283DED">
        <w:rPr>
          <w:rFonts w:ascii="Arial" w:hAnsi="Arial" w:cs="Arial"/>
          <w:bCs/>
        </w:rPr>
        <w:t xml:space="preserve">The study recommends several policies to improve employment for individuals with disabilities. Governments should enhance access to digital technology by promoting inclusive digital infrastructure, providing affordable devices, and offering specialized training to improve digital literacy. Expanding technology-based education and training is crucial for enhancing skills and competitiveness. Additionally, policies encouraging social participation, such as worker communities, volunteer initiatives, or peer learning groups, can reduce stigma and expand networks. Regular monitoring and evaluation of inclusive policies are essential to ensure effectiveness. These measures aim to narrow the employment gap and promote a more inclusive, equitable </w:t>
      </w:r>
      <w:proofErr w:type="spellStart"/>
      <w:r w:rsidR="00736F52">
        <w:rPr>
          <w:rFonts w:ascii="Arial" w:hAnsi="Arial" w:cs="Arial"/>
          <w:bCs/>
        </w:rPr>
        <w:t>labour</w:t>
      </w:r>
      <w:proofErr w:type="spellEnd"/>
      <w:r w:rsidRPr="00283DED">
        <w:rPr>
          <w:rFonts w:ascii="Arial" w:hAnsi="Arial" w:cs="Arial"/>
          <w:bCs/>
        </w:rPr>
        <w:t xml:space="preserve"> market for all.</w:t>
      </w:r>
    </w:p>
    <w:p w14:paraId="322A7F50" w14:textId="2B4647E9" w:rsidR="00790ADA" w:rsidRPr="00FB3A86" w:rsidRDefault="00C30A0F" w:rsidP="004932AA">
      <w:pPr>
        <w:pStyle w:val="Body"/>
        <w:spacing w:after="0"/>
        <w:rPr>
          <w:rFonts w:ascii="Arial" w:hAnsi="Arial" w:cs="Arial"/>
        </w:rPr>
      </w:pPr>
      <w:r w:rsidRPr="00FB3A86">
        <w:rPr>
          <w:rFonts w:ascii="Arial" w:hAnsi="Arial" w:cs="Arial"/>
        </w:rPr>
        <w:t xml:space="preserve"> </w:t>
      </w:r>
    </w:p>
    <w:p w14:paraId="2362F136" w14:textId="77777777" w:rsidR="00B01FCD" w:rsidRDefault="00000F8F" w:rsidP="004932AA">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5CC7398" w14:textId="77777777" w:rsidR="00790ADA" w:rsidRPr="00FB3A86" w:rsidRDefault="00790ADA" w:rsidP="004932AA">
      <w:pPr>
        <w:pStyle w:val="ConcHead"/>
        <w:spacing w:after="0"/>
        <w:jc w:val="both"/>
        <w:rPr>
          <w:rFonts w:ascii="Arial" w:hAnsi="Arial" w:cs="Arial"/>
        </w:rPr>
      </w:pPr>
    </w:p>
    <w:p w14:paraId="0BB5DA23" w14:textId="3EE2C1EF" w:rsidR="004932AA" w:rsidRDefault="00A231B3" w:rsidP="004932AA">
      <w:pPr>
        <w:pStyle w:val="Body"/>
        <w:spacing w:after="0"/>
        <w:rPr>
          <w:rFonts w:ascii="Arial" w:hAnsi="Arial" w:cs="Arial"/>
          <w:bCs/>
        </w:rPr>
      </w:pPr>
      <w:r w:rsidRPr="00A231B3">
        <w:rPr>
          <w:rFonts w:ascii="Arial" w:hAnsi="Arial" w:cs="Arial"/>
          <w:bCs/>
        </w:rPr>
        <w:t xml:space="preserve">This study explores the impact of social participation on employment opportunities for individuals with and without disabilities. Findings reveal that social participation increases the likelihood of employment by 10.5% for individuals with disabilities, compared to 1.2% for non-disabled workers. This underscores the unique challenges faced by individuals with disabilities in the </w:t>
      </w:r>
      <w:proofErr w:type="spellStart"/>
      <w:r w:rsidR="00736F52">
        <w:rPr>
          <w:rFonts w:ascii="Arial" w:hAnsi="Arial" w:cs="Arial"/>
          <w:bCs/>
        </w:rPr>
        <w:t>labour</w:t>
      </w:r>
      <w:proofErr w:type="spellEnd"/>
      <w:r w:rsidRPr="00A231B3">
        <w:rPr>
          <w:rFonts w:ascii="Arial" w:hAnsi="Arial" w:cs="Arial"/>
          <w:bCs/>
        </w:rPr>
        <w:t xml:space="preserve"> market and suggests that </w:t>
      </w:r>
      <w:r w:rsidRPr="00A231B3">
        <w:rPr>
          <w:rFonts w:ascii="Arial" w:hAnsi="Arial" w:cs="Arial"/>
        </w:rPr>
        <w:t>social participation may play a stronger compensatory role for workers facing structural barriers</w:t>
      </w:r>
      <w:r w:rsidR="004932AA" w:rsidRPr="004932AA">
        <w:rPr>
          <w:rFonts w:ascii="Arial" w:hAnsi="Arial" w:cs="Arial"/>
          <w:bCs/>
        </w:rPr>
        <w:t>.</w:t>
      </w:r>
    </w:p>
    <w:p w14:paraId="5601E341" w14:textId="77777777" w:rsidR="004932AA" w:rsidRPr="004932AA" w:rsidRDefault="004932AA" w:rsidP="004932AA">
      <w:pPr>
        <w:pStyle w:val="Body"/>
        <w:spacing w:after="0"/>
        <w:rPr>
          <w:rFonts w:ascii="Arial" w:hAnsi="Arial" w:cs="Arial"/>
          <w:bCs/>
        </w:rPr>
      </w:pPr>
    </w:p>
    <w:p w14:paraId="5A7E1F2B" w14:textId="6F21D8BD" w:rsidR="004932AA" w:rsidRDefault="00A231B3" w:rsidP="004932AA">
      <w:pPr>
        <w:pStyle w:val="Body"/>
        <w:spacing w:after="0"/>
        <w:rPr>
          <w:rFonts w:ascii="Arial" w:hAnsi="Arial" w:cs="Arial"/>
          <w:bCs/>
        </w:rPr>
      </w:pPr>
      <w:r w:rsidRPr="00A231B3">
        <w:rPr>
          <w:rFonts w:ascii="Arial" w:hAnsi="Arial" w:cs="Arial"/>
          <w:bCs/>
        </w:rPr>
        <w:lastRenderedPageBreak/>
        <w:t>The study also highlights the interaction between education and digital technology in enhancing social participation, with digital technology showing a particularly strong influence. However, the limited impact of training programs for individuals with disabilities suggests the need for more accessible and tailored opportunities that address inclusivity in delivery, accessibility, and relevance to workers with disabilities</w:t>
      </w:r>
      <w:r w:rsidR="004932AA" w:rsidRPr="004932AA">
        <w:rPr>
          <w:rFonts w:ascii="Arial" w:hAnsi="Arial" w:cs="Arial"/>
          <w:bCs/>
        </w:rPr>
        <w:t>.</w:t>
      </w:r>
    </w:p>
    <w:p w14:paraId="0D11D077" w14:textId="77777777" w:rsidR="004932AA" w:rsidRPr="004932AA" w:rsidRDefault="004932AA" w:rsidP="004932AA">
      <w:pPr>
        <w:pStyle w:val="Body"/>
        <w:spacing w:after="0"/>
        <w:rPr>
          <w:rFonts w:ascii="Arial" w:hAnsi="Arial" w:cs="Arial"/>
          <w:bCs/>
        </w:rPr>
      </w:pPr>
    </w:p>
    <w:p w14:paraId="337EA623" w14:textId="7B0148A9" w:rsidR="004932AA" w:rsidRDefault="00A231B3" w:rsidP="004932AA">
      <w:pPr>
        <w:pStyle w:val="Body"/>
        <w:spacing w:after="0"/>
        <w:rPr>
          <w:rFonts w:ascii="Arial" w:hAnsi="Arial" w:cs="Arial"/>
          <w:bCs/>
        </w:rPr>
      </w:pPr>
      <w:r w:rsidRPr="00A231B3">
        <w:rPr>
          <w:rFonts w:ascii="Arial" w:hAnsi="Arial" w:cs="Arial"/>
          <w:bCs/>
        </w:rPr>
        <w:t xml:space="preserve">The research emphasizes the importance of inclusive policies to facilitate access to education, training, and technology. It calls for policies promoting social inclusion and removing barriers to full participation. Because the analysis is based on cross-sectional data and a DKI Jakarta sub-sample, the results should be interpreted cautiously when </w:t>
      </w:r>
      <w:proofErr w:type="spellStart"/>
      <w:r w:rsidRPr="00A231B3">
        <w:rPr>
          <w:rFonts w:ascii="Arial" w:hAnsi="Arial" w:cs="Arial"/>
          <w:bCs/>
        </w:rPr>
        <w:t>generalising</w:t>
      </w:r>
      <w:proofErr w:type="spellEnd"/>
      <w:r w:rsidRPr="00A231B3">
        <w:rPr>
          <w:rFonts w:ascii="Arial" w:hAnsi="Arial" w:cs="Arial"/>
          <w:bCs/>
        </w:rPr>
        <w:t xml:space="preserve"> to other regions and should not be treated as definitive causal effects. Future research could examine the specific mechanisms of social participation, the effectiveness of digital platforms, and the long-term impact of these interventions across different contexts. In conclusion, the study advocates for inclusive policies to create a fairer </w:t>
      </w:r>
      <w:proofErr w:type="spellStart"/>
      <w:r w:rsidR="00736F52">
        <w:rPr>
          <w:rFonts w:ascii="Arial" w:hAnsi="Arial" w:cs="Arial"/>
          <w:bCs/>
        </w:rPr>
        <w:t>labour</w:t>
      </w:r>
      <w:proofErr w:type="spellEnd"/>
      <w:r w:rsidRPr="00A231B3">
        <w:rPr>
          <w:rFonts w:ascii="Arial" w:hAnsi="Arial" w:cs="Arial"/>
          <w:bCs/>
        </w:rPr>
        <w:t xml:space="preserve"> market by integrating social inclusion with education, skills development, and digital access for workers with disabilities</w:t>
      </w:r>
      <w:r w:rsidR="004932AA" w:rsidRPr="004932AA">
        <w:rPr>
          <w:rFonts w:ascii="Arial" w:hAnsi="Arial" w:cs="Arial"/>
          <w:bCs/>
        </w:rPr>
        <w:t>.</w:t>
      </w:r>
    </w:p>
    <w:p w14:paraId="6DCACBAE" w14:textId="77777777" w:rsidR="00A231B3" w:rsidRPr="004932AA" w:rsidRDefault="00A231B3" w:rsidP="004932AA">
      <w:pPr>
        <w:pStyle w:val="Body"/>
        <w:spacing w:after="0"/>
        <w:rPr>
          <w:rFonts w:ascii="Arial" w:hAnsi="Arial" w:cs="Arial"/>
          <w:bCs/>
        </w:rPr>
      </w:pPr>
    </w:p>
    <w:p w14:paraId="49B97594" w14:textId="77777777" w:rsidR="00A70F07" w:rsidRPr="000A485C" w:rsidRDefault="00A70F07" w:rsidP="00A70F07">
      <w:pPr>
        <w:keepNext/>
        <w:keepLines/>
        <w:spacing w:before="120" w:after="120" w:line="360" w:lineRule="auto"/>
        <w:jc w:val="both"/>
        <w:outlineLvl w:val="1"/>
        <w:rPr>
          <w:rFonts w:ascii="Times New Roman" w:hAnsi="Times New Roman"/>
          <w:b/>
          <w:bCs/>
          <w:sz w:val="24"/>
          <w:szCs w:val="24"/>
          <w:highlight w:val="yellow"/>
          <w:lang w:val="en-GB" w:eastAsia="en-IN"/>
        </w:rPr>
      </w:pPr>
      <w:bookmarkStart w:id="1" w:name="_Hlk218867759"/>
      <w:r w:rsidRPr="000A485C">
        <w:rPr>
          <w:rFonts w:ascii="Times New Roman" w:hAnsi="Times New Roman"/>
          <w:b/>
          <w:bCs/>
          <w:sz w:val="24"/>
          <w:szCs w:val="24"/>
          <w:highlight w:val="yellow"/>
          <w:lang w:val="en-GB" w:eastAsia="en-IN"/>
        </w:rPr>
        <w:t>Disclaimer (Artificial intelligence)</w:t>
      </w:r>
    </w:p>
    <w:p w14:paraId="6AE08E12" w14:textId="59D3119E" w:rsidR="00A70F07" w:rsidRPr="00A70F07" w:rsidRDefault="00A231B3" w:rsidP="00A231B3">
      <w:pPr>
        <w:keepNext/>
        <w:keepLines/>
        <w:spacing w:line="360" w:lineRule="auto"/>
        <w:jc w:val="both"/>
        <w:outlineLvl w:val="1"/>
        <w:rPr>
          <w:rFonts w:ascii="Times New Roman" w:hAnsi="Times New Roman"/>
          <w:bCs/>
          <w:sz w:val="24"/>
          <w:szCs w:val="24"/>
          <w:lang w:val="en-GB" w:eastAsia="en-IN"/>
        </w:rPr>
      </w:pPr>
      <w:r w:rsidRPr="00A231B3">
        <w:rPr>
          <w:rFonts w:ascii="Times New Roman" w:hAnsi="Times New Roman"/>
          <w:bCs/>
          <w:sz w:val="24"/>
          <w:szCs w:val="24"/>
          <w:highlight w:val="yellow"/>
          <w:lang w:eastAsia="en-IN"/>
        </w:rPr>
        <w:t>Author(s) hereby declare that generative Artificial Intelligence (AI) tools (e.g., Large Language Models such as ChatGPT, Copilot, or similar systems, and any text-to-image generators) were not used in the writing, rewriting, or substantive editing of this manuscript. AI-assisted tools were also not used to generate analyses, results, tables, or interpretations</w:t>
      </w:r>
      <w:r w:rsidR="00A70F07" w:rsidRPr="00A70F07">
        <w:rPr>
          <w:rFonts w:ascii="Times New Roman" w:hAnsi="Times New Roman"/>
          <w:bCs/>
          <w:sz w:val="24"/>
          <w:szCs w:val="24"/>
          <w:highlight w:val="yellow"/>
          <w:lang w:val="en-GB" w:eastAsia="en-IN"/>
        </w:rPr>
        <w:t>.</w:t>
      </w:r>
      <w:r w:rsidR="00A70F07" w:rsidRPr="00A70F07">
        <w:rPr>
          <w:rFonts w:ascii="Times New Roman" w:hAnsi="Times New Roman"/>
          <w:bCs/>
          <w:sz w:val="24"/>
          <w:szCs w:val="24"/>
          <w:lang w:val="en-GB" w:eastAsia="en-IN"/>
        </w:rPr>
        <w:t xml:space="preserve"> </w:t>
      </w:r>
    </w:p>
    <w:bookmarkEnd w:id="1"/>
    <w:p w14:paraId="2F7B52EE" w14:textId="0ECA8DFD" w:rsidR="00B01FCD" w:rsidRDefault="00B01FCD" w:rsidP="004932AA">
      <w:pPr>
        <w:pStyle w:val="Body"/>
        <w:spacing w:after="0"/>
        <w:rPr>
          <w:rFonts w:ascii="Arial" w:hAnsi="Arial" w:cs="Arial"/>
        </w:rPr>
      </w:pPr>
    </w:p>
    <w:p w14:paraId="65E6776E" w14:textId="77777777" w:rsidR="00B01FCD" w:rsidRDefault="00B01FCD" w:rsidP="004932AA">
      <w:pPr>
        <w:pStyle w:val="ReferHead"/>
        <w:spacing w:after="0"/>
        <w:jc w:val="both"/>
        <w:rPr>
          <w:rFonts w:ascii="Arial" w:hAnsi="Arial" w:cs="Arial"/>
        </w:rPr>
      </w:pPr>
      <w:r w:rsidRPr="00FB3A86">
        <w:rPr>
          <w:rFonts w:ascii="Arial" w:hAnsi="Arial" w:cs="Arial"/>
        </w:rPr>
        <w:t>References</w:t>
      </w:r>
    </w:p>
    <w:p w14:paraId="5580B690" w14:textId="77777777" w:rsidR="00790ADA" w:rsidRPr="00FB3A86" w:rsidRDefault="00790ADA" w:rsidP="004932AA">
      <w:pPr>
        <w:pStyle w:val="ReferHead"/>
        <w:spacing w:after="0"/>
        <w:jc w:val="both"/>
        <w:rPr>
          <w:rFonts w:ascii="Arial" w:hAnsi="Arial" w:cs="Arial"/>
        </w:rPr>
      </w:pPr>
    </w:p>
    <w:p w14:paraId="397DCB7E" w14:textId="77777777" w:rsidR="004932AA" w:rsidRPr="004932AA" w:rsidRDefault="004932AA" w:rsidP="004932AA">
      <w:pPr>
        <w:pStyle w:val="Body"/>
      </w:pPr>
      <w:bookmarkStart w:id="2" w:name="_Hlk186900717"/>
      <w:r w:rsidRPr="004932AA">
        <w:t xml:space="preserve">Atchison, C. L., &amp; </w:t>
      </w:r>
      <w:proofErr w:type="spellStart"/>
      <w:r w:rsidRPr="004932AA">
        <w:t>Libarkin</w:t>
      </w:r>
      <w:proofErr w:type="spellEnd"/>
      <w:r w:rsidRPr="004932AA">
        <w:t xml:space="preserve">, J. C. (2016). Professionally Held Perceptions About the Accessibility of the Geosciences. </w:t>
      </w:r>
      <w:r w:rsidRPr="004932AA">
        <w:rPr>
          <w:i/>
          <w:iCs/>
        </w:rPr>
        <w:t>Geosphere</w:t>
      </w:r>
      <w:r w:rsidRPr="004932AA">
        <w:t xml:space="preserve">, </w:t>
      </w:r>
      <w:r w:rsidRPr="004932AA">
        <w:rPr>
          <w:i/>
          <w:iCs/>
        </w:rPr>
        <w:t>12</w:t>
      </w:r>
      <w:r w:rsidRPr="004932AA">
        <w:t xml:space="preserve">(4), 1154–1165. </w:t>
      </w:r>
      <w:hyperlink r:id="rId15" w:history="1">
        <w:r w:rsidRPr="004932AA">
          <w:rPr>
            <w:rStyle w:val="Hyperlink"/>
          </w:rPr>
          <w:t>https://doi.org/10.1130/ges01264.1</w:t>
        </w:r>
      </w:hyperlink>
    </w:p>
    <w:p w14:paraId="29F46F4D" w14:textId="77777777" w:rsidR="004932AA" w:rsidRPr="004932AA" w:rsidRDefault="004932AA" w:rsidP="004932AA">
      <w:pPr>
        <w:pStyle w:val="Body"/>
      </w:pPr>
      <w:r w:rsidRPr="004932AA">
        <w:t xml:space="preserve">Bard, J. S. (2020). Lifting the barriers excluding people living with disabilities from the benefits of inclusion in research studies. </w:t>
      </w:r>
      <w:r w:rsidRPr="004932AA">
        <w:rPr>
          <w:i/>
          <w:iCs/>
        </w:rPr>
        <w:t>U. Pa. JL &amp; Pub. Aff.</w:t>
      </w:r>
      <w:r w:rsidRPr="004932AA">
        <w:t xml:space="preserve">, </w:t>
      </w:r>
      <w:r w:rsidRPr="004932AA">
        <w:rPr>
          <w:i/>
          <w:iCs/>
        </w:rPr>
        <w:t>6</w:t>
      </w:r>
      <w:r w:rsidRPr="004932AA">
        <w:t>, 489.</w:t>
      </w:r>
    </w:p>
    <w:p w14:paraId="215E9E3D" w14:textId="6751C554" w:rsidR="004932AA" w:rsidRPr="004932AA" w:rsidRDefault="004932AA" w:rsidP="004932AA">
      <w:pPr>
        <w:pStyle w:val="Body"/>
      </w:pPr>
      <w:r w:rsidRPr="004932AA">
        <w:t xml:space="preserve">Beaman, L. A. (2012). Social networks and the dynamics of </w:t>
      </w:r>
      <w:proofErr w:type="spellStart"/>
      <w:r w:rsidR="00736F52">
        <w:t>labour</w:t>
      </w:r>
      <w:proofErr w:type="spellEnd"/>
      <w:r w:rsidRPr="004932AA">
        <w:t xml:space="preserve"> market outcomes: Evidence from refugees resettled in the U.S. </w:t>
      </w:r>
      <w:r w:rsidRPr="004932AA">
        <w:rPr>
          <w:i/>
          <w:iCs/>
        </w:rPr>
        <w:t>Review of Economic Studies</w:t>
      </w:r>
      <w:r w:rsidRPr="004932AA">
        <w:t xml:space="preserve">, </w:t>
      </w:r>
      <w:r w:rsidRPr="004932AA">
        <w:rPr>
          <w:i/>
          <w:iCs/>
        </w:rPr>
        <w:t>79</w:t>
      </w:r>
      <w:r w:rsidRPr="004932AA">
        <w:t xml:space="preserve">(1), 128–161. </w:t>
      </w:r>
      <w:hyperlink r:id="rId16" w:history="1">
        <w:r w:rsidRPr="004932AA">
          <w:rPr>
            <w:rStyle w:val="Hyperlink"/>
          </w:rPr>
          <w:t>https://doi.org/10.1093/restud/rdr017</w:t>
        </w:r>
      </w:hyperlink>
    </w:p>
    <w:p w14:paraId="45E945A7" w14:textId="4CB61665" w:rsidR="004932AA" w:rsidRPr="004932AA" w:rsidRDefault="004932AA" w:rsidP="004932AA">
      <w:pPr>
        <w:pStyle w:val="Body"/>
      </w:pPr>
      <w:r w:rsidRPr="004932AA">
        <w:t xml:space="preserve">Bryan, M., Bryce, A., Rice, N., Roberts, J., &amp; </w:t>
      </w:r>
      <w:proofErr w:type="spellStart"/>
      <w:r w:rsidRPr="004932AA">
        <w:t>Sechel</w:t>
      </w:r>
      <w:proofErr w:type="spellEnd"/>
      <w:r w:rsidRPr="004932AA">
        <w:t xml:space="preserve">, C. (2022). Exploring mental health disability gaps in the </w:t>
      </w:r>
      <w:proofErr w:type="spellStart"/>
      <w:r w:rsidR="00736F52">
        <w:t>labour</w:t>
      </w:r>
      <w:proofErr w:type="spellEnd"/>
      <w:r w:rsidRPr="004932AA">
        <w:t xml:space="preserve"> market: the UK experience during COVID-19. </w:t>
      </w:r>
      <w:proofErr w:type="spellStart"/>
      <w:r w:rsidR="00736F52">
        <w:rPr>
          <w:i/>
          <w:iCs/>
        </w:rPr>
        <w:t>Labour</w:t>
      </w:r>
      <w:proofErr w:type="spellEnd"/>
      <w:r w:rsidRPr="004932AA">
        <w:rPr>
          <w:i/>
          <w:iCs/>
        </w:rPr>
        <w:t xml:space="preserve"> Economics</w:t>
      </w:r>
      <w:r w:rsidRPr="004932AA">
        <w:t xml:space="preserve">, </w:t>
      </w:r>
      <w:r w:rsidRPr="004932AA">
        <w:rPr>
          <w:i/>
          <w:iCs/>
        </w:rPr>
        <w:t>78</w:t>
      </w:r>
      <w:r w:rsidRPr="004932AA">
        <w:t xml:space="preserve">, 102253. </w:t>
      </w:r>
      <w:hyperlink r:id="rId17" w:history="1">
        <w:r w:rsidRPr="004932AA">
          <w:rPr>
            <w:rStyle w:val="Hyperlink"/>
          </w:rPr>
          <w:t>https://doi.org/https://doi.org/10.1016/j.labeco.2022.102253</w:t>
        </w:r>
      </w:hyperlink>
    </w:p>
    <w:p w14:paraId="2121FA0D" w14:textId="77777777" w:rsidR="004932AA" w:rsidRPr="004932AA" w:rsidRDefault="004932AA" w:rsidP="004932AA">
      <w:pPr>
        <w:pStyle w:val="Body"/>
      </w:pPr>
      <w:proofErr w:type="spellStart"/>
      <w:r w:rsidRPr="004932AA">
        <w:t>Cardonha</w:t>
      </w:r>
      <w:proofErr w:type="spellEnd"/>
      <w:r w:rsidRPr="004932AA">
        <w:t xml:space="preserve">, C. H., Guimarães, R. L., Mattos, A., </w:t>
      </w:r>
      <w:proofErr w:type="spellStart"/>
      <w:r w:rsidRPr="004932AA">
        <w:t>Nogima</w:t>
      </w:r>
      <w:proofErr w:type="spellEnd"/>
      <w:r w:rsidRPr="004932AA">
        <w:t xml:space="preserve">, J., </w:t>
      </w:r>
      <w:proofErr w:type="spellStart"/>
      <w:r w:rsidRPr="004932AA">
        <w:t>Avegliano</w:t>
      </w:r>
      <w:proofErr w:type="spellEnd"/>
      <w:r w:rsidRPr="004932AA">
        <w:t xml:space="preserve">, P., Gallo, D., Herrmann, R., &amp; Borger, S. (2015). Toward a platform to support vocational training of people with disabilities. </w:t>
      </w:r>
      <w:r w:rsidRPr="004932AA">
        <w:rPr>
          <w:i/>
          <w:iCs/>
        </w:rPr>
        <w:t>IBM Journal of Research and Development</w:t>
      </w:r>
      <w:r w:rsidRPr="004932AA">
        <w:t xml:space="preserve">, </w:t>
      </w:r>
      <w:r w:rsidRPr="004932AA">
        <w:rPr>
          <w:i/>
          <w:iCs/>
        </w:rPr>
        <w:t>59</w:t>
      </w:r>
      <w:r w:rsidRPr="004932AA">
        <w:t xml:space="preserve">(6), 1–7. </w:t>
      </w:r>
      <w:hyperlink r:id="rId18" w:history="1">
        <w:r w:rsidRPr="004932AA">
          <w:rPr>
            <w:rStyle w:val="Hyperlink"/>
          </w:rPr>
          <w:t>https://doi.org/10.1147/JRD.2015.2453021</w:t>
        </w:r>
      </w:hyperlink>
    </w:p>
    <w:p w14:paraId="2F828B28" w14:textId="765EF873" w:rsidR="004932AA" w:rsidRPr="004932AA" w:rsidRDefault="004932AA" w:rsidP="004932AA">
      <w:pPr>
        <w:pStyle w:val="Body"/>
      </w:pPr>
      <w:r w:rsidRPr="004932AA">
        <w:lastRenderedPageBreak/>
        <w:t xml:space="preserve">Cummins, R. A., &amp; Lau, A. T. Y. (2003). Community Integration or Community Exposure? A Review and Discussion in Relation to People </w:t>
      </w:r>
      <w:r w:rsidR="00CF7AA0">
        <w:t>w</w:t>
      </w:r>
      <w:r w:rsidRPr="004932AA">
        <w:t xml:space="preserve">ith an Intellectual Disability. </w:t>
      </w:r>
      <w:r w:rsidRPr="004932AA">
        <w:rPr>
          <w:i/>
          <w:iCs/>
        </w:rPr>
        <w:t>Journal of Applied Research in Intellectual Disabilities</w:t>
      </w:r>
      <w:r w:rsidRPr="004932AA">
        <w:t xml:space="preserve">, </w:t>
      </w:r>
      <w:r w:rsidRPr="004932AA">
        <w:rPr>
          <w:i/>
          <w:iCs/>
        </w:rPr>
        <w:t>16</w:t>
      </w:r>
      <w:r w:rsidRPr="004932AA">
        <w:t xml:space="preserve">(2), 145–157. </w:t>
      </w:r>
      <w:hyperlink r:id="rId19" w:history="1">
        <w:r w:rsidRPr="004932AA">
          <w:rPr>
            <w:rStyle w:val="Hyperlink"/>
          </w:rPr>
          <w:t>https://doi.org/10.1046/j.1468-3148.2003.00157.x</w:t>
        </w:r>
      </w:hyperlink>
    </w:p>
    <w:p w14:paraId="3E214D7B" w14:textId="074C2EEE" w:rsidR="004932AA" w:rsidRPr="004932AA" w:rsidRDefault="004932AA" w:rsidP="004932AA">
      <w:pPr>
        <w:pStyle w:val="Body"/>
      </w:pPr>
      <w:proofErr w:type="spellStart"/>
      <w:r w:rsidRPr="004932AA">
        <w:t>Ebuenyi</w:t>
      </w:r>
      <w:proofErr w:type="spellEnd"/>
      <w:r w:rsidRPr="004932AA">
        <w:t xml:space="preserve">, I. D., Flocks-Monaghan, C., Rai, S. S., Vries, R. de, Bhuyan, S. S., Pearlman, J., &amp; Jones, N. (2023). Use of Assistive Technology for Persons </w:t>
      </w:r>
      <w:r w:rsidR="00CF7AA0">
        <w:t>w</w:t>
      </w:r>
      <w:r w:rsidRPr="004932AA">
        <w:t xml:space="preserve">ith Psychosocial Disability: Systematic Review. </w:t>
      </w:r>
      <w:r w:rsidRPr="004932AA">
        <w:rPr>
          <w:i/>
          <w:iCs/>
        </w:rPr>
        <w:t>Jmir Rehabilitation and Assistive Technologies</w:t>
      </w:r>
      <w:r w:rsidRPr="004932AA">
        <w:t xml:space="preserve">, </w:t>
      </w:r>
      <w:r w:rsidRPr="004932AA">
        <w:rPr>
          <w:i/>
          <w:iCs/>
        </w:rPr>
        <w:t>10</w:t>
      </w:r>
      <w:r w:rsidRPr="004932AA">
        <w:t xml:space="preserve">, e49750. </w:t>
      </w:r>
      <w:hyperlink r:id="rId20" w:history="1">
        <w:r w:rsidRPr="004932AA">
          <w:rPr>
            <w:rStyle w:val="Hyperlink"/>
          </w:rPr>
          <w:t>https://doi.org/10.2196/49750</w:t>
        </w:r>
      </w:hyperlink>
    </w:p>
    <w:p w14:paraId="1EA63A42" w14:textId="3DEB3F54" w:rsidR="004932AA" w:rsidRPr="004932AA" w:rsidRDefault="004932AA" w:rsidP="004932AA">
      <w:pPr>
        <w:pStyle w:val="Body"/>
      </w:pPr>
      <w:r w:rsidRPr="004932AA">
        <w:t xml:space="preserve">Griffiths, C., &amp; Smith, M. (2015). Attuning: A Communication Process Between People </w:t>
      </w:r>
      <w:r w:rsidR="00CF7AA0">
        <w:t>w</w:t>
      </w:r>
      <w:r w:rsidRPr="004932AA">
        <w:t xml:space="preserve">ith Severe and Profound Intellectual Disability and Their Interaction Partners. </w:t>
      </w:r>
      <w:r w:rsidRPr="004932AA">
        <w:rPr>
          <w:i/>
          <w:iCs/>
        </w:rPr>
        <w:t>Journal of Applied Research in Intellectual Disabilities</w:t>
      </w:r>
      <w:r w:rsidRPr="004932AA">
        <w:t xml:space="preserve">, </w:t>
      </w:r>
      <w:r w:rsidRPr="004932AA">
        <w:rPr>
          <w:i/>
          <w:iCs/>
        </w:rPr>
        <w:t>29</w:t>
      </w:r>
      <w:r w:rsidRPr="004932AA">
        <w:t xml:space="preserve">(2), 124–138. </w:t>
      </w:r>
      <w:hyperlink r:id="rId21" w:history="1">
        <w:r w:rsidRPr="004932AA">
          <w:rPr>
            <w:rStyle w:val="Hyperlink"/>
          </w:rPr>
          <w:t>https://doi.org/10.1111/jar.12162</w:t>
        </w:r>
      </w:hyperlink>
    </w:p>
    <w:p w14:paraId="6A15AFE5" w14:textId="77777777" w:rsidR="004932AA" w:rsidRPr="004932AA" w:rsidRDefault="004932AA" w:rsidP="004932AA">
      <w:pPr>
        <w:pStyle w:val="Body"/>
      </w:pPr>
      <w:proofErr w:type="spellStart"/>
      <w:r w:rsidRPr="004932AA">
        <w:t>Grigal</w:t>
      </w:r>
      <w:proofErr w:type="spellEnd"/>
      <w:r w:rsidRPr="004932AA">
        <w:t xml:space="preserve">, M., Dukes, L. L., &amp; Walker, Z. (2021). Advancing Access to Higher Education for Students with Intellectual Disability in the United States. </w:t>
      </w:r>
      <w:r w:rsidRPr="004932AA">
        <w:rPr>
          <w:i/>
          <w:iCs/>
        </w:rPr>
        <w:t>Disabilities</w:t>
      </w:r>
      <w:r w:rsidRPr="004932AA">
        <w:t xml:space="preserve">, </w:t>
      </w:r>
      <w:r w:rsidRPr="004932AA">
        <w:rPr>
          <w:i/>
          <w:iCs/>
        </w:rPr>
        <w:t>1</w:t>
      </w:r>
      <w:r w:rsidRPr="004932AA">
        <w:t xml:space="preserve">(4), 438–449. </w:t>
      </w:r>
      <w:hyperlink r:id="rId22" w:history="1">
        <w:r w:rsidRPr="004932AA">
          <w:rPr>
            <w:rStyle w:val="Hyperlink"/>
          </w:rPr>
          <w:t>https://doi.org/10.3390/disabilities1040030</w:t>
        </w:r>
      </w:hyperlink>
    </w:p>
    <w:p w14:paraId="5D09CDB0" w14:textId="318F668F" w:rsidR="004932AA" w:rsidRPr="004932AA" w:rsidRDefault="004932AA" w:rsidP="004932AA">
      <w:pPr>
        <w:pStyle w:val="Body"/>
      </w:pPr>
      <w:proofErr w:type="spellStart"/>
      <w:r w:rsidRPr="004932AA">
        <w:t>Halimatussadiah</w:t>
      </w:r>
      <w:proofErr w:type="spellEnd"/>
      <w:r w:rsidRPr="004932AA">
        <w:t xml:space="preserve">, A., </w:t>
      </w:r>
      <w:proofErr w:type="spellStart"/>
      <w:r w:rsidRPr="004932AA">
        <w:t>Agriva</w:t>
      </w:r>
      <w:proofErr w:type="spellEnd"/>
      <w:r w:rsidRPr="004932AA">
        <w:t xml:space="preserve">, M., &amp; </w:t>
      </w:r>
      <w:proofErr w:type="spellStart"/>
      <w:r w:rsidRPr="004932AA">
        <w:t>Nuryakin</w:t>
      </w:r>
      <w:proofErr w:type="spellEnd"/>
      <w:r w:rsidRPr="004932AA">
        <w:t xml:space="preserve">, C. (2013). </w:t>
      </w:r>
      <w:r w:rsidRPr="004932AA">
        <w:rPr>
          <w:i/>
          <w:iCs/>
        </w:rPr>
        <w:t xml:space="preserve">Persons with Disabilities </w:t>
      </w:r>
      <w:proofErr w:type="gramStart"/>
      <w:r w:rsidRPr="004932AA">
        <w:rPr>
          <w:i/>
          <w:iCs/>
        </w:rPr>
        <w:t>( PWD</w:t>
      </w:r>
      <w:proofErr w:type="gramEnd"/>
      <w:r w:rsidRPr="004932AA">
        <w:rPr>
          <w:i/>
          <w:iCs/>
        </w:rPr>
        <w:t xml:space="preserve"> ) and </w:t>
      </w:r>
      <w:proofErr w:type="spellStart"/>
      <w:r w:rsidR="00736F52">
        <w:rPr>
          <w:i/>
          <w:iCs/>
        </w:rPr>
        <w:t>Labour</w:t>
      </w:r>
      <w:proofErr w:type="spellEnd"/>
      <w:r w:rsidRPr="004932AA">
        <w:rPr>
          <w:i/>
          <w:iCs/>
        </w:rPr>
        <w:t xml:space="preserve"> Force in Indonesia: A Preliminary Study</w:t>
      </w:r>
      <w:r w:rsidRPr="004932AA">
        <w:t xml:space="preserve">. </w:t>
      </w:r>
      <w:proofErr w:type="spellStart"/>
      <w:r w:rsidRPr="004932AA">
        <w:rPr>
          <w:i/>
          <w:iCs/>
        </w:rPr>
        <w:t>Susenas</w:t>
      </w:r>
      <w:proofErr w:type="spellEnd"/>
      <w:r w:rsidRPr="004932AA">
        <w:rPr>
          <w:i/>
          <w:iCs/>
        </w:rPr>
        <w:t xml:space="preserve"> 2012</w:t>
      </w:r>
      <w:r w:rsidRPr="004932AA">
        <w:t>, 1–14.</w:t>
      </w:r>
    </w:p>
    <w:p w14:paraId="5C24CF8C" w14:textId="77777777" w:rsidR="004932AA" w:rsidRPr="004932AA" w:rsidRDefault="004932AA" w:rsidP="004932AA">
      <w:pPr>
        <w:pStyle w:val="Body"/>
      </w:pPr>
      <w:r w:rsidRPr="004932AA">
        <w:t xml:space="preserve">Katz, R. L., </w:t>
      </w:r>
      <w:proofErr w:type="spellStart"/>
      <w:r w:rsidRPr="004932AA">
        <w:t>Koutroumpis</w:t>
      </w:r>
      <w:proofErr w:type="spellEnd"/>
      <w:r w:rsidRPr="004932AA">
        <w:t xml:space="preserve">, P., &amp; </w:t>
      </w:r>
      <w:proofErr w:type="spellStart"/>
      <w:r w:rsidRPr="004932AA">
        <w:t>Callorda</w:t>
      </w:r>
      <w:proofErr w:type="spellEnd"/>
      <w:r w:rsidRPr="004932AA">
        <w:t xml:space="preserve">, F. (2014). Using a Digitization Index to Measure the Economic and Social Impact of Digital Agendas. </w:t>
      </w:r>
      <w:r w:rsidRPr="004932AA">
        <w:rPr>
          <w:i/>
          <w:iCs/>
        </w:rPr>
        <w:t>Info</w:t>
      </w:r>
      <w:r w:rsidRPr="004932AA">
        <w:t xml:space="preserve">, </w:t>
      </w:r>
      <w:r w:rsidRPr="004932AA">
        <w:rPr>
          <w:i/>
          <w:iCs/>
        </w:rPr>
        <w:t>16</w:t>
      </w:r>
      <w:r w:rsidRPr="004932AA">
        <w:t xml:space="preserve">(1), 32–44. </w:t>
      </w:r>
      <w:hyperlink r:id="rId23" w:history="1">
        <w:r w:rsidRPr="004932AA">
          <w:rPr>
            <w:rStyle w:val="Hyperlink"/>
          </w:rPr>
          <w:t>https://doi.org/10.1108/info-10-2013-0051</w:t>
        </w:r>
      </w:hyperlink>
    </w:p>
    <w:p w14:paraId="0B3B1C4F" w14:textId="77777777" w:rsidR="004932AA" w:rsidRPr="004932AA" w:rsidRDefault="004932AA" w:rsidP="004932AA">
      <w:pPr>
        <w:pStyle w:val="Body"/>
      </w:pPr>
      <w:proofErr w:type="spellStart"/>
      <w:r w:rsidRPr="004932AA">
        <w:t>Khandker</w:t>
      </w:r>
      <w:proofErr w:type="spellEnd"/>
      <w:r w:rsidRPr="004932AA">
        <w:t xml:space="preserve">, S. R., </w:t>
      </w:r>
      <w:proofErr w:type="spellStart"/>
      <w:r w:rsidRPr="004932AA">
        <w:t>Koolwal</w:t>
      </w:r>
      <w:proofErr w:type="spellEnd"/>
      <w:r w:rsidRPr="004932AA">
        <w:t xml:space="preserve">, G. B., &amp; Samad, H. A. (2010). </w:t>
      </w:r>
      <w:r w:rsidRPr="004932AA">
        <w:rPr>
          <w:i/>
          <w:iCs/>
        </w:rPr>
        <w:t>handbook On Impact Evaluation</w:t>
      </w:r>
      <w:r w:rsidRPr="004932AA">
        <w:t>. The International Bank for Reconstruction and Development / The World Bank.</w:t>
      </w:r>
    </w:p>
    <w:p w14:paraId="75B9AC22" w14:textId="77777777" w:rsidR="004932AA" w:rsidRPr="004932AA" w:rsidRDefault="004932AA" w:rsidP="004932AA">
      <w:pPr>
        <w:pStyle w:val="Body"/>
      </w:pPr>
      <w:r w:rsidRPr="004932AA">
        <w:t xml:space="preserve">Lamichhane, K. (2015). Disability, education and employment in developing countries: From charity to investment. In </w:t>
      </w:r>
      <w:r w:rsidRPr="004932AA">
        <w:rPr>
          <w:i/>
          <w:iCs/>
        </w:rPr>
        <w:t>Disability, Education and Employment in Developing Countries: From Charity to Investment</w:t>
      </w:r>
      <w:r w:rsidRPr="004932AA">
        <w:t xml:space="preserve">. </w:t>
      </w:r>
      <w:hyperlink r:id="rId24" w:history="1">
        <w:r w:rsidRPr="004932AA">
          <w:rPr>
            <w:rStyle w:val="Hyperlink"/>
          </w:rPr>
          <w:t>https://doi.org/10.1017/CBO9781107565265</w:t>
        </w:r>
      </w:hyperlink>
    </w:p>
    <w:p w14:paraId="6F0D7F59" w14:textId="77777777" w:rsidR="004932AA" w:rsidRPr="004932AA" w:rsidRDefault="004932AA" w:rsidP="004932AA">
      <w:pPr>
        <w:pStyle w:val="Body"/>
      </w:pPr>
      <w:r w:rsidRPr="004932AA">
        <w:t xml:space="preserve">Lamichhane, K., &amp; Sawada, Y. (2013). Disability and returns to education in a developing country. </w:t>
      </w:r>
      <w:r w:rsidRPr="004932AA">
        <w:rPr>
          <w:i/>
          <w:iCs/>
        </w:rPr>
        <w:t>Economics of Education Review</w:t>
      </w:r>
      <w:r w:rsidRPr="004932AA">
        <w:t xml:space="preserve">, </w:t>
      </w:r>
      <w:r w:rsidRPr="004932AA">
        <w:rPr>
          <w:i/>
          <w:iCs/>
        </w:rPr>
        <w:t>37</w:t>
      </w:r>
      <w:r w:rsidRPr="004932AA">
        <w:t xml:space="preserve">, 85–94. </w:t>
      </w:r>
      <w:hyperlink r:id="rId25" w:history="1">
        <w:r w:rsidRPr="004932AA">
          <w:rPr>
            <w:rStyle w:val="Hyperlink"/>
          </w:rPr>
          <w:t>https://doi.org/10.1016/j.econedurev.2013.08.007</w:t>
        </w:r>
      </w:hyperlink>
    </w:p>
    <w:p w14:paraId="73DB61DB" w14:textId="77777777" w:rsidR="004932AA" w:rsidRPr="004932AA" w:rsidRDefault="004932AA" w:rsidP="004932AA">
      <w:pPr>
        <w:pStyle w:val="Body"/>
      </w:pPr>
      <w:r w:rsidRPr="004932AA">
        <w:t xml:space="preserve">Lamichhane, K., &amp; Takeda, T. (2022). Disability and Intrahousehold Investment Decisions in Education: Empirical Evidence from Bangladesh. </w:t>
      </w:r>
      <w:r w:rsidRPr="004932AA">
        <w:rPr>
          <w:i/>
          <w:iCs/>
        </w:rPr>
        <w:t>Asian Development Review</w:t>
      </w:r>
      <w:r w:rsidRPr="004932AA">
        <w:t xml:space="preserve">, </w:t>
      </w:r>
      <w:r w:rsidRPr="004932AA">
        <w:rPr>
          <w:i/>
          <w:iCs/>
        </w:rPr>
        <w:t>39</w:t>
      </w:r>
      <w:r w:rsidRPr="004932AA">
        <w:t xml:space="preserve">(1), 201–238. </w:t>
      </w:r>
      <w:hyperlink r:id="rId26" w:history="1">
        <w:r w:rsidRPr="004932AA">
          <w:rPr>
            <w:rStyle w:val="Hyperlink"/>
          </w:rPr>
          <w:t>https://doi.org/10.1142/S0116110522500032</w:t>
        </w:r>
      </w:hyperlink>
    </w:p>
    <w:p w14:paraId="4245F762" w14:textId="77777777" w:rsidR="004932AA" w:rsidRPr="004932AA" w:rsidRDefault="004932AA" w:rsidP="004932AA">
      <w:pPr>
        <w:pStyle w:val="Body"/>
      </w:pPr>
      <w:r w:rsidRPr="004932AA">
        <w:t xml:space="preserve">Li, A., Wei, Q., Xing, X., &amp; Pu, F. (2022). Analysis on differences of cognitive function between home-based and non-home-based elderly care based on PSM method. </w:t>
      </w:r>
      <w:r w:rsidRPr="004932AA">
        <w:rPr>
          <w:i/>
          <w:iCs/>
        </w:rPr>
        <w:t>Procedia Computer Science</w:t>
      </w:r>
      <w:r w:rsidRPr="004932AA">
        <w:t xml:space="preserve">, </w:t>
      </w:r>
      <w:r w:rsidRPr="004932AA">
        <w:rPr>
          <w:i/>
          <w:iCs/>
        </w:rPr>
        <w:t>214</w:t>
      </w:r>
      <w:r w:rsidRPr="004932AA">
        <w:t xml:space="preserve">(C), 179–186. </w:t>
      </w:r>
      <w:hyperlink r:id="rId27" w:history="1">
        <w:r w:rsidRPr="004932AA">
          <w:rPr>
            <w:rStyle w:val="Hyperlink"/>
          </w:rPr>
          <w:t>https://doi.org/10.1016/j.procs.2022.11.164</w:t>
        </w:r>
      </w:hyperlink>
    </w:p>
    <w:p w14:paraId="113048F1" w14:textId="77777777" w:rsidR="004932AA" w:rsidRPr="004932AA" w:rsidRDefault="004932AA" w:rsidP="004932AA">
      <w:pPr>
        <w:pStyle w:val="Body"/>
      </w:pPr>
      <w:r w:rsidRPr="004932AA">
        <w:t xml:space="preserve">Manzoor, M., &amp; </w:t>
      </w:r>
      <w:proofErr w:type="spellStart"/>
      <w:r w:rsidRPr="004932AA">
        <w:t>Vimarlund</w:t>
      </w:r>
      <w:proofErr w:type="spellEnd"/>
      <w:r w:rsidRPr="004932AA">
        <w:t xml:space="preserve">, V. (2018). Digital technologies for social inclusion of individuals with disabilities. </w:t>
      </w:r>
      <w:r w:rsidRPr="004932AA">
        <w:rPr>
          <w:i/>
          <w:iCs/>
        </w:rPr>
        <w:t>Health and Technology</w:t>
      </w:r>
      <w:r w:rsidRPr="004932AA">
        <w:t xml:space="preserve">, </w:t>
      </w:r>
      <w:r w:rsidRPr="004932AA">
        <w:rPr>
          <w:i/>
          <w:iCs/>
        </w:rPr>
        <w:t>8</w:t>
      </w:r>
      <w:r w:rsidRPr="004932AA">
        <w:t xml:space="preserve">(5), 377–390. </w:t>
      </w:r>
      <w:hyperlink r:id="rId28" w:history="1">
        <w:r w:rsidRPr="004932AA">
          <w:rPr>
            <w:rStyle w:val="Hyperlink"/>
          </w:rPr>
          <w:t>https://doi.org/10.1007/s12553-018-0239-1</w:t>
        </w:r>
      </w:hyperlink>
    </w:p>
    <w:p w14:paraId="046AECF8" w14:textId="77777777" w:rsidR="004932AA" w:rsidRPr="004932AA" w:rsidRDefault="004932AA" w:rsidP="004932AA">
      <w:pPr>
        <w:pStyle w:val="Body"/>
      </w:pPr>
      <w:r w:rsidRPr="004932AA">
        <w:t xml:space="preserve">Mincer, J. (1974). Schooling, experience, and earnings. Human behavior &amp; social institutions. </w:t>
      </w:r>
      <w:r w:rsidRPr="004932AA">
        <w:rPr>
          <w:i/>
          <w:iCs/>
        </w:rPr>
        <w:t>Education, Income, and Human Behavior</w:t>
      </w:r>
      <w:r w:rsidRPr="004932AA">
        <w:t xml:space="preserve">, </w:t>
      </w:r>
      <w:r w:rsidRPr="004932AA">
        <w:rPr>
          <w:i/>
          <w:iCs/>
        </w:rPr>
        <w:t>I</w:t>
      </w:r>
      <w:r w:rsidRPr="004932AA">
        <w:t>(July), 71–94.</w:t>
      </w:r>
    </w:p>
    <w:p w14:paraId="1511880A" w14:textId="6CF75B9C" w:rsidR="004932AA" w:rsidRPr="004932AA" w:rsidRDefault="004932AA" w:rsidP="004932AA">
      <w:pPr>
        <w:pStyle w:val="Body"/>
      </w:pPr>
      <w:r w:rsidRPr="004932AA">
        <w:t xml:space="preserve">Mincer, J. (2003). Technology and the </w:t>
      </w:r>
      <w:proofErr w:type="spellStart"/>
      <w:r w:rsidR="00736F52">
        <w:t>labour</w:t>
      </w:r>
      <w:proofErr w:type="spellEnd"/>
      <w:r w:rsidRPr="004932AA">
        <w:t xml:space="preserve"> market. </w:t>
      </w:r>
      <w:r w:rsidRPr="004932AA">
        <w:rPr>
          <w:i/>
          <w:iCs/>
        </w:rPr>
        <w:t>Review of Economics of the Household</w:t>
      </w:r>
      <w:r w:rsidRPr="004932AA">
        <w:t xml:space="preserve">, </w:t>
      </w:r>
      <w:r w:rsidRPr="004932AA">
        <w:rPr>
          <w:i/>
          <w:iCs/>
        </w:rPr>
        <w:t>1</w:t>
      </w:r>
      <w:r w:rsidRPr="004932AA">
        <w:t xml:space="preserve">, 249–272. </w:t>
      </w:r>
      <w:hyperlink r:id="rId29" w:history="1">
        <w:r w:rsidRPr="004932AA">
          <w:rPr>
            <w:rStyle w:val="Hyperlink"/>
          </w:rPr>
          <w:t>https://doi.org/10.1016/j.labeco.2022.102177</w:t>
        </w:r>
      </w:hyperlink>
    </w:p>
    <w:p w14:paraId="5C9CA5F9" w14:textId="77777777" w:rsidR="004932AA" w:rsidRPr="004932AA" w:rsidRDefault="004932AA" w:rsidP="004932AA">
      <w:pPr>
        <w:pStyle w:val="Body"/>
      </w:pPr>
      <w:r w:rsidRPr="004932AA">
        <w:lastRenderedPageBreak/>
        <w:t xml:space="preserve">Moyi, P. (2017). School participation for children with disabilities in Kenya. </w:t>
      </w:r>
      <w:r w:rsidRPr="004932AA">
        <w:rPr>
          <w:i/>
          <w:iCs/>
        </w:rPr>
        <w:t>Research in Comparative and International Education</w:t>
      </w:r>
      <w:r w:rsidRPr="004932AA">
        <w:t xml:space="preserve">, </w:t>
      </w:r>
      <w:r w:rsidRPr="004932AA">
        <w:rPr>
          <w:i/>
          <w:iCs/>
        </w:rPr>
        <w:t>12</w:t>
      </w:r>
      <w:r w:rsidRPr="004932AA">
        <w:t xml:space="preserve">(4), 497–511. </w:t>
      </w:r>
      <w:hyperlink r:id="rId30" w:history="1">
        <w:r w:rsidRPr="004932AA">
          <w:rPr>
            <w:rStyle w:val="Hyperlink"/>
          </w:rPr>
          <w:t>https://doi.org/10.1177/1745499917740654</w:t>
        </w:r>
      </w:hyperlink>
    </w:p>
    <w:p w14:paraId="00982018" w14:textId="604FF45D" w:rsidR="004932AA" w:rsidRPr="004932AA" w:rsidRDefault="004932AA" w:rsidP="004932AA">
      <w:pPr>
        <w:pStyle w:val="Body"/>
      </w:pPr>
      <w:r w:rsidRPr="004932AA">
        <w:t xml:space="preserve">Mtetwa, E., &amp; </w:t>
      </w:r>
      <w:proofErr w:type="spellStart"/>
      <w:r w:rsidRPr="004932AA">
        <w:t>Nyikahadzoi</w:t>
      </w:r>
      <w:proofErr w:type="spellEnd"/>
      <w:r w:rsidRPr="004932AA">
        <w:t xml:space="preserve">, K. (2013). </w:t>
      </w:r>
      <w:r w:rsidRPr="004932AA">
        <w:rPr>
          <w:i/>
          <w:iCs/>
        </w:rPr>
        <w:t xml:space="preserve">Socioeconomic circumstances of children with disabilities in </w:t>
      </w:r>
      <w:proofErr w:type="spellStart"/>
      <w:r w:rsidRPr="004932AA">
        <w:rPr>
          <w:i/>
          <w:iCs/>
        </w:rPr>
        <w:t>Zimbabw</w:t>
      </w:r>
      <w:proofErr w:type="spellEnd"/>
      <w:r w:rsidRPr="004932AA">
        <w:rPr>
          <w:i/>
          <w:iCs/>
        </w:rPr>
        <w:t>: Implications for human and social capital development</w:t>
      </w:r>
      <w:r w:rsidRPr="004932AA">
        <w:t xml:space="preserve">. </w:t>
      </w:r>
      <w:r w:rsidRPr="004932AA">
        <w:rPr>
          <w:i/>
          <w:iCs/>
        </w:rPr>
        <w:t>28</w:t>
      </w:r>
      <w:r w:rsidRPr="004932AA">
        <w:t>(2), 2013.</w:t>
      </w:r>
    </w:p>
    <w:p w14:paraId="6713FC01" w14:textId="77777777" w:rsidR="004932AA" w:rsidRPr="004932AA" w:rsidRDefault="004932AA" w:rsidP="004932AA">
      <w:pPr>
        <w:pStyle w:val="Body"/>
      </w:pPr>
      <w:r w:rsidRPr="004932AA">
        <w:t xml:space="preserve">O’Neill, J., Kang, H. J., Sánchez, J., Muller, V., Aldrich, H., Pfaller, J., &amp; Chan, F. (2015). Effect of college or university training on earnings of people with disabilities: A case control study. </w:t>
      </w:r>
      <w:r w:rsidRPr="004932AA">
        <w:rPr>
          <w:i/>
          <w:iCs/>
        </w:rPr>
        <w:t>Journal of Vocational Rehabilitation</w:t>
      </w:r>
      <w:r w:rsidRPr="004932AA">
        <w:t xml:space="preserve">, </w:t>
      </w:r>
      <w:r w:rsidRPr="004932AA">
        <w:rPr>
          <w:i/>
          <w:iCs/>
        </w:rPr>
        <w:t>43</w:t>
      </w:r>
      <w:r w:rsidRPr="004932AA">
        <w:t xml:space="preserve">(2), 93–102. </w:t>
      </w:r>
      <w:hyperlink r:id="rId31" w:history="1">
        <w:r w:rsidRPr="004932AA">
          <w:rPr>
            <w:rStyle w:val="Hyperlink"/>
          </w:rPr>
          <w:t>https://doi.org/10.3233/JVR-150759</w:t>
        </w:r>
      </w:hyperlink>
    </w:p>
    <w:p w14:paraId="04B7908E" w14:textId="6B4D8143" w:rsidR="004932AA" w:rsidRPr="004932AA" w:rsidRDefault="004932AA" w:rsidP="004932AA">
      <w:pPr>
        <w:pStyle w:val="Body"/>
      </w:pPr>
      <w:r w:rsidRPr="004932AA">
        <w:t xml:space="preserve">Patrinos, H. (2016). Estimating the return to schooling using the Mincer equation. </w:t>
      </w:r>
      <w:r w:rsidRPr="004932AA">
        <w:rPr>
          <w:i/>
          <w:iCs/>
        </w:rPr>
        <w:t xml:space="preserve">IZA World of </w:t>
      </w:r>
      <w:proofErr w:type="spellStart"/>
      <w:r w:rsidR="00736F52">
        <w:rPr>
          <w:i/>
          <w:iCs/>
        </w:rPr>
        <w:t>Labour</w:t>
      </w:r>
      <w:proofErr w:type="spellEnd"/>
      <w:r w:rsidRPr="004932AA">
        <w:t xml:space="preserve">, </w:t>
      </w:r>
      <w:r w:rsidRPr="004932AA">
        <w:rPr>
          <w:i/>
          <w:iCs/>
        </w:rPr>
        <w:t>July</w:t>
      </w:r>
      <w:r w:rsidRPr="004932AA">
        <w:t xml:space="preserve">, 1–11. </w:t>
      </w:r>
      <w:hyperlink r:id="rId32" w:history="1">
        <w:r w:rsidRPr="004932AA">
          <w:rPr>
            <w:rStyle w:val="Hyperlink"/>
          </w:rPr>
          <w:t>https://doi.org/10.15185/izawol.278</w:t>
        </w:r>
      </w:hyperlink>
    </w:p>
    <w:p w14:paraId="11313C87" w14:textId="77777777" w:rsidR="004932AA" w:rsidRPr="004932AA" w:rsidRDefault="004932AA" w:rsidP="004932AA">
      <w:pPr>
        <w:pStyle w:val="Body"/>
      </w:pPr>
      <w:r w:rsidRPr="004932AA">
        <w:t xml:space="preserve">Rosenbaum, P. R., &amp; Rubin, D. B. (2006). The central role of the propensity score in observational studies for causal effects. </w:t>
      </w:r>
      <w:r w:rsidRPr="004932AA">
        <w:rPr>
          <w:i/>
          <w:iCs/>
        </w:rPr>
        <w:t>Matched Sampling for Causal Effects</w:t>
      </w:r>
      <w:r w:rsidRPr="004932AA">
        <w:t xml:space="preserve">, </w:t>
      </w:r>
      <w:r w:rsidRPr="004932AA">
        <w:rPr>
          <w:i/>
          <w:iCs/>
        </w:rPr>
        <w:t>1083</w:t>
      </w:r>
      <w:r w:rsidRPr="004932AA">
        <w:t xml:space="preserve">, 170–184. </w:t>
      </w:r>
      <w:hyperlink r:id="rId33" w:history="1">
        <w:r w:rsidRPr="004932AA">
          <w:rPr>
            <w:rStyle w:val="Hyperlink"/>
          </w:rPr>
          <w:t>https://doi.org/10.1017/CBO9780511810725.016</w:t>
        </w:r>
      </w:hyperlink>
    </w:p>
    <w:p w14:paraId="28EBCF93" w14:textId="5F086678" w:rsidR="004932AA" w:rsidRPr="004932AA" w:rsidRDefault="004932AA" w:rsidP="004932AA">
      <w:pPr>
        <w:pStyle w:val="Body"/>
      </w:pPr>
      <w:r w:rsidRPr="004932AA">
        <w:t xml:space="preserve">Sari, P. M., Bachtiar, N., &amp; Taifur, W. D. (2023). Exploring the Correlation Between Education and Income: </w:t>
      </w:r>
      <w:r w:rsidR="00CE0B06">
        <w:t>The</w:t>
      </w:r>
      <w:r w:rsidRPr="004932AA">
        <w:t xml:space="preserve"> Impact of Education on </w:t>
      </w:r>
      <w:r w:rsidR="00CE0B06">
        <w:t>Persons</w:t>
      </w:r>
      <w:r w:rsidRPr="004932AA">
        <w:t xml:space="preserve"> with </w:t>
      </w:r>
      <w:r w:rsidR="00CE0B06">
        <w:t>Disabilities</w:t>
      </w:r>
      <w:r w:rsidRPr="004932AA">
        <w:t xml:space="preserve"> in the Formal Sector. </w:t>
      </w:r>
      <w:r w:rsidRPr="004932AA">
        <w:rPr>
          <w:i/>
          <w:iCs/>
        </w:rPr>
        <w:t xml:space="preserve">Journal </w:t>
      </w:r>
      <w:proofErr w:type="gramStart"/>
      <w:r w:rsidRPr="004932AA">
        <w:rPr>
          <w:i/>
          <w:iCs/>
        </w:rPr>
        <w:t>Of</w:t>
      </w:r>
      <w:proofErr w:type="gramEnd"/>
      <w:r w:rsidRPr="004932AA">
        <w:rPr>
          <w:i/>
          <w:iCs/>
        </w:rPr>
        <w:t xml:space="preserve"> Management, Accounting, General Finance and International Economic Issues (MARGINAL)</w:t>
      </w:r>
      <w:r w:rsidRPr="004932AA">
        <w:t xml:space="preserve">, </w:t>
      </w:r>
      <w:r w:rsidRPr="004932AA">
        <w:rPr>
          <w:i/>
          <w:iCs/>
        </w:rPr>
        <w:t>3</w:t>
      </w:r>
      <w:r w:rsidRPr="004932AA">
        <w:t>(1), 182–196.</w:t>
      </w:r>
    </w:p>
    <w:p w14:paraId="0C5B37CA" w14:textId="3A9D0B62" w:rsidR="00B01FCD" w:rsidRPr="00FB3A86" w:rsidRDefault="004932AA" w:rsidP="004932AA">
      <w:pPr>
        <w:pStyle w:val="Body"/>
        <w:rPr>
          <w:rFonts w:ascii="Arial" w:hAnsi="Arial" w:cs="Arial"/>
        </w:rPr>
      </w:pPr>
      <w:proofErr w:type="spellStart"/>
      <w:r w:rsidRPr="004932AA">
        <w:t>Simplican</w:t>
      </w:r>
      <w:proofErr w:type="spellEnd"/>
      <w:r w:rsidRPr="004932AA">
        <w:t xml:space="preserve">, S. C., Leader, G., </w:t>
      </w:r>
      <w:proofErr w:type="spellStart"/>
      <w:r w:rsidRPr="004932AA">
        <w:t>Kosciulek</w:t>
      </w:r>
      <w:proofErr w:type="spellEnd"/>
      <w:r w:rsidRPr="004932AA">
        <w:t xml:space="preserve">, J. F., &amp; Leahy, M. J. (2015). Defining Social Inclusion of People </w:t>
      </w:r>
      <w:r w:rsidR="00CE0B06">
        <w:t>w</w:t>
      </w:r>
      <w:r w:rsidRPr="004932AA">
        <w:t xml:space="preserve">ith Intellectual and Developmental Disabilities: An Ecological Model of Social Networks and Community Participation. </w:t>
      </w:r>
      <w:r w:rsidRPr="004932AA">
        <w:rPr>
          <w:i/>
          <w:iCs/>
        </w:rPr>
        <w:t>Research in Developmental Disabilities</w:t>
      </w:r>
      <w:r w:rsidRPr="004932AA">
        <w:t xml:space="preserve">, </w:t>
      </w:r>
      <w:r w:rsidRPr="004932AA">
        <w:rPr>
          <w:i/>
          <w:iCs/>
        </w:rPr>
        <w:t>38</w:t>
      </w:r>
      <w:r w:rsidRPr="004932AA">
        <w:t xml:space="preserve">, 18–29. </w:t>
      </w:r>
      <w:hyperlink r:id="rId34" w:history="1">
        <w:r w:rsidRPr="004932AA">
          <w:rPr>
            <w:rStyle w:val="Hyperlink"/>
          </w:rPr>
          <w:t>https://doi.org/10.1016/j.ridd.2014.10.008</w:t>
        </w:r>
      </w:hyperlink>
      <w:bookmarkEnd w:id="2"/>
    </w:p>
    <w:sectPr w:rsidR="00B01FCD" w:rsidRPr="00FB3A86" w:rsidSect="009F357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2068A" w14:textId="77777777" w:rsidR="001F3B56" w:rsidRDefault="001F3B56" w:rsidP="00C37E61">
      <w:r>
        <w:separator/>
      </w:r>
    </w:p>
  </w:endnote>
  <w:endnote w:type="continuationSeparator" w:id="0">
    <w:p w14:paraId="18DFD17D" w14:textId="77777777" w:rsidR="001F3B56" w:rsidRDefault="001F3B5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9FC86" w14:textId="77777777" w:rsidR="006214DA" w:rsidRDefault="00621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AA715" w14:textId="77777777" w:rsidR="006214DA" w:rsidRDefault="00621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51253" w14:textId="77777777" w:rsidR="009E048A" w:rsidRDefault="009E048A">
    <w:pPr>
      <w:pStyle w:val="Footer"/>
      <w:rPr>
        <w:rFonts w:ascii="Arial" w:hAnsi="Arial" w:cs="Arial"/>
        <w:sz w:val="16"/>
      </w:rPr>
    </w:pPr>
  </w:p>
  <w:p w14:paraId="7B1EC440" w14:textId="796B915A" w:rsidR="00754C9A" w:rsidRPr="00452446" w:rsidRDefault="009E048A" w:rsidP="00452446">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5B1E4" w14:textId="77777777" w:rsidR="001F3B56" w:rsidRDefault="001F3B56" w:rsidP="00C37E61">
      <w:r>
        <w:separator/>
      </w:r>
    </w:p>
  </w:footnote>
  <w:footnote w:type="continuationSeparator" w:id="0">
    <w:p w14:paraId="5EB789AC" w14:textId="77777777" w:rsidR="001F3B56" w:rsidRDefault="001F3B5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50549" w14:textId="396751E1" w:rsidR="006214DA" w:rsidRDefault="001F3B56">
    <w:pPr>
      <w:pStyle w:val="Header"/>
    </w:pPr>
    <w:r>
      <w:rPr>
        <w:noProof/>
      </w:rPr>
      <w:pict w14:anchorId="7D22C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5456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C4CAF" w14:textId="76F2E31D" w:rsidR="006214DA" w:rsidRDefault="001F3B56">
    <w:pPr>
      <w:pStyle w:val="Header"/>
    </w:pPr>
    <w:r>
      <w:rPr>
        <w:noProof/>
      </w:rPr>
      <w:pict w14:anchorId="341DD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5456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1625" w14:textId="71AF9793" w:rsidR="00296529" w:rsidRPr="00296529" w:rsidRDefault="001F3B56" w:rsidP="00296529">
    <w:pPr>
      <w:ind w:left="2160"/>
      <w:jc w:val="center"/>
      <w:rPr>
        <w:rFonts w:ascii="Times New Roman" w:eastAsia="Calibri" w:hAnsi="Times New Roman"/>
        <w:i/>
        <w:sz w:val="18"/>
        <w:szCs w:val="22"/>
      </w:rPr>
    </w:pPr>
    <w:r>
      <w:rPr>
        <w:noProof/>
      </w:rPr>
      <w:pict w14:anchorId="2B2626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54564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077BA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1EC8C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50A16D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1C3DE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97FBF6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4DEAF4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25CE"/>
    <w:rsid w:val="000A47FA"/>
    <w:rsid w:val="000A485C"/>
    <w:rsid w:val="000A65D3"/>
    <w:rsid w:val="000B1E33"/>
    <w:rsid w:val="000D689F"/>
    <w:rsid w:val="000E6D82"/>
    <w:rsid w:val="000E7B7B"/>
    <w:rsid w:val="000E7D62"/>
    <w:rsid w:val="00103357"/>
    <w:rsid w:val="00107A75"/>
    <w:rsid w:val="00114663"/>
    <w:rsid w:val="00123C9F"/>
    <w:rsid w:val="00126190"/>
    <w:rsid w:val="00130F17"/>
    <w:rsid w:val="001320BF"/>
    <w:rsid w:val="00163BC4"/>
    <w:rsid w:val="00191062"/>
    <w:rsid w:val="00192B72"/>
    <w:rsid w:val="001A29D8"/>
    <w:rsid w:val="001A5CAA"/>
    <w:rsid w:val="001B0427"/>
    <w:rsid w:val="001B48DB"/>
    <w:rsid w:val="001D3A51"/>
    <w:rsid w:val="001E10D2"/>
    <w:rsid w:val="001E25B4"/>
    <w:rsid w:val="001E44FE"/>
    <w:rsid w:val="001F3B56"/>
    <w:rsid w:val="00200595"/>
    <w:rsid w:val="00204835"/>
    <w:rsid w:val="00223117"/>
    <w:rsid w:val="00226825"/>
    <w:rsid w:val="00231920"/>
    <w:rsid w:val="0023195C"/>
    <w:rsid w:val="0024282C"/>
    <w:rsid w:val="002460DC"/>
    <w:rsid w:val="00250985"/>
    <w:rsid w:val="002556F6"/>
    <w:rsid w:val="00283105"/>
    <w:rsid w:val="00283DED"/>
    <w:rsid w:val="00284C4C"/>
    <w:rsid w:val="00287E68"/>
    <w:rsid w:val="00296529"/>
    <w:rsid w:val="002B27FB"/>
    <w:rsid w:val="002B685A"/>
    <w:rsid w:val="002C57D2"/>
    <w:rsid w:val="002E0D56"/>
    <w:rsid w:val="00302F49"/>
    <w:rsid w:val="0030394B"/>
    <w:rsid w:val="00315186"/>
    <w:rsid w:val="0033343E"/>
    <w:rsid w:val="00336165"/>
    <w:rsid w:val="003512C2"/>
    <w:rsid w:val="00371FB6"/>
    <w:rsid w:val="003763C1"/>
    <w:rsid w:val="00376BBE"/>
    <w:rsid w:val="0039224F"/>
    <w:rsid w:val="003A43A4"/>
    <w:rsid w:val="003A7E18"/>
    <w:rsid w:val="003B5839"/>
    <w:rsid w:val="003C4C86"/>
    <w:rsid w:val="003C6258"/>
    <w:rsid w:val="003E2904"/>
    <w:rsid w:val="00401927"/>
    <w:rsid w:val="0041027F"/>
    <w:rsid w:val="00412475"/>
    <w:rsid w:val="00423789"/>
    <w:rsid w:val="00440F43"/>
    <w:rsid w:val="00441B6F"/>
    <w:rsid w:val="00446221"/>
    <w:rsid w:val="00450E62"/>
    <w:rsid w:val="00452446"/>
    <w:rsid w:val="004539DB"/>
    <w:rsid w:val="00471A80"/>
    <w:rsid w:val="004932AA"/>
    <w:rsid w:val="004B4ECB"/>
    <w:rsid w:val="004D305E"/>
    <w:rsid w:val="004D4277"/>
    <w:rsid w:val="004E0E78"/>
    <w:rsid w:val="00502516"/>
    <w:rsid w:val="00505F06"/>
    <w:rsid w:val="00506828"/>
    <w:rsid w:val="0053056E"/>
    <w:rsid w:val="00554FDA"/>
    <w:rsid w:val="005765E3"/>
    <w:rsid w:val="00577C83"/>
    <w:rsid w:val="005B26D0"/>
    <w:rsid w:val="005C784C"/>
    <w:rsid w:val="005D17F6"/>
    <w:rsid w:val="005E5539"/>
    <w:rsid w:val="00602BF5"/>
    <w:rsid w:val="00617FDD"/>
    <w:rsid w:val="006214DA"/>
    <w:rsid w:val="00633614"/>
    <w:rsid w:val="00633794"/>
    <w:rsid w:val="00633F68"/>
    <w:rsid w:val="00636EB2"/>
    <w:rsid w:val="006375B8"/>
    <w:rsid w:val="00654F7C"/>
    <w:rsid w:val="0066510A"/>
    <w:rsid w:val="00673F9F"/>
    <w:rsid w:val="00686953"/>
    <w:rsid w:val="00687DEA"/>
    <w:rsid w:val="00687E67"/>
    <w:rsid w:val="00695320"/>
    <w:rsid w:val="006967F7"/>
    <w:rsid w:val="006A250C"/>
    <w:rsid w:val="006A4726"/>
    <w:rsid w:val="006B21D3"/>
    <w:rsid w:val="006B57D0"/>
    <w:rsid w:val="006D30FF"/>
    <w:rsid w:val="006D6940"/>
    <w:rsid w:val="006F11EC"/>
    <w:rsid w:val="0070082C"/>
    <w:rsid w:val="007369E6"/>
    <w:rsid w:val="00736F52"/>
    <w:rsid w:val="00746E59"/>
    <w:rsid w:val="00754C9A"/>
    <w:rsid w:val="0075599A"/>
    <w:rsid w:val="00757C08"/>
    <w:rsid w:val="00761D52"/>
    <w:rsid w:val="0077749E"/>
    <w:rsid w:val="00790ADA"/>
    <w:rsid w:val="00796170"/>
    <w:rsid w:val="007D2288"/>
    <w:rsid w:val="007E088F"/>
    <w:rsid w:val="007F7B32"/>
    <w:rsid w:val="00804BC2"/>
    <w:rsid w:val="0081431A"/>
    <w:rsid w:val="0083216F"/>
    <w:rsid w:val="00860000"/>
    <w:rsid w:val="00863BD3"/>
    <w:rsid w:val="008641ED"/>
    <w:rsid w:val="00866D66"/>
    <w:rsid w:val="008671C6"/>
    <w:rsid w:val="00875803"/>
    <w:rsid w:val="008B0AFB"/>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1168"/>
    <w:rsid w:val="009E3DB9"/>
    <w:rsid w:val="009E6E35"/>
    <w:rsid w:val="009E7DA1"/>
    <w:rsid w:val="009F0EDA"/>
    <w:rsid w:val="009F3578"/>
    <w:rsid w:val="00A03B96"/>
    <w:rsid w:val="00A05B19"/>
    <w:rsid w:val="00A1134E"/>
    <w:rsid w:val="00A231B3"/>
    <w:rsid w:val="00A24E7E"/>
    <w:rsid w:val="00A258C3"/>
    <w:rsid w:val="00A347C0"/>
    <w:rsid w:val="00A51431"/>
    <w:rsid w:val="00A539AD"/>
    <w:rsid w:val="00A70F07"/>
    <w:rsid w:val="00A94063"/>
    <w:rsid w:val="00AA6219"/>
    <w:rsid w:val="00AA74E0"/>
    <w:rsid w:val="00AB703F"/>
    <w:rsid w:val="00AC6BB8"/>
    <w:rsid w:val="00AE008F"/>
    <w:rsid w:val="00B0032E"/>
    <w:rsid w:val="00B01FCD"/>
    <w:rsid w:val="00B1776C"/>
    <w:rsid w:val="00B2068C"/>
    <w:rsid w:val="00B52583"/>
    <w:rsid w:val="00B52896"/>
    <w:rsid w:val="00B95236"/>
    <w:rsid w:val="00B96BD9"/>
    <w:rsid w:val="00B97B1D"/>
    <w:rsid w:val="00BA1B01"/>
    <w:rsid w:val="00BA2641"/>
    <w:rsid w:val="00BA35D4"/>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5723"/>
    <w:rsid w:val="00CD2D48"/>
    <w:rsid w:val="00CD6755"/>
    <w:rsid w:val="00CD6856"/>
    <w:rsid w:val="00CE0089"/>
    <w:rsid w:val="00CE0B06"/>
    <w:rsid w:val="00CE793C"/>
    <w:rsid w:val="00CF193C"/>
    <w:rsid w:val="00CF7AA0"/>
    <w:rsid w:val="00D173F1"/>
    <w:rsid w:val="00D74CB0"/>
    <w:rsid w:val="00D8295D"/>
    <w:rsid w:val="00D91695"/>
    <w:rsid w:val="00DB1F41"/>
    <w:rsid w:val="00DC2A65"/>
    <w:rsid w:val="00DE15F0"/>
    <w:rsid w:val="00DE5663"/>
    <w:rsid w:val="00DE78AA"/>
    <w:rsid w:val="00E053D0"/>
    <w:rsid w:val="00E15994"/>
    <w:rsid w:val="00E20ED6"/>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A7E2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665C9BE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97B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CD2D48"/>
    <w:rPr>
      <w:rFonts w:ascii="Helvetica" w:hAnsi="Helvetica"/>
      <w:b/>
      <w:bCs/>
      <w:lang w:val="en-US" w:eastAsia="en-US"/>
    </w:rPr>
  </w:style>
  <w:style w:type="character" w:customStyle="1" w:styleId="CommentSubjectChar">
    <w:name w:val="Comment Subject Char"/>
    <w:basedOn w:val="CommentTextChar"/>
    <w:link w:val="CommentSubject"/>
    <w:semiHidden/>
    <w:rsid w:val="00CD2D48"/>
    <w:rPr>
      <w:rFonts w:ascii="Helvetica" w:hAnsi="Helvetica"/>
      <w:b/>
      <w:bCs/>
      <w:lang w:val="nb-NO" w:eastAsia="nb-NO"/>
    </w:rPr>
  </w:style>
  <w:style w:type="paragraph" w:styleId="NormalWeb">
    <w:name w:val="Normal (Web)"/>
    <w:basedOn w:val="Normal"/>
    <w:semiHidden/>
    <w:unhideWhenUsed/>
    <w:rsid w:val="00223117"/>
    <w:rPr>
      <w:rFonts w:ascii="Times New Roman" w:hAnsi="Times New Roman"/>
      <w:sz w:val="24"/>
      <w:szCs w:val="24"/>
    </w:rPr>
  </w:style>
  <w:style w:type="character" w:customStyle="1" w:styleId="Heading3Char">
    <w:name w:val="Heading 3 Char"/>
    <w:basedOn w:val="DefaultParagraphFont"/>
    <w:link w:val="Heading3"/>
    <w:semiHidden/>
    <w:rsid w:val="00B97B1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47/JRD.2015.2453021" TargetMode="External"/><Relationship Id="rId26" Type="http://schemas.openxmlformats.org/officeDocument/2006/relationships/hyperlink" Target="https://doi.org/10.1142/S0116110522500032" TargetMode="External"/><Relationship Id="rId3" Type="http://schemas.openxmlformats.org/officeDocument/2006/relationships/styles" Target="styles.xml"/><Relationship Id="rId21" Type="http://schemas.openxmlformats.org/officeDocument/2006/relationships/hyperlink" Target="https://doi.org/10.1111/jar.12162" TargetMode="External"/><Relationship Id="rId34" Type="http://schemas.openxmlformats.org/officeDocument/2006/relationships/hyperlink" Target="https://doi.org/10.1016/j.ridd.2014.10.00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https://doi.org/10.1016/j.labeco.2022.102253" TargetMode="External"/><Relationship Id="rId25" Type="http://schemas.openxmlformats.org/officeDocument/2006/relationships/hyperlink" Target="https://doi.org/10.1016/j.econedurev.2013.08.007" TargetMode="External"/><Relationship Id="rId33" Type="http://schemas.openxmlformats.org/officeDocument/2006/relationships/hyperlink" Target="https://doi.org/10.1017/CBO9780511810725.016" TargetMode="External"/><Relationship Id="rId2" Type="http://schemas.openxmlformats.org/officeDocument/2006/relationships/numbering" Target="numbering.xml"/><Relationship Id="rId16" Type="http://schemas.openxmlformats.org/officeDocument/2006/relationships/hyperlink" Target="https://doi.org/10.1093/restud/rdr017" TargetMode="External"/><Relationship Id="rId20" Type="http://schemas.openxmlformats.org/officeDocument/2006/relationships/hyperlink" Target="https://doi.org/10.2196/49750" TargetMode="External"/><Relationship Id="rId29" Type="http://schemas.openxmlformats.org/officeDocument/2006/relationships/hyperlink" Target="https://doi.org/10.1016/j.labeco.2022.1021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7/CBO9781107565265" TargetMode="External"/><Relationship Id="rId32" Type="http://schemas.openxmlformats.org/officeDocument/2006/relationships/hyperlink" Target="https://doi.org/10.15185/izawol.278" TargetMode="External"/><Relationship Id="rId5" Type="http://schemas.openxmlformats.org/officeDocument/2006/relationships/webSettings" Target="webSettings.xml"/><Relationship Id="rId15" Type="http://schemas.openxmlformats.org/officeDocument/2006/relationships/hyperlink" Target="https://doi.org/10.1130/ges01264.1" TargetMode="External"/><Relationship Id="rId23" Type="http://schemas.openxmlformats.org/officeDocument/2006/relationships/hyperlink" Target="https://doi.org/10.1108/info-10-2013-0051" TargetMode="External"/><Relationship Id="rId28" Type="http://schemas.openxmlformats.org/officeDocument/2006/relationships/hyperlink" Target="https://doi.org/10.1007/s12553-018-0239-1"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46/j.1468-3148.2003.00157.x" TargetMode="External"/><Relationship Id="rId31" Type="http://schemas.openxmlformats.org/officeDocument/2006/relationships/hyperlink" Target="https://doi.org/10.3233/JVR-15075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3390/disabilities1040030" TargetMode="External"/><Relationship Id="rId27" Type="http://schemas.openxmlformats.org/officeDocument/2006/relationships/hyperlink" Target="https://doi.org/10.1016/j.procs.2022.11.164" TargetMode="External"/><Relationship Id="rId30" Type="http://schemas.openxmlformats.org/officeDocument/2006/relationships/hyperlink" Target="https://doi.org/10.1177/1745499917740654"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Unand\semester%204\artikel%20psm\revisi%201\psm%20jakarta%20-%20Copy_ing.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Respondent by type of disability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 Sheet4'!$B$2</c:f>
              <c:strCache>
                <c:ptCount val="1"/>
                <c:pt idx="0">
                  <c:v>Freq.</c:v>
                </c:pt>
              </c:strCache>
            </c:strRef>
          </c:tx>
          <c:spPr>
            <a:solidFill>
              <a:schemeClr val="accent1"/>
            </a:solidFill>
            <a:ln>
              <a:noFill/>
            </a:ln>
            <a:effectLst/>
          </c:spPr>
          <c:invertIfNegative val="0"/>
          <c:cat>
            <c:strRef>
              <c:f>' Sheet4'!$A$3:$A$8</c:f>
              <c:strCache>
                <c:ptCount val="6"/>
                <c:pt idx="0">
                  <c:v>Vision</c:v>
                </c:pt>
                <c:pt idx="1">
                  <c:v>Hearing</c:v>
                </c:pt>
                <c:pt idx="2">
                  <c:v>Walk</c:v>
                </c:pt>
                <c:pt idx="3">
                  <c:v>Fingers</c:v>
                </c:pt>
                <c:pt idx="4">
                  <c:v>Communication</c:v>
                </c:pt>
                <c:pt idx="5">
                  <c:v>Mental</c:v>
                </c:pt>
              </c:strCache>
            </c:strRef>
          </c:cat>
          <c:val>
            <c:numRef>
              <c:f>' Sheet4'!$B$3:$B$8</c:f>
              <c:numCache>
                <c:formatCode>General</c:formatCode>
                <c:ptCount val="6"/>
                <c:pt idx="0">
                  <c:v>231</c:v>
                </c:pt>
                <c:pt idx="1">
                  <c:v>67</c:v>
                </c:pt>
                <c:pt idx="2">
                  <c:v>165</c:v>
                </c:pt>
                <c:pt idx="3">
                  <c:v>92</c:v>
                </c:pt>
                <c:pt idx="4">
                  <c:v>46</c:v>
                </c:pt>
                <c:pt idx="5">
                  <c:v>188</c:v>
                </c:pt>
              </c:numCache>
            </c:numRef>
          </c:val>
          <c:extLst>
            <c:ext xmlns:c16="http://schemas.microsoft.com/office/drawing/2014/chart" uri="{C3380CC4-5D6E-409C-BE32-E72D297353CC}">
              <c16:uniqueId val="{00000000-DCC1-4074-8641-08FD144A927F}"/>
            </c:ext>
          </c:extLst>
        </c:ser>
        <c:ser>
          <c:idx val="1"/>
          <c:order val="1"/>
          <c:tx>
            <c:strRef>
              <c:f>' Sheet4'!$C$2</c:f>
              <c:strCache>
                <c:ptCount val="1"/>
                <c:pt idx="0">
                  <c:v>Percent</c:v>
                </c:pt>
              </c:strCache>
            </c:strRef>
          </c:tx>
          <c:spPr>
            <a:solidFill>
              <a:schemeClr val="accent2"/>
            </a:solidFill>
            <a:ln>
              <a:noFill/>
            </a:ln>
            <a:effectLst/>
          </c:spPr>
          <c:invertIfNegative val="0"/>
          <c:cat>
            <c:strRef>
              <c:f>' Sheet4'!$A$3:$A$8</c:f>
              <c:strCache>
                <c:ptCount val="6"/>
                <c:pt idx="0">
                  <c:v>Vision</c:v>
                </c:pt>
                <c:pt idx="1">
                  <c:v>Hearing</c:v>
                </c:pt>
                <c:pt idx="2">
                  <c:v>Walk</c:v>
                </c:pt>
                <c:pt idx="3">
                  <c:v>Fingers</c:v>
                </c:pt>
                <c:pt idx="4">
                  <c:v>Communication</c:v>
                </c:pt>
                <c:pt idx="5">
                  <c:v>Mental</c:v>
                </c:pt>
              </c:strCache>
            </c:strRef>
          </c:cat>
          <c:val>
            <c:numRef>
              <c:f>' Sheet4'!$C$3:$C$8</c:f>
              <c:numCache>
                <c:formatCode>General</c:formatCode>
                <c:ptCount val="6"/>
                <c:pt idx="0">
                  <c:v>29.28</c:v>
                </c:pt>
                <c:pt idx="1">
                  <c:v>8.49</c:v>
                </c:pt>
                <c:pt idx="2">
                  <c:v>20.91</c:v>
                </c:pt>
                <c:pt idx="3">
                  <c:v>11.66</c:v>
                </c:pt>
                <c:pt idx="4">
                  <c:v>5.83</c:v>
                </c:pt>
                <c:pt idx="5">
                  <c:v>23.83</c:v>
                </c:pt>
              </c:numCache>
            </c:numRef>
          </c:val>
          <c:extLst>
            <c:ext xmlns:c16="http://schemas.microsoft.com/office/drawing/2014/chart" uri="{C3380CC4-5D6E-409C-BE32-E72D297353CC}">
              <c16:uniqueId val="{00000001-DCC1-4074-8641-08FD144A927F}"/>
            </c:ext>
          </c:extLst>
        </c:ser>
        <c:dLbls>
          <c:showLegendKey val="0"/>
          <c:showVal val="0"/>
          <c:showCatName val="0"/>
          <c:showSerName val="0"/>
          <c:showPercent val="0"/>
          <c:showBubbleSize val="0"/>
        </c:dLbls>
        <c:gapWidth val="219"/>
        <c:overlap val="-27"/>
        <c:axId val="1943529856"/>
        <c:axId val="1943526496"/>
      </c:barChart>
      <c:catAx>
        <c:axId val="1943529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3526496"/>
        <c:crosses val="autoZero"/>
        <c:auto val="1"/>
        <c:lblAlgn val="ctr"/>
        <c:lblOffset val="100"/>
        <c:noMultiLvlLbl val="0"/>
      </c:catAx>
      <c:valAx>
        <c:axId val="1943526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3529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19E2E-2474-4089-A66A-E3CB2E8B3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882</TotalTime>
  <Pages>13</Pages>
  <Words>9088</Words>
  <Characters>51807</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60774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43</cp:revision>
  <cp:lastPrinted>1999-07-06T11:00:00Z</cp:lastPrinted>
  <dcterms:created xsi:type="dcterms:W3CDTF">2014-10-25T14:34:00Z</dcterms:created>
  <dcterms:modified xsi:type="dcterms:W3CDTF">2026-01-13T12:44:00Z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7cf04dce-3bd7-47f9-90c1-4a6dd92a4b13</vt:lpwstr>
  </property>
</Properties>
</file>