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1639" w14:textId="4F7A5C9A" w:rsidR="00FF35BC" w:rsidRPr="00581F88" w:rsidRDefault="0090048E" w:rsidP="0090048E">
      <w:pPr>
        <w:jc w:val="both"/>
      </w:pPr>
      <w:r w:rsidRPr="00581F88">
        <w:rPr>
          <w:rStyle w:val="Emphasis"/>
          <w:rFonts w:ascii="Times New Roman" w:eastAsia="Times New Roman" w:hAnsi="Times New Roman" w:cs="Times New Roman"/>
          <w:b/>
          <w:bCs/>
          <w:i w:val="0"/>
          <w:kern w:val="36"/>
          <w:sz w:val="40"/>
          <w:szCs w:val="48"/>
          <w:highlight w:val="yellow"/>
          <w:lang w:val="en-US"/>
        </w:rPr>
        <w:t>Academic Resilience and School Success: A Review of Empirical Evidence in Secondary Education</w:t>
      </w:r>
    </w:p>
    <w:p w14:paraId="254D7CFF" w14:textId="77777777" w:rsidR="00FF35BC" w:rsidRPr="00581F88" w:rsidRDefault="00FF35BC" w:rsidP="0090048E">
      <w:pPr>
        <w:pStyle w:val="Heading2"/>
        <w:jc w:val="both"/>
      </w:pPr>
      <w:r w:rsidRPr="00581F88">
        <w:t>Abstract</w:t>
      </w:r>
    </w:p>
    <w:p w14:paraId="28C118E2" w14:textId="6EC7E695" w:rsidR="00FF35BC" w:rsidRPr="0022293D" w:rsidRDefault="00FF35BC" w:rsidP="0090048E">
      <w:pPr>
        <w:pStyle w:val="NormalWeb"/>
        <w:jc w:val="both"/>
      </w:pPr>
      <w:r w:rsidRPr="00581F88">
        <w:t xml:space="preserve">Academic resilience has become a central construct in secondary education research because it speaks directly to a persistent educational dilemma: why some </w:t>
      </w:r>
      <w:r w:rsidRPr="00A826A3">
        <w:t>adolescents sustain</w:t>
      </w:r>
      <w:r w:rsidRPr="0022293D">
        <w:t xml:space="preserve"> </w:t>
      </w:r>
      <w:r w:rsidRPr="00E40DE3">
        <w:t>achievement and positive school functioning despite adversity while others wi</w:t>
      </w:r>
      <w:r w:rsidRPr="00581F88">
        <w:t xml:space="preserve">th comparable risk exposure do not. This review </w:t>
      </w:r>
      <w:proofErr w:type="spellStart"/>
      <w:r w:rsidRPr="00581F88">
        <w:t>synthesize</w:t>
      </w:r>
      <w:r w:rsidR="00620B8D" w:rsidRPr="00581F88">
        <w:t>s</w:t>
      </w:r>
      <w:r w:rsidRPr="00581F88">
        <w:t>s</w:t>
      </w:r>
      <w:proofErr w:type="spellEnd"/>
      <w:r w:rsidRPr="00581F88">
        <w:t xml:space="preserve"> empirical evidence on whether academic resilience predicts school success in secondary education and clarifies how definitional and measurement choices shape conclusions. Drawing on recent meta-analytic and systematic review evidence alongside large-scale international assessment research and school-based studies, the </w:t>
      </w:r>
      <w:r w:rsidRPr="00A826A3">
        <w:t>review shows that academic resilience is consistently associated with indicators of school success, but the strength and interpretability of this</w:t>
      </w:r>
      <w:r w:rsidRPr="0022293D">
        <w:t xml:space="preserve"> relationship vary markedly across operationalizations. In correlational syntheses, resilience-related protective factors </w:t>
      </w:r>
      <w:r w:rsidRPr="00A826A3">
        <w:t>exhibit statistically reliable but typically</w:t>
      </w:r>
      <w:r w:rsidRPr="0022293D">
        <w:t xml:space="preserve"> </w:t>
      </w:r>
      <w:r w:rsidRPr="00E40DE3">
        <w:t>small links with achievement outcomes, suggesting predictive relevance</w:t>
      </w:r>
      <w:r w:rsidRPr="00581F88">
        <w:t xml:space="preserve"> but also indicating that resilience is not a standalone remedy for structural disadvantage. Evidence from large-scale assessments highlights the role of school climate, instructional quality, and cultural-contextual protective factors in differentiating resilient from non-resilient adolescents. At the same time, research warns that “resilience” is often defined partly by academic performance itself, complicating causal claims about prediction. The review proposes an integrative account that treats academic</w:t>
      </w:r>
      <w:r w:rsidRPr="00A826A3">
        <w:t xml:space="preserve"> resilience as a dynamic capacity expressed through self-regulation, perceived competence, and supportive relationships, and it outlines implications for identification, measurement, and intervention in secondary schooling.</w:t>
      </w:r>
      <w:r w:rsidR="0047714B" w:rsidRPr="00A826A3">
        <w:t xml:space="preserve"> </w:t>
      </w:r>
      <w:r w:rsidR="0047714B" w:rsidRPr="00A826A3">
        <w:rPr>
          <w:highlight w:val="yellow"/>
        </w:rPr>
        <w:t>A defensible conclusion is that academic resilience can be predictive of school success when assessed as a capacity independent of achievement and when examined in designs that account for prior performance and contextual conditions. For secondary schooling, the practical promise of the construct lies in combining student-focused supports with school-level conditions that make resilient adaptation possible.</w:t>
      </w:r>
    </w:p>
    <w:p w14:paraId="12E44C34" w14:textId="77777777" w:rsidR="00FF35BC" w:rsidRPr="00581F88" w:rsidRDefault="00FF35BC" w:rsidP="0090048E">
      <w:pPr>
        <w:pStyle w:val="NormalWeb"/>
        <w:jc w:val="both"/>
      </w:pPr>
      <w:r w:rsidRPr="00E40DE3">
        <w:rPr>
          <w:rStyle w:val="Strong"/>
        </w:rPr>
        <w:t>Keywords:</w:t>
      </w:r>
      <w:r w:rsidRPr="00581F88">
        <w:t xml:space="preserve"> academic resilience; secondary education; school success; academic achievement; educational disadvantage; protective factors; academic buoyancy</w:t>
      </w:r>
    </w:p>
    <w:p w14:paraId="5B4C1FE9" w14:textId="77777777" w:rsidR="00FF35BC" w:rsidRPr="00A826A3" w:rsidRDefault="00FF35BC" w:rsidP="0090048E">
      <w:pPr>
        <w:jc w:val="both"/>
      </w:pPr>
    </w:p>
    <w:p w14:paraId="12711041" w14:textId="77777777" w:rsidR="00FF35BC" w:rsidRPr="00A826A3" w:rsidRDefault="00FF35BC" w:rsidP="0090048E">
      <w:pPr>
        <w:pStyle w:val="Heading2"/>
        <w:jc w:val="both"/>
      </w:pPr>
      <w:r w:rsidRPr="00A826A3">
        <w:t>1. Introduction</w:t>
      </w:r>
    </w:p>
    <w:p w14:paraId="16894297" w14:textId="3BDBF52E" w:rsidR="00FF35BC" w:rsidRPr="0022293D" w:rsidRDefault="00620B8D" w:rsidP="0090048E">
      <w:pPr>
        <w:pStyle w:val="NormalWeb"/>
        <w:jc w:val="both"/>
      </w:pPr>
      <w:r w:rsidRPr="00A826A3">
        <w:rPr>
          <w:highlight w:val="yellow"/>
        </w:rPr>
        <w:t xml:space="preserve">Resilience is what gives people the psychological strength to </w:t>
      </w:r>
      <w:proofErr w:type="gramStart"/>
      <w:r w:rsidRPr="00A826A3">
        <w:rPr>
          <w:highlight w:val="yellow"/>
        </w:rPr>
        <w:t>cope  with</w:t>
      </w:r>
      <w:proofErr w:type="gramEnd"/>
      <w:r w:rsidRPr="00A826A3">
        <w:rPr>
          <w:highlight w:val="yellow"/>
        </w:rPr>
        <w:t xml:space="preserve">  stress and  hardship.  It is the mental source of strength that people are able to call on in times of need to carry them through without falling apart.  Psychologists believe that</w:t>
      </w:r>
      <w:r w:rsidRPr="0022293D">
        <w:rPr>
          <w:highlight w:val="yellow"/>
        </w:rPr>
        <w:t xml:space="preserve"> </w:t>
      </w:r>
      <w:r w:rsidRPr="00A826A3">
        <w:rPr>
          <w:highlight w:val="yellow"/>
        </w:rPr>
        <w:t xml:space="preserve">resilient individuals are </w:t>
      </w:r>
      <w:proofErr w:type="gramStart"/>
      <w:r w:rsidRPr="00A826A3">
        <w:rPr>
          <w:highlight w:val="yellow"/>
        </w:rPr>
        <w:t>more  equipped</w:t>
      </w:r>
      <w:proofErr w:type="gramEnd"/>
      <w:r w:rsidRPr="00A826A3">
        <w:rPr>
          <w:highlight w:val="yellow"/>
        </w:rPr>
        <w:t xml:space="preserve">  to handle adversity and  reconstruct their lives after a struggle. In the face of threats to child development, an integrated and global science of resilience by evidence-</w:t>
      </w:r>
      <w:proofErr w:type="gramStart"/>
      <w:r w:rsidRPr="00A826A3">
        <w:rPr>
          <w:highlight w:val="yellow"/>
        </w:rPr>
        <w:t>based  research</w:t>
      </w:r>
      <w:proofErr w:type="gramEnd"/>
      <w:r w:rsidRPr="00A826A3">
        <w:rPr>
          <w:highlight w:val="yellow"/>
        </w:rPr>
        <w:t xml:space="preserve">  is  very  much needed  to  inform  government  and international policymakers to  mitigate risks and  build  resilience  in  children.  The resilience of a child to maintain wellness in academics and academic related aspects can be termed as academic resilience</w:t>
      </w:r>
      <w:r w:rsidR="00811FA9" w:rsidRPr="0022293D">
        <w:rPr>
          <w:highlight w:val="yellow"/>
        </w:rPr>
        <w:t xml:space="preserve"> (</w:t>
      </w:r>
      <w:proofErr w:type="spellStart"/>
      <w:r w:rsidR="00811FA9" w:rsidRPr="00A826A3">
        <w:rPr>
          <w:highlight w:val="yellow"/>
        </w:rPr>
        <w:t>Radhamani</w:t>
      </w:r>
      <w:proofErr w:type="spellEnd"/>
      <w:r w:rsidR="00811FA9" w:rsidRPr="00A826A3">
        <w:rPr>
          <w:highlight w:val="yellow"/>
        </w:rPr>
        <w:t xml:space="preserve"> &amp; </w:t>
      </w:r>
      <w:proofErr w:type="spellStart"/>
      <w:r w:rsidR="00811FA9" w:rsidRPr="00A826A3">
        <w:rPr>
          <w:highlight w:val="yellow"/>
        </w:rPr>
        <w:t>Kalaivani</w:t>
      </w:r>
      <w:proofErr w:type="spellEnd"/>
      <w:r w:rsidR="00811FA9" w:rsidRPr="00A826A3">
        <w:rPr>
          <w:highlight w:val="yellow"/>
        </w:rPr>
        <w:t>, 2021</w:t>
      </w:r>
      <w:r w:rsidR="00811FA9" w:rsidRPr="0022293D">
        <w:rPr>
          <w:highlight w:val="yellow"/>
        </w:rPr>
        <w:t xml:space="preserve">; </w:t>
      </w:r>
      <w:proofErr w:type="spellStart"/>
      <w:r w:rsidR="00811FA9" w:rsidRPr="00A826A3">
        <w:rPr>
          <w:highlight w:val="yellow"/>
        </w:rPr>
        <w:t>D'Silva</w:t>
      </w:r>
      <w:proofErr w:type="spellEnd"/>
      <w:r w:rsidR="00811FA9" w:rsidRPr="00A826A3">
        <w:rPr>
          <w:highlight w:val="yellow"/>
        </w:rPr>
        <w:t>, 2025</w:t>
      </w:r>
      <w:r w:rsidR="00811FA9" w:rsidRPr="0022293D">
        <w:rPr>
          <w:highlight w:val="yellow"/>
        </w:rPr>
        <w:t>)</w:t>
      </w:r>
      <w:r w:rsidRPr="00A826A3">
        <w:rPr>
          <w:highlight w:val="yellow"/>
        </w:rPr>
        <w:t>.</w:t>
      </w:r>
      <w:r w:rsidRPr="0022293D">
        <w:t xml:space="preserve">  </w:t>
      </w:r>
      <w:r w:rsidR="00FF35BC" w:rsidRPr="00E40DE3">
        <w:t>The secondary school years represent a developmental period marked by intensified academic demands, identity consolid</w:t>
      </w:r>
      <w:r w:rsidR="00FF35BC" w:rsidRPr="00581F88">
        <w:t xml:space="preserve">ation, and </w:t>
      </w:r>
      <w:r w:rsidR="00FF35BC" w:rsidRPr="00581F88">
        <w:lastRenderedPageBreak/>
        <w:t xml:space="preserve">heightened sensitivity to social context. For many adolescents, this is also the stage at which disparities in educational opportunity become more visible: socioeconomic disadvantage, migration-related stressors, learning barriers, and mental health risks can converge with school transitions and performance pressures. Within this landscape, the construct of </w:t>
      </w:r>
      <w:r w:rsidR="00FF35BC" w:rsidRPr="00581F88">
        <w:rPr>
          <w:rStyle w:val="Emphasis"/>
        </w:rPr>
        <w:t>academic resilience</w:t>
      </w:r>
      <w:r w:rsidR="00FF35BC" w:rsidRPr="00581F88">
        <w:t xml:space="preserve"> has gained prominence because it describes a </w:t>
      </w:r>
      <w:proofErr w:type="gramStart"/>
      <w:r w:rsidR="00FF35BC" w:rsidRPr="00581F88">
        <w:t>pattern educators</w:t>
      </w:r>
      <w:proofErr w:type="gramEnd"/>
      <w:r w:rsidR="00FF35BC" w:rsidRPr="00581F88">
        <w:t xml:space="preserve"> </w:t>
      </w:r>
      <w:r w:rsidR="00FF35BC" w:rsidRPr="00A826A3">
        <w:t>care about deeply—students sustaining or recovering positive academic functioning despite adversity</w:t>
      </w:r>
      <w:r w:rsidR="00FF35BC" w:rsidRPr="0022293D">
        <w:t xml:space="preserve">. Yet the field </w:t>
      </w:r>
      <w:r w:rsidR="00FF35BC" w:rsidRPr="00A826A3">
        <w:t>still wrestles</w:t>
      </w:r>
      <w:r w:rsidR="00FF35BC" w:rsidRPr="0022293D">
        <w:t xml:space="preserve"> </w:t>
      </w:r>
      <w:r w:rsidR="00FF35BC" w:rsidRPr="00E40DE3">
        <w:t xml:space="preserve">with a deceptively simple question: </w:t>
      </w:r>
      <w:r w:rsidR="00FF35BC" w:rsidRPr="00581F88">
        <w:rPr>
          <w:rStyle w:val="Emphasis"/>
        </w:rPr>
        <w:t>does academic resilience predict school success</w:t>
      </w:r>
      <w:r w:rsidR="00FF35BC" w:rsidRPr="00581F88">
        <w:t xml:space="preserve"> in secondary education, or is it largely a descriptive label applied after success has already occurred?</w:t>
      </w:r>
      <w:r w:rsidR="00947DBC" w:rsidRPr="00581F88">
        <w:t xml:space="preserve"> </w:t>
      </w:r>
      <w:r w:rsidR="00947DBC" w:rsidRPr="00A826A3">
        <w:rPr>
          <w:highlight w:val="yellow"/>
        </w:rPr>
        <w:t>Academic performance is a factor of concern and interest in the educational context for the improvement of the educational and economic system of any country. Academic performance is closely linked to the development of students’ self-esteem and sense of self-efficacy, as it often represents the first external benchmark through which they are evaluated outside the family environment. Moreover, it is a complex process involving pedagogical and academic variables, teaching strategies, and intrinsic factors. It has proven to be a significant predictor of achievement not only during the educational stage, but also in later stages of life</w:t>
      </w:r>
      <w:r w:rsidR="00947DBC" w:rsidRPr="0022293D">
        <w:rPr>
          <w:highlight w:val="yellow"/>
        </w:rPr>
        <w:t xml:space="preserve"> (</w:t>
      </w:r>
      <w:proofErr w:type="spellStart"/>
      <w:r w:rsidR="00947DBC" w:rsidRPr="00A826A3">
        <w:rPr>
          <w:highlight w:val="yellow"/>
        </w:rPr>
        <w:t>Carroza</w:t>
      </w:r>
      <w:proofErr w:type="spellEnd"/>
      <w:r w:rsidR="00947DBC" w:rsidRPr="00A826A3">
        <w:rPr>
          <w:highlight w:val="yellow"/>
        </w:rPr>
        <w:t>-Pacheco et al., 2025</w:t>
      </w:r>
      <w:r w:rsidR="00947DBC" w:rsidRPr="0022293D">
        <w:rPr>
          <w:highlight w:val="yellow"/>
        </w:rPr>
        <w:t>)</w:t>
      </w:r>
      <w:r w:rsidR="00947DBC" w:rsidRPr="00A826A3">
        <w:rPr>
          <w:highlight w:val="yellow"/>
        </w:rPr>
        <w:t>.</w:t>
      </w:r>
    </w:p>
    <w:p w14:paraId="2ACC5E71" w14:textId="44E2ECF8" w:rsidR="00FF35BC" w:rsidRPr="00581F88" w:rsidRDefault="00FF35BC" w:rsidP="0090048E">
      <w:pPr>
        <w:pStyle w:val="NormalWeb"/>
        <w:jc w:val="both"/>
      </w:pPr>
      <w:r w:rsidRPr="00E40DE3">
        <w:t xml:space="preserve">A major reason the question remains contested is that academic resilience sits at the intersection of outcome and process. Some scholars </w:t>
      </w:r>
      <w:proofErr w:type="spellStart"/>
      <w:r w:rsidR="00581F88" w:rsidRPr="00A826A3">
        <w:rPr>
          <w:highlight w:val="yellow"/>
        </w:rPr>
        <w:t>conceptualise</w:t>
      </w:r>
      <w:proofErr w:type="spellEnd"/>
      <w:r w:rsidR="00581F88" w:rsidRPr="00A826A3">
        <w:rPr>
          <w:highlight w:val="yellow"/>
        </w:rPr>
        <w:t xml:space="preserve"> </w:t>
      </w:r>
      <w:r w:rsidRPr="00A826A3">
        <w:rPr>
          <w:highlight w:val="yellow"/>
        </w:rPr>
        <w:t>resilience</w:t>
      </w:r>
      <w:r w:rsidRPr="00E40DE3">
        <w:t xml:space="preserve"> as </w:t>
      </w:r>
      <w:r w:rsidRPr="00581F88">
        <w:rPr>
          <w:rStyle w:val="Emphasis"/>
        </w:rPr>
        <w:t>positive adaptation</w:t>
      </w:r>
      <w:r w:rsidRPr="00581F88">
        <w:t xml:space="preserve"> in the presence of risk, meaning that academic success is a defining feature of resilience rather than something predicted by it. Other work treats resilience more like a capacity or set of </w:t>
      </w:r>
      <w:r w:rsidRPr="00A826A3">
        <w:t>competencies—self-regulation</w:t>
      </w:r>
      <w:r w:rsidRPr="0022293D">
        <w:t>, persistence, and adaptive coping—that should forecast later outcomes, including grades, engag</w:t>
      </w:r>
      <w:r w:rsidRPr="00E40DE3">
        <w:t>ement, and persistence. These conceptual distinctions are not merely academic; they change how schools identify students for support, how researchers interpret effect sizes, and how policymakers evaluate interventions intended to “build resilience.”</w:t>
      </w:r>
    </w:p>
    <w:p w14:paraId="7D4FE8BE" w14:textId="77777777" w:rsidR="00FF35BC" w:rsidRPr="00581F88" w:rsidRDefault="00FF35BC" w:rsidP="0090048E">
      <w:pPr>
        <w:pStyle w:val="NormalWeb"/>
        <w:jc w:val="both"/>
      </w:pPr>
      <w:r w:rsidRPr="00581F88">
        <w:t>Recent quantitative syntheses suggest that protective factors often linked to academic resilience—</w:t>
      </w:r>
      <w:r w:rsidRPr="00A826A3">
        <w:t>self-efficacy</w:t>
      </w:r>
      <w:r w:rsidRPr="0022293D">
        <w:t xml:space="preserve">, supportive relationships, adaptive beliefs—are reliably associated with achievement, but typically with modest magnitudes (Hunsu et al., 2023). </w:t>
      </w:r>
      <w:r w:rsidRPr="00E40DE3">
        <w:t>Systematic reviews further show that the field lacks a single standard approach to measuring academic resilience, with studies varying in whether they treat it as a continuous trait-like construct, an interaction between adversity and achievement, or a cat</w:t>
      </w:r>
      <w:r w:rsidRPr="00581F88">
        <w:t>egorical status assigned to “high-achieving disadvantaged” students (Rudd et al., 2021). These differences matter especially in secondary education, where performance metrics are consequential and where school contexts (e.g., tracking, climate, peer culture) can either buffer or amplify adversity.</w:t>
      </w:r>
    </w:p>
    <w:p w14:paraId="7DA0BD1A" w14:textId="77777777" w:rsidR="00FF35BC" w:rsidRPr="00581F88" w:rsidRDefault="00FF35BC" w:rsidP="0090048E">
      <w:pPr>
        <w:pStyle w:val="NormalWeb"/>
        <w:jc w:val="both"/>
      </w:pPr>
      <w:r w:rsidRPr="00581F88">
        <w:t xml:space="preserve">A complementary line of research focuses on “everyday” resilience in </w:t>
      </w:r>
      <w:r w:rsidRPr="00A826A3">
        <w:t>learning—often</w:t>
      </w:r>
      <w:r w:rsidRPr="0022293D">
        <w:t xml:space="preserve"> </w:t>
      </w:r>
      <w:r w:rsidRPr="00E40DE3">
        <w:t xml:space="preserve">framed as </w:t>
      </w:r>
      <w:r w:rsidRPr="00581F88">
        <w:rPr>
          <w:rStyle w:val="Emphasis"/>
        </w:rPr>
        <w:t>academic buoyancy</w:t>
      </w:r>
      <w:r w:rsidRPr="00581F88">
        <w:t xml:space="preserve">—and indicates that students who can respond adaptively to routine setbacks may be protected against achievement losses when minor adversities occur (Martin &amp; Marsh, 2008; </w:t>
      </w:r>
      <w:proofErr w:type="spellStart"/>
      <w:r w:rsidRPr="00581F88">
        <w:t>Putwain</w:t>
      </w:r>
      <w:proofErr w:type="spellEnd"/>
      <w:r w:rsidRPr="00581F88">
        <w:t xml:space="preserve"> et al., 2020). While buoyancy is not identical to academic resilience in the face of chronic disadvantage, the two constructs share mechanisms and help clarify the pathways through which resilience-related capacities may translate into school success over time.</w:t>
      </w:r>
    </w:p>
    <w:p w14:paraId="1A8386DC" w14:textId="50A9B511" w:rsidR="00FF35BC" w:rsidRPr="00581F88" w:rsidRDefault="00FF35BC" w:rsidP="0090048E">
      <w:pPr>
        <w:pStyle w:val="Heading3"/>
        <w:jc w:val="both"/>
      </w:pPr>
      <w:r w:rsidRPr="00581F88">
        <w:t xml:space="preserve">1.1 </w:t>
      </w:r>
      <w:proofErr w:type="spellStart"/>
      <w:r w:rsidR="00581F88" w:rsidRPr="00A826A3">
        <w:rPr>
          <w:highlight w:val="yellow"/>
        </w:rPr>
        <w:t>Conceptualising</w:t>
      </w:r>
      <w:proofErr w:type="spellEnd"/>
      <w:r w:rsidR="00581F88" w:rsidRPr="00A826A3">
        <w:rPr>
          <w:highlight w:val="yellow"/>
        </w:rPr>
        <w:t xml:space="preserve"> </w:t>
      </w:r>
      <w:r w:rsidRPr="00A826A3">
        <w:rPr>
          <w:highlight w:val="yellow"/>
        </w:rPr>
        <w:t>academic</w:t>
      </w:r>
      <w:r w:rsidRPr="00581F88">
        <w:t xml:space="preserve"> resilience in secondary education</w:t>
      </w:r>
    </w:p>
    <w:p w14:paraId="42D95580" w14:textId="19943840" w:rsidR="00FF35BC" w:rsidRPr="00A826A3" w:rsidRDefault="00FF35BC" w:rsidP="0090048E">
      <w:pPr>
        <w:pStyle w:val="NormalWeb"/>
        <w:jc w:val="both"/>
      </w:pPr>
      <w:r w:rsidRPr="00581F88">
        <w:t xml:space="preserve">Across research traditions, academic resilience is generally </w:t>
      </w:r>
      <w:r w:rsidRPr="00A826A3">
        <w:t>anchored in a risk–adaptation</w:t>
      </w:r>
      <w:r w:rsidRPr="00E40DE3">
        <w:t xml:space="preserve"> logic: adversity raises the probability of negative outcomes, yet some students show unexpectedly positive adaptation. However, </w:t>
      </w:r>
      <w:proofErr w:type="spellStart"/>
      <w:r w:rsidR="00581F88" w:rsidRPr="00A826A3">
        <w:rPr>
          <w:highlight w:val="yellow"/>
        </w:rPr>
        <w:t>operationalisations</w:t>
      </w:r>
      <w:proofErr w:type="spellEnd"/>
      <w:r w:rsidR="00581F88" w:rsidRPr="00A826A3">
        <w:rPr>
          <w:highlight w:val="yellow"/>
        </w:rPr>
        <w:t xml:space="preserve"> </w:t>
      </w:r>
      <w:r w:rsidRPr="00A826A3">
        <w:rPr>
          <w:highlight w:val="yellow"/>
        </w:rPr>
        <w:t>differ</w:t>
      </w:r>
      <w:r w:rsidRPr="00E40DE3">
        <w:t xml:space="preserve"> substantially. In</w:t>
      </w:r>
      <w:r w:rsidRPr="00581F88">
        <w:t xml:space="preserve"> large-</w:t>
      </w:r>
      <w:r w:rsidRPr="00581F88">
        <w:lastRenderedPageBreak/>
        <w:t>scale assessments, “academically resilient” students are often defined as those who are socioeconomically disadvantaged but perform in the top segment of achievement distribution within a jurisdiction. This definition is appealing for equity monitoring but embeds achievement directly into the resilience label, blurring prediction. Ye et al. (2021) highlight that the “norms” underpinning these definitions—how risk is defined, what counts as success, and what reference group is used—shape who is classified as resilient and what conclusions follow.</w:t>
      </w:r>
    </w:p>
    <w:p w14:paraId="26B1F674" w14:textId="77777777" w:rsidR="00FF35BC" w:rsidRPr="00A826A3" w:rsidRDefault="00FF35BC" w:rsidP="0090048E">
      <w:pPr>
        <w:pStyle w:val="NormalWeb"/>
        <w:jc w:val="both"/>
      </w:pPr>
      <w:r w:rsidRPr="00A826A3">
        <w:t>In school- and student-level psychological research, academic resilience is sometimes treated as a measurable construct reflecting adaptive responses to academic adversity. The Academic Resilience Scale (ARS-30) is a prominent example, capturing multidimensional responses such as perseverance, help-seeking, and emotional regulation when facing academic stressors (Cassidy, 2016). This approach aligns more directly with prediction because it measures resilience-related tendencies or skills that can, in principle, precede later outcomes. Yet even here, questions remain about contextual specificity (e.g., school systems, cultural expectations), developmental appropriateness for adolescents, and whether scales capture resilience “capacity” or situational coping responses.</w:t>
      </w:r>
    </w:p>
    <w:p w14:paraId="144889A6" w14:textId="77777777" w:rsidR="00FF35BC" w:rsidRPr="00A826A3" w:rsidRDefault="00FF35BC" w:rsidP="0090048E">
      <w:pPr>
        <w:pStyle w:val="Heading3"/>
        <w:jc w:val="both"/>
      </w:pPr>
      <w:r w:rsidRPr="00A826A3">
        <w:t>1.2 Defining “school success” in secondary schooling</w:t>
      </w:r>
    </w:p>
    <w:p w14:paraId="3DD5600D" w14:textId="77777777" w:rsidR="00FF35BC" w:rsidRPr="00581F88" w:rsidRDefault="00FF35BC" w:rsidP="0090048E">
      <w:pPr>
        <w:pStyle w:val="NormalWeb"/>
        <w:jc w:val="both"/>
      </w:pPr>
      <w:r w:rsidRPr="00A826A3">
        <w:t>School success in secondary education is broader than test scores. While academic achievement is central, secondary schooling outcomes include course completion, progression, attendance, engagement, and avoidance of burnout or disengagement trajectories. These outcomes matter because they serve as gateways to higher education and employment. Predictive claims about academic resilience are therefore most meaningful when they consider multiple indicators of school functioning rather than relying on grades</w:t>
      </w:r>
      <w:r w:rsidRPr="00E40DE3">
        <w:t xml:space="preserve"> </w:t>
      </w:r>
      <w:r w:rsidRPr="00581F88">
        <w:t>alone.</w:t>
      </w:r>
    </w:p>
    <w:p w14:paraId="3DD295C9" w14:textId="77777777" w:rsidR="00FF35BC" w:rsidRPr="00A826A3" w:rsidRDefault="00FF35BC" w:rsidP="0090048E">
      <w:pPr>
        <w:pStyle w:val="Heading3"/>
        <w:jc w:val="both"/>
      </w:pPr>
      <w:r w:rsidRPr="00A826A3">
        <w:t>1.3 Why prediction matters: equity, prevention, and intervention design</w:t>
      </w:r>
    </w:p>
    <w:p w14:paraId="52C9094C" w14:textId="77777777" w:rsidR="00FF35BC" w:rsidRPr="00A826A3" w:rsidRDefault="00FF35BC" w:rsidP="0090048E">
      <w:pPr>
        <w:pStyle w:val="NormalWeb"/>
        <w:jc w:val="both"/>
      </w:pPr>
      <w:r w:rsidRPr="00A826A3">
        <w:t>If academic resilience is predictive, then assessing resilience-related capacities can help schools intervene early—especially</w:t>
      </w:r>
      <w:r w:rsidRPr="00E40DE3">
        <w:t xml:space="preserve"> for students facing </w:t>
      </w:r>
      <w:r w:rsidRPr="00A826A3">
        <w:t>disadvantage—</w:t>
      </w:r>
      <w:r w:rsidRPr="00E40DE3">
        <w:t>by strengthening self-regulation, perceived competence, and support structures before disengagement becomes entrenched. If resilience is mainly descriptive, school</w:t>
      </w:r>
      <w:r w:rsidRPr="00581F88">
        <w:t>s must focus more heavily on structural opportunity and the instructional conditions that enable success, rather than assuming that “building resilience” in students will independently close achievement gaps. The evidence increasingly suggests that both perspectives contain truth: resilience-related factors matter, but their effects are constrained by context and by how resilience is defined and measured (Hunsu et al., 2023; Rudd et al., 2021; Ye et al., 2021).</w:t>
      </w:r>
    </w:p>
    <w:p w14:paraId="05769B2E" w14:textId="77777777" w:rsidR="00FF35BC" w:rsidRPr="00A826A3" w:rsidRDefault="00FF35BC" w:rsidP="0090048E">
      <w:pPr>
        <w:pStyle w:val="Heading3"/>
        <w:jc w:val="both"/>
      </w:pPr>
      <w:r w:rsidRPr="00A826A3">
        <w:t>1.4 Scope and objectives of the review</w:t>
      </w:r>
    </w:p>
    <w:p w14:paraId="322BDCC6" w14:textId="0F3445DF" w:rsidR="00FF35BC" w:rsidRPr="00581F88" w:rsidRDefault="00FF35BC" w:rsidP="0090048E">
      <w:pPr>
        <w:pStyle w:val="NormalWeb"/>
        <w:jc w:val="both"/>
      </w:pPr>
      <w:r w:rsidRPr="00A826A3">
        <w:t xml:space="preserve">This review focuses on empirical evidence relevant to secondary education and addresses three objectives. First, it clarifies major definitions and measurement approaches for academic resilience, </w:t>
      </w:r>
      <w:proofErr w:type="spellStart"/>
      <w:r w:rsidR="00581F88" w:rsidRPr="00A826A3">
        <w:rPr>
          <w:highlight w:val="yellow"/>
        </w:rPr>
        <w:t>emphasising</w:t>
      </w:r>
      <w:proofErr w:type="spellEnd"/>
      <w:r w:rsidR="00581F88" w:rsidRPr="00A826A3">
        <w:rPr>
          <w:highlight w:val="yellow"/>
        </w:rPr>
        <w:t xml:space="preserve"> </w:t>
      </w:r>
      <w:r w:rsidRPr="00A826A3">
        <w:rPr>
          <w:highlight w:val="yellow"/>
        </w:rPr>
        <w:t xml:space="preserve">how these choices affect claims about prediction. Second, it </w:t>
      </w:r>
      <w:proofErr w:type="spellStart"/>
      <w:r w:rsidR="00581F88" w:rsidRPr="00A826A3">
        <w:rPr>
          <w:highlight w:val="yellow"/>
        </w:rPr>
        <w:t>synthesi</w:t>
      </w:r>
      <w:r w:rsidR="00581F88">
        <w:rPr>
          <w:highlight w:val="yellow"/>
        </w:rPr>
        <w:t>s</w:t>
      </w:r>
      <w:r w:rsidR="00581F88" w:rsidRPr="00A826A3">
        <w:rPr>
          <w:highlight w:val="yellow"/>
        </w:rPr>
        <w:t>es</w:t>
      </w:r>
      <w:proofErr w:type="spellEnd"/>
      <w:r w:rsidR="00581F88" w:rsidRPr="00A826A3">
        <w:rPr>
          <w:highlight w:val="yellow"/>
        </w:rPr>
        <w:t xml:space="preserve"> </w:t>
      </w:r>
      <w:r w:rsidRPr="00A826A3">
        <w:rPr>
          <w:highlight w:val="yellow"/>
        </w:rPr>
        <w:t>evidence on whether academic</w:t>
      </w:r>
      <w:r w:rsidRPr="00581F88">
        <w:t xml:space="preserve"> resilience (or closely related resilience capacities) is associated </w:t>
      </w:r>
      <w:r w:rsidRPr="00A826A3">
        <w:t>with—and</w:t>
      </w:r>
      <w:r w:rsidRPr="00E40DE3">
        <w:t xml:space="preserve"> plausibly </w:t>
      </w:r>
      <w:r w:rsidRPr="00A826A3">
        <w:t>predictive of—secondary</w:t>
      </w:r>
      <w:r w:rsidRPr="00E40DE3">
        <w:t xml:space="preserve"> school success outcomes, including achievement and broader school functioning. Third, it derives implications for research design, school practice, and policy, with particular attention to equity and the prevention of school failure trajectories.</w:t>
      </w:r>
    </w:p>
    <w:p w14:paraId="57C16016" w14:textId="77777777" w:rsidR="00FF35BC" w:rsidRPr="00A826A3" w:rsidRDefault="00FF35BC" w:rsidP="0090048E">
      <w:pPr>
        <w:jc w:val="both"/>
      </w:pPr>
    </w:p>
    <w:p w14:paraId="309002C3" w14:textId="77777777" w:rsidR="00FF35BC" w:rsidRPr="00A826A3" w:rsidRDefault="00FF35BC" w:rsidP="0090048E">
      <w:pPr>
        <w:pStyle w:val="Heading2"/>
        <w:jc w:val="both"/>
      </w:pPr>
      <w:r w:rsidRPr="00A826A3">
        <w:t>2. Methods for literature selection</w:t>
      </w:r>
    </w:p>
    <w:p w14:paraId="1FC6B35B" w14:textId="77777777" w:rsidR="00FF35BC" w:rsidRPr="00A826A3" w:rsidRDefault="00FF35BC" w:rsidP="0090048E">
      <w:pPr>
        <w:pStyle w:val="NormalWeb"/>
        <w:jc w:val="both"/>
      </w:pPr>
      <w:r w:rsidRPr="00A826A3">
        <w:t xml:space="preserve">A targeted literature search was designed to capture recent empirical evidence on academic resilience and school success outcomes, with an emphasis on secondary education while allowing inclusion of a small number of seminal conceptual or measurement studies necessary to interpret current findings. Searches were conducted across Scopus, Web of Science Core Collection, ERIC, PsycINFO, and Google Scholar to reduce database-specific blind spots. The primary search string combined terms for the construct and outcomes, adapted to database syntax: (“academic resilience” OR “educational resilience” OR “academic buoyancy”) AND (“secondary school” OR “high school” OR </w:t>
      </w:r>
      <w:proofErr w:type="spellStart"/>
      <w:r w:rsidRPr="00A826A3">
        <w:t>adolescen</w:t>
      </w:r>
      <w:proofErr w:type="spellEnd"/>
      <w:r w:rsidRPr="00A826A3">
        <w:t>* OR “middle school”) AND (“achievement” OR “grades” OR “school success” OR “engagement” OR “attendance” OR “school burnout”). Additional searches targeted large-scale assessment work by pairing “academic resilience” with “PISA” and “TIMSS,” and targeted measurement work using (“Academic Resilience Scale” OR ARS-30).</w:t>
      </w:r>
    </w:p>
    <w:p w14:paraId="24DB6C99" w14:textId="4136F91F" w:rsidR="00FF35BC" w:rsidRPr="00581F88" w:rsidRDefault="00FF35BC" w:rsidP="0090048E">
      <w:pPr>
        <w:pStyle w:val="NormalWeb"/>
        <w:jc w:val="both"/>
      </w:pPr>
      <w:r w:rsidRPr="00A826A3">
        <w:t xml:space="preserve">The date range </w:t>
      </w:r>
      <w:proofErr w:type="spellStart"/>
      <w:r w:rsidR="00581F88" w:rsidRPr="00A826A3">
        <w:rPr>
          <w:highlight w:val="yellow"/>
        </w:rPr>
        <w:t>prioritised</w:t>
      </w:r>
      <w:proofErr w:type="spellEnd"/>
      <w:r w:rsidR="00581F88" w:rsidRPr="00A826A3">
        <w:rPr>
          <w:highlight w:val="yellow"/>
        </w:rPr>
        <w:t xml:space="preserve"> </w:t>
      </w:r>
      <w:r w:rsidRPr="00A826A3">
        <w:rPr>
          <w:highlight w:val="yellow"/>
        </w:rPr>
        <w:t xml:space="preserve">2014–2025 to meet the aim of </w:t>
      </w:r>
      <w:proofErr w:type="spellStart"/>
      <w:r w:rsidR="00581F88" w:rsidRPr="00A826A3">
        <w:rPr>
          <w:highlight w:val="yellow"/>
        </w:rPr>
        <w:t>synthesising</w:t>
      </w:r>
      <w:proofErr w:type="spellEnd"/>
      <w:r w:rsidR="00581F88" w:rsidRPr="00581F88">
        <w:t xml:space="preserve"> </w:t>
      </w:r>
      <w:r w:rsidRPr="00581F88">
        <w:t xml:space="preserve">recent evidence, but foundational works were retained when they were repeatedly cited as definitional anchors or construct foundations. Inclusion criteria required peer-reviewed journal publication, explicit </w:t>
      </w:r>
      <w:proofErr w:type="spellStart"/>
      <w:r w:rsidR="00581F88" w:rsidRPr="00A826A3">
        <w:rPr>
          <w:highlight w:val="yellow"/>
        </w:rPr>
        <w:t>operationalisation</w:t>
      </w:r>
      <w:proofErr w:type="spellEnd"/>
      <w:r w:rsidR="00581F88" w:rsidRPr="00A826A3">
        <w:rPr>
          <w:highlight w:val="yellow"/>
        </w:rPr>
        <w:t xml:space="preserve"> </w:t>
      </w:r>
      <w:r w:rsidRPr="00A826A3">
        <w:rPr>
          <w:highlight w:val="yellow"/>
        </w:rPr>
        <w:t>of academic resilience or a closely aligned construct (e.g., academic buoyancy</w:t>
      </w:r>
      <w:r w:rsidR="00581F88" w:rsidRPr="00A826A3">
        <w:rPr>
          <w:highlight w:val="yellow"/>
        </w:rPr>
        <w:t>,</w:t>
      </w:r>
      <w:r w:rsidRPr="00A826A3">
        <w:rPr>
          <w:highlight w:val="yellow"/>
        </w:rPr>
        <w:t xml:space="preserve"> where</w:t>
      </w:r>
      <w:r w:rsidRPr="00581F88">
        <w:t xml:space="preserve"> clearly framed as everyday academic resilience), and quantitative evidence linking resilience or resilience-related protective factors with school success indicators. Studies were excluded if they were not peer-reviewed, lacked a clear resilience </w:t>
      </w:r>
      <w:proofErr w:type="spellStart"/>
      <w:r w:rsidR="00581F88" w:rsidRPr="00A826A3">
        <w:rPr>
          <w:highlight w:val="yellow"/>
        </w:rPr>
        <w:t>operationalisation</w:t>
      </w:r>
      <w:proofErr w:type="spellEnd"/>
      <w:r w:rsidRPr="00A826A3">
        <w:rPr>
          <w:highlight w:val="yellow"/>
        </w:rPr>
        <w:t>,</w:t>
      </w:r>
      <w:r w:rsidRPr="00581F88">
        <w:t xml:space="preserve"> focused exclusively on tertiary education without adolescent relevance, or did not report empirical relationships with academic or school functioning outcomes. Screening proceeded by title/abstract review, followed by full-text verification of eligibility for retained records, </w:t>
      </w:r>
      <w:proofErr w:type="spellStart"/>
      <w:r w:rsidR="00581F88" w:rsidRPr="00A826A3">
        <w:rPr>
          <w:highlight w:val="yellow"/>
        </w:rPr>
        <w:t>prioritising</w:t>
      </w:r>
      <w:proofErr w:type="spellEnd"/>
      <w:r w:rsidR="00581F88" w:rsidRPr="00A826A3">
        <w:rPr>
          <w:highlight w:val="yellow"/>
        </w:rPr>
        <w:t xml:space="preserve"> </w:t>
      </w:r>
      <w:r w:rsidRPr="00A826A3">
        <w:rPr>
          <w:highlight w:val="yellow"/>
        </w:rPr>
        <w:t>studies</w:t>
      </w:r>
      <w:r w:rsidRPr="00581F88">
        <w:t xml:space="preserve"> with clear methods and interpretable statistical reporting.</w:t>
      </w:r>
    </w:p>
    <w:p w14:paraId="10E1E873" w14:textId="77777777" w:rsidR="00FF35BC" w:rsidRPr="00A826A3" w:rsidRDefault="00FF35BC" w:rsidP="0090048E">
      <w:pPr>
        <w:jc w:val="both"/>
      </w:pPr>
    </w:p>
    <w:p w14:paraId="459F4677" w14:textId="77777777" w:rsidR="00FF35BC" w:rsidRPr="00A826A3" w:rsidRDefault="00FF35BC" w:rsidP="0090048E">
      <w:pPr>
        <w:pStyle w:val="Heading2"/>
        <w:jc w:val="both"/>
      </w:pPr>
      <w:r w:rsidRPr="00A826A3">
        <w:t>3. Definitional and measurement choices that shape “prediction”</w:t>
      </w:r>
    </w:p>
    <w:p w14:paraId="0A5F1009" w14:textId="77777777" w:rsidR="00FF35BC" w:rsidRPr="00A826A3" w:rsidRDefault="00FF35BC" w:rsidP="0090048E">
      <w:pPr>
        <w:pStyle w:val="Heading3"/>
        <w:jc w:val="both"/>
      </w:pPr>
      <w:r w:rsidRPr="00A826A3">
        <w:t>3.1 Resilience as “status” versus resilience as “capacity”</w:t>
      </w:r>
    </w:p>
    <w:p w14:paraId="7BF6E3B6" w14:textId="7500034F" w:rsidR="00FF35BC" w:rsidRPr="00A826A3" w:rsidRDefault="00FF35BC" w:rsidP="0090048E">
      <w:pPr>
        <w:pStyle w:val="NormalWeb"/>
        <w:jc w:val="both"/>
      </w:pPr>
      <w:r w:rsidRPr="00A826A3">
        <w:t xml:space="preserve">A central interpretive issue is whether academic resilience is defined as an </w:t>
      </w:r>
      <w:r w:rsidRPr="00A826A3">
        <w:rPr>
          <w:rStyle w:val="Emphasis"/>
        </w:rPr>
        <w:t>outcome state</w:t>
      </w:r>
      <w:r w:rsidRPr="00A826A3">
        <w:t xml:space="preserve"> (high achievement despite disadvantage) or a </w:t>
      </w:r>
      <w:r w:rsidRPr="00A826A3">
        <w:rPr>
          <w:rStyle w:val="Emphasis"/>
        </w:rPr>
        <w:t>capacity/process</w:t>
      </w:r>
      <w:r w:rsidRPr="00A826A3">
        <w:t xml:space="preserve"> (skills and responses that </w:t>
      </w:r>
      <w:r w:rsidRPr="00A826A3">
        <w:rPr>
          <w:highlight w:val="yellow"/>
        </w:rPr>
        <w:t xml:space="preserve">enable adaptation). Rudd et al. (2021) show that quantitative research </w:t>
      </w:r>
      <w:proofErr w:type="spellStart"/>
      <w:r w:rsidR="00581F88" w:rsidRPr="00A826A3">
        <w:rPr>
          <w:highlight w:val="yellow"/>
        </w:rPr>
        <w:t>operationalises</w:t>
      </w:r>
      <w:proofErr w:type="spellEnd"/>
      <w:r w:rsidR="00581F88" w:rsidRPr="00A826A3">
        <w:rPr>
          <w:highlight w:val="yellow"/>
        </w:rPr>
        <w:t xml:space="preserve"> </w:t>
      </w:r>
      <w:r w:rsidRPr="00A826A3">
        <w:rPr>
          <w:highlight w:val="yellow"/>
        </w:rPr>
        <w:t>academic resilience in multiple ways, including residual-based models (achievement</w:t>
      </w:r>
      <w:r w:rsidRPr="00581F88">
        <w:t xml:space="preserve"> higher than predicted by risk), categorical classifications (resilient vs non-resilient), and scale-based measurement (self-reported resilience responses)</w:t>
      </w:r>
      <w:r w:rsidRPr="00A826A3">
        <w:t xml:space="preserve">. These approaches do not answer the predictive question equally well. When resilience is defined by achievement, it can correlate strongly with success by definition, but it does not necessarily </w:t>
      </w:r>
      <w:r w:rsidRPr="00A826A3">
        <w:rPr>
          <w:rStyle w:val="Emphasis"/>
        </w:rPr>
        <w:t>predict</w:t>
      </w:r>
      <w:r w:rsidRPr="00A826A3">
        <w:t xml:space="preserve"> success over time. When resilience is measured as a capacity, it can be used prospectively, but it introduces challenges of construct validity and context specificity.</w:t>
      </w:r>
    </w:p>
    <w:p w14:paraId="498AB108" w14:textId="1C8BE0DE" w:rsidR="00FF35BC" w:rsidRPr="00A826A3" w:rsidRDefault="00FF35BC" w:rsidP="0090048E">
      <w:pPr>
        <w:pStyle w:val="NormalWeb"/>
        <w:jc w:val="both"/>
      </w:pPr>
      <w:r w:rsidRPr="00A826A3">
        <w:lastRenderedPageBreak/>
        <w:t xml:space="preserve">Ye et al. (2021) argue that the “underlying norms” of resilience definitions in large-scale assessments are </w:t>
      </w:r>
      <w:r w:rsidRPr="00A826A3">
        <w:rPr>
          <w:highlight w:val="yellow"/>
        </w:rPr>
        <w:t>often underspecified.</w:t>
      </w:r>
      <w:r w:rsidRPr="00581F88">
        <w:t xml:space="preserve"> For instance, how disadvantage is defined (family SES index, school-level poverty, migration status) and how success is defined (top quartile, proficiency threshold, relative rank) changes who counts as resilient. These definitional degrees of freedom can yield dif</w:t>
      </w:r>
      <w:r w:rsidRPr="00A826A3">
        <w:t>ferent prevalence estimates and different conclusions about what predicts resilience and what resilience predicts.</w:t>
      </w:r>
    </w:p>
    <w:p w14:paraId="68B659BE" w14:textId="77777777" w:rsidR="00FF35BC" w:rsidRPr="00E40DE3" w:rsidRDefault="00FF35BC" w:rsidP="0090048E">
      <w:pPr>
        <w:pStyle w:val="Heading3"/>
        <w:jc w:val="both"/>
      </w:pPr>
      <w:r w:rsidRPr="00E40DE3">
        <w:t>3.</w:t>
      </w:r>
      <w:r w:rsidRPr="00A826A3">
        <w:t>2 Measurement via self-report scales in adolescent samples</w:t>
      </w:r>
    </w:p>
    <w:p w14:paraId="369DC60F" w14:textId="1CD5C925" w:rsidR="00FF35BC" w:rsidRPr="00A826A3" w:rsidRDefault="00FF35BC" w:rsidP="0090048E">
      <w:pPr>
        <w:pStyle w:val="NormalWeb"/>
        <w:jc w:val="both"/>
      </w:pPr>
      <w:r w:rsidRPr="00581F88">
        <w:t xml:space="preserve">The ARS-30 (Cassidy, 2016) represents a prominent attempt to </w:t>
      </w:r>
      <w:proofErr w:type="spellStart"/>
      <w:r w:rsidR="00581F88" w:rsidRPr="00A826A3">
        <w:rPr>
          <w:highlight w:val="yellow"/>
        </w:rPr>
        <w:t>operationalise</w:t>
      </w:r>
      <w:proofErr w:type="spellEnd"/>
      <w:r w:rsidR="00581F88" w:rsidRPr="00581F88">
        <w:t xml:space="preserve"> </w:t>
      </w:r>
      <w:r w:rsidRPr="00581F88">
        <w:t>academic resilience as a multidimensional construct reflecting adaptive responses to academic adversity. This measurement approach has advantages for prediction: it can be assessed before achievement outcomes occur and can capture mechanisms such as perseverance and help-seeking that plausibly drive later success. Cassidy (2015) further links academic resilience to academic self-efficacy, suggesting that perceived competence may be a foundational driver of resilient responding. In secondary education, thi</w:t>
      </w:r>
      <w:r w:rsidRPr="00A826A3">
        <w:t>s implies that resilience is not solely a stable trait but may be shaped through experiences that alter students’ beliefs about their capability and control over learning.</w:t>
      </w:r>
    </w:p>
    <w:p w14:paraId="5DC406D6" w14:textId="50923FB8" w:rsidR="00FF35BC" w:rsidRPr="00581F88" w:rsidRDefault="00FF35BC" w:rsidP="0090048E">
      <w:pPr>
        <w:pStyle w:val="Heading3"/>
        <w:jc w:val="both"/>
      </w:pPr>
      <w:r w:rsidRPr="00A826A3">
        <w:t>3.3 Large-scale</w:t>
      </w:r>
      <w:r w:rsidRPr="00E40DE3">
        <w:t xml:space="preserve"> assessment </w:t>
      </w:r>
      <w:proofErr w:type="spellStart"/>
      <w:r w:rsidR="00581F88" w:rsidRPr="00A826A3">
        <w:rPr>
          <w:highlight w:val="yellow"/>
        </w:rPr>
        <w:t>operationalisation</w:t>
      </w:r>
      <w:proofErr w:type="spellEnd"/>
      <w:r w:rsidR="00581F88" w:rsidRPr="00E40DE3">
        <w:t xml:space="preserve"> </w:t>
      </w:r>
      <w:r w:rsidRPr="00E40DE3">
        <w:t>and contextual inference</w:t>
      </w:r>
    </w:p>
    <w:p w14:paraId="44473455" w14:textId="314416D4" w:rsidR="00FF35BC" w:rsidRPr="00A826A3" w:rsidRDefault="00FF35BC" w:rsidP="0090048E">
      <w:pPr>
        <w:pStyle w:val="NormalWeb"/>
        <w:jc w:val="both"/>
      </w:pPr>
      <w:r w:rsidRPr="00581F88">
        <w:t xml:space="preserve">Large-scale assessments such as PISA and TIMSS offer powerful datasets for studying academic resilience </w:t>
      </w:r>
      <w:r w:rsidRPr="00A826A3">
        <w:rPr>
          <w:highlight w:val="yellow"/>
        </w:rPr>
        <w:t xml:space="preserve">at </w:t>
      </w:r>
      <w:r w:rsidR="00581F88" w:rsidRPr="00A826A3">
        <w:rPr>
          <w:highlight w:val="yellow"/>
        </w:rPr>
        <w:t xml:space="preserve">the </w:t>
      </w:r>
      <w:r w:rsidRPr="00A826A3">
        <w:rPr>
          <w:highlight w:val="yellow"/>
        </w:rPr>
        <w:t>population</w:t>
      </w:r>
      <w:r w:rsidRPr="00581F88">
        <w:t xml:space="preserve"> scale. Sandoval-Hernández and </w:t>
      </w:r>
      <w:proofErr w:type="spellStart"/>
      <w:r w:rsidRPr="00581F88">
        <w:t>Białowolski</w:t>
      </w:r>
      <w:proofErr w:type="spellEnd"/>
      <w:r w:rsidRPr="00581F88">
        <w:t xml:space="preserve"> (2016) use TIMSS-based analyses to identify factors and conditions associated with academic resilience across</w:t>
      </w:r>
      <w:r w:rsidRPr="00A826A3">
        <w:t xml:space="preserve"> multiple Asian education systems, underscoring that resilience is not solely individual-level but is patterned by system-level and school-level conditions. Similarly, PISA-based work shows that protective factors differ across cultural contexts, with certain supports functioning differently in individualist versus collectivist settings (Özcan &amp; Bulus, 2022). These studies strengthen external validity but also raise interpretive cautions: the resilience label is typically built from SES and achievement, so prediction must be framed carefully as prediction of </w:t>
      </w:r>
      <w:r w:rsidRPr="00A826A3">
        <w:rPr>
          <w:rStyle w:val="Emphasis"/>
        </w:rPr>
        <w:t>resilient classification</w:t>
      </w:r>
      <w:r w:rsidRPr="00A826A3">
        <w:t xml:space="preserve"> or of subsequent success outcomes beyond concurrent achievement.</w:t>
      </w:r>
    </w:p>
    <w:p w14:paraId="7AAF6CA1" w14:textId="77777777" w:rsidR="00FF35BC" w:rsidRPr="00A826A3" w:rsidRDefault="00FF35BC" w:rsidP="0090048E">
      <w:pPr>
        <w:jc w:val="both"/>
      </w:pPr>
    </w:p>
    <w:p w14:paraId="36E74ED4" w14:textId="77777777" w:rsidR="00FF35BC" w:rsidRPr="00A826A3" w:rsidRDefault="00FF35BC" w:rsidP="0090048E">
      <w:pPr>
        <w:pStyle w:val="Heading2"/>
        <w:jc w:val="both"/>
      </w:pPr>
      <w:r w:rsidRPr="00A826A3">
        <w:t>4. Empirical evidence linking academic resilience to school success</w:t>
      </w:r>
    </w:p>
    <w:p w14:paraId="62C7FC0C" w14:textId="77777777" w:rsidR="00FF35BC" w:rsidRPr="00A826A3" w:rsidRDefault="00FF35BC" w:rsidP="0090048E">
      <w:pPr>
        <w:pStyle w:val="Heading3"/>
        <w:jc w:val="both"/>
      </w:pPr>
      <w:r w:rsidRPr="00A826A3">
        <w:t>4.1 Meta-analytic evidence: reliable but modest associations</w:t>
      </w:r>
    </w:p>
    <w:p w14:paraId="2D1D3AD1" w14:textId="77777777" w:rsidR="00FF35BC" w:rsidRPr="00A826A3" w:rsidRDefault="00FF35BC" w:rsidP="0090048E">
      <w:pPr>
        <w:pStyle w:val="NormalWeb"/>
        <w:jc w:val="both"/>
      </w:pPr>
      <w:r w:rsidRPr="00A826A3">
        <w:t xml:space="preserve">The most direct summary of the empirical association between resilience-related factors and achievement comes from meta-analytic synthesis. Hunsu et al. (2023) aggregated correlational evidence and found that protective factors linked to academic resilience show statistically significant relationships with achievement outcomes, but the average magnitude is small. This pattern matters for the predictive question in two ways. First, it supports the claim that resilience-related protective factors are not merely rhetorical; they do relate to measurable academic outcomes. Second, the modest effect sizes caution against treating resilience as a single lever that can overcome large structural disadvantages. In secondary education, where SES gradients are often steep, small average effects still have practical </w:t>
      </w:r>
      <w:r w:rsidRPr="00A826A3">
        <w:lastRenderedPageBreak/>
        <w:t>value if they are scalable and targetable, but they should not be interpreted as fully compensatory.</w:t>
      </w:r>
    </w:p>
    <w:p w14:paraId="55663153" w14:textId="77777777" w:rsidR="00FF35BC" w:rsidRPr="00A826A3" w:rsidRDefault="00FF35BC" w:rsidP="0090048E">
      <w:pPr>
        <w:pStyle w:val="NormalWeb"/>
        <w:jc w:val="both"/>
      </w:pPr>
      <w:r w:rsidRPr="00A826A3">
        <w:t>Rudd et al. (2021) complement this conclusion by showing that effect sizes and conclusions vary with measurement choices. Studies that define resilience through achievement thresholds will necessarily find strong links between resilience status and achievement (because they overlap), whereas studies that measure resilience capacities (e.g., self-report scales) tend to yield more modest but interpretable predictive associations.</w:t>
      </w:r>
    </w:p>
    <w:p w14:paraId="4C7F2F58" w14:textId="77777777" w:rsidR="00FF35BC" w:rsidRPr="00A826A3" w:rsidRDefault="00FF35BC" w:rsidP="0090048E">
      <w:pPr>
        <w:pStyle w:val="Heading3"/>
        <w:jc w:val="both"/>
      </w:pPr>
      <w:r w:rsidRPr="00A826A3">
        <w:t>4.2 Large-scale evidence: resilience is patterned by schools and systems</w:t>
      </w:r>
    </w:p>
    <w:p w14:paraId="464815EA" w14:textId="15A3674A" w:rsidR="00FF35BC" w:rsidRPr="00A826A3" w:rsidRDefault="00FF35BC" w:rsidP="0090048E">
      <w:pPr>
        <w:pStyle w:val="NormalWeb"/>
        <w:jc w:val="both"/>
      </w:pPr>
      <w:r w:rsidRPr="00A826A3">
        <w:t xml:space="preserve">International assessment evidence underscores that academic resilience is not only an individual attribute; it is distributed unevenly across schooling contexts. Sandoval-Hernández and </w:t>
      </w:r>
      <w:proofErr w:type="spellStart"/>
      <w:r w:rsidRPr="00A826A3">
        <w:t>Białowolski</w:t>
      </w:r>
      <w:proofErr w:type="spellEnd"/>
      <w:r w:rsidRPr="00A826A3">
        <w:t xml:space="preserve"> (2016) show, using TIMSS-based data, that conditions promoting academic resilience differ across education systems, implying that what predicts resilience in one context may not </w:t>
      </w:r>
      <w:proofErr w:type="spellStart"/>
      <w:r w:rsidR="00581F88" w:rsidRPr="00A826A3">
        <w:rPr>
          <w:highlight w:val="yellow"/>
        </w:rPr>
        <w:t>generalise</w:t>
      </w:r>
      <w:proofErr w:type="spellEnd"/>
      <w:r w:rsidR="00581F88" w:rsidRPr="00581F88">
        <w:t xml:space="preserve"> </w:t>
      </w:r>
      <w:r w:rsidRPr="00581F88">
        <w:t>directly to another. PISA-based analysis likewise indicates that protective factors associated with resilient outcomes depend on cultural orientation and context. Özcan and Bulus (2022) demonstrate that protective factors</w:t>
      </w:r>
      <w:r w:rsidRPr="00A826A3">
        <w:t xml:space="preserve"> linked to resilience differ across individualist and collectivist cultures, highlighting that resilience-supportive processes may operate through different social norms, motivational patterns, and support structures.</w:t>
      </w:r>
    </w:p>
    <w:p w14:paraId="567D8EC5" w14:textId="77777777" w:rsidR="00FF35BC" w:rsidRPr="00A826A3" w:rsidRDefault="00FF35BC" w:rsidP="0090048E">
      <w:pPr>
        <w:pStyle w:val="NormalWeb"/>
        <w:jc w:val="both"/>
      </w:pPr>
      <w:r w:rsidRPr="00A826A3">
        <w:t>For secondary education, this means that “academic resilience” cannot be reduced to a universal individual trait; it reflects an interaction between students’ capacities and the opportunity structures schools provide. The predictive utility of academic resilience measures will therefore depend on whether they incorporate or at least account for school-level climate, instructional quality, and support systems.</w:t>
      </w:r>
    </w:p>
    <w:p w14:paraId="29DAF076" w14:textId="77777777" w:rsidR="00FF35BC" w:rsidRPr="00A826A3" w:rsidRDefault="00FF35BC" w:rsidP="0090048E">
      <w:pPr>
        <w:pStyle w:val="Heading3"/>
        <w:jc w:val="both"/>
      </w:pPr>
      <w:r w:rsidRPr="00A826A3">
        <w:t>4.3 School-level and relational resources as pathways to success</w:t>
      </w:r>
    </w:p>
    <w:p w14:paraId="4F47B0FD" w14:textId="77777777" w:rsidR="00FF35BC" w:rsidRPr="00A826A3" w:rsidRDefault="00FF35BC" w:rsidP="0090048E">
      <w:pPr>
        <w:pStyle w:val="NormalWeb"/>
        <w:jc w:val="both"/>
      </w:pPr>
      <w:r w:rsidRPr="00A826A3">
        <w:t xml:space="preserve">Empirical research repeatedly identifies relational resources as key correlates of resilient adaptation. </w:t>
      </w:r>
      <w:proofErr w:type="spellStart"/>
      <w:r w:rsidRPr="00A826A3">
        <w:t>Anagnostaki</w:t>
      </w:r>
      <w:proofErr w:type="spellEnd"/>
      <w:r w:rsidRPr="00A826A3">
        <w:t xml:space="preserve"> et al. (2016), focusing on immigrant youth in Greek schools, show that personal and family resources are linked with academic resilience, illustrating that resilience is embedded in relational ecologies rather than only in individual grit-like qualities. Fenwick et al. (2022) extend this logic into school improvement settings by examining how academic resilience can be promoted within disadvantaged school contexts, reinforcing that school practices and structures matter.</w:t>
      </w:r>
    </w:p>
    <w:p w14:paraId="0C5DB6C0" w14:textId="38BE3582" w:rsidR="00FF35BC" w:rsidRPr="00A826A3" w:rsidRDefault="00FF35BC" w:rsidP="0090048E">
      <w:pPr>
        <w:pStyle w:val="NormalWeb"/>
        <w:jc w:val="both"/>
      </w:pPr>
      <w:r w:rsidRPr="00A826A3">
        <w:t xml:space="preserve">This relational emphasis helps explain why resilience can appear predictive of school success: resilient students often possess or access supportive networks that </w:t>
      </w:r>
      <w:proofErr w:type="spellStart"/>
      <w:r w:rsidR="00581F88" w:rsidRPr="00A826A3">
        <w:rPr>
          <w:highlight w:val="yellow"/>
        </w:rPr>
        <w:t>stabilise</w:t>
      </w:r>
      <w:proofErr w:type="spellEnd"/>
      <w:r w:rsidR="00581F88" w:rsidRPr="00581F88">
        <w:t xml:space="preserve"> </w:t>
      </w:r>
      <w:r w:rsidRPr="00A826A3">
        <w:t>engagement and persistence through stressors. In secondary schooling, where peer influence intensifies and teacher relationships can shape belonging and motivation, resilience-related adaptation may manifest as sustained effort, strategic help-seeking, and continued participation in learning even after setbacks.</w:t>
      </w:r>
    </w:p>
    <w:p w14:paraId="02389941" w14:textId="77777777" w:rsidR="00FF35BC" w:rsidRPr="00A826A3" w:rsidRDefault="00FF35BC" w:rsidP="0090048E">
      <w:pPr>
        <w:pStyle w:val="Heading3"/>
        <w:jc w:val="both"/>
      </w:pPr>
      <w:r w:rsidRPr="00A826A3">
        <w:t>4.4 Resilience-related competencies and protection against achievement loss</w:t>
      </w:r>
    </w:p>
    <w:p w14:paraId="505BFA40" w14:textId="3B6BACC2" w:rsidR="00FF35BC" w:rsidRPr="00A826A3" w:rsidRDefault="00FF35BC" w:rsidP="0090048E">
      <w:pPr>
        <w:pStyle w:val="NormalWeb"/>
        <w:jc w:val="both"/>
      </w:pPr>
      <w:r w:rsidRPr="00A826A3">
        <w:t xml:space="preserve">The academic buoyancy literature clarifies a protective function that is closely aligned with predictive claims. Martin and Marsh (2008) frame buoyancy as students’ capacity to deal with routine academic setbacks and pressures, positioning it as “everyday academic </w:t>
      </w:r>
      <w:r w:rsidRPr="00A826A3">
        <w:lastRenderedPageBreak/>
        <w:t xml:space="preserve">resilience.” </w:t>
      </w:r>
      <w:proofErr w:type="spellStart"/>
      <w:r w:rsidRPr="00A826A3">
        <w:t>Putwain</w:t>
      </w:r>
      <w:proofErr w:type="spellEnd"/>
      <w:r w:rsidRPr="00A826A3">
        <w:t xml:space="preserve"> et al. (2020) provide evidence that academic buoyancy can protect achievement against minor academic adversities, suggesting a moderation model: when adversity occurs (e.g., attendance issues, </w:t>
      </w:r>
      <w:proofErr w:type="spellStart"/>
      <w:r w:rsidRPr="00A826A3">
        <w:rPr>
          <w:highlight w:val="yellow"/>
        </w:rPr>
        <w:t>behavio</w:t>
      </w:r>
      <w:r w:rsidR="00581F88" w:rsidRPr="00A826A3">
        <w:rPr>
          <w:highlight w:val="yellow"/>
        </w:rPr>
        <w:t>u</w:t>
      </w:r>
      <w:r w:rsidRPr="00A826A3">
        <w:rPr>
          <w:highlight w:val="yellow"/>
        </w:rPr>
        <w:t>ral</w:t>
      </w:r>
      <w:proofErr w:type="spellEnd"/>
      <w:r w:rsidRPr="00A826A3">
        <w:rPr>
          <w:highlight w:val="yellow"/>
        </w:rPr>
        <w:t xml:space="preserve"> challenges),</w:t>
      </w:r>
      <w:r w:rsidRPr="00581F88">
        <w:t xml:space="preserve"> students higher in buoyancy are less likely to experience achievement declines.</w:t>
      </w:r>
    </w:p>
    <w:p w14:paraId="739C4676" w14:textId="77777777" w:rsidR="00FF35BC" w:rsidRPr="00A826A3" w:rsidRDefault="00FF35BC" w:rsidP="0090048E">
      <w:pPr>
        <w:pStyle w:val="NormalWeb"/>
        <w:jc w:val="both"/>
      </w:pPr>
      <w:r w:rsidRPr="00A826A3">
        <w:t>Although buoyancy is not synonymous with academic resilience defined under chronic disadvantage, it strengthens the plausibility of a predictive mechanism: resilient responding is not simply correlated with good outcomes, but can buffer the negative impact of adverse events on achievement trajectories. For secondary education, this implies that resilience-supportive interventions may yield the greatest academic payoff when adversity is present or likely, rather than producing large main effects in uniformly supportive contexts.</w:t>
      </w:r>
    </w:p>
    <w:p w14:paraId="4D480C36" w14:textId="77777777" w:rsidR="00FF35BC" w:rsidRPr="00A826A3" w:rsidRDefault="00FF35BC" w:rsidP="0090048E">
      <w:pPr>
        <w:pStyle w:val="Heading3"/>
        <w:jc w:val="both"/>
      </w:pPr>
      <w:r w:rsidRPr="00A826A3">
        <w:t>4.5 Developmental evidence: resilience processes accumulate over time</w:t>
      </w:r>
    </w:p>
    <w:p w14:paraId="60094A75" w14:textId="74179BD5" w:rsidR="00FF35BC" w:rsidRPr="00A826A3" w:rsidRDefault="00FF35BC" w:rsidP="0090048E">
      <w:pPr>
        <w:pStyle w:val="NormalWeb"/>
        <w:jc w:val="both"/>
      </w:pPr>
      <w:r w:rsidRPr="00A826A3">
        <w:t xml:space="preserve">While this review </w:t>
      </w:r>
      <w:proofErr w:type="spellStart"/>
      <w:r w:rsidR="00581F88" w:rsidRPr="00A826A3">
        <w:rPr>
          <w:highlight w:val="yellow"/>
        </w:rPr>
        <w:t>centres</w:t>
      </w:r>
      <w:proofErr w:type="spellEnd"/>
      <w:r w:rsidR="00581F88" w:rsidRPr="00A826A3">
        <w:rPr>
          <w:highlight w:val="yellow"/>
        </w:rPr>
        <w:t xml:space="preserve"> </w:t>
      </w:r>
      <w:r w:rsidRPr="00A826A3">
        <w:rPr>
          <w:highlight w:val="yellow"/>
        </w:rPr>
        <w:t>on secondary</w:t>
      </w:r>
      <w:r w:rsidRPr="00581F88">
        <w:t xml:space="preserve"> education, developmental evidence helps interpret prediction as a process unfolding over years. Liew et al. (2018) show in a longitudinal design that regulation-related resiliency and interpersonal relationships are linked with later achievement, ill</w:t>
      </w:r>
      <w:r w:rsidRPr="00A826A3">
        <w:t>ustrating that resilient adaptation involves self-regulation and relational supports over time. The implication for secondary education is not that early-grade findings transfer directly, but that resilience mechanisms may be cumulative: students entering adolescence with stronger regulatory capacities and supportive relationships may be better positioned to remain engaged and achieve despite increasing academic demands.</w:t>
      </w:r>
    </w:p>
    <w:p w14:paraId="5F7A5859" w14:textId="77777777" w:rsidR="00FF35BC" w:rsidRPr="00A826A3" w:rsidRDefault="00FF35BC" w:rsidP="0090048E">
      <w:pPr>
        <w:pStyle w:val="Heading3"/>
        <w:jc w:val="both"/>
      </w:pPr>
      <w:r w:rsidRPr="00A826A3">
        <w:t>4.6 What the evidence suggests about “prediction”</w:t>
      </w:r>
    </w:p>
    <w:p w14:paraId="739C331C" w14:textId="48C231E4" w:rsidR="00FF35BC" w:rsidRPr="00A826A3" w:rsidRDefault="00FF35BC" w:rsidP="0090048E">
      <w:pPr>
        <w:pStyle w:val="NormalWeb"/>
        <w:jc w:val="both"/>
      </w:pPr>
      <w:r w:rsidRPr="00A826A3">
        <w:t xml:space="preserve">Taken together, the evidence supports a qualified affirmative answer: academic resilience is associated with school success and, when </w:t>
      </w:r>
      <w:proofErr w:type="spellStart"/>
      <w:r w:rsidR="00581F88" w:rsidRPr="00A826A3">
        <w:rPr>
          <w:highlight w:val="yellow"/>
        </w:rPr>
        <w:t>operationalised</w:t>
      </w:r>
      <w:proofErr w:type="spellEnd"/>
      <w:r w:rsidR="00581F88" w:rsidRPr="00A826A3">
        <w:rPr>
          <w:highlight w:val="yellow"/>
        </w:rPr>
        <w:t xml:space="preserve"> </w:t>
      </w:r>
      <w:r w:rsidRPr="00A826A3">
        <w:rPr>
          <w:highlight w:val="yellow"/>
        </w:rPr>
        <w:t>as a capacity</w:t>
      </w:r>
      <w:r w:rsidRPr="00581F88">
        <w:t xml:space="preserve"> or as resilience-related protective factors, it has predictive relevance. However, the predictive interpretation depends on how r</w:t>
      </w:r>
      <w:r w:rsidRPr="00A826A3">
        <w:t>esilience is defined. When resilience is constructed using achievement, prediction becomes circular. When resilience is measured independently (e.g., via resilience responses, buoyancy, self-efficacy-linked resilience tendencies), associations with later success are more interpretable but often modest in size (Hunsu et al., 2023; Rudd et al., 2021). Large-scale evidence further suggests that resilience is contingent on context, meaning that prediction improves when school and system conditions are modeled rather than treated as background noise (Özcan &amp; Bulus, 2022; Sandoval-Hernández &amp; Białowolski, 2016; Ye et al., 2021).</w:t>
      </w:r>
    </w:p>
    <w:p w14:paraId="4A619EC6" w14:textId="77777777" w:rsidR="00FF35BC" w:rsidRPr="00A826A3" w:rsidRDefault="00FF35BC" w:rsidP="0090048E">
      <w:pPr>
        <w:jc w:val="both"/>
      </w:pPr>
    </w:p>
    <w:p w14:paraId="1E14F776" w14:textId="77777777" w:rsidR="00FF35BC" w:rsidRPr="00A826A3" w:rsidRDefault="00FF35BC" w:rsidP="0090048E">
      <w:pPr>
        <w:pStyle w:val="Heading2"/>
        <w:jc w:val="both"/>
      </w:pPr>
      <w:r w:rsidRPr="00A826A3">
        <w:t>5. Integrative synthesis: mechanisms and boundary conditions in secondary education</w:t>
      </w:r>
    </w:p>
    <w:p w14:paraId="25662211" w14:textId="77777777" w:rsidR="00FF35BC" w:rsidRPr="00A826A3" w:rsidRDefault="00FF35BC" w:rsidP="0090048E">
      <w:pPr>
        <w:pStyle w:val="NormalWeb"/>
        <w:jc w:val="both"/>
      </w:pPr>
      <w:r w:rsidRPr="00A826A3">
        <w:t xml:space="preserve">A coherent interpretation of the literature is that academic resilience influences school success primarily through three mutually reinforcing mechanisms: perceived competence (often captured as academic self-efficacy), self-regulation and adaptive coping, and access to supportive relationships and school climates. Cassidy’s work positions self-efficacy as a foundational ingredient for resilient responding; students who believe they can influence outcomes persist longer, reinterpret setbacks as manageable, and engage in adaptive </w:t>
      </w:r>
      <w:r w:rsidRPr="00A826A3">
        <w:lastRenderedPageBreak/>
        <w:t>strategies (Cassidy, 2015, 2016). This aligns with the broader pattern in resilience research in which beliefs about control and competence shape effort allocation under stress.</w:t>
      </w:r>
    </w:p>
    <w:p w14:paraId="5A35A27E" w14:textId="6AC0A644" w:rsidR="00FF35BC" w:rsidRPr="00A826A3" w:rsidRDefault="00FF35BC" w:rsidP="0090048E">
      <w:pPr>
        <w:pStyle w:val="NormalWeb"/>
        <w:jc w:val="both"/>
      </w:pPr>
      <w:r w:rsidRPr="00A826A3">
        <w:t xml:space="preserve">Self-regulation likely strengthens the pathway from resilience to success by enabling strategic </w:t>
      </w:r>
      <w:r w:rsidRPr="00A826A3">
        <w:rPr>
          <w:highlight w:val="yellow"/>
        </w:rPr>
        <w:t xml:space="preserve">learning </w:t>
      </w:r>
      <w:proofErr w:type="spellStart"/>
      <w:r w:rsidRPr="00A826A3">
        <w:rPr>
          <w:highlight w:val="yellow"/>
        </w:rPr>
        <w:t>behavio</w:t>
      </w:r>
      <w:r w:rsidR="00581F88" w:rsidRPr="00A826A3">
        <w:rPr>
          <w:highlight w:val="yellow"/>
        </w:rPr>
        <w:t>u</w:t>
      </w:r>
      <w:r w:rsidRPr="00A826A3">
        <w:rPr>
          <w:highlight w:val="yellow"/>
        </w:rPr>
        <w:t>rs</w:t>
      </w:r>
      <w:proofErr w:type="spellEnd"/>
      <w:r w:rsidRPr="00A826A3">
        <w:rPr>
          <w:highlight w:val="yellow"/>
        </w:rPr>
        <w:t>. In</w:t>
      </w:r>
      <w:r w:rsidRPr="00581F88">
        <w:t xml:space="preserve"> secondary education, where workload increases and autonomy demands rise, resilient students may maintain routines, seek feedback, and regulate negative affect that would otherwise disrupt performance. The buoyancy findings strengthen this inter</w:t>
      </w:r>
      <w:r w:rsidRPr="00A826A3">
        <w:t>pretation: resilience-like capacities can operate as protective moderators, reducing the degree to which adverse events translate into achievement loss (</w:t>
      </w:r>
      <w:proofErr w:type="spellStart"/>
      <w:r w:rsidRPr="00A826A3">
        <w:t>Putwain</w:t>
      </w:r>
      <w:proofErr w:type="spellEnd"/>
      <w:r w:rsidRPr="00A826A3">
        <w:t xml:space="preserve"> et al., 2020).</w:t>
      </w:r>
    </w:p>
    <w:p w14:paraId="56A79E14" w14:textId="01DA716C" w:rsidR="00FF35BC" w:rsidRPr="00A826A3" w:rsidRDefault="00FF35BC" w:rsidP="0090048E">
      <w:pPr>
        <w:pStyle w:val="NormalWeb"/>
        <w:jc w:val="both"/>
      </w:pPr>
      <w:r w:rsidRPr="00A826A3">
        <w:t>Boundary conditions matter. First, context shapes the payoff of resilience: in highly constrained environments, individual resilience may have less opportunity to translate into measurable achievement gains. Second, cultural norms and support structures influence which protective factors matter most. Özcan and Bulus (2022) provide evidence that protective factors associated with resilience differ across individualist and collectivist settings, implying that interventions imported across contexts without adaptation may underperform. Third, definitional choices constrain inference. Ye et al</w:t>
      </w:r>
      <w:r w:rsidRPr="00A826A3">
        <w:rPr>
          <w:highlight w:val="yellow"/>
        </w:rPr>
        <w:t xml:space="preserve">. (2021) </w:t>
      </w:r>
      <w:proofErr w:type="spellStart"/>
      <w:r w:rsidR="00581F88" w:rsidRPr="00A826A3">
        <w:rPr>
          <w:highlight w:val="yellow"/>
        </w:rPr>
        <w:t>emphasise</w:t>
      </w:r>
      <w:proofErr w:type="spellEnd"/>
      <w:r w:rsidR="00581F88" w:rsidRPr="00A826A3">
        <w:rPr>
          <w:highlight w:val="yellow"/>
        </w:rPr>
        <w:t xml:space="preserve"> </w:t>
      </w:r>
      <w:r w:rsidRPr="00A826A3">
        <w:rPr>
          <w:highlight w:val="yellow"/>
        </w:rPr>
        <w:t>that the validity of resilience claims rests on transparent norms for defining risk and success, and Rudd et al. (2021) show that operational diversity</w:t>
      </w:r>
      <w:r w:rsidRPr="00581F88">
        <w:t xml:space="preserve"> can yield inconsistent conclusions.</w:t>
      </w:r>
    </w:p>
    <w:p w14:paraId="77684B17" w14:textId="77777777" w:rsidR="00FF35BC" w:rsidRPr="00A826A3" w:rsidRDefault="00FF35BC" w:rsidP="0090048E">
      <w:pPr>
        <w:pStyle w:val="NormalWeb"/>
        <w:jc w:val="both"/>
      </w:pPr>
      <w:r w:rsidRPr="00A826A3">
        <w:t>Finally, a crucial implication for prediction is methodological: the strongest evidence would come from longitudinal designs in secondary schooling that measure resilience capacities at baseline, track exposure to adversities over time, and model subsequent achievement and engagement outcomes while controlling for prior achievement and contextual factors. Much existing research is correlational or classification-based; as a result, causal interpretations should be cautious even when associations are reliable.</w:t>
      </w:r>
    </w:p>
    <w:p w14:paraId="7715ABC9" w14:textId="77777777" w:rsidR="00FF35BC" w:rsidRPr="00A826A3" w:rsidRDefault="00FF35BC" w:rsidP="0090048E">
      <w:pPr>
        <w:jc w:val="both"/>
      </w:pPr>
    </w:p>
    <w:p w14:paraId="156C36BB" w14:textId="77777777" w:rsidR="00FF35BC" w:rsidRPr="00A826A3" w:rsidRDefault="00FF35BC" w:rsidP="0090048E">
      <w:pPr>
        <w:pStyle w:val="Heading2"/>
        <w:jc w:val="both"/>
      </w:pPr>
      <w:r w:rsidRPr="00A826A3">
        <w:t>6. Implications for practice, policy, and research in secondary schooling</w:t>
      </w:r>
    </w:p>
    <w:p w14:paraId="737C6F62" w14:textId="343DDAE2" w:rsidR="00FF35BC" w:rsidRPr="00A826A3" w:rsidRDefault="00FF35BC" w:rsidP="0090048E">
      <w:pPr>
        <w:pStyle w:val="NormalWeb"/>
        <w:jc w:val="both"/>
      </w:pPr>
      <w:r w:rsidRPr="00A826A3">
        <w:t xml:space="preserve">In secondary education systems, the evidence supports adopting academic resilience as a useful guiding construct, but only if it is </w:t>
      </w:r>
      <w:proofErr w:type="spellStart"/>
      <w:r w:rsidR="00581F88" w:rsidRPr="00A826A3">
        <w:rPr>
          <w:highlight w:val="yellow"/>
        </w:rPr>
        <w:t>operationalised</w:t>
      </w:r>
      <w:proofErr w:type="spellEnd"/>
      <w:r w:rsidR="00581F88" w:rsidRPr="00A826A3">
        <w:rPr>
          <w:highlight w:val="yellow"/>
        </w:rPr>
        <w:t xml:space="preserve"> </w:t>
      </w:r>
      <w:r w:rsidRPr="00A826A3">
        <w:rPr>
          <w:highlight w:val="yellow"/>
        </w:rPr>
        <w:t>carefully</w:t>
      </w:r>
      <w:r w:rsidRPr="00581F88">
        <w:t xml:space="preserve"> and linked to actionable school practices. For schools, res</w:t>
      </w:r>
      <w:r w:rsidRPr="00A826A3">
        <w:t>ilience-informed practice should not reduce adversity to an individual student problem. Instead, it should combine student capacity-building (e.g., self-efficacy support, coping and self-regulation skills) with context-building (e.g., supportive teacher–student relationships, predictable structures, fair discipline, and academic support pathways). The modest average effect sizes in quantitative syntheses (Hunsu et al., 2023) reinforce that resilience-building should be integrated with structural supports rather than treated as a substitute for them.</w:t>
      </w:r>
    </w:p>
    <w:p w14:paraId="07C9FF70" w14:textId="77777777" w:rsidR="00FF35BC" w:rsidRPr="00A826A3" w:rsidRDefault="00FF35BC" w:rsidP="0090048E">
      <w:pPr>
        <w:pStyle w:val="NormalWeb"/>
        <w:jc w:val="both"/>
      </w:pPr>
      <w:r w:rsidRPr="00A826A3">
        <w:t>For policymakers, large-scale assessment evidence suggests that academically resilient outcomes are patterned by system conditions. This implies that monitoring resilience prevalence can be a meaningful equity indicator, but it also warns against simplistic accountability narratives. If resilience is partly a product of school opportunity structures, then the policy question becomes not only “How resilient are students?” but also “Which school and system features increase the probability that disadvantaged adolescents can succeed?” (Sandoval-Hernández &amp; Białowolski, 2016; Özcan &amp; Bulus, 2022).</w:t>
      </w:r>
    </w:p>
    <w:p w14:paraId="6B59107A" w14:textId="77777777" w:rsidR="00FF35BC" w:rsidRPr="00A826A3" w:rsidRDefault="00FF35BC" w:rsidP="0090048E">
      <w:pPr>
        <w:pStyle w:val="NormalWeb"/>
        <w:jc w:val="both"/>
      </w:pPr>
      <w:r w:rsidRPr="00A826A3">
        <w:lastRenderedPageBreak/>
        <w:t>For researchers, the next phase of the field should prioritize measurement clarity and prospective designs. Rudd et al. (2021) show that operationalization diversity is a major obstacle to cumulative knowledge. Standardizing reporting—explicitly stating adversity definitions, success thresholds, reference norms, and timing—would improve comparability and strengthen predictive claims. In secondary education specifically, studies should integrate multiple success indicators (achievement, engagement, attendance, persistence) and test models that specify pathways from resilience capacities to outcomes, rather than treating resilience as either a label or a generic trait.</w:t>
      </w:r>
    </w:p>
    <w:p w14:paraId="52D9F947" w14:textId="77777777" w:rsidR="00FF35BC" w:rsidRPr="00A826A3" w:rsidRDefault="00FF35BC" w:rsidP="0090048E">
      <w:pPr>
        <w:jc w:val="both"/>
      </w:pPr>
    </w:p>
    <w:p w14:paraId="0F3CF46F" w14:textId="77777777" w:rsidR="00FF35BC" w:rsidRPr="00A826A3" w:rsidRDefault="00FF35BC" w:rsidP="0090048E">
      <w:pPr>
        <w:pStyle w:val="Heading2"/>
        <w:jc w:val="both"/>
      </w:pPr>
      <w:r w:rsidRPr="00A826A3">
        <w:t>7. Conclusions</w:t>
      </w:r>
    </w:p>
    <w:p w14:paraId="3079FF6C" w14:textId="4402CEBE" w:rsidR="00FF35BC" w:rsidRPr="00A826A3" w:rsidRDefault="00FF35BC" w:rsidP="0090048E">
      <w:pPr>
        <w:pStyle w:val="NormalWeb"/>
        <w:jc w:val="both"/>
      </w:pPr>
      <w:r w:rsidRPr="00A826A3">
        <w:t xml:space="preserve">Academic resilience is meaningfully associated with school success in secondary education, but the strength and interpretation of this relationship depend on how resilience is defined and measured. Evidence indicates that resilience-related protective factors and resilience-like competencies contribute to academic outcomes, often by buffering the negative impact of adversity and sustaining engagement and effort when setbacks occur. At the same time, the field must avoid circular reasoning when resilience is defined using achievement itself, and it must </w:t>
      </w:r>
      <w:proofErr w:type="spellStart"/>
      <w:r w:rsidR="00581F88" w:rsidRPr="00A826A3">
        <w:rPr>
          <w:highlight w:val="yellow"/>
        </w:rPr>
        <w:t>recognise</w:t>
      </w:r>
      <w:proofErr w:type="spellEnd"/>
      <w:r w:rsidR="00581F88" w:rsidRPr="00A826A3">
        <w:rPr>
          <w:highlight w:val="yellow"/>
        </w:rPr>
        <w:t xml:space="preserve"> </w:t>
      </w:r>
      <w:r w:rsidRPr="00A826A3">
        <w:rPr>
          <w:highlight w:val="yellow"/>
        </w:rPr>
        <w:t>that resilience</w:t>
      </w:r>
      <w:r w:rsidRPr="00581F88">
        <w:t xml:space="preserve"> operates within opportunity structures that can either enable or suppress the translation of individual capacities into meas</w:t>
      </w:r>
      <w:r w:rsidRPr="00A826A3">
        <w:t>urable success. A defensible conclusion is that academic resilience can be predictive of school success when assessed as a capacity independent of achievement and when examined in designs that account for prior performance and contextual conditions. For secondary schooling, the practical promise of the construct lies in combining student-focused supports with school-level conditions that make resilient adaptation possible.</w:t>
      </w:r>
    </w:p>
    <w:p w14:paraId="53489572" w14:textId="77777777" w:rsidR="00FF35BC" w:rsidRPr="00A826A3" w:rsidRDefault="00FF35BC" w:rsidP="0090048E">
      <w:pPr>
        <w:jc w:val="both"/>
      </w:pPr>
    </w:p>
    <w:p w14:paraId="229A0DA2" w14:textId="77777777" w:rsidR="00FF35BC" w:rsidRPr="00A826A3" w:rsidRDefault="00FF35BC" w:rsidP="0090048E">
      <w:pPr>
        <w:pStyle w:val="Heading2"/>
        <w:jc w:val="both"/>
      </w:pPr>
      <w:r w:rsidRPr="00A826A3">
        <w:t>8. Limitations</w:t>
      </w:r>
    </w:p>
    <w:p w14:paraId="0B09C3D1" w14:textId="1FDE5824" w:rsidR="00FF35BC" w:rsidRPr="00A826A3" w:rsidRDefault="00FF35BC" w:rsidP="0090048E">
      <w:pPr>
        <w:pStyle w:val="NormalWeb"/>
        <w:jc w:val="both"/>
      </w:pPr>
      <w:r w:rsidRPr="00A826A3">
        <w:t xml:space="preserve">This review </w:t>
      </w:r>
      <w:proofErr w:type="spellStart"/>
      <w:r w:rsidR="00581F88" w:rsidRPr="00A826A3">
        <w:rPr>
          <w:highlight w:val="yellow"/>
        </w:rPr>
        <w:t>emphasises</w:t>
      </w:r>
      <w:proofErr w:type="spellEnd"/>
      <w:r w:rsidR="00581F88" w:rsidRPr="00A826A3">
        <w:rPr>
          <w:highlight w:val="yellow"/>
        </w:rPr>
        <w:t xml:space="preserve"> </w:t>
      </w:r>
      <w:r w:rsidRPr="00A826A3">
        <w:rPr>
          <w:highlight w:val="yellow"/>
        </w:rPr>
        <w:t xml:space="preserve">peer-reviewed </w:t>
      </w:r>
      <w:r w:rsidRPr="00581F88">
        <w:t xml:space="preserve">quantitative evidence and therefore gives less weight to qualitative accounts that can illuminate lived experiences of adversity and adaptation in secondary students. The </w:t>
      </w:r>
      <w:r w:rsidRPr="00A826A3">
        <w:rPr>
          <w:highlight w:val="yellow"/>
        </w:rPr>
        <w:t xml:space="preserve">review also </w:t>
      </w:r>
      <w:proofErr w:type="spellStart"/>
      <w:r w:rsidR="00581F88" w:rsidRPr="00A826A3">
        <w:rPr>
          <w:highlight w:val="yellow"/>
        </w:rPr>
        <w:t>synthesises</w:t>
      </w:r>
      <w:proofErr w:type="spellEnd"/>
      <w:r w:rsidR="00581F88" w:rsidRPr="00A826A3">
        <w:rPr>
          <w:highlight w:val="yellow"/>
        </w:rPr>
        <w:t xml:space="preserve"> </w:t>
      </w:r>
      <w:r w:rsidRPr="00A826A3">
        <w:rPr>
          <w:highlight w:val="yellow"/>
        </w:rPr>
        <w:t xml:space="preserve">evidence across different </w:t>
      </w:r>
      <w:proofErr w:type="spellStart"/>
      <w:r w:rsidR="00581F88" w:rsidRPr="00A826A3">
        <w:rPr>
          <w:highlight w:val="yellow"/>
        </w:rPr>
        <w:t>operationalisations</w:t>
      </w:r>
      <w:proofErr w:type="spellEnd"/>
      <w:r w:rsidR="00581F88" w:rsidRPr="00A826A3">
        <w:rPr>
          <w:highlight w:val="yellow"/>
        </w:rPr>
        <w:t xml:space="preserve"> </w:t>
      </w:r>
      <w:r w:rsidRPr="00A826A3">
        <w:rPr>
          <w:highlight w:val="yellow"/>
        </w:rPr>
        <w:t xml:space="preserve">of academic resilience; while this reflects the reality of the field, it means that conclusions necessarily </w:t>
      </w:r>
      <w:r w:rsidRPr="00581F88">
        <w:t xml:space="preserve">include some heterogeneity in constructs and methods. In addition, international large-scale assessment studies strengthen generalizability but can constrain causal interpretation because resilience classifications often embed achievement in their definitions. Finally, while the review centers on secondary education, a small number of developmental and foundational works were included to clarify mechanisms and construct foundations, which may not </w:t>
      </w:r>
      <w:r w:rsidRPr="00A826A3">
        <w:t>always map directly onto adolescent schooling contexts.</w:t>
      </w:r>
    </w:p>
    <w:p w14:paraId="3343628D" w14:textId="77777777" w:rsidR="00A826A3" w:rsidRPr="00A826A3" w:rsidRDefault="00A826A3" w:rsidP="00A826A3">
      <w:pPr>
        <w:rPr>
          <w:b/>
          <w:highlight w:val="yellow"/>
        </w:rPr>
      </w:pPr>
      <w:r w:rsidRPr="00A826A3">
        <w:rPr>
          <w:b/>
          <w:highlight w:val="yellow"/>
        </w:rPr>
        <w:t>Disclaimer (Artificial intelligence)</w:t>
      </w:r>
    </w:p>
    <w:p w14:paraId="1CB511F7" w14:textId="77777777" w:rsidR="00A826A3" w:rsidRDefault="00A826A3" w:rsidP="00A826A3">
      <w:r w:rsidRPr="00A826A3">
        <w:rPr>
          <w:highlight w:val="yellow"/>
        </w:rPr>
        <w:t>Author(s) hereby declare that NO generative AI technologies such as Large Language Models (</w:t>
      </w:r>
      <w:proofErr w:type="spellStart"/>
      <w:r w:rsidRPr="00A826A3">
        <w:rPr>
          <w:highlight w:val="yellow"/>
        </w:rPr>
        <w:t>ChatGPT</w:t>
      </w:r>
      <w:proofErr w:type="spellEnd"/>
      <w:r w:rsidRPr="00A826A3">
        <w:rPr>
          <w:highlight w:val="yellow"/>
        </w:rPr>
        <w:t>, COPILOT, etc.) and text-to-image generators have been used during the writing or editing of this manuscript.</w:t>
      </w:r>
      <w:r>
        <w:t xml:space="preserve"> </w:t>
      </w:r>
    </w:p>
    <w:p w14:paraId="10A9D2BD" w14:textId="77777777" w:rsidR="00FF35BC" w:rsidRPr="00A826A3" w:rsidRDefault="00FF35BC" w:rsidP="0090048E">
      <w:pPr>
        <w:jc w:val="both"/>
      </w:pPr>
    </w:p>
    <w:p w14:paraId="5E065DC5" w14:textId="77777777" w:rsidR="00FF35BC" w:rsidRPr="00A826A3" w:rsidRDefault="00FF35BC" w:rsidP="0090048E">
      <w:pPr>
        <w:pStyle w:val="Heading2"/>
        <w:jc w:val="both"/>
      </w:pPr>
      <w:r w:rsidRPr="00A826A3">
        <w:lastRenderedPageBreak/>
        <w:t xml:space="preserve">References </w:t>
      </w:r>
    </w:p>
    <w:p w14:paraId="354848DA" w14:textId="77777777" w:rsidR="00FF35BC" w:rsidRPr="00581F88" w:rsidRDefault="00FF35BC" w:rsidP="00E51E05">
      <w:pPr>
        <w:pStyle w:val="NormalWeb"/>
        <w:numPr>
          <w:ilvl w:val="0"/>
          <w:numId w:val="34"/>
        </w:numPr>
        <w:jc w:val="both"/>
      </w:pPr>
      <w:proofErr w:type="spellStart"/>
      <w:r w:rsidRPr="00A826A3">
        <w:t>Anagnostaki</w:t>
      </w:r>
      <w:proofErr w:type="spellEnd"/>
      <w:r w:rsidRPr="00A826A3">
        <w:t xml:space="preserve">, L., Pavlopoulos, V., Obradović, J., Masten, A. S., &amp; </w:t>
      </w:r>
      <w:proofErr w:type="spellStart"/>
      <w:r w:rsidRPr="00A826A3">
        <w:t>Motti-Stefanidi</w:t>
      </w:r>
      <w:proofErr w:type="spellEnd"/>
      <w:r w:rsidRPr="00A826A3">
        <w:t xml:space="preserve">, F. (2016). Academic resilience of immigrant youth in Greek schools: Personal and family resources. </w:t>
      </w:r>
      <w:r w:rsidRPr="00A826A3">
        <w:rPr>
          <w:rStyle w:val="Emphasis"/>
        </w:rPr>
        <w:t>European Journal of Developmental Psychology, 13</w:t>
      </w:r>
      <w:r w:rsidRPr="00A826A3">
        <w:t xml:space="preserve">(3), 377–393. </w:t>
      </w:r>
      <w:hyperlink r:id="rId8" w:history="1">
        <w:r w:rsidR="00831623" w:rsidRPr="00A826A3">
          <w:rPr>
            <w:rStyle w:val="Hyperlink"/>
            <w:color w:val="auto"/>
          </w:rPr>
          <w:t>https://doi.org/10.1080/17405629.2016.1168738</w:t>
        </w:r>
      </w:hyperlink>
      <w:r w:rsidR="00831623" w:rsidRPr="00E40DE3">
        <w:t xml:space="preserve"> </w:t>
      </w:r>
    </w:p>
    <w:p w14:paraId="311F9775" w14:textId="77777777" w:rsidR="00FF35BC" w:rsidRPr="00581F88" w:rsidRDefault="00FF35BC" w:rsidP="00E51E05">
      <w:pPr>
        <w:pStyle w:val="NormalWeb"/>
        <w:numPr>
          <w:ilvl w:val="0"/>
          <w:numId w:val="34"/>
        </w:numPr>
        <w:jc w:val="both"/>
      </w:pPr>
      <w:r w:rsidRPr="00581F88">
        <w:t xml:space="preserve">Aliyev, R., Akbaş, U., &amp; Özbay, Y. (2021). Mediating role of internal factors in predicting academic resilience. </w:t>
      </w:r>
      <w:r w:rsidRPr="00A826A3">
        <w:rPr>
          <w:rStyle w:val="Emphasis"/>
        </w:rPr>
        <w:t>International Journal of School &amp; Educational Psychology, 9</w:t>
      </w:r>
      <w:r w:rsidRPr="00A826A3">
        <w:t xml:space="preserve">(3), 236–251. </w:t>
      </w:r>
      <w:hyperlink r:id="rId9" w:history="1">
        <w:r w:rsidR="00831623" w:rsidRPr="00A826A3">
          <w:rPr>
            <w:rStyle w:val="Hyperlink"/>
            <w:color w:val="auto"/>
          </w:rPr>
          <w:t>https://doi.org/10.1080/21683603.2021.1904068</w:t>
        </w:r>
      </w:hyperlink>
      <w:r w:rsidR="00831623" w:rsidRPr="00E40DE3">
        <w:t xml:space="preserve"> </w:t>
      </w:r>
    </w:p>
    <w:p w14:paraId="24022930" w14:textId="77777777" w:rsidR="00FF35BC" w:rsidRPr="00581F88" w:rsidRDefault="00FF35BC" w:rsidP="00E51E05">
      <w:pPr>
        <w:pStyle w:val="NormalWeb"/>
        <w:numPr>
          <w:ilvl w:val="0"/>
          <w:numId w:val="34"/>
        </w:numPr>
        <w:jc w:val="both"/>
      </w:pPr>
      <w:r w:rsidRPr="00581F88">
        <w:t xml:space="preserve">Cassidy, S. (2015). Resilience building in students: The role of academic self-efficacy. </w:t>
      </w:r>
      <w:r w:rsidRPr="00581F88">
        <w:rPr>
          <w:rStyle w:val="Emphasis"/>
        </w:rPr>
        <w:t>Frontiers in Psychology, 6</w:t>
      </w:r>
      <w:r w:rsidRPr="00581F88">
        <w:t xml:space="preserve">, 1781. </w:t>
      </w:r>
      <w:hyperlink r:id="rId10" w:tgtFrame="_new" w:history="1">
        <w:r w:rsidRPr="00A826A3">
          <w:rPr>
            <w:rStyle w:val="Hyperlink"/>
            <w:color w:val="auto"/>
          </w:rPr>
          <w:t>https://doi.org/10.3389/fpsyg.2015.01781</w:t>
        </w:r>
      </w:hyperlink>
      <w:r w:rsidR="00831623" w:rsidRPr="00E40DE3">
        <w:t xml:space="preserve"> </w:t>
      </w:r>
    </w:p>
    <w:p w14:paraId="01F2ED6F" w14:textId="77777777" w:rsidR="00FF35BC" w:rsidRPr="00581F88" w:rsidRDefault="00FF35BC" w:rsidP="00E51E05">
      <w:pPr>
        <w:pStyle w:val="NormalWeb"/>
        <w:numPr>
          <w:ilvl w:val="0"/>
          <w:numId w:val="34"/>
        </w:numPr>
        <w:jc w:val="both"/>
      </w:pPr>
      <w:r w:rsidRPr="00581F88">
        <w:t>Cassidy, S. (2016). The Academic Resilience Scale (ARS-30): A new multidimensional construct measu</w:t>
      </w:r>
      <w:r w:rsidRPr="00A826A3">
        <w:t xml:space="preserve">re. </w:t>
      </w:r>
      <w:r w:rsidRPr="00A826A3">
        <w:rPr>
          <w:rStyle w:val="Emphasis"/>
        </w:rPr>
        <w:t>Frontiers in Psychology, 7</w:t>
      </w:r>
      <w:r w:rsidRPr="00A826A3">
        <w:t xml:space="preserve">, 1787. </w:t>
      </w:r>
      <w:hyperlink r:id="rId11" w:tgtFrame="_new" w:history="1">
        <w:r w:rsidRPr="00A826A3">
          <w:rPr>
            <w:rStyle w:val="Hyperlink"/>
            <w:color w:val="auto"/>
          </w:rPr>
          <w:t>https://doi.org/10.3389/fpsyg.2016.01787</w:t>
        </w:r>
      </w:hyperlink>
      <w:r w:rsidR="00831623" w:rsidRPr="00E40DE3">
        <w:t xml:space="preserve"> </w:t>
      </w:r>
    </w:p>
    <w:p w14:paraId="5F8B6A61" w14:textId="77777777" w:rsidR="00FF35BC" w:rsidRPr="00581F88" w:rsidRDefault="00FF35BC" w:rsidP="00E51E05">
      <w:pPr>
        <w:pStyle w:val="NormalWeb"/>
        <w:numPr>
          <w:ilvl w:val="0"/>
          <w:numId w:val="34"/>
        </w:numPr>
        <w:jc w:val="both"/>
      </w:pPr>
      <w:r w:rsidRPr="00581F88">
        <w:t xml:space="preserve">Fenwick, A., Kinsella, B., &amp; Harford, J. (2022). Promoting academic resilience in DEIS schools. </w:t>
      </w:r>
      <w:r w:rsidRPr="00A826A3">
        <w:rPr>
          <w:rStyle w:val="Emphasis"/>
        </w:rPr>
        <w:t>Irish Educational Studies, 41</w:t>
      </w:r>
      <w:r w:rsidRPr="00A826A3">
        <w:t xml:space="preserve">(3), 513–530. </w:t>
      </w:r>
      <w:hyperlink r:id="rId12" w:history="1">
        <w:r w:rsidR="00831623" w:rsidRPr="00A826A3">
          <w:rPr>
            <w:rStyle w:val="Hyperlink"/>
            <w:color w:val="auto"/>
          </w:rPr>
          <w:t>https://doi.org/10.1080/03323315.2022.2094107</w:t>
        </w:r>
      </w:hyperlink>
      <w:r w:rsidR="00831623" w:rsidRPr="00E40DE3">
        <w:t xml:space="preserve"> </w:t>
      </w:r>
    </w:p>
    <w:p w14:paraId="027CE7C8" w14:textId="77777777" w:rsidR="00FF35BC" w:rsidRPr="00581F88" w:rsidRDefault="00FF35BC" w:rsidP="00E51E05">
      <w:pPr>
        <w:pStyle w:val="NormalWeb"/>
        <w:numPr>
          <w:ilvl w:val="0"/>
          <w:numId w:val="34"/>
        </w:numPr>
        <w:jc w:val="both"/>
      </w:pPr>
      <w:r w:rsidRPr="00581F88">
        <w:t xml:space="preserve">Hunsu, N. J., </w:t>
      </w:r>
      <w:proofErr w:type="spellStart"/>
      <w:r w:rsidRPr="00581F88">
        <w:t>Oje</w:t>
      </w:r>
      <w:proofErr w:type="spellEnd"/>
      <w:r w:rsidRPr="00581F88">
        <w:t xml:space="preserve">, A. V., Tanner-Smith, E. E., &amp; </w:t>
      </w:r>
      <w:proofErr w:type="spellStart"/>
      <w:r w:rsidRPr="00581F88">
        <w:t>Adesope</w:t>
      </w:r>
      <w:proofErr w:type="spellEnd"/>
      <w:r w:rsidRPr="00581F88">
        <w:t>, O. (2023). Relationships between risk factors, protective f</w:t>
      </w:r>
      <w:r w:rsidRPr="00A826A3">
        <w:t xml:space="preserve">actors and achievement outcomes in academic resilience research: A meta-analytic review. </w:t>
      </w:r>
      <w:r w:rsidRPr="00A826A3">
        <w:rPr>
          <w:rStyle w:val="Emphasis"/>
        </w:rPr>
        <w:t>Educational Research Review, 41</w:t>
      </w:r>
      <w:r w:rsidRPr="00A826A3">
        <w:t xml:space="preserve">, 100548. </w:t>
      </w:r>
      <w:hyperlink r:id="rId13" w:history="1">
        <w:r w:rsidR="00831623" w:rsidRPr="00A826A3">
          <w:rPr>
            <w:rStyle w:val="Hyperlink"/>
            <w:color w:val="auto"/>
          </w:rPr>
          <w:t>https://doi.org/10.1016/j.edurev.2023.100548</w:t>
        </w:r>
      </w:hyperlink>
      <w:r w:rsidR="00831623" w:rsidRPr="00E40DE3">
        <w:t xml:space="preserve"> </w:t>
      </w:r>
    </w:p>
    <w:p w14:paraId="0CD4944A" w14:textId="77777777" w:rsidR="00FF35BC" w:rsidRPr="00581F88" w:rsidRDefault="00FF35BC" w:rsidP="00E51E05">
      <w:pPr>
        <w:pStyle w:val="NormalWeb"/>
        <w:numPr>
          <w:ilvl w:val="0"/>
          <w:numId w:val="34"/>
        </w:numPr>
        <w:jc w:val="both"/>
      </w:pPr>
      <w:r w:rsidRPr="00581F88">
        <w:t xml:space="preserve">Liew, J., Cao, Q., Hughes, J. N., &amp; Deutz, M. H. (2018). Academic resilience despite early academic adversity: A three-wave longitudinal study on regulation-related resiliency, interpersonal relationships, and achievement in first to third grade. </w:t>
      </w:r>
      <w:r w:rsidRPr="00A826A3">
        <w:rPr>
          <w:rStyle w:val="Emphasis"/>
        </w:rPr>
        <w:t>Early Education and Development, 29</w:t>
      </w:r>
      <w:r w:rsidRPr="00A826A3">
        <w:t xml:space="preserve">(6), 762–779. </w:t>
      </w:r>
      <w:hyperlink r:id="rId14" w:history="1">
        <w:r w:rsidR="00831623" w:rsidRPr="00A826A3">
          <w:rPr>
            <w:rStyle w:val="Hyperlink"/>
            <w:color w:val="auto"/>
          </w:rPr>
          <w:t>https://doi.org/10.1080/10409289.2018.1429766</w:t>
        </w:r>
      </w:hyperlink>
      <w:r w:rsidR="00831623" w:rsidRPr="00E40DE3">
        <w:t xml:space="preserve"> </w:t>
      </w:r>
    </w:p>
    <w:p w14:paraId="524989F0" w14:textId="77777777" w:rsidR="00FF35BC" w:rsidRPr="00581F88" w:rsidRDefault="00FF35BC" w:rsidP="00E51E05">
      <w:pPr>
        <w:pStyle w:val="NormalWeb"/>
        <w:numPr>
          <w:ilvl w:val="0"/>
          <w:numId w:val="34"/>
        </w:numPr>
        <w:jc w:val="both"/>
      </w:pPr>
      <w:r w:rsidRPr="00581F88">
        <w:t>Martin, A. J., &amp; Marsh, H. W. (2006). Academic resilience and its psychological and educational correlates: A construct validi</w:t>
      </w:r>
      <w:r w:rsidRPr="00A826A3">
        <w:t xml:space="preserve">ty approach. </w:t>
      </w:r>
      <w:r w:rsidRPr="00A826A3">
        <w:rPr>
          <w:rStyle w:val="Emphasis"/>
        </w:rPr>
        <w:t>Psychology in the Schools, 43</w:t>
      </w:r>
      <w:r w:rsidRPr="00A826A3">
        <w:t xml:space="preserve">(3), 267–281. </w:t>
      </w:r>
      <w:hyperlink r:id="rId15" w:history="1">
        <w:r w:rsidR="00831623" w:rsidRPr="00A826A3">
          <w:rPr>
            <w:rStyle w:val="Hyperlink"/>
            <w:color w:val="auto"/>
          </w:rPr>
          <w:t>https://doi.org/10.1002/pits.20149</w:t>
        </w:r>
      </w:hyperlink>
      <w:r w:rsidR="00831623" w:rsidRPr="00E40DE3">
        <w:t xml:space="preserve"> </w:t>
      </w:r>
    </w:p>
    <w:p w14:paraId="6A3DAFB7" w14:textId="77777777" w:rsidR="00FF35BC" w:rsidRPr="00E40DE3" w:rsidRDefault="00FF35BC" w:rsidP="00E51E05">
      <w:pPr>
        <w:pStyle w:val="NormalWeb"/>
        <w:numPr>
          <w:ilvl w:val="0"/>
          <w:numId w:val="34"/>
        </w:numPr>
        <w:jc w:val="both"/>
      </w:pPr>
      <w:r w:rsidRPr="00581F88">
        <w:t xml:space="preserve">Martin, A. J., &amp; Marsh, H. W. (2008). Academic buoyancy: Towards an understanding of students’ everyday academic </w:t>
      </w:r>
      <w:r w:rsidRPr="00A826A3">
        <w:t xml:space="preserve">resilience. </w:t>
      </w:r>
      <w:r w:rsidRPr="00A826A3">
        <w:rPr>
          <w:rStyle w:val="Emphasis"/>
        </w:rPr>
        <w:t>Journal of School Psychology, 46</w:t>
      </w:r>
      <w:r w:rsidRPr="00A826A3">
        <w:t xml:space="preserve">(1), 53–83. </w:t>
      </w:r>
      <w:hyperlink r:id="rId16" w:tgtFrame="_new" w:history="1">
        <w:r w:rsidRPr="00A826A3">
          <w:rPr>
            <w:rStyle w:val="Hyperlink"/>
            <w:color w:val="auto"/>
          </w:rPr>
          <w:t>https://doi.org/10.1016/j.jsp.2007.01.002</w:t>
        </w:r>
      </w:hyperlink>
    </w:p>
    <w:p w14:paraId="5B8AF3D8" w14:textId="77777777" w:rsidR="00FF35BC" w:rsidRPr="00581F88" w:rsidRDefault="00FF35BC" w:rsidP="00E51E05">
      <w:pPr>
        <w:pStyle w:val="NormalWeb"/>
        <w:numPr>
          <w:ilvl w:val="0"/>
          <w:numId w:val="34"/>
        </w:numPr>
        <w:jc w:val="both"/>
      </w:pPr>
      <w:r w:rsidRPr="00581F88">
        <w:t>Özcan, B., &amp; Bulus, M. (2022). Protective factors associated with academic resilience of a</w:t>
      </w:r>
      <w:r w:rsidRPr="00A826A3">
        <w:t xml:space="preserve">dolescents in individualist and collectivist cultures: Evidence from PISA 2018 large-scale assessment. </w:t>
      </w:r>
      <w:r w:rsidRPr="00A826A3">
        <w:rPr>
          <w:rStyle w:val="Emphasis"/>
        </w:rPr>
        <w:t>Current Psychology, 41</w:t>
      </w:r>
      <w:r w:rsidRPr="00A826A3">
        <w:t xml:space="preserve">, 1740–1756. </w:t>
      </w:r>
      <w:hyperlink r:id="rId17" w:history="1">
        <w:r w:rsidR="00831623" w:rsidRPr="00A826A3">
          <w:rPr>
            <w:rStyle w:val="Hyperlink"/>
            <w:color w:val="auto"/>
          </w:rPr>
          <w:t>https://doi.org/10.1007/s12144-022-02944-z</w:t>
        </w:r>
      </w:hyperlink>
      <w:r w:rsidR="00831623" w:rsidRPr="00E40DE3">
        <w:t xml:space="preserve"> </w:t>
      </w:r>
    </w:p>
    <w:p w14:paraId="7CB982AD" w14:textId="77777777" w:rsidR="00FF35BC" w:rsidRPr="00581F88" w:rsidRDefault="00FF35BC" w:rsidP="00E51E05">
      <w:pPr>
        <w:pStyle w:val="NormalWeb"/>
        <w:numPr>
          <w:ilvl w:val="0"/>
          <w:numId w:val="34"/>
        </w:numPr>
        <w:jc w:val="both"/>
      </w:pPr>
      <w:proofErr w:type="spellStart"/>
      <w:r w:rsidRPr="00581F88">
        <w:t>Putwain</w:t>
      </w:r>
      <w:proofErr w:type="spellEnd"/>
      <w:r w:rsidRPr="00581F88">
        <w:t>, D. W.,</w:t>
      </w:r>
      <w:r w:rsidRPr="00A826A3">
        <w:t xml:space="preserve"> Gallard, D., &amp; Beaumont, J. (2020). Academic buoyancy protects achievement against minor academic adversities. </w:t>
      </w:r>
      <w:r w:rsidRPr="00A826A3">
        <w:rPr>
          <w:rStyle w:val="Emphasis"/>
        </w:rPr>
        <w:t>Learning and Individual Differences, 83–84</w:t>
      </w:r>
      <w:r w:rsidRPr="00A826A3">
        <w:t xml:space="preserve">, 101936. </w:t>
      </w:r>
      <w:hyperlink r:id="rId18" w:history="1">
        <w:r w:rsidR="00831623" w:rsidRPr="00A826A3">
          <w:rPr>
            <w:rStyle w:val="Hyperlink"/>
            <w:color w:val="auto"/>
          </w:rPr>
          <w:t>https://doi.org/10.1016/j.lindif.2020.101936</w:t>
        </w:r>
      </w:hyperlink>
      <w:r w:rsidR="00831623" w:rsidRPr="00E40DE3">
        <w:t xml:space="preserve"> </w:t>
      </w:r>
    </w:p>
    <w:p w14:paraId="73D7258C" w14:textId="77777777" w:rsidR="00FF35BC" w:rsidRPr="00581F88" w:rsidRDefault="00FF35BC" w:rsidP="00E51E05">
      <w:pPr>
        <w:pStyle w:val="NormalWeb"/>
        <w:numPr>
          <w:ilvl w:val="0"/>
          <w:numId w:val="34"/>
        </w:numPr>
        <w:jc w:val="both"/>
      </w:pPr>
      <w:r w:rsidRPr="00581F88">
        <w:t xml:space="preserve">Rudd, G., </w:t>
      </w:r>
      <w:proofErr w:type="spellStart"/>
      <w:r w:rsidRPr="00581F88">
        <w:t>Meissel</w:t>
      </w:r>
      <w:proofErr w:type="spellEnd"/>
      <w:r w:rsidRPr="00581F88">
        <w:t xml:space="preserve">, K., &amp; Meyer, F. (2021). Measuring academic resilience in quantitative research: A systematic review of the literature. </w:t>
      </w:r>
      <w:r w:rsidRPr="00A826A3">
        <w:rPr>
          <w:rStyle w:val="Emphasis"/>
        </w:rPr>
        <w:t>Educational Research Review, 34</w:t>
      </w:r>
      <w:r w:rsidRPr="00A826A3">
        <w:t xml:space="preserve">, 100402. </w:t>
      </w:r>
      <w:hyperlink r:id="rId19" w:history="1">
        <w:r w:rsidR="00831623" w:rsidRPr="00A826A3">
          <w:rPr>
            <w:rStyle w:val="Hyperlink"/>
            <w:color w:val="auto"/>
          </w:rPr>
          <w:t>https://doi.org/10.1016/j.edurev.2021.100402</w:t>
        </w:r>
      </w:hyperlink>
      <w:r w:rsidR="00831623" w:rsidRPr="00E40DE3">
        <w:t xml:space="preserve"> </w:t>
      </w:r>
    </w:p>
    <w:p w14:paraId="1FC8720F" w14:textId="77777777" w:rsidR="00FF35BC" w:rsidRPr="00581F88" w:rsidRDefault="00FF35BC" w:rsidP="00E51E05">
      <w:pPr>
        <w:pStyle w:val="NormalWeb"/>
        <w:numPr>
          <w:ilvl w:val="0"/>
          <w:numId w:val="34"/>
        </w:numPr>
        <w:jc w:val="both"/>
      </w:pPr>
      <w:proofErr w:type="spellStart"/>
      <w:r w:rsidRPr="00581F88">
        <w:t>Şam</w:t>
      </w:r>
      <w:proofErr w:type="spellEnd"/>
      <w:r w:rsidRPr="00581F88">
        <w:t xml:space="preserve">, M., &amp; Aliyev, R. (2025). Academic Resilience Scale for Adolescents in Turkey: Relationship with school burnout and school attachment. </w:t>
      </w:r>
      <w:r w:rsidRPr="00A826A3">
        <w:rPr>
          <w:rStyle w:val="Emphasis"/>
        </w:rPr>
        <w:t>Adversity and Resilience Science, 6</w:t>
      </w:r>
      <w:r w:rsidRPr="00A826A3">
        <w:t xml:space="preserve">, 643–659. </w:t>
      </w:r>
      <w:hyperlink r:id="rId20" w:history="1">
        <w:r w:rsidR="00831623" w:rsidRPr="00A826A3">
          <w:rPr>
            <w:rStyle w:val="Hyperlink"/>
            <w:color w:val="auto"/>
          </w:rPr>
          <w:t>https://doi.org/10.1007/s42844-025-00186-z</w:t>
        </w:r>
      </w:hyperlink>
      <w:r w:rsidR="00831623" w:rsidRPr="00E40DE3">
        <w:t xml:space="preserve"> </w:t>
      </w:r>
    </w:p>
    <w:p w14:paraId="67CC6936" w14:textId="77777777" w:rsidR="00FF35BC" w:rsidRPr="00581F88" w:rsidRDefault="00FF35BC" w:rsidP="00E51E05">
      <w:pPr>
        <w:pStyle w:val="NormalWeb"/>
        <w:numPr>
          <w:ilvl w:val="0"/>
          <w:numId w:val="34"/>
        </w:numPr>
        <w:jc w:val="both"/>
      </w:pPr>
      <w:r w:rsidRPr="00581F88">
        <w:t xml:space="preserve">Sandoval-Hernández, A., &amp; </w:t>
      </w:r>
      <w:proofErr w:type="spellStart"/>
      <w:r w:rsidRPr="00581F88">
        <w:t>Białowolski</w:t>
      </w:r>
      <w:proofErr w:type="spellEnd"/>
      <w:r w:rsidRPr="00581F88">
        <w:t>, P. (2016). Factors and conditions promoting academic resilience: A TIMSS-based analysis of five Asian educati</w:t>
      </w:r>
      <w:r w:rsidRPr="00A826A3">
        <w:t xml:space="preserve">on systems. </w:t>
      </w:r>
      <w:r w:rsidRPr="00A826A3">
        <w:rPr>
          <w:rStyle w:val="Emphasis"/>
        </w:rPr>
        <w:t>Asia Pacific Education Review, 17</w:t>
      </w:r>
      <w:r w:rsidRPr="00A826A3">
        <w:t xml:space="preserve">, 511–520. </w:t>
      </w:r>
      <w:hyperlink r:id="rId21" w:history="1">
        <w:r w:rsidR="00831623" w:rsidRPr="00A826A3">
          <w:rPr>
            <w:rStyle w:val="Hyperlink"/>
            <w:color w:val="auto"/>
          </w:rPr>
          <w:t>https://doi.org/10.1007/s12564-016-9447-4</w:t>
        </w:r>
      </w:hyperlink>
      <w:r w:rsidR="00831623" w:rsidRPr="00E40DE3">
        <w:t xml:space="preserve"> </w:t>
      </w:r>
    </w:p>
    <w:p w14:paraId="27ED2C90" w14:textId="77777777" w:rsidR="00FF35BC" w:rsidRPr="00581F88" w:rsidRDefault="00FF35BC" w:rsidP="00E51E05">
      <w:pPr>
        <w:pStyle w:val="NormalWeb"/>
        <w:numPr>
          <w:ilvl w:val="0"/>
          <w:numId w:val="34"/>
        </w:numPr>
        <w:jc w:val="both"/>
      </w:pPr>
      <w:r w:rsidRPr="00581F88">
        <w:lastRenderedPageBreak/>
        <w:t xml:space="preserve">Ye, W., </w:t>
      </w:r>
      <w:proofErr w:type="spellStart"/>
      <w:r w:rsidRPr="00581F88">
        <w:t>Strietholt</w:t>
      </w:r>
      <w:proofErr w:type="spellEnd"/>
      <w:r w:rsidRPr="00581F88">
        <w:t xml:space="preserve">, R., &amp; </w:t>
      </w:r>
      <w:proofErr w:type="spellStart"/>
      <w:r w:rsidRPr="00581F88">
        <w:t>Blömeke</w:t>
      </w:r>
      <w:proofErr w:type="spellEnd"/>
      <w:r w:rsidRPr="00A826A3">
        <w:t>, S. (2021). Academic resilience: Underlying norms and validity of def</w:t>
      </w:r>
      <w:bookmarkStart w:id="0" w:name="_GoBack"/>
      <w:bookmarkEnd w:id="0"/>
      <w:r w:rsidRPr="00A826A3">
        <w:t xml:space="preserve">initions. </w:t>
      </w:r>
      <w:r w:rsidRPr="00A826A3">
        <w:rPr>
          <w:rStyle w:val="Emphasis"/>
        </w:rPr>
        <w:t>Educational Assessment, Evaluation and Accountability, 33</w:t>
      </w:r>
      <w:r w:rsidRPr="00A826A3">
        <w:t xml:space="preserve">, 169–202. </w:t>
      </w:r>
      <w:hyperlink r:id="rId22" w:history="1">
        <w:r w:rsidR="00831623" w:rsidRPr="00A826A3">
          <w:rPr>
            <w:rStyle w:val="Hyperlink"/>
            <w:color w:val="auto"/>
          </w:rPr>
          <w:t>https://doi.org/10.1007/s11092-020-09351-7</w:t>
        </w:r>
      </w:hyperlink>
      <w:r w:rsidR="00831623" w:rsidRPr="00E40DE3">
        <w:t xml:space="preserve"> </w:t>
      </w:r>
    </w:p>
    <w:p w14:paraId="50D35206" w14:textId="586D284C" w:rsidR="005F1FE6" w:rsidRPr="00E51E05" w:rsidRDefault="00811FA9" w:rsidP="00E51E05">
      <w:pPr>
        <w:pStyle w:val="ListParagraph"/>
        <w:numPr>
          <w:ilvl w:val="0"/>
          <w:numId w:val="34"/>
        </w:numPr>
        <w:jc w:val="both"/>
        <w:rPr>
          <w:highlight w:val="yellow"/>
        </w:rPr>
      </w:pPr>
      <w:proofErr w:type="spellStart"/>
      <w:r w:rsidRPr="00E51E05">
        <w:rPr>
          <w:highlight w:val="yellow"/>
        </w:rPr>
        <w:t>Radhamani</w:t>
      </w:r>
      <w:proofErr w:type="spellEnd"/>
      <w:r w:rsidRPr="00E51E05">
        <w:rPr>
          <w:highlight w:val="yellow"/>
        </w:rPr>
        <w:t xml:space="preserve">, K., &amp; </w:t>
      </w:r>
      <w:proofErr w:type="spellStart"/>
      <w:r w:rsidRPr="00E51E05">
        <w:rPr>
          <w:highlight w:val="yellow"/>
        </w:rPr>
        <w:t>Kalaivani</w:t>
      </w:r>
      <w:proofErr w:type="spellEnd"/>
      <w:r w:rsidRPr="00E51E05">
        <w:rPr>
          <w:highlight w:val="yellow"/>
        </w:rPr>
        <w:t>, D. (2021). Academic resilience among students: A review of literature. International Journal of Research and Review, 8(6), 360-369.</w:t>
      </w:r>
    </w:p>
    <w:p w14:paraId="6FA2F2E2" w14:textId="0CBE0BFF" w:rsidR="00947DBC" w:rsidRPr="00E40DE3" w:rsidRDefault="00811FA9" w:rsidP="00E51E05">
      <w:pPr>
        <w:pStyle w:val="ListParagraph"/>
        <w:numPr>
          <w:ilvl w:val="0"/>
          <w:numId w:val="34"/>
        </w:numPr>
        <w:jc w:val="both"/>
      </w:pPr>
      <w:proofErr w:type="spellStart"/>
      <w:r w:rsidRPr="00E51E05">
        <w:rPr>
          <w:highlight w:val="yellow"/>
        </w:rPr>
        <w:t>D'Silva</w:t>
      </w:r>
      <w:proofErr w:type="spellEnd"/>
      <w:r w:rsidRPr="00E51E05">
        <w:rPr>
          <w:highlight w:val="yellow"/>
        </w:rPr>
        <w:t>, M. N. (2025). Building Resilience and Academic Success: An Integrated Framework of Multiple Intelligences, Mentoring, Psychological Well-Being, and AI Support in Higher Education. Journal homepage: https://jmsr-online. com, 2(02).</w:t>
      </w:r>
    </w:p>
    <w:p w14:paraId="4E74289B" w14:textId="77777777" w:rsidR="00947DBC" w:rsidRPr="00E40DE3" w:rsidRDefault="00947DBC" w:rsidP="00E51E05">
      <w:pPr>
        <w:pStyle w:val="ListParagraph"/>
        <w:numPr>
          <w:ilvl w:val="0"/>
          <w:numId w:val="34"/>
        </w:numPr>
      </w:pPr>
      <w:proofErr w:type="spellStart"/>
      <w:r w:rsidRPr="00E51E05">
        <w:rPr>
          <w:highlight w:val="yellow"/>
        </w:rPr>
        <w:t>Carroza</w:t>
      </w:r>
      <w:proofErr w:type="spellEnd"/>
      <w:r w:rsidRPr="00E51E05">
        <w:rPr>
          <w:highlight w:val="yellow"/>
        </w:rPr>
        <w:t xml:space="preserve">-Pacheco AM, León-Del-Barco B, </w:t>
      </w:r>
      <w:proofErr w:type="spellStart"/>
      <w:r w:rsidRPr="00E51E05">
        <w:rPr>
          <w:highlight w:val="yellow"/>
        </w:rPr>
        <w:t>Bringas</w:t>
      </w:r>
      <w:proofErr w:type="spellEnd"/>
      <w:r w:rsidRPr="00E51E05">
        <w:rPr>
          <w:highlight w:val="yellow"/>
        </w:rPr>
        <w:t xml:space="preserve"> </w:t>
      </w:r>
      <w:proofErr w:type="spellStart"/>
      <w:r w:rsidRPr="00E51E05">
        <w:rPr>
          <w:highlight w:val="yellow"/>
        </w:rPr>
        <w:t>Molleda</w:t>
      </w:r>
      <w:proofErr w:type="spellEnd"/>
      <w:r w:rsidRPr="00E51E05">
        <w:rPr>
          <w:highlight w:val="yellow"/>
        </w:rPr>
        <w:t xml:space="preserve"> C. Academic Performance and Resilience in Secondary Education Students. J </w:t>
      </w:r>
      <w:proofErr w:type="spellStart"/>
      <w:r w:rsidRPr="00E51E05">
        <w:rPr>
          <w:highlight w:val="yellow"/>
        </w:rPr>
        <w:t>Intell</w:t>
      </w:r>
      <w:proofErr w:type="spellEnd"/>
      <w:r w:rsidRPr="00E51E05">
        <w:rPr>
          <w:highlight w:val="yellow"/>
        </w:rPr>
        <w:t xml:space="preserve">. 2025 May 16;13(5):56. </w:t>
      </w:r>
      <w:proofErr w:type="spellStart"/>
      <w:r w:rsidRPr="00E51E05">
        <w:rPr>
          <w:highlight w:val="yellow"/>
        </w:rPr>
        <w:t>doi</w:t>
      </w:r>
      <w:proofErr w:type="spellEnd"/>
      <w:r w:rsidRPr="00E51E05">
        <w:rPr>
          <w:highlight w:val="yellow"/>
        </w:rPr>
        <w:t>: 10.3390/jintelligence13050056. PMID: 40422656; PMCID: PMC12113049.</w:t>
      </w:r>
    </w:p>
    <w:p w14:paraId="71DEDB19" w14:textId="77777777" w:rsidR="00811FA9" w:rsidRPr="00581F88" w:rsidRDefault="00811FA9" w:rsidP="00A826A3"/>
    <w:sectPr w:rsidR="00811FA9" w:rsidRPr="00581F88" w:rsidSect="00CB6EB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119F1" w16cex:dateUtc="2026-01-13T16:22:00Z"/>
  <w16cex:commentExtensible w16cex:durableId="2D111AC8" w16cex:dateUtc="2026-01-13T16:26:00Z"/>
  <w16cex:commentExtensible w16cex:durableId="2D111B1F" w16cex:dateUtc="2026-01-13T16:27:00Z"/>
  <w16cex:commentExtensible w16cex:durableId="2D111B8C" w16cex:dateUtc="2026-01-13T16:29:00Z"/>
  <w16cex:commentExtensible w16cex:durableId="2D111C42" w16cex:dateUtc="2026-01-13T16:32:00Z"/>
  <w16cex:commentExtensible w16cex:durableId="2D111C8F" w16cex:dateUtc="2026-01-13T16:33:00Z"/>
  <w16cex:commentExtensible w16cex:durableId="2D111CC2" w16cex:dateUtc="2026-01-13T16:34:00Z"/>
  <w16cex:commentExtensible w16cex:durableId="2D111CF4" w16cex:dateUtc="2026-01-13T16:35:00Z"/>
  <w16cex:commentExtensible w16cex:durableId="2D111D42" w16cex:dateUtc="2026-01-13T16:36:00Z"/>
  <w16cex:commentExtensible w16cex:durableId="2D111E14" w16cex:dateUtc="2026-01-13T16:40:00Z"/>
  <w16cex:commentExtensible w16cex:durableId="2D111E9C" w16cex:dateUtc="2026-01-13T16: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721B" w14:textId="77777777" w:rsidR="000D3650" w:rsidRDefault="000D3650" w:rsidP="00075995">
      <w:pPr>
        <w:spacing w:after="0" w:line="240" w:lineRule="auto"/>
      </w:pPr>
      <w:r>
        <w:separator/>
      </w:r>
    </w:p>
  </w:endnote>
  <w:endnote w:type="continuationSeparator" w:id="0">
    <w:p w14:paraId="498F08CF" w14:textId="77777777" w:rsidR="000D3650" w:rsidRDefault="000D3650" w:rsidP="0007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EBD0" w14:textId="77777777" w:rsidR="00075995" w:rsidRDefault="00075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CF55" w14:textId="77777777" w:rsidR="00075995" w:rsidRDefault="0007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81A4" w14:textId="77777777" w:rsidR="00075995" w:rsidRDefault="0007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D4399" w14:textId="77777777" w:rsidR="000D3650" w:rsidRDefault="000D3650" w:rsidP="00075995">
      <w:pPr>
        <w:spacing w:after="0" w:line="240" w:lineRule="auto"/>
      </w:pPr>
      <w:r>
        <w:separator/>
      </w:r>
    </w:p>
  </w:footnote>
  <w:footnote w:type="continuationSeparator" w:id="0">
    <w:p w14:paraId="3272FDBA" w14:textId="77777777" w:rsidR="000D3650" w:rsidRDefault="000D3650" w:rsidP="0007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0283" w14:textId="7A8B2A88" w:rsidR="00075995" w:rsidRDefault="000D3650">
    <w:pPr>
      <w:pStyle w:val="Header"/>
    </w:pPr>
    <w:r>
      <w:rPr>
        <w:noProof/>
      </w:rPr>
      <w:pict w14:anchorId="1EBE0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3CD8" w14:textId="482268A2" w:rsidR="00075995" w:rsidRDefault="000D3650">
    <w:pPr>
      <w:pStyle w:val="Header"/>
    </w:pPr>
    <w:r>
      <w:rPr>
        <w:noProof/>
      </w:rPr>
      <w:pict w14:anchorId="719A5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85800" w14:textId="433CFDD9" w:rsidR="00075995" w:rsidRDefault="000D3650">
    <w:pPr>
      <w:pStyle w:val="Header"/>
    </w:pPr>
    <w:r>
      <w:rPr>
        <w:noProof/>
      </w:rPr>
      <w:pict w14:anchorId="0BAB3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5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73C51"/>
    <w:multiLevelType w:val="hybridMultilevel"/>
    <w:tmpl w:val="5A86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6"/>
  </w:num>
  <w:num w:numId="5">
    <w:abstractNumId w:val="20"/>
  </w:num>
  <w:num w:numId="6">
    <w:abstractNumId w:val="8"/>
  </w:num>
  <w:num w:numId="7">
    <w:abstractNumId w:val="2"/>
  </w:num>
  <w:num w:numId="8">
    <w:abstractNumId w:val="33"/>
  </w:num>
  <w:num w:numId="9">
    <w:abstractNumId w:val="9"/>
  </w:num>
  <w:num w:numId="10">
    <w:abstractNumId w:val="10"/>
  </w:num>
  <w:num w:numId="11">
    <w:abstractNumId w:val="16"/>
  </w:num>
  <w:num w:numId="12">
    <w:abstractNumId w:val="15"/>
  </w:num>
  <w:num w:numId="13">
    <w:abstractNumId w:val="17"/>
  </w:num>
  <w:num w:numId="14">
    <w:abstractNumId w:val="7"/>
  </w:num>
  <w:num w:numId="15">
    <w:abstractNumId w:val="1"/>
  </w:num>
  <w:num w:numId="16">
    <w:abstractNumId w:val="18"/>
  </w:num>
  <w:num w:numId="17">
    <w:abstractNumId w:val="30"/>
  </w:num>
  <w:num w:numId="18">
    <w:abstractNumId w:val="28"/>
  </w:num>
  <w:num w:numId="19">
    <w:abstractNumId w:val="27"/>
  </w:num>
  <w:num w:numId="20">
    <w:abstractNumId w:val="13"/>
  </w:num>
  <w:num w:numId="21">
    <w:abstractNumId w:val="22"/>
  </w:num>
  <w:num w:numId="22">
    <w:abstractNumId w:val="25"/>
  </w:num>
  <w:num w:numId="23">
    <w:abstractNumId w:val="0"/>
  </w:num>
  <w:num w:numId="24">
    <w:abstractNumId w:val="32"/>
  </w:num>
  <w:num w:numId="25">
    <w:abstractNumId w:val="4"/>
  </w:num>
  <w:num w:numId="26">
    <w:abstractNumId w:val="19"/>
  </w:num>
  <w:num w:numId="27">
    <w:abstractNumId w:val="26"/>
  </w:num>
  <w:num w:numId="28">
    <w:abstractNumId w:val="23"/>
  </w:num>
  <w:num w:numId="29">
    <w:abstractNumId w:val="14"/>
  </w:num>
  <w:num w:numId="30">
    <w:abstractNumId w:val="31"/>
  </w:num>
  <w:num w:numId="31">
    <w:abstractNumId w:val="12"/>
  </w:num>
  <w:num w:numId="32">
    <w:abstractNumId w:val="29"/>
  </w:num>
  <w:num w:numId="33">
    <w:abstractNumId w:val="3"/>
  </w:num>
  <w:num w:numId="34">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IwMzYyNjEwN7MwNLdQ0lEKTi0uzszPAykwrAUAWq2ceywAAAA="/>
  </w:docVars>
  <w:rsids>
    <w:rsidRoot w:val="00761CB6"/>
    <w:rsid w:val="00004A77"/>
    <w:rsid w:val="000053C4"/>
    <w:rsid w:val="000078F4"/>
    <w:rsid w:val="00007AAB"/>
    <w:rsid w:val="000425DD"/>
    <w:rsid w:val="00053D7A"/>
    <w:rsid w:val="0005616C"/>
    <w:rsid w:val="0006037D"/>
    <w:rsid w:val="0006413B"/>
    <w:rsid w:val="000643E7"/>
    <w:rsid w:val="0006527C"/>
    <w:rsid w:val="000652AA"/>
    <w:rsid w:val="00075995"/>
    <w:rsid w:val="00086EDD"/>
    <w:rsid w:val="000A0EB4"/>
    <w:rsid w:val="000A79B2"/>
    <w:rsid w:val="000C4F0E"/>
    <w:rsid w:val="000D3650"/>
    <w:rsid w:val="000D461E"/>
    <w:rsid w:val="000D6AAA"/>
    <w:rsid w:val="000E67D1"/>
    <w:rsid w:val="000E709D"/>
    <w:rsid w:val="000F27AA"/>
    <w:rsid w:val="00114147"/>
    <w:rsid w:val="001261CC"/>
    <w:rsid w:val="00126ADF"/>
    <w:rsid w:val="00131E50"/>
    <w:rsid w:val="00135191"/>
    <w:rsid w:val="00142919"/>
    <w:rsid w:val="001514E1"/>
    <w:rsid w:val="0015533B"/>
    <w:rsid w:val="001560E3"/>
    <w:rsid w:val="00166050"/>
    <w:rsid w:val="00186E2A"/>
    <w:rsid w:val="0019059D"/>
    <w:rsid w:val="0019667B"/>
    <w:rsid w:val="001A165A"/>
    <w:rsid w:val="001A3703"/>
    <w:rsid w:val="001A7A4E"/>
    <w:rsid w:val="001B2FA4"/>
    <w:rsid w:val="001B5753"/>
    <w:rsid w:val="001E6EC5"/>
    <w:rsid w:val="00202F35"/>
    <w:rsid w:val="0022042D"/>
    <w:rsid w:val="0022293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1F61"/>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7714B"/>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81F88"/>
    <w:rsid w:val="005A5DEC"/>
    <w:rsid w:val="005B22C5"/>
    <w:rsid w:val="005B4ADB"/>
    <w:rsid w:val="005D2267"/>
    <w:rsid w:val="005F1FE6"/>
    <w:rsid w:val="00605701"/>
    <w:rsid w:val="0061521F"/>
    <w:rsid w:val="00620B8D"/>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502B"/>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74395"/>
    <w:rsid w:val="0078275D"/>
    <w:rsid w:val="00783E9E"/>
    <w:rsid w:val="00786C67"/>
    <w:rsid w:val="007A4088"/>
    <w:rsid w:val="007B0E74"/>
    <w:rsid w:val="007B437D"/>
    <w:rsid w:val="007C5F8A"/>
    <w:rsid w:val="007C7951"/>
    <w:rsid w:val="007D03BC"/>
    <w:rsid w:val="007D38FC"/>
    <w:rsid w:val="007E249F"/>
    <w:rsid w:val="007F1928"/>
    <w:rsid w:val="008017C0"/>
    <w:rsid w:val="00804929"/>
    <w:rsid w:val="008107F6"/>
    <w:rsid w:val="00811FA9"/>
    <w:rsid w:val="00812006"/>
    <w:rsid w:val="00820C75"/>
    <w:rsid w:val="00831623"/>
    <w:rsid w:val="0083179B"/>
    <w:rsid w:val="00834A49"/>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0048E"/>
    <w:rsid w:val="00916DED"/>
    <w:rsid w:val="00921557"/>
    <w:rsid w:val="00925CAF"/>
    <w:rsid w:val="00935182"/>
    <w:rsid w:val="00947DBC"/>
    <w:rsid w:val="00951A3D"/>
    <w:rsid w:val="009536DC"/>
    <w:rsid w:val="009929A7"/>
    <w:rsid w:val="00992B92"/>
    <w:rsid w:val="00994A4A"/>
    <w:rsid w:val="009B32F7"/>
    <w:rsid w:val="009B3A8A"/>
    <w:rsid w:val="009B55DE"/>
    <w:rsid w:val="009D05A9"/>
    <w:rsid w:val="009D0B9D"/>
    <w:rsid w:val="009D13F6"/>
    <w:rsid w:val="009D5BA5"/>
    <w:rsid w:val="009E5244"/>
    <w:rsid w:val="009F0120"/>
    <w:rsid w:val="00A00B22"/>
    <w:rsid w:val="00A029C3"/>
    <w:rsid w:val="00A2270F"/>
    <w:rsid w:val="00A27BF4"/>
    <w:rsid w:val="00A326E8"/>
    <w:rsid w:val="00A478B2"/>
    <w:rsid w:val="00A50845"/>
    <w:rsid w:val="00A5299F"/>
    <w:rsid w:val="00A54719"/>
    <w:rsid w:val="00A57A87"/>
    <w:rsid w:val="00A62C46"/>
    <w:rsid w:val="00A64590"/>
    <w:rsid w:val="00A7055A"/>
    <w:rsid w:val="00A826A3"/>
    <w:rsid w:val="00A8506E"/>
    <w:rsid w:val="00A97AEF"/>
    <w:rsid w:val="00AA2B64"/>
    <w:rsid w:val="00AA4644"/>
    <w:rsid w:val="00AA4B35"/>
    <w:rsid w:val="00AB0C7A"/>
    <w:rsid w:val="00AB1103"/>
    <w:rsid w:val="00AD7B8B"/>
    <w:rsid w:val="00AE651D"/>
    <w:rsid w:val="00AE79C2"/>
    <w:rsid w:val="00AF712D"/>
    <w:rsid w:val="00AF7425"/>
    <w:rsid w:val="00B06888"/>
    <w:rsid w:val="00B1065D"/>
    <w:rsid w:val="00B451DB"/>
    <w:rsid w:val="00B6043D"/>
    <w:rsid w:val="00B84C19"/>
    <w:rsid w:val="00BB0BE1"/>
    <w:rsid w:val="00BB6828"/>
    <w:rsid w:val="00BC43AE"/>
    <w:rsid w:val="00BD22E5"/>
    <w:rsid w:val="00BE2004"/>
    <w:rsid w:val="00BF0896"/>
    <w:rsid w:val="00BF26BF"/>
    <w:rsid w:val="00BF31D8"/>
    <w:rsid w:val="00BF35F1"/>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71E25"/>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01EB"/>
    <w:rsid w:val="00D63323"/>
    <w:rsid w:val="00D71250"/>
    <w:rsid w:val="00D75C9D"/>
    <w:rsid w:val="00D7779E"/>
    <w:rsid w:val="00D9293B"/>
    <w:rsid w:val="00D95D20"/>
    <w:rsid w:val="00D95F95"/>
    <w:rsid w:val="00DA3203"/>
    <w:rsid w:val="00DC5FB9"/>
    <w:rsid w:val="00DC6BC2"/>
    <w:rsid w:val="00DC74C9"/>
    <w:rsid w:val="00DD02B6"/>
    <w:rsid w:val="00DD62DF"/>
    <w:rsid w:val="00DE0A9F"/>
    <w:rsid w:val="00DE544F"/>
    <w:rsid w:val="00DF20BB"/>
    <w:rsid w:val="00DF5AB4"/>
    <w:rsid w:val="00E125DA"/>
    <w:rsid w:val="00E15B8F"/>
    <w:rsid w:val="00E20962"/>
    <w:rsid w:val="00E22310"/>
    <w:rsid w:val="00E40B47"/>
    <w:rsid w:val="00E40DE3"/>
    <w:rsid w:val="00E51E05"/>
    <w:rsid w:val="00E52157"/>
    <w:rsid w:val="00E643E8"/>
    <w:rsid w:val="00E6564A"/>
    <w:rsid w:val="00E7044C"/>
    <w:rsid w:val="00E76785"/>
    <w:rsid w:val="00E93BAE"/>
    <w:rsid w:val="00E97F4E"/>
    <w:rsid w:val="00EA1C07"/>
    <w:rsid w:val="00EA45FD"/>
    <w:rsid w:val="00EC266D"/>
    <w:rsid w:val="00EC4D6C"/>
    <w:rsid w:val="00EE2E7D"/>
    <w:rsid w:val="00EF4D40"/>
    <w:rsid w:val="00F13040"/>
    <w:rsid w:val="00F278AB"/>
    <w:rsid w:val="00F36C5B"/>
    <w:rsid w:val="00F43CC2"/>
    <w:rsid w:val="00F45317"/>
    <w:rsid w:val="00F4728A"/>
    <w:rsid w:val="00F6047F"/>
    <w:rsid w:val="00F754E8"/>
    <w:rsid w:val="00FA03AB"/>
    <w:rsid w:val="00FA52F4"/>
    <w:rsid w:val="00FA5C8B"/>
    <w:rsid w:val="00FA6A5B"/>
    <w:rsid w:val="00FA7321"/>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B4C4B8"/>
  <w15:docId w15:val="{D2278D79-8347-46B7-8CDA-A1F92CA6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075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995"/>
  </w:style>
  <w:style w:type="paragraph" w:styleId="Footer">
    <w:name w:val="footer"/>
    <w:basedOn w:val="Normal"/>
    <w:link w:val="FooterChar"/>
    <w:uiPriority w:val="99"/>
    <w:unhideWhenUsed/>
    <w:rsid w:val="00075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995"/>
  </w:style>
  <w:style w:type="character" w:styleId="CommentReference">
    <w:name w:val="annotation reference"/>
    <w:basedOn w:val="DefaultParagraphFont"/>
    <w:uiPriority w:val="99"/>
    <w:semiHidden/>
    <w:unhideWhenUsed/>
    <w:rsid w:val="00EA1C07"/>
    <w:rPr>
      <w:sz w:val="16"/>
      <w:szCs w:val="16"/>
    </w:rPr>
  </w:style>
  <w:style w:type="paragraph" w:styleId="CommentText">
    <w:name w:val="annotation text"/>
    <w:basedOn w:val="Normal"/>
    <w:link w:val="CommentTextChar"/>
    <w:uiPriority w:val="99"/>
    <w:semiHidden/>
    <w:unhideWhenUsed/>
    <w:rsid w:val="00EA1C07"/>
    <w:pPr>
      <w:spacing w:line="240" w:lineRule="auto"/>
    </w:pPr>
    <w:rPr>
      <w:sz w:val="20"/>
      <w:szCs w:val="20"/>
    </w:rPr>
  </w:style>
  <w:style w:type="character" w:customStyle="1" w:styleId="CommentTextChar">
    <w:name w:val="Comment Text Char"/>
    <w:basedOn w:val="DefaultParagraphFont"/>
    <w:link w:val="CommentText"/>
    <w:uiPriority w:val="99"/>
    <w:semiHidden/>
    <w:rsid w:val="00EA1C07"/>
    <w:rPr>
      <w:sz w:val="20"/>
      <w:szCs w:val="20"/>
    </w:rPr>
  </w:style>
  <w:style w:type="paragraph" w:styleId="CommentSubject">
    <w:name w:val="annotation subject"/>
    <w:basedOn w:val="CommentText"/>
    <w:next w:val="CommentText"/>
    <w:link w:val="CommentSubjectChar"/>
    <w:uiPriority w:val="99"/>
    <w:semiHidden/>
    <w:unhideWhenUsed/>
    <w:rsid w:val="00EA1C07"/>
    <w:rPr>
      <w:b/>
      <w:bCs/>
    </w:rPr>
  </w:style>
  <w:style w:type="character" w:customStyle="1" w:styleId="CommentSubjectChar">
    <w:name w:val="Comment Subject Char"/>
    <w:basedOn w:val="CommentTextChar"/>
    <w:link w:val="CommentSubject"/>
    <w:uiPriority w:val="99"/>
    <w:semiHidden/>
    <w:rsid w:val="00EA1C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79072705">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19123004">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85815">
      <w:bodyDiv w:val="1"/>
      <w:marLeft w:val="0"/>
      <w:marRight w:val="0"/>
      <w:marTop w:val="0"/>
      <w:marBottom w:val="0"/>
      <w:divBdr>
        <w:top w:val="none" w:sz="0" w:space="0" w:color="auto"/>
        <w:left w:val="none" w:sz="0" w:space="0" w:color="auto"/>
        <w:bottom w:val="none" w:sz="0" w:space="0" w:color="auto"/>
        <w:right w:val="none" w:sz="0" w:space="0" w:color="auto"/>
      </w:divBdr>
      <w:divsChild>
        <w:div w:id="127200666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2896508">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05629.2016.1168738" TargetMode="External"/><Relationship Id="rId13" Type="http://schemas.openxmlformats.org/officeDocument/2006/relationships/hyperlink" Target="https://doi.org/10.1016/j.edurev.2023.100548" TargetMode="External"/><Relationship Id="rId18" Type="http://schemas.openxmlformats.org/officeDocument/2006/relationships/hyperlink" Target="https://doi.org/10.1016/j.lindif.2020.10193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2564-016-9447-4" TargetMode="External"/><Relationship Id="rId7" Type="http://schemas.openxmlformats.org/officeDocument/2006/relationships/endnotes" Target="endnotes.xml"/><Relationship Id="rId12" Type="http://schemas.openxmlformats.org/officeDocument/2006/relationships/hyperlink" Target="https://doi.org/10.1080/03323315.2022.2094107" TargetMode="External"/><Relationship Id="rId17" Type="http://schemas.openxmlformats.org/officeDocument/2006/relationships/hyperlink" Target="https://doi.org/10.1007/s12144-022-02944-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jsp.2007.01.002" TargetMode="External"/><Relationship Id="rId20" Type="http://schemas.openxmlformats.org/officeDocument/2006/relationships/hyperlink" Target="https://doi.org/10.1007/s42844-025-00186-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16.017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2/pits.2014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3389/fpsyg.2015.01781" TargetMode="External"/><Relationship Id="rId19" Type="http://schemas.openxmlformats.org/officeDocument/2006/relationships/hyperlink" Target="https://doi.org/10.1016/j.edurev.2021.100402"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1080/21683603.2021.1904068" TargetMode="External"/><Relationship Id="rId14" Type="http://schemas.openxmlformats.org/officeDocument/2006/relationships/hyperlink" Target="https://doi.org/10.1080/10409289.2018.1429766" TargetMode="External"/><Relationship Id="rId22" Type="http://schemas.openxmlformats.org/officeDocument/2006/relationships/hyperlink" Target="https://doi.org/10.1007/s11092-020-09351-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E2B5D-21CA-4AE0-8B22-E966ACB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6184</TotalTime>
  <Pages>11</Pages>
  <Words>5246</Words>
  <Characters>29908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104</cp:revision>
  <cp:lastPrinted>2025-12-13T07:14:00Z</cp:lastPrinted>
  <dcterms:created xsi:type="dcterms:W3CDTF">2025-09-24T12:44:00Z</dcterms:created>
  <dcterms:modified xsi:type="dcterms:W3CDTF">2026-01-17T11:08:00Z</dcterms:modified>
</cp:coreProperties>
</file>