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23D7F" w14:textId="3626B1A7" w:rsidR="00D51E92" w:rsidRDefault="00DD49DB" w:rsidP="00DD49DB">
      <w:pPr>
        <w:pStyle w:val="Author"/>
        <w:spacing w:line="240" w:lineRule="auto"/>
        <w:jc w:val="center"/>
        <w:rPr>
          <w:rFonts w:ascii="Arial" w:hAnsi="Arial" w:cs="Arial"/>
          <w:sz w:val="36"/>
        </w:rPr>
      </w:pPr>
      <w:r>
        <w:rPr>
          <w:rFonts w:ascii="Arial" w:hAnsi="Arial" w:cs="Arial"/>
          <w:sz w:val="36"/>
        </w:rPr>
        <w:t xml:space="preserve">The Role of Public Relations Strategies </w:t>
      </w:r>
      <w:r w:rsidR="00865E9B">
        <w:rPr>
          <w:rFonts w:ascii="Arial" w:hAnsi="Arial" w:cs="Arial"/>
          <w:sz w:val="36"/>
        </w:rPr>
        <w:t>i</w:t>
      </w:r>
      <w:r>
        <w:rPr>
          <w:rFonts w:ascii="Arial" w:hAnsi="Arial" w:cs="Arial"/>
          <w:sz w:val="36"/>
        </w:rPr>
        <w:t xml:space="preserve">n Assisting Corporate Reputation </w:t>
      </w:r>
      <w:r w:rsidR="00865E9B">
        <w:rPr>
          <w:rFonts w:ascii="Arial" w:hAnsi="Arial" w:cs="Arial"/>
          <w:sz w:val="36"/>
        </w:rPr>
        <w:t>i</w:t>
      </w:r>
      <w:r>
        <w:rPr>
          <w:rFonts w:ascii="Arial" w:hAnsi="Arial" w:cs="Arial"/>
          <w:sz w:val="36"/>
        </w:rPr>
        <w:t>n the Food Business</w:t>
      </w:r>
    </w:p>
    <w:p w14:paraId="43441C91" w14:textId="77777777" w:rsidR="00A57363" w:rsidRDefault="00A57363" w:rsidP="00D51E92">
      <w:pPr>
        <w:jc w:val="center"/>
      </w:pPr>
    </w:p>
    <w:p w14:paraId="3036F503" w14:textId="77777777" w:rsidR="008E0886" w:rsidRDefault="008E0886" w:rsidP="00D51E92">
      <w:pPr>
        <w:jc w:val="center"/>
      </w:pPr>
    </w:p>
    <w:p w14:paraId="1DD39D7C" w14:textId="77777777" w:rsidR="008E0886" w:rsidRDefault="008E0886" w:rsidP="00D51E92">
      <w:pPr>
        <w:jc w:val="center"/>
      </w:pPr>
    </w:p>
    <w:p w14:paraId="163CA3D1" w14:textId="77777777" w:rsidR="008E0886" w:rsidRDefault="008E0886" w:rsidP="008E0886">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F65476B" w14:textId="77777777" w:rsidR="008E0886" w:rsidRPr="00FB3A86"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1E44FE" w14:paraId="4403BB08" w14:textId="77777777" w:rsidTr="007C2364">
        <w:tc>
          <w:tcPr>
            <w:tcW w:w="9576" w:type="dxa"/>
            <w:shd w:val="clear" w:color="auto" w:fill="F2F2F2"/>
          </w:tcPr>
          <w:p w14:paraId="5B719A14" w14:textId="77777777" w:rsidR="008E0886" w:rsidRDefault="008E0886" w:rsidP="007C2364">
            <w:pPr>
              <w:pStyle w:val="BodyText"/>
              <w:spacing w:before="2" w:line="229" w:lineRule="exact"/>
              <w:ind w:left="346"/>
            </w:pPr>
          </w:p>
          <w:p w14:paraId="01379B39" w14:textId="77777777" w:rsidR="00522F6D" w:rsidRDefault="00522F6D" w:rsidP="00522F6D">
            <w:pPr>
              <w:spacing w:before="120" w:after="120"/>
              <w:ind w:firstLine="284"/>
              <w:jc w:val="both"/>
              <w:rPr>
                <w:rFonts w:ascii="Times New Roman" w:hAnsi="Times New Roman"/>
                <w:sz w:val="24"/>
                <w:szCs w:val="24"/>
              </w:rPr>
            </w:pPr>
            <w:bookmarkStart w:id="0" w:name="_Hlk217562405"/>
            <w:r>
              <w:rPr>
                <w:rFonts w:ascii="Times New Roman" w:hAnsi="Times New Roman"/>
                <w:sz w:val="24"/>
                <w:szCs w:val="24"/>
              </w:rPr>
              <w:t>The​‍​‌‍​‍‌ paper delves into the subject of how public relations (PR) strategies might affect the corporate reputation of the Algerian food sector. So far, the expansion of the industry has been accompanied by a heavy dependence on marketing communication by the companies, and there has been a lack of properly structured PR, an absence of crisis management plans, and no system of corporate social responsibility (CSR) initiatives. The author(s) use a convergent mixed-methods approach that integrates six qualitative case studies and elite interviews with a quantitative survey of 241 consumers, with a focus on the age group of 20–39. The qualitative study looks into the management’s viewpoint of PR, CSR, and reputation while the survey tests consumer viewpoints to trust, transparency, and authenticity. What emerges from the findings is a considerable discrepancy between the company's view of itself and that of its customers. The research touches on how the organization managers interpret public relations, corporate social responsibility, and brand image, whereas the consumers’ perspectives are correlated with trust, transparency, and authenticity through survey questions. Crisis communication is barely developed, digital engagement is restricted, and CSR communication is not consistent, according to the consumers. The trust that consumers have is mostly attributable to cleanliness, safety, transparency, and authentic CSR activities, to the neglect of promotional efforts. Firm PR functions, crisis management formalization, active digital media involvement, and the implementation of trustworthy CSR can indeed change how operational activities are seen and translate them into reputation. The paper shows that PR practices lead to trust, loyalty, and create a sustainable competitive advantage within the local Algerian food sector.</w:t>
            </w:r>
          </w:p>
          <w:bookmarkEnd w:id="0"/>
          <w:p w14:paraId="5C0EEF6B" w14:textId="77777777" w:rsidR="008E0886" w:rsidRPr="00BA1B01" w:rsidRDefault="008E0886" w:rsidP="007C2364">
            <w:pPr>
              <w:pStyle w:val="BodyText"/>
              <w:spacing w:before="2" w:line="229" w:lineRule="exact"/>
              <w:ind w:left="346"/>
              <w:jc w:val="both"/>
              <w:rPr>
                <w:rFonts w:ascii="Arial" w:eastAsia="Calibri" w:hAnsi="Arial" w:cs="Arial"/>
                <w:szCs w:val="22"/>
              </w:rPr>
            </w:pPr>
          </w:p>
        </w:tc>
      </w:tr>
    </w:tbl>
    <w:p w14:paraId="1322C283" w14:textId="77777777" w:rsidR="008E0886" w:rsidRDefault="008E0886" w:rsidP="00D51E92">
      <w:pPr>
        <w:jc w:val="center"/>
      </w:pPr>
    </w:p>
    <w:p w14:paraId="6622F1FC" w14:textId="77777777" w:rsidR="008E0886" w:rsidRDefault="008E0886" w:rsidP="00D51E92">
      <w:pPr>
        <w:jc w:val="center"/>
      </w:pPr>
    </w:p>
    <w:p w14:paraId="3FACCB55" w14:textId="4BCF16BC" w:rsidR="00DA5D1C" w:rsidRPr="00C6176D" w:rsidRDefault="008E0886" w:rsidP="00DA5D1C">
      <w:pPr>
        <w:spacing w:before="120" w:after="120"/>
        <w:jc w:val="both"/>
        <w:rPr>
          <w:rFonts w:ascii="Arial" w:hAnsi="Arial" w:cs="Arial"/>
          <w:i/>
        </w:rPr>
      </w:pPr>
      <w:r w:rsidRPr="0069189E">
        <w:rPr>
          <w:rFonts w:ascii="Arial" w:hAnsi="Arial" w:cs="Arial"/>
          <w:b/>
          <w:bCs/>
          <w:i/>
        </w:rPr>
        <w:t>Keywords:</w:t>
      </w:r>
      <w:r>
        <w:rPr>
          <w:rFonts w:ascii="Arial" w:hAnsi="Arial" w:cs="Arial"/>
          <w:i/>
        </w:rPr>
        <w:t xml:space="preserve"> </w:t>
      </w:r>
      <w:r w:rsidR="00C6176D" w:rsidRPr="00C6176D">
        <w:rPr>
          <w:rFonts w:ascii="Arial" w:hAnsi="Arial" w:cs="Arial"/>
          <w:i/>
        </w:rPr>
        <w:t>Public</w:t>
      </w:r>
      <w:r w:rsidR="00C6176D" w:rsidRPr="00C6176D">
        <w:rPr>
          <w:rFonts w:ascii="Arial" w:hAnsi="Arial" w:cs="Arial"/>
          <w:b/>
          <w:bCs/>
          <w:i/>
        </w:rPr>
        <w:t xml:space="preserve"> </w:t>
      </w:r>
      <w:r w:rsidR="00DA5D1C" w:rsidRPr="00C6176D">
        <w:rPr>
          <w:rFonts w:ascii="Arial" w:hAnsi="Arial" w:cs="Arial"/>
          <w:i/>
        </w:rPr>
        <w:t>relations, corporate reputation, food industry, Algeria, CSR, crisis ​‍​‌‍​‍‌communication.</w:t>
      </w:r>
    </w:p>
    <w:p w14:paraId="7F610FA8" w14:textId="6301508C" w:rsidR="008E0886" w:rsidRPr="00A24E7E" w:rsidRDefault="008E0886" w:rsidP="008E0886">
      <w:pPr>
        <w:pStyle w:val="Body"/>
        <w:spacing w:after="0"/>
        <w:rPr>
          <w:rFonts w:ascii="Arial" w:hAnsi="Arial" w:cs="Arial"/>
          <w:i/>
        </w:rPr>
      </w:pPr>
    </w:p>
    <w:p w14:paraId="012035FF" w14:textId="48AD403F" w:rsidR="008E0886" w:rsidRPr="00524058" w:rsidRDefault="008E0886" w:rsidP="00524058">
      <w:pPr>
        <w:pStyle w:val="AbstHead"/>
        <w:spacing w:after="0"/>
        <w:jc w:val="both"/>
        <w:rPr>
          <w:rFonts w:ascii="Arial" w:hAnsi="Arial" w:cs="Arial"/>
          <w:sz w:val="20"/>
        </w:rPr>
      </w:pPr>
      <w:r w:rsidRPr="00524058">
        <w:rPr>
          <w:rFonts w:ascii="Arial" w:hAnsi="Arial" w:cs="Arial"/>
          <w:sz w:val="20"/>
        </w:rPr>
        <w:t xml:space="preserve">1. INTRODUCTION </w:t>
      </w:r>
    </w:p>
    <w:p w14:paraId="2CF9B1C7" w14:textId="77777777" w:rsidR="00524058" w:rsidRPr="00524058" w:rsidRDefault="00524058" w:rsidP="00524058">
      <w:pPr>
        <w:spacing w:before="240" w:after="240"/>
        <w:jc w:val="both"/>
        <w:rPr>
          <w:rFonts w:ascii="Arial" w:hAnsi="Arial" w:cs="Arial"/>
        </w:rPr>
      </w:pPr>
      <w:r w:rsidRPr="00524058">
        <w:rPr>
          <w:rFonts w:ascii="Arial" w:hAnsi="Arial" w:cs="Arial"/>
        </w:rPr>
        <w:t xml:space="preserve">As the food industry grows, so do the potential for reputational hazards to occur due to consumers’ purchase decisions being made based upon the company's perceived safety and quality and corporate responsibility/ethics (Aaker, 1996; </w:t>
      </w:r>
      <w:proofErr w:type="spellStart"/>
      <w:r w:rsidRPr="00524058">
        <w:rPr>
          <w:rFonts w:ascii="Arial" w:hAnsi="Arial" w:cs="Arial"/>
        </w:rPr>
        <w:t>Argenti</w:t>
      </w:r>
      <w:proofErr w:type="spellEnd"/>
      <w:r w:rsidRPr="00524058">
        <w:rPr>
          <w:rFonts w:ascii="Arial" w:hAnsi="Arial" w:cs="Arial"/>
        </w:rPr>
        <w:t xml:space="preserve">, 2016; Balmer &amp; </w:t>
      </w:r>
      <w:proofErr w:type="spellStart"/>
      <w:r w:rsidRPr="00524058">
        <w:rPr>
          <w:rFonts w:ascii="Arial" w:hAnsi="Arial" w:cs="Arial"/>
        </w:rPr>
        <w:t>Greyser</w:t>
      </w:r>
      <w:proofErr w:type="spellEnd"/>
      <w:r w:rsidRPr="00524058">
        <w:rPr>
          <w:rFonts w:ascii="Arial" w:hAnsi="Arial" w:cs="Arial"/>
        </w:rPr>
        <w:t xml:space="preserve">, 2003; Dowling, 2001; </w:t>
      </w:r>
      <w:proofErr w:type="spellStart"/>
      <w:r w:rsidRPr="00524058">
        <w:rPr>
          <w:rFonts w:ascii="Arial" w:hAnsi="Arial" w:cs="Arial"/>
        </w:rPr>
        <w:t>Fombrun</w:t>
      </w:r>
      <w:proofErr w:type="spellEnd"/>
      <w:r w:rsidRPr="00524058">
        <w:rPr>
          <w:rFonts w:ascii="Arial" w:hAnsi="Arial" w:cs="Arial"/>
        </w:rPr>
        <w:t xml:space="preserve">, 1996). Brand reputation is a strategic asset that has a large impact on a consumer's level of trust in the brand, loyalty to the brand, and thus, overall competitive position in the marketplace (Coombs, 2007; Aula, 2010; Erkan &amp; Evans, 2016). For existing businesses and newly established brands, brand reputation can even be the deciding factor regarding both the short-term and long-term success of that business. Consequently, public relations (PR) has developed from a mainly promotional function to a tool of strategic management with crisis communication, corporate social responsibility (CSR), and digital engagement as its components, thus helping to maintain stakeholder trust and organizational credibility (Coombs, 2015; Veil, </w:t>
      </w:r>
      <w:proofErr w:type="spellStart"/>
      <w:r w:rsidRPr="00524058">
        <w:rPr>
          <w:rFonts w:ascii="Arial" w:hAnsi="Arial" w:cs="Arial"/>
        </w:rPr>
        <w:t>Buehner</w:t>
      </w:r>
      <w:proofErr w:type="spellEnd"/>
      <w:r w:rsidRPr="00524058">
        <w:rPr>
          <w:rFonts w:ascii="Arial" w:hAnsi="Arial" w:cs="Arial"/>
        </w:rPr>
        <w:t xml:space="preserve">, &amp; </w:t>
      </w:r>
      <w:proofErr w:type="spellStart"/>
      <w:r w:rsidRPr="00524058">
        <w:rPr>
          <w:rFonts w:ascii="Arial" w:hAnsi="Arial" w:cs="Arial"/>
        </w:rPr>
        <w:t>Palenchar</w:t>
      </w:r>
      <w:proofErr w:type="spellEnd"/>
      <w:r w:rsidRPr="00524058">
        <w:rPr>
          <w:rFonts w:ascii="Arial" w:hAnsi="Arial" w:cs="Arial"/>
        </w:rPr>
        <w:t>, 2011).</w:t>
      </w:r>
    </w:p>
    <w:p w14:paraId="0225F7DD" w14:textId="77777777" w:rsidR="00524058" w:rsidRDefault="00524058" w:rsidP="00524058">
      <w:pPr>
        <w:spacing w:before="240" w:after="240"/>
        <w:jc w:val="both"/>
        <w:rPr>
          <w:rFonts w:ascii="Arial" w:hAnsi="Arial" w:cs="Arial"/>
        </w:rPr>
      </w:pPr>
      <w:r w:rsidRPr="00524058">
        <w:rPr>
          <w:rFonts w:ascii="Arial" w:hAnsi="Arial" w:cs="Arial"/>
        </w:rPr>
        <w:t xml:space="preserve">In Algeria, even though the food sector has experienced notable growth, most of the companies still heavily depend on marketing communications without having well-structured PR strategies (Delmas &amp; </w:t>
      </w:r>
      <w:proofErr w:type="spellStart"/>
      <w:r w:rsidRPr="00524058">
        <w:rPr>
          <w:rFonts w:ascii="Arial" w:hAnsi="Arial" w:cs="Arial"/>
        </w:rPr>
        <w:t>Burbano</w:t>
      </w:r>
      <w:proofErr w:type="spellEnd"/>
      <w:r w:rsidRPr="00524058">
        <w:rPr>
          <w:rFonts w:ascii="Arial" w:hAnsi="Arial" w:cs="Arial"/>
        </w:rPr>
        <w:t xml:space="preserve">, 2011; Carroll &amp; Brown, 2018; Ali, Lynch, Melewar, &amp; </w:t>
      </w:r>
      <w:proofErr w:type="spellStart"/>
      <w:r w:rsidRPr="00524058">
        <w:rPr>
          <w:rFonts w:ascii="Arial" w:hAnsi="Arial" w:cs="Arial"/>
        </w:rPr>
        <w:t>Jin</w:t>
      </w:r>
      <w:proofErr w:type="spellEnd"/>
      <w:r w:rsidRPr="00524058">
        <w:rPr>
          <w:rFonts w:ascii="Arial" w:hAnsi="Arial" w:cs="Arial"/>
        </w:rPr>
        <w:t xml:space="preserve">, 2019). The field demonstrates a lack of systematic engagement with stakeholders, no proper crisis management, and weak CSR </w:t>
      </w:r>
      <w:r w:rsidRPr="00524058">
        <w:rPr>
          <w:rFonts w:ascii="Arial" w:hAnsi="Arial" w:cs="Arial"/>
        </w:rPr>
        <w:lastRenderedPageBreak/>
        <w:t xml:space="preserve">communication (Carroll, 1999; Ali, Lynch, Melewar, &amp; </w:t>
      </w:r>
      <w:proofErr w:type="spellStart"/>
      <w:r w:rsidRPr="00524058">
        <w:rPr>
          <w:rFonts w:ascii="Arial" w:hAnsi="Arial" w:cs="Arial"/>
        </w:rPr>
        <w:t>Jin</w:t>
      </w:r>
      <w:proofErr w:type="spellEnd"/>
      <w:r w:rsidRPr="00524058">
        <w:rPr>
          <w:rFonts w:ascii="Arial" w:hAnsi="Arial" w:cs="Arial"/>
        </w:rPr>
        <w:t xml:space="preserve">, 2019). At the same time, digital media has grown to be the most important means of communication with consumers, especially the younger ones, but many companies have not yet taken the initiative in their digital PR efforts (Kaplan &amp; </w:t>
      </w:r>
      <w:proofErr w:type="spellStart"/>
      <w:r w:rsidRPr="00524058">
        <w:rPr>
          <w:rFonts w:ascii="Arial" w:hAnsi="Arial" w:cs="Arial"/>
        </w:rPr>
        <w:t>Haenlein</w:t>
      </w:r>
      <w:proofErr w:type="spellEnd"/>
      <w:r w:rsidRPr="00524058">
        <w:rPr>
          <w:rFonts w:ascii="Arial" w:hAnsi="Arial" w:cs="Arial"/>
        </w:rPr>
        <w:t xml:space="preserve">, 2010; Chen, Wang, &amp; </w:t>
      </w:r>
      <w:proofErr w:type="spellStart"/>
      <w:r w:rsidRPr="00524058">
        <w:rPr>
          <w:rFonts w:ascii="Arial" w:hAnsi="Arial" w:cs="Arial"/>
        </w:rPr>
        <w:t>Xie</w:t>
      </w:r>
      <w:proofErr w:type="spellEnd"/>
      <w:r w:rsidRPr="00524058">
        <w:rPr>
          <w:rFonts w:ascii="Arial" w:hAnsi="Arial" w:cs="Arial"/>
        </w:rPr>
        <w:t xml:space="preserve">, 2011). The purpose of this research is to explore the effect of PR strategies on a corporate's reputation in the food industry of Algeria using a combination of case study research, elite interview research, and consumer survey research methods for obtaining evidence-based information (Yin, 2018; Creswell &amp; Plano Clark, 2018; </w:t>
      </w:r>
      <w:proofErr w:type="spellStart"/>
      <w:r w:rsidRPr="00524058">
        <w:rPr>
          <w:rFonts w:ascii="Arial" w:hAnsi="Arial" w:cs="Arial"/>
        </w:rPr>
        <w:t>Tashakkori</w:t>
      </w:r>
      <w:proofErr w:type="spellEnd"/>
      <w:r w:rsidRPr="00524058">
        <w:rPr>
          <w:rFonts w:ascii="Arial" w:hAnsi="Arial" w:cs="Arial"/>
        </w:rPr>
        <w:t xml:space="preserve"> &amp; Teddlie, 2010).</w:t>
      </w:r>
    </w:p>
    <w:p w14:paraId="66E2554E" w14:textId="77777777" w:rsidR="00726BB2" w:rsidRDefault="00726BB2" w:rsidP="00726BB2">
      <w:pPr>
        <w:spacing w:before="120" w:after="120"/>
        <w:jc w:val="both"/>
        <w:rPr>
          <w:rFonts w:ascii="Times New Roman" w:hAnsi="Times New Roman"/>
          <w:sz w:val="24"/>
          <w:szCs w:val="24"/>
          <w:highlight w:val="yellow"/>
        </w:rPr>
      </w:pPr>
      <w:r>
        <w:rPr>
          <w:rFonts w:ascii="Times New Roman" w:hAnsi="Times New Roman"/>
          <w:sz w:val="24"/>
          <w:szCs w:val="24"/>
          <w:highlight w:val="yellow"/>
        </w:rPr>
        <w:t>The main issue explored in this research is how the operational performance of Algerian food companies is at odds with their reputational capital. Most of the time, these companies, even when they are totally focused on their production quality, don't take having a PR department or a crisis communication plan seriously, nor a real CSR strategy.</w:t>
      </w:r>
    </w:p>
    <w:p w14:paraId="13EF7AEA" w14:textId="77A81ED6" w:rsidR="00726BB2" w:rsidRDefault="00726BB2" w:rsidP="00726BB2">
      <w:pPr>
        <w:spacing w:before="120" w:after="120"/>
        <w:jc w:val="both"/>
        <w:rPr>
          <w:rFonts w:ascii="Times New Roman" w:hAnsi="Times New Roman"/>
          <w:sz w:val="24"/>
          <w:szCs w:val="24"/>
          <w:highlight w:val="yellow"/>
        </w:rPr>
      </w:pPr>
      <w:r>
        <w:rPr>
          <w:rFonts w:ascii="Times New Roman" w:hAnsi="Times New Roman"/>
          <w:sz w:val="24"/>
          <w:szCs w:val="24"/>
          <w:highlight w:val="yellow"/>
        </w:rPr>
        <w:t>In a developing country like Algeria, if a company does not have proactive PR, it will be very hard for it to survive any damage to its reputation. If a crisis arises, for example, in the case of the safety of the food or if there is a failure in the service, then generally the consumers will no longer have trust in the brand, thus a fast exit from these consumers will be witnessed. From the studies that have already been conducted, it is apparent that most of the focus is on Western countries when it comes to reputation management; they are not taking into consideration the different cultures and institutions that are in North Africa. This necessitates not only a further study of the matter but also an investigation into how the PR strategies of companies that are well-organized and have a strong CSR and digital engagement can be brought to the forefront in order to match customer expectations with what management offers by these firms in the Algerian food sector.</w:t>
      </w:r>
    </w:p>
    <w:p w14:paraId="654B13DC" w14:textId="77777777" w:rsidR="00726BB2" w:rsidRDefault="00726BB2" w:rsidP="00726BB2">
      <w:pPr>
        <w:spacing w:before="120" w:after="120"/>
        <w:jc w:val="both"/>
        <w:rPr>
          <w:rFonts w:ascii="Times New Roman" w:hAnsi="Times New Roman"/>
          <w:sz w:val="24"/>
          <w:szCs w:val="24"/>
          <w:highlight w:val="yellow"/>
        </w:rPr>
      </w:pPr>
      <w:r>
        <w:rPr>
          <w:rFonts w:ascii="Times New Roman" w:hAnsi="Times New Roman"/>
          <w:sz w:val="24"/>
          <w:szCs w:val="24"/>
          <w:highlight w:val="yellow"/>
        </w:rPr>
        <w:t>1.4 Research Objectives</w:t>
      </w:r>
    </w:p>
    <w:p w14:paraId="0C45C940" w14:textId="43057D12" w:rsidR="00726BB2" w:rsidRDefault="00726BB2" w:rsidP="00726BB2">
      <w:pPr>
        <w:spacing w:before="120" w:after="120"/>
        <w:jc w:val="both"/>
        <w:rPr>
          <w:rFonts w:ascii="Times New Roman" w:hAnsi="Times New Roman"/>
          <w:sz w:val="24"/>
          <w:szCs w:val="24"/>
          <w:highlight w:val="yellow"/>
        </w:rPr>
      </w:pPr>
      <w:r>
        <w:rPr>
          <w:rFonts w:ascii="Times New Roman" w:hAnsi="Times New Roman"/>
          <w:sz w:val="24"/>
          <w:szCs w:val="24"/>
          <w:highlight w:val="yellow"/>
        </w:rPr>
        <w:t xml:space="preserve">To respond to this issue, the research has set these goals </w:t>
      </w:r>
      <w:r w:rsidR="004E0BE9">
        <w:rPr>
          <w:rFonts w:ascii="Times New Roman" w:hAnsi="Times New Roman"/>
          <w:sz w:val="24"/>
          <w:szCs w:val="24"/>
          <w:highlight w:val="yellow"/>
        </w:rPr>
        <w:t>in</w:t>
      </w:r>
      <w:r>
        <w:rPr>
          <w:rFonts w:ascii="Times New Roman" w:hAnsi="Times New Roman"/>
          <w:sz w:val="24"/>
          <w:szCs w:val="24"/>
          <w:highlight w:val="yellow"/>
        </w:rPr>
        <w:t xml:space="preserve"> its scope:</w:t>
      </w:r>
    </w:p>
    <w:p w14:paraId="6C46460F" w14:textId="77777777" w:rsidR="00726BB2" w:rsidRDefault="00726BB2" w:rsidP="00726BB2">
      <w:pPr>
        <w:numPr>
          <w:ilvl w:val="0"/>
          <w:numId w:val="2"/>
        </w:numPr>
        <w:spacing w:before="120"/>
        <w:jc w:val="both"/>
        <w:rPr>
          <w:rFonts w:ascii="Times New Roman" w:hAnsi="Times New Roman"/>
          <w:sz w:val="24"/>
          <w:szCs w:val="24"/>
          <w:highlight w:val="yellow"/>
        </w:rPr>
      </w:pPr>
      <w:r>
        <w:rPr>
          <w:rFonts w:ascii="Times New Roman" w:hAnsi="Times New Roman"/>
          <w:sz w:val="24"/>
          <w:szCs w:val="24"/>
          <w:highlight w:val="yellow"/>
        </w:rPr>
        <w:t>To measure the level of maturity of PR practices in the food industry of Algeria and to what extent they are developed.</w:t>
      </w:r>
    </w:p>
    <w:p w14:paraId="5EFA94EC" w14:textId="0020BE48" w:rsidR="00726BB2" w:rsidRDefault="00726BB2" w:rsidP="00726BB2">
      <w:pPr>
        <w:numPr>
          <w:ilvl w:val="0"/>
          <w:numId w:val="2"/>
        </w:numPr>
        <w:jc w:val="both"/>
        <w:rPr>
          <w:rFonts w:ascii="Times New Roman" w:hAnsi="Times New Roman"/>
          <w:sz w:val="24"/>
          <w:szCs w:val="24"/>
          <w:highlight w:val="yellow"/>
        </w:rPr>
      </w:pPr>
      <w:r>
        <w:rPr>
          <w:rFonts w:ascii="Times New Roman" w:hAnsi="Times New Roman"/>
          <w:sz w:val="24"/>
          <w:szCs w:val="24"/>
          <w:highlight w:val="yellow"/>
        </w:rPr>
        <w:t>To determine how CSR communication and digital engagement have influenced consumer trust and the company reputation</w:t>
      </w:r>
      <w:r w:rsidR="00C17C5C">
        <w:rPr>
          <w:rFonts w:ascii="Times New Roman" w:hAnsi="Times New Roman"/>
          <w:sz w:val="24"/>
          <w:szCs w:val="24"/>
          <w:highlight w:val="yellow"/>
        </w:rPr>
        <w:t>.</w:t>
      </w:r>
    </w:p>
    <w:p w14:paraId="4E301C17" w14:textId="77777777" w:rsidR="00726BB2" w:rsidRDefault="00726BB2" w:rsidP="00726BB2">
      <w:pPr>
        <w:numPr>
          <w:ilvl w:val="0"/>
          <w:numId w:val="2"/>
        </w:numPr>
        <w:jc w:val="both"/>
        <w:rPr>
          <w:rFonts w:ascii="Times New Roman" w:hAnsi="Times New Roman"/>
          <w:sz w:val="24"/>
          <w:szCs w:val="24"/>
          <w:highlight w:val="yellow"/>
        </w:rPr>
      </w:pPr>
      <w:r>
        <w:rPr>
          <w:rFonts w:ascii="Times New Roman" w:hAnsi="Times New Roman"/>
          <w:sz w:val="24"/>
          <w:szCs w:val="24"/>
          <w:highlight w:val="yellow"/>
        </w:rPr>
        <w:t>To evaluate the current crisis communication strategies based on the Situational Crisis Communication Theory (SCCT) framework (Coombs, 2007).</w:t>
      </w:r>
    </w:p>
    <w:p w14:paraId="26B28FF3" w14:textId="77777777" w:rsidR="00726BB2" w:rsidRDefault="00726BB2" w:rsidP="00726BB2">
      <w:pPr>
        <w:numPr>
          <w:ilvl w:val="0"/>
          <w:numId w:val="2"/>
        </w:numPr>
        <w:spacing w:after="120"/>
        <w:jc w:val="both"/>
        <w:rPr>
          <w:rFonts w:ascii="Times New Roman" w:hAnsi="Times New Roman"/>
          <w:sz w:val="24"/>
          <w:szCs w:val="24"/>
          <w:highlight w:val="yellow"/>
        </w:rPr>
      </w:pPr>
      <w:r>
        <w:rPr>
          <w:rFonts w:ascii="Times New Roman" w:hAnsi="Times New Roman"/>
          <w:sz w:val="24"/>
          <w:szCs w:val="24"/>
          <w:highlight w:val="yellow"/>
        </w:rPr>
        <w:t>To find out the perceptual differences between the managers' views regarding how their PR efforts are working and the consumers' view of the brand's integrity.</w:t>
      </w:r>
    </w:p>
    <w:p w14:paraId="48BF1DAD" w14:textId="77777777" w:rsidR="00726BB2" w:rsidRPr="00524058" w:rsidRDefault="00726BB2" w:rsidP="00524058">
      <w:pPr>
        <w:spacing w:before="240" w:after="240"/>
        <w:jc w:val="both"/>
        <w:rPr>
          <w:rFonts w:ascii="Arial" w:hAnsi="Arial" w:cs="Arial"/>
        </w:rPr>
      </w:pPr>
    </w:p>
    <w:p w14:paraId="05A2813A" w14:textId="28D969E5" w:rsidR="00524058" w:rsidRPr="00524058" w:rsidRDefault="00524058" w:rsidP="00524058">
      <w:pPr>
        <w:jc w:val="both"/>
        <w:rPr>
          <w:rFonts w:ascii="Arial" w:hAnsi="Arial" w:cs="Arial"/>
          <w:b/>
          <w:bCs/>
        </w:rPr>
      </w:pPr>
      <w:r w:rsidRPr="00524058">
        <w:rPr>
          <w:rFonts w:ascii="Arial" w:hAnsi="Arial" w:cs="Arial"/>
          <w:b/>
          <w:bCs/>
        </w:rPr>
        <w:t xml:space="preserve"> 2. LITERATURE REVIEW</w:t>
      </w:r>
    </w:p>
    <w:p w14:paraId="46443A6E" w14:textId="77777777" w:rsidR="00524058" w:rsidRPr="00524058" w:rsidRDefault="00524058" w:rsidP="00524058">
      <w:pPr>
        <w:spacing w:before="120" w:after="120"/>
        <w:ind w:firstLine="283"/>
        <w:jc w:val="both"/>
        <w:rPr>
          <w:rFonts w:ascii="Arial" w:hAnsi="Arial" w:cs="Arial"/>
        </w:rPr>
      </w:pPr>
      <w:r w:rsidRPr="00524058">
        <w:rPr>
          <w:rFonts w:ascii="Arial" w:hAnsi="Arial" w:cs="Arial"/>
        </w:rPr>
        <w:t>Public relations in modern-day organizations mainly serves as a strategic management process and not simply as a publicity or advertising tool. In this case, PR is an indispensable aspect of the food industry for not only communication but also for corporate behavior that is in line with societal expectations. Reputation here mainly consists of functional aspects, e.g., product quality, safety, and transparency of operations, and emotional ones, e.g., trust, perceived integrity, and ethical conduct (Smith &amp; Taylor, 2018; Johnson, 2019). The above-stated dimensions are mutually dependent since the lack of operational quality or safety will result in discrediting even the best CSR efforts.</w:t>
      </w:r>
    </w:p>
    <w:p w14:paraId="42826CD0" w14:textId="77777777" w:rsidR="00524058" w:rsidRPr="00524058" w:rsidRDefault="00524058" w:rsidP="00524058">
      <w:pPr>
        <w:spacing w:before="120" w:after="120"/>
        <w:ind w:firstLine="283"/>
        <w:jc w:val="both"/>
        <w:rPr>
          <w:rFonts w:ascii="Arial" w:hAnsi="Arial" w:cs="Arial"/>
        </w:rPr>
      </w:pPr>
      <w:r w:rsidRPr="00524058">
        <w:rPr>
          <w:rFonts w:ascii="Arial" w:hAnsi="Arial" w:cs="Arial"/>
        </w:rPr>
        <w:t xml:space="preserve">Good PR has a mix of proactive and reactive approaches. Proactive PR builds on relationship maintenance and the company's good public image through transparency, the assurance of product quality, and the implementation of CSR initiatives like community engagement or education campaigns (Brown, 2017). In the food sector, this could imply disclosing nutritional value, environmentally friendly sourcing, and cleanliness standards and thereby gaining, on the one hand, the consumer's trust and, on the other hand, cutting down on potential reputational fallout from crises. Reactive PR is mainly concerned with dealing with the unexpected crises that could take the shape of contamination, operational mishaps, or ethical wrongs. The aim is to limit the company's reputational losses through </w:t>
      </w:r>
      <w:r w:rsidRPr="00524058">
        <w:rPr>
          <w:rFonts w:ascii="Arial" w:hAnsi="Arial" w:cs="Arial"/>
        </w:rPr>
        <w:lastRenderedPageBreak/>
        <w:t>acknowledgment of faults, taking corrective measures, and issuing timely public statements (Coombs, 2015; Lee &amp; Chen, 2016). Studies back the notion that a blend of proactive and reactive approaches leads to a very strong reputation, particularly in industries that have a direct impact on consumers' health.</w:t>
      </w:r>
    </w:p>
    <w:p w14:paraId="20953078" w14:textId="77777777" w:rsidR="00524058" w:rsidRPr="00524058" w:rsidRDefault="00524058" w:rsidP="00524058">
      <w:pPr>
        <w:spacing w:before="120" w:after="120"/>
        <w:ind w:firstLine="283"/>
        <w:jc w:val="both"/>
        <w:rPr>
          <w:rFonts w:ascii="Arial" w:hAnsi="Arial" w:cs="Arial"/>
        </w:rPr>
      </w:pPr>
      <w:r w:rsidRPr="00524058">
        <w:rPr>
          <w:rFonts w:ascii="Arial" w:hAnsi="Arial" w:cs="Arial"/>
        </w:rPr>
        <w:t>The emergence of digital and social media has made PR even more influential in reputation building. As consumers are more involved in opinion sharing and experiences online, we are witnessing changes in the way reputations are formed with peer evaluations, reviews, and electronic word-of-mouth (</w:t>
      </w:r>
      <w:proofErr w:type="spellStart"/>
      <w:r w:rsidRPr="00524058">
        <w:rPr>
          <w:rFonts w:ascii="Arial" w:hAnsi="Arial" w:cs="Arial"/>
        </w:rPr>
        <w:t>eWOM</w:t>
      </w:r>
      <w:proofErr w:type="spellEnd"/>
      <w:r w:rsidRPr="00524058">
        <w:rPr>
          <w:rFonts w:ascii="Arial" w:hAnsi="Arial" w:cs="Arial"/>
        </w:rPr>
        <w:t xml:space="preserve">), which are gaining more weight than ever (Kaplan &amp; </w:t>
      </w:r>
      <w:proofErr w:type="spellStart"/>
      <w:r w:rsidRPr="00524058">
        <w:rPr>
          <w:rFonts w:ascii="Arial" w:hAnsi="Arial" w:cs="Arial"/>
        </w:rPr>
        <w:t>Haenlein</w:t>
      </w:r>
      <w:proofErr w:type="spellEnd"/>
      <w:r w:rsidRPr="00524058">
        <w:rPr>
          <w:rFonts w:ascii="Arial" w:hAnsi="Arial" w:cs="Arial"/>
        </w:rPr>
        <w:t>, 2010). The Algerian younger demographic is very much involved in their Facebook, Instagram, and other social media accounts, thus making online presence a necessity for modern-day PR activities. Those companies that do not keep a watchful eye on these platforms are very likely to see the swift spread of bad word-of-mouth that is capable of having a negative impact on customers' loyalty and brand equity, even after a long time has passed.</w:t>
      </w:r>
    </w:p>
    <w:p w14:paraId="16713B52" w14:textId="77777777" w:rsidR="00524058" w:rsidRPr="00524058" w:rsidRDefault="00524058" w:rsidP="00524058">
      <w:pPr>
        <w:spacing w:before="120" w:after="120"/>
        <w:ind w:firstLine="283"/>
        <w:jc w:val="both"/>
        <w:rPr>
          <w:rFonts w:ascii="Arial" w:hAnsi="Arial" w:cs="Arial"/>
        </w:rPr>
      </w:pPr>
      <w:r w:rsidRPr="00524058">
        <w:rPr>
          <w:rFonts w:ascii="Arial" w:hAnsi="Arial" w:cs="Arial"/>
        </w:rPr>
        <w:t>Theoretical perspectives that serve as a basis for PR practices in reputation management include Excellence Theory which focuses on two-way symmetrical communication to foster trust; Stakeholder Theory, which mainly deals with the synchronization of corporate practices with societal expectations; and Situational Crisis Communication Theory (SCCT), which gives the clues about how the responses should be adapted based on blame, and the kind of crisis (</w:t>
      </w:r>
      <w:proofErr w:type="spellStart"/>
      <w:r w:rsidRPr="00524058">
        <w:rPr>
          <w:rFonts w:ascii="Arial" w:hAnsi="Arial" w:cs="Arial"/>
        </w:rPr>
        <w:t>Grunig</w:t>
      </w:r>
      <w:proofErr w:type="spellEnd"/>
      <w:r w:rsidRPr="00524058">
        <w:rPr>
          <w:rFonts w:ascii="Arial" w:hAnsi="Arial" w:cs="Arial"/>
        </w:rPr>
        <w:t xml:space="preserve"> &amp; Hunt, 1984; Freeman, 1984; Coombs, 2007). These frameworks, when combined, </w:t>
      </w:r>
      <w:proofErr w:type="spellStart"/>
      <w:r w:rsidRPr="00524058">
        <w:rPr>
          <w:rFonts w:ascii="Arial" w:hAnsi="Arial" w:cs="Arial"/>
        </w:rPr>
        <w:t>give</w:t>
      </w:r>
      <w:proofErr w:type="spellEnd"/>
      <w:r w:rsidRPr="00524058">
        <w:rPr>
          <w:rFonts w:ascii="Arial" w:hAnsi="Arial" w:cs="Arial"/>
        </w:rPr>
        <w:t xml:space="preserve"> the green light to the design of the PR interventions that are ethical, transparent, and quick to respond to the needs of society, thereby becoming the source of credibility and legitimacy and at the same time keeping the potential to cause reputational damage to a minimum.</w:t>
      </w:r>
    </w:p>
    <w:p w14:paraId="10FD7675" w14:textId="77777777" w:rsidR="00524058" w:rsidRDefault="00524058" w:rsidP="00524058">
      <w:pPr>
        <w:spacing w:before="120" w:after="120"/>
        <w:ind w:firstLine="283"/>
        <w:jc w:val="both"/>
        <w:rPr>
          <w:rFonts w:ascii="Arial" w:hAnsi="Arial" w:cs="Arial"/>
        </w:rPr>
      </w:pPr>
      <w:r w:rsidRPr="00524058">
        <w:rPr>
          <w:rFonts w:ascii="Arial" w:hAnsi="Arial" w:cs="Arial"/>
        </w:rPr>
        <w:t>According to the literature, PR in Algeria has not been fully exploited, while at the same time, consumers are becoming more and more demanding of transparency and ethical corporate behavior. Hence, companies concentrate more on marketing campaigns and product promotion at the expense of trust-building and crisis management. CSR is practiced irregularly, with more and more organizations engaging in symbolic rather than real CSR. This encirclement between the organizations' pledge and consumers' demand points to the necessity of having PR strategies that would unite such different parts as proactive communication, crisis management, and trustworthy CSR, which would then lead to the alignment of the organizations' operations with the stakeholders' ​‍​‌‍​‍‌needs.</w:t>
      </w:r>
    </w:p>
    <w:p w14:paraId="649444DC" w14:textId="77777777" w:rsidR="007C6E43" w:rsidRPr="00524058" w:rsidRDefault="007C6E43" w:rsidP="00524058">
      <w:pPr>
        <w:spacing w:before="120" w:after="120"/>
        <w:ind w:firstLine="283"/>
        <w:jc w:val="both"/>
        <w:rPr>
          <w:rFonts w:ascii="Arial" w:hAnsi="Arial" w:cs="Arial"/>
        </w:rPr>
      </w:pPr>
    </w:p>
    <w:p w14:paraId="66B62CC9" w14:textId="77777777" w:rsidR="00524058" w:rsidRPr="00524058" w:rsidRDefault="00524058" w:rsidP="00524058">
      <w:pPr>
        <w:jc w:val="both"/>
        <w:rPr>
          <w:rFonts w:ascii="Arial" w:hAnsi="Arial" w:cs="Arial"/>
          <w:b/>
          <w:bCs/>
        </w:rPr>
      </w:pPr>
      <w:r w:rsidRPr="00524058">
        <w:rPr>
          <w:rFonts w:ascii="Arial" w:hAnsi="Arial" w:cs="Arial"/>
          <w:b/>
          <w:bCs/>
        </w:rPr>
        <w:t>3. METHODOLOGY</w:t>
      </w:r>
    </w:p>
    <w:p w14:paraId="75E10364" w14:textId="77777777" w:rsidR="00524058" w:rsidRPr="00524058" w:rsidRDefault="00524058" w:rsidP="00524058">
      <w:pPr>
        <w:spacing w:before="240" w:after="240"/>
        <w:jc w:val="both"/>
        <w:rPr>
          <w:rFonts w:ascii="Arial" w:hAnsi="Arial" w:cs="Arial"/>
        </w:rPr>
      </w:pPr>
      <w:r w:rsidRPr="00524058">
        <w:rPr>
          <w:rFonts w:ascii="Arial" w:hAnsi="Arial" w:cs="Arial"/>
        </w:rPr>
        <w:t xml:space="preserve">The research was a convergent mixed-methods design that combined qualitative case studies and elite interviews with a quantitative consumer survey (Creswell, 2014; Creswell &amp; Plano Clark, 2018; </w:t>
      </w:r>
      <w:proofErr w:type="spellStart"/>
      <w:r w:rsidRPr="00524058">
        <w:rPr>
          <w:rFonts w:ascii="Arial" w:hAnsi="Arial" w:cs="Arial"/>
        </w:rPr>
        <w:t>Tashakkori</w:t>
      </w:r>
      <w:proofErr w:type="spellEnd"/>
      <w:r w:rsidRPr="00524058">
        <w:rPr>
          <w:rFonts w:ascii="Arial" w:hAnsi="Arial" w:cs="Arial"/>
        </w:rPr>
        <w:t xml:space="preserve"> &amp; Teddlie, 2010). Triangulation of data from various sources, such as managerial perspectives and consumer insights, thus, ensures the research’s robustness and validity (Yin, 2018; Morgan, 2014). The study has been carried out on a pragmatist paradigm, which focuses on practical implications without sacrificing methodological rigor (Morgan, 2014).</w:t>
      </w:r>
    </w:p>
    <w:p w14:paraId="544C1481" w14:textId="77777777" w:rsidR="00524058" w:rsidRPr="00524058" w:rsidRDefault="00524058" w:rsidP="00524058">
      <w:pPr>
        <w:spacing w:before="240" w:after="240"/>
        <w:jc w:val="both"/>
        <w:rPr>
          <w:rFonts w:ascii="Arial" w:hAnsi="Arial" w:cs="Arial"/>
        </w:rPr>
      </w:pPr>
      <w:r w:rsidRPr="00524058">
        <w:rPr>
          <w:rFonts w:ascii="Arial" w:hAnsi="Arial" w:cs="Arial"/>
        </w:rPr>
        <w:t xml:space="preserve">Qualitative side: Case studies, based on six companies' food sector of Algeria that represent different sub-sectors, were conducted (Yin, 2018). The selected </w:t>
      </w:r>
      <w:proofErr w:type="spellStart"/>
      <w:r w:rsidRPr="00524058">
        <w:rPr>
          <w:rFonts w:ascii="Arial" w:hAnsi="Arial" w:cs="Arial"/>
        </w:rPr>
        <w:t>organisations</w:t>
      </w:r>
      <w:proofErr w:type="spellEnd"/>
      <w:r w:rsidRPr="00524058">
        <w:rPr>
          <w:rFonts w:ascii="Arial" w:hAnsi="Arial" w:cs="Arial"/>
        </w:rPr>
        <w:t xml:space="preserve"> were: a traditional product-based manufacturer, a confectionery, a meat-processing company, a medium-sized chocolate factory, a restaurant that serves multi-cuisine, and a certification body. Professionals in elite positions like communication managers, company executives, and industry regulators have been interviewed to get the leadership viewpoints on PR, CSR, and reputation management (Saunders, Lewis, &amp; Thornhill, 2019; Bryman, 2016). The interviews were semi-structured because this gave the interviewer the ability to have some freedom and, at the same time, make sure to cover the main issues (Bryman, 2016; Saunders, Lewis, &amp; Thornhill, 2019). The data were recorded, thematically coded, and analyzed to bring out the patterns, missing elements, and best practices in PR strategy implementation (Braun &amp; Clarke, 2006; British Psychological Society, 2021).</w:t>
      </w:r>
    </w:p>
    <w:p w14:paraId="05BB7867" w14:textId="77777777" w:rsidR="00524058" w:rsidRPr="00524058" w:rsidRDefault="00524058" w:rsidP="00524058">
      <w:pPr>
        <w:spacing w:before="240" w:after="240"/>
        <w:jc w:val="both"/>
        <w:rPr>
          <w:rFonts w:ascii="Arial" w:hAnsi="Arial" w:cs="Arial"/>
        </w:rPr>
      </w:pPr>
      <w:r w:rsidRPr="00524058">
        <w:rPr>
          <w:rFonts w:ascii="Arial" w:hAnsi="Arial" w:cs="Arial"/>
        </w:rPr>
        <w:t>Quantitative component: The consumer survey was designed to measure a range of issues, including corporate reputation, trust, and CSR effectiveness (Creswell &amp; Plano Clark, 2018; Saunders, Lewis, &amp; Thornhill, 2019). The survey included 241 people. The respondents were chosen using a non-probabilistic method based on convenience. It was decided to focus mostly on the 20–39 age group, as they are the majority of consumers in the Algerian food market (</w:t>
      </w:r>
      <w:proofErr w:type="spellStart"/>
      <w:r w:rsidRPr="00524058">
        <w:rPr>
          <w:rFonts w:ascii="Arial" w:hAnsi="Arial" w:cs="Arial"/>
        </w:rPr>
        <w:t>Djermoune</w:t>
      </w:r>
      <w:proofErr w:type="spellEnd"/>
      <w:r w:rsidRPr="00524058">
        <w:rPr>
          <w:rFonts w:ascii="Arial" w:hAnsi="Arial" w:cs="Arial"/>
        </w:rPr>
        <w:t xml:space="preserve"> &amp; Abdelkader, 2021). The survey contained both Likert-scale items and open-ended questions, thus allowing for the assessment </w:t>
      </w:r>
      <w:r w:rsidRPr="00524058">
        <w:rPr>
          <w:rFonts w:ascii="Arial" w:hAnsi="Arial" w:cs="Arial"/>
        </w:rPr>
        <w:lastRenderedPageBreak/>
        <w:t>of the perceived hygiene, transparency, and authenticity of CSR as well as the reaction to the crisis (</w:t>
      </w:r>
      <w:proofErr w:type="spellStart"/>
      <w:r w:rsidRPr="00524058">
        <w:rPr>
          <w:rFonts w:ascii="Arial" w:hAnsi="Arial" w:cs="Arial"/>
        </w:rPr>
        <w:t>Schnettler</w:t>
      </w:r>
      <w:proofErr w:type="spellEnd"/>
      <w:r w:rsidRPr="00524058">
        <w:rPr>
          <w:rFonts w:ascii="Arial" w:hAnsi="Arial" w:cs="Arial"/>
        </w:rPr>
        <w:t xml:space="preserve"> et al., 2020; Sparks &amp; Browning, 2011). Apart from this, descriptive statistics were performed, and the internal consistency was checked through Cronbach’s alpha to establish the reliability (Bryman, 2016).</w:t>
      </w:r>
    </w:p>
    <w:p w14:paraId="0406AB3D" w14:textId="1F2A3B55" w:rsidR="00524058" w:rsidRPr="00524058" w:rsidRDefault="00524058" w:rsidP="00524058">
      <w:pPr>
        <w:spacing w:before="240" w:after="240"/>
        <w:jc w:val="both"/>
        <w:rPr>
          <w:rFonts w:ascii="Arial" w:hAnsi="Arial" w:cs="Arial"/>
        </w:rPr>
      </w:pPr>
      <w:r w:rsidRPr="00524058">
        <w:rPr>
          <w:rFonts w:ascii="Arial" w:hAnsi="Arial" w:cs="Arial"/>
        </w:rPr>
        <w:t xml:space="preserve">There were sound ethical considerations. The individuals who took part in the study were given the necessary information to obtain their consent, their confidentiality was respected, and the data from the survey were anonymized (British Psychological Society, 2021). Among the downsides of the research can be listed the study being based on self-reported consumer perceptions and non-random sampling, which can raise the question of whether the findings are </w:t>
      </w:r>
      <w:r w:rsidR="001B26FB" w:rsidRPr="00524058">
        <w:rPr>
          <w:rFonts w:ascii="Arial" w:hAnsi="Arial" w:cs="Arial"/>
        </w:rPr>
        <w:t>generalized</w:t>
      </w:r>
      <w:r w:rsidRPr="00524058">
        <w:rPr>
          <w:rFonts w:ascii="Arial" w:hAnsi="Arial" w:cs="Arial"/>
        </w:rPr>
        <w:t>. However, the hybrid qualitative and quantitative approach definitely reveals a full picture of PR activities and their effects on corporate reputation in the Algerian setting (Creswell, 2014; Yin, 2018).</w:t>
      </w:r>
    </w:p>
    <w:p w14:paraId="0EE3EFE5" w14:textId="77777777" w:rsidR="00524058" w:rsidRPr="00524058" w:rsidRDefault="00524058" w:rsidP="00524058">
      <w:pPr>
        <w:spacing w:before="120" w:after="120"/>
        <w:jc w:val="both"/>
        <w:rPr>
          <w:rFonts w:ascii="Arial" w:hAnsi="Arial" w:cs="Arial"/>
          <w:b/>
          <w:bCs/>
        </w:rPr>
      </w:pPr>
      <w:r w:rsidRPr="00524058">
        <w:rPr>
          <w:rFonts w:ascii="Arial" w:hAnsi="Arial" w:cs="Arial"/>
          <w:b/>
          <w:bCs/>
        </w:rPr>
        <w:t>4. FINDINGS</w:t>
      </w:r>
    </w:p>
    <w:p w14:paraId="5976E886" w14:textId="77777777" w:rsidR="00524058" w:rsidRPr="00524058" w:rsidRDefault="00524058" w:rsidP="00524058">
      <w:pPr>
        <w:spacing w:before="120" w:after="120"/>
        <w:jc w:val="both"/>
        <w:rPr>
          <w:rFonts w:ascii="Arial" w:hAnsi="Arial" w:cs="Arial"/>
        </w:rPr>
      </w:pPr>
      <w:r w:rsidRPr="00524058">
        <w:rPr>
          <w:rFonts w:ascii="Arial" w:hAnsi="Arial" w:cs="Arial"/>
        </w:rPr>
        <w:t>Case Study A: (Heritage Manufacturer – processed food), The company’s image is mostly based on its continuous and consistent delivery of quality products and operational experience. Marketing-related PR activities are carried out in an informal way, and CSR initiatives mainly concentrate on education and health awareness. The crisis management strategy is of a reactive nature and depends on the experience of the management team rather than on formal procedures.</w:t>
      </w:r>
    </w:p>
    <w:p w14:paraId="41C34FB2" w14:textId="30BAE10E" w:rsidR="00524058" w:rsidRPr="00524058" w:rsidRDefault="00524058" w:rsidP="00524058">
      <w:pPr>
        <w:spacing w:before="120" w:after="120"/>
        <w:jc w:val="both"/>
        <w:rPr>
          <w:rFonts w:ascii="Arial" w:hAnsi="Arial" w:cs="Arial"/>
        </w:rPr>
      </w:pPr>
      <w:r w:rsidRPr="00524058">
        <w:rPr>
          <w:rFonts w:ascii="Arial" w:hAnsi="Arial" w:cs="Arial"/>
        </w:rPr>
        <w:t xml:space="preserve">Case Study B: (Children-focused Food Company – candy, chocolate, and biscuits), Through social media campaigns and participation in fairs, PR is to a certain extent formalized. There is a need for a disciplined Corporate Responsibility Program and a Crisis Communication plan for this company.  Current communication strategies are not </w:t>
      </w:r>
      <w:r w:rsidR="0020017F" w:rsidRPr="00524058">
        <w:rPr>
          <w:rFonts w:ascii="Arial" w:hAnsi="Arial" w:cs="Arial"/>
        </w:rPr>
        <w:t>optimized</w:t>
      </w:r>
      <w:r w:rsidRPr="00524058">
        <w:rPr>
          <w:rFonts w:ascii="Arial" w:hAnsi="Arial" w:cs="Arial"/>
        </w:rPr>
        <w:t xml:space="preserve"> sufficiently, even though there are established quality assurance measures in place.</w:t>
      </w:r>
    </w:p>
    <w:p w14:paraId="1A008791" w14:textId="5E91279F" w:rsidR="00524058" w:rsidRPr="00524058" w:rsidRDefault="00865E9B" w:rsidP="00524058">
      <w:pPr>
        <w:spacing w:before="120" w:after="120"/>
        <w:jc w:val="both"/>
        <w:rPr>
          <w:rFonts w:ascii="Arial" w:hAnsi="Arial" w:cs="Arial"/>
        </w:rPr>
      </w:pPr>
      <w:r w:rsidRPr="00865E9B">
        <w:rPr>
          <w:rFonts w:ascii="Arial" w:hAnsi="Arial" w:cs="Arial"/>
        </w:rPr>
        <w:t xml:space="preserve">Case Study </w:t>
      </w:r>
      <w:r>
        <w:rPr>
          <w:rFonts w:ascii="Arial" w:hAnsi="Arial" w:cs="Arial"/>
        </w:rPr>
        <w:t>C</w:t>
      </w:r>
      <w:r w:rsidRPr="00865E9B">
        <w:rPr>
          <w:rFonts w:ascii="Arial" w:hAnsi="Arial" w:cs="Arial"/>
        </w:rPr>
        <w:t xml:space="preserve">: </w:t>
      </w:r>
      <w:r w:rsidR="00524058" w:rsidRPr="00524058">
        <w:rPr>
          <w:rFonts w:ascii="Arial" w:hAnsi="Arial" w:cs="Arial"/>
        </w:rPr>
        <w:t>The reputation of this company relies heavily on operational control, technical expertise, and the reliability of its products. The semi-</w:t>
      </w:r>
      <w:r w:rsidR="0020017F" w:rsidRPr="00524058">
        <w:rPr>
          <w:rFonts w:ascii="Arial" w:hAnsi="Arial" w:cs="Arial"/>
        </w:rPr>
        <w:t>formalized</w:t>
      </w:r>
      <w:r w:rsidR="00524058" w:rsidRPr="00524058">
        <w:rPr>
          <w:rFonts w:ascii="Arial" w:hAnsi="Arial" w:cs="Arial"/>
        </w:rPr>
        <w:t xml:space="preserve"> way in which they currently implement Public Relations and Corporate Responsibility strategies is based more upon rectifying situations and establishing transparency during a Crisis Management process.</w:t>
      </w:r>
    </w:p>
    <w:p w14:paraId="215D7868" w14:textId="77777777" w:rsidR="00524058" w:rsidRPr="00524058" w:rsidRDefault="00524058" w:rsidP="00524058">
      <w:pPr>
        <w:spacing w:before="120" w:after="120"/>
        <w:jc w:val="both"/>
        <w:rPr>
          <w:rFonts w:ascii="Arial" w:hAnsi="Arial" w:cs="Arial"/>
        </w:rPr>
      </w:pPr>
      <w:r w:rsidRPr="00524058">
        <w:rPr>
          <w:rFonts w:ascii="Arial" w:hAnsi="Arial" w:cs="Arial"/>
        </w:rPr>
        <w:t xml:space="preserve">Case Study D: Tactical/Sales-driven Food Company - confectionery, chocolates, and biscuits: This </w:t>
      </w:r>
      <w:proofErr w:type="spellStart"/>
      <w:r w:rsidRPr="00524058">
        <w:rPr>
          <w:rFonts w:ascii="Arial" w:hAnsi="Arial" w:cs="Arial"/>
        </w:rPr>
        <w:t>organisation's</w:t>
      </w:r>
      <w:proofErr w:type="spellEnd"/>
      <w:r w:rsidRPr="00524058">
        <w:rPr>
          <w:rFonts w:ascii="Arial" w:hAnsi="Arial" w:cs="Arial"/>
        </w:rPr>
        <w:t xml:space="preserve"> reputation has primarily been established through tactical and sales-driven initiatives and has minimal CSR involvement. Crisis management is informal and depends on the spontaneity of decisions. The company's use of digital communication is very limited.</w:t>
      </w:r>
    </w:p>
    <w:p w14:paraId="19E0E023" w14:textId="77777777" w:rsidR="00524058" w:rsidRPr="00524058" w:rsidRDefault="00524058" w:rsidP="00524058">
      <w:pPr>
        <w:spacing w:before="120" w:after="120"/>
        <w:jc w:val="both"/>
        <w:rPr>
          <w:rFonts w:ascii="Arial" w:hAnsi="Arial" w:cs="Arial"/>
        </w:rPr>
      </w:pPr>
      <w:r w:rsidRPr="00524058">
        <w:rPr>
          <w:rFonts w:ascii="Arial" w:hAnsi="Arial" w:cs="Arial"/>
        </w:rPr>
        <w:t>Case Study E: (Multi-cuisine Restaurant – casual dining), It's a digital-first PR approach with a heavy emphasis on hygiene and service quality. CSR and crisis preparedness are at a minimum. Social media is most often used for promotional purposes rather than for engagement.</w:t>
      </w:r>
    </w:p>
    <w:p w14:paraId="6F39F042" w14:textId="55033467" w:rsidR="00E75B55" w:rsidRPr="00524058" w:rsidRDefault="00524058" w:rsidP="00524058">
      <w:pPr>
        <w:spacing w:before="120" w:after="120"/>
        <w:jc w:val="both"/>
        <w:rPr>
          <w:rFonts w:ascii="Arial" w:hAnsi="Arial" w:cs="Arial"/>
        </w:rPr>
      </w:pPr>
      <w:r w:rsidRPr="00524058">
        <w:rPr>
          <w:rFonts w:ascii="Arial" w:hAnsi="Arial" w:cs="Arial"/>
        </w:rPr>
        <w:t>Case Study F (Certification Agency – food quality certification): The company’s image is heavily dependent on its operational credibility, transparency, and acceptance of certification. CSR is a part of the communication strategy, and crisis management is well-organized. The use of digital monitoring is extensive, which makes it possible to respond quickly to any negative ​feedback.</w:t>
      </w:r>
    </w:p>
    <w:p w14:paraId="11D0EF56" w14:textId="77777777" w:rsidR="00524058" w:rsidRDefault="00524058" w:rsidP="00524058">
      <w:pPr>
        <w:spacing w:before="120" w:after="120"/>
        <w:jc w:val="both"/>
        <w:rPr>
          <w:rFonts w:ascii="Arial" w:hAnsi="Arial" w:cs="Arial"/>
        </w:rPr>
      </w:pPr>
      <w:r w:rsidRPr="00524058">
        <w:rPr>
          <w:rFonts w:ascii="Arial" w:hAnsi="Arial" w:cs="Arial"/>
        </w:rPr>
        <w:t>The survey data showed that the majority of consumers were young adults (20-39), and females outnumbered males slightly (54.8%). Consumers' trust was mostly dependent on cleanliness, food safety, and transparency rather than on price or promotional tactics. Real CSR efforts were seen as a positive thing; however, fake or irregular ones were generally ignored. Social media played only a minor role in opinion forming, especially through such platforms as Facebook and Instagram. The most common ground of the respondents was that trust and loyalty could be significantly increased if companies managed crises in a timely, transparent, and responsible way.</w:t>
      </w:r>
    </w:p>
    <w:p w14:paraId="21207AA4" w14:textId="05775C7C" w:rsidR="007430FE" w:rsidRDefault="0020017F" w:rsidP="007430FE">
      <w:pPr>
        <w:spacing w:before="120" w:after="120"/>
        <w:jc w:val="both"/>
        <w:rPr>
          <w:rFonts w:ascii="Times New Roman" w:hAnsi="Times New Roman"/>
          <w:sz w:val="24"/>
          <w:szCs w:val="24"/>
          <w:highlight w:val="yellow"/>
        </w:rPr>
      </w:pPr>
      <w:r>
        <w:rPr>
          <w:rFonts w:ascii="Times New Roman" w:hAnsi="Times New Roman"/>
          <w:sz w:val="24"/>
          <w:szCs w:val="24"/>
          <w:highlight w:val="yellow"/>
        </w:rPr>
        <w:t>Figure 1 shows the key elements that determine customer trust in food companies and restaurants.</w:t>
      </w:r>
      <w:r w:rsidR="007430FE">
        <w:rPr>
          <w:rFonts w:ascii="Times New Roman" w:hAnsi="Times New Roman"/>
          <w:sz w:val="24"/>
          <w:szCs w:val="24"/>
          <w:highlight w:val="yellow"/>
        </w:rPr>
        <w:t xml:space="preserve"> Algerian consumers set hygiene, quality, customer service, safety, transparency and reputation as their top priorities. </w:t>
      </w:r>
    </w:p>
    <w:p w14:paraId="10EFC515" w14:textId="760DA14B" w:rsidR="00E75B55" w:rsidRDefault="00E75B55" w:rsidP="007430FE">
      <w:pPr>
        <w:spacing w:before="240" w:after="240"/>
        <w:jc w:val="both"/>
        <w:rPr>
          <w:rFonts w:ascii="Times New Roman" w:hAnsi="Times New Roman"/>
          <w:sz w:val="24"/>
          <w:szCs w:val="24"/>
          <w:highlight w:val="yellow"/>
        </w:rPr>
      </w:pPr>
    </w:p>
    <w:p w14:paraId="725DB4D0" w14:textId="77777777" w:rsidR="007430FE" w:rsidRPr="007430FE" w:rsidRDefault="007430FE" w:rsidP="007430FE">
      <w:pPr>
        <w:spacing w:before="240" w:after="240"/>
        <w:jc w:val="both"/>
        <w:rPr>
          <w:rFonts w:ascii="Times New Roman" w:hAnsi="Times New Roman"/>
          <w:sz w:val="24"/>
          <w:szCs w:val="24"/>
          <w:highlight w:val="yellow"/>
        </w:rPr>
      </w:pPr>
    </w:p>
    <w:p w14:paraId="099F81FD" w14:textId="474A6D33" w:rsidR="00E75B55" w:rsidRDefault="00E75B55" w:rsidP="00524058">
      <w:pPr>
        <w:spacing w:before="120" w:after="120"/>
        <w:jc w:val="both"/>
        <w:rPr>
          <w:rFonts w:ascii="Arial" w:hAnsi="Arial" w:cs="Arial"/>
        </w:rPr>
      </w:pPr>
      <w:r>
        <w:rPr>
          <w:rFonts w:ascii="Times New Roman" w:hAnsi="Times New Roman"/>
          <w:noProof/>
          <w:sz w:val="24"/>
          <w:szCs w:val="24"/>
          <w:highlight w:val="yellow"/>
        </w:rPr>
        <w:lastRenderedPageBreak/>
        <w:drawing>
          <wp:inline distT="114300" distB="114300" distL="114300" distR="114300" wp14:anchorId="0D4C1BE7" wp14:editId="37663D35">
            <wp:extent cx="4548188" cy="2558355"/>
            <wp:effectExtent l="0" t="0" r="0" b="0"/>
            <wp:docPr id="3" name="image3.png" descr="metin, ekran görüntüsü, renklilik, dikdörtgen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3" name="image3.png" descr="metin, ekran görüntüsü, renklilik, dikdörtgen içeren bir resim&#10;&#10;Yapay zeka tarafından oluşturulmuş içerik yanlış olabilir."/>
                    <pic:cNvPicPr preferRelativeResize="0"/>
                  </pic:nvPicPr>
                  <pic:blipFill>
                    <a:blip r:embed="rId7"/>
                    <a:srcRect/>
                    <a:stretch>
                      <a:fillRect/>
                    </a:stretch>
                  </pic:blipFill>
                  <pic:spPr>
                    <a:xfrm>
                      <a:off x="0" y="0"/>
                      <a:ext cx="4548188" cy="2558355"/>
                    </a:xfrm>
                    <a:prstGeom prst="rect">
                      <a:avLst/>
                    </a:prstGeom>
                    <a:ln/>
                  </pic:spPr>
                </pic:pic>
              </a:graphicData>
            </a:graphic>
          </wp:inline>
        </w:drawing>
      </w:r>
    </w:p>
    <w:p w14:paraId="21267ADF" w14:textId="1A669B42" w:rsidR="00E75B55" w:rsidRDefault="00E75B55" w:rsidP="00E75B55">
      <w:pPr>
        <w:jc w:val="center"/>
        <w:rPr>
          <w:rFonts w:ascii="Times New Roman" w:hAnsi="Times New Roman"/>
          <w:sz w:val="24"/>
          <w:szCs w:val="24"/>
          <w:highlight w:val="yellow"/>
        </w:rPr>
      </w:pPr>
      <w:r>
        <w:rPr>
          <w:rFonts w:ascii="Times New Roman" w:hAnsi="Times New Roman"/>
          <w:sz w:val="24"/>
          <w:szCs w:val="24"/>
          <w:highlight w:val="yellow"/>
        </w:rPr>
        <w:t xml:space="preserve">Figure 1: Factors Influencing Customer Trust </w:t>
      </w:r>
    </w:p>
    <w:p w14:paraId="15F4DCE6" w14:textId="77777777" w:rsidR="00E75B55" w:rsidRDefault="00E75B55" w:rsidP="00524058">
      <w:pPr>
        <w:spacing w:before="120" w:after="120"/>
        <w:jc w:val="both"/>
        <w:rPr>
          <w:rFonts w:ascii="Arial" w:hAnsi="Arial" w:cs="Arial"/>
        </w:rPr>
      </w:pPr>
    </w:p>
    <w:p w14:paraId="03FB1ACF" w14:textId="77777777" w:rsidR="00E75B55" w:rsidRDefault="00E75B55" w:rsidP="00524058">
      <w:pPr>
        <w:spacing w:before="120" w:after="120"/>
        <w:jc w:val="both"/>
        <w:rPr>
          <w:rFonts w:ascii="Arial" w:hAnsi="Arial" w:cs="Arial"/>
        </w:rPr>
      </w:pPr>
    </w:p>
    <w:p w14:paraId="177A7EDA" w14:textId="59686B9A" w:rsidR="00524058" w:rsidRDefault="00524058" w:rsidP="00524058">
      <w:pPr>
        <w:spacing w:before="120" w:after="120"/>
        <w:jc w:val="both"/>
        <w:rPr>
          <w:rFonts w:ascii="Arial" w:hAnsi="Arial" w:cs="Arial"/>
        </w:rPr>
      </w:pPr>
      <w:r w:rsidRPr="00524058">
        <w:rPr>
          <w:rFonts w:ascii="Arial" w:hAnsi="Arial" w:cs="Arial"/>
        </w:rPr>
        <w:t>Survey data analysis revealed a continual misconception between the way a company sees itself and how its customers perceive it. Companies often believed that their marketing and operational success had a greater influence on their reputation than in reality, whereas the main factors, like communication, transparency, and genuine CSR, were not given due attention. These findings signal the indispensability of PR as a strategic instrument for consumer trust and loyalty in the Algerian food ‍​‍‌market.</w:t>
      </w:r>
    </w:p>
    <w:p w14:paraId="0DBAF84F" w14:textId="040FF911" w:rsidR="00D63B23" w:rsidRPr="00D63B23" w:rsidRDefault="00D63B23" w:rsidP="00524058">
      <w:pPr>
        <w:spacing w:before="120" w:after="120"/>
        <w:jc w:val="both"/>
        <w:rPr>
          <w:rFonts w:ascii="Times New Roman" w:hAnsi="Times New Roman"/>
          <w:sz w:val="24"/>
          <w:szCs w:val="24"/>
          <w:highlight w:val="yellow"/>
        </w:rPr>
      </w:pPr>
      <w:r>
        <w:rPr>
          <w:rFonts w:ascii="Times New Roman" w:hAnsi="Times New Roman"/>
          <w:sz w:val="24"/>
          <w:szCs w:val="24"/>
          <w:highlight w:val="yellow"/>
        </w:rPr>
        <w:t>Table 1 shows the perceptual gaps between how management views the factors that influence reputation and what consumers really expect.</w:t>
      </w:r>
    </w:p>
    <w:p w14:paraId="284FC2C6" w14:textId="77777777" w:rsidR="001B26FB" w:rsidRDefault="001B26FB" w:rsidP="00524058">
      <w:pPr>
        <w:spacing w:before="120" w:after="120"/>
        <w:jc w:val="both"/>
        <w:rPr>
          <w:rFonts w:ascii="Arial" w:hAnsi="Arial" w:cs="Arial"/>
        </w:rPr>
      </w:pPr>
    </w:p>
    <w:p w14:paraId="5886FBC4" w14:textId="621DC387" w:rsidR="001B26FB" w:rsidRDefault="001B26FB" w:rsidP="001B26FB">
      <w:pPr>
        <w:spacing w:before="120" w:after="120"/>
        <w:jc w:val="both"/>
        <w:rPr>
          <w:rFonts w:ascii="Times New Roman" w:hAnsi="Times New Roman"/>
          <w:sz w:val="24"/>
          <w:szCs w:val="24"/>
          <w:highlight w:val="yellow"/>
        </w:rPr>
      </w:pPr>
      <w:r>
        <w:rPr>
          <w:rFonts w:ascii="Times New Roman" w:hAnsi="Times New Roman"/>
          <w:sz w:val="24"/>
          <w:szCs w:val="24"/>
          <w:highlight w:val="yellow"/>
        </w:rPr>
        <w:t>Table</w:t>
      </w:r>
      <w:r w:rsidR="005624D7">
        <w:rPr>
          <w:rFonts w:ascii="Times New Roman" w:hAnsi="Times New Roman"/>
          <w:sz w:val="24"/>
          <w:szCs w:val="24"/>
          <w:highlight w:val="yellow"/>
        </w:rPr>
        <w:t xml:space="preserve"> </w:t>
      </w:r>
      <w:r>
        <w:rPr>
          <w:rFonts w:ascii="Times New Roman" w:hAnsi="Times New Roman"/>
          <w:sz w:val="24"/>
          <w:szCs w:val="24"/>
          <w:highlight w:val="yellow"/>
        </w:rPr>
        <w:t xml:space="preserve">1. Functional-Emotional Disconnect between firms and consumers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280"/>
        <w:gridCol w:w="2400"/>
      </w:tblGrid>
      <w:tr w:rsidR="001B26FB" w14:paraId="47AA96EB" w14:textId="77777777" w:rsidTr="00270050">
        <w:tc>
          <w:tcPr>
            <w:tcW w:w="2340" w:type="dxa"/>
            <w:tcMar>
              <w:top w:w="100" w:type="dxa"/>
              <w:left w:w="100" w:type="dxa"/>
              <w:bottom w:w="100" w:type="dxa"/>
              <w:right w:w="100" w:type="dxa"/>
            </w:tcMar>
          </w:tcPr>
          <w:p w14:paraId="4D75820B" w14:textId="77777777" w:rsidR="001B26FB" w:rsidRDefault="001B26FB" w:rsidP="00270050">
            <w:pPr>
              <w:widowControl w:val="0"/>
              <w:pBdr>
                <w:top w:val="nil"/>
                <w:left w:val="nil"/>
                <w:bottom w:val="nil"/>
                <w:right w:val="nil"/>
                <w:between w:val="nil"/>
              </w:pBdr>
              <w:jc w:val="center"/>
              <w:rPr>
                <w:rFonts w:ascii="Times New Roman" w:hAnsi="Times New Roman"/>
                <w:highlight w:val="yellow"/>
              </w:rPr>
            </w:pPr>
            <w:r>
              <w:rPr>
                <w:rFonts w:ascii="Times New Roman" w:hAnsi="Times New Roman"/>
                <w:highlight w:val="yellow"/>
              </w:rPr>
              <w:t>Factors Influencing reputation</w:t>
            </w:r>
          </w:p>
        </w:tc>
        <w:tc>
          <w:tcPr>
            <w:tcW w:w="2340" w:type="dxa"/>
            <w:tcMar>
              <w:top w:w="100" w:type="dxa"/>
              <w:left w:w="100" w:type="dxa"/>
              <w:bottom w:w="100" w:type="dxa"/>
              <w:right w:w="100" w:type="dxa"/>
            </w:tcMar>
          </w:tcPr>
          <w:p w14:paraId="300AB2CB" w14:textId="77777777" w:rsidR="001B26FB" w:rsidRDefault="001B26FB" w:rsidP="00270050">
            <w:pPr>
              <w:widowControl w:val="0"/>
              <w:pBdr>
                <w:top w:val="nil"/>
                <w:left w:val="nil"/>
                <w:bottom w:val="nil"/>
                <w:right w:val="nil"/>
                <w:between w:val="nil"/>
              </w:pBdr>
              <w:jc w:val="center"/>
              <w:rPr>
                <w:rFonts w:ascii="Times New Roman" w:hAnsi="Times New Roman"/>
                <w:highlight w:val="yellow"/>
              </w:rPr>
            </w:pPr>
            <w:r>
              <w:rPr>
                <w:rFonts w:ascii="Times New Roman" w:hAnsi="Times New Roman"/>
                <w:highlight w:val="yellow"/>
              </w:rPr>
              <w:t xml:space="preserve">Consumer Expectation </w:t>
            </w:r>
          </w:p>
          <w:p w14:paraId="2579E493" w14:textId="77777777" w:rsidR="001B26FB" w:rsidRDefault="001B26FB" w:rsidP="00270050">
            <w:pPr>
              <w:widowControl w:val="0"/>
              <w:pBdr>
                <w:top w:val="nil"/>
                <w:left w:val="nil"/>
                <w:bottom w:val="nil"/>
                <w:right w:val="nil"/>
                <w:between w:val="nil"/>
              </w:pBdr>
              <w:jc w:val="center"/>
              <w:rPr>
                <w:rFonts w:ascii="Times New Roman" w:hAnsi="Times New Roman"/>
                <w:highlight w:val="yellow"/>
              </w:rPr>
            </w:pPr>
            <w:r>
              <w:rPr>
                <w:rFonts w:ascii="Times New Roman" w:hAnsi="Times New Roman"/>
                <w:highlight w:val="yellow"/>
              </w:rPr>
              <w:t>(survey Results)</w:t>
            </w:r>
          </w:p>
        </w:tc>
        <w:tc>
          <w:tcPr>
            <w:tcW w:w="2280" w:type="dxa"/>
            <w:tcMar>
              <w:top w:w="100" w:type="dxa"/>
              <w:left w:w="100" w:type="dxa"/>
              <w:bottom w:w="100" w:type="dxa"/>
              <w:right w:w="100" w:type="dxa"/>
            </w:tcMar>
          </w:tcPr>
          <w:p w14:paraId="5042922D" w14:textId="77777777" w:rsidR="001B26FB" w:rsidRDefault="001B26FB" w:rsidP="00270050">
            <w:pPr>
              <w:widowControl w:val="0"/>
              <w:pBdr>
                <w:top w:val="nil"/>
                <w:left w:val="nil"/>
                <w:bottom w:val="nil"/>
                <w:right w:val="nil"/>
                <w:between w:val="nil"/>
              </w:pBdr>
              <w:jc w:val="center"/>
              <w:rPr>
                <w:rFonts w:ascii="Times New Roman" w:hAnsi="Times New Roman"/>
                <w:highlight w:val="yellow"/>
              </w:rPr>
            </w:pPr>
            <w:r>
              <w:rPr>
                <w:rFonts w:ascii="Times New Roman" w:hAnsi="Times New Roman"/>
                <w:highlight w:val="yellow"/>
              </w:rPr>
              <w:t>Actual Firm/ Restaurants Practices (Case Studies)</w:t>
            </w:r>
          </w:p>
        </w:tc>
        <w:tc>
          <w:tcPr>
            <w:tcW w:w="2400" w:type="dxa"/>
            <w:tcMar>
              <w:top w:w="100" w:type="dxa"/>
              <w:left w:w="100" w:type="dxa"/>
              <w:bottom w:w="100" w:type="dxa"/>
              <w:right w:w="100" w:type="dxa"/>
            </w:tcMar>
          </w:tcPr>
          <w:p w14:paraId="24EE99B9" w14:textId="77777777" w:rsidR="001B26FB" w:rsidRDefault="001B26FB" w:rsidP="00270050">
            <w:pPr>
              <w:widowControl w:val="0"/>
              <w:pBdr>
                <w:top w:val="nil"/>
                <w:left w:val="nil"/>
                <w:bottom w:val="nil"/>
                <w:right w:val="nil"/>
                <w:between w:val="nil"/>
              </w:pBdr>
              <w:jc w:val="center"/>
              <w:rPr>
                <w:rFonts w:ascii="Times New Roman" w:hAnsi="Times New Roman"/>
                <w:highlight w:val="yellow"/>
              </w:rPr>
            </w:pPr>
            <w:r>
              <w:rPr>
                <w:rFonts w:ascii="Times New Roman" w:hAnsi="Times New Roman"/>
                <w:highlight w:val="yellow"/>
              </w:rPr>
              <w:t>Perceptual Gap</w:t>
            </w:r>
          </w:p>
          <w:p w14:paraId="708C0BB8" w14:textId="77777777" w:rsidR="001B26FB" w:rsidRDefault="001B26FB" w:rsidP="00270050">
            <w:pPr>
              <w:widowControl w:val="0"/>
              <w:pBdr>
                <w:top w:val="nil"/>
                <w:left w:val="nil"/>
                <w:bottom w:val="nil"/>
                <w:right w:val="nil"/>
                <w:between w:val="nil"/>
              </w:pBdr>
              <w:jc w:val="center"/>
              <w:rPr>
                <w:rFonts w:ascii="Times New Roman" w:hAnsi="Times New Roman"/>
                <w:highlight w:val="yellow"/>
              </w:rPr>
            </w:pPr>
            <w:r>
              <w:rPr>
                <w:rFonts w:ascii="Times New Roman" w:hAnsi="Times New Roman"/>
                <w:highlight w:val="yellow"/>
              </w:rPr>
              <w:t>Disconnect</w:t>
            </w:r>
          </w:p>
        </w:tc>
      </w:tr>
      <w:tr w:rsidR="001B26FB" w14:paraId="793E75DC" w14:textId="77777777" w:rsidTr="00270050">
        <w:tc>
          <w:tcPr>
            <w:tcW w:w="2340" w:type="dxa"/>
            <w:tcMar>
              <w:top w:w="100" w:type="dxa"/>
              <w:left w:w="100" w:type="dxa"/>
              <w:bottom w:w="100" w:type="dxa"/>
              <w:right w:w="100" w:type="dxa"/>
            </w:tcMar>
          </w:tcPr>
          <w:p w14:paraId="766C7F9F" w14:textId="77777777" w:rsidR="001B26FB" w:rsidRDefault="001B26FB" w:rsidP="00270050">
            <w:pPr>
              <w:rPr>
                <w:rFonts w:ascii="Times New Roman" w:hAnsi="Times New Roman"/>
                <w:highlight w:val="yellow"/>
              </w:rPr>
            </w:pPr>
            <w:r>
              <w:rPr>
                <w:rFonts w:ascii="Times New Roman" w:hAnsi="Times New Roman"/>
                <w:highlight w:val="yellow"/>
              </w:rPr>
              <w:t xml:space="preserve">Hygiene and safety </w:t>
            </w:r>
          </w:p>
        </w:tc>
        <w:tc>
          <w:tcPr>
            <w:tcW w:w="2340" w:type="dxa"/>
            <w:tcMar>
              <w:top w:w="100" w:type="dxa"/>
              <w:left w:w="100" w:type="dxa"/>
              <w:bottom w:w="100" w:type="dxa"/>
              <w:right w:w="100" w:type="dxa"/>
            </w:tcMar>
          </w:tcPr>
          <w:p w14:paraId="3B68F730" w14:textId="77777777" w:rsidR="001B26FB" w:rsidRDefault="001B26FB" w:rsidP="00270050">
            <w:pPr>
              <w:rPr>
                <w:rFonts w:ascii="Times New Roman" w:hAnsi="Times New Roman"/>
                <w:highlight w:val="yellow"/>
              </w:rPr>
            </w:pPr>
            <w:r>
              <w:rPr>
                <w:rFonts w:ascii="Times New Roman" w:hAnsi="Times New Roman"/>
                <w:highlight w:val="yellow"/>
              </w:rPr>
              <w:t xml:space="preserve">84.6% rate as most important </w:t>
            </w:r>
          </w:p>
        </w:tc>
        <w:tc>
          <w:tcPr>
            <w:tcW w:w="2280" w:type="dxa"/>
            <w:tcMar>
              <w:top w:w="100" w:type="dxa"/>
              <w:left w:w="100" w:type="dxa"/>
              <w:bottom w:w="100" w:type="dxa"/>
              <w:right w:w="100" w:type="dxa"/>
            </w:tcMar>
          </w:tcPr>
          <w:p w14:paraId="44DFD32A" w14:textId="77777777" w:rsidR="001B26FB" w:rsidRDefault="001B26FB" w:rsidP="00270050">
            <w:pPr>
              <w:rPr>
                <w:rFonts w:ascii="Times New Roman" w:hAnsi="Times New Roman"/>
                <w:highlight w:val="yellow"/>
              </w:rPr>
            </w:pPr>
            <w:r>
              <w:rPr>
                <w:rFonts w:ascii="Times New Roman" w:hAnsi="Times New Roman"/>
                <w:highlight w:val="yellow"/>
              </w:rPr>
              <w:t>Most companies and restaurants have hygiene protocols, but some lack formal monitoring systems (e.g., E, D); few have standardized crisis response for safety lapses</w:t>
            </w:r>
          </w:p>
        </w:tc>
        <w:tc>
          <w:tcPr>
            <w:tcW w:w="2400" w:type="dxa"/>
            <w:tcMar>
              <w:top w:w="100" w:type="dxa"/>
              <w:left w:w="100" w:type="dxa"/>
              <w:bottom w:w="100" w:type="dxa"/>
              <w:right w:w="100" w:type="dxa"/>
            </w:tcMar>
          </w:tcPr>
          <w:p w14:paraId="59B4CD38" w14:textId="77777777" w:rsidR="001B26FB" w:rsidRDefault="001B26FB" w:rsidP="00270050">
            <w:pPr>
              <w:rPr>
                <w:rFonts w:ascii="Times New Roman" w:hAnsi="Times New Roman"/>
                <w:highlight w:val="yellow"/>
              </w:rPr>
            </w:pPr>
            <w:r>
              <w:rPr>
                <w:rFonts w:ascii="Times New Roman" w:hAnsi="Times New Roman"/>
                <w:highlight w:val="yellow"/>
              </w:rPr>
              <w:t>Consumers prioritize hygiene more strongly than some firms anticipate; formal hygiene crisis plans are limited</w:t>
            </w:r>
          </w:p>
          <w:p w14:paraId="0831CAD1" w14:textId="77777777" w:rsidR="001B26FB" w:rsidRDefault="001B26FB" w:rsidP="00270050">
            <w:pPr>
              <w:widowControl w:val="0"/>
              <w:pBdr>
                <w:top w:val="nil"/>
                <w:left w:val="nil"/>
                <w:bottom w:val="nil"/>
                <w:right w:val="nil"/>
                <w:between w:val="nil"/>
              </w:pBdr>
              <w:jc w:val="center"/>
              <w:rPr>
                <w:rFonts w:ascii="Times New Roman" w:hAnsi="Times New Roman"/>
                <w:highlight w:val="yellow"/>
              </w:rPr>
            </w:pPr>
          </w:p>
        </w:tc>
      </w:tr>
      <w:tr w:rsidR="001B26FB" w14:paraId="58099680" w14:textId="77777777" w:rsidTr="00270050">
        <w:tc>
          <w:tcPr>
            <w:tcW w:w="2340" w:type="dxa"/>
            <w:tcMar>
              <w:top w:w="100" w:type="dxa"/>
              <w:left w:w="100" w:type="dxa"/>
              <w:bottom w:w="100" w:type="dxa"/>
              <w:right w:w="100" w:type="dxa"/>
            </w:tcMar>
          </w:tcPr>
          <w:p w14:paraId="6C3C7321" w14:textId="77777777" w:rsidR="001B26FB" w:rsidRDefault="001B26FB" w:rsidP="00270050">
            <w:pPr>
              <w:rPr>
                <w:rFonts w:ascii="Times New Roman" w:hAnsi="Times New Roman"/>
                <w:highlight w:val="yellow"/>
              </w:rPr>
            </w:pPr>
            <w:r>
              <w:rPr>
                <w:rFonts w:ascii="Times New Roman" w:hAnsi="Times New Roman"/>
                <w:highlight w:val="yellow"/>
              </w:rPr>
              <w:t xml:space="preserve">Food Quality </w:t>
            </w:r>
          </w:p>
        </w:tc>
        <w:tc>
          <w:tcPr>
            <w:tcW w:w="2340" w:type="dxa"/>
            <w:tcMar>
              <w:top w:w="100" w:type="dxa"/>
              <w:left w:w="100" w:type="dxa"/>
              <w:bottom w:w="100" w:type="dxa"/>
              <w:right w:w="100" w:type="dxa"/>
            </w:tcMar>
          </w:tcPr>
          <w:p w14:paraId="66199CB7" w14:textId="77777777" w:rsidR="001B26FB" w:rsidRDefault="001B26FB" w:rsidP="00270050">
            <w:pPr>
              <w:rPr>
                <w:rFonts w:ascii="Times New Roman" w:hAnsi="Times New Roman"/>
                <w:highlight w:val="yellow"/>
              </w:rPr>
            </w:pPr>
            <w:r>
              <w:rPr>
                <w:rFonts w:ascii="Times New Roman" w:hAnsi="Times New Roman"/>
                <w:highlight w:val="yellow"/>
              </w:rPr>
              <w:t>82.6%</w:t>
            </w:r>
          </w:p>
        </w:tc>
        <w:tc>
          <w:tcPr>
            <w:tcW w:w="2280" w:type="dxa"/>
            <w:tcMar>
              <w:top w:w="100" w:type="dxa"/>
              <w:left w:w="100" w:type="dxa"/>
              <w:bottom w:w="100" w:type="dxa"/>
              <w:right w:w="100" w:type="dxa"/>
            </w:tcMar>
          </w:tcPr>
          <w:p w14:paraId="7F9E0FB0" w14:textId="77777777" w:rsidR="001B26FB" w:rsidRDefault="001B26FB" w:rsidP="00270050">
            <w:pPr>
              <w:rPr>
                <w:rFonts w:ascii="Times New Roman" w:hAnsi="Times New Roman"/>
                <w:highlight w:val="yellow"/>
              </w:rPr>
            </w:pPr>
            <w:r>
              <w:rPr>
                <w:rFonts w:ascii="Times New Roman" w:hAnsi="Times New Roman"/>
                <w:highlight w:val="yellow"/>
              </w:rPr>
              <w:t>All companies focus on product quality; restaurants emphasize quality and service</w:t>
            </w:r>
          </w:p>
        </w:tc>
        <w:tc>
          <w:tcPr>
            <w:tcW w:w="2400" w:type="dxa"/>
            <w:tcMar>
              <w:top w:w="100" w:type="dxa"/>
              <w:left w:w="100" w:type="dxa"/>
              <w:bottom w:w="100" w:type="dxa"/>
              <w:right w:w="100" w:type="dxa"/>
            </w:tcMar>
          </w:tcPr>
          <w:p w14:paraId="6DCCD2C3" w14:textId="77777777" w:rsidR="001B26FB" w:rsidRDefault="001B26FB" w:rsidP="00270050">
            <w:pPr>
              <w:rPr>
                <w:rFonts w:ascii="Times New Roman" w:hAnsi="Times New Roman"/>
                <w:highlight w:val="yellow"/>
              </w:rPr>
            </w:pPr>
            <w:r>
              <w:rPr>
                <w:rFonts w:ascii="Times New Roman" w:hAnsi="Times New Roman"/>
                <w:highlight w:val="yellow"/>
              </w:rPr>
              <w:t>Alignment is generally good, though consumers expect consistent standards even during peak hours, which is sometimes unmet</w:t>
            </w:r>
          </w:p>
          <w:p w14:paraId="65BE7E8B" w14:textId="77777777" w:rsidR="001B26FB" w:rsidRDefault="001B26FB" w:rsidP="00270050">
            <w:pPr>
              <w:widowControl w:val="0"/>
              <w:pBdr>
                <w:top w:val="nil"/>
                <w:left w:val="nil"/>
                <w:bottom w:val="nil"/>
                <w:right w:val="nil"/>
                <w:between w:val="nil"/>
              </w:pBdr>
              <w:jc w:val="center"/>
              <w:rPr>
                <w:rFonts w:ascii="Times New Roman" w:hAnsi="Times New Roman"/>
                <w:highlight w:val="yellow"/>
              </w:rPr>
            </w:pPr>
          </w:p>
        </w:tc>
      </w:tr>
      <w:tr w:rsidR="001B26FB" w14:paraId="675A8782" w14:textId="77777777" w:rsidTr="00270050">
        <w:tc>
          <w:tcPr>
            <w:tcW w:w="2340" w:type="dxa"/>
            <w:tcMar>
              <w:top w:w="100" w:type="dxa"/>
              <w:left w:w="100" w:type="dxa"/>
              <w:bottom w:w="100" w:type="dxa"/>
              <w:right w:w="100" w:type="dxa"/>
            </w:tcMar>
          </w:tcPr>
          <w:p w14:paraId="02DF9DF2" w14:textId="77777777" w:rsidR="001B26FB" w:rsidRDefault="001B26FB" w:rsidP="00270050">
            <w:pPr>
              <w:rPr>
                <w:rFonts w:ascii="Times New Roman" w:hAnsi="Times New Roman"/>
                <w:highlight w:val="yellow"/>
              </w:rPr>
            </w:pPr>
            <w:r>
              <w:rPr>
                <w:rFonts w:ascii="Times New Roman" w:hAnsi="Times New Roman"/>
                <w:highlight w:val="yellow"/>
              </w:rPr>
              <w:t xml:space="preserve">Customer Service </w:t>
            </w:r>
          </w:p>
        </w:tc>
        <w:tc>
          <w:tcPr>
            <w:tcW w:w="2340" w:type="dxa"/>
            <w:tcMar>
              <w:top w:w="100" w:type="dxa"/>
              <w:left w:w="100" w:type="dxa"/>
              <w:bottom w:w="100" w:type="dxa"/>
              <w:right w:w="100" w:type="dxa"/>
            </w:tcMar>
          </w:tcPr>
          <w:p w14:paraId="57BB008A" w14:textId="77777777" w:rsidR="001B26FB" w:rsidRDefault="001B26FB" w:rsidP="00270050">
            <w:pPr>
              <w:rPr>
                <w:rFonts w:ascii="Times New Roman" w:hAnsi="Times New Roman"/>
                <w:highlight w:val="yellow"/>
              </w:rPr>
            </w:pPr>
            <w:r>
              <w:rPr>
                <w:rFonts w:ascii="Times New Roman" w:hAnsi="Times New Roman"/>
                <w:highlight w:val="yellow"/>
              </w:rPr>
              <w:t>66.8%</w:t>
            </w:r>
          </w:p>
        </w:tc>
        <w:tc>
          <w:tcPr>
            <w:tcW w:w="2280" w:type="dxa"/>
            <w:tcMar>
              <w:top w:w="100" w:type="dxa"/>
              <w:left w:w="100" w:type="dxa"/>
              <w:bottom w:w="100" w:type="dxa"/>
              <w:right w:w="100" w:type="dxa"/>
            </w:tcMar>
          </w:tcPr>
          <w:p w14:paraId="3C108DBF" w14:textId="77777777" w:rsidR="001B26FB" w:rsidRDefault="001B26FB" w:rsidP="00270050">
            <w:pPr>
              <w:rPr>
                <w:rFonts w:ascii="Times New Roman" w:hAnsi="Times New Roman"/>
                <w:highlight w:val="yellow"/>
              </w:rPr>
            </w:pPr>
            <w:r>
              <w:rPr>
                <w:rFonts w:ascii="Times New Roman" w:hAnsi="Times New Roman"/>
                <w:highlight w:val="yellow"/>
              </w:rPr>
              <w:t>Restaurants (E) monitor service actively; food companies have limited direct customer engagement</w:t>
            </w:r>
          </w:p>
          <w:p w14:paraId="621A9A2C" w14:textId="77777777" w:rsidR="001B26FB" w:rsidRDefault="001B26FB" w:rsidP="00270050">
            <w:pPr>
              <w:rPr>
                <w:rFonts w:ascii="Times New Roman" w:hAnsi="Times New Roman"/>
                <w:highlight w:val="yellow"/>
              </w:rPr>
            </w:pPr>
          </w:p>
        </w:tc>
        <w:tc>
          <w:tcPr>
            <w:tcW w:w="2400" w:type="dxa"/>
            <w:tcMar>
              <w:top w:w="100" w:type="dxa"/>
              <w:left w:w="100" w:type="dxa"/>
              <w:bottom w:w="100" w:type="dxa"/>
              <w:right w:w="100" w:type="dxa"/>
            </w:tcMar>
          </w:tcPr>
          <w:p w14:paraId="31997642" w14:textId="77777777" w:rsidR="001B26FB" w:rsidRDefault="001B26FB" w:rsidP="00270050">
            <w:pPr>
              <w:rPr>
                <w:rFonts w:ascii="Times New Roman" w:hAnsi="Times New Roman"/>
                <w:highlight w:val="yellow"/>
              </w:rPr>
            </w:pPr>
            <w:r>
              <w:rPr>
                <w:rFonts w:ascii="Times New Roman" w:hAnsi="Times New Roman"/>
                <w:highlight w:val="yellow"/>
              </w:rPr>
              <w:t>Disconnect exists in food companies where service impact on reputation is underestimated</w:t>
            </w:r>
          </w:p>
        </w:tc>
      </w:tr>
      <w:tr w:rsidR="001B26FB" w14:paraId="052A0FB1" w14:textId="77777777" w:rsidTr="00270050">
        <w:tc>
          <w:tcPr>
            <w:tcW w:w="2340" w:type="dxa"/>
            <w:tcMar>
              <w:top w:w="100" w:type="dxa"/>
              <w:left w:w="100" w:type="dxa"/>
              <w:bottom w:w="100" w:type="dxa"/>
              <w:right w:w="100" w:type="dxa"/>
            </w:tcMar>
          </w:tcPr>
          <w:p w14:paraId="170D75A6" w14:textId="77777777" w:rsidR="001B26FB" w:rsidRDefault="001B26FB" w:rsidP="00270050">
            <w:pPr>
              <w:rPr>
                <w:rFonts w:ascii="Times New Roman" w:hAnsi="Times New Roman"/>
                <w:highlight w:val="yellow"/>
              </w:rPr>
            </w:pPr>
            <w:r>
              <w:rPr>
                <w:rFonts w:ascii="Times New Roman" w:hAnsi="Times New Roman"/>
                <w:highlight w:val="yellow"/>
              </w:rPr>
              <w:lastRenderedPageBreak/>
              <w:t>Commitment to health regulation</w:t>
            </w:r>
          </w:p>
        </w:tc>
        <w:tc>
          <w:tcPr>
            <w:tcW w:w="2340" w:type="dxa"/>
            <w:tcMar>
              <w:top w:w="100" w:type="dxa"/>
              <w:left w:w="100" w:type="dxa"/>
              <w:bottom w:w="100" w:type="dxa"/>
              <w:right w:w="100" w:type="dxa"/>
            </w:tcMar>
          </w:tcPr>
          <w:p w14:paraId="7A671899" w14:textId="77777777" w:rsidR="001B26FB" w:rsidRDefault="001B26FB" w:rsidP="00270050">
            <w:pPr>
              <w:rPr>
                <w:rFonts w:ascii="Times New Roman" w:hAnsi="Times New Roman"/>
                <w:highlight w:val="yellow"/>
              </w:rPr>
            </w:pPr>
            <w:r>
              <w:rPr>
                <w:rFonts w:ascii="Times New Roman" w:hAnsi="Times New Roman"/>
                <w:highlight w:val="yellow"/>
              </w:rPr>
              <w:t>57.7%</w:t>
            </w:r>
          </w:p>
        </w:tc>
        <w:tc>
          <w:tcPr>
            <w:tcW w:w="2280" w:type="dxa"/>
            <w:tcMar>
              <w:top w:w="100" w:type="dxa"/>
              <w:left w:w="100" w:type="dxa"/>
              <w:bottom w:w="100" w:type="dxa"/>
              <w:right w:w="100" w:type="dxa"/>
            </w:tcMar>
          </w:tcPr>
          <w:p w14:paraId="6027A7BB" w14:textId="77777777" w:rsidR="001B26FB" w:rsidRDefault="001B26FB" w:rsidP="00270050">
            <w:pPr>
              <w:rPr>
                <w:rFonts w:ascii="Times New Roman" w:hAnsi="Times New Roman"/>
                <w:highlight w:val="yellow"/>
              </w:rPr>
            </w:pPr>
            <w:r>
              <w:rPr>
                <w:rFonts w:ascii="Times New Roman" w:hAnsi="Times New Roman"/>
                <w:highlight w:val="yellow"/>
              </w:rPr>
              <w:t>Most firms have certifications (ISO, HACCP) and follow regulations</w:t>
            </w:r>
          </w:p>
        </w:tc>
        <w:tc>
          <w:tcPr>
            <w:tcW w:w="2400" w:type="dxa"/>
            <w:tcMar>
              <w:top w:w="100" w:type="dxa"/>
              <w:left w:w="100" w:type="dxa"/>
              <w:bottom w:w="100" w:type="dxa"/>
              <w:right w:w="100" w:type="dxa"/>
            </w:tcMar>
          </w:tcPr>
          <w:p w14:paraId="6C5A9E67" w14:textId="77777777" w:rsidR="001B26FB" w:rsidRDefault="001B26FB" w:rsidP="00270050">
            <w:pPr>
              <w:rPr>
                <w:rFonts w:ascii="Times New Roman" w:hAnsi="Times New Roman"/>
                <w:highlight w:val="yellow"/>
              </w:rPr>
            </w:pPr>
            <w:r>
              <w:rPr>
                <w:rFonts w:ascii="Times New Roman" w:hAnsi="Times New Roman"/>
                <w:highlight w:val="yellow"/>
              </w:rPr>
              <w:t>Firms meet standards but under-communicate to consumers; visibility gap reduces perceived credibility</w:t>
            </w:r>
          </w:p>
          <w:p w14:paraId="6B7BBDB7" w14:textId="77777777" w:rsidR="001B26FB" w:rsidRDefault="001B26FB" w:rsidP="00270050">
            <w:pPr>
              <w:widowControl w:val="0"/>
              <w:pBdr>
                <w:top w:val="nil"/>
                <w:left w:val="nil"/>
                <w:bottom w:val="nil"/>
                <w:right w:val="nil"/>
                <w:between w:val="nil"/>
              </w:pBdr>
              <w:jc w:val="center"/>
              <w:rPr>
                <w:rFonts w:ascii="Times New Roman" w:hAnsi="Times New Roman"/>
                <w:highlight w:val="yellow"/>
              </w:rPr>
            </w:pPr>
          </w:p>
        </w:tc>
      </w:tr>
      <w:tr w:rsidR="001B26FB" w14:paraId="68628CE2" w14:textId="77777777" w:rsidTr="00270050">
        <w:tc>
          <w:tcPr>
            <w:tcW w:w="2340" w:type="dxa"/>
            <w:tcMar>
              <w:top w:w="100" w:type="dxa"/>
              <w:left w:w="100" w:type="dxa"/>
              <w:bottom w:w="100" w:type="dxa"/>
              <w:right w:w="100" w:type="dxa"/>
            </w:tcMar>
          </w:tcPr>
          <w:p w14:paraId="39A8B6AB" w14:textId="77777777" w:rsidR="001B26FB" w:rsidRDefault="001B26FB" w:rsidP="00270050">
            <w:pPr>
              <w:rPr>
                <w:rFonts w:ascii="Times New Roman" w:hAnsi="Times New Roman"/>
                <w:highlight w:val="yellow"/>
              </w:rPr>
            </w:pPr>
            <w:r>
              <w:rPr>
                <w:rFonts w:ascii="Times New Roman" w:hAnsi="Times New Roman"/>
                <w:highlight w:val="yellow"/>
              </w:rPr>
              <w:t>Transparency on ingredients</w:t>
            </w:r>
          </w:p>
        </w:tc>
        <w:tc>
          <w:tcPr>
            <w:tcW w:w="2340" w:type="dxa"/>
            <w:tcMar>
              <w:top w:w="100" w:type="dxa"/>
              <w:left w:w="100" w:type="dxa"/>
              <w:bottom w:w="100" w:type="dxa"/>
              <w:right w:w="100" w:type="dxa"/>
            </w:tcMar>
          </w:tcPr>
          <w:p w14:paraId="18748EE6" w14:textId="77777777" w:rsidR="001B26FB" w:rsidRDefault="001B26FB" w:rsidP="00270050">
            <w:pPr>
              <w:rPr>
                <w:rFonts w:ascii="Times New Roman" w:hAnsi="Times New Roman"/>
                <w:highlight w:val="yellow"/>
              </w:rPr>
            </w:pPr>
            <w:r>
              <w:rPr>
                <w:rFonts w:ascii="Times New Roman" w:hAnsi="Times New Roman"/>
                <w:highlight w:val="yellow"/>
              </w:rPr>
              <w:t>38%</w:t>
            </w:r>
          </w:p>
        </w:tc>
        <w:tc>
          <w:tcPr>
            <w:tcW w:w="2280" w:type="dxa"/>
            <w:tcMar>
              <w:top w:w="100" w:type="dxa"/>
              <w:left w:w="100" w:type="dxa"/>
              <w:bottom w:w="100" w:type="dxa"/>
              <w:right w:w="100" w:type="dxa"/>
            </w:tcMar>
          </w:tcPr>
          <w:p w14:paraId="4A9AB9B0" w14:textId="77777777" w:rsidR="001B26FB" w:rsidRDefault="001B26FB" w:rsidP="00270050">
            <w:pPr>
              <w:rPr>
                <w:rFonts w:ascii="Times New Roman" w:hAnsi="Times New Roman"/>
                <w:highlight w:val="yellow"/>
              </w:rPr>
            </w:pPr>
            <w:r>
              <w:rPr>
                <w:rFonts w:ascii="Times New Roman" w:hAnsi="Times New Roman"/>
                <w:highlight w:val="yellow"/>
              </w:rPr>
              <w:t>Few companies (B, D) disclose ingredients publicly; restaurants occasionally communicate sourcing</w:t>
            </w:r>
          </w:p>
        </w:tc>
        <w:tc>
          <w:tcPr>
            <w:tcW w:w="2400" w:type="dxa"/>
            <w:tcMar>
              <w:top w:w="100" w:type="dxa"/>
              <w:left w:w="100" w:type="dxa"/>
              <w:bottom w:w="100" w:type="dxa"/>
              <w:right w:w="100" w:type="dxa"/>
            </w:tcMar>
          </w:tcPr>
          <w:p w14:paraId="2CD26E41" w14:textId="77777777" w:rsidR="001B26FB" w:rsidRDefault="001B26FB" w:rsidP="00270050">
            <w:pPr>
              <w:rPr>
                <w:rFonts w:ascii="Times New Roman" w:hAnsi="Times New Roman"/>
                <w:highlight w:val="yellow"/>
              </w:rPr>
            </w:pPr>
            <w:r>
              <w:rPr>
                <w:rFonts w:ascii="Times New Roman" w:hAnsi="Times New Roman"/>
                <w:highlight w:val="yellow"/>
              </w:rPr>
              <w:t>Gap: consumers want ingredient transparency, but many firms/ restaurants do not actively share this</w:t>
            </w:r>
          </w:p>
          <w:p w14:paraId="1FDC7ADF" w14:textId="77777777" w:rsidR="001B26FB" w:rsidRDefault="001B26FB" w:rsidP="00270050">
            <w:pPr>
              <w:jc w:val="center"/>
              <w:rPr>
                <w:rFonts w:ascii="Times New Roman" w:hAnsi="Times New Roman"/>
                <w:highlight w:val="yellow"/>
              </w:rPr>
            </w:pPr>
          </w:p>
        </w:tc>
      </w:tr>
      <w:tr w:rsidR="001B26FB" w14:paraId="2E6EFC84" w14:textId="77777777" w:rsidTr="00270050">
        <w:tc>
          <w:tcPr>
            <w:tcW w:w="2340" w:type="dxa"/>
            <w:tcMar>
              <w:top w:w="100" w:type="dxa"/>
              <w:left w:w="100" w:type="dxa"/>
              <w:bottom w:w="100" w:type="dxa"/>
              <w:right w:w="100" w:type="dxa"/>
            </w:tcMar>
          </w:tcPr>
          <w:p w14:paraId="27C3AC12" w14:textId="77777777" w:rsidR="001B26FB" w:rsidRDefault="001B26FB" w:rsidP="00270050">
            <w:pPr>
              <w:rPr>
                <w:rFonts w:ascii="Times New Roman" w:hAnsi="Times New Roman"/>
                <w:highlight w:val="yellow"/>
              </w:rPr>
            </w:pPr>
            <w:r>
              <w:rPr>
                <w:rFonts w:ascii="Times New Roman" w:hAnsi="Times New Roman"/>
                <w:highlight w:val="yellow"/>
              </w:rPr>
              <w:t xml:space="preserve">Social Media Feedback and Reputation </w:t>
            </w:r>
          </w:p>
        </w:tc>
        <w:tc>
          <w:tcPr>
            <w:tcW w:w="2340" w:type="dxa"/>
            <w:tcMar>
              <w:top w:w="100" w:type="dxa"/>
              <w:left w:w="100" w:type="dxa"/>
              <w:bottom w:w="100" w:type="dxa"/>
              <w:right w:w="100" w:type="dxa"/>
            </w:tcMar>
          </w:tcPr>
          <w:p w14:paraId="18ACEC95" w14:textId="77777777" w:rsidR="001B26FB" w:rsidRDefault="001B26FB" w:rsidP="00270050">
            <w:pPr>
              <w:rPr>
                <w:rFonts w:ascii="Times New Roman" w:hAnsi="Times New Roman"/>
                <w:highlight w:val="yellow"/>
              </w:rPr>
            </w:pPr>
            <w:r>
              <w:rPr>
                <w:rFonts w:ascii="Times New Roman" w:hAnsi="Times New Roman"/>
                <w:highlight w:val="yellow"/>
              </w:rPr>
              <w:t xml:space="preserve">44.4% moderate to very strong influence </w:t>
            </w:r>
          </w:p>
        </w:tc>
        <w:tc>
          <w:tcPr>
            <w:tcW w:w="2280" w:type="dxa"/>
            <w:tcMar>
              <w:top w:w="100" w:type="dxa"/>
              <w:left w:w="100" w:type="dxa"/>
              <w:bottom w:w="100" w:type="dxa"/>
              <w:right w:w="100" w:type="dxa"/>
            </w:tcMar>
          </w:tcPr>
          <w:p w14:paraId="3CFCD2E4" w14:textId="77777777" w:rsidR="001B26FB" w:rsidRDefault="001B26FB" w:rsidP="00270050">
            <w:pPr>
              <w:rPr>
                <w:rFonts w:ascii="Times New Roman" w:hAnsi="Times New Roman"/>
                <w:highlight w:val="yellow"/>
              </w:rPr>
            </w:pPr>
            <w:r>
              <w:rPr>
                <w:rFonts w:ascii="Times New Roman" w:hAnsi="Times New Roman"/>
                <w:highlight w:val="yellow"/>
              </w:rPr>
              <w:t>All case studies use social media; few actively respond to negative feedback; some rely mainly on PR campaigns</w:t>
            </w:r>
          </w:p>
          <w:p w14:paraId="4A334899" w14:textId="77777777" w:rsidR="001B26FB" w:rsidRDefault="001B26FB" w:rsidP="00270050">
            <w:pPr>
              <w:rPr>
                <w:rFonts w:ascii="Times New Roman" w:hAnsi="Times New Roman"/>
                <w:highlight w:val="yellow"/>
              </w:rPr>
            </w:pPr>
          </w:p>
        </w:tc>
        <w:tc>
          <w:tcPr>
            <w:tcW w:w="2400" w:type="dxa"/>
            <w:tcMar>
              <w:top w:w="100" w:type="dxa"/>
              <w:left w:w="100" w:type="dxa"/>
              <w:bottom w:w="100" w:type="dxa"/>
              <w:right w:w="100" w:type="dxa"/>
            </w:tcMar>
          </w:tcPr>
          <w:p w14:paraId="2C74F245" w14:textId="77777777" w:rsidR="001B26FB" w:rsidRDefault="001B26FB" w:rsidP="00270050">
            <w:pPr>
              <w:rPr>
                <w:rFonts w:ascii="Times New Roman" w:hAnsi="Times New Roman"/>
                <w:highlight w:val="yellow"/>
              </w:rPr>
            </w:pPr>
            <w:r>
              <w:rPr>
                <w:rFonts w:ascii="Times New Roman" w:hAnsi="Times New Roman"/>
                <w:highlight w:val="yellow"/>
              </w:rPr>
              <w:t>Disconnect: consumers value engagement and dialogue; firms are more promotional than interactive</w:t>
            </w:r>
          </w:p>
          <w:p w14:paraId="1D7F0EFF" w14:textId="77777777" w:rsidR="001B26FB" w:rsidRDefault="001B26FB" w:rsidP="00270050">
            <w:pPr>
              <w:jc w:val="center"/>
              <w:rPr>
                <w:rFonts w:ascii="Times New Roman" w:hAnsi="Times New Roman"/>
                <w:highlight w:val="yellow"/>
              </w:rPr>
            </w:pPr>
          </w:p>
        </w:tc>
      </w:tr>
      <w:tr w:rsidR="001B26FB" w14:paraId="11448DD9" w14:textId="77777777" w:rsidTr="00270050">
        <w:tc>
          <w:tcPr>
            <w:tcW w:w="2340" w:type="dxa"/>
            <w:tcMar>
              <w:top w:w="100" w:type="dxa"/>
              <w:left w:w="100" w:type="dxa"/>
              <w:bottom w:w="100" w:type="dxa"/>
              <w:right w:w="100" w:type="dxa"/>
            </w:tcMar>
          </w:tcPr>
          <w:p w14:paraId="72DA3069" w14:textId="77777777" w:rsidR="001B26FB" w:rsidRDefault="001B26FB" w:rsidP="00270050">
            <w:pPr>
              <w:rPr>
                <w:rFonts w:ascii="Times New Roman" w:hAnsi="Times New Roman"/>
                <w:highlight w:val="yellow"/>
              </w:rPr>
            </w:pPr>
            <w:r>
              <w:rPr>
                <w:rFonts w:ascii="Times New Roman" w:hAnsi="Times New Roman"/>
                <w:highlight w:val="yellow"/>
              </w:rPr>
              <w:t xml:space="preserve">Corporate Social Responsibility </w:t>
            </w:r>
          </w:p>
        </w:tc>
        <w:tc>
          <w:tcPr>
            <w:tcW w:w="2340" w:type="dxa"/>
            <w:tcMar>
              <w:top w:w="100" w:type="dxa"/>
              <w:left w:w="100" w:type="dxa"/>
              <w:bottom w:w="100" w:type="dxa"/>
              <w:right w:w="100" w:type="dxa"/>
            </w:tcMar>
          </w:tcPr>
          <w:p w14:paraId="378031E4" w14:textId="77777777" w:rsidR="001B26FB" w:rsidRDefault="001B26FB" w:rsidP="00270050">
            <w:pPr>
              <w:rPr>
                <w:rFonts w:ascii="Times New Roman" w:hAnsi="Times New Roman"/>
                <w:highlight w:val="yellow"/>
              </w:rPr>
            </w:pPr>
            <w:r>
              <w:rPr>
                <w:rFonts w:ascii="Times New Roman" w:hAnsi="Times New Roman"/>
                <w:highlight w:val="yellow"/>
              </w:rPr>
              <w:t>58.1% yes, 31.1% maybe</w:t>
            </w:r>
          </w:p>
        </w:tc>
        <w:tc>
          <w:tcPr>
            <w:tcW w:w="2280" w:type="dxa"/>
            <w:tcMar>
              <w:top w:w="100" w:type="dxa"/>
              <w:left w:w="100" w:type="dxa"/>
              <w:bottom w:w="100" w:type="dxa"/>
              <w:right w:w="100" w:type="dxa"/>
            </w:tcMar>
          </w:tcPr>
          <w:p w14:paraId="4C06DA82" w14:textId="77777777" w:rsidR="001B26FB" w:rsidRDefault="001B26FB" w:rsidP="00270050">
            <w:pPr>
              <w:rPr>
                <w:rFonts w:ascii="Times New Roman" w:hAnsi="Times New Roman"/>
                <w:highlight w:val="yellow"/>
              </w:rPr>
            </w:pPr>
            <w:r>
              <w:rPr>
                <w:rFonts w:ascii="Times New Roman" w:hAnsi="Times New Roman"/>
                <w:highlight w:val="yellow"/>
              </w:rPr>
              <w:t>Companies B, D, E have informal CSR; while F integrates CSR strategically</w:t>
            </w:r>
          </w:p>
          <w:p w14:paraId="3DF98F88" w14:textId="77777777" w:rsidR="001B26FB" w:rsidRDefault="001B26FB" w:rsidP="00270050">
            <w:pPr>
              <w:rPr>
                <w:rFonts w:ascii="Times New Roman" w:hAnsi="Times New Roman"/>
                <w:highlight w:val="yellow"/>
              </w:rPr>
            </w:pPr>
          </w:p>
        </w:tc>
        <w:tc>
          <w:tcPr>
            <w:tcW w:w="2400" w:type="dxa"/>
            <w:tcMar>
              <w:top w:w="100" w:type="dxa"/>
              <w:left w:w="100" w:type="dxa"/>
              <w:bottom w:w="100" w:type="dxa"/>
              <w:right w:w="100" w:type="dxa"/>
            </w:tcMar>
          </w:tcPr>
          <w:p w14:paraId="2A043A3C" w14:textId="77777777" w:rsidR="001B26FB" w:rsidRDefault="001B26FB" w:rsidP="00270050">
            <w:pPr>
              <w:rPr>
                <w:rFonts w:ascii="Times New Roman" w:hAnsi="Times New Roman"/>
                <w:highlight w:val="yellow"/>
              </w:rPr>
            </w:pPr>
            <w:r>
              <w:rPr>
                <w:rFonts w:ascii="Times New Roman" w:hAnsi="Times New Roman"/>
                <w:highlight w:val="yellow"/>
              </w:rPr>
              <w:t>Gap: consumers expect visible, genuine CSR; informal or low-visibility efforts underperform in perception</w:t>
            </w:r>
          </w:p>
          <w:p w14:paraId="7F3AE3DD" w14:textId="77777777" w:rsidR="001B26FB" w:rsidRDefault="001B26FB" w:rsidP="00270050">
            <w:pPr>
              <w:jc w:val="center"/>
              <w:rPr>
                <w:rFonts w:ascii="Times New Roman" w:hAnsi="Times New Roman"/>
                <w:highlight w:val="yellow"/>
              </w:rPr>
            </w:pPr>
          </w:p>
        </w:tc>
      </w:tr>
      <w:tr w:rsidR="001B26FB" w14:paraId="1913A459" w14:textId="77777777" w:rsidTr="00270050">
        <w:tc>
          <w:tcPr>
            <w:tcW w:w="2340" w:type="dxa"/>
            <w:tcMar>
              <w:top w:w="100" w:type="dxa"/>
              <w:left w:w="100" w:type="dxa"/>
              <w:bottom w:w="100" w:type="dxa"/>
              <w:right w:w="100" w:type="dxa"/>
            </w:tcMar>
          </w:tcPr>
          <w:p w14:paraId="0E027B5A" w14:textId="77777777" w:rsidR="001B26FB" w:rsidRDefault="001B26FB" w:rsidP="00270050">
            <w:pPr>
              <w:rPr>
                <w:rFonts w:ascii="Times New Roman" w:hAnsi="Times New Roman"/>
                <w:highlight w:val="yellow"/>
              </w:rPr>
            </w:pPr>
            <w:r>
              <w:rPr>
                <w:rFonts w:ascii="Times New Roman" w:hAnsi="Times New Roman"/>
                <w:highlight w:val="yellow"/>
              </w:rPr>
              <w:t>Crisis Management</w:t>
            </w:r>
          </w:p>
        </w:tc>
        <w:tc>
          <w:tcPr>
            <w:tcW w:w="2340" w:type="dxa"/>
            <w:tcMar>
              <w:top w:w="100" w:type="dxa"/>
              <w:left w:w="100" w:type="dxa"/>
              <w:bottom w:w="100" w:type="dxa"/>
              <w:right w:w="100" w:type="dxa"/>
            </w:tcMar>
          </w:tcPr>
          <w:p w14:paraId="1042E40B" w14:textId="77777777" w:rsidR="001B26FB" w:rsidRDefault="001B26FB" w:rsidP="00270050">
            <w:pPr>
              <w:rPr>
                <w:rFonts w:ascii="Times New Roman" w:hAnsi="Times New Roman"/>
                <w:highlight w:val="yellow"/>
              </w:rPr>
            </w:pPr>
            <w:r>
              <w:rPr>
                <w:rFonts w:ascii="Times New Roman" w:hAnsi="Times New Roman"/>
                <w:highlight w:val="yellow"/>
              </w:rPr>
              <w:t>88.8% would stop purchases after a reputation crisis</w:t>
            </w:r>
          </w:p>
        </w:tc>
        <w:tc>
          <w:tcPr>
            <w:tcW w:w="2280" w:type="dxa"/>
            <w:tcMar>
              <w:top w:w="100" w:type="dxa"/>
              <w:left w:w="100" w:type="dxa"/>
              <w:bottom w:w="100" w:type="dxa"/>
              <w:right w:w="100" w:type="dxa"/>
            </w:tcMar>
          </w:tcPr>
          <w:p w14:paraId="7133443F" w14:textId="77777777" w:rsidR="001B26FB" w:rsidRDefault="001B26FB" w:rsidP="00270050">
            <w:pPr>
              <w:rPr>
                <w:rFonts w:ascii="Times New Roman" w:hAnsi="Times New Roman"/>
                <w:highlight w:val="yellow"/>
              </w:rPr>
            </w:pPr>
            <w:r>
              <w:rPr>
                <w:rFonts w:ascii="Times New Roman" w:hAnsi="Times New Roman"/>
                <w:highlight w:val="yellow"/>
              </w:rPr>
              <w:t>Only Company F has structured crisis processes; E and D manage crises ad hoc</w:t>
            </w:r>
          </w:p>
        </w:tc>
        <w:tc>
          <w:tcPr>
            <w:tcW w:w="2400" w:type="dxa"/>
            <w:tcMar>
              <w:top w:w="100" w:type="dxa"/>
              <w:left w:w="100" w:type="dxa"/>
              <w:bottom w:w="100" w:type="dxa"/>
              <w:right w:w="100" w:type="dxa"/>
            </w:tcMar>
          </w:tcPr>
          <w:p w14:paraId="56CE2550" w14:textId="77777777" w:rsidR="001B26FB" w:rsidRDefault="001B26FB" w:rsidP="00270050">
            <w:pPr>
              <w:rPr>
                <w:rFonts w:ascii="Times New Roman" w:hAnsi="Times New Roman"/>
                <w:highlight w:val="yellow"/>
              </w:rPr>
            </w:pPr>
            <w:r>
              <w:rPr>
                <w:rFonts w:ascii="Times New Roman" w:hAnsi="Times New Roman"/>
                <w:highlight w:val="yellow"/>
              </w:rPr>
              <w:t>Major gap: consumers demand prompt, transparent response; most firms/restaurants are not fully prepared</w:t>
            </w:r>
          </w:p>
          <w:p w14:paraId="3D7A54CA" w14:textId="77777777" w:rsidR="001B26FB" w:rsidRDefault="001B26FB" w:rsidP="00270050">
            <w:pPr>
              <w:jc w:val="center"/>
              <w:rPr>
                <w:rFonts w:ascii="Times New Roman" w:hAnsi="Times New Roman"/>
                <w:highlight w:val="yellow"/>
              </w:rPr>
            </w:pPr>
          </w:p>
        </w:tc>
      </w:tr>
      <w:tr w:rsidR="001B26FB" w14:paraId="1B5649EE" w14:textId="77777777" w:rsidTr="00270050">
        <w:tc>
          <w:tcPr>
            <w:tcW w:w="2340" w:type="dxa"/>
            <w:tcMar>
              <w:top w:w="100" w:type="dxa"/>
              <w:left w:w="100" w:type="dxa"/>
              <w:bottom w:w="100" w:type="dxa"/>
              <w:right w:w="100" w:type="dxa"/>
            </w:tcMar>
          </w:tcPr>
          <w:p w14:paraId="2194B171" w14:textId="77777777" w:rsidR="001B26FB" w:rsidRDefault="001B26FB" w:rsidP="00270050">
            <w:pPr>
              <w:rPr>
                <w:rFonts w:ascii="Times New Roman" w:hAnsi="Times New Roman"/>
                <w:highlight w:val="yellow"/>
              </w:rPr>
            </w:pPr>
            <w:r>
              <w:rPr>
                <w:rFonts w:ascii="Times New Roman" w:hAnsi="Times New Roman"/>
                <w:highlight w:val="yellow"/>
              </w:rPr>
              <w:t>Word of Mouth/ Recommendations</w:t>
            </w:r>
          </w:p>
        </w:tc>
        <w:tc>
          <w:tcPr>
            <w:tcW w:w="2340" w:type="dxa"/>
            <w:tcMar>
              <w:top w:w="100" w:type="dxa"/>
              <w:left w:w="100" w:type="dxa"/>
              <w:bottom w:w="100" w:type="dxa"/>
              <w:right w:w="100" w:type="dxa"/>
            </w:tcMar>
          </w:tcPr>
          <w:p w14:paraId="6067FDFC" w14:textId="77777777" w:rsidR="001B26FB" w:rsidRDefault="001B26FB" w:rsidP="00270050">
            <w:pPr>
              <w:rPr>
                <w:rFonts w:ascii="Times New Roman" w:hAnsi="Times New Roman"/>
                <w:highlight w:val="yellow"/>
              </w:rPr>
            </w:pPr>
            <w:r>
              <w:rPr>
                <w:rFonts w:ascii="Times New Roman" w:hAnsi="Times New Roman"/>
                <w:highlight w:val="yellow"/>
              </w:rPr>
              <w:t>54.8% always recommend</w:t>
            </w:r>
          </w:p>
        </w:tc>
        <w:tc>
          <w:tcPr>
            <w:tcW w:w="2280" w:type="dxa"/>
            <w:tcMar>
              <w:top w:w="100" w:type="dxa"/>
              <w:left w:w="100" w:type="dxa"/>
              <w:bottom w:w="100" w:type="dxa"/>
              <w:right w:w="100" w:type="dxa"/>
            </w:tcMar>
          </w:tcPr>
          <w:p w14:paraId="1087A6C2" w14:textId="77777777" w:rsidR="001B26FB" w:rsidRDefault="001B26FB" w:rsidP="00270050">
            <w:pPr>
              <w:rPr>
                <w:rFonts w:ascii="Times New Roman" w:hAnsi="Times New Roman"/>
                <w:highlight w:val="yellow"/>
              </w:rPr>
            </w:pPr>
            <w:r>
              <w:rPr>
                <w:rFonts w:ascii="Times New Roman" w:hAnsi="Times New Roman"/>
                <w:highlight w:val="yellow"/>
              </w:rPr>
              <w:t>Companies B, D, and restaurants partially encourage sharing; some limit influencer engagement</w:t>
            </w:r>
          </w:p>
          <w:p w14:paraId="3F151DC5" w14:textId="77777777" w:rsidR="001B26FB" w:rsidRDefault="001B26FB" w:rsidP="00270050">
            <w:pPr>
              <w:rPr>
                <w:rFonts w:ascii="Times New Roman" w:hAnsi="Times New Roman"/>
                <w:highlight w:val="yellow"/>
              </w:rPr>
            </w:pPr>
          </w:p>
        </w:tc>
        <w:tc>
          <w:tcPr>
            <w:tcW w:w="2400" w:type="dxa"/>
            <w:tcMar>
              <w:top w:w="100" w:type="dxa"/>
              <w:left w:w="100" w:type="dxa"/>
              <w:bottom w:w="100" w:type="dxa"/>
              <w:right w:w="100" w:type="dxa"/>
            </w:tcMar>
          </w:tcPr>
          <w:p w14:paraId="2823D85F" w14:textId="77777777" w:rsidR="001B26FB" w:rsidRDefault="001B26FB" w:rsidP="00270050">
            <w:pPr>
              <w:rPr>
                <w:rFonts w:ascii="Times New Roman" w:hAnsi="Times New Roman"/>
                <w:highlight w:val="yellow"/>
              </w:rPr>
            </w:pPr>
            <w:r>
              <w:rPr>
                <w:rFonts w:ascii="Times New Roman" w:hAnsi="Times New Roman"/>
                <w:highlight w:val="yellow"/>
              </w:rPr>
              <w:t>Disconnect: consumers rely heavily on social proof; firms could better leverage WOM and online engagement</w:t>
            </w:r>
          </w:p>
          <w:p w14:paraId="02308B22" w14:textId="77777777" w:rsidR="001B26FB" w:rsidRDefault="001B26FB" w:rsidP="00270050">
            <w:pPr>
              <w:jc w:val="center"/>
              <w:rPr>
                <w:rFonts w:ascii="Times New Roman" w:hAnsi="Times New Roman"/>
                <w:highlight w:val="yellow"/>
              </w:rPr>
            </w:pPr>
          </w:p>
        </w:tc>
      </w:tr>
    </w:tbl>
    <w:p w14:paraId="102E3A80" w14:textId="77777777" w:rsidR="001B26FB" w:rsidRPr="00524058" w:rsidRDefault="001B26FB" w:rsidP="00524058">
      <w:pPr>
        <w:spacing w:before="120" w:after="120"/>
        <w:jc w:val="both"/>
        <w:rPr>
          <w:rFonts w:ascii="Arial" w:hAnsi="Arial" w:cs="Arial"/>
        </w:rPr>
      </w:pPr>
    </w:p>
    <w:p w14:paraId="5161250C" w14:textId="77777777" w:rsidR="00524058" w:rsidRPr="00524058" w:rsidRDefault="00524058" w:rsidP="00524058">
      <w:pPr>
        <w:spacing w:before="120" w:after="120"/>
        <w:jc w:val="both"/>
        <w:rPr>
          <w:rFonts w:ascii="Arial" w:hAnsi="Arial" w:cs="Arial"/>
          <w:b/>
          <w:bCs/>
        </w:rPr>
      </w:pPr>
      <w:r w:rsidRPr="00524058">
        <w:rPr>
          <w:rFonts w:ascii="Arial" w:hAnsi="Arial" w:cs="Arial"/>
          <w:b/>
          <w:bCs/>
        </w:rPr>
        <w:t xml:space="preserve">5. DISCUSSION  </w:t>
      </w:r>
    </w:p>
    <w:p w14:paraId="16D70B83" w14:textId="77777777" w:rsidR="00524058" w:rsidRPr="00524058" w:rsidRDefault="00524058" w:rsidP="00524058">
      <w:pPr>
        <w:spacing w:before="120" w:after="120"/>
        <w:jc w:val="both"/>
        <w:rPr>
          <w:rFonts w:ascii="Arial" w:hAnsi="Arial" w:cs="Arial"/>
        </w:rPr>
      </w:pPr>
      <w:r w:rsidRPr="00524058">
        <w:rPr>
          <w:rFonts w:ascii="Arial" w:hAnsi="Arial" w:cs="Arial"/>
        </w:rPr>
        <w:t>Empirical​‍​‌‍​‍‌ findings have brought forward several highly significant perspectives about PR and corporate reputation in the Algerian agri-food sector. Among them are:</w:t>
      </w:r>
    </w:p>
    <w:p w14:paraId="52E16560" w14:textId="77777777" w:rsidR="00524058" w:rsidRPr="00524058" w:rsidRDefault="00524058" w:rsidP="00524058">
      <w:pPr>
        <w:spacing w:before="120" w:after="120"/>
        <w:jc w:val="both"/>
        <w:rPr>
          <w:rFonts w:ascii="Arial" w:hAnsi="Arial" w:cs="Arial"/>
        </w:rPr>
      </w:pPr>
      <w:r w:rsidRPr="00524058">
        <w:rPr>
          <w:rFonts w:ascii="Arial" w:hAnsi="Arial" w:cs="Arial"/>
        </w:rPr>
        <w:t>Firstly, PR systems are inconsistent across the companies examined. While in some instances there is proof of the use of a fully integrated approach, most cases show the use of informal or reactive strategies. Through this, it becomes clear that achieving operational excellence alone is not enough for the company to still be considered reputable by the public, hence the need for the formal use of PR mechanisms so that the good performance of the company is seen as credible.</w:t>
      </w:r>
    </w:p>
    <w:p w14:paraId="2BFAE3FA" w14:textId="77777777" w:rsidR="00524058" w:rsidRPr="00524058" w:rsidRDefault="00524058" w:rsidP="00524058">
      <w:pPr>
        <w:spacing w:before="120" w:after="120"/>
        <w:jc w:val="both"/>
        <w:rPr>
          <w:rFonts w:ascii="Arial" w:hAnsi="Arial" w:cs="Arial"/>
        </w:rPr>
      </w:pPr>
      <w:r w:rsidRPr="00524058">
        <w:rPr>
          <w:rFonts w:ascii="Arial" w:hAnsi="Arial" w:cs="Arial"/>
        </w:rPr>
        <w:t>Secondly, CSR genuineness is indispensable. Nowadays, consumers are getting more and more doubtful of superficial CSR initiatives; therefore, programs should be consistent, credible, and well-communicated. It has been illustrated through case studies that if the company does not give structured communication or does not integrate the corporate strategy, the CSR will only have a limited effect on the reputation, even if the company has the highest operational quality.</w:t>
      </w:r>
    </w:p>
    <w:p w14:paraId="5308A7F7" w14:textId="77777777" w:rsidR="00524058" w:rsidRPr="00524058" w:rsidRDefault="00524058" w:rsidP="00524058">
      <w:pPr>
        <w:spacing w:before="120" w:after="120"/>
        <w:jc w:val="both"/>
        <w:rPr>
          <w:rFonts w:ascii="Arial" w:hAnsi="Arial" w:cs="Arial"/>
        </w:rPr>
      </w:pPr>
      <w:r w:rsidRPr="00524058">
        <w:rPr>
          <w:rFonts w:ascii="Arial" w:hAnsi="Arial" w:cs="Arial"/>
        </w:rPr>
        <w:lastRenderedPageBreak/>
        <w:t>Thirdly, organizations need to take full advantage of digital engagement. Although most of them have social media accounts, the issue is that the interactions there are mostly one-sided and for promotion purposes only, not for dialogue. Two-way, quick digital PR communication can improve consumer perception by a great margin and thus result in the company’s quick recovery from bad publicity or scandal. Facebook and Instagram are the kind of platforms that are highly popular among the youth, hence the need for the company to provide interactive and transparent communication.</w:t>
      </w:r>
    </w:p>
    <w:p w14:paraId="0E2086C6" w14:textId="77777777" w:rsidR="00524058" w:rsidRPr="00524058" w:rsidRDefault="00524058" w:rsidP="00524058">
      <w:pPr>
        <w:spacing w:before="120" w:after="120"/>
        <w:jc w:val="both"/>
        <w:rPr>
          <w:rFonts w:ascii="Arial" w:hAnsi="Arial" w:cs="Arial"/>
        </w:rPr>
      </w:pPr>
      <w:r w:rsidRPr="00524058">
        <w:rPr>
          <w:rFonts w:ascii="Arial" w:hAnsi="Arial" w:cs="Arial"/>
        </w:rPr>
        <w:t>Fourthly, being prepared for crises is really a must. There was, however, only a handful of organizations that came with formal crisis protocols; the rest of them were basing their actions on ad hoc decisions. When it comes to crises, consumers give importance to three things: transparency, speed, and accountability. A company that handles a crisis situation in an incompetent way loses trust rapidly and, through this, shows the strategic value of having integrated PR and crisis management frameworks.</w:t>
      </w:r>
    </w:p>
    <w:p w14:paraId="10DF1DD1" w14:textId="77777777" w:rsidR="00524058" w:rsidRDefault="00524058" w:rsidP="00524058">
      <w:pPr>
        <w:spacing w:before="120" w:after="120"/>
        <w:jc w:val="both"/>
        <w:rPr>
          <w:rFonts w:ascii="Arial" w:hAnsi="Arial" w:cs="Arial"/>
        </w:rPr>
      </w:pPr>
      <w:r w:rsidRPr="00524058">
        <w:rPr>
          <w:rFonts w:ascii="Arial" w:hAnsi="Arial" w:cs="Arial"/>
        </w:rPr>
        <w:t>Lastly, the study confirms the synergy between the three key elements – operational quality, communication, and trust. By employing effective PR, a company can leverage its operational competence to build a solid reputation, while a mismatch in CSR authenticity, digital engagement, or crisis response might result in the undermining of even the highest-quality operations. In a market like Algeria, where consumer trust in food safety and corporate ethics matters a lot, companies cannot do without structured PR strategies if they are after gaining a sustainable competitive edge and long-term consumer ​‍​‌‍​‍‌loyalty.</w:t>
      </w:r>
    </w:p>
    <w:p w14:paraId="010A6F94" w14:textId="77777777" w:rsidR="00A26182" w:rsidRPr="00524058" w:rsidRDefault="00A26182" w:rsidP="00524058">
      <w:pPr>
        <w:spacing w:before="120" w:after="120"/>
        <w:jc w:val="both"/>
        <w:rPr>
          <w:rFonts w:ascii="Arial" w:hAnsi="Arial" w:cs="Arial"/>
        </w:rPr>
      </w:pPr>
    </w:p>
    <w:p w14:paraId="5A87A421" w14:textId="2A9EDE0D" w:rsidR="00524058" w:rsidRPr="00524058" w:rsidRDefault="00524058" w:rsidP="00524058">
      <w:pPr>
        <w:spacing w:before="120" w:after="120"/>
        <w:jc w:val="both"/>
        <w:rPr>
          <w:rFonts w:ascii="Arial" w:hAnsi="Arial" w:cs="Arial"/>
          <w:b/>
          <w:bCs/>
        </w:rPr>
      </w:pPr>
      <w:r w:rsidRPr="00524058">
        <w:rPr>
          <w:rFonts w:ascii="Arial" w:hAnsi="Arial" w:cs="Arial"/>
          <w:b/>
          <w:bCs/>
        </w:rPr>
        <w:t xml:space="preserve">6.  CONCLUSION </w:t>
      </w:r>
    </w:p>
    <w:p w14:paraId="20B07196" w14:textId="4C6F4226" w:rsidR="00524058" w:rsidRDefault="00524058" w:rsidP="00524058">
      <w:pPr>
        <w:spacing w:before="120" w:after="120"/>
        <w:jc w:val="both"/>
        <w:rPr>
          <w:rFonts w:ascii="Arial" w:hAnsi="Arial" w:cs="Arial"/>
        </w:rPr>
      </w:pPr>
      <w:r w:rsidRPr="00524058">
        <w:rPr>
          <w:rFonts w:ascii="Arial" w:hAnsi="Arial" w:cs="Arial"/>
        </w:rPr>
        <w:t xml:space="preserve">PR​‍​‌‍​‍‌ ought to be a regulated strategic management function either by means of dedicated units or through the integration of corporate structures. A formalized crisis response should be the focus of </w:t>
      </w:r>
      <w:r w:rsidR="00A26182" w:rsidRPr="00524058">
        <w:rPr>
          <w:rFonts w:ascii="Arial" w:hAnsi="Arial" w:cs="Arial"/>
        </w:rPr>
        <w:t>communication</w:t>
      </w:r>
      <w:r w:rsidRPr="00524058">
        <w:rPr>
          <w:rFonts w:ascii="Arial" w:hAnsi="Arial" w:cs="Arial"/>
        </w:rPr>
        <w:t xml:space="preserve"> that is clear, promptly delivered, and accountable. Integrity in operations, hygiene, and quality control should be the main working principles that a company's stakeholders are continuously kept abreast of. Engagement via digital means should be a planned activity where social media is used for communication, gathering information, and reputation management. CSR projects must be viable and a part of the overall communication strategy. These changes lead to the transformation of operational performance into perceived reputational strength, thus consumer trust, loyalty, and sustainable competitive advantage in the Algerian food industry are ​‍​‌‍​‍‌boosted.</w:t>
      </w:r>
    </w:p>
    <w:p w14:paraId="6492B638" w14:textId="5F42F4C2" w:rsidR="00A26182" w:rsidRDefault="00A26182" w:rsidP="00524058">
      <w:pPr>
        <w:spacing w:before="120" w:after="120"/>
        <w:jc w:val="both"/>
        <w:rPr>
          <w:rFonts w:ascii="Times New Roman" w:hAnsi="Times New Roman"/>
          <w:sz w:val="24"/>
          <w:szCs w:val="24"/>
          <w:highlight w:val="yellow"/>
        </w:rPr>
      </w:pPr>
      <w:r>
        <w:rPr>
          <w:rFonts w:ascii="Times New Roman" w:hAnsi="Times New Roman"/>
          <w:sz w:val="24"/>
          <w:szCs w:val="24"/>
          <w:highlight w:val="yellow"/>
        </w:rPr>
        <w:t>To sum up, the author considered that the 'perceptual gap' in the Algerian food sector arises from an outmoded communication approach. The Algerian companies have not been able to translate their "operational excellence" into "reputational excellence," although they have been quite successful in the first one. By applying Excellence Theory, SCCT, and Stakeholder Theory, these companies can align their technical performance to consumer perceptions. It will be a mistake for the Algerian food industry to think that having the most booming advertising campaign can take them into the future. The future is in having the strongest trust relationship, the one that can only be established with strategic, transparent, and authentic Public Relations.</w:t>
      </w:r>
    </w:p>
    <w:p w14:paraId="3E9F48AC" w14:textId="77777777" w:rsidR="00865E9B" w:rsidRPr="00865E9B" w:rsidRDefault="00865E9B" w:rsidP="00865E9B">
      <w:pPr>
        <w:spacing w:before="120" w:after="120"/>
        <w:jc w:val="both"/>
        <w:rPr>
          <w:rFonts w:ascii="Times New Roman" w:hAnsi="Times New Roman"/>
          <w:b/>
          <w:sz w:val="24"/>
          <w:szCs w:val="24"/>
        </w:rPr>
      </w:pPr>
      <w:r w:rsidRPr="00865E9B">
        <w:rPr>
          <w:rFonts w:ascii="Times New Roman" w:hAnsi="Times New Roman"/>
          <w:b/>
          <w:sz w:val="24"/>
          <w:szCs w:val="24"/>
        </w:rPr>
        <w:t xml:space="preserve">Consent </w:t>
      </w:r>
    </w:p>
    <w:p w14:paraId="26B49710" w14:textId="7FB3BE21" w:rsidR="00865E9B" w:rsidRDefault="00865E9B" w:rsidP="00865E9B">
      <w:pPr>
        <w:spacing w:before="120" w:after="120"/>
        <w:jc w:val="both"/>
        <w:rPr>
          <w:rFonts w:ascii="Times New Roman" w:hAnsi="Times New Roman"/>
          <w:sz w:val="24"/>
          <w:szCs w:val="24"/>
          <w:highlight w:val="yellow"/>
        </w:rPr>
      </w:pPr>
      <w:r w:rsidRPr="00865E9B">
        <w:rPr>
          <w:rFonts w:ascii="Times New Roman" w:hAnsi="Times New Roman"/>
          <w:sz w:val="24"/>
          <w:szCs w:val="24"/>
        </w:rPr>
        <w:t>As per international standards or university standards, Participants’ written consent has been collected and preserved by the author(s).</w:t>
      </w:r>
    </w:p>
    <w:p w14:paraId="1C6CDC2E" w14:textId="77777777" w:rsidR="00865E9B" w:rsidRPr="00865E9B" w:rsidRDefault="00865E9B" w:rsidP="00865E9B">
      <w:pPr>
        <w:spacing w:before="120" w:after="120"/>
        <w:jc w:val="both"/>
        <w:rPr>
          <w:rFonts w:ascii="Times New Roman" w:hAnsi="Times New Roman"/>
          <w:b/>
          <w:sz w:val="24"/>
          <w:szCs w:val="24"/>
        </w:rPr>
      </w:pPr>
      <w:r w:rsidRPr="00865E9B">
        <w:rPr>
          <w:rFonts w:ascii="Times New Roman" w:hAnsi="Times New Roman"/>
          <w:b/>
          <w:sz w:val="24"/>
          <w:szCs w:val="24"/>
        </w:rPr>
        <w:t>Disclaimer (Artificial intelligence)</w:t>
      </w:r>
    </w:p>
    <w:p w14:paraId="17479340" w14:textId="77777777" w:rsidR="00865E9B" w:rsidRPr="00865E9B" w:rsidRDefault="00865E9B" w:rsidP="00865E9B">
      <w:pPr>
        <w:spacing w:before="120" w:after="120"/>
        <w:jc w:val="both"/>
        <w:rPr>
          <w:rFonts w:ascii="Times New Roman" w:hAnsi="Times New Roman"/>
          <w:sz w:val="24"/>
          <w:szCs w:val="24"/>
        </w:rPr>
      </w:pPr>
      <w:r w:rsidRPr="00865E9B">
        <w:rPr>
          <w:rFonts w:ascii="Times New Roman" w:hAnsi="Times New Roman"/>
          <w:sz w:val="24"/>
          <w:szCs w:val="24"/>
        </w:rPr>
        <w:t xml:space="preserve">Option 1: </w:t>
      </w:r>
    </w:p>
    <w:p w14:paraId="2FE8BD1E" w14:textId="77777777" w:rsidR="00865E9B" w:rsidRPr="00865E9B" w:rsidRDefault="00865E9B" w:rsidP="00865E9B">
      <w:pPr>
        <w:spacing w:before="120" w:after="120"/>
        <w:jc w:val="both"/>
        <w:rPr>
          <w:rFonts w:ascii="Times New Roman" w:hAnsi="Times New Roman"/>
          <w:sz w:val="24"/>
          <w:szCs w:val="24"/>
        </w:rPr>
      </w:pPr>
      <w:r w:rsidRPr="00865E9B">
        <w:rPr>
          <w:rFonts w:ascii="Times New Roman" w:hAnsi="Times New Roman"/>
          <w:sz w:val="24"/>
          <w:szCs w:val="24"/>
        </w:rPr>
        <w:t>Author(s) hereby declare that NO generative AI technologies such as Large Language Models (</w:t>
      </w:r>
      <w:proofErr w:type="spellStart"/>
      <w:r w:rsidRPr="00865E9B">
        <w:rPr>
          <w:rFonts w:ascii="Times New Roman" w:hAnsi="Times New Roman"/>
          <w:sz w:val="24"/>
          <w:szCs w:val="24"/>
        </w:rPr>
        <w:t>ChatGPT</w:t>
      </w:r>
      <w:proofErr w:type="spellEnd"/>
      <w:r w:rsidRPr="00865E9B">
        <w:rPr>
          <w:rFonts w:ascii="Times New Roman" w:hAnsi="Times New Roman"/>
          <w:sz w:val="24"/>
          <w:szCs w:val="24"/>
        </w:rPr>
        <w:t xml:space="preserve">, COPILOT, etc.) and text-to-image generators have been used during the writing or editing of this manuscript. </w:t>
      </w:r>
    </w:p>
    <w:p w14:paraId="0EABEA97" w14:textId="77777777" w:rsidR="00865E9B" w:rsidRPr="00865E9B" w:rsidRDefault="00865E9B" w:rsidP="00865E9B">
      <w:pPr>
        <w:spacing w:before="120" w:after="120"/>
        <w:jc w:val="both"/>
        <w:rPr>
          <w:rFonts w:ascii="Times New Roman" w:hAnsi="Times New Roman"/>
          <w:sz w:val="24"/>
          <w:szCs w:val="24"/>
        </w:rPr>
      </w:pPr>
      <w:r w:rsidRPr="00865E9B">
        <w:rPr>
          <w:rFonts w:ascii="Times New Roman" w:hAnsi="Times New Roman"/>
          <w:sz w:val="24"/>
          <w:szCs w:val="24"/>
        </w:rPr>
        <w:t xml:space="preserve">Option 2: </w:t>
      </w:r>
    </w:p>
    <w:p w14:paraId="7453494A" w14:textId="77777777" w:rsidR="00865E9B" w:rsidRPr="00865E9B" w:rsidRDefault="00865E9B" w:rsidP="00865E9B">
      <w:pPr>
        <w:spacing w:before="120" w:after="120"/>
        <w:jc w:val="both"/>
        <w:rPr>
          <w:rFonts w:ascii="Times New Roman" w:hAnsi="Times New Roman"/>
          <w:sz w:val="24"/>
          <w:szCs w:val="24"/>
        </w:rPr>
      </w:pPr>
      <w:r w:rsidRPr="00865E9B">
        <w:rPr>
          <w:rFonts w:ascii="Times New Roman" w:hAnsi="Times New Roman"/>
          <w:sz w:val="24"/>
          <w:szCs w:val="24"/>
        </w:rPr>
        <w:t xml:space="preserve">Author(s) hereby declare that generative AI technologies such as Large Language Models, etc. have been used during the writing or editing of manuscripts. This explanation will include the </w:t>
      </w:r>
      <w:r w:rsidRPr="00865E9B">
        <w:rPr>
          <w:rFonts w:ascii="Times New Roman" w:hAnsi="Times New Roman"/>
          <w:sz w:val="24"/>
          <w:szCs w:val="24"/>
        </w:rPr>
        <w:lastRenderedPageBreak/>
        <w:t>name, version, model, and source of the generative AI technology and as well as all input prompts provided to the generative AI technology</w:t>
      </w:r>
    </w:p>
    <w:p w14:paraId="3A2FA30E" w14:textId="77777777" w:rsidR="00865E9B" w:rsidRPr="00865E9B" w:rsidRDefault="00865E9B" w:rsidP="00865E9B">
      <w:pPr>
        <w:spacing w:before="120" w:after="120"/>
        <w:jc w:val="both"/>
        <w:rPr>
          <w:rFonts w:ascii="Times New Roman" w:hAnsi="Times New Roman"/>
          <w:sz w:val="24"/>
          <w:szCs w:val="24"/>
        </w:rPr>
      </w:pPr>
      <w:r w:rsidRPr="00865E9B">
        <w:rPr>
          <w:rFonts w:ascii="Times New Roman" w:hAnsi="Times New Roman"/>
          <w:sz w:val="24"/>
          <w:szCs w:val="24"/>
        </w:rPr>
        <w:t>Details of the AI usage are given below:</w:t>
      </w:r>
    </w:p>
    <w:p w14:paraId="508F1DA3" w14:textId="77777777" w:rsidR="00865E9B" w:rsidRPr="00865E9B" w:rsidRDefault="00865E9B" w:rsidP="00865E9B">
      <w:pPr>
        <w:spacing w:before="120" w:after="120"/>
        <w:jc w:val="both"/>
        <w:rPr>
          <w:rFonts w:ascii="Times New Roman" w:hAnsi="Times New Roman"/>
          <w:sz w:val="24"/>
          <w:szCs w:val="24"/>
        </w:rPr>
      </w:pPr>
      <w:r w:rsidRPr="00865E9B">
        <w:rPr>
          <w:rFonts w:ascii="Times New Roman" w:hAnsi="Times New Roman"/>
          <w:sz w:val="24"/>
          <w:szCs w:val="24"/>
        </w:rPr>
        <w:t>1.</w:t>
      </w:r>
    </w:p>
    <w:p w14:paraId="1D70CFFB" w14:textId="77777777" w:rsidR="00865E9B" w:rsidRPr="00865E9B" w:rsidRDefault="00865E9B" w:rsidP="00865E9B">
      <w:pPr>
        <w:spacing w:before="120" w:after="120"/>
        <w:jc w:val="both"/>
        <w:rPr>
          <w:rFonts w:ascii="Times New Roman" w:hAnsi="Times New Roman"/>
          <w:sz w:val="24"/>
          <w:szCs w:val="24"/>
        </w:rPr>
      </w:pPr>
      <w:r w:rsidRPr="00865E9B">
        <w:rPr>
          <w:rFonts w:ascii="Times New Roman" w:hAnsi="Times New Roman"/>
          <w:sz w:val="24"/>
          <w:szCs w:val="24"/>
        </w:rPr>
        <w:t>2.</w:t>
      </w:r>
    </w:p>
    <w:p w14:paraId="38D50F73" w14:textId="0BE79AE4" w:rsidR="00865E9B" w:rsidRDefault="00865E9B" w:rsidP="00865E9B">
      <w:pPr>
        <w:spacing w:before="120" w:after="120"/>
        <w:jc w:val="both"/>
        <w:rPr>
          <w:rFonts w:ascii="Times New Roman" w:hAnsi="Times New Roman"/>
          <w:sz w:val="24"/>
          <w:szCs w:val="24"/>
          <w:highlight w:val="yellow"/>
        </w:rPr>
      </w:pPr>
      <w:r w:rsidRPr="00865E9B">
        <w:rPr>
          <w:rFonts w:ascii="Times New Roman" w:hAnsi="Times New Roman"/>
          <w:sz w:val="24"/>
          <w:szCs w:val="24"/>
        </w:rPr>
        <w:t>3.</w:t>
      </w:r>
    </w:p>
    <w:p w14:paraId="092CDFD5" w14:textId="77777777" w:rsidR="00865E9B" w:rsidRPr="00A26182" w:rsidRDefault="00865E9B" w:rsidP="00524058">
      <w:pPr>
        <w:spacing w:before="120" w:after="120"/>
        <w:jc w:val="both"/>
        <w:rPr>
          <w:rFonts w:ascii="Times New Roman" w:hAnsi="Times New Roman"/>
          <w:sz w:val="24"/>
          <w:szCs w:val="24"/>
          <w:highlight w:val="yellow"/>
        </w:rPr>
      </w:pPr>
    </w:p>
    <w:p w14:paraId="5F277E35" w14:textId="77777777" w:rsidR="00524058" w:rsidRPr="00524058" w:rsidRDefault="00524058" w:rsidP="00524058">
      <w:pPr>
        <w:spacing w:before="120" w:after="120"/>
        <w:jc w:val="both"/>
        <w:rPr>
          <w:rFonts w:ascii="Arial" w:hAnsi="Arial" w:cs="Arial"/>
        </w:rPr>
      </w:pPr>
    </w:p>
    <w:p w14:paraId="09218EC6" w14:textId="77777777" w:rsidR="00524058" w:rsidRPr="00C1118C" w:rsidRDefault="00524058" w:rsidP="00524058">
      <w:pPr>
        <w:spacing w:before="120" w:after="120"/>
        <w:jc w:val="both"/>
        <w:rPr>
          <w:rFonts w:ascii="Arial" w:hAnsi="Arial" w:cs="Arial"/>
          <w:b/>
          <w:bCs/>
        </w:rPr>
      </w:pPr>
      <w:r w:rsidRPr="00C1118C">
        <w:rPr>
          <w:rFonts w:ascii="Arial" w:hAnsi="Arial" w:cs="Arial"/>
          <w:b/>
          <w:bCs/>
        </w:rPr>
        <w:t xml:space="preserve">REFERENCES </w:t>
      </w:r>
    </w:p>
    <w:p w14:paraId="676EFB66"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Aaker, D. A. (1996). </w:t>
      </w:r>
      <w:r w:rsidRPr="00180436">
        <w:rPr>
          <w:rFonts w:ascii="Arial" w:hAnsi="Arial" w:cs="Arial"/>
          <w:i/>
          <w:iCs/>
        </w:rPr>
        <w:t>Building strong brands</w:t>
      </w:r>
      <w:r w:rsidRPr="00180436">
        <w:rPr>
          <w:rFonts w:ascii="Arial" w:hAnsi="Arial" w:cs="Arial"/>
        </w:rPr>
        <w:t>. Free Press.</w:t>
      </w:r>
    </w:p>
    <w:p w14:paraId="27AF5E1C" w14:textId="77777777" w:rsidR="00524058" w:rsidRDefault="00524058" w:rsidP="00180436">
      <w:pPr>
        <w:pStyle w:val="ListParagraph"/>
        <w:numPr>
          <w:ilvl w:val="0"/>
          <w:numId w:val="3"/>
        </w:numPr>
        <w:spacing w:before="240" w:after="240"/>
        <w:jc w:val="both"/>
      </w:pPr>
      <w:r w:rsidRPr="00180436">
        <w:rPr>
          <w:rFonts w:ascii="Arial" w:hAnsi="Arial" w:cs="Arial"/>
        </w:rPr>
        <w:t xml:space="preserve">Ali, R., Lynch, R., Melewar, T. C., &amp; </w:t>
      </w:r>
      <w:proofErr w:type="spellStart"/>
      <w:r w:rsidRPr="00180436">
        <w:rPr>
          <w:rFonts w:ascii="Arial" w:hAnsi="Arial" w:cs="Arial"/>
        </w:rPr>
        <w:t>Jin</w:t>
      </w:r>
      <w:proofErr w:type="spellEnd"/>
      <w:r w:rsidRPr="00180436">
        <w:rPr>
          <w:rFonts w:ascii="Arial" w:hAnsi="Arial" w:cs="Arial"/>
        </w:rPr>
        <w:t xml:space="preserve">, Z. (2019). Corporate social responsibility and customer loyalty in food chains: Mediating role of customer satisfaction and corporate reputation. </w:t>
      </w:r>
      <w:r w:rsidRPr="00180436">
        <w:rPr>
          <w:rFonts w:ascii="Arial" w:hAnsi="Arial" w:cs="Arial"/>
          <w:i/>
          <w:iCs/>
        </w:rPr>
        <w:t>Journal of Business Research, 95</w:t>
      </w:r>
      <w:r w:rsidRPr="00180436">
        <w:rPr>
          <w:rFonts w:ascii="Arial" w:hAnsi="Arial" w:cs="Arial"/>
        </w:rPr>
        <w:t>, 417–426.</w:t>
      </w:r>
      <w:hyperlink r:id="rId8">
        <w:r w:rsidRPr="00180436">
          <w:rPr>
            <w:rFonts w:ascii="Arial" w:hAnsi="Arial" w:cs="Arial"/>
          </w:rPr>
          <w:t xml:space="preserve"> </w:t>
        </w:r>
      </w:hyperlink>
      <w:hyperlink r:id="rId9">
        <w:r w:rsidRPr="00180436">
          <w:rPr>
            <w:rFonts w:ascii="Arial" w:hAnsi="Arial" w:cs="Arial"/>
          </w:rPr>
          <w:t>https://doi.org/10.1016/j.jbusres.2018.07.038</w:t>
        </w:r>
      </w:hyperlink>
    </w:p>
    <w:p w14:paraId="0DBA1AC9" w14:textId="77777777" w:rsidR="00524058" w:rsidRPr="00180436" w:rsidRDefault="00524058" w:rsidP="00180436">
      <w:pPr>
        <w:pStyle w:val="ListParagraph"/>
        <w:numPr>
          <w:ilvl w:val="0"/>
          <w:numId w:val="3"/>
        </w:numPr>
        <w:spacing w:before="240" w:after="240"/>
        <w:jc w:val="both"/>
        <w:rPr>
          <w:rFonts w:ascii="Arial" w:hAnsi="Arial" w:cs="Arial"/>
        </w:rPr>
      </w:pPr>
      <w:proofErr w:type="spellStart"/>
      <w:r w:rsidRPr="00180436">
        <w:rPr>
          <w:rFonts w:ascii="Arial" w:hAnsi="Arial" w:cs="Arial"/>
        </w:rPr>
        <w:t>Argenti</w:t>
      </w:r>
      <w:proofErr w:type="spellEnd"/>
      <w:r w:rsidRPr="00180436">
        <w:rPr>
          <w:rFonts w:ascii="Arial" w:hAnsi="Arial" w:cs="Arial"/>
        </w:rPr>
        <w:t xml:space="preserve">, P. A. (2016). </w:t>
      </w:r>
      <w:r w:rsidRPr="00180436">
        <w:rPr>
          <w:rFonts w:ascii="Arial" w:hAnsi="Arial" w:cs="Arial"/>
          <w:i/>
          <w:iCs/>
        </w:rPr>
        <w:t>Corporate communication</w:t>
      </w:r>
      <w:r w:rsidRPr="00180436">
        <w:rPr>
          <w:rFonts w:ascii="Arial" w:hAnsi="Arial" w:cs="Arial"/>
        </w:rPr>
        <w:t xml:space="preserve"> (7th ed.). McGraw-Hill Education.</w:t>
      </w:r>
    </w:p>
    <w:p w14:paraId="37A256DB" w14:textId="6E0FFADE"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Aula, P. (2010). Social media, reputation risk and ambient publicity management. </w:t>
      </w:r>
      <w:r w:rsidRPr="00180436">
        <w:rPr>
          <w:rFonts w:ascii="Arial" w:hAnsi="Arial" w:cs="Arial"/>
          <w:i/>
          <w:iCs/>
        </w:rPr>
        <w:t>Strategy &amp; Leadership, 38</w:t>
      </w:r>
      <w:r w:rsidRPr="00180436">
        <w:rPr>
          <w:rFonts w:ascii="Arial" w:hAnsi="Arial" w:cs="Arial"/>
        </w:rPr>
        <w:t>(6), 43–49.</w:t>
      </w:r>
      <w:hyperlink r:id="rId10">
        <w:r w:rsidRPr="00180436">
          <w:rPr>
            <w:rFonts w:ascii="Arial" w:hAnsi="Arial" w:cs="Arial"/>
          </w:rPr>
          <w:t xml:space="preserve"> </w:t>
        </w:r>
      </w:hyperlink>
      <w:hyperlink r:id="rId11" w:history="1">
        <w:r w:rsidR="00C36290" w:rsidRPr="00180436">
          <w:rPr>
            <w:rStyle w:val="Hyperlink"/>
            <w:rFonts w:ascii="Arial" w:hAnsi="Arial" w:cs="Arial"/>
          </w:rPr>
          <w:t>https://doi.org/10.1108/10878571011088069</w:t>
        </w:r>
      </w:hyperlink>
    </w:p>
    <w:p w14:paraId="69EACE1F"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Avery, E. J., </w:t>
      </w:r>
      <w:proofErr w:type="spellStart"/>
      <w:r w:rsidRPr="00180436">
        <w:rPr>
          <w:rFonts w:ascii="Arial" w:hAnsi="Arial" w:cs="Arial"/>
        </w:rPr>
        <w:t>Lariscy</w:t>
      </w:r>
      <w:proofErr w:type="spellEnd"/>
      <w:r w:rsidRPr="00180436">
        <w:rPr>
          <w:rFonts w:ascii="Arial" w:hAnsi="Arial" w:cs="Arial"/>
        </w:rPr>
        <w:t xml:space="preserve">, R. W., Kim, S., &amp; </w:t>
      </w:r>
      <w:proofErr w:type="spellStart"/>
      <w:r w:rsidRPr="00180436">
        <w:rPr>
          <w:rFonts w:ascii="Arial" w:hAnsi="Arial" w:cs="Arial"/>
        </w:rPr>
        <w:t>Hocke</w:t>
      </w:r>
      <w:proofErr w:type="spellEnd"/>
      <w:r w:rsidRPr="00180436">
        <w:rPr>
          <w:rFonts w:ascii="Arial" w:hAnsi="Arial" w:cs="Arial"/>
        </w:rPr>
        <w:t xml:space="preserve">, T. (2010). A quantitative review of crisis communication research in public relations from 1991 to 2009. </w:t>
      </w:r>
      <w:r w:rsidRPr="00180436">
        <w:rPr>
          <w:rFonts w:ascii="Arial" w:hAnsi="Arial" w:cs="Arial"/>
          <w:i/>
          <w:iCs/>
        </w:rPr>
        <w:t>Public Relations Review, 36</w:t>
      </w:r>
      <w:r w:rsidRPr="00180436">
        <w:rPr>
          <w:rFonts w:ascii="Arial" w:hAnsi="Arial" w:cs="Arial"/>
        </w:rPr>
        <w:t>(2), 190–192.</w:t>
      </w:r>
      <w:hyperlink r:id="rId12">
        <w:r w:rsidRPr="00180436">
          <w:rPr>
            <w:rFonts w:ascii="Arial" w:hAnsi="Arial" w:cs="Arial"/>
          </w:rPr>
          <w:t xml:space="preserve"> </w:t>
        </w:r>
      </w:hyperlink>
      <w:hyperlink r:id="rId13">
        <w:r w:rsidRPr="00180436">
          <w:rPr>
            <w:rFonts w:ascii="Arial" w:hAnsi="Arial" w:cs="Arial"/>
          </w:rPr>
          <w:t>https://doi.org/10.1016/j.pubrev.2010.01.001</w:t>
        </w:r>
      </w:hyperlink>
    </w:p>
    <w:p w14:paraId="6FF26ECC"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Balmer, J. M. T., &amp; </w:t>
      </w:r>
      <w:proofErr w:type="spellStart"/>
      <w:r w:rsidRPr="00180436">
        <w:rPr>
          <w:rFonts w:ascii="Arial" w:hAnsi="Arial" w:cs="Arial"/>
        </w:rPr>
        <w:t>Greyser</w:t>
      </w:r>
      <w:proofErr w:type="spellEnd"/>
      <w:r w:rsidRPr="00180436">
        <w:rPr>
          <w:rFonts w:ascii="Arial" w:hAnsi="Arial" w:cs="Arial"/>
        </w:rPr>
        <w:t xml:space="preserve">, S. A. (2003). </w:t>
      </w:r>
      <w:r w:rsidRPr="00180436">
        <w:rPr>
          <w:rFonts w:ascii="Arial" w:hAnsi="Arial" w:cs="Arial"/>
          <w:i/>
          <w:iCs/>
        </w:rPr>
        <w:t>Revealing the corporation: Perspectives on identity, image, reputation, corporate branding, and corporate-level marketing</w:t>
      </w:r>
      <w:r w:rsidRPr="00180436">
        <w:rPr>
          <w:rFonts w:ascii="Arial" w:hAnsi="Arial" w:cs="Arial"/>
        </w:rPr>
        <w:t>. Routledge.</w:t>
      </w:r>
    </w:p>
    <w:p w14:paraId="42918BC2"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Benoit, W. L. (1997). Image repair discourse and crisis communication. </w:t>
      </w:r>
      <w:r w:rsidRPr="00180436">
        <w:rPr>
          <w:rFonts w:ascii="Arial" w:hAnsi="Arial" w:cs="Arial"/>
          <w:i/>
          <w:iCs/>
        </w:rPr>
        <w:t>Public Relations Review, 23</w:t>
      </w:r>
      <w:r w:rsidRPr="00180436">
        <w:rPr>
          <w:rFonts w:ascii="Arial" w:hAnsi="Arial" w:cs="Arial"/>
        </w:rPr>
        <w:t>(2), 177–186.</w:t>
      </w:r>
      <w:hyperlink r:id="rId14">
        <w:r w:rsidRPr="00180436">
          <w:rPr>
            <w:rFonts w:ascii="Arial" w:hAnsi="Arial" w:cs="Arial"/>
          </w:rPr>
          <w:t xml:space="preserve"> </w:t>
        </w:r>
      </w:hyperlink>
      <w:hyperlink r:id="rId15">
        <w:r w:rsidRPr="00180436">
          <w:rPr>
            <w:rFonts w:ascii="Arial" w:hAnsi="Arial" w:cs="Arial"/>
          </w:rPr>
          <w:t>https://doi.org/10.1016/S0363-8111(97)90023-0</w:t>
        </w:r>
      </w:hyperlink>
    </w:p>
    <w:p w14:paraId="64AB70DC" w14:textId="77777777" w:rsidR="00524058" w:rsidRPr="00180436" w:rsidRDefault="00524058" w:rsidP="00180436">
      <w:pPr>
        <w:pStyle w:val="ListParagraph"/>
        <w:numPr>
          <w:ilvl w:val="0"/>
          <w:numId w:val="3"/>
        </w:numPr>
        <w:spacing w:before="240" w:after="240"/>
        <w:jc w:val="both"/>
        <w:rPr>
          <w:rFonts w:ascii="Arial" w:hAnsi="Arial" w:cs="Arial"/>
        </w:rPr>
      </w:pPr>
      <w:proofErr w:type="spellStart"/>
      <w:r w:rsidRPr="00180436">
        <w:rPr>
          <w:rFonts w:ascii="Arial" w:hAnsi="Arial" w:cs="Arial"/>
        </w:rPr>
        <w:t>Botan</w:t>
      </w:r>
      <w:proofErr w:type="spellEnd"/>
      <w:r w:rsidRPr="00180436">
        <w:rPr>
          <w:rFonts w:ascii="Arial" w:hAnsi="Arial" w:cs="Arial"/>
        </w:rPr>
        <w:t xml:space="preserve">, C., &amp; Hazleton, V. (2006). </w:t>
      </w:r>
      <w:r w:rsidRPr="00180436">
        <w:rPr>
          <w:rFonts w:ascii="Arial" w:hAnsi="Arial" w:cs="Arial"/>
          <w:i/>
          <w:iCs/>
        </w:rPr>
        <w:t>Public relations theory II</w:t>
      </w:r>
      <w:r w:rsidRPr="00180436">
        <w:rPr>
          <w:rFonts w:ascii="Arial" w:hAnsi="Arial" w:cs="Arial"/>
        </w:rPr>
        <w:t>. Lawrence Erlbaum Associates.</w:t>
      </w:r>
    </w:p>
    <w:p w14:paraId="20158A88"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Braun, V., &amp; Clarke, V. (2006). Using thematic analysis in psychology. </w:t>
      </w:r>
      <w:r w:rsidRPr="00180436">
        <w:rPr>
          <w:rFonts w:ascii="Arial" w:hAnsi="Arial" w:cs="Arial"/>
          <w:i/>
          <w:iCs/>
        </w:rPr>
        <w:t>Qualitative Research in Psychology, 3</w:t>
      </w:r>
      <w:r w:rsidRPr="00180436">
        <w:rPr>
          <w:rFonts w:ascii="Arial" w:hAnsi="Arial" w:cs="Arial"/>
        </w:rPr>
        <w:t>(2), 77–101.</w:t>
      </w:r>
      <w:hyperlink r:id="rId16">
        <w:r w:rsidRPr="00180436">
          <w:rPr>
            <w:rFonts w:ascii="Arial" w:hAnsi="Arial" w:cs="Arial"/>
          </w:rPr>
          <w:t xml:space="preserve"> </w:t>
        </w:r>
      </w:hyperlink>
      <w:hyperlink r:id="rId17">
        <w:r w:rsidRPr="00180436">
          <w:rPr>
            <w:rFonts w:ascii="Arial" w:hAnsi="Arial" w:cs="Arial"/>
          </w:rPr>
          <w:t>https://doi.org/10.1191/1478088706qp063oa</w:t>
        </w:r>
      </w:hyperlink>
    </w:p>
    <w:p w14:paraId="75703861"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British Psychological Society. (2021). </w:t>
      </w:r>
      <w:r w:rsidRPr="00180436">
        <w:rPr>
          <w:rFonts w:ascii="Arial" w:hAnsi="Arial" w:cs="Arial"/>
          <w:i/>
          <w:iCs/>
        </w:rPr>
        <w:t>Code of human research ethics</w:t>
      </w:r>
      <w:r w:rsidRPr="00180436">
        <w:rPr>
          <w:rFonts w:ascii="Arial" w:hAnsi="Arial" w:cs="Arial"/>
        </w:rPr>
        <w:t xml:space="preserve"> (4th ed.).</w:t>
      </w:r>
    </w:p>
    <w:p w14:paraId="6D2FCB2F"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Bryman, A. (2016). </w:t>
      </w:r>
      <w:r w:rsidRPr="00180436">
        <w:rPr>
          <w:rFonts w:ascii="Arial" w:hAnsi="Arial" w:cs="Arial"/>
          <w:i/>
          <w:iCs/>
        </w:rPr>
        <w:t>Social research methods</w:t>
      </w:r>
      <w:r w:rsidRPr="00180436">
        <w:rPr>
          <w:rFonts w:ascii="Arial" w:hAnsi="Arial" w:cs="Arial"/>
        </w:rPr>
        <w:t xml:space="preserve"> (5th ed.). Oxford University Press.</w:t>
      </w:r>
    </w:p>
    <w:p w14:paraId="5D92C448" w14:textId="6E39C0F2"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Carroll, A. B. (1999). Corporate social responsibility: Evolution of a definitional construct. </w:t>
      </w:r>
      <w:r w:rsidRPr="00180436">
        <w:rPr>
          <w:rFonts w:ascii="Arial" w:hAnsi="Arial" w:cs="Arial"/>
          <w:i/>
          <w:iCs/>
        </w:rPr>
        <w:t>Business &amp; Society, 38</w:t>
      </w:r>
      <w:r w:rsidRPr="00180436">
        <w:rPr>
          <w:rFonts w:ascii="Arial" w:hAnsi="Arial" w:cs="Arial"/>
        </w:rPr>
        <w:t>(3), 268–295.</w:t>
      </w:r>
      <w:r w:rsidR="00C36290" w:rsidRPr="00180436">
        <w:rPr>
          <w:rFonts w:ascii="Arial" w:hAnsi="Arial" w:cs="Arial"/>
        </w:rPr>
        <w:t xml:space="preserve"> </w:t>
      </w:r>
      <w:hyperlink r:id="rId18" w:history="1">
        <w:r w:rsidR="00C36290" w:rsidRPr="00180436">
          <w:rPr>
            <w:rStyle w:val="Hyperlink"/>
            <w:rFonts w:ascii="Arial" w:hAnsi="Arial" w:cs="Arial"/>
            <w:color w:val="auto"/>
            <w:u w:val="none"/>
          </w:rPr>
          <w:t>https://doi.org/10.1177/000765039903800303</w:t>
        </w:r>
      </w:hyperlink>
    </w:p>
    <w:p w14:paraId="6280E1E2"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Carroll, A. B., &amp; Brown, J. A. (2018). Corporate social responsibility: A review of current concepts, research, and issues. </w:t>
      </w:r>
      <w:r w:rsidRPr="00180436">
        <w:rPr>
          <w:rFonts w:ascii="Arial" w:hAnsi="Arial" w:cs="Arial"/>
          <w:i/>
          <w:iCs/>
        </w:rPr>
        <w:t>Business &amp; Society, 57</w:t>
      </w:r>
      <w:r w:rsidRPr="00180436">
        <w:rPr>
          <w:rFonts w:ascii="Arial" w:hAnsi="Arial" w:cs="Arial"/>
        </w:rPr>
        <w:t>(1), 7–23.</w:t>
      </w:r>
      <w:hyperlink r:id="rId19">
        <w:r w:rsidRPr="00180436">
          <w:rPr>
            <w:rFonts w:ascii="Arial" w:hAnsi="Arial" w:cs="Arial"/>
            <w:highlight w:val="yellow"/>
          </w:rPr>
          <w:t xml:space="preserve"> </w:t>
        </w:r>
      </w:hyperlink>
      <w:hyperlink r:id="rId20">
        <w:r w:rsidRPr="00180436">
          <w:rPr>
            <w:rFonts w:ascii="Arial" w:hAnsi="Arial" w:cs="Arial"/>
            <w:highlight w:val="yellow"/>
          </w:rPr>
          <w:t>https://doi.org/10.1177/0007650316680044</w:t>
        </w:r>
      </w:hyperlink>
    </w:p>
    <w:p w14:paraId="0566923E"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Chen, Y., Wang, Q., &amp; </w:t>
      </w:r>
      <w:proofErr w:type="spellStart"/>
      <w:r w:rsidRPr="00180436">
        <w:rPr>
          <w:rFonts w:ascii="Arial" w:hAnsi="Arial" w:cs="Arial"/>
        </w:rPr>
        <w:t>Xie</w:t>
      </w:r>
      <w:proofErr w:type="spellEnd"/>
      <w:r w:rsidRPr="00180436">
        <w:rPr>
          <w:rFonts w:ascii="Arial" w:hAnsi="Arial" w:cs="Arial"/>
        </w:rPr>
        <w:t xml:space="preserve">, J. (2011). Online social interactions: A natural experiment on word of mouth versus observational learning. </w:t>
      </w:r>
      <w:r w:rsidRPr="00180436">
        <w:rPr>
          <w:rFonts w:ascii="Arial" w:hAnsi="Arial" w:cs="Arial"/>
          <w:i/>
          <w:iCs/>
        </w:rPr>
        <w:t>Journal of Marketing Research, 48</w:t>
      </w:r>
      <w:r w:rsidRPr="00180436">
        <w:rPr>
          <w:rFonts w:ascii="Arial" w:hAnsi="Arial" w:cs="Arial"/>
        </w:rPr>
        <w:t>(2), 238–254.</w:t>
      </w:r>
      <w:hyperlink r:id="rId21">
        <w:r w:rsidRPr="00180436">
          <w:rPr>
            <w:rFonts w:ascii="Arial" w:hAnsi="Arial" w:cs="Arial"/>
          </w:rPr>
          <w:t xml:space="preserve"> </w:t>
        </w:r>
      </w:hyperlink>
      <w:hyperlink r:id="rId22">
        <w:r w:rsidRPr="00180436">
          <w:rPr>
            <w:rFonts w:ascii="Arial" w:hAnsi="Arial" w:cs="Arial"/>
          </w:rPr>
          <w:t>https://doi.org/10.1509/jmkr.48.2.238</w:t>
        </w:r>
      </w:hyperlink>
    </w:p>
    <w:p w14:paraId="4B0500A8"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Cheung, C. M. K., &amp; Thadani, D. R. (2012). The impact of electronic word-of-mouth communication: A literature analysis and integrative model. </w:t>
      </w:r>
      <w:r w:rsidRPr="00180436">
        <w:rPr>
          <w:rFonts w:ascii="Arial" w:hAnsi="Arial" w:cs="Arial"/>
          <w:i/>
          <w:iCs/>
        </w:rPr>
        <w:t>Decision Support Systems, 54</w:t>
      </w:r>
      <w:r w:rsidRPr="00180436">
        <w:rPr>
          <w:rFonts w:ascii="Arial" w:hAnsi="Arial" w:cs="Arial"/>
        </w:rPr>
        <w:t>(1), 461–470.</w:t>
      </w:r>
      <w:hyperlink r:id="rId23">
        <w:r w:rsidRPr="00180436">
          <w:rPr>
            <w:rFonts w:ascii="Arial" w:hAnsi="Arial" w:cs="Arial"/>
          </w:rPr>
          <w:t xml:space="preserve"> </w:t>
        </w:r>
      </w:hyperlink>
      <w:hyperlink r:id="rId24">
        <w:r w:rsidRPr="00180436">
          <w:rPr>
            <w:rFonts w:ascii="Arial" w:hAnsi="Arial" w:cs="Arial"/>
          </w:rPr>
          <w:t>https://doi.org/10.1016/j.dss.2012.06.008</w:t>
        </w:r>
      </w:hyperlink>
    </w:p>
    <w:p w14:paraId="19F70659"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Coombs, W. T. (2007). Protecting organization reputations during a crisis: The development and application of situational crisis communication theory. </w:t>
      </w:r>
      <w:r w:rsidRPr="00180436">
        <w:rPr>
          <w:rFonts w:ascii="Arial" w:hAnsi="Arial" w:cs="Arial"/>
          <w:i/>
          <w:iCs/>
        </w:rPr>
        <w:t>Corporate Reputation Review, 10</w:t>
      </w:r>
      <w:r w:rsidRPr="00180436">
        <w:rPr>
          <w:rFonts w:ascii="Arial" w:hAnsi="Arial" w:cs="Arial"/>
        </w:rPr>
        <w:t>(3), 163–176.</w:t>
      </w:r>
      <w:hyperlink r:id="rId25">
        <w:r w:rsidRPr="00180436">
          <w:rPr>
            <w:rFonts w:ascii="Arial" w:hAnsi="Arial" w:cs="Arial"/>
          </w:rPr>
          <w:t xml:space="preserve"> </w:t>
        </w:r>
      </w:hyperlink>
      <w:hyperlink r:id="rId26">
        <w:r w:rsidRPr="00180436">
          <w:rPr>
            <w:rFonts w:ascii="Arial" w:hAnsi="Arial" w:cs="Arial"/>
          </w:rPr>
          <w:t>https://doi.org/10.1057/palgrave.crr.1550049</w:t>
        </w:r>
      </w:hyperlink>
    </w:p>
    <w:p w14:paraId="34BB4B97"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Coombs, W. T. (2015). </w:t>
      </w:r>
      <w:r w:rsidRPr="00180436">
        <w:rPr>
          <w:rFonts w:ascii="Arial" w:hAnsi="Arial" w:cs="Arial"/>
          <w:i/>
          <w:iCs/>
        </w:rPr>
        <w:t>Ongoing crisis communication: Planning, managing, and responding</w:t>
      </w:r>
      <w:r w:rsidRPr="00180436">
        <w:rPr>
          <w:rFonts w:ascii="Arial" w:hAnsi="Arial" w:cs="Arial"/>
        </w:rPr>
        <w:t xml:space="preserve"> (4th ed.). SAGE Publications.</w:t>
      </w:r>
    </w:p>
    <w:p w14:paraId="104FAFBB"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Coombs, W. T., &amp; Holladay, S. J. (2012). </w:t>
      </w:r>
      <w:r w:rsidRPr="00180436">
        <w:rPr>
          <w:rFonts w:ascii="Arial" w:hAnsi="Arial" w:cs="Arial"/>
          <w:i/>
          <w:iCs/>
        </w:rPr>
        <w:t>The handbook of crisis communication</w:t>
      </w:r>
      <w:r w:rsidRPr="00180436">
        <w:rPr>
          <w:rFonts w:ascii="Arial" w:hAnsi="Arial" w:cs="Arial"/>
        </w:rPr>
        <w:t>. Wiley-Blackwell.</w:t>
      </w:r>
    </w:p>
    <w:p w14:paraId="5C156489"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Cornelissen, J. (2020). </w:t>
      </w:r>
      <w:r w:rsidRPr="00180436">
        <w:rPr>
          <w:rFonts w:ascii="Arial" w:hAnsi="Arial" w:cs="Arial"/>
          <w:i/>
          <w:iCs/>
        </w:rPr>
        <w:t>Corporate communication: A guide to theory and practice</w:t>
      </w:r>
      <w:r w:rsidRPr="00180436">
        <w:rPr>
          <w:rFonts w:ascii="Arial" w:hAnsi="Arial" w:cs="Arial"/>
        </w:rPr>
        <w:t xml:space="preserve"> (6th ed.). SAGE Publications.</w:t>
      </w:r>
    </w:p>
    <w:p w14:paraId="3BBEC02D"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Creswell, J. W. (2014). </w:t>
      </w:r>
      <w:r w:rsidRPr="00180436">
        <w:rPr>
          <w:rFonts w:ascii="Arial" w:hAnsi="Arial" w:cs="Arial"/>
          <w:i/>
          <w:iCs/>
        </w:rPr>
        <w:t>Research design: Qualitative, quantitative, and mixed methods approaches</w:t>
      </w:r>
      <w:r w:rsidRPr="00180436">
        <w:rPr>
          <w:rFonts w:ascii="Arial" w:hAnsi="Arial" w:cs="Arial"/>
        </w:rPr>
        <w:t xml:space="preserve"> (4th ed.). SAGE Publications.</w:t>
      </w:r>
    </w:p>
    <w:p w14:paraId="1FDF411C"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Creswell, J. W., &amp; Plano Clark, V. L. (2018). </w:t>
      </w:r>
      <w:r w:rsidRPr="00180436">
        <w:rPr>
          <w:rFonts w:ascii="Arial" w:hAnsi="Arial" w:cs="Arial"/>
          <w:i/>
          <w:iCs/>
        </w:rPr>
        <w:t>Designing and conducting mixed methods research</w:t>
      </w:r>
      <w:r w:rsidRPr="00180436">
        <w:rPr>
          <w:rFonts w:ascii="Arial" w:hAnsi="Arial" w:cs="Arial"/>
        </w:rPr>
        <w:t xml:space="preserve"> (3rd ed.). SAGE Publications.</w:t>
      </w:r>
    </w:p>
    <w:p w14:paraId="52D1A2F1" w14:textId="77777777" w:rsidR="00524058" w:rsidRPr="00180436" w:rsidRDefault="00524058" w:rsidP="00180436">
      <w:pPr>
        <w:pStyle w:val="ListParagraph"/>
        <w:numPr>
          <w:ilvl w:val="0"/>
          <w:numId w:val="3"/>
        </w:numPr>
        <w:spacing w:before="240" w:after="240"/>
        <w:jc w:val="both"/>
        <w:rPr>
          <w:rFonts w:ascii="Arial" w:hAnsi="Arial" w:cs="Arial"/>
        </w:rPr>
      </w:pPr>
      <w:proofErr w:type="spellStart"/>
      <w:r w:rsidRPr="00180436">
        <w:rPr>
          <w:rFonts w:ascii="Arial" w:hAnsi="Arial" w:cs="Arial"/>
        </w:rPr>
        <w:t>Cutlip</w:t>
      </w:r>
      <w:proofErr w:type="spellEnd"/>
      <w:r w:rsidRPr="00180436">
        <w:rPr>
          <w:rFonts w:ascii="Arial" w:hAnsi="Arial" w:cs="Arial"/>
        </w:rPr>
        <w:t xml:space="preserve">, S. M., Center, A. H., &amp; Broom, G. M. (2000). </w:t>
      </w:r>
      <w:r w:rsidRPr="00180436">
        <w:rPr>
          <w:rFonts w:ascii="Arial" w:hAnsi="Arial" w:cs="Arial"/>
          <w:i/>
          <w:iCs/>
        </w:rPr>
        <w:t>Effective public relations</w:t>
      </w:r>
      <w:r w:rsidRPr="00180436">
        <w:rPr>
          <w:rFonts w:ascii="Arial" w:hAnsi="Arial" w:cs="Arial"/>
        </w:rPr>
        <w:t xml:space="preserve"> (8th ed.). Prentice Hall.</w:t>
      </w:r>
    </w:p>
    <w:p w14:paraId="4F64D43D"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lastRenderedPageBreak/>
        <w:t xml:space="preserve">Davies, G., Chun, R., da Silva, R. V., &amp; Roper, S. (2003). </w:t>
      </w:r>
      <w:r w:rsidRPr="00180436">
        <w:rPr>
          <w:rFonts w:ascii="Arial" w:hAnsi="Arial" w:cs="Arial"/>
          <w:i/>
          <w:iCs/>
        </w:rPr>
        <w:t>Corporate reputation and competitiveness</w:t>
      </w:r>
      <w:r w:rsidRPr="00180436">
        <w:rPr>
          <w:rFonts w:ascii="Arial" w:hAnsi="Arial" w:cs="Arial"/>
        </w:rPr>
        <w:t>. Routledge.</w:t>
      </w:r>
    </w:p>
    <w:p w14:paraId="6A2EF615"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Delmas, M. A., &amp; </w:t>
      </w:r>
      <w:proofErr w:type="spellStart"/>
      <w:r w:rsidRPr="00180436">
        <w:rPr>
          <w:rFonts w:ascii="Arial" w:hAnsi="Arial" w:cs="Arial"/>
        </w:rPr>
        <w:t>Burbano</w:t>
      </w:r>
      <w:proofErr w:type="spellEnd"/>
      <w:r w:rsidRPr="00180436">
        <w:rPr>
          <w:rFonts w:ascii="Arial" w:hAnsi="Arial" w:cs="Arial"/>
        </w:rPr>
        <w:t xml:space="preserve">, V. C. (2011). The drivers of greenwashing. </w:t>
      </w:r>
      <w:r w:rsidRPr="00180436">
        <w:rPr>
          <w:rFonts w:ascii="Arial" w:hAnsi="Arial" w:cs="Arial"/>
          <w:i/>
          <w:iCs/>
        </w:rPr>
        <w:t>California Management Review, 54</w:t>
      </w:r>
      <w:r w:rsidRPr="00180436">
        <w:rPr>
          <w:rFonts w:ascii="Arial" w:hAnsi="Arial" w:cs="Arial"/>
        </w:rPr>
        <w:t>(1), 64–87.</w:t>
      </w:r>
      <w:hyperlink r:id="rId27">
        <w:r w:rsidRPr="00180436">
          <w:rPr>
            <w:rFonts w:ascii="Arial" w:hAnsi="Arial" w:cs="Arial"/>
          </w:rPr>
          <w:t xml:space="preserve"> </w:t>
        </w:r>
      </w:hyperlink>
      <w:hyperlink r:id="rId28">
        <w:r w:rsidRPr="00180436">
          <w:rPr>
            <w:rFonts w:ascii="Arial" w:hAnsi="Arial" w:cs="Arial"/>
          </w:rPr>
          <w:t>https://doi.org/10.1525/cmr.2011.54.1.64</w:t>
        </w:r>
      </w:hyperlink>
    </w:p>
    <w:p w14:paraId="26A3803D" w14:textId="1875307C" w:rsidR="00524058" w:rsidRPr="00180436" w:rsidRDefault="00524058" w:rsidP="00180436">
      <w:pPr>
        <w:pStyle w:val="ListParagraph"/>
        <w:numPr>
          <w:ilvl w:val="0"/>
          <w:numId w:val="3"/>
        </w:numPr>
        <w:spacing w:before="240" w:after="240"/>
        <w:jc w:val="both"/>
        <w:rPr>
          <w:rFonts w:ascii="Arial" w:hAnsi="Arial" w:cs="Arial"/>
        </w:rPr>
      </w:pPr>
      <w:proofErr w:type="spellStart"/>
      <w:r w:rsidRPr="00180436">
        <w:rPr>
          <w:rFonts w:ascii="Arial" w:hAnsi="Arial" w:cs="Arial"/>
        </w:rPr>
        <w:t>Djermoune</w:t>
      </w:r>
      <w:proofErr w:type="spellEnd"/>
      <w:r w:rsidRPr="00180436">
        <w:rPr>
          <w:rFonts w:ascii="Arial" w:hAnsi="Arial" w:cs="Arial"/>
        </w:rPr>
        <w:t xml:space="preserve">, M., &amp; Abdelkader, F. (2021). Social media marketing and consumer engagement in Algeria: A study on food industry practices. </w:t>
      </w:r>
      <w:r w:rsidRPr="00180436">
        <w:rPr>
          <w:rFonts w:ascii="Arial" w:hAnsi="Arial" w:cs="Arial"/>
          <w:i/>
          <w:iCs/>
        </w:rPr>
        <w:t>Journal of North African Business Studies, 8</w:t>
      </w:r>
      <w:r w:rsidRPr="00180436">
        <w:rPr>
          <w:rFonts w:ascii="Arial" w:hAnsi="Arial" w:cs="Arial"/>
        </w:rPr>
        <w:t>(2), 45–62.</w:t>
      </w:r>
      <w:r w:rsidR="00AB5447" w:rsidRPr="00180436">
        <w:rPr>
          <w:rFonts w:ascii="Arial" w:hAnsi="Arial" w:cs="Arial"/>
        </w:rPr>
        <w:t xml:space="preserve"> </w:t>
      </w:r>
      <w:r w:rsidR="00AB5447" w:rsidRPr="00180436">
        <w:rPr>
          <w:rFonts w:ascii="Arial" w:hAnsi="Arial" w:cs="Arial"/>
          <w:highlight w:val="yellow"/>
        </w:rPr>
        <w:t>DOI:</w:t>
      </w:r>
      <w:hyperlink r:id="rId29" w:tgtFrame="_blank" w:history="1">
        <w:r w:rsidR="00AB5447" w:rsidRPr="00180436">
          <w:rPr>
            <w:rStyle w:val="Hyperlink"/>
            <w:rFonts w:ascii="Arial" w:hAnsi="Arial" w:cs="Arial"/>
            <w:color w:val="auto"/>
            <w:highlight w:val="yellow"/>
            <w:u w:val="none"/>
          </w:rPr>
          <w:t>10.24123/</w:t>
        </w:r>
        <w:proofErr w:type="gramStart"/>
        <w:r w:rsidR="00AB5447" w:rsidRPr="00180436">
          <w:rPr>
            <w:rStyle w:val="Hyperlink"/>
            <w:rFonts w:ascii="Arial" w:hAnsi="Arial" w:cs="Arial"/>
            <w:color w:val="auto"/>
            <w:highlight w:val="yellow"/>
            <w:u w:val="none"/>
          </w:rPr>
          <w:t>mabis.v</w:t>
        </w:r>
        <w:proofErr w:type="gramEnd"/>
        <w:r w:rsidR="00AB5447" w:rsidRPr="00180436">
          <w:rPr>
            <w:rStyle w:val="Hyperlink"/>
            <w:rFonts w:ascii="Arial" w:hAnsi="Arial" w:cs="Arial"/>
            <w:color w:val="auto"/>
            <w:highlight w:val="yellow"/>
            <w:u w:val="none"/>
          </w:rPr>
          <w:t>24i1.844</w:t>
        </w:r>
      </w:hyperlink>
    </w:p>
    <w:p w14:paraId="697B5A42"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Dowling, G. R. (2001). </w:t>
      </w:r>
      <w:r w:rsidRPr="00180436">
        <w:rPr>
          <w:rFonts w:ascii="Arial" w:hAnsi="Arial" w:cs="Arial"/>
          <w:i/>
          <w:iCs/>
        </w:rPr>
        <w:t>Creating corporate reputations: Identity, image, and performance</w:t>
      </w:r>
      <w:r w:rsidRPr="00180436">
        <w:rPr>
          <w:rFonts w:ascii="Arial" w:hAnsi="Arial" w:cs="Arial"/>
        </w:rPr>
        <w:t>. Oxford University Press.</w:t>
      </w:r>
    </w:p>
    <w:p w14:paraId="3C42755C"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Erkan, I., &amp; Evans, C. (2016). The influence of </w:t>
      </w:r>
      <w:proofErr w:type="spellStart"/>
      <w:r w:rsidRPr="00180436">
        <w:rPr>
          <w:rFonts w:ascii="Arial" w:hAnsi="Arial" w:cs="Arial"/>
        </w:rPr>
        <w:t>eWOM</w:t>
      </w:r>
      <w:proofErr w:type="spellEnd"/>
      <w:r w:rsidRPr="00180436">
        <w:rPr>
          <w:rFonts w:ascii="Arial" w:hAnsi="Arial" w:cs="Arial"/>
        </w:rPr>
        <w:t xml:space="preserve"> in social media on consumers’ purchase intentions. </w:t>
      </w:r>
      <w:r w:rsidRPr="00180436">
        <w:rPr>
          <w:rFonts w:ascii="Arial" w:hAnsi="Arial" w:cs="Arial"/>
          <w:i/>
          <w:iCs/>
        </w:rPr>
        <w:t>Computers in Human Behavior, 61</w:t>
      </w:r>
      <w:r w:rsidRPr="00180436">
        <w:rPr>
          <w:rFonts w:ascii="Arial" w:hAnsi="Arial" w:cs="Arial"/>
        </w:rPr>
        <w:t>, 47–55.</w:t>
      </w:r>
      <w:hyperlink r:id="rId30">
        <w:r w:rsidRPr="00180436">
          <w:rPr>
            <w:rFonts w:ascii="Arial" w:hAnsi="Arial" w:cs="Arial"/>
          </w:rPr>
          <w:t xml:space="preserve"> </w:t>
        </w:r>
      </w:hyperlink>
      <w:hyperlink r:id="rId31">
        <w:r w:rsidRPr="00180436">
          <w:rPr>
            <w:rFonts w:ascii="Arial" w:hAnsi="Arial" w:cs="Arial"/>
          </w:rPr>
          <w:t>https://doi.org/10.1016/j.chb.2016.03.003</w:t>
        </w:r>
      </w:hyperlink>
    </w:p>
    <w:p w14:paraId="5C9D2D07" w14:textId="77777777" w:rsidR="00524058" w:rsidRPr="00180436" w:rsidRDefault="00524058" w:rsidP="00180436">
      <w:pPr>
        <w:pStyle w:val="ListParagraph"/>
        <w:numPr>
          <w:ilvl w:val="0"/>
          <w:numId w:val="3"/>
        </w:numPr>
        <w:spacing w:before="240" w:after="240"/>
        <w:jc w:val="both"/>
        <w:rPr>
          <w:rFonts w:ascii="Arial" w:hAnsi="Arial" w:cs="Arial"/>
        </w:rPr>
      </w:pPr>
      <w:proofErr w:type="spellStart"/>
      <w:r w:rsidRPr="00180436">
        <w:rPr>
          <w:rFonts w:ascii="Arial" w:hAnsi="Arial" w:cs="Arial"/>
        </w:rPr>
        <w:t>Fombrun</w:t>
      </w:r>
      <w:proofErr w:type="spellEnd"/>
      <w:r w:rsidRPr="00180436">
        <w:rPr>
          <w:rFonts w:ascii="Arial" w:hAnsi="Arial" w:cs="Arial"/>
        </w:rPr>
        <w:t xml:space="preserve">, C. J. (1996). </w:t>
      </w:r>
      <w:r w:rsidRPr="00180436">
        <w:rPr>
          <w:rFonts w:ascii="Arial" w:hAnsi="Arial" w:cs="Arial"/>
          <w:i/>
          <w:iCs/>
        </w:rPr>
        <w:t>Reputation: Realizing value from the corporate image</w:t>
      </w:r>
      <w:r w:rsidRPr="00180436">
        <w:rPr>
          <w:rFonts w:ascii="Arial" w:hAnsi="Arial" w:cs="Arial"/>
        </w:rPr>
        <w:t>. Harvard Business School Press.</w:t>
      </w:r>
    </w:p>
    <w:p w14:paraId="14D540E2" w14:textId="77777777" w:rsidR="00524058" w:rsidRPr="00180436" w:rsidRDefault="00524058" w:rsidP="00180436">
      <w:pPr>
        <w:pStyle w:val="ListParagraph"/>
        <w:numPr>
          <w:ilvl w:val="0"/>
          <w:numId w:val="3"/>
        </w:numPr>
        <w:spacing w:before="240" w:after="240"/>
        <w:jc w:val="both"/>
        <w:rPr>
          <w:rFonts w:ascii="Arial" w:hAnsi="Arial" w:cs="Arial"/>
        </w:rPr>
      </w:pPr>
      <w:proofErr w:type="spellStart"/>
      <w:r w:rsidRPr="00180436">
        <w:rPr>
          <w:rFonts w:ascii="Arial" w:hAnsi="Arial" w:cs="Arial"/>
        </w:rPr>
        <w:t>Fombrun</w:t>
      </w:r>
      <w:proofErr w:type="spellEnd"/>
      <w:r w:rsidRPr="00180436">
        <w:rPr>
          <w:rFonts w:ascii="Arial" w:hAnsi="Arial" w:cs="Arial"/>
        </w:rPr>
        <w:t xml:space="preserve">, C. J., &amp; Van Riel, C. B. M. (2004). </w:t>
      </w:r>
      <w:r w:rsidRPr="00180436">
        <w:rPr>
          <w:rFonts w:ascii="Arial" w:hAnsi="Arial" w:cs="Arial"/>
          <w:i/>
          <w:iCs/>
        </w:rPr>
        <w:t>Fame and fortune: How successful companies build winning reputations</w:t>
      </w:r>
      <w:r w:rsidRPr="00180436">
        <w:rPr>
          <w:rFonts w:ascii="Arial" w:hAnsi="Arial" w:cs="Arial"/>
        </w:rPr>
        <w:t>. FT Prentice Hall.</w:t>
      </w:r>
    </w:p>
    <w:p w14:paraId="5426E1B0"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Freeman, R. E. (1984). </w:t>
      </w:r>
      <w:r w:rsidRPr="00180436">
        <w:rPr>
          <w:rFonts w:ascii="Arial" w:hAnsi="Arial" w:cs="Arial"/>
          <w:i/>
          <w:iCs/>
        </w:rPr>
        <w:t>Strategic management: A stakeholder approach</w:t>
      </w:r>
      <w:r w:rsidRPr="00180436">
        <w:rPr>
          <w:rFonts w:ascii="Arial" w:hAnsi="Arial" w:cs="Arial"/>
        </w:rPr>
        <w:t>. Pitman.</w:t>
      </w:r>
    </w:p>
    <w:p w14:paraId="72ACF0A1" w14:textId="77777777" w:rsidR="00524058" w:rsidRPr="00180436" w:rsidRDefault="00524058" w:rsidP="00180436">
      <w:pPr>
        <w:pStyle w:val="ListParagraph"/>
        <w:numPr>
          <w:ilvl w:val="0"/>
          <w:numId w:val="3"/>
        </w:numPr>
        <w:spacing w:before="240" w:after="240"/>
        <w:jc w:val="both"/>
        <w:rPr>
          <w:rFonts w:ascii="Arial" w:hAnsi="Arial" w:cs="Arial"/>
        </w:rPr>
      </w:pPr>
      <w:proofErr w:type="spellStart"/>
      <w:r w:rsidRPr="00180436">
        <w:rPr>
          <w:rFonts w:ascii="Arial" w:hAnsi="Arial" w:cs="Arial"/>
        </w:rPr>
        <w:t>Grunig</w:t>
      </w:r>
      <w:proofErr w:type="spellEnd"/>
      <w:r w:rsidRPr="00180436">
        <w:rPr>
          <w:rFonts w:ascii="Arial" w:hAnsi="Arial" w:cs="Arial"/>
        </w:rPr>
        <w:t xml:space="preserve">, J. E. (1992). </w:t>
      </w:r>
      <w:r w:rsidRPr="00180436">
        <w:rPr>
          <w:rFonts w:ascii="Arial" w:hAnsi="Arial" w:cs="Arial"/>
          <w:i/>
          <w:iCs/>
        </w:rPr>
        <w:t>Excellence in public relations and communication management</w:t>
      </w:r>
      <w:r w:rsidRPr="00180436">
        <w:rPr>
          <w:rFonts w:ascii="Arial" w:hAnsi="Arial" w:cs="Arial"/>
        </w:rPr>
        <w:t>. Lawrence Erlbaum Associates.</w:t>
      </w:r>
    </w:p>
    <w:p w14:paraId="6F984C91" w14:textId="77777777" w:rsidR="00524058" w:rsidRPr="00180436" w:rsidRDefault="00524058" w:rsidP="00180436">
      <w:pPr>
        <w:pStyle w:val="ListParagraph"/>
        <w:numPr>
          <w:ilvl w:val="0"/>
          <w:numId w:val="3"/>
        </w:numPr>
        <w:spacing w:before="240" w:after="240"/>
        <w:jc w:val="both"/>
        <w:rPr>
          <w:rFonts w:ascii="Arial" w:hAnsi="Arial" w:cs="Arial"/>
        </w:rPr>
      </w:pPr>
      <w:proofErr w:type="spellStart"/>
      <w:r w:rsidRPr="00180436">
        <w:rPr>
          <w:rFonts w:ascii="Arial" w:hAnsi="Arial" w:cs="Arial"/>
        </w:rPr>
        <w:t>Grunig</w:t>
      </w:r>
      <w:proofErr w:type="spellEnd"/>
      <w:r w:rsidRPr="00180436">
        <w:rPr>
          <w:rFonts w:ascii="Arial" w:hAnsi="Arial" w:cs="Arial"/>
        </w:rPr>
        <w:t xml:space="preserve">, J. E., &amp; Hunt, T. (1984). </w:t>
      </w:r>
      <w:r w:rsidRPr="00180436">
        <w:rPr>
          <w:rFonts w:ascii="Arial" w:hAnsi="Arial" w:cs="Arial"/>
          <w:i/>
          <w:iCs/>
        </w:rPr>
        <w:t>Managing public relations</w:t>
      </w:r>
      <w:r w:rsidRPr="00180436">
        <w:rPr>
          <w:rFonts w:ascii="Arial" w:hAnsi="Arial" w:cs="Arial"/>
        </w:rPr>
        <w:t>. Holt, Rinehart &amp; Winston.</w:t>
      </w:r>
    </w:p>
    <w:p w14:paraId="40BE4F16"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Heath, R. L. (2010). </w:t>
      </w:r>
      <w:r w:rsidRPr="00180436">
        <w:rPr>
          <w:rFonts w:ascii="Arial" w:hAnsi="Arial" w:cs="Arial"/>
          <w:i/>
          <w:iCs/>
        </w:rPr>
        <w:t>The SAGE handbook of public relations</w:t>
      </w:r>
      <w:r w:rsidRPr="00180436">
        <w:rPr>
          <w:rFonts w:ascii="Arial" w:hAnsi="Arial" w:cs="Arial"/>
        </w:rPr>
        <w:t>. SAGE Publications.</w:t>
      </w:r>
    </w:p>
    <w:p w14:paraId="5FECD4EF"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Hennig-</w:t>
      </w:r>
      <w:proofErr w:type="spellStart"/>
      <w:r w:rsidRPr="00180436">
        <w:rPr>
          <w:rFonts w:ascii="Arial" w:hAnsi="Arial" w:cs="Arial"/>
        </w:rPr>
        <w:t>Thurau</w:t>
      </w:r>
      <w:proofErr w:type="spellEnd"/>
      <w:r w:rsidRPr="00180436">
        <w:rPr>
          <w:rFonts w:ascii="Arial" w:hAnsi="Arial" w:cs="Arial"/>
        </w:rPr>
        <w:t xml:space="preserve">, T., </w:t>
      </w:r>
      <w:proofErr w:type="spellStart"/>
      <w:r w:rsidRPr="00180436">
        <w:rPr>
          <w:rFonts w:ascii="Arial" w:hAnsi="Arial" w:cs="Arial"/>
        </w:rPr>
        <w:t>Gwinner</w:t>
      </w:r>
      <w:proofErr w:type="spellEnd"/>
      <w:r w:rsidRPr="00180436">
        <w:rPr>
          <w:rFonts w:ascii="Arial" w:hAnsi="Arial" w:cs="Arial"/>
        </w:rPr>
        <w:t xml:space="preserve">, K. P., Walsh, G., &amp; </w:t>
      </w:r>
      <w:proofErr w:type="spellStart"/>
      <w:r w:rsidRPr="00180436">
        <w:rPr>
          <w:rFonts w:ascii="Arial" w:hAnsi="Arial" w:cs="Arial"/>
        </w:rPr>
        <w:t>Gremler</w:t>
      </w:r>
      <w:proofErr w:type="spellEnd"/>
      <w:r w:rsidRPr="00180436">
        <w:rPr>
          <w:rFonts w:ascii="Arial" w:hAnsi="Arial" w:cs="Arial"/>
        </w:rPr>
        <w:t xml:space="preserve">, D. D. (2004). Electronic word-of-mouth via consumer-opinion platforms. </w:t>
      </w:r>
      <w:r w:rsidRPr="00180436">
        <w:rPr>
          <w:rFonts w:ascii="Arial" w:hAnsi="Arial" w:cs="Arial"/>
          <w:i/>
          <w:iCs/>
        </w:rPr>
        <w:t>Journal of Interactive Marketing, 18</w:t>
      </w:r>
      <w:r w:rsidRPr="00180436">
        <w:rPr>
          <w:rFonts w:ascii="Arial" w:hAnsi="Arial" w:cs="Arial"/>
        </w:rPr>
        <w:t>(1), 38–52.</w:t>
      </w:r>
      <w:hyperlink r:id="rId32">
        <w:r w:rsidRPr="00180436">
          <w:rPr>
            <w:rFonts w:ascii="Arial" w:hAnsi="Arial" w:cs="Arial"/>
          </w:rPr>
          <w:t xml:space="preserve"> </w:t>
        </w:r>
      </w:hyperlink>
      <w:hyperlink r:id="rId33">
        <w:r w:rsidRPr="00180436">
          <w:rPr>
            <w:rFonts w:ascii="Arial" w:hAnsi="Arial" w:cs="Arial"/>
          </w:rPr>
          <w:t>https://doi.org/10.1002/dir.10073</w:t>
        </w:r>
      </w:hyperlink>
    </w:p>
    <w:p w14:paraId="1BB1BBC7" w14:textId="77777777" w:rsidR="00524058" w:rsidRPr="00180436" w:rsidRDefault="00524058" w:rsidP="00180436">
      <w:pPr>
        <w:pStyle w:val="ListParagraph"/>
        <w:numPr>
          <w:ilvl w:val="0"/>
          <w:numId w:val="3"/>
        </w:numPr>
        <w:spacing w:before="240" w:after="240"/>
        <w:jc w:val="both"/>
        <w:rPr>
          <w:rFonts w:ascii="Arial" w:hAnsi="Arial" w:cs="Arial"/>
        </w:rPr>
      </w:pPr>
      <w:proofErr w:type="spellStart"/>
      <w:r w:rsidRPr="00180436">
        <w:rPr>
          <w:rFonts w:ascii="Arial" w:hAnsi="Arial" w:cs="Arial"/>
        </w:rPr>
        <w:t>Jalilvand</w:t>
      </w:r>
      <w:proofErr w:type="spellEnd"/>
      <w:r w:rsidRPr="00180436">
        <w:rPr>
          <w:rFonts w:ascii="Arial" w:hAnsi="Arial" w:cs="Arial"/>
        </w:rPr>
        <w:t xml:space="preserve">, M. R., &amp; </w:t>
      </w:r>
      <w:proofErr w:type="spellStart"/>
      <w:r w:rsidRPr="00180436">
        <w:rPr>
          <w:rFonts w:ascii="Arial" w:hAnsi="Arial" w:cs="Arial"/>
        </w:rPr>
        <w:t>Samiei</w:t>
      </w:r>
      <w:proofErr w:type="spellEnd"/>
      <w:r w:rsidRPr="00180436">
        <w:rPr>
          <w:rFonts w:ascii="Arial" w:hAnsi="Arial" w:cs="Arial"/>
        </w:rPr>
        <w:t xml:space="preserve">, N. (2012). The effect of electronic word of mouth on brand image and purchase intention. </w:t>
      </w:r>
      <w:r w:rsidRPr="00180436">
        <w:rPr>
          <w:rFonts w:ascii="Arial" w:hAnsi="Arial" w:cs="Arial"/>
          <w:i/>
          <w:iCs/>
        </w:rPr>
        <w:t>Marketing Intelligence &amp; Planning, 30</w:t>
      </w:r>
      <w:r w:rsidRPr="00180436">
        <w:rPr>
          <w:rFonts w:ascii="Arial" w:hAnsi="Arial" w:cs="Arial"/>
        </w:rPr>
        <w:t>(4), 460–476.</w:t>
      </w:r>
      <w:hyperlink r:id="rId34">
        <w:r w:rsidRPr="00180436">
          <w:rPr>
            <w:rFonts w:ascii="Arial" w:hAnsi="Arial" w:cs="Arial"/>
          </w:rPr>
          <w:t xml:space="preserve"> </w:t>
        </w:r>
      </w:hyperlink>
      <w:hyperlink r:id="rId35">
        <w:r w:rsidRPr="00180436">
          <w:rPr>
            <w:rFonts w:ascii="Arial" w:hAnsi="Arial" w:cs="Arial"/>
          </w:rPr>
          <w:t>https://doi.org/10.1108/02634501211231946</w:t>
        </w:r>
      </w:hyperlink>
    </w:p>
    <w:p w14:paraId="0C7D8ACD"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Kaplan, A. M., &amp; </w:t>
      </w:r>
      <w:proofErr w:type="spellStart"/>
      <w:r w:rsidRPr="00180436">
        <w:rPr>
          <w:rFonts w:ascii="Arial" w:hAnsi="Arial" w:cs="Arial"/>
        </w:rPr>
        <w:t>Haenlein</w:t>
      </w:r>
      <w:proofErr w:type="spellEnd"/>
      <w:r w:rsidRPr="00180436">
        <w:rPr>
          <w:rFonts w:ascii="Arial" w:hAnsi="Arial" w:cs="Arial"/>
        </w:rPr>
        <w:t xml:space="preserve">, M. (2010). Users of the world, unite! </w:t>
      </w:r>
      <w:r w:rsidRPr="00180436">
        <w:rPr>
          <w:rFonts w:ascii="Arial" w:hAnsi="Arial" w:cs="Arial"/>
          <w:i/>
          <w:iCs/>
        </w:rPr>
        <w:t>Business Horizons, 53</w:t>
      </w:r>
      <w:r w:rsidRPr="00180436">
        <w:rPr>
          <w:rFonts w:ascii="Arial" w:hAnsi="Arial" w:cs="Arial"/>
        </w:rPr>
        <w:t>(1), 59–68.</w:t>
      </w:r>
      <w:hyperlink r:id="rId36">
        <w:r w:rsidRPr="00180436">
          <w:rPr>
            <w:rFonts w:ascii="Arial" w:hAnsi="Arial" w:cs="Arial"/>
          </w:rPr>
          <w:t xml:space="preserve"> </w:t>
        </w:r>
      </w:hyperlink>
      <w:hyperlink r:id="rId37">
        <w:r w:rsidRPr="00180436">
          <w:rPr>
            <w:rFonts w:ascii="Arial" w:hAnsi="Arial" w:cs="Arial"/>
          </w:rPr>
          <w:t>https://doi.org/10.1016/j.bushor.2009.09.003</w:t>
        </w:r>
      </w:hyperlink>
    </w:p>
    <w:p w14:paraId="47429537"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Kotler, P., &amp; Keller, K. L. (2016). </w:t>
      </w:r>
      <w:r w:rsidRPr="00180436">
        <w:rPr>
          <w:rFonts w:ascii="Arial" w:hAnsi="Arial" w:cs="Arial"/>
          <w:i/>
          <w:iCs/>
        </w:rPr>
        <w:t>Marketing management</w:t>
      </w:r>
      <w:r w:rsidRPr="00180436">
        <w:rPr>
          <w:rFonts w:ascii="Arial" w:hAnsi="Arial" w:cs="Arial"/>
        </w:rPr>
        <w:t xml:space="preserve"> (15th ed.). Pearson Education.</w:t>
      </w:r>
    </w:p>
    <w:p w14:paraId="60634867" w14:textId="77777777" w:rsidR="00524058" w:rsidRPr="00180436" w:rsidRDefault="00524058" w:rsidP="00180436">
      <w:pPr>
        <w:pStyle w:val="ListParagraph"/>
        <w:numPr>
          <w:ilvl w:val="0"/>
          <w:numId w:val="3"/>
        </w:numPr>
        <w:spacing w:before="240" w:after="240"/>
        <w:jc w:val="both"/>
        <w:rPr>
          <w:rFonts w:ascii="Arial" w:hAnsi="Arial" w:cs="Arial"/>
        </w:rPr>
      </w:pPr>
      <w:proofErr w:type="spellStart"/>
      <w:r w:rsidRPr="00180436">
        <w:rPr>
          <w:rFonts w:ascii="Arial" w:hAnsi="Arial" w:cs="Arial"/>
        </w:rPr>
        <w:t>Ladhari</w:t>
      </w:r>
      <w:proofErr w:type="spellEnd"/>
      <w:r w:rsidRPr="00180436">
        <w:rPr>
          <w:rFonts w:ascii="Arial" w:hAnsi="Arial" w:cs="Arial"/>
        </w:rPr>
        <w:t xml:space="preserve">, R., &amp; Michaud, M. (2015). </w:t>
      </w:r>
      <w:proofErr w:type="spellStart"/>
      <w:r w:rsidRPr="00180436">
        <w:rPr>
          <w:rFonts w:ascii="Arial" w:hAnsi="Arial" w:cs="Arial"/>
        </w:rPr>
        <w:t>eWOM</w:t>
      </w:r>
      <w:proofErr w:type="spellEnd"/>
      <w:r w:rsidRPr="00180436">
        <w:rPr>
          <w:rFonts w:ascii="Arial" w:hAnsi="Arial" w:cs="Arial"/>
        </w:rPr>
        <w:t xml:space="preserve"> effects on consumer perceptions. </w:t>
      </w:r>
      <w:r w:rsidRPr="00180436">
        <w:rPr>
          <w:rFonts w:ascii="Arial" w:hAnsi="Arial" w:cs="Arial"/>
          <w:i/>
          <w:iCs/>
        </w:rPr>
        <w:t>International Journal of Hospitality Management, 46</w:t>
      </w:r>
      <w:r w:rsidRPr="00180436">
        <w:rPr>
          <w:rFonts w:ascii="Arial" w:hAnsi="Arial" w:cs="Arial"/>
        </w:rPr>
        <w:t>, 36–45.</w:t>
      </w:r>
      <w:hyperlink r:id="rId38">
        <w:r w:rsidRPr="00180436">
          <w:rPr>
            <w:rFonts w:ascii="Arial" w:hAnsi="Arial" w:cs="Arial"/>
          </w:rPr>
          <w:t xml:space="preserve"> </w:t>
        </w:r>
      </w:hyperlink>
      <w:hyperlink r:id="rId39">
        <w:r w:rsidRPr="00180436">
          <w:rPr>
            <w:rFonts w:ascii="Arial" w:hAnsi="Arial" w:cs="Arial"/>
          </w:rPr>
          <w:t>https://doi.org/10.1016/j.ijhm.2015.01.010</w:t>
        </w:r>
      </w:hyperlink>
    </w:p>
    <w:p w14:paraId="5BDD870F" w14:textId="77777777" w:rsidR="00524058" w:rsidRPr="00180436" w:rsidRDefault="00524058" w:rsidP="00180436">
      <w:pPr>
        <w:pStyle w:val="ListParagraph"/>
        <w:numPr>
          <w:ilvl w:val="0"/>
          <w:numId w:val="3"/>
        </w:numPr>
        <w:spacing w:before="240" w:after="240"/>
        <w:jc w:val="both"/>
        <w:rPr>
          <w:rFonts w:ascii="Arial" w:hAnsi="Arial" w:cs="Arial"/>
        </w:rPr>
      </w:pPr>
      <w:r w:rsidRPr="00180436">
        <w:rPr>
          <w:rFonts w:ascii="Arial" w:hAnsi="Arial" w:cs="Arial"/>
        </w:rPr>
        <w:t xml:space="preserve">Lee, B. K. (2009). A case study of crisis communications used in the salmonella outbreak. </w:t>
      </w:r>
      <w:r w:rsidRPr="00180436">
        <w:rPr>
          <w:rFonts w:ascii="Arial" w:hAnsi="Arial" w:cs="Arial"/>
          <w:i/>
          <w:iCs/>
        </w:rPr>
        <w:t>Public Relations Review, 35</w:t>
      </w:r>
      <w:r w:rsidRPr="00180436">
        <w:rPr>
          <w:rFonts w:ascii="Arial" w:hAnsi="Arial" w:cs="Arial"/>
        </w:rPr>
        <w:t>(2), 158–163.</w:t>
      </w:r>
      <w:hyperlink r:id="rId40">
        <w:r w:rsidRPr="00180436">
          <w:rPr>
            <w:rFonts w:ascii="Arial" w:hAnsi="Arial" w:cs="Arial"/>
          </w:rPr>
          <w:t xml:space="preserve"> </w:t>
        </w:r>
      </w:hyperlink>
      <w:hyperlink r:id="rId41">
        <w:r w:rsidRPr="00180436">
          <w:rPr>
            <w:rFonts w:ascii="Arial" w:hAnsi="Arial" w:cs="Arial"/>
          </w:rPr>
          <w:t>https://doi.org/10.1016</w:t>
        </w:r>
      </w:hyperlink>
    </w:p>
    <w:p w14:paraId="100AACBD" w14:textId="3AF2DAC4" w:rsidR="008E0886" w:rsidRPr="00C1118C" w:rsidRDefault="008E0886" w:rsidP="00524058">
      <w:pPr>
        <w:widowControl w:val="0"/>
        <w:autoSpaceDE w:val="0"/>
        <w:autoSpaceDN w:val="0"/>
        <w:ind w:left="346"/>
        <w:jc w:val="both"/>
        <w:rPr>
          <w:rFonts w:ascii="Arial" w:hAnsi="Arial" w:cs="Arial"/>
        </w:rPr>
      </w:pPr>
      <w:bookmarkStart w:id="1" w:name="_GoBack"/>
      <w:bookmarkEnd w:id="1"/>
    </w:p>
    <w:sectPr w:rsidR="008E0886" w:rsidRPr="00C111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1089" w14:textId="77777777" w:rsidR="00BE61C8" w:rsidRDefault="00BE61C8" w:rsidP="007862D9">
      <w:r>
        <w:separator/>
      </w:r>
    </w:p>
  </w:endnote>
  <w:endnote w:type="continuationSeparator" w:id="0">
    <w:p w14:paraId="65BEA22C" w14:textId="77777777" w:rsidR="00BE61C8" w:rsidRDefault="00BE61C8" w:rsidP="0078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134F" w14:textId="77777777" w:rsidR="00BE61C8" w:rsidRDefault="00BE61C8" w:rsidP="007862D9">
      <w:r>
        <w:separator/>
      </w:r>
    </w:p>
  </w:footnote>
  <w:footnote w:type="continuationSeparator" w:id="0">
    <w:p w14:paraId="5BBA0CED" w14:textId="77777777" w:rsidR="00BE61C8" w:rsidRDefault="00BE61C8" w:rsidP="00786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C2265"/>
    <w:multiLevelType w:val="hybridMultilevel"/>
    <w:tmpl w:val="809C5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00C4D"/>
    <w:multiLevelType w:val="multilevel"/>
    <w:tmpl w:val="A4363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2"/>
    <w:rsid w:val="000376CD"/>
    <w:rsid w:val="000D5CF7"/>
    <w:rsid w:val="000E2BA9"/>
    <w:rsid w:val="00105D16"/>
    <w:rsid w:val="00180436"/>
    <w:rsid w:val="001B26FB"/>
    <w:rsid w:val="001C52D4"/>
    <w:rsid w:val="0020017F"/>
    <w:rsid w:val="002A7AAF"/>
    <w:rsid w:val="002E4B32"/>
    <w:rsid w:val="002F2A74"/>
    <w:rsid w:val="00314AF4"/>
    <w:rsid w:val="003156F9"/>
    <w:rsid w:val="00390B94"/>
    <w:rsid w:val="0039312A"/>
    <w:rsid w:val="003E3BDF"/>
    <w:rsid w:val="004E0BE9"/>
    <w:rsid w:val="00522F6D"/>
    <w:rsid w:val="00524058"/>
    <w:rsid w:val="005624D7"/>
    <w:rsid w:val="00696530"/>
    <w:rsid w:val="006C205F"/>
    <w:rsid w:val="00726BB2"/>
    <w:rsid w:val="007430FE"/>
    <w:rsid w:val="007862D9"/>
    <w:rsid w:val="007C6E43"/>
    <w:rsid w:val="00865E9B"/>
    <w:rsid w:val="008E0886"/>
    <w:rsid w:val="009201CF"/>
    <w:rsid w:val="009D0190"/>
    <w:rsid w:val="00A26182"/>
    <w:rsid w:val="00A57363"/>
    <w:rsid w:val="00A83549"/>
    <w:rsid w:val="00AB5447"/>
    <w:rsid w:val="00BE5DD2"/>
    <w:rsid w:val="00BE61C8"/>
    <w:rsid w:val="00C1118C"/>
    <w:rsid w:val="00C17C5C"/>
    <w:rsid w:val="00C36290"/>
    <w:rsid w:val="00C6176D"/>
    <w:rsid w:val="00CB6789"/>
    <w:rsid w:val="00CE6637"/>
    <w:rsid w:val="00D51E92"/>
    <w:rsid w:val="00D6108E"/>
    <w:rsid w:val="00D63B23"/>
    <w:rsid w:val="00D6497F"/>
    <w:rsid w:val="00D736E0"/>
    <w:rsid w:val="00DA5D1C"/>
    <w:rsid w:val="00DD49DB"/>
    <w:rsid w:val="00E63791"/>
    <w:rsid w:val="00E75B55"/>
    <w:rsid w:val="00F074A5"/>
    <w:rsid w:val="00F631CE"/>
    <w:rsid w:val="00FC2936"/>
    <w:rsid w:val="00FD1A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1"/>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7862D9"/>
    <w:pPr>
      <w:tabs>
        <w:tab w:val="center" w:pos="4536"/>
        <w:tab w:val="right" w:pos="9072"/>
      </w:tabs>
    </w:pPr>
  </w:style>
  <w:style w:type="character" w:customStyle="1" w:styleId="HeaderChar">
    <w:name w:val="Header Char"/>
    <w:basedOn w:val="DefaultParagraphFont"/>
    <w:link w:val="Header"/>
    <w:uiPriority w:val="99"/>
    <w:rsid w:val="007862D9"/>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7862D9"/>
    <w:pPr>
      <w:tabs>
        <w:tab w:val="center" w:pos="4536"/>
        <w:tab w:val="right" w:pos="9072"/>
      </w:tabs>
    </w:pPr>
  </w:style>
  <w:style w:type="character" w:customStyle="1" w:styleId="FooterChar">
    <w:name w:val="Footer Char"/>
    <w:basedOn w:val="DefaultParagraphFont"/>
    <w:link w:val="Footer"/>
    <w:uiPriority w:val="99"/>
    <w:rsid w:val="007862D9"/>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ubrev.2010.01.001" TargetMode="External"/><Relationship Id="rId18" Type="http://schemas.openxmlformats.org/officeDocument/2006/relationships/hyperlink" Target="https://doi.org/10.1177/000765039903800303" TargetMode="External"/><Relationship Id="rId26" Type="http://schemas.openxmlformats.org/officeDocument/2006/relationships/hyperlink" Target="https://doi.org/10.1057/palgrave.crr.1550049" TargetMode="External"/><Relationship Id="rId39" Type="http://schemas.openxmlformats.org/officeDocument/2006/relationships/hyperlink" Target="https://doi.org/10.1016/j.ijhm.2015.01.010" TargetMode="External"/><Relationship Id="rId21" Type="http://schemas.openxmlformats.org/officeDocument/2006/relationships/hyperlink" Target="https://doi.org/10.1509/jmkr.48.2.238" TargetMode="External"/><Relationship Id="rId34" Type="http://schemas.openxmlformats.org/officeDocument/2006/relationships/hyperlink" Target="https://doi.org/10.1108/02634501211231946"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91/1478088706qp063oa" TargetMode="External"/><Relationship Id="rId20" Type="http://schemas.openxmlformats.org/officeDocument/2006/relationships/hyperlink" Target="https://doi.org/10.1177/0007650316680044" TargetMode="External"/><Relationship Id="rId29" Type="http://schemas.openxmlformats.org/officeDocument/2006/relationships/hyperlink" Target="https://doi.org/10.24123/mabis.v24i1.844" TargetMode="External"/><Relationship Id="rId41" Type="http://schemas.openxmlformats.org/officeDocument/2006/relationships/hyperlink" Target="https://doi.org/10.1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10878571011088069" TargetMode="External"/><Relationship Id="rId24" Type="http://schemas.openxmlformats.org/officeDocument/2006/relationships/hyperlink" Target="https://doi.org/10.1016/j.dss.2012.06.008" TargetMode="External"/><Relationship Id="rId32" Type="http://schemas.openxmlformats.org/officeDocument/2006/relationships/hyperlink" Target="https://doi.org/10.1002/dir.10073" TargetMode="External"/><Relationship Id="rId37" Type="http://schemas.openxmlformats.org/officeDocument/2006/relationships/hyperlink" Target="https://doi.org/10.1016/j.bushor.2009.09.003" TargetMode="External"/><Relationship Id="rId40" Type="http://schemas.openxmlformats.org/officeDocument/2006/relationships/hyperlink" Target="https://doi.org/10.1016" TargetMode="External"/><Relationship Id="rId5" Type="http://schemas.openxmlformats.org/officeDocument/2006/relationships/footnotes" Target="footnotes.xml"/><Relationship Id="rId15" Type="http://schemas.openxmlformats.org/officeDocument/2006/relationships/hyperlink" Target="https://doi.org/10.1016/S0363-8111(97)90023-0" TargetMode="External"/><Relationship Id="rId23" Type="http://schemas.openxmlformats.org/officeDocument/2006/relationships/hyperlink" Target="https://doi.org/10.1016/j.dss.2012.06.008" TargetMode="External"/><Relationship Id="rId28" Type="http://schemas.openxmlformats.org/officeDocument/2006/relationships/hyperlink" Target="https://doi.org/10.1525/cmr.2011.54.1.64" TargetMode="External"/><Relationship Id="rId36" Type="http://schemas.openxmlformats.org/officeDocument/2006/relationships/hyperlink" Target="https://doi.org/10.1016/j.bushor.2009.09.003" TargetMode="External"/><Relationship Id="rId10" Type="http://schemas.openxmlformats.org/officeDocument/2006/relationships/hyperlink" Target="https://doi.org/10.1108/10878571011088069" TargetMode="External"/><Relationship Id="rId19" Type="http://schemas.openxmlformats.org/officeDocument/2006/relationships/hyperlink" Target="https://doi.org/10.1177/0007650316680044" TargetMode="External"/><Relationship Id="rId31" Type="http://schemas.openxmlformats.org/officeDocument/2006/relationships/hyperlink" Target="https://doi.org/10.1016/j.chb.2016.03.003" TargetMode="External"/><Relationship Id="rId4" Type="http://schemas.openxmlformats.org/officeDocument/2006/relationships/webSettings" Target="webSettings.xml"/><Relationship Id="rId9" Type="http://schemas.openxmlformats.org/officeDocument/2006/relationships/hyperlink" Target="https://doi.org/10.1016/j.jbusres.2018.07.038" TargetMode="External"/><Relationship Id="rId14" Type="http://schemas.openxmlformats.org/officeDocument/2006/relationships/hyperlink" Target="https://doi.org/10.1016/S0363-8111(97)90023-0" TargetMode="External"/><Relationship Id="rId22" Type="http://schemas.openxmlformats.org/officeDocument/2006/relationships/hyperlink" Target="https://doi.org/10.1509/jmkr.48.2.238" TargetMode="External"/><Relationship Id="rId27" Type="http://schemas.openxmlformats.org/officeDocument/2006/relationships/hyperlink" Target="https://doi.org/10.1525/cmr.2011.54.1.64" TargetMode="External"/><Relationship Id="rId30" Type="http://schemas.openxmlformats.org/officeDocument/2006/relationships/hyperlink" Target="https://doi.org/10.1016/j.chb.2016.03.003" TargetMode="External"/><Relationship Id="rId35" Type="http://schemas.openxmlformats.org/officeDocument/2006/relationships/hyperlink" Target="https://doi.org/10.1108/02634501211231946" TargetMode="External"/><Relationship Id="rId43" Type="http://schemas.openxmlformats.org/officeDocument/2006/relationships/theme" Target="theme/theme1.xml"/><Relationship Id="rId8" Type="http://schemas.openxmlformats.org/officeDocument/2006/relationships/hyperlink" Target="https://doi.org/10.1016/j.jbusres.2018.07.038" TargetMode="External"/><Relationship Id="rId3" Type="http://schemas.openxmlformats.org/officeDocument/2006/relationships/settings" Target="settings.xml"/><Relationship Id="rId12" Type="http://schemas.openxmlformats.org/officeDocument/2006/relationships/hyperlink" Target="https://doi.org/10.1016/j.pubrev.2010.01.001" TargetMode="External"/><Relationship Id="rId17" Type="http://schemas.openxmlformats.org/officeDocument/2006/relationships/hyperlink" Target="https://doi.org/10.1191/1478088706qp063oa" TargetMode="External"/><Relationship Id="rId25" Type="http://schemas.openxmlformats.org/officeDocument/2006/relationships/hyperlink" Target="https://doi.org/10.1057/palgrave.crr.1550049" TargetMode="External"/><Relationship Id="rId33" Type="http://schemas.openxmlformats.org/officeDocument/2006/relationships/hyperlink" Target="https://doi.org/10.1002/dir.10073" TargetMode="External"/><Relationship Id="rId38" Type="http://schemas.openxmlformats.org/officeDocument/2006/relationships/hyperlink" Target="https://doi.org/10.1016/j.ijhm.2015.01.01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4920</Words>
  <Characters>28044</Characters>
  <Application>Microsoft Office Word</Application>
  <DocSecurity>0</DocSecurity>
  <Lines>233</Lines>
  <Paragraphs>65</Paragraphs>
  <ScaleCrop>false</ScaleCrop>
  <Company/>
  <LinksUpToDate>false</LinksUpToDate>
  <CharactersWithSpaces>32899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Editor-1183</cp:lastModifiedBy>
  <cp:revision>38</cp:revision>
  <dcterms:created xsi:type="dcterms:W3CDTF">2025-12-25T10:40:00Z</dcterms:created>
  <dcterms:modified xsi:type="dcterms:W3CDTF">2026-01-05T06:29:00Z</dcterms:modified>
</cp:coreProperties>
</file>