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DFBC6" w14:textId="77777777" w:rsidR="00754C9A" w:rsidRDefault="00754C9A" w:rsidP="00441B6F">
      <w:pPr>
        <w:pStyle w:val="Title"/>
        <w:spacing w:after="0"/>
        <w:jc w:val="both"/>
        <w:rPr>
          <w:rFonts w:ascii="Arial" w:hAnsi="Arial" w:cs="Arial"/>
        </w:rPr>
      </w:pPr>
      <w:bookmarkStart w:id="0" w:name="_GoBack"/>
      <w:bookmarkEnd w:id="0"/>
    </w:p>
    <w:p w14:paraId="4CF09C0B" w14:textId="7CF5D8E2" w:rsidR="00163BC4" w:rsidRPr="00163BC4" w:rsidRDefault="000A7ADB" w:rsidP="00441B6F">
      <w:pPr>
        <w:pStyle w:val="Author"/>
        <w:spacing w:line="240" w:lineRule="auto"/>
        <w:rPr>
          <w:rFonts w:ascii="Arial" w:hAnsi="Arial" w:cs="Arial"/>
          <w:bCs/>
          <w:iCs/>
          <w:kern w:val="28"/>
          <w:sz w:val="36"/>
        </w:rPr>
      </w:pPr>
      <w:r>
        <w:rPr>
          <w:rFonts w:ascii="Arial" w:hAnsi="Arial" w:cs="Arial"/>
          <w:bCs/>
          <w:iCs/>
          <w:kern w:val="28"/>
          <w:sz w:val="36"/>
        </w:rPr>
        <w:t xml:space="preserve">Linking </w:t>
      </w:r>
      <w:r w:rsidR="00A44B1A">
        <w:rPr>
          <w:rFonts w:ascii="Arial" w:hAnsi="Arial" w:cs="Arial"/>
          <w:bCs/>
          <w:iCs/>
          <w:kern w:val="28"/>
          <w:sz w:val="36"/>
        </w:rPr>
        <w:t xml:space="preserve">Environmental Education Teaching Practices </w:t>
      </w:r>
      <w:r w:rsidR="00941ABF">
        <w:rPr>
          <w:rFonts w:ascii="Arial" w:hAnsi="Arial" w:cs="Arial"/>
          <w:bCs/>
          <w:iCs/>
          <w:kern w:val="28"/>
          <w:sz w:val="36"/>
        </w:rPr>
        <w:t xml:space="preserve">and </w:t>
      </w:r>
      <w:r w:rsidR="00A44B1A">
        <w:rPr>
          <w:rFonts w:ascii="Arial" w:hAnsi="Arial" w:cs="Arial"/>
          <w:bCs/>
          <w:iCs/>
          <w:kern w:val="28"/>
          <w:sz w:val="36"/>
        </w:rPr>
        <w:t>Environmental Literacy</w:t>
      </w:r>
      <w:r>
        <w:rPr>
          <w:rFonts w:ascii="Arial" w:hAnsi="Arial" w:cs="Arial"/>
          <w:bCs/>
          <w:iCs/>
          <w:kern w:val="28"/>
          <w:sz w:val="36"/>
        </w:rPr>
        <w:t>: Evidence from</w:t>
      </w:r>
      <w:r w:rsidR="00941ABF">
        <w:rPr>
          <w:rFonts w:ascii="Arial" w:hAnsi="Arial" w:cs="Arial"/>
          <w:bCs/>
          <w:iCs/>
          <w:kern w:val="28"/>
          <w:sz w:val="36"/>
        </w:rPr>
        <w:t xml:space="preserve"> </w:t>
      </w:r>
      <w:r w:rsidR="00A44B1A">
        <w:rPr>
          <w:rFonts w:ascii="Arial" w:hAnsi="Arial" w:cs="Arial"/>
          <w:bCs/>
          <w:iCs/>
          <w:kern w:val="28"/>
          <w:sz w:val="36"/>
        </w:rPr>
        <w:t xml:space="preserve">Public School Teachers </w:t>
      </w:r>
      <w:r w:rsidR="00941ABF">
        <w:rPr>
          <w:rFonts w:ascii="Arial" w:hAnsi="Arial" w:cs="Arial"/>
          <w:bCs/>
          <w:iCs/>
          <w:kern w:val="28"/>
          <w:sz w:val="36"/>
        </w:rPr>
        <w:t xml:space="preserve">in </w:t>
      </w:r>
      <w:r w:rsidR="00A44B1A">
        <w:rPr>
          <w:rFonts w:ascii="Arial" w:hAnsi="Arial" w:cs="Arial"/>
          <w:bCs/>
          <w:iCs/>
          <w:kern w:val="28"/>
          <w:sz w:val="36"/>
        </w:rPr>
        <w:t xml:space="preserve">Davao </w:t>
      </w:r>
      <w:r>
        <w:rPr>
          <w:rFonts w:ascii="Arial" w:hAnsi="Arial" w:cs="Arial"/>
          <w:bCs/>
          <w:iCs/>
          <w:kern w:val="28"/>
          <w:sz w:val="36"/>
        </w:rPr>
        <w:t xml:space="preserve">del </w:t>
      </w:r>
      <w:r w:rsidR="00A44B1A">
        <w:rPr>
          <w:rFonts w:ascii="Arial" w:hAnsi="Arial" w:cs="Arial"/>
          <w:bCs/>
          <w:iCs/>
          <w:kern w:val="28"/>
          <w:sz w:val="36"/>
        </w:rPr>
        <w:t>Sur</w:t>
      </w:r>
      <w:r>
        <w:rPr>
          <w:rFonts w:ascii="Arial" w:hAnsi="Arial" w:cs="Arial"/>
          <w:bCs/>
          <w:iCs/>
          <w:kern w:val="28"/>
          <w:sz w:val="36"/>
        </w:rPr>
        <w:t>, Philippines</w:t>
      </w:r>
    </w:p>
    <w:p w14:paraId="459F25EA" w14:textId="77777777" w:rsidR="00A258C3" w:rsidRPr="00790ADA" w:rsidRDefault="00A258C3" w:rsidP="00441B6F">
      <w:pPr>
        <w:pStyle w:val="Author"/>
        <w:spacing w:line="240" w:lineRule="auto"/>
        <w:jc w:val="both"/>
        <w:rPr>
          <w:rFonts w:ascii="Arial" w:hAnsi="Arial" w:cs="Arial"/>
          <w:sz w:val="36"/>
        </w:rPr>
      </w:pPr>
    </w:p>
    <w:p w14:paraId="1EC2E405" w14:textId="77777777" w:rsidR="00790ADA" w:rsidRDefault="00790ADA" w:rsidP="00441B6F">
      <w:pPr>
        <w:pStyle w:val="Affiliation"/>
        <w:spacing w:after="0" w:line="240" w:lineRule="auto"/>
        <w:jc w:val="both"/>
        <w:rPr>
          <w:rFonts w:ascii="Arial" w:hAnsi="Arial" w:cs="Arial"/>
        </w:rPr>
      </w:pPr>
    </w:p>
    <w:p w14:paraId="35B252FB" w14:textId="77777777" w:rsidR="002C57D2" w:rsidRPr="00FB3A86" w:rsidRDefault="002C57D2" w:rsidP="00441B6F">
      <w:pPr>
        <w:pStyle w:val="Affiliation"/>
        <w:spacing w:after="0" w:line="240" w:lineRule="auto"/>
        <w:jc w:val="both"/>
        <w:rPr>
          <w:rFonts w:ascii="Arial" w:hAnsi="Arial" w:cs="Arial"/>
        </w:rPr>
      </w:pPr>
    </w:p>
    <w:p w14:paraId="152645BF" w14:textId="7B82BE26" w:rsidR="00B01FCD" w:rsidRPr="00FB3A86" w:rsidRDefault="00843B01" w:rsidP="00441B6F">
      <w:pPr>
        <w:pStyle w:val="Copyright"/>
        <w:spacing w:after="0" w:line="240" w:lineRule="auto"/>
        <w:jc w:val="both"/>
        <w:rPr>
          <w:rFonts w:ascii="Arial" w:hAnsi="Arial" w:cs="Arial"/>
        </w:rPr>
        <w:sectPr w:rsidR="00B01FCD" w:rsidRPr="00FB3A86" w:rsidSect="0025291E">
          <w:headerReference w:type="first" r:id="rId8"/>
          <w:footerReference w:type="first" r:id="rId9"/>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146B227" wp14:editId="7BFEDD75">
                <wp:extent cx="5303520" cy="635"/>
                <wp:effectExtent l="17145" t="18415" r="13335" b="1016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D295A5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784E6CB3" w14:textId="6E040E17" w:rsidR="00B01FCD" w:rsidRDefault="00B01FCD" w:rsidP="00441B6F">
      <w:pPr>
        <w:pStyle w:val="AbstHead"/>
        <w:spacing w:after="0"/>
        <w:jc w:val="both"/>
        <w:rPr>
          <w:rFonts w:ascii="Arial" w:hAnsi="Arial" w:cs="Arial"/>
        </w:rPr>
      </w:pPr>
      <w:r w:rsidRPr="00FB3A86">
        <w:rPr>
          <w:rFonts w:ascii="Arial" w:hAnsi="Arial" w:cs="Arial"/>
        </w:rPr>
        <w:t>ABSTRACT</w:t>
      </w:r>
    </w:p>
    <w:p w14:paraId="73AD17B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25B4101" w14:textId="77777777" w:rsidTr="001E44FE">
        <w:tc>
          <w:tcPr>
            <w:tcW w:w="9576" w:type="dxa"/>
            <w:shd w:val="clear" w:color="auto" w:fill="F2F2F2"/>
          </w:tcPr>
          <w:p w14:paraId="261A19C4" w14:textId="321C3326" w:rsidR="00505F06" w:rsidRPr="00BE55FB" w:rsidRDefault="00AA15C4" w:rsidP="00441B6F">
            <w:pPr>
              <w:pStyle w:val="Body"/>
              <w:spacing w:after="0"/>
              <w:rPr>
                <w:rFonts w:ascii="Arial" w:eastAsia="Calibri" w:hAnsi="Arial" w:cs="Arial"/>
                <w:b/>
                <w:bCs/>
                <w:szCs w:val="22"/>
              </w:rPr>
            </w:pPr>
            <w:r w:rsidRPr="00AA15C4">
              <w:rPr>
                <w:rFonts w:ascii="Arial" w:eastAsia="Calibri" w:hAnsi="Arial" w:cs="Arial"/>
                <w:szCs w:val="22"/>
              </w:rPr>
              <w:t xml:space="preserve">This study explored the relationship between environmental education teaching practices and environmental literacy among 85 public elementary school teachers in Davao del Sur. Using a descriptive-correlational research design, the investigation was conducted at the Department of Education, UM </w:t>
            </w:r>
            <w:proofErr w:type="spellStart"/>
            <w:r w:rsidRPr="00AA15C4">
              <w:rPr>
                <w:rFonts w:ascii="Arial" w:eastAsia="Calibri" w:hAnsi="Arial" w:cs="Arial"/>
                <w:szCs w:val="22"/>
              </w:rPr>
              <w:t>Digos</w:t>
            </w:r>
            <w:proofErr w:type="spellEnd"/>
            <w:r w:rsidRPr="00AA15C4">
              <w:rPr>
                <w:rFonts w:ascii="Arial" w:eastAsia="Calibri" w:hAnsi="Arial" w:cs="Arial"/>
                <w:szCs w:val="22"/>
              </w:rPr>
              <w:t xml:space="preserve"> College, Davao del Sur, Philippines, between May 2023 and December 2025. Results indicated that teachers demonstrated high levels of environmental concern, positive attitudes toward environmental education, and strong classroom practices. Their environmental knowledge was also rated high. </w:t>
            </w:r>
            <w:r w:rsidR="00752092" w:rsidRPr="00752092">
              <w:rPr>
                <w:rFonts w:ascii="Arial" w:eastAsia="Calibri" w:hAnsi="Arial" w:cs="Arial"/>
                <w:szCs w:val="22"/>
              </w:rPr>
              <w:t>To enhance methodological clarity and analyze the relationship between non-normally distributed data, Spearman’s rank-order correlation coefficient was employed.</w:t>
            </w:r>
            <w:r w:rsidR="00752092">
              <w:rPr>
                <w:rFonts w:ascii="Arial" w:eastAsia="Calibri" w:hAnsi="Arial" w:cs="Arial"/>
                <w:szCs w:val="22"/>
              </w:rPr>
              <w:t xml:space="preserve"> </w:t>
            </w:r>
            <w:r w:rsidRPr="00AA15C4">
              <w:rPr>
                <w:rFonts w:ascii="Arial" w:eastAsia="Calibri" w:hAnsi="Arial" w:cs="Arial"/>
                <w:szCs w:val="22"/>
              </w:rPr>
              <w:t xml:space="preserve">A statistically significant positive correlation was found between teachers’ environmental literacy and teaching practices, suggesting that frequent engagement in environmental education activities is associated with higher literacy. The findings highlight the importance of enhancing teachers’ environmental literacy and pedagogical approaches to strengthen environmental education. Ultimately, the study underscores the role of teachers in fostering environmentally responsible learners who can contribute to sustainable development.  </w:t>
            </w:r>
          </w:p>
        </w:tc>
      </w:tr>
    </w:tbl>
    <w:p w14:paraId="11D9A42C" w14:textId="77777777" w:rsidR="00636EB2" w:rsidRDefault="00636EB2" w:rsidP="00441B6F">
      <w:pPr>
        <w:pStyle w:val="Body"/>
        <w:spacing w:after="0"/>
        <w:rPr>
          <w:rFonts w:ascii="Arial" w:hAnsi="Arial" w:cs="Arial"/>
          <w:i/>
        </w:rPr>
      </w:pPr>
    </w:p>
    <w:p w14:paraId="5C33D5BD" w14:textId="7CDC79B9" w:rsidR="00BE55FB" w:rsidRDefault="00A24E7E" w:rsidP="00BE55FB">
      <w:pPr>
        <w:rPr>
          <w:rFonts w:ascii="Arial" w:eastAsia="Calibri" w:hAnsi="Arial" w:cs="Arial"/>
          <w:i/>
          <w:szCs w:val="22"/>
        </w:rPr>
      </w:pPr>
      <w:r>
        <w:rPr>
          <w:rFonts w:ascii="Arial" w:hAnsi="Arial" w:cs="Arial"/>
          <w:i/>
        </w:rPr>
        <w:t xml:space="preserve">Keywords: </w:t>
      </w:r>
      <w:r w:rsidR="00BE55FB">
        <w:rPr>
          <w:rFonts w:eastAsia="Arial"/>
          <w:i/>
        </w:rPr>
        <w:t>environmental literacy,</w:t>
      </w:r>
      <w:r w:rsidR="00BE55FB">
        <w:rPr>
          <w:rFonts w:eastAsia="Arial"/>
          <w:b/>
          <w:bCs/>
        </w:rPr>
        <w:t xml:space="preserve"> </w:t>
      </w:r>
      <w:r w:rsidR="00BE55FB">
        <w:rPr>
          <w:rFonts w:eastAsia="Arial"/>
          <w:i/>
        </w:rPr>
        <w:t>environmental problems, teachers</w:t>
      </w:r>
      <w:r w:rsidR="00BE55FB" w:rsidRPr="00BE55FB">
        <w:rPr>
          <w:rFonts w:eastAsia="Arial"/>
          <w:iCs/>
        </w:rPr>
        <w:t xml:space="preserve">, </w:t>
      </w:r>
      <w:r w:rsidR="00BE55FB" w:rsidRPr="00BE55FB">
        <w:rPr>
          <w:rFonts w:ascii="Arial" w:eastAsia="Calibri" w:hAnsi="Arial" w:cs="Arial"/>
          <w:i/>
          <w:szCs w:val="22"/>
        </w:rPr>
        <w:t>environmental education</w:t>
      </w:r>
    </w:p>
    <w:p w14:paraId="5C19DB36" w14:textId="77777777" w:rsidR="000A7ADB" w:rsidRDefault="000A7ADB" w:rsidP="00BE55FB">
      <w:pPr>
        <w:rPr>
          <w:rFonts w:ascii="Arial" w:eastAsia="Calibri" w:hAnsi="Arial" w:cs="Arial"/>
          <w:i/>
          <w:szCs w:val="22"/>
        </w:rPr>
      </w:pPr>
    </w:p>
    <w:p w14:paraId="5B0E4812" w14:textId="3B22F31B" w:rsidR="000A7ADB" w:rsidRPr="00BE55FB" w:rsidRDefault="000A7ADB" w:rsidP="00BE55FB">
      <w:pPr>
        <w:rPr>
          <w:rFonts w:eastAsia="Arial"/>
          <w:i/>
        </w:rPr>
      </w:pPr>
      <w:r w:rsidRPr="000A7ADB">
        <w:rPr>
          <w:rFonts w:eastAsia="Arial"/>
          <w:i/>
        </w:rPr>
        <w:t>SDG Thrust: 4</w:t>
      </w:r>
      <w:bookmarkStart w:id="1" w:name="_Hlk216459223"/>
      <w:r w:rsidRPr="000A7ADB">
        <w:rPr>
          <w:rFonts w:eastAsia="Arial"/>
          <w:i/>
        </w:rPr>
        <w:t xml:space="preserve"> – </w:t>
      </w:r>
      <w:bookmarkEnd w:id="1"/>
      <w:r w:rsidRPr="000A7ADB">
        <w:rPr>
          <w:rFonts w:eastAsia="Arial"/>
          <w:i/>
        </w:rPr>
        <w:t>Quality Education</w:t>
      </w:r>
      <w:r w:rsidR="0073059D">
        <w:rPr>
          <w:rFonts w:eastAsia="Arial"/>
          <w:i/>
        </w:rPr>
        <w:t xml:space="preserve"> and</w:t>
      </w:r>
      <w:r w:rsidR="0073059D" w:rsidRPr="0073059D">
        <w:rPr>
          <w:rFonts w:eastAsia="Arial"/>
          <w:i/>
        </w:rPr>
        <w:t xml:space="preserve"> 13</w:t>
      </w:r>
      <w:r w:rsidR="0073059D">
        <w:rPr>
          <w:rFonts w:eastAsia="Arial"/>
          <w:i/>
        </w:rPr>
        <w:t xml:space="preserve"> </w:t>
      </w:r>
      <w:r w:rsidR="0073059D" w:rsidRPr="0073059D">
        <w:rPr>
          <w:rFonts w:eastAsia="Arial"/>
          <w:i/>
        </w:rPr>
        <w:t>– Climate Action</w:t>
      </w:r>
    </w:p>
    <w:p w14:paraId="0C5B70B1" w14:textId="77777777" w:rsidR="0024282C" w:rsidRDefault="0024282C" w:rsidP="00441B6F">
      <w:pPr>
        <w:pStyle w:val="Body"/>
        <w:spacing w:after="0"/>
        <w:rPr>
          <w:rFonts w:ascii="Arial" w:hAnsi="Arial" w:cs="Arial"/>
          <w:i/>
          <w:sz w:val="18"/>
        </w:rPr>
      </w:pPr>
    </w:p>
    <w:p w14:paraId="2AFEF086" w14:textId="77777777" w:rsidR="00505F06" w:rsidRPr="00A24E7E" w:rsidRDefault="00505F06" w:rsidP="00441B6F">
      <w:pPr>
        <w:pStyle w:val="Body"/>
        <w:spacing w:after="0"/>
        <w:rPr>
          <w:rFonts w:ascii="Arial" w:hAnsi="Arial" w:cs="Arial"/>
          <w:i/>
        </w:rPr>
      </w:pPr>
    </w:p>
    <w:p w14:paraId="115DFD54" w14:textId="1A3E149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DCC3F47" w14:textId="77777777" w:rsidR="00790ADA" w:rsidRPr="00FB3A86" w:rsidRDefault="00790ADA" w:rsidP="00441B6F">
      <w:pPr>
        <w:pStyle w:val="AbstHead"/>
        <w:spacing w:after="0"/>
        <w:jc w:val="both"/>
        <w:rPr>
          <w:rFonts w:ascii="Arial" w:hAnsi="Arial" w:cs="Arial"/>
        </w:rPr>
      </w:pPr>
    </w:p>
    <w:p w14:paraId="3C25F279" w14:textId="61E3BB98" w:rsidR="00B22C3C" w:rsidRDefault="002E20B5" w:rsidP="00B22C3C">
      <w:pPr>
        <w:jc w:val="both"/>
        <w:rPr>
          <w:rFonts w:ascii="Arial" w:eastAsia="Calibri" w:hAnsi="Arial" w:cs="Arial"/>
          <w:szCs w:val="22"/>
        </w:rPr>
      </w:pPr>
      <w:r>
        <w:rPr>
          <w:rFonts w:ascii="Arial" w:eastAsia="Calibri" w:hAnsi="Arial" w:cs="Arial"/>
          <w:szCs w:val="22"/>
        </w:rPr>
        <w:t>Environmental degradation is an urgent global issue of the 21st century. Natural disasters such as floods, landslides, and earthquakes affect millions, disrupting livelihoods and hindering sustainable development (Sukumaran, 2022). While some calamities are natural, their increasing frequency and intensity are often linked to human activities like deforestation, improper land use, pollution, and irresponsible waste disposal (</w:t>
      </w:r>
      <w:proofErr w:type="spellStart"/>
      <w:r>
        <w:rPr>
          <w:rFonts w:ascii="Arial" w:eastAsia="Calibri" w:hAnsi="Arial" w:cs="Arial"/>
          <w:szCs w:val="22"/>
        </w:rPr>
        <w:t>Atoi</w:t>
      </w:r>
      <w:proofErr w:type="spellEnd"/>
      <w:r>
        <w:rPr>
          <w:rFonts w:ascii="Arial" w:eastAsia="Calibri" w:hAnsi="Arial" w:cs="Arial"/>
          <w:szCs w:val="22"/>
        </w:rPr>
        <w:t xml:space="preserve"> et al., 2023). These problems worsen the impacts of natural hazards and threaten public health and ecosystems. Traditional mitigation methods are insufficient without promoting environmental awareness and behavioral change. Therefore, it is crucial to build environmental consciousness early in life through formal education, especially among children and youth who will become future stewards of the environment (</w:t>
      </w:r>
      <w:proofErr w:type="spellStart"/>
      <w:r>
        <w:rPr>
          <w:rFonts w:ascii="Arial" w:eastAsia="Calibri" w:hAnsi="Arial" w:cs="Arial"/>
          <w:szCs w:val="22"/>
        </w:rPr>
        <w:t>Oyeleke</w:t>
      </w:r>
      <w:proofErr w:type="spellEnd"/>
      <w:r>
        <w:rPr>
          <w:rFonts w:ascii="Arial" w:eastAsia="Calibri" w:hAnsi="Arial" w:cs="Arial"/>
          <w:szCs w:val="22"/>
        </w:rPr>
        <w:t xml:space="preserve"> &amp; </w:t>
      </w:r>
      <w:proofErr w:type="spellStart"/>
      <w:r>
        <w:rPr>
          <w:rFonts w:ascii="Arial" w:eastAsia="Calibri" w:hAnsi="Arial" w:cs="Arial"/>
          <w:szCs w:val="22"/>
        </w:rPr>
        <w:t>Onyike</w:t>
      </w:r>
      <w:proofErr w:type="spellEnd"/>
      <w:r>
        <w:rPr>
          <w:rFonts w:ascii="Arial" w:eastAsia="Calibri" w:hAnsi="Arial" w:cs="Arial"/>
          <w:szCs w:val="22"/>
        </w:rPr>
        <w:t>, 2025).</w:t>
      </w:r>
    </w:p>
    <w:p w14:paraId="572CB6EC" w14:textId="77777777" w:rsidR="00B22C3C" w:rsidRPr="00B22C3C" w:rsidRDefault="00B22C3C" w:rsidP="00B22C3C">
      <w:pPr>
        <w:jc w:val="both"/>
        <w:rPr>
          <w:rFonts w:ascii="Arial" w:eastAsia="Calibri" w:hAnsi="Arial" w:cs="Arial"/>
          <w:szCs w:val="22"/>
        </w:rPr>
      </w:pPr>
    </w:p>
    <w:p w14:paraId="2E15FE7A" w14:textId="77777777" w:rsidR="00B22C3C" w:rsidRPr="00B22C3C" w:rsidRDefault="00B22C3C" w:rsidP="00B22C3C">
      <w:pPr>
        <w:jc w:val="both"/>
        <w:rPr>
          <w:rFonts w:ascii="Arial" w:eastAsia="Calibri" w:hAnsi="Arial" w:cs="Arial"/>
          <w:szCs w:val="22"/>
        </w:rPr>
      </w:pPr>
      <w:r w:rsidRPr="00B22C3C">
        <w:rPr>
          <w:rFonts w:ascii="Arial" w:eastAsia="Calibri" w:hAnsi="Arial" w:cs="Arial"/>
          <w:szCs w:val="22"/>
        </w:rPr>
        <w:t xml:space="preserve">Environmental literacy is increasingly recognized by educators, researchers, and policymakers as essential for sustainable development. It encompasses knowledge of </w:t>
      </w:r>
      <w:r w:rsidRPr="00B22C3C">
        <w:rPr>
          <w:rFonts w:ascii="Arial" w:eastAsia="Calibri" w:hAnsi="Arial" w:cs="Arial"/>
          <w:szCs w:val="22"/>
        </w:rPr>
        <w:lastRenderedPageBreak/>
        <w:t xml:space="preserve">environmental issues, attitudes, competencies, and responsible behaviors. Fang et al. (2023) and Amalia (2024) argue that fostering environmental literacy enables individuals to understand environmental systems and make informed, ethical decisions. Environmentally literate individuals are more likely to reduce their environmental footprint and contribute to community solutions. Teachers who promote environmental literacy tend to engage in sustainable practices and embrace long-term environmental values (Miao &amp; </w:t>
      </w:r>
      <w:proofErr w:type="spellStart"/>
      <w:r w:rsidRPr="00B22C3C">
        <w:rPr>
          <w:rFonts w:ascii="Arial" w:eastAsia="Calibri" w:hAnsi="Arial" w:cs="Arial"/>
          <w:szCs w:val="22"/>
        </w:rPr>
        <w:t>Nduneseokwu</w:t>
      </w:r>
      <w:proofErr w:type="spellEnd"/>
      <w:r w:rsidRPr="00B22C3C">
        <w:rPr>
          <w:rFonts w:ascii="Arial" w:eastAsia="Calibri" w:hAnsi="Arial" w:cs="Arial"/>
          <w:szCs w:val="22"/>
        </w:rPr>
        <w:t>, 2025; Chiang, 2021). It also involves immersive experiences with nature, fostering empathy and a deeper sense of environmental responsibility.</w:t>
      </w:r>
    </w:p>
    <w:p w14:paraId="1A501162" w14:textId="77777777" w:rsidR="009C306D" w:rsidRPr="009C306D" w:rsidRDefault="009C306D" w:rsidP="009C306D">
      <w:pPr>
        <w:rPr>
          <w:rFonts w:ascii="Arial" w:eastAsia="Calibri" w:hAnsi="Arial" w:cs="Arial"/>
          <w:szCs w:val="22"/>
        </w:rPr>
      </w:pPr>
    </w:p>
    <w:p w14:paraId="4716DFB9" w14:textId="657CF939" w:rsidR="009760D1" w:rsidRDefault="00B22C3C" w:rsidP="009760D1">
      <w:pPr>
        <w:jc w:val="both"/>
        <w:rPr>
          <w:rFonts w:ascii="Arial" w:eastAsia="Calibri" w:hAnsi="Arial" w:cs="Arial"/>
          <w:szCs w:val="22"/>
        </w:rPr>
      </w:pPr>
      <w:r w:rsidRPr="00B22C3C">
        <w:rPr>
          <w:rFonts w:ascii="Arial" w:eastAsia="Calibri" w:hAnsi="Arial" w:cs="Arial"/>
          <w:szCs w:val="22"/>
        </w:rPr>
        <w:t xml:space="preserve">Recent global studies in environmental education highlight the need for effective, evidence-based strategies to enhance environmental literacy. Experiential learning is a key pedagogical approach, engaging educators with practical activities and real-world environmental challenges (Alabi, 2024). This method boosts teachers' intrinsic motivation, promotes higher-order thinking skills, and deepens environmental consciousness, all vital for quality environmental education (Lu et al., 2021; </w:t>
      </w:r>
      <w:proofErr w:type="spellStart"/>
      <w:r w:rsidRPr="00B22C3C">
        <w:rPr>
          <w:rFonts w:ascii="Arial" w:eastAsia="Calibri" w:hAnsi="Arial" w:cs="Arial"/>
          <w:szCs w:val="22"/>
        </w:rPr>
        <w:t>Pongsophon</w:t>
      </w:r>
      <w:proofErr w:type="spellEnd"/>
      <w:r w:rsidRPr="00B22C3C">
        <w:rPr>
          <w:rFonts w:ascii="Arial" w:eastAsia="Calibri" w:hAnsi="Arial" w:cs="Arial"/>
          <w:szCs w:val="22"/>
        </w:rPr>
        <w:t>, 2024).</w:t>
      </w:r>
    </w:p>
    <w:p w14:paraId="5E456162" w14:textId="77777777" w:rsidR="009760D1" w:rsidRPr="009760D1" w:rsidRDefault="009760D1" w:rsidP="009760D1">
      <w:pPr>
        <w:jc w:val="both"/>
        <w:rPr>
          <w:rFonts w:ascii="Arial" w:eastAsia="Calibri" w:hAnsi="Arial" w:cs="Arial"/>
          <w:szCs w:val="22"/>
        </w:rPr>
      </w:pPr>
    </w:p>
    <w:p w14:paraId="7BCC3152" w14:textId="26B5E191" w:rsidR="002757E2" w:rsidRPr="002757E2" w:rsidRDefault="009760D1" w:rsidP="002757E2">
      <w:pPr>
        <w:pStyle w:val="Body"/>
        <w:rPr>
          <w:rFonts w:ascii="Arial" w:eastAsia="Calibri" w:hAnsi="Arial" w:cs="Arial"/>
          <w:szCs w:val="22"/>
        </w:rPr>
      </w:pPr>
      <w:r w:rsidRPr="009760D1">
        <w:rPr>
          <w:rFonts w:ascii="Arial" w:eastAsia="Calibri" w:hAnsi="Arial" w:cs="Arial"/>
          <w:szCs w:val="22"/>
        </w:rPr>
        <w:t>Sustained professional development and the integration of environmental themes into the curriculum are essential for effective instruction (</w:t>
      </w:r>
      <w:proofErr w:type="spellStart"/>
      <w:r w:rsidRPr="009760D1">
        <w:rPr>
          <w:rFonts w:ascii="Arial" w:eastAsia="Calibri" w:hAnsi="Arial" w:cs="Arial"/>
          <w:szCs w:val="22"/>
        </w:rPr>
        <w:t>Boarin</w:t>
      </w:r>
      <w:proofErr w:type="spellEnd"/>
      <w:r w:rsidRPr="009760D1">
        <w:rPr>
          <w:rFonts w:ascii="Arial" w:eastAsia="Calibri" w:hAnsi="Arial" w:cs="Arial"/>
          <w:szCs w:val="22"/>
        </w:rPr>
        <w:t xml:space="preserve"> &amp; Martinez-Molina, 2022). Educational institutions that encourage teachers to partner with local stakeholders and lead environmental initiatives often see increased professional engagement and improved outcomes (</w:t>
      </w:r>
      <w:proofErr w:type="spellStart"/>
      <w:r w:rsidRPr="009760D1">
        <w:rPr>
          <w:rFonts w:ascii="Arial" w:eastAsia="Calibri" w:hAnsi="Arial" w:cs="Arial"/>
          <w:szCs w:val="22"/>
        </w:rPr>
        <w:t>Zakariah</w:t>
      </w:r>
      <w:proofErr w:type="spellEnd"/>
      <w:r w:rsidRPr="009760D1">
        <w:rPr>
          <w:rFonts w:ascii="Arial" w:eastAsia="Calibri" w:hAnsi="Arial" w:cs="Arial"/>
          <w:szCs w:val="22"/>
        </w:rPr>
        <w:t xml:space="preserve"> et al., 2024). Interdisciplinary approaches that embed environmental concepts across subjects like science, social studies, and language education enhance understanding and long-term retention of environmental knowledge (Ahmad, 2024).</w:t>
      </w:r>
    </w:p>
    <w:p w14:paraId="638D0BAD" w14:textId="2A9B3FE9" w:rsidR="002757E2" w:rsidRDefault="009C306D" w:rsidP="009760D1">
      <w:pPr>
        <w:jc w:val="both"/>
        <w:rPr>
          <w:rFonts w:ascii="Arial" w:eastAsia="Calibri" w:hAnsi="Arial" w:cs="Arial"/>
          <w:szCs w:val="22"/>
        </w:rPr>
      </w:pPr>
      <w:r w:rsidRPr="009C306D">
        <w:rPr>
          <w:rFonts w:ascii="Arial" w:eastAsia="Calibri" w:hAnsi="Arial" w:cs="Arial"/>
          <w:szCs w:val="22"/>
        </w:rPr>
        <w:t>In the Philippines, various policy initiatives have been introduced to integrate environmental education into the formal education system, recognizing teachers as key agents. Republic Act No. 9512, or the Environmental Awareness and Education Act of 2008, mandates the incorporation of environmental concepts across all subjects in public and private educational institutions. This is supported by DepEd Order No. 52, s.2011, which promotes the establishment of school-based environmental organizations like the Youth for Environment in Schools Organization (YES-O) and the inclusion of environmental themes in teaching materials and extracurricular activities. The National Environmental Education Action Plan for 2018–2040, developed by the Department of Environment and Natural Resources and the Department of Education, calls for sustainable practices in school operations that rely on active teacher participation. However, challenges remain. As Mansfield (2023) noted, the curriculum's environmental content is often superficial, lacking experiential engagement. Additionally, barriers such as inadequate teaching materials, limited access to professional development, and weak implementation monitoring hinder the full realization of these policies (</w:t>
      </w:r>
      <w:proofErr w:type="spellStart"/>
      <w:r w:rsidRPr="009C306D">
        <w:rPr>
          <w:rFonts w:ascii="Arial" w:eastAsia="Calibri" w:hAnsi="Arial" w:cs="Arial"/>
          <w:szCs w:val="22"/>
        </w:rPr>
        <w:t>Enyiazu</w:t>
      </w:r>
      <w:proofErr w:type="spellEnd"/>
      <w:r w:rsidRPr="009C306D">
        <w:rPr>
          <w:rFonts w:ascii="Arial" w:eastAsia="Calibri" w:hAnsi="Arial" w:cs="Arial"/>
          <w:szCs w:val="22"/>
        </w:rPr>
        <w:t>, 2022).</w:t>
      </w:r>
    </w:p>
    <w:p w14:paraId="1FCECD36" w14:textId="77777777" w:rsidR="009760D1" w:rsidRPr="002757E2" w:rsidRDefault="009760D1" w:rsidP="009760D1">
      <w:pPr>
        <w:jc w:val="both"/>
        <w:rPr>
          <w:rFonts w:ascii="Arial" w:eastAsia="Calibri" w:hAnsi="Arial" w:cs="Arial"/>
          <w:szCs w:val="22"/>
        </w:rPr>
      </w:pPr>
    </w:p>
    <w:p w14:paraId="30155125" w14:textId="77777777" w:rsidR="009760D1" w:rsidRPr="009760D1" w:rsidRDefault="009760D1" w:rsidP="009760D1">
      <w:pPr>
        <w:pStyle w:val="Body"/>
        <w:rPr>
          <w:rFonts w:ascii="Arial" w:eastAsia="Calibri" w:hAnsi="Arial" w:cs="Arial"/>
          <w:szCs w:val="22"/>
        </w:rPr>
      </w:pPr>
      <w:r w:rsidRPr="009760D1">
        <w:rPr>
          <w:rFonts w:ascii="Arial" w:eastAsia="Calibri" w:hAnsi="Arial" w:cs="Arial"/>
          <w:szCs w:val="22"/>
        </w:rPr>
        <w:t xml:space="preserve">In </w:t>
      </w:r>
      <w:proofErr w:type="spellStart"/>
      <w:r w:rsidRPr="009760D1">
        <w:rPr>
          <w:rFonts w:ascii="Arial" w:eastAsia="Calibri" w:hAnsi="Arial" w:cs="Arial"/>
          <w:szCs w:val="22"/>
        </w:rPr>
        <w:t>Digos</w:t>
      </w:r>
      <w:proofErr w:type="spellEnd"/>
      <w:r w:rsidRPr="009760D1">
        <w:rPr>
          <w:rFonts w:ascii="Arial" w:eastAsia="Calibri" w:hAnsi="Arial" w:cs="Arial"/>
          <w:szCs w:val="22"/>
        </w:rPr>
        <w:t xml:space="preserve"> City, Davao del Sur, data on the environmental literacy of </w:t>
      </w:r>
      <w:proofErr w:type="gramStart"/>
      <w:r w:rsidRPr="009760D1">
        <w:rPr>
          <w:rFonts w:ascii="Arial" w:eastAsia="Calibri" w:hAnsi="Arial" w:cs="Arial"/>
          <w:szCs w:val="22"/>
        </w:rPr>
        <w:t>public school</w:t>
      </w:r>
      <w:proofErr w:type="gramEnd"/>
      <w:r w:rsidRPr="009760D1">
        <w:rPr>
          <w:rFonts w:ascii="Arial" w:eastAsia="Calibri" w:hAnsi="Arial" w:cs="Arial"/>
          <w:szCs w:val="22"/>
        </w:rPr>
        <w:t xml:space="preserve"> teachers is limited. Although schools have adopted national environmental programs, issues such as improper waste disposal, lack of green spaces, and poor environmental practices persist, often linked to teachers as policy implementers (</w:t>
      </w:r>
      <w:proofErr w:type="spellStart"/>
      <w:r w:rsidRPr="009760D1">
        <w:rPr>
          <w:rFonts w:ascii="Arial" w:eastAsia="Calibri" w:hAnsi="Arial" w:cs="Arial"/>
          <w:szCs w:val="22"/>
        </w:rPr>
        <w:t>Mariñas</w:t>
      </w:r>
      <w:proofErr w:type="spellEnd"/>
      <w:r w:rsidRPr="009760D1">
        <w:rPr>
          <w:rFonts w:ascii="Arial" w:eastAsia="Calibri" w:hAnsi="Arial" w:cs="Arial"/>
          <w:szCs w:val="22"/>
        </w:rPr>
        <w:t xml:space="preserve"> et al., 2022, as cited in </w:t>
      </w:r>
      <w:proofErr w:type="spellStart"/>
      <w:r w:rsidRPr="009760D1">
        <w:rPr>
          <w:rFonts w:ascii="Arial" w:eastAsia="Calibri" w:hAnsi="Arial" w:cs="Arial"/>
          <w:szCs w:val="22"/>
        </w:rPr>
        <w:t>Carangan</w:t>
      </w:r>
      <w:proofErr w:type="spellEnd"/>
      <w:r w:rsidRPr="009760D1">
        <w:rPr>
          <w:rFonts w:ascii="Arial" w:eastAsia="Calibri" w:hAnsi="Arial" w:cs="Arial"/>
          <w:szCs w:val="22"/>
        </w:rPr>
        <w:t>, 2023). This highlights a gap between environmental understanding and practices, indicating that professional development may not meet teachers' needs. Galut (2025) noted that without localized strategies addressing teachers’ realities, environmental education may not lead to lasting changes in behavior or teaching practices.</w:t>
      </w:r>
    </w:p>
    <w:p w14:paraId="3B8EAAD0" w14:textId="77777777" w:rsidR="002757E2" w:rsidRPr="002757E2" w:rsidRDefault="002757E2" w:rsidP="002757E2">
      <w:pPr>
        <w:pStyle w:val="Body"/>
        <w:rPr>
          <w:rFonts w:ascii="Arial" w:eastAsia="Calibri" w:hAnsi="Arial" w:cs="Arial"/>
          <w:szCs w:val="22"/>
        </w:rPr>
      </w:pPr>
      <w:r w:rsidRPr="002757E2">
        <w:rPr>
          <w:rFonts w:ascii="Arial" w:eastAsia="Calibri" w:hAnsi="Arial" w:cs="Arial"/>
          <w:szCs w:val="22"/>
        </w:rPr>
        <w:t xml:space="preserve">The theoretical foundation of this study is grounded in three key educational theories that support transformative environmental teaching: Social Learning Theory and Transformative Learning Theory. Social Learning Theory, introduced by Bandura (1997), suggests that individuals learn by observing others and modeling behaviors, underscoring the importance of </w:t>
      </w:r>
      <w:r w:rsidRPr="002757E2">
        <w:rPr>
          <w:rFonts w:ascii="Arial" w:eastAsia="Calibri" w:hAnsi="Arial" w:cs="Arial"/>
          <w:szCs w:val="22"/>
        </w:rPr>
        <w:lastRenderedPageBreak/>
        <w:t xml:space="preserve">teachers as role models who can influence students through visible pro-environmental actions (Liang et al., 2022). Meanwhile, Transformative Learning Theory, developed by Mezirow (2009), emphasizes the importance of self-reflection and re-examining one's perspectives, which can lead to significant shifts in how teachers approach environmental topics in the classroom. </w:t>
      </w:r>
    </w:p>
    <w:p w14:paraId="06ECFAA3" w14:textId="77777777" w:rsidR="0068607C" w:rsidRDefault="0068607C" w:rsidP="0068607C">
      <w:pPr>
        <w:jc w:val="both"/>
        <w:rPr>
          <w:rFonts w:ascii="Arial" w:eastAsia="Calibri" w:hAnsi="Arial" w:cs="Arial"/>
          <w:szCs w:val="22"/>
        </w:rPr>
      </w:pPr>
      <w:r w:rsidRPr="0068607C">
        <w:rPr>
          <w:rFonts w:ascii="Arial" w:eastAsia="Calibri" w:hAnsi="Arial" w:cs="Arial"/>
          <w:szCs w:val="22"/>
        </w:rPr>
        <w:t>This study provides evidence-based insights into the environmental literacy levels of public elementary teachers in Davao del Sur and the teaching practices that support environmental education. The findings will guide curriculum developers, school administrators, and local education authorities in enhancing teacher preparation and environmental instruction to promote sustainable behaviors and values (</w:t>
      </w:r>
      <w:proofErr w:type="spellStart"/>
      <w:r w:rsidRPr="0068607C">
        <w:rPr>
          <w:rFonts w:ascii="Arial" w:eastAsia="Calibri" w:hAnsi="Arial" w:cs="Arial"/>
          <w:szCs w:val="22"/>
        </w:rPr>
        <w:t>Corpuz</w:t>
      </w:r>
      <w:proofErr w:type="spellEnd"/>
      <w:r w:rsidRPr="0068607C">
        <w:rPr>
          <w:rFonts w:ascii="Arial" w:eastAsia="Calibri" w:hAnsi="Arial" w:cs="Arial"/>
          <w:szCs w:val="22"/>
        </w:rPr>
        <w:t xml:space="preserve"> et al., 2022). By aligning its objectives with national education policies and sustainability goals, this study aims to cultivate environmentally competent and action-oriented teaching professionals (</w:t>
      </w:r>
      <w:proofErr w:type="spellStart"/>
      <w:r w:rsidRPr="0068607C">
        <w:rPr>
          <w:rFonts w:ascii="Arial" w:eastAsia="Calibri" w:hAnsi="Arial" w:cs="Arial"/>
          <w:szCs w:val="22"/>
        </w:rPr>
        <w:t>Sinakou</w:t>
      </w:r>
      <w:proofErr w:type="spellEnd"/>
      <w:r w:rsidRPr="0068607C">
        <w:rPr>
          <w:rFonts w:ascii="Arial" w:eastAsia="Calibri" w:hAnsi="Arial" w:cs="Arial"/>
          <w:szCs w:val="22"/>
        </w:rPr>
        <w:t xml:space="preserve"> et al., 2022; Lohmann et al., 2021). Ultimately, this research seeks to inform the development of inclusive teacher education programs that address the environmental challenges and instructional realities of schools in Davao del Sur and similar communities.</w:t>
      </w:r>
    </w:p>
    <w:p w14:paraId="640C2D39" w14:textId="77777777" w:rsidR="0068607C" w:rsidRPr="0068607C" w:rsidRDefault="0068607C" w:rsidP="0068607C">
      <w:pPr>
        <w:jc w:val="both"/>
        <w:rPr>
          <w:rFonts w:ascii="Arial" w:eastAsia="Calibri" w:hAnsi="Arial" w:cs="Arial"/>
          <w:szCs w:val="22"/>
        </w:rPr>
      </w:pPr>
    </w:p>
    <w:p w14:paraId="66AC54A9" w14:textId="77777777" w:rsidR="002757E2" w:rsidRDefault="002757E2" w:rsidP="002757E2">
      <w:pPr>
        <w:rPr>
          <w:rFonts w:eastAsia="Arial"/>
          <w:b/>
          <w:bCs/>
        </w:rPr>
      </w:pPr>
      <w:r>
        <w:rPr>
          <w:rFonts w:eastAsia="Arial"/>
          <w:b/>
          <w:bCs/>
        </w:rPr>
        <w:t>Research Objectives</w:t>
      </w:r>
    </w:p>
    <w:p w14:paraId="7C38CA1B" w14:textId="77777777" w:rsidR="002757E2" w:rsidRDefault="002757E2" w:rsidP="002757E2">
      <w:pPr>
        <w:rPr>
          <w:rFonts w:eastAsia="Tahoma"/>
        </w:rPr>
      </w:pPr>
      <w:r>
        <w:rPr>
          <w:rFonts w:eastAsia="Arial"/>
        </w:rPr>
        <w:t>The current study examines the correlation between teachers' practices and environmental Literacy.</w:t>
      </w:r>
    </w:p>
    <w:p w14:paraId="29AE7189" w14:textId="0D9BEF1C" w:rsidR="002757E2" w:rsidRDefault="00240676" w:rsidP="00240676">
      <w:pPr>
        <w:ind w:left="720"/>
        <w:jc w:val="both"/>
        <w:rPr>
          <w:rFonts w:eastAsia="Tahoma"/>
        </w:rPr>
      </w:pPr>
      <w:r>
        <w:rPr>
          <w:rFonts w:eastAsia="Tahoma"/>
        </w:rPr>
        <w:t xml:space="preserve">1. </w:t>
      </w:r>
      <w:r w:rsidR="002757E2">
        <w:rPr>
          <w:rFonts w:eastAsia="Tahoma"/>
        </w:rPr>
        <w:t>To determine the level of elementary teachers' environmental practices in terms</w:t>
      </w:r>
      <w:r>
        <w:rPr>
          <w:rFonts w:eastAsia="Tahoma"/>
        </w:rPr>
        <w:t xml:space="preserve"> </w:t>
      </w:r>
      <w:r w:rsidR="002757E2">
        <w:rPr>
          <w:rFonts w:eastAsia="Tahoma"/>
        </w:rPr>
        <w:t>of:</w:t>
      </w:r>
    </w:p>
    <w:p w14:paraId="244654D6" w14:textId="77777777" w:rsidR="002757E2" w:rsidRDefault="002757E2" w:rsidP="002757E2">
      <w:pPr>
        <w:ind w:left="1440"/>
        <w:rPr>
          <w:rFonts w:eastAsia="Tahoma"/>
        </w:rPr>
      </w:pPr>
      <w:r>
        <w:rPr>
          <w:rFonts w:eastAsia="Tahoma"/>
        </w:rPr>
        <w:t>1.1 Environmental Education Attitudes (EEA); and</w:t>
      </w:r>
    </w:p>
    <w:p w14:paraId="393154D5" w14:textId="77777777" w:rsidR="002757E2" w:rsidRDefault="002757E2" w:rsidP="002757E2">
      <w:pPr>
        <w:ind w:left="1440"/>
        <w:rPr>
          <w:rFonts w:eastAsia="Tahoma"/>
        </w:rPr>
      </w:pPr>
      <w:r>
        <w:rPr>
          <w:rFonts w:eastAsia="Tahoma"/>
        </w:rPr>
        <w:t>1.2 Teacher Practices in Environmental Education (TPEE).</w:t>
      </w:r>
    </w:p>
    <w:p w14:paraId="349046F9" w14:textId="5C56A93A" w:rsidR="002757E2" w:rsidRDefault="002757E2" w:rsidP="002757E2">
      <w:pPr>
        <w:ind w:left="720"/>
        <w:rPr>
          <w:rFonts w:eastAsia="Tahoma"/>
        </w:rPr>
      </w:pPr>
      <w:r>
        <w:rPr>
          <w:rFonts w:eastAsia="Tahoma"/>
        </w:rPr>
        <w:t xml:space="preserve">2. To determine the environmental literacy perceived level of elementary teachers </w:t>
      </w:r>
      <w:proofErr w:type="gramStart"/>
      <w:r>
        <w:rPr>
          <w:rFonts w:eastAsia="Tahoma"/>
        </w:rPr>
        <w:t>in  terms</w:t>
      </w:r>
      <w:proofErr w:type="gramEnd"/>
      <w:r>
        <w:rPr>
          <w:rFonts w:eastAsia="Tahoma"/>
        </w:rPr>
        <w:t xml:space="preserve"> of:</w:t>
      </w:r>
    </w:p>
    <w:p w14:paraId="1DFF7EE6" w14:textId="77777777" w:rsidR="002757E2" w:rsidRDefault="002757E2" w:rsidP="002757E2">
      <w:pPr>
        <w:ind w:left="1440"/>
        <w:rPr>
          <w:rFonts w:eastAsia="Tahoma"/>
        </w:rPr>
      </w:pPr>
      <w:r>
        <w:rPr>
          <w:rFonts w:eastAsia="Tahoma"/>
        </w:rPr>
        <w:t>2.1 Environmental Knowledge (EK); and</w:t>
      </w:r>
    </w:p>
    <w:p w14:paraId="6DB3F91F" w14:textId="77777777" w:rsidR="002757E2" w:rsidRDefault="002757E2" w:rsidP="002757E2">
      <w:pPr>
        <w:ind w:left="1440"/>
        <w:rPr>
          <w:rFonts w:eastAsia="Tahoma"/>
        </w:rPr>
      </w:pPr>
      <w:r>
        <w:rPr>
          <w:rFonts w:eastAsia="Tahoma"/>
        </w:rPr>
        <w:t xml:space="preserve">2.2 Environmental Concern (EC). </w:t>
      </w:r>
    </w:p>
    <w:p w14:paraId="602EE954" w14:textId="352B0BAE" w:rsidR="00B427F5" w:rsidRDefault="00240676" w:rsidP="00DB0E32">
      <w:pPr>
        <w:ind w:left="720"/>
        <w:rPr>
          <w:rFonts w:eastAsia="Tahoma"/>
        </w:rPr>
      </w:pPr>
      <w:r>
        <w:rPr>
          <w:rFonts w:eastAsia="Tahoma"/>
        </w:rPr>
        <w:t>3. To determine whether there is a significant relationship between teachers' practices and the teachers' Environmental Literacy</w:t>
      </w:r>
    </w:p>
    <w:p w14:paraId="3E72FF6B" w14:textId="77777777" w:rsidR="0068607C" w:rsidRDefault="0068607C" w:rsidP="00DB0E32">
      <w:pPr>
        <w:ind w:left="720"/>
        <w:rPr>
          <w:rFonts w:eastAsia="Tahoma"/>
        </w:rPr>
      </w:pPr>
    </w:p>
    <w:p w14:paraId="7BA750BE" w14:textId="77777777" w:rsidR="00DB0E32" w:rsidRPr="00DB0E32" w:rsidRDefault="00DB0E32" w:rsidP="00DB0E32">
      <w:pPr>
        <w:ind w:left="720"/>
        <w:rPr>
          <w:rFonts w:eastAsia="Tahoma"/>
        </w:rPr>
      </w:pPr>
    </w:p>
    <w:p w14:paraId="1F46F8B4" w14:textId="7FE4A927" w:rsidR="007F7B32" w:rsidRDefault="00902823" w:rsidP="00441B6F">
      <w:pPr>
        <w:pStyle w:val="AbstHead"/>
        <w:spacing w:after="0"/>
        <w:jc w:val="both"/>
        <w:rPr>
          <w:rFonts w:ascii="Arial" w:hAnsi="Arial" w:cs="Arial"/>
        </w:rPr>
      </w:pPr>
      <w:r>
        <w:rPr>
          <w:rFonts w:ascii="Arial" w:hAnsi="Arial" w:cs="Arial"/>
        </w:rPr>
        <w:t>2. method</w:t>
      </w:r>
    </w:p>
    <w:p w14:paraId="6B8EE201" w14:textId="77777777" w:rsidR="0068607C" w:rsidRPr="00FB3A86" w:rsidRDefault="0068607C" w:rsidP="00441B6F">
      <w:pPr>
        <w:pStyle w:val="AbstHead"/>
        <w:spacing w:after="0"/>
        <w:jc w:val="both"/>
        <w:rPr>
          <w:rFonts w:ascii="Arial" w:hAnsi="Arial" w:cs="Arial"/>
        </w:rPr>
      </w:pPr>
    </w:p>
    <w:p w14:paraId="7223FC22" w14:textId="722C89D2" w:rsidR="00240676" w:rsidRPr="00240676" w:rsidRDefault="00240676" w:rsidP="00240676">
      <w:pPr>
        <w:pStyle w:val="Body"/>
        <w:rPr>
          <w:rFonts w:ascii="Arial" w:hAnsi="Arial" w:cs="Arial"/>
          <w:sz w:val="22"/>
          <w:szCs w:val="22"/>
        </w:rPr>
      </w:pPr>
      <w:r w:rsidRPr="00240676">
        <w:rPr>
          <w:rFonts w:ascii="Arial" w:hAnsi="Arial" w:cs="Arial"/>
          <w:b/>
          <w:sz w:val="22"/>
          <w:szCs w:val="22"/>
        </w:rPr>
        <w:t>2.1 Respondents</w:t>
      </w:r>
    </w:p>
    <w:p w14:paraId="4F851ED5" w14:textId="77777777" w:rsidR="00541C33" w:rsidRDefault="0068607C" w:rsidP="00541C33">
      <w:pPr>
        <w:jc w:val="both"/>
        <w:rPr>
          <w:rFonts w:ascii="Arial" w:hAnsi="Arial" w:cs="Arial"/>
        </w:rPr>
      </w:pPr>
      <w:r w:rsidRPr="0068607C">
        <w:rPr>
          <w:rFonts w:ascii="Arial" w:hAnsi="Arial" w:cs="Arial"/>
        </w:rPr>
        <w:t>The study involved 85 elementary school teachers from public schools in Davao del Sur. The selection was based on sampling adequacy using purposive sampling, targeting teachers directly involved in environmental education or school-based activities (</w:t>
      </w:r>
      <w:proofErr w:type="spellStart"/>
      <w:r w:rsidRPr="0068607C">
        <w:rPr>
          <w:rFonts w:ascii="Arial" w:hAnsi="Arial" w:cs="Arial"/>
        </w:rPr>
        <w:t>Khalefa</w:t>
      </w:r>
      <w:proofErr w:type="spellEnd"/>
      <w:r w:rsidRPr="0068607C">
        <w:rPr>
          <w:rFonts w:ascii="Arial" w:hAnsi="Arial" w:cs="Arial"/>
        </w:rPr>
        <w:t xml:space="preserve"> et al., 2021). A sample size of this magnitude balances sufficient data for statistical analysis with manageable data collection (</w:t>
      </w:r>
      <w:proofErr w:type="spellStart"/>
      <w:r w:rsidRPr="0068607C">
        <w:rPr>
          <w:rFonts w:ascii="Arial" w:hAnsi="Arial" w:cs="Arial"/>
        </w:rPr>
        <w:t>Lakens</w:t>
      </w:r>
      <w:proofErr w:type="spellEnd"/>
      <w:r w:rsidRPr="0068607C">
        <w:rPr>
          <w:rFonts w:ascii="Arial" w:hAnsi="Arial" w:cs="Arial"/>
        </w:rPr>
        <w:t>, 2022). The researchers ensured participants had the necessary experience with environmental education. The number 85 was chosen to provide meaningful results and reliable statistical analyses, as a sample size of 50-100 is commonly accepted in educational research for identifying significant patterns (Newton, 2024). Additionally, the study was conducted within time and resource constraints, making 85 a feasible number without compromising the quality of findings.</w:t>
      </w:r>
    </w:p>
    <w:p w14:paraId="2B9F66A7" w14:textId="77777777" w:rsidR="008D6D2F" w:rsidRDefault="008D6D2F" w:rsidP="00541C33">
      <w:pPr>
        <w:jc w:val="both"/>
        <w:rPr>
          <w:rFonts w:ascii="Arial" w:hAnsi="Arial" w:cs="Arial"/>
        </w:rPr>
      </w:pPr>
    </w:p>
    <w:p w14:paraId="3BCCE102" w14:textId="23D578B9" w:rsidR="00790ADA" w:rsidRPr="00541C33" w:rsidRDefault="004E3548" w:rsidP="00541C33">
      <w:pPr>
        <w:jc w:val="both"/>
        <w:rPr>
          <w:rFonts w:ascii="Arial" w:hAnsi="Arial" w:cs="Arial"/>
        </w:rPr>
      </w:pPr>
      <w:r w:rsidRPr="00D2435E">
        <w:rPr>
          <w:rFonts w:ascii="Arial" w:hAnsi="Arial" w:cs="Arial"/>
          <w:b/>
          <w:lang w:val="en-PH" w:eastAsia="ja-JP"/>
        </w:rPr>
        <w:t>Table 1</w:t>
      </w:r>
      <w:r w:rsidRPr="00D2435E">
        <w:rPr>
          <w:rFonts w:ascii="Arial" w:hAnsi="Arial" w:cs="Arial"/>
          <w:b/>
          <w:lang w:eastAsia="ja-JP"/>
        </w:rPr>
        <w:t xml:space="preserve">. </w:t>
      </w:r>
      <w:r w:rsidRPr="00D2435E">
        <w:rPr>
          <w:rFonts w:ascii="Arial" w:hAnsi="Arial" w:cs="Arial"/>
          <w:b/>
          <w:lang w:val="en-PH" w:eastAsia="ja-JP"/>
        </w:rPr>
        <w:t>Demographic profile of respondents, n=85</w:t>
      </w:r>
    </w:p>
    <w:p w14:paraId="2820C34E" w14:textId="77777777" w:rsidR="00D2435E" w:rsidRPr="004E3548" w:rsidRDefault="00D2435E" w:rsidP="004E3548"/>
    <w:tbl>
      <w:tblPr>
        <w:tblW w:w="5079" w:type="pct"/>
        <w:tblInd w:w="135" w:type="dxa"/>
        <w:tblLook w:val="04A0" w:firstRow="1" w:lastRow="0" w:firstColumn="1" w:lastColumn="0" w:noHBand="0" w:noVBand="1"/>
      </w:tblPr>
      <w:tblGrid>
        <w:gridCol w:w="3101"/>
        <w:gridCol w:w="2584"/>
        <w:gridCol w:w="1407"/>
        <w:gridCol w:w="1246"/>
      </w:tblGrid>
      <w:tr w:rsidR="004E3548" w:rsidRPr="00D2435E" w14:paraId="5C584372" w14:textId="77777777" w:rsidTr="0053411E">
        <w:trPr>
          <w:trHeight w:val="322"/>
        </w:trPr>
        <w:tc>
          <w:tcPr>
            <w:tcW w:w="1859" w:type="pct"/>
            <w:tcBorders>
              <w:top w:val="single" w:sz="4" w:space="0" w:color="auto"/>
              <w:left w:val="nil"/>
              <w:bottom w:val="single" w:sz="4" w:space="0" w:color="auto"/>
              <w:right w:val="nil"/>
            </w:tcBorders>
            <w:shd w:val="clear" w:color="000000" w:fill="FFFFFF"/>
            <w:vAlign w:val="center"/>
          </w:tcPr>
          <w:p w14:paraId="6E1FBA32" w14:textId="77777777" w:rsidR="004E3548" w:rsidRPr="00D2435E" w:rsidRDefault="004E3548" w:rsidP="0053411E">
            <w:pPr>
              <w:rPr>
                <w:rFonts w:ascii="Arial" w:hAnsi="Arial" w:cs="Arial"/>
                <w:lang w:val="en-PH" w:eastAsia="ja-JP"/>
              </w:rPr>
            </w:pPr>
            <w:r w:rsidRPr="00D2435E">
              <w:rPr>
                <w:rFonts w:ascii="Arial" w:hAnsi="Arial" w:cs="Arial"/>
                <w:b/>
                <w:bCs/>
                <w:lang w:val="en-PH" w:eastAsia="ja-JP"/>
              </w:rPr>
              <w:t>Indicators</w:t>
            </w:r>
          </w:p>
        </w:tc>
        <w:tc>
          <w:tcPr>
            <w:tcW w:w="1549" w:type="pct"/>
            <w:tcBorders>
              <w:top w:val="single" w:sz="4" w:space="0" w:color="auto"/>
              <w:left w:val="nil"/>
              <w:bottom w:val="single" w:sz="4" w:space="0" w:color="auto"/>
              <w:right w:val="nil"/>
            </w:tcBorders>
            <w:shd w:val="clear" w:color="000000" w:fill="auto"/>
            <w:vAlign w:val="center"/>
          </w:tcPr>
          <w:p w14:paraId="52371131" w14:textId="77777777" w:rsidR="004E3548" w:rsidRPr="00D2435E" w:rsidRDefault="004E3548" w:rsidP="0053411E">
            <w:pPr>
              <w:jc w:val="center"/>
              <w:rPr>
                <w:rFonts w:ascii="Arial" w:hAnsi="Arial" w:cs="Arial"/>
                <w:lang w:eastAsia="ja-JP"/>
              </w:rPr>
            </w:pPr>
            <w:r w:rsidRPr="00D2435E">
              <w:rPr>
                <w:rFonts w:ascii="Arial" w:hAnsi="Arial" w:cs="Arial"/>
                <w:b/>
                <w:bCs/>
                <w:lang w:eastAsia="ja-JP"/>
              </w:rPr>
              <w:t>Descriptions</w:t>
            </w:r>
          </w:p>
        </w:tc>
        <w:tc>
          <w:tcPr>
            <w:tcW w:w="844" w:type="pct"/>
            <w:tcBorders>
              <w:top w:val="single" w:sz="4" w:space="0" w:color="auto"/>
              <w:left w:val="nil"/>
              <w:bottom w:val="single" w:sz="4" w:space="0" w:color="auto"/>
              <w:right w:val="nil"/>
            </w:tcBorders>
            <w:shd w:val="clear" w:color="000000" w:fill="FFFFFF"/>
            <w:vAlign w:val="center"/>
          </w:tcPr>
          <w:p w14:paraId="259B568D" w14:textId="77777777" w:rsidR="004E3548" w:rsidRPr="00D2435E" w:rsidRDefault="004E3548" w:rsidP="0053411E">
            <w:pPr>
              <w:jc w:val="center"/>
              <w:rPr>
                <w:rFonts w:ascii="Arial" w:hAnsi="Arial" w:cs="Arial"/>
                <w:lang w:val="en-PH" w:eastAsia="ja-JP"/>
              </w:rPr>
            </w:pPr>
            <w:r w:rsidRPr="00D2435E">
              <w:rPr>
                <w:rFonts w:ascii="Arial" w:hAnsi="Arial" w:cs="Arial"/>
                <w:b/>
                <w:bCs/>
                <w:lang w:val="en-PH" w:eastAsia="ja-JP"/>
              </w:rPr>
              <w:t>f</w:t>
            </w:r>
          </w:p>
        </w:tc>
        <w:tc>
          <w:tcPr>
            <w:tcW w:w="747" w:type="pct"/>
            <w:tcBorders>
              <w:top w:val="single" w:sz="4" w:space="0" w:color="auto"/>
              <w:left w:val="nil"/>
              <w:bottom w:val="single" w:sz="4" w:space="0" w:color="auto"/>
              <w:right w:val="nil"/>
            </w:tcBorders>
            <w:shd w:val="clear" w:color="000000" w:fill="FFFFFF"/>
            <w:vAlign w:val="center"/>
          </w:tcPr>
          <w:p w14:paraId="53541937" w14:textId="77777777" w:rsidR="004E3548" w:rsidRPr="00D2435E" w:rsidRDefault="004E3548" w:rsidP="0053411E">
            <w:pPr>
              <w:jc w:val="center"/>
              <w:rPr>
                <w:rFonts w:ascii="Arial" w:hAnsi="Arial" w:cs="Arial"/>
                <w:lang w:val="en-PH" w:eastAsia="ja-JP"/>
              </w:rPr>
            </w:pPr>
            <w:r w:rsidRPr="00D2435E">
              <w:rPr>
                <w:rFonts w:ascii="Arial" w:hAnsi="Arial" w:cs="Arial"/>
                <w:b/>
                <w:bCs/>
                <w:lang w:val="en-PH" w:eastAsia="ja-JP"/>
              </w:rPr>
              <w:t>%</w:t>
            </w:r>
          </w:p>
        </w:tc>
      </w:tr>
      <w:tr w:rsidR="004E3548" w:rsidRPr="00D2435E" w14:paraId="4D46992A" w14:textId="77777777" w:rsidTr="0053411E">
        <w:trPr>
          <w:trHeight w:val="322"/>
        </w:trPr>
        <w:tc>
          <w:tcPr>
            <w:tcW w:w="1859" w:type="pct"/>
            <w:tcBorders>
              <w:top w:val="single" w:sz="4" w:space="0" w:color="auto"/>
              <w:left w:val="nil"/>
              <w:bottom w:val="nil"/>
              <w:right w:val="nil"/>
            </w:tcBorders>
            <w:shd w:val="clear" w:color="000000" w:fill="FFFFFF"/>
            <w:vAlign w:val="center"/>
          </w:tcPr>
          <w:p w14:paraId="41205EE8" w14:textId="77777777" w:rsidR="004E3548" w:rsidRPr="00D2435E" w:rsidRDefault="004E3548" w:rsidP="0053411E">
            <w:pPr>
              <w:rPr>
                <w:rFonts w:ascii="Arial" w:hAnsi="Arial" w:cs="Arial"/>
                <w:lang w:eastAsia="ja-JP"/>
              </w:rPr>
            </w:pPr>
            <w:r w:rsidRPr="00D2435E">
              <w:rPr>
                <w:rFonts w:ascii="Arial" w:hAnsi="Arial" w:cs="Arial"/>
                <w:lang w:eastAsia="ja-JP"/>
              </w:rPr>
              <w:t>Gender</w:t>
            </w:r>
          </w:p>
        </w:tc>
        <w:tc>
          <w:tcPr>
            <w:tcW w:w="1549" w:type="pct"/>
            <w:tcBorders>
              <w:top w:val="single" w:sz="4" w:space="0" w:color="auto"/>
              <w:left w:val="nil"/>
              <w:bottom w:val="nil"/>
              <w:right w:val="nil"/>
            </w:tcBorders>
            <w:shd w:val="clear" w:color="000000" w:fill="auto"/>
            <w:vAlign w:val="center"/>
          </w:tcPr>
          <w:p w14:paraId="11E5B2BD" w14:textId="77777777" w:rsidR="004E3548" w:rsidRPr="00D2435E" w:rsidRDefault="004E3548" w:rsidP="0053411E">
            <w:pPr>
              <w:jc w:val="center"/>
              <w:rPr>
                <w:rFonts w:ascii="Arial" w:hAnsi="Arial" w:cs="Arial"/>
                <w:lang w:eastAsia="ja-JP"/>
              </w:rPr>
            </w:pPr>
            <w:r w:rsidRPr="00D2435E">
              <w:rPr>
                <w:rFonts w:ascii="Arial" w:hAnsi="Arial" w:cs="Arial"/>
                <w:lang w:eastAsia="ja-JP"/>
              </w:rPr>
              <w:t>Female</w:t>
            </w:r>
          </w:p>
        </w:tc>
        <w:tc>
          <w:tcPr>
            <w:tcW w:w="844" w:type="pct"/>
            <w:tcBorders>
              <w:top w:val="single" w:sz="4" w:space="0" w:color="auto"/>
              <w:left w:val="nil"/>
              <w:bottom w:val="nil"/>
              <w:right w:val="nil"/>
            </w:tcBorders>
            <w:shd w:val="clear" w:color="000000" w:fill="FFFFFF"/>
            <w:vAlign w:val="center"/>
          </w:tcPr>
          <w:p w14:paraId="3406C8F0" w14:textId="77777777" w:rsidR="004E3548" w:rsidRPr="00D2435E" w:rsidRDefault="004E3548" w:rsidP="0053411E">
            <w:pPr>
              <w:jc w:val="center"/>
              <w:rPr>
                <w:rFonts w:ascii="Arial" w:hAnsi="Arial" w:cs="Arial"/>
                <w:lang w:eastAsia="ja-JP"/>
              </w:rPr>
            </w:pPr>
            <w:r w:rsidRPr="00D2435E">
              <w:rPr>
                <w:rFonts w:ascii="Arial" w:hAnsi="Arial" w:cs="Arial"/>
                <w:lang w:eastAsia="ja-JP"/>
              </w:rPr>
              <w:t>73</w:t>
            </w:r>
          </w:p>
        </w:tc>
        <w:tc>
          <w:tcPr>
            <w:tcW w:w="747" w:type="pct"/>
            <w:tcBorders>
              <w:top w:val="single" w:sz="4" w:space="0" w:color="auto"/>
              <w:left w:val="nil"/>
              <w:bottom w:val="nil"/>
              <w:right w:val="nil"/>
            </w:tcBorders>
            <w:shd w:val="clear" w:color="000000" w:fill="FFFFFF"/>
            <w:vAlign w:val="center"/>
          </w:tcPr>
          <w:p w14:paraId="03577595" w14:textId="77777777" w:rsidR="004E3548" w:rsidRPr="00D2435E" w:rsidRDefault="004E3548" w:rsidP="0053411E">
            <w:pPr>
              <w:jc w:val="center"/>
              <w:rPr>
                <w:rFonts w:ascii="Arial" w:hAnsi="Arial" w:cs="Arial"/>
                <w:lang w:eastAsia="ja-JP"/>
              </w:rPr>
            </w:pPr>
            <w:r w:rsidRPr="00D2435E">
              <w:rPr>
                <w:rFonts w:ascii="Arial" w:hAnsi="Arial" w:cs="Arial"/>
                <w:lang w:eastAsia="ja-JP"/>
              </w:rPr>
              <w:t>85.9</w:t>
            </w:r>
          </w:p>
        </w:tc>
      </w:tr>
      <w:tr w:rsidR="004E3548" w:rsidRPr="00D2435E" w14:paraId="689C02D2" w14:textId="77777777" w:rsidTr="0053411E">
        <w:tc>
          <w:tcPr>
            <w:tcW w:w="1859" w:type="pct"/>
            <w:tcBorders>
              <w:top w:val="nil"/>
              <w:left w:val="nil"/>
              <w:bottom w:val="nil"/>
              <w:right w:val="nil"/>
            </w:tcBorders>
            <w:shd w:val="clear" w:color="000000" w:fill="FFFFFF"/>
            <w:vAlign w:val="center"/>
          </w:tcPr>
          <w:p w14:paraId="286EB767" w14:textId="77777777" w:rsidR="004E3548" w:rsidRPr="00D2435E" w:rsidRDefault="004E3548" w:rsidP="0053411E">
            <w:pPr>
              <w:rPr>
                <w:rFonts w:ascii="Arial" w:hAnsi="Arial" w:cs="Arial"/>
                <w:lang w:val="en-PH" w:eastAsia="ja-JP"/>
              </w:rPr>
            </w:pPr>
          </w:p>
        </w:tc>
        <w:tc>
          <w:tcPr>
            <w:tcW w:w="1549" w:type="pct"/>
            <w:tcBorders>
              <w:top w:val="nil"/>
              <w:left w:val="nil"/>
              <w:bottom w:val="nil"/>
              <w:right w:val="nil"/>
            </w:tcBorders>
            <w:shd w:val="clear" w:color="000000" w:fill="auto"/>
            <w:vAlign w:val="center"/>
          </w:tcPr>
          <w:p w14:paraId="3A7EA769" w14:textId="77777777" w:rsidR="004E3548" w:rsidRPr="00D2435E" w:rsidRDefault="004E3548" w:rsidP="0053411E">
            <w:pPr>
              <w:jc w:val="center"/>
              <w:rPr>
                <w:rFonts w:ascii="Arial" w:hAnsi="Arial" w:cs="Arial"/>
                <w:lang w:eastAsia="ja-JP"/>
              </w:rPr>
            </w:pPr>
            <w:r w:rsidRPr="00D2435E">
              <w:rPr>
                <w:rFonts w:ascii="Arial" w:hAnsi="Arial" w:cs="Arial"/>
                <w:lang w:eastAsia="ja-JP"/>
              </w:rPr>
              <w:t>Male</w:t>
            </w:r>
          </w:p>
        </w:tc>
        <w:tc>
          <w:tcPr>
            <w:tcW w:w="844" w:type="pct"/>
            <w:tcBorders>
              <w:top w:val="nil"/>
              <w:left w:val="nil"/>
              <w:bottom w:val="nil"/>
              <w:right w:val="nil"/>
            </w:tcBorders>
            <w:shd w:val="clear" w:color="000000" w:fill="FFFFFF"/>
            <w:vAlign w:val="center"/>
          </w:tcPr>
          <w:p w14:paraId="27E93B71" w14:textId="77777777" w:rsidR="004E3548" w:rsidRPr="00D2435E" w:rsidRDefault="004E3548" w:rsidP="0053411E">
            <w:pPr>
              <w:jc w:val="center"/>
              <w:rPr>
                <w:rFonts w:ascii="Arial" w:hAnsi="Arial" w:cs="Arial"/>
                <w:lang w:val="en-PH" w:eastAsia="ja-JP"/>
              </w:rPr>
            </w:pPr>
            <w:r w:rsidRPr="00D2435E">
              <w:rPr>
                <w:rFonts w:ascii="Arial" w:hAnsi="Arial" w:cs="Arial"/>
                <w:lang w:val="en-PH" w:eastAsia="ja-JP"/>
              </w:rPr>
              <w:t>12</w:t>
            </w:r>
          </w:p>
        </w:tc>
        <w:tc>
          <w:tcPr>
            <w:tcW w:w="747" w:type="pct"/>
            <w:tcBorders>
              <w:top w:val="nil"/>
              <w:left w:val="nil"/>
              <w:bottom w:val="nil"/>
              <w:right w:val="nil"/>
            </w:tcBorders>
            <w:shd w:val="clear" w:color="000000" w:fill="FFFFFF"/>
            <w:vAlign w:val="center"/>
          </w:tcPr>
          <w:p w14:paraId="399A1ECA" w14:textId="77777777" w:rsidR="004E3548" w:rsidRPr="00D2435E" w:rsidRDefault="004E3548" w:rsidP="0053411E">
            <w:pPr>
              <w:jc w:val="center"/>
              <w:rPr>
                <w:rFonts w:ascii="Arial" w:hAnsi="Arial" w:cs="Arial"/>
                <w:lang w:val="en-PH" w:eastAsia="ja-JP"/>
              </w:rPr>
            </w:pPr>
            <w:r w:rsidRPr="00D2435E">
              <w:rPr>
                <w:rFonts w:ascii="Arial" w:hAnsi="Arial" w:cs="Arial"/>
                <w:lang w:val="en-PH" w:eastAsia="ja-JP"/>
              </w:rPr>
              <w:t>14.1</w:t>
            </w:r>
          </w:p>
        </w:tc>
      </w:tr>
      <w:tr w:rsidR="004E3548" w:rsidRPr="00D2435E" w14:paraId="429849C5" w14:textId="77777777" w:rsidTr="004E3548">
        <w:trPr>
          <w:trHeight w:val="74"/>
        </w:trPr>
        <w:tc>
          <w:tcPr>
            <w:tcW w:w="1859" w:type="pct"/>
            <w:tcBorders>
              <w:top w:val="nil"/>
              <w:left w:val="nil"/>
              <w:bottom w:val="nil"/>
              <w:right w:val="nil"/>
            </w:tcBorders>
            <w:shd w:val="clear" w:color="000000" w:fill="FFFFFF"/>
            <w:vAlign w:val="center"/>
          </w:tcPr>
          <w:p w14:paraId="44253184" w14:textId="77777777" w:rsidR="004E3548" w:rsidRPr="00D2435E" w:rsidRDefault="004E3548" w:rsidP="0053411E">
            <w:pPr>
              <w:rPr>
                <w:rFonts w:ascii="Arial" w:hAnsi="Arial" w:cs="Arial"/>
                <w:lang w:val="en-PH" w:eastAsia="ja-JP"/>
              </w:rPr>
            </w:pPr>
          </w:p>
        </w:tc>
        <w:tc>
          <w:tcPr>
            <w:tcW w:w="1549" w:type="pct"/>
            <w:tcBorders>
              <w:top w:val="nil"/>
              <w:left w:val="nil"/>
              <w:bottom w:val="nil"/>
              <w:right w:val="nil"/>
            </w:tcBorders>
            <w:shd w:val="clear" w:color="000000" w:fill="auto"/>
            <w:vAlign w:val="center"/>
          </w:tcPr>
          <w:p w14:paraId="61E97F20" w14:textId="77777777" w:rsidR="004E3548" w:rsidRPr="00D2435E" w:rsidRDefault="004E3548" w:rsidP="0053411E">
            <w:pPr>
              <w:jc w:val="center"/>
              <w:rPr>
                <w:rFonts w:ascii="Arial" w:hAnsi="Arial" w:cs="Arial"/>
                <w:lang w:val="en-PH" w:eastAsia="ja-JP"/>
              </w:rPr>
            </w:pPr>
          </w:p>
        </w:tc>
        <w:tc>
          <w:tcPr>
            <w:tcW w:w="844" w:type="pct"/>
            <w:tcBorders>
              <w:top w:val="nil"/>
              <w:left w:val="nil"/>
              <w:bottom w:val="nil"/>
              <w:right w:val="nil"/>
            </w:tcBorders>
            <w:shd w:val="clear" w:color="000000" w:fill="FFFFFF"/>
            <w:vAlign w:val="center"/>
          </w:tcPr>
          <w:p w14:paraId="55BED739" w14:textId="77777777" w:rsidR="004E3548" w:rsidRPr="00D2435E" w:rsidRDefault="004E3548" w:rsidP="0053411E">
            <w:pPr>
              <w:jc w:val="center"/>
              <w:rPr>
                <w:rFonts w:ascii="Arial" w:hAnsi="Arial" w:cs="Arial"/>
                <w:lang w:val="en-PH" w:eastAsia="ja-JP"/>
              </w:rPr>
            </w:pPr>
          </w:p>
        </w:tc>
        <w:tc>
          <w:tcPr>
            <w:tcW w:w="747" w:type="pct"/>
            <w:tcBorders>
              <w:top w:val="nil"/>
              <w:left w:val="nil"/>
              <w:bottom w:val="nil"/>
              <w:right w:val="nil"/>
            </w:tcBorders>
            <w:shd w:val="clear" w:color="000000" w:fill="FFFFFF"/>
            <w:vAlign w:val="center"/>
          </w:tcPr>
          <w:p w14:paraId="1553956E" w14:textId="77777777" w:rsidR="004E3548" w:rsidRPr="00D2435E" w:rsidRDefault="004E3548" w:rsidP="0053411E">
            <w:pPr>
              <w:jc w:val="center"/>
              <w:rPr>
                <w:rFonts w:ascii="Arial" w:hAnsi="Arial" w:cs="Arial"/>
                <w:lang w:val="en-PH" w:eastAsia="ja-JP"/>
              </w:rPr>
            </w:pPr>
          </w:p>
        </w:tc>
      </w:tr>
      <w:tr w:rsidR="004E3548" w:rsidRPr="00D2435E" w14:paraId="500649E4" w14:textId="77777777" w:rsidTr="0053411E">
        <w:trPr>
          <w:cantSplit/>
          <w:trHeight w:val="322"/>
        </w:trPr>
        <w:tc>
          <w:tcPr>
            <w:tcW w:w="1859" w:type="pct"/>
            <w:tcBorders>
              <w:top w:val="nil"/>
              <w:left w:val="nil"/>
              <w:bottom w:val="nil"/>
              <w:right w:val="nil"/>
            </w:tcBorders>
            <w:shd w:val="clear" w:color="000000" w:fill="FFFFFF"/>
            <w:vAlign w:val="center"/>
          </w:tcPr>
          <w:p w14:paraId="6752D5DE" w14:textId="77777777" w:rsidR="004E3548" w:rsidRPr="00D2435E" w:rsidRDefault="004E3548" w:rsidP="0053411E">
            <w:pPr>
              <w:rPr>
                <w:rFonts w:ascii="Arial" w:hAnsi="Arial" w:cs="Arial"/>
                <w:lang w:val="en-PH" w:eastAsia="ja-JP"/>
              </w:rPr>
            </w:pPr>
            <w:r w:rsidRPr="00D2435E">
              <w:rPr>
                <w:rFonts w:ascii="Arial" w:hAnsi="Arial" w:cs="Arial"/>
                <w:lang w:val="en-PH" w:eastAsia="ja-JP"/>
              </w:rPr>
              <w:lastRenderedPageBreak/>
              <w:t>Age</w:t>
            </w:r>
          </w:p>
        </w:tc>
        <w:tc>
          <w:tcPr>
            <w:tcW w:w="1549" w:type="pct"/>
            <w:tcBorders>
              <w:top w:val="nil"/>
              <w:left w:val="nil"/>
              <w:bottom w:val="nil"/>
              <w:right w:val="nil"/>
            </w:tcBorders>
            <w:shd w:val="clear" w:color="000000" w:fill="auto"/>
            <w:vAlign w:val="center"/>
          </w:tcPr>
          <w:p w14:paraId="6FE3948A" w14:textId="77777777" w:rsidR="004E3548" w:rsidRPr="00D2435E" w:rsidRDefault="004E3548" w:rsidP="0053411E">
            <w:pPr>
              <w:jc w:val="center"/>
              <w:rPr>
                <w:rFonts w:ascii="Arial" w:hAnsi="Arial" w:cs="Arial"/>
                <w:lang w:eastAsia="ja-JP"/>
              </w:rPr>
            </w:pPr>
            <w:r w:rsidRPr="00D2435E">
              <w:rPr>
                <w:rFonts w:ascii="Arial" w:hAnsi="Arial" w:cs="Arial"/>
                <w:lang w:eastAsia="ja-JP"/>
              </w:rPr>
              <w:t>23 to 25 years old</w:t>
            </w:r>
          </w:p>
        </w:tc>
        <w:tc>
          <w:tcPr>
            <w:tcW w:w="844" w:type="pct"/>
            <w:tcBorders>
              <w:top w:val="nil"/>
              <w:left w:val="nil"/>
              <w:bottom w:val="nil"/>
              <w:right w:val="nil"/>
            </w:tcBorders>
            <w:shd w:val="clear" w:color="000000" w:fill="FFFFFF"/>
            <w:vAlign w:val="center"/>
          </w:tcPr>
          <w:p w14:paraId="08C66BBF" w14:textId="77777777" w:rsidR="004E3548" w:rsidRPr="00D2435E" w:rsidRDefault="004E3548" w:rsidP="0053411E">
            <w:pPr>
              <w:jc w:val="center"/>
              <w:rPr>
                <w:rFonts w:ascii="Arial" w:hAnsi="Arial" w:cs="Arial"/>
                <w:lang w:val="en-PH" w:eastAsia="ja-JP"/>
              </w:rPr>
            </w:pPr>
            <w:r w:rsidRPr="00D2435E">
              <w:rPr>
                <w:rFonts w:ascii="Arial" w:hAnsi="Arial" w:cs="Arial"/>
                <w:lang w:val="en-PH" w:eastAsia="ja-JP"/>
              </w:rPr>
              <w:t>1</w:t>
            </w:r>
          </w:p>
        </w:tc>
        <w:tc>
          <w:tcPr>
            <w:tcW w:w="747" w:type="pct"/>
            <w:tcBorders>
              <w:top w:val="nil"/>
              <w:left w:val="nil"/>
              <w:bottom w:val="nil"/>
              <w:right w:val="nil"/>
            </w:tcBorders>
            <w:shd w:val="clear" w:color="000000" w:fill="FFFFFF"/>
            <w:vAlign w:val="center"/>
          </w:tcPr>
          <w:p w14:paraId="3F202A5F" w14:textId="77777777" w:rsidR="004E3548" w:rsidRPr="00D2435E" w:rsidRDefault="004E3548" w:rsidP="0053411E">
            <w:pPr>
              <w:jc w:val="center"/>
              <w:rPr>
                <w:rFonts w:ascii="Arial" w:hAnsi="Arial" w:cs="Arial"/>
                <w:lang w:val="en-PH" w:eastAsia="ja-JP"/>
              </w:rPr>
            </w:pPr>
            <w:r w:rsidRPr="00D2435E">
              <w:rPr>
                <w:rFonts w:ascii="Arial" w:hAnsi="Arial" w:cs="Arial"/>
                <w:lang w:val="en-PH" w:eastAsia="ja-JP"/>
              </w:rPr>
              <w:t>1.2</w:t>
            </w:r>
          </w:p>
        </w:tc>
      </w:tr>
      <w:tr w:rsidR="004E3548" w:rsidRPr="00D2435E" w14:paraId="6E316761" w14:textId="77777777" w:rsidTr="0053411E">
        <w:tc>
          <w:tcPr>
            <w:tcW w:w="1859" w:type="pct"/>
            <w:tcBorders>
              <w:top w:val="nil"/>
              <w:left w:val="nil"/>
              <w:bottom w:val="nil"/>
              <w:right w:val="nil"/>
            </w:tcBorders>
            <w:shd w:val="clear" w:color="000000" w:fill="FFFFFF"/>
            <w:vAlign w:val="center"/>
          </w:tcPr>
          <w:p w14:paraId="1C4D7F54" w14:textId="77777777" w:rsidR="004E3548" w:rsidRPr="00D2435E" w:rsidRDefault="004E3548" w:rsidP="0053411E">
            <w:pPr>
              <w:rPr>
                <w:rFonts w:ascii="Arial" w:hAnsi="Arial" w:cs="Arial"/>
                <w:lang w:val="en-PH" w:eastAsia="ja-JP"/>
              </w:rPr>
            </w:pPr>
          </w:p>
        </w:tc>
        <w:tc>
          <w:tcPr>
            <w:tcW w:w="1549" w:type="pct"/>
            <w:tcBorders>
              <w:top w:val="nil"/>
              <w:left w:val="nil"/>
              <w:bottom w:val="nil"/>
              <w:right w:val="nil"/>
            </w:tcBorders>
            <w:shd w:val="clear" w:color="000000" w:fill="auto"/>
            <w:vAlign w:val="center"/>
          </w:tcPr>
          <w:p w14:paraId="641A88A3" w14:textId="77777777" w:rsidR="004E3548" w:rsidRPr="00D2435E" w:rsidRDefault="004E3548" w:rsidP="0053411E">
            <w:pPr>
              <w:jc w:val="center"/>
              <w:rPr>
                <w:rFonts w:ascii="Arial" w:hAnsi="Arial" w:cs="Arial"/>
                <w:lang w:eastAsia="ja-JP"/>
              </w:rPr>
            </w:pPr>
            <w:r w:rsidRPr="00D2435E">
              <w:rPr>
                <w:rFonts w:ascii="Arial" w:hAnsi="Arial" w:cs="Arial"/>
                <w:lang w:eastAsia="ja-JP"/>
              </w:rPr>
              <w:t>26 to 30 years old</w:t>
            </w:r>
          </w:p>
        </w:tc>
        <w:tc>
          <w:tcPr>
            <w:tcW w:w="844" w:type="pct"/>
            <w:tcBorders>
              <w:top w:val="nil"/>
              <w:left w:val="nil"/>
              <w:bottom w:val="nil"/>
              <w:right w:val="nil"/>
            </w:tcBorders>
            <w:shd w:val="clear" w:color="000000" w:fill="FFFFFF"/>
            <w:vAlign w:val="center"/>
          </w:tcPr>
          <w:p w14:paraId="68F8CE39" w14:textId="77777777" w:rsidR="004E3548" w:rsidRPr="00D2435E" w:rsidRDefault="004E3548" w:rsidP="0053411E">
            <w:pPr>
              <w:jc w:val="center"/>
              <w:rPr>
                <w:rFonts w:ascii="Arial" w:hAnsi="Arial" w:cs="Arial"/>
                <w:lang w:val="en-PH" w:eastAsia="ja-JP"/>
              </w:rPr>
            </w:pPr>
            <w:r w:rsidRPr="00D2435E">
              <w:rPr>
                <w:rFonts w:ascii="Arial" w:hAnsi="Arial" w:cs="Arial"/>
                <w:lang w:val="en-PH" w:eastAsia="ja-JP"/>
              </w:rPr>
              <w:t>16</w:t>
            </w:r>
          </w:p>
        </w:tc>
        <w:tc>
          <w:tcPr>
            <w:tcW w:w="747" w:type="pct"/>
            <w:tcBorders>
              <w:top w:val="nil"/>
              <w:left w:val="nil"/>
              <w:bottom w:val="nil"/>
              <w:right w:val="nil"/>
            </w:tcBorders>
            <w:shd w:val="clear" w:color="000000" w:fill="FFFFFF"/>
            <w:vAlign w:val="center"/>
          </w:tcPr>
          <w:p w14:paraId="2C0C47F6" w14:textId="77777777" w:rsidR="004E3548" w:rsidRPr="00D2435E" w:rsidRDefault="004E3548" w:rsidP="0053411E">
            <w:pPr>
              <w:jc w:val="center"/>
              <w:rPr>
                <w:rFonts w:ascii="Arial" w:hAnsi="Arial" w:cs="Arial"/>
                <w:lang w:val="en-PH" w:eastAsia="ja-JP"/>
              </w:rPr>
            </w:pPr>
            <w:r w:rsidRPr="00D2435E">
              <w:rPr>
                <w:rFonts w:ascii="Arial" w:hAnsi="Arial" w:cs="Arial"/>
                <w:lang w:val="en-PH" w:eastAsia="ja-JP"/>
              </w:rPr>
              <w:t>18.8</w:t>
            </w:r>
          </w:p>
        </w:tc>
      </w:tr>
      <w:tr w:rsidR="004E3548" w:rsidRPr="00D2435E" w14:paraId="611B4574" w14:textId="77777777" w:rsidTr="0053411E">
        <w:tc>
          <w:tcPr>
            <w:tcW w:w="1859" w:type="pct"/>
            <w:tcBorders>
              <w:top w:val="nil"/>
              <w:left w:val="nil"/>
              <w:bottom w:val="nil"/>
              <w:right w:val="nil"/>
            </w:tcBorders>
            <w:shd w:val="clear" w:color="000000" w:fill="FFFFFF"/>
            <w:vAlign w:val="center"/>
          </w:tcPr>
          <w:p w14:paraId="7857EB39" w14:textId="77777777" w:rsidR="004E3548" w:rsidRPr="00D2435E" w:rsidRDefault="004E3548" w:rsidP="0053411E">
            <w:pPr>
              <w:rPr>
                <w:rFonts w:ascii="Arial" w:hAnsi="Arial" w:cs="Arial"/>
                <w:lang w:val="en-PH" w:eastAsia="ja-JP"/>
              </w:rPr>
            </w:pPr>
          </w:p>
        </w:tc>
        <w:tc>
          <w:tcPr>
            <w:tcW w:w="1549" w:type="pct"/>
            <w:tcBorders>
              <w:top w:val="nil"/>
              <w:left w:val="nil"/>
              <w:bottom w:val="nil"/>
              <w:right w:val="nil"/>
            </w:tcBorders>
            <w:shd w:val="clear" w:color="000000" w:fill="auto"/>
            <w:vAlign w:val="center"/>
          </w:tcPr>
          <w:p w14:paraId="5FE7D4A1" w14:textId="77777777" w:rsidR="004E3548" w:rsidRPr="00D2435E" w:rsidRDefault="004E3548" w:rsidP="0053411E">
            <w:pPr>
              <w:jc w:val="center"/>
              <w:rPr>
                <w:rFonts w:ascii="Arial" w:hAnsi="Arial" w:cs="Arial"/>
                <w:lang w:eastAsia="ja-JP"/>
              </w:rPr>
            </w:pPr>
            <w:r w:rsidRPr="00D2435E">
              <w:rPr>
                <w:rFonts w:ascii="Arial" w:hAnsi="Arial" w:cs="Arial"/>
                <w:lang w:val="en-PH" w:eastAsia="ja-JP"/>
              </w:rPr>
              <w:t>3</w:t>
            </w:r>
            <w:r w:rsidRPr="00D2435E">
              <w:rPr>
                <w:rFonts w:ascii="Arial" w:hAnsi="Arial" w:cs="Arial"/>
                <w:lang w:eastAsia="ja-JP"/>
              </w:rPr>
              <w:t>1 to 35 years old</w:t>
            </w:r>
          </w:p>
        </w:tc>
        <w:tc>
          <w:tcPr>
            <w:tcW w:w="844" w:type="pct"/>
            <w:tcBorders>
              <w:top w:val="nil"/>
              <w:left w:val="nil"/>
              <w:bottom w:val="nil"/>
              <w:right w:val="nil"/>
            </w:tcBorders>
            <w:shd w:val="clear" w:color="000000" w:fill="FFFFFF"/>
            <w:vAlign w:val="center"/>
          </w:tcPr>
          <w:p w14:paraId="5BD5061E" w14:textId="77777777" w:rsidR="004E3548" w:rsidRPr="00D2435E" w:rsidRDefault="004E3548" w:rsidP="0053411E">
            <w:pPr>
              <w:jc w:val="center"/>
              <w:rPr>
                <w:rFonts w:ascii="Arial" w:hAnsi="Arial" w:cs="Arial"/>
                <w:lang w:val="en-PH" w:eastAsia="ja-JP"/>
              </w:rPr>
            </w:pPr>
            <w:r w:rsidRPr="00D2435E">
              <w:rPr>
                <w:rFonts w:ascii="Arial" w:hAnsi="Arial" w:cs="Arial"/>
                <w:lang w:val="en-PH" w:eastAsia="ja-JP"/>
              </w:rPr>
              <w:t>9</w:t>
            </w:r>
          </w:p>
        </w:tc>
        <w:tc>
          <w:tcPr>
            <w:tcW w:w="747" w:type="pct"/>
            <w:tcBorders>
              <w:top w:val="nil"/>
              <w:left w:val="nil"/>
              <w:bottom w:val="nil"/>
              <w:right w:val="nil"/>
            </w:tcBorders>
            <w:shd w:val="clear" w:color="000000" w:fill="FFFFFF"/>
            <w:vAlign w:val="center"/>
          </w:tcPr>
          <w:p w14:paraId="1658A0BE" w14:textId="77777777" w:rsidR="004E3548" w:rsidRPr="00D2435E" w:rsidRDefault="004E3548" w:rsidP="0053411E">
            <w:pPr>
              <w:jc w:val="center"/>
              <w:rPr>
                <w:rFonts w:ascii="Arial" w:hAnsi="Arial" w:cs="Arial"/>
                <w:lang w:val="en-PH" w:eastAsia="ja-JP"/>
              </w:rPr>
            </w:pPr>
            <w:r w:rsidRPr="00D2435E">
              <w:rPr>
                <w:rFonts w:ascii="Arial" w:hAnsi="Arial" w:cs="Arial"/>
                <w:lang w:val="en-PH" w:eastAsia="ja-JP"/>
              </w:rPr>
              <w:t>10.6</w:t>
            </w:r>
          </w:p>
        </w:tc>
      </w:tr>
      <w:tr w:rsidR="004E3548" w:rsidRPr="00D2435E" w14:paraId="2789A031" w14:textId="77777777" w:rsidTr="0053411E">
        <w:tc>
          <w:tcPr>
            <w:tcW w:w="1859" w:type="pct"/>
            <w:tcBorders>
              <w:top w:val="nil"/>
              <w:left w:val="nil"/>
              <w:bottom w:val="nil"/>
              <w:right w:val="nil"/>
            </w:tcBorders>
            <w:shd w:val="clear" w:color="000000" w:fill="FFFFFF"/>
            <w:vAlign w:val="center"/>
          </w:tcPr>
          <w:p w14:paraId="6E446853" w14:textId="77777777" w:rsidR="004E3548" w:rsidRPr="00D2435E" w:rsidRDefault="004E3548" w:rsidP="0053411E">
            <w:pPr>
              <w:rPr>
                <w:rFonts w:ascii="Arial" w:hAnsi="Arial" w:cs="Arial"/>
                <w:lang w:val="en-PH" w:eastAsia="ja-JP"/>
              </w:rPr>
            </w:pPr>
          </w:p>
        </w:tc>
        <w:tc>
          <w:tcPr>
            <w:tcW w:w="1549" w:type="pct"/>
            <w:tcBorders>
              <w:top w:val="nil"/>
              <w:left w:val="nil"/>
              <w:bottom w:val="nil"/>
              <w:right w:val="nil"/>
            </w:tcBorders>
            <w:shd w:val="clear" w:color="000000" w:fill="auto"/>
            <w:vAlign w:val="center"/>
          </w:tcPr>
          <w:p w14:paraId="51633BA7" w14:textId="77777777" w:rsidR="004E3548" w:rsidRPr="00D2435E" w:rsidRDefault="004E3548" w:rsidP="0053411E">
            <w:pPr>
              <w:jc w:val="center"/>
              <w:rPr>
                <w:rFonts w:ascii="Arial" w:hAnsi="Arial" w:cs="Arial"/>
                <w:lang w:eastAsia="ja-JP"/>
              </w:rPr>
            </w:pPr>
            <w:r w:rsidRPr="00D2435E">
              <w:rPr>
                <w:rFonts w:ascii="Arial" w:hAnsi="Arial" w:cs="Arial"/>
                <w:lang w:eastAsia="ja-JP"/>
              </w:rPr>
              <w:t>36 to 40 years old</w:t>
            </w:r>
          </w:p>
        </w:tc>
        <w:tc>
          <w:tcPr>
            <w:tcW w:w="844" w:type="pct"/>
            <w:tcBorders>
              <w:top w:val="nil"/>
              <w:left w:val="nil"/>
              <w:bottom w:val="nil"/>
              <w:right w:val="nil"/>
            </w:tcBorders>
            <w:shd w:val="clear" w:color="000000" w:fill="FFFFFF"/>
            <w:vAlign w:val="center"/>
          </w:tcPr>
          <w:p w14:paraId="66F4471D" w14:textId="77777777" w:rsidR="004E3548" w:rsidRPr="00D2435E" w:rsidRDefault="004E3548" w:rsidP="0053411E">
            <w:pPr>
              <w:jc w:val="center"/>
              <w:rPr>
                <w:rFonts w:ascii="Arial" w:hAnsi="Arial" w:cs="Arial"/>
                <w:lang w:val="en-PH" w:eastAsia="ja-JP"/>
              </w:rPr>
            </w:pPr>
            <w:r w:rsidRPr="00D2435E">
              <w:rPr>
                <w:rFonts w:ascii="Arial" w:hAnsi="Arial" w:cs="Arial"/>
                <w:lang w:val="en-PH" w:eastAsia="ja-JP"/>
              </w:rPr>
              <w:t>9</w:t>
            </w:r>
          </w:p>
        </w:tc>
        <w:tc>
          <w:tcPr>
            <w:tcW w:w="747" w:type="pct"/>
            <w:tcBorders>
              <w:top w:val="nil"/>
              <w:left w:val="nil"/>
              <w:bottom w:val="nil"/>
              <w:right w:val="nil"/>
            </w:tcBorders>
            <w:shd w:val="clear" w:color="000000" w:fill="FFFFFF"/>
            <w:vAlign w:val="center"/>
          </w:tcPr>
          <w:p w14:paraId="44590E62" w14:textId="77777777" w:rsidR="004E3548" w:rsidRPr="00D2435E" w:rsidRDefault="004E3548" w:rsidP="0053411E">
            <w:pPr>
              <w:jc w:val="center"/>
              <w:rPr>
                <w:rFonts w:ascii="Arial" w:hAnsi="Arial" w:cs="Arial"/>
                <w:lang w:val="en-PH" w:eastAsia="ja-JP"/>
              </w:rPr>
            </w:pPr>
            <w:r w:rsidRPr="00D2435E">
              <w:rPr>
                <w:rFonts w:ascii="Arial" w:hAnsi="Arial" w:cs="Arial"/>
                <w:lang w:val="en-PH" w:eastAsia="ja-JP"/>
              </w:rPr>
              <w:t>10.6</w:t>
            </w:r>
          </w:p>
        </w:tc>
      </w:tr>
      <w:tr w:rsidR="004E3548" w:rsidRPr="00D2435E" w14:paraId="6CADE97F" w14:textId="77777777" w:rsidTr="0053411E">
        <w:tc>
          <w:tcPr>
            <w:tcW w:w="1859" w:type="pct"/>
            <w:tcBorders>
              <w:top w:val="nil"/>
              <w:left w:val="nil"/>
              <w:bottom w:val="nil"/>
              <w:right w:val="nil"/>
            </w:tcBorders>
            <w:shd w:val="clear" w:color="000000" w:fill="FFFFFF"/>
            <w:vAlign w:val="center"/>
          </w:tcPr>
          <w:p w14:paraId="65D3426D" w14:textId="77777777" w:rsidR="004E3548" w:rsidRPr="00D2435E" w:rsidRDefault="004E3548" w:rsidP="0053411E">
            <w:pPr>
              <w:rPr>
                <w:rFonts w:ascii="Arial" w:hAnsi="Arial" w:cs="Arial"/>
                <w:lang w:val="en-PH" w:eastAsia="ja-JP"/>
              </w:rPr>
            </w:pPr>
          </w:p>
        </w:tc>
        <w:tc>
          <w:tcPr>
            <w:tcW w:w="1549" w:type="pct"/>
            <w:tcBorders>
              <w:top w:val="nil"/>
              <w:left w:val="nil"/>
              <w:bottom w:val="nil"/>
              <w:right w:val="nil"/>
            </w:tcBorders>
            <w:shd w:val="clear" w:color="000000" w:fill="auto"/>
            <w:vAlign w:val="center"/>
          </w:tcPr>
          <w:p w14:paraId="74A84C80" w14:textId="77777777" w:rsidR="004E3548" w:rsidRPr="00D2435E" w:rsidRDefault="004E3548" w:rsidP="0053411E">
            <w:pPr>
              <w:jc w:val="center"/>
              <w:rPr>
                <w:rFonts w:ascii="Arial" w:hAnsi="Arial" w:cs="Arial"/>
                <w:lang w:eastAsia="ja-JP"/>
              </w:rPr>
            </w:pPr>
            <w:r w:rsidRPr="00D2435E">
              <w:rPr>
                <w:rFonts w:ascii="Arial" w:hAnsi="Arial" w:cs="Arial"/>
                <w:lang w:eastAsia="ja-JP"/>
              </w:rPr>
              <w:t>41 to 45 years old</w:t>
            </w:r>
          </w:p>
        </w:tc>
        <w:tc>
          <w:tcPr>
            <w:tcW w:w="844" w:type="pct"/>
            <w:tcBorders>
              <w:top w:val="nil"/>
              <w:left w:val="nil"/>
              <w:bottom w:val="nil"/>
              <w:right w:val="nil"/>
            </w:tcBorders>
            <w:shd w:val="clear" w:color="000000" w:fill="FFFFFF"/>
            <w:vAlign w:val="center"/>
          </w:tcPr>
          <w:p w14:paraId="778BC2D5" w14:textId="77777777" w:rsidR="004E3548" w:rsidRPr="00D2435E" w:rsidRDefault="004E3548" w:rsidP="0053411E">
            <w:pPr>
              <w:jc w:val="center"/>
              <w:rPr>
                <w:rFonts w:ascii="Arial" w:hAnsi="Arial" w:cs="Arial"/>
                <w:lang w:val="en-PH" w:eastAsia="ja-JP"/>
              </w:rPr>
            </w:pPr>
            <w:r w:rsidRPr="00D2435E">
              <w:rPr>
                <w:rFonts w:ascii="Arial" w:hAnsi="Arial" w:cs="Arial"/>
                <w:lang w:val="en-PH" w:eastAsia="ja-JP"/>
              </w:rPr>
              <w:t>16</w:t>
            </w:r>
          </w:p>
        </w:tc>
        <w:tc>
          <w:tcPr>
            <w:tcW w:w="747" w:type="pct"/>
            <w:tcBorders>
              <w:top w:val="nil"/>
              <w:left w:val="nil"/>
              <w:bottom w:val="nil"/>
              <w:right w:val="nil"/>
            </w:tcBorders>
            <w:shd w:val="clear" w:color="000000" w:fill="FFFFFF"/>
            <w:vAlign w:val="center"/>
          </w:tcPr>
          <w:p w14:paraId="47BE5ACB" w14:textId="77777777" w:rsidR="004E3548" w:rsidRPr="00D2435E" w:rsidRDefault="004E3548" w:rsidP="0053411E">
            <w:pPr>
              <w:jc w:val="center"/>
              <w:rPr>
                <w:rFonts w:ascii="Arial" w:hAnsi="Arial" w:cs="Arial"/>
                <w:lang w:val="en-PH" w:eastAsia="ja-JP"/>
              </w:rPr>
            </w:pPr>
            <w:r w:rsidRPr="00D2435E">
              <w:rPr>
                <w:rFonts w:ascii="Arial" w:hAnsi="Arial" w:cs="Arial"/>
                <w:lang w:val="en-PH" w:eastAsia="ja-JP"/>
              </w:rPr>
              <w:t>18.8</w:t>
            </w:r>
          </w:p>
        </w:tc>
      </w:tr>
      <w:tr w:rsidR="004E3548" w:rsidRPr="00D2435E" w14:paraId="75AFD0DD" w14:textId="77777777" w:rsidTr="0053411E">
        <w:tc>
          <w:tcPr>
            <w:tcW w:w="1859" w:type="pct"/>
            <w:tcBorders>
              <w:top w:val="nil"/>
              <w:left w:val="nil"/>
              <w:bottom w:val="nil"/>
              <w:right w:val="nil"/>
            </w:tcBorders>
            <w:shd w:val="clear" w:color="000000" w:fill="FFFFFF"/>
            <w:vAlign w:val="center"/>
          </w:tcPr>
          <w:p w14:paraId="66E39F7A" w14:textId="77777777" w:rsidR="004E3548" w:rsidRPr="00D2435E" w:rsidRDefault="004E3548" w:rsidP="0053411E">
            <w:pPr>
              <w:rPr>
                <w:rFonts w:ascii="Arial" w:hAnsi="Arial" w:cs="Arial"/>
                <w:lang w:val="en-PH" w:eastAsia="ja-JP"/>
              </w:rPr>
            </w:pPr>
          </w:p>
        </w:tc>
        <w:tc>
          <w:tcPr>
            <w:tcW w:w="1549" w:type="pct"/>
            <w:tcBorders>
              <w:top w:val="nil"/>
              <w:left w:val="nil"/>
              <w:bottom w:val="nil"/>
              <w:right w:val="nil"/>
            </w:tcBorders>
            <w:shd w:val="clear" w:color="000000" w:fill="auto"/>
            <w:vAlign w:val="center"/>
          </w:tcPr>
          <w:p w14:paraId="4569EC5A" w14:textId="77777777" w:rsidR="004E3548" w:rsidRPr="00D2435E" w:rsidRDefault="004E3548" w:rsidP="0053411E">
            <w:pPr>
              <w:jc w:val="center"/>
              <w:rPr>
                <w:rFonts w:ascii="Arial" w:hAnsi="Arial" w:cs="Arial"/>
                <w:lang w:eastAsia="ja-JP"/>
              </w:rPr>
            </w:pPr>
            <w:r w:rsidRPr="00D2435E">
              <w:rPr>
                <w:rFonts w:ascii="Arial" w:hAnsi="Arial" w:cs="Arial"/>
                <w:lang w:eastAsia="ja-JP"/>
              </w:rPr>
              <w:t>Over 45 years old</w:t>
            </w:r>
          </w:p>
        </w:tc>
        <w:tc>
          <w:tcPr>
            <w:tcW w:w="844" w:type="pct"/>
            <w:tcBorders>
              <w:top w:val="nil"/>
              <w:left w:val="nil"/>
              <w:bottom w:val="nil"/>
              <w:right w:val="nil"/>
            </w:tcBorders>
            <w:shd w:val="clear" w:color="000000" w:fill="FFFFFF"/>
            <w:vAlign w:val="center"/>
          </w:tcPr>
          <w:p w14:paraId="0B9D1B28" w14:textId="77777777" w:rsidR="004E3548" w:rsidRPr="00D2435E" w:rsidRDefault="004E3548" w:rsidP="0053411E">
            <w:pPr>
              <w:jc w:val="center"/>
              <w:rPr>
                <w:rFonts w:ascii="Arial" w:hAnsi="Arial" w:cs="Arial"/>
                <w:lang w:val="en-PH" w:eastAsia="ja-JP"/>
              </w:rPr>
            </w:pPr>
            <w:r w:rsidRPr="00D2435E">
              <w:rPr>
                <w:rFonts w:ascii="Arial" w:hAnsi="Arial" w:cs="Arial"/>
                <w:lang w:val="en-PH" w:eastAsia="ja-JP"/>
              </w:rPr>
              <w:t>34</w:t>
            </w:r>
          </w:p>
        </w:tc>
        <w:tc>
          <w:tcPr>
            <w:tcW w:w="747" w:type="pct"/>
            <w:tcBorders>
              <w:top w:val="nil"/>
              <w:left w:val="nil"/>
              <w:bottom w:val="nil"/>
              <w:right w:val="nil"/>
            </w:tcBorders>
            <w:shd w:val="clear" w:color="000000" w:fill="FFFFFF"/>
            <w:vAlign w:val="center"/>
          </w:tcPr>
          <w:p w14:paraId="25277492" w14:textId="77777777" w:rsidR="004E3548" w:rsidRPr="00D2435E" w:rsidRDefault="004E3548" w:rsidP="0053411E">
            <w:pPr>
              <w:jc w:val="center"/>
              <w:rPr>
                <w:rFonts w:ascii="Arial" w:hAnsi="Arial" w:cs="Arial"/>
                <w:lang w:val="en-PH" w:eastAsia="ja-JP"/>
              </w:rPr>
            </w:pPr>
            <w:r w:rsidRPr="00D2435E">
              <w:rPr>
                <w:rFonts w:ascii="Arial" w:hAnsi="Arial" w:cs="Arial"/>
                <w:lang w:val="en-PH" w:eastAsia="ja-JP"/>
              </w:rPr>
              <w:t>40</w:t>
            </w:r>
          </w:p>
        </w:tc>
      </w:tr>
      <w:tr w:rsidR="004E3548" w:rsidRPr="00D2435E" w14:paraId="25A861E5" w14:textId="77777777" w:rsidTr="0053411E">
        <w:tc>
          <w:tcPr>
            <w:tcW w:w="1859" w:type="pct"/>
            <w:tcBorders>
              <w:top w:val="nil"/>
              <w:left w:val="nil"/>
              <w:bottom w:val="nil"/>
              <w:right w:val="nil"/>
            </w:tcBorders>
            <w:shd w:val="clear" w:color="000000" w:fill="FFFFFF"/>
            <w:vAlign w:val="center"/>
          </w:tcPr>
          <w:p w14:paraId="74ECA797" w14:textId="77777777" w:rsidR="004E3548" w:rsidRPr="00D2435E" w:rsidRDefault="004E3548" w:rsidP="0053411E">
            <w:pPr>
              <w:rPr>
                <w:rFonts w:ascii="Arial" w:hAnsi="Arial" w:cs="Arial"/>
                <w:lang w:val="en-PH" w:eastAsia="ja-JP"/>
              </w:rPr>
            </w:pPr>
          </w:p>
        </w:tc>
        <w:tc>
          <w:tcPr>
            <w:tcW w:w="1549" w:type="pct"/>
            <w:tcBorders>
              <w:top w:val="nil"/>
              <w:left w:val="nil"/>
              <w:bottom w:val="nil"/>
              <w:right w:val="nil"/>
            </w:tcBorders>
            <w:shd w:val="clear" w:color="000000" w:fill="auto"/>
            <w:vAlign w:val="center"/>
          </w:tcPr>
          <w:p w14:paraId="35E64F0E" w14:textId="77777777" w:rsidR="004E3548" w:rsidRPr="00D2435E" w:rsidRDefault="004E3548" w:rsidP="0053411E">
            <w:pPr>
              <w:jc w:val="center"/>
              <w:rPr>
                <w:rFonts w:ascii="Arial" w:hAnsi="Arial" w:cs="Arial"/>
                <w:lang w:val="en-PH" w:eastAsia="ja-JP"/>
              </w:rPr>
            </w:pPr>
          </w:p>
        </w:tc>
        <w:tc>
          <w:tcPr>
            <w:tcW w:w="844" w:type="pct"/>
            <w:tcBorders>
              <w:top w:val="nil"/>
              <w:left w:val="nil"/>
              <w:bottom w:val="nil"/>
              <w:right w:val="nil"/>
            </w:tcBorders>
            <w:shd w:val="clear" w:color="000000" w:fill="FFFFFF"/>
            <w:vAlign w:val="center"/>
          </w:tcPr>
          <w:p w14:paraId="5F73A805" w14:textId="77777777" w:rsidR="004E3548" w:rsidRPr="00D2435E" w:rsidRDefault="004E3548" w:rsidP="0053411E">
            <w:pPr>
              <w:jc w:val="center"/>
              <w:rPr>
                <w:rFonts w:ascii="Arial" w:hAnsi="Arial" w:cs="Arial"/>
                <w:lang w:val="en-PH" w:eastAsia="ja-JP"/>
              </w:rPr>
            </w:pPr>
          </w:p>
        </w:tc>
        <w:tc>
          <w:tcPr>
            <w:tcW w:w="747" w:type="pct"/>
            <w:tcBorders>
              <w:top w:val="nil"/>
              <w:left w:val="nil"/>
              <w:bottom w:val="nil"/>
              <w:right w:val="nil"/>
            </w:tcBorders>
            <w:shd w:val="clear" w:color="000000" w:fill="FFFFFF"/>
            <w:vAlign w:val="center"/>
          </w:tcPr>
          <w:p w14:paraId="7301C325" w14:textId="77777777" w:rsidR="004E3548" w:rsidRPr="00D2435E" w:rsidRDefault="004E3548" w:rsidP="0053411E">
            <w:pPr>
              <w:jc w:val="center"/>
              <w:rPr>
                <w:rFonts w:ascii="Arial" w:hAnsi="Arial" w:cs="Arial"/>
                <w:lang w:val="en-PH" w:eastAsia="ja-JP"/>
              </w:rPr>
            </w:pPr>
          </w:p>
        </w:tc>
      </w:tr>
      <w:tr w:rsidR="004E3548" w:rsidRPr="00D2435E" w14:paraId="0678AE38" w14:textId="77777777" w:rsidTr="0053411E">
        <w:tc>
          <w:tcPr>
            <w:tcW w:w="1859" w:type="pct"/>
            <w:tcBorders>
              <w:top w:val="nil"/>
              <w:left w:val="nil"/>
              <w:bottom w:val="nil"/>
              <w:right w:val="nil"/>
            </w:tcBorders>
            <w:shd w:val="clear" w:color="000000" w:fill="FFFFFF"/>
            <w:vAlign w:val="center"/>
          </w:tcPr>
          <w:p w14:paraId="47C066FB" w14:textId="77777777" w:rsidR="004E3548" w:rsidRPr="00D2435E" w:rsidRDefault="004E3548" w:rsidP="0053411E">
            <w:pPr>
              <w:rPr>
                <w:rFonts w:ascii="Arial" w:hAnsi="Arial" w:cs="Arial"/>
                <w:lang w:val="en-PH" w:eastAsia="ja-JP"/>
              </w:rPr>
            </w:pPr>
            <w:r w:rsidRPr="00D2435E">
              <w:rPr>
                <w:rFonts w:ascii="Arial" w:hAnsi="Arial" w:cs="Arial"/>
                <w:lang w:val="en-PH" w:eastAsia="ja-JP"/>
              </w:rPr>
              <w:t>Total</w:t>
            </w:r>
            <w:r w:rsidRPr="00D2435E">
              <w:rPr>
                <w:rFonts w:ascii="Arial" w:hAnsi="Arial" w:cs="Arial"/>
                <w:lang w:eastAsia="ja-JP"/>
              </w:rPr>
              <w:t xml:space="preserve"> </w:t>
            </w:r>
            <w:r w:rsidRPr="00D2435E">
              <w:rPr>
                <w:rFonts w:ascii="Arial" w:hAnsi="Arial" w:cs="Arial"/>
                <w:lang w:val="en-PH" w:eastAsia="ja-JP"/>
              </w:rPr>
              <w:t>Years</w:t>
            </w:r>
            <w:r w:rsidRPr="00D2435E">
              <w:rPr>
                <w:rFonts w:ascii="Arial" w:hAnsi="Arial" w:cs="Arial"/>
                <w:lang w:eastAsia="ja-JP"/>
              </w:rPr>
              <w:t xml:space="preserve"> </w:t>
            </w:r>
            <w:r w:rsidRPr="00D2435E">
              <w:rPr>
                <w:rFonts w:ascii="Arial" w:hAnsi="Arial" w:cs="Arial"/>
                <w:lang w:val="en-PH" w:eastAsia="ja-JP"/>
              </w:rPr>
              <w:t>of</w:t>
            </w:r>
            <w:r w:rsidRPr="00D2435E">
              <w:rPr>
                <w:rFonts w:ascii="Arial" w:hAnsi="Arial" w:cs="Arial"/>
                <w:lang w:eastAsia="ja-JP"/>
              </w:rPr>
              <w:t xml:space="preserve"> </w:t>
            </w:r>
            <w:r w:rsidRPr="00D2435E">
              <w:rPr>
                <w:rFonts w:ascii="Arial" w:hAnsi="Arial" w:cs="Arial"/>
                <w:lang w:val="en-PH" w:eastAsia="ja-JP"/>
              </w:rPr>
              <w:t>Teaching</w:t>
            </w:r>
          </w:p>
        </w:tc>
        <w:tc>
          <w:tcPr>
            <w:tcW w:w="1549" w:type="pct"/>
            <w:tcBorders>
              <w:top w:val="nil"/>
              <w:left w:val="nil"/>
              <w:bottom w:val="nil"/>
              <w:right w:val="nil"/>
            </w:tcBorders>
            <w:shd w:val="clear" w:color="000000" w:fill="auto"/>
            <w:vAlign w:val="center"/>
          </w:tcPr>
          <w:p w14:paraId="3B3B8E64" w14:textId="77777777" w:rsidR="004E3548" w:rsidRPr="00D2435E" w:rsidRDefault="004E3548" w:rsidP="0053411E">
            <w:pPr>
              <w:jc w:val="center"/>
              <w:rPr>
                <w:rFonts w:ascii="Arial" w:hAnsi="Arial" w:cs="Arial"/>
                <w:lang w:eastAsia="ja-JP"/>
              </w:rPr>
            </w:pPr>
            <w:r w:rsidRPr="00D2435E">
              <w:rPr>
                <w:rFonts w:ascii="Arial" w:hAnsi="Arial" w:cs="Arial"/>
                <w:lang w:val="en-PH" w:eastAsia="ja-JP"/>
              </w:rPr>
              <w:t>1</w:t>
            </w:r>
            <w:r w:rsidRPr="00D2435E">
              <w:rPr>
                <w:rFonts w:ascii="Arial" w:hAnsi="Arial" w:cs="Arial"/>
                <w:lang w:eastAsia="ja-JP"/>
              </w:rPr>
              <w:t xml:space="preserve"> to 5 years</w:t>
            </w:r>
          </w:p>
        </w:tc>
        <w:tc>
          <w:tcPr>
            <w:tcW w:w="844" w:type="pct"/>
            <w:tcBorders>
              <w:top w:val="nil"/>
              <w:left w:val="nil"/>
              <w:bottom w:val="nil"/>
              <w:right w:val="nil"/>
            </w:tcBorders>
            <w:shd w:val="clear" w:color="000000" w:fill="FFFFFF"/>
            <w:vAlign w:val="center"/>
          </w:tcPr>
          <w:p w14:paraId="76D258AF" w14:textId="77777777" w:rsidR="004E3548" w:rsidRPr="00D2435E" w:rsidRDefault="004E3548" w:rsidP="0053411E">
            <w:pPr>
              <w:jc w:val="center"/>
              <w:rPr>
                <w:rFonts w:ascii="Arial" w:hAnsi="Arial" w:cs="Arial"/>
                <w:lang w:val="en-PH" w:eastAsia="ja-JP"/>
              </w:rPr>
            </w:pPr>
            <w:r w:rsidRPr="00D2435E">
              <w:rPr>
                <w:rFonts w:ascii="Arial" w:hAnsi="Arial" w:cs="Arial"/>
                <w:lang w:val="en-PH" w:eastAsia="ja-JP"/>
              </w:rPr>
              <w:t>13</w:t>
            </w:r>
          </w:p>
        </w:tc>
        <w:tc>
          <w:tcPr>
            <w:tcW w:w="747" w:type="pct"/>
            <w:tcBorders>
              <w:top w:val="nil"/>
              <w:left w:val="nil"/>
              <w:bottom w:val="nil"/>
              <w:right w:val="nil"/>
            </w:tcBorders>
            <w:shd w:val="clear" w:color="000000" w:fill="FFFFFF"/>
            <w:vAlign w:val="center"/>
          </w:tcPr>
          <w:p w14:paraId="7EA120EA" w14:textId="77777777" w:rsidR="004E3548" w:rsidRPr="00D2435E" w:rsidRDefault="004E3548" w:rsidP="0053411E">
            <w:pPr>
              <w:jc w:val="center"/>
              <w:rPr>
                <w:rFonts w:ascii="Arial" w:hAnsi="Arial" w:cs="Arial"/>
                <w:lang w:val="en-PH" w:eastAsia="ja-JP"/>
              </w:rPr>
            </w:pPr>
            <w:r w:rsidRPr="00D2435E">
              <w:rPr>
                <w:rFonts w:ascii="Arial" w:hAnsi="Arial" w:cs="Arial"/>
                <w:lang w:val="en-PH" w:eastAsia="ja-JP"/>
              </w:rPr>
              <w:t>15.3</w:t>
            </w:r>
          </w:p>
        </w:tc>
      </w:tr>
      <w:tr w:rsidR="004E3548" w:rsidRPr="00D2435E" w14:paraId="5C960F1B" w14:textId="77777777" w:rsidTr="0053411E">
        <w:tc>
          <w:tcPr>
            <w:tcW w:w="1859" w:type="pct"/>
            <w:tcBorders>
              <w:top w:val="nil"/>
              <w:left w:val="nil"/>
              <w:bottom w:val="nil"/>
              <w:right w:val="nil"/>
            </w:tcBorders>
            <w:shd w:val="clear" w:color="000000" w:fill="FFFFFF"/>
            <w:vAlign w:val="center"/>
          </w:tcPr>
          <w:p w14:paraId="5EC03B89" w14:textId="77777777" w:rsidR="004E3548" w:rsidRPr="00D2435E" w:rsidRDefault="004E3548" w:rsidP="0053411E">
            <w:pPr>
              <w:rPr>
                <w:rFonts w:ascii="Arial" w:hAnsi="Arial" w:cs="Arial"/>
                <w:lang w:val="en-PH" w:eastAsia="ja-JP"/>
              </w:rPr>
            </w:pPr>
          </w:p>
        </w:tc>
        <w:tc>
          <w:tcPr>
            <w:tcW w:w="1549" w:type="pct"/>
            <w:tcBorders>
              <w:top w:val="nil"/>
              <w:left w:val="nil"/>
              <w:bottom w:val="nil"/>
              <w:right w:val="nil"/>
            </w:tcBorders>
            <w:shd w:val="clear" w:color="000000" w:fill="auto"/>
            <w:vAlign w:val="center"/>
          </w:tcPr>
          <w:p w14:paraId="0FB8E285" w14:textId="77777777" w:rsidR="004E3548" w:rsidRPr="00D2435E" w:rsidRDefault="004E3548" w:rsidP="0053411E">
            <w:pPr>
              <w:jc w:val="center"/>
              <w:rPr>
                <w:rFonts w:ascii="Arial" w:hAnsi="Arial" w:cs="Arial"/>
                <w:lang w:eastAsia="ja-JP"/>
              </w:rPr>
            </w:pPr>
            <w:r w:rsidRPr="00D2435E">
              <w:rPr>
                <w:rFonts w:ascii="Arial" w:hAnsi="Arial" w:cs="Arial"/>
                <w:lang w:eastAsia="ja-JP"/>
              </w:rPr>
              <w:t>6 to 10 years</w:t>
            </w:r>
          </w:p>
        </w:tc>
        <w:tc>
          <w:tcPr>
            <w:tcW w:w="844" w:type="pct"/>
            <w:tcBorders>
              <w:top w:val="nil"/>
              <w:left w:val="nil"/>
              <w:bottom w:val="nil"/>
              <w:right w:val="nil"/>
            </w:tcBorders>
            <w:shd w:val="clear" w:color="000000" w:fill="FFFFFF"/>
            <w:vAlign w:val="center"/>
          </w:tcPr>
          <w:p w14:paraId="42D6C36F" w14:textId="77777777" w:rsidR="004E3548" w:rsidRPr="00D2435E" w:rsidRDefault="004E3548" w:rsidP="0053411E">
            <w:pPr>
              <w:jc w:val="center"/>
              <w:rPr>
                <w:rFonts w:ascii="Arial" w:hAnsi="Arial" w:cs="Arial"/>
                <w:lang w:val="en-PH" w:eastAsia="ja-JP"/>
              </w:rPr>
            </w:pPr>
            <w:r w:rsidRPr="00D2435E">
              <w:rPr>
                <w:rFonts w:ascii="Arial" w:hAnsi="Arial" w:cs="Arial"/>
                <w:lang w:val="en-PH" w:eastAsia="ja-JP"/>
              </w:rPr>
              <w:t>19</w:t>
            </w:r>
          </w:p>
        </w:tc>
        <w:tc>
          <w:tcPr>
            <w:tcW w:w="747" w:type="pct"/>
            <w:tcBorders>
              <w:top w:val="nil"/>
              <w:left w:val="nil"/>
              <w:bottom w:val="nil"/>
              <w:right w:val="nil"/>
            </w:tcBorders>
            <w:shd w:val="clear" w:color="000000" w:fill="FFFFFF"/>
            <w:vAlign w:val="center"/>
          </w:tcPr>
          <w:p w14:paraId="44145F3A" w14:textId="77777777" w:rsidR="004E3548" w:rsidRPr="00D2435E" w:rsidRDefault="004E3548" w:rsidP="0053411E">
            <w:pPr>
              <w:jc w:val="center"/>
              <w:rPr>
                <w:rFonts w:ascii="Arial" w:hAnsi="Arial" w:cs="Arial"/>
                <w:lang w:val="en-PH" w:eastAsia="ja-JP"/>
              </w:rPr>
            </w:pPr>
            <w:r w:rsidRPr="00D2435E">
              <w:rPr>
                <w:rFonts w:ascii="Arial" w:hAnsi="Arial" w:cs="Arial"/>
                <w:lang w:val="en-PH" w:eastAsia="ja-JP"/>
              </w:rPr>
              <w:t>22.4</w:t>
            </w:r>
          </w:p>
        </w:tc>
      </w:tr>
      <w:tr w:rsidR="004E3548" w:rsidRPr="00D2435E" w14:paraId="6A40204A" w14:textId="77777777" w:rsidTr="0053411E">
        <w:tc>
          <w:tcPr>
            <w:tcW w:w="1859" w:type="pct"/>
            <w:tcBorders>
              <w:top w:val="nil"/>
              <w:left w:val="nil"/>
              <w:bottom w:val="nil"/>
              <w:right w:val="nil"/>
            </w:tcBorders>
            <w:shd w:val="clear" w:color="000000" w:fill="FFFFFF"/>
            <w:vAlign w:val="center"/>
          </w:tcPr>
          <w:p w14:paraId="03CE7340" w14:textId="77777777" w:rsidR="004E3548" w:rsidRPr="00D2435E" w:rsidRDefault="004E3548" w:rsidP="0053411E">
            <w:pPr>
              <w:rPr>
                <w:rFonts w:ascii="Arial" w:hAnsi="Arial" w:cs="Arial"/>
                <w:lang w:val="en-PH" w:eastAsia="ja-JP"/>
              </w:rPr>
            </w:pPr>
          </w:p>
        </w:tc>
        <w:tc>
          <w:tcPr>
            <w:tcW w:w="1549" w:type="pct"/>
            <w:tcBorders>
              <w:top w:val="nil"/>
              <w:left w:val="nil"/>
              <w:bottom w:val="nil"/>
              <w:right w:val="nil"/>
            </w:tcBorders>
            <w:shd w:val="clear" w:color="000000" w:fill="auto"/>
            <w:vAlign w:val="center"/>
          </w:tcPr>
          <w:p w14:paraId="22281C11" w14:textId="77777777" w:rsidR="004E3548" w:rsidRPr="00D2435E" w:rsidRDefault="004E3548" w:rsidP="0053411E">
            <w:pPr>
              <w:jc w:val="center"/>
              <w:rPr>
                <w:rFonts w:ascii="Arial" w:hAnsi="Arial" w:cs="Arial"/>
                <w:lang w:eastAsia="ja-JP"/>
              </w:rPr>
            </w:pPr>
            <w:r w:rsidRPr="00D2435E">
              <w:rPr>
                <w:rFonts w:ascii="Arial" w:hAnsi="Arial" w:cs="Arial"/>
                <w:lang w:eastAsia="ja-JP"/>
              </w:rPr>
              <w:t>11 to 15 years</w:t>
            </w:r>
          </w:p>
        </w:tc>
        <w:tc>
          <w:tcPr>
            <w:tcW w:w="844" w:type="pct"/>
            <w:tcBorders>
              <w:top w:val="nil"/>
              <w:left w:val="nil"/>
              <w:bottom w:val="nil"/>
              <w:right w:val="nil"/>
            </w:tcBorders>
            <w:shd w:val="clear" w:color="000000" w:fill="FFFFFF"/>
            <w:vAlign w:val="center"/>
          </w:tcPr>
          <w:p w14:paraId="77C98C64" w14:textId="77777777" w:rsidR="004E3548" w:rsidRPr="00D2435E" w:rsidRDefault="004E3548" w:rsidP="0053411E">
            <w:pPr>
              <w:jc w:val="center"/>
              <w:rPr>
                <w:rFonts w:ascii="Arial" w:hAnsi="Arial" w:cs="Arial"/>
                <w:lang w:val="en-PH" w:eastAsia="ja-JP"/>
              </w:rPr>
            </w:pPr>
            <w:r w:rsidRPr="00D2435E">
              <w:rPr>
                <w:rFonts w:ascii="Arial" w:hAnsi="Arial" w:cs="Arial"/>
                <w:lang w:val="en-PH" w:eastAsia="ja-JP"/>
              </w:rPr>
              <w:t>11</w:t>
            </w:r>
          </w:p>
        </w:tc>
        <w:tc>
          <w:tcPr>
            <w:tcW w:w="747" w:type="pct"/>
            <w:tcBorders>
              <w:top w:val="nil"/>
              <w:left w:val="nil"/>
              <w:bottom w:val="nil"/>
              <w:right w:val="nil"/>
            </w:tcBorders>
            <w:shd w:val="clear" w:color="000000" w:fill="FFFFFF"/>
            <w:vAlign w:val="center"/>
          </w:tcPr>
          <w:p w14:paraId="0A1BDED4" w14:textId="77777777" w:rsidR="004E3548" w:rsidRPr="00D2435E" w:rsidRDefault="004E3548" w:rsidP="0053411E">
            <w:pPr>
              <w:jc w:val="center"/>
              <w:rPr>
                <w:rFonts w:ascii="Arial" w:hAnsi="Arial" w:cs="Arial"/>
                <w:lang w:val="en-PH" w:eastAsia="ja-JP"/>
              </w:rPr>
            </w:pPr>
            <w:r w:rsidRPr="00D2435E">
              <w:rPr>
                <w:rFonts w:ascii="Arial" w:hAnsi="Arial" w:cs="Arial"/>
                <w:lang w:val="en-PH" w:eastAsia="ja-JP"/>
              </w:rPr>
              <w:t>12.9</w:t>
            </w:r>
          </w:p>
        </w:tc>
      </w:tr>
      <w:tr w:rsidR="004E3548" w:rsidRPr="00D2435E" w14:paraId="5256FD68" w14:textId="77777777" w:rsidTr="0053411E">
        <w:tc>
          <w:tcPr>
            <w:tcW w:w="1859" w:type="pct"/>
            <w:tcBorders>
              <w:top w:val="nil"/>
              <w:left w:val="nil"/>
              <w:bottom w:val="nil"/>
              <w:right w:val="nil"/>
            </w:tcBorders>
            <w:shd w:val="clear" w:color="000000" w:fill="FFFFFF"/>
            <w:vAlign w:val="center"/>
          </w:tcPr>
          <w:p w14:paraId="39239658" w14:textId="77777777" w:rsidR="004E3548" w:rsidRPr="00D2435E" w:rsidRDefault="004E3548" w:rsidP="0053411E">
            <w:pPr>
              <w:rPr>
                <w:rFonts w:ascii="Arial" w:hAnsi="Arial" w:cs="Arial"/>
                <w:lang w:val="en-PH" w:eastAsia="ja-JP"/>
              </w:rPr>
            </w:pPr>
          </w:p>
        </w:tc>
        <w:tc>
          <w:tcPr>
            <w:tcW w:w="1549" w:type="pct"/>
            <w:tcBorders>
              <w:top w:val="nil"/>
              <w:left w:val="nil"/>
              <w:bottom w:val="nil"/>
              <w:right w:val="nil"/>
            </w:tcBorders>
            <w:shd w:val="clear" w:color="000000" w:fill="auto"/>
            <w:vAlign w:val="center"/>
          </w:tcPr>
          <w:p w14:paraId="254B712E" w14:textId="77777777" w:rsidR="004E3548" w:rsidRPr="00D2435E" w:rsidRDefault="004E3548" w:rsidP="0053411E">
            <w:pPr>
              <w:jc w:val="center"/>
              <w:rPr>
                <w:rFonts w:ascii="Arial" w:hAnsi="Arial" w:cs="Arial"/>
                <w:lang w:eastAsia="ja-JP"/>
              </w:rPr>
            </w:pPr>
            <w:r w:rsidRPr="00D2435E">
              <w:rPr>
                <w:rFonts w:ascii="Arial" w:hAnsi="Arial" w:cs="Arial"/>
                <w:lang w:eastAsia="ja-JP"/>
              </w:rPr>
              <w:t>16 to 20 years</w:t>
            </w:r>
          </w:p>
        </w:tc>
        <w:tc>
          <w:tcPr>
            <w:tcW w:w="844" w:type="pct"/>
            <w:tcBorders>
              <w:top w:val="nil"/>
              <w:left w:val="nil"/>
              <w:bottom w:val="nil"/>
              <w:right w:val="nil"/>
            </w:tcBorders>
            <w:shd w:val="clear" w:color="000000" w:fill="FFFFFF"/>
            <w:vAlign w:val="center"/>
          </w:tcPr>
          <w:p w14:paraId="5A41C8ED" w14:textId="77777777" w:rsidR="004E3548" w:rsidRPr="00D2435E" w:rsidRDefault="004E3548" w:rsidP="0053411E">
            <w:pPr>
              <w:jc w:val="center"/>
              <w:rPr>
                <w:rFonts w:ascii="Arial" w:hAnsi="Arial" w:cs="Arial"/>
                <w:lang w:val="en-PH" w:eastAsia="ja-JP"/>
              </w:rPr>
            </w:pPr>
            <w:r w:rsidRPr="00D2435E">
              <w:rPr>
                <w:rFonts w:ascii="Arial" w:hAnsi="Arial" w:cs="Arial"/>
                <w:lang w:val="en-PH" w:eastAsia="ja-JP"/>
              </w:rPr>
              <w:t>16</w:t>
            </w:r>
          </w:p>
        </w:tc>
        <w:tc>
          <w:tcPr>
            <w:tcW w:w="747" w:type="pct"/>
            <w:tcBorders>
              <w:top w:val="nil"/>
              <w:left w:val="nil"/>
              <w:bottom w:val="nil"/>
              <w:right w:val="nil"/>
            </w:tcBorders>
            <w:shd w:val="clear" w:color="000000" w:fill="FFFFFF"/>
            <w:vAlign w:val="center"/>
          </w:tcPr>
          <w:p w14:paraId="28C6166C" w14:textId="77777777" w:rsidR="004E3548" w:rsidRPr="00D2435E" w:rsidRDefault="004E3548" w:rsidP="0053411E">
            <w:pPr>
              <w:jc w:val="center"/>
              <w:rPr>
                <w:rFonts w:ascii="Arial" w:hAnsi="Arial" w:cs="Arial"/>
                <w:lang w:val="en-PH" w:eastAsia="ja-JP"/>
              </w:rPr>
            </w:pPr>
            <w:r w:rsidRPr="00D2435E">
              <w:rPr>
                <w:rFonts w:ascii="Arial" w:hAnsi="Arial" w:cs="Arial"/>
                <w:lang w:val="en-PH" w:eastAsia="ja-JP"/>
              </w:rPr>
              <w:t>18.8</w:t>
            </w:r>
          </w:p>
        </w:tc>
      </w:tr>
      <w:tr w:rsidR="004E3548" w:rsidRPr="00D2435E" w14:paraId="2781BED1" w14:textId="77777777" w:rsidTr="0053411E">
        <w:tc>
          <w:tcPr>
            <w:tcW w:w="1859" w:type="pct"/>
            <w:tcBorders>
              <w:top w:val="nil"/>
              <w:left w:val="nil"/>
              <w:bottom w:val="nil"/>
              <w:right w:val="nil"/>
            </w:tcBorders>
            <w:shd w:val="clear" w:color="000000" w:fill="FFFFFF"/>
            <w:vAlign w:val="center"/>
          </w:tcPr>
          <w:p w14:paraId="6E446641" w14:textId="77777777" w:rsidR="004E3548" w:rsidRPr="00D2435E" w:rsidRDefault="004E3548" w:rsidP="0053411E">
            <w:pPr>
              <w:rPr>
                <w:rFonts w:ascii="Arial" w:hAnsi="Arial" w:cs="Arial"/>
                <w:lang w:val="en-PH" w:eastAsia="ja-JP"/>
              </w:rPr>
            </w:pPr>
          </w:p>
        </w:tc>
        <w:tc>
          <w:tcPr>
            <w:tcW w:w="1549" w:type="pct"/>
            <w:tcBorders>
              <w:top w:val="nil"/>
              <w:left w:val="nil"/>
              <w:bottom w:val="nil"/>
              <w:right w:val="nil"/>
            </w:tcBorders>
            <w:shd w:val="clear" w:color="000000" w:fill="auto"/>
            <w:vAlign w:val="center"/>
          </w:tcPr>
          <w:p w14:paraId="5113C5E5" w14:textId="77777777" w:rsidR="004E3548" w:rsidRPr="00D2435E" w:rsidRDefault="004E3548" w:rsidP="0053411E">
            <w:pPr>
              <w:jc w:val="center"/>
              <w:rPr>
                <w:rFonts w:ascii="Arial" w:hAnsi="Arial" w:cs="Arial"/>
                <w:lang w:eastAsia="ja-JP"/>
              </w:rPr>
            </w:pPr>
            <w:r w:rsidRPr="00D2435E">
              <w:rPr>
                <w:rFonts w:ascii="Arial" w:hAnsi="Arial" w:cs="Arial"/>
                <w:lang w:eastAsia="ja-JP"/>
              </w:rPr>
              <w:t>21 to 25 years</w:t>
            </w:r>
          </w:p>
        </w:tc>
        <w:tc>
          <w:tcPr>
            <w:tcW w:w="844" w:type="pct"/>
            <w:tcBorders>
              <w:top w:val="nil"/>
              <w:left w:val="nil"/>
              <w:bottom w:val="nil"/>
              <w:right w:val="nil"/>
            </w:tcBorders>
            <w:shd w:val="clear" w:color="000000" w:fill="FFFFFF"/>
            <w:vAlign w:val="center"/>
          </w:tcPr>
          <w:p w14:paraId="7E9BCCD0" w14:textId="77777777" w:rsidR="004E3548" w:rsidRPr="00D2435E" w:rsidRDefault="004E3548" w:rsidP="0053411E">
            <w:pPr>
              <w:jc w:val="center"/>
              <w:rPr>
                <w:rFonts w:ascii="Arial" w:hAnsi="Arial" w:cs="Arial"/>
                <w:lang w:val="en-PH" w:eastAsia="ja-JP"/>
              </w:rPr>
            </w:pPr>
            <w:r w:rsidRPr="00D2435E">
              <w:rPr>
                <w:rFonts w:ascii="Arial" w:hAnsi="Arial" w:cs="Arial"/>
                <w:lang w:val="en-PH" w:eastAsia="ja-JP"/>
              </w:rPr>
              <w:t>10</w:t>
            </w:r>
          </w:p>
        </w:tc>
        <w:tc>
          <w:tcPr>
            <w:tcW w:w="747" w:type="pct"/>
            <w:tcBorders>
              <w:top w:val="nil"/>
              <w:left w:val="nil"/>
              <w:bottom w:val="nil"/>
              <w:right w:val="nil"/>
            </w:tcBorders>
            <w:shd w:val="clear" w:color="000000" w:fill="FFFFFF"/>
            <w:vAlign w:val="center"/>
          </w:tcPr>
          <w:p w14:paraId="3A0D339C" w14:textId="77777777" w:rsidR="004E3548" w:rsidRPr="00D2435E" w:rsidRDefault="004E3548" w:rsidP="0053411E">
            <w:pPr>
              <w:jc w:val="center"/>
              <w:rPr>
                <w:rFonts w:ascii="Arial" w:hAnsi="Arial" w:cs="Arial"/>
                <w:lang w:val="en-PH" w:eastAsia="ja-JP"/>
              </w:rPr>
            </w:pPr>
            <w:r w:rsidRPr="00D2435E">
              <w:rPr>
                <w:rFonts w:ascii="Arial" w:hAnsi="Arial" w:cs="Arial"/>
                <w:lang w:val="en-PH" w:eastAsia="ja-JP"/>
              </w:rPr>
              <w:t>11.8</w:t>
            </w:r>
          </w:p>
        </w:tc>
      </w:tr>
      <w:tr w:rsidR="004E3548" w:rsidRPr="00D2435E" w14:paraId="5640E6A6" w14:textId="77777777" w:rsidTr="0053411E">
        <w:tc>
          <w:tcPr>
            <w:tcW w:w="1859" w:type="pct"/>
            <w:tcBorders>
              <w:top w:val="nil"/>
              <w:left w:val="nil"/>
              <w:bottom w:val="nil"/>
              <w:right w:val="nil"/>
            </w:tcBorders>
            <w:shd w:val="clear" w:color="000000" w:fill="FFFFFF"/>
            <w:vAlign w:val="center"/>
          </w:tcPr>
          <w:p w14:paraId="378214EB" w14:textId="77777777" w:rsidR="004E3548" w:rsidRPr="00D2435E" w:rsidRDefault="004E3548" w:rsidP="0053411E">
            <w:pPr>
              <w:rPr>
                <w:rFonts w:ascii="Arial" w:hAnsi="Arial" w:cs="Arial"/>
                <w:lang w:val="en-PH" w:eastAsia="ja-JP"/>
              </w:rPr>
            </w:pPr>
          </w:p>
        </w:tc>
        <w:tc>
          <w:tcPr>
            <w:tcW w:w="1549" w:type="pct"/>
            <w:tcBorders>
              <w:top w:val="nil"/>
              <w:left w:val="nil"/>
              <w:bottom w:val="nil"/>
              <w:right w:val="nil"/>
            </w:tcBorders>
            <w:shd w:val="clear" w:color="000000" w:fill="auto"/>
            <w:vAlign w:val="center"/>
          </w:tcPr>
          <w:p w14:paraId="14694FAB" w14:textId="77777777" w:rsidR="004E3548" w:rsidRPr="00D2435E" w:rsidRDefault="004E3548" w:rsidP="0053411E">
            <w:pPr>
              <w:jc w:val="center"/>
              <w:rPr>
                <w:rFonts w:ascii="Arial" w:hAnsi="Arial" w:cs="Arial"/>
                <w:lang w:eastAsia="ja-JP"/>
              </w:rPr>
            </w:pPr>
            <w:r w:rsidRPr="00D2435E">
              <w:rPr>
                <w:rFonts w:ascii="Arial" w:hAnsi="Arial" w:cs="Arial"/>
                <w:lang w:eastAsia="ja-JP"/>
              </w:rPr>
              <w:t>Over 25 years</w:t>
            </w:r>
          </w:p>
        </w:tc>
        <w:tc>
          <w:tcPr>
            <w:tcW w:w="844" w:type="pct"/>
            <w:tcBorders>
              <w:top w:val="nil"/>
              <w:left w:val="nil"/>
              <w:bottom w:val="nil"/>
              <w:right w:val="nil"/>
            </w:tcBorders>
            <w:shd w:val="clear" w:color="000000" w:fill="FFFFFF"/>
            <w:vAlign w:val="center"/>
          </w:tcPr>
          <w:p w14:paraId="272213DC" w14:textId="77777777" w:rsidR="004E3548" w:rsidRPr="00D2435E" w:rsidRDefault="004E3548" w:rsidP="0053411E">
            <w:pPr>
              <w:jc w:val="center"/>
              <w:rPr>
                <w:rFonts w:ascii="Arial" w:hAnsi="Arial" w:cs="Arial"/>
                <w:lang w:val="en-PH" w:eastAsia="ja-JP"/>
              </w:rPr>
            </w:pPr>
            <w:r w:rsidRPr="00D2435E">
              <w:rPr>
                <w:rFonts w:ascii="Arial" w:hAnsi="Arial" w:cs="Arial"/>
                <w:lang w:val="en-PH" w:eastAsia="ja-JP"/>
              </w:rPr>
              <w:t>16</w:t>
            </w:r>
          </w:p>
        </w:tc>
        <w:tc>
          <w:tcPr>
            <w:tcW w:w="747" w:type="pct"/>
            <w:tcBorders>
              <w:top w:val="nil"/>
              <w:left w:val="nil"/>
              <w:bottom w:val="nil"/>
              <w:right w:val="nil"/>
            </w:tcBorders>
            <w:shd w:val="clear" w:color="000000" w:fill="FFFFFF"/>
            <w:vAlign w:val="center"/>
          </w:tcPr>
          <w:p w14:paraId="6160B65D" w14:textId="77777777" w:rsidR="004E3548" w:rsidRPr="00D2435E" w:rsidRDefault="004E3548" w:rsidP="0053411E">
            <w:pPr>
              <w:jc w:val="center"/>
              <w:rPr>
                <w:rFonts w:ascii="Arial" w:hAnsi="Arial" w:cs="Arial"/>
                <w:lang w:val="en-PH" w:eastAsia="ja-JP"/>
              </w:rPr>
            </w:pPr>
            <w:r w:rsidRPr="00D2435E">
              <w:rPr>
                <w:rFonts w:ascii="Arial" w:hAnsi="Arial" w:cs="Arial"/>
                <w:lang w:val="en-PH" w:eastAsia="ja-JP"/>
              </w:rPr>
              <w:t>18.8</w:t>
            </w:r>
          </w:p>
        </w:tc>
      </w:tr>
      <w:tr w:rsidR="004E3548" w:rsidRPr="00D2435E" w14:paraId="431A7E7F" w14:textId="77777777" w:rsidTr="0053411E">
        <w:tc>
          <w:tcPr>
            <w:tcW w:w="1859" w:type="pct"/>
            <w:tcBorders>
              <w:top w:val="nil"/>
              <w:left w:val="nil"/>
              <w:bottom w:val="nil"/>
              <w:right w:val="nil"/>
            </w:tcBorders>
            <w:shd w:val="clear" w:color="000000" w:fill="FFFFFF"/>
            <w:vAlign w:val="center"/>
          </w:tcPr>
          <w:p w14:paraId="12DD587B" w14:textId="77777777" w:rsidR="004E3548" w:rsidRPr="00D2435E" w:rsidRDefault="004E3548" w:rsidP="0053411E">
            <w:pPr>
              <w:rPr>
                <w:rFonts w:ascii="Arial" w:hAnsi="Arial" w:cs="Arial"/>
                <w:lang w:val="en-PH" w:eastAsia="ja-JP"/>
              </w:rPr>
            </w:pPr>
          </w:p>
        </w:tc>
        <w:tc>
          <w:tcPr>
            <w:tcW w:w="1549" w:type="pct"/>
            <w:tcBorders>
              <w:top w:val="nil"/>
              <w:left w:val="nil"/>
              <w:bottom w:val="nil"/>
              <w:right w:val="nil"/>
            </w:tcBorders>
            <w:shd w:val="clear" w:color="000000" w:fill="auto"/>
            <w:vAlign w:val="center"/>
          </w:tcPr>
          <w:p w14:paraId="509828EB" w14:textId="77777777" w:rsidR="004E3548" w:rsidRPr="00D2435E" w:rsidRDefault="004E3548" w:rsidP="0053411E">
            <w:pPr>
              <w:jc w:val="center"/>
              <w:rPr>
                <w:rFonts w:ascii="Arial" w:hAnsi="Arial" w:cs="Arial"/>
                <w:lang w:val="en-PH" w:eastAsia="ja-JP"/>
              </w:rPr>
            </w:pPr>
          </w:p>
        </w:tc>
        <w:tc>
          <w:tcPr>
            <w:tcW w:w="844" w:type="pct"/>
            <w:tcBorders>
              <w:top w:val="nil"/>
              <w:left w:val="nil"/>
              <w:bottom w:val="nil"/>
              <w:right w:val="nil"/>
            </w:tcBorders>
            <w:shd w:val="clear" w:color="000000" w:fill="FFFFFF"/>
            <w:vAlign w:val="center"/>
          </w:tcPr>
          <w:p w14:paraId="7866AF16" w14:textId="77777777" w:rsidR="004E3548" w:rsidRPr="00D2435E" w:rsidRDefault="004E3548" w:rsidP="0053411E">
            <w:pPr>
              <w:jc w:val="center"/>
              <w:rPr>
                <w:rFonts w:ascii="Arial" w:hAnsi="Arial" w:cs="Arial"/>
                <w:lang w:val="en-PH" w:eastAsia="ja-JP"/>
              </w:rPr>
            </w:pPr>
          </w:p>
        </w:tc>
        <w:tc>
          <w:tcPr>
            <w:tcW w:w="747" w:type="pct"/>
            <w:tcBorders>
              <w:top w:val="nil"/>
              <w:left w:val="nil"/>
              <w:bottom w:val="nil"/>
              <w:right w:val="nil"/>
            </w:tcBorders>
            <w:shd w:val="clear" w:color="000000" w:fill="FFFFFF"/>
            <w:vAlign w:val="center"/>
          </w:tcPr>
          <w:p w14:paraId="1657D887" w14:textId="77777777" w:rsidR="004E3548" w:rsidRPr="00D2435E" w:rsidRDefault="004E3548" w:rsidP="0053411E">
            <w:pPr>
              <w:jc w:val="center"/>
              <w:rPr>
                <w:rFonts w:ascii="Arial" w:hAnsi="Arial" w:cs="Arial"/>
                <w:lang w:val="en-PH" w:eastAsia="ja-JP"/>
              </w:rPr>
            </w:pPr>
          </w:p>
        </w:tc>
      </w:tr>
      <w:tr w:rsidR="004E3548" w:rsidRPr="00D2435E" w14:paraId="53502C32" w14:textId="77777777" w:rsidTr="0053411E">
        <w:tc>
          <w:tcPr>
            <w:tcW w:w="1859" w:type="pct"/>
            <w:tcBorders>
              <w:top w:val="nil"/>
              <w:left w:val="nil"/>
              <w:bottom w:val="nil"/>
              <w:right w:val="nil"/>
            </w:tcBorders>
            <w:shd w:val="clear" w:color="000000" w:fill="FFFFFF"/>
            <w:vAlign w:val="center"/>
          </w:tcPr>
          <w:p w14:paraId="6A73A49A" w14:textId="77777777" w:rsidR="004E3548" w:rsidRPr="00D2435E" w:rsidRDefault="004E3548" w:rsidP="0053411E">
            <w:pPr>
              <w:rPr>
                <w:rFonts w:ascii="Arial" w:hAnsi="Arial" w:cs="Arial"/>
                <w:lang w:eastAsia="ja-JP"/>
              </w:rPr>
            </w:pPr>
            <w:r w:rsidRPr="00D2435E">
              <w:rPr>
                <w:rFonts w:ascii="Arial" w:hAnsi="Arial" w:cs="Arial"/>
                <w:lang w:eastAsia="ja-JP"/>
              </w:rPr>
              <w:t>Environmental Education training/s</w:t>
            </w:r>
          </w:p>
        </w:tc>
        <w:tc>
          <w:tcPr>
            <w:tcW w:w="1549" w:type="pct"/>
            <w:tcBorders>
              <w:top w:val="nil"/>
              <w:left w:val="nil"/>
              <w:bottom w:val="nil"/>
              <w:right w:val="nil"/>
            </w:tcBorders>
            <w:shd w:val="clear" w:color="000000" w:fill="auto"/>
            <w:vAlign w:val="center"/>
          </w:tcPr>
          <w:p w14:paraId="717E994F" w14:textId="77777777" w:rsidR="004E3548" w:rsidRPr="00D2435E" w:rsidRDefault="004E3548" w:rsidP="0053411E">
            <w:pPr>
              <w:jc w:val="center"/>
              <w:rPr>
                <w:rFonts w:ascii="Arial" w:hAnsi="Arial" w:cs="Arial"/>
                <w:lang w:eastAsia="ja-JP"/>
              </w:rPr>
            </w:pPr>
            <w:r w:rsidRPr="00D2435E">
              <w:rPr>
                <w:rFonts w:ascii="Arial" w:hAnsi="Arial" w:cs="Arial"/>
                <w:lang w:eastAsia="ja-JP"/>
              </w:rPr>
              <w:t>No</w:t>
            </w:r>
          </w:p>
        </w:tc>
        <w:tc>
          <w:tcPr>
            <w:tcW w:w="844" w:type="pct"/>
            <w:tcBorders>
              <w:top w:val="nil"/>
              <w:left w:val="nil"/>
              <w:bottom w:val="nil"/>
              <w:right w:val="nil"/>
            </w:tcBorders>
            <w:shd w:val="clear" w:color="000000" w:fill="FFFFFF"/>
            <w:vAlign w:val="center"/>
          </w:tcPr>
          <w:p w14:paraId="20CC6516" w14:textId="77777777" w:rsidR="004E3548" w:rsidRPr="00D2435E" w:rsidRDefault="004E3548" w:rsidP="0053411E">
            <w:pPr>
              <w:jc w:val="center"/>
              <w:rPr>
                <w:rFonts w:ascii="Arial" w:hAnsi="Arial" w:cs="Arial"/>
                <w:lang w:val="en-PH" w:eastAsia="ja-JP"/>
              </w:rPr>
            </w:pPr>
            <w:r w:rsidRPr="00D2435E">
              <w:rPr>
                <w:rFonts w:ascii="Arial" w:hAnsi="Arial" w:cs="Arial"/>
                <w:lang w:val="en-PH" w:eastAsia="ja-JP"/>
              </w:rPr>
              <w:t>36</w:t>
            </w:r>
          </w:p>
        </w:tc>
        <w:tc>
          <w:tcPr>
            <w:tcW w:w="747" w:type="pct"/>
            <w:tcBorders>
              <w:top w:val="nil"/>
              <w:left w:val="nil"/>
              <w:bottom w:val="nil"/>
              <w:right w:val="nil"/>
            </w:tcBorders>
            <w:shd w:val="clear" w:color="000000" w:fill="FFFFFF"/>
            <w:vAlign w:val="center"/>
          </w:tcPr>
          <w:p w14:paraId="5C4EBA5B" w14:textId="77777777" w:rsidR="004E3548" w:rsidRPr="00D2435E" w:rsidRDefault="004E3548" w:rsidP="0053411E">
            <w:pPr>
              <w:jc w:val="center"/>
              <w:rPr>
                <w:rFonts w:ascii="Arial" w:hAnsi="Arial" w:cs="Arial"/>
                <w:lang w:val="en-PH" w:eastAsia="ja-JP"/>
              </w:rPr>
            </w:pPr>
            <w:r w:rsidRPr="00D2435E">
              <w:rPr>
                <w:rFonts w:ascii="Arial" w:hAnsi="Arial" w:cs="Arial"/>
                <w:lang w:val="en-PH" w:eastAsia="ja-JP"/>
              </w:rPr>
              <w:t>42.4</w:t>
            </w:r>
          </w:p>
        </w:tc>
      </w:tr>
      <w:tr w:rsidR="004E3548" w:rsidRPr="00D2435E" w14:paraId="63EED85A" w14:textId="77777777" w:rsidTr="0053411E">
        <w:tc>
          <w:tcPr>
            <w:tcW w:w="1859" w:type="pct"/>
            <w:tcBorders>
              <w:top w:val="nil"/>
              <w:left w:val="nil"/>
              <w:bottom w:val="nil"/>
              <w:right w:val="nil"/>
            </w:tcBorders>
            <w:shd w:val="clear" w:color="000000" w:fill="FFFFFF"/>
            <w:vAlign w:val="center"/>
          </w:tcPr>
          <w:p w14:paraId="45BC4CA9" w14:textId="77777777" w:rsidR="004E3548" w:rsidRPr="00D2435E" w:rsidRDefault="004E3548" w:rsidP="0053411E">
            <w:pPr>
              <w:rPr>
                <w:rFonts w:ascii="Arial" w:hAnsi="Arial" w:cs="Arial"/>
                <w:lang w:val="en-PH" w:eastAsia="ja-JP"/>
              </w:rPr>
            </w:pPr>
          </w:p>
        </w:tc>
        <w:tc>
          <w:tcPr>
            <w:tcW w:w="1549" w:type="pct"/>
            <w:tcBorders>
              <w:top w:val="nil"/>
              <w:left w:val="nil"/>
              <w:bottom w:val="nil"/>
              <w:right w:val="nil"/>
            </w:tcBorders>
            <w:shd w:val="clear" w:color="000000" w:fill="auto"/>
            <w:vAlign w:val="center"/>
          </w:tcPr>
          <w:p w14:paraId="63D5C8B5" w14:textId="77777777" w:rsidR="004E3548" w:rsidRPr="00D2435E" w:rsidRDefault="004E3548" w:rsidP="0053411E">
            <w:pPr>
              <w:jc w:val="center"/>
              <w:rPr>
                <w:rFonts w:ascii="Arial" w:hAnsi="Arial" w:cs="Arial"/>
                <w:lang w:eastAsia="ja-JP"/>
              </w:rPr>
            </w:pPr>
            <w:r w:rsidRPr="00D2435E">
              <w:rPr>
                <w:rFonts w:ascii="Arial" w:hAnsi="Arial" w:cs="Arial"/>
                <w:lang w:eastAsia="ja-JP"/>
              </w:rPr>
              <w:t>Yes</w:t>
            </w:r>
          </w:p>
        </w:tc>
        <w:tc>
          <w:tcPr>
            <w:tcW w:w="844" w:type="pct"/>
            <w:tcBorders>
              <w:top w:val="nil"/>
              <w:left w:val="nil"/>
              <w:bottom w:val="nil"/>
              <w:right w:val="nil"/>
            </w:tcBorders>
            <w:shd w:val="clear" w:color="000000" w:fill="FFFFFF"/>
            <w:vAlign w:val="center"/>
          </w:tcPr>
          <w:p w14:paraId="1B81B560" w14:textId="77777777" w:rsidR="004E3548" w:rsidRPr="00D2435E" w:rsidRDefault="004E3548" w:rsidP="0053411E">
            <w:pPr>
              <w:jc w:val="center"/>
              <w:rPr>
                <w:rFonts w:ascii="Arial" w:hAnsi="Arial" w:cs="Arial"/>
                <w:lang w:val="en-PH" w:eastAsia="ja-JP"/>
              </w:rPr>
            </w:pPr>
            <w:r w:rsidRPr="00D2435E">
              <w:rPr>
                <w:rFonts w:ascii="Arial" w:hAnsi="Arial" w:cs="Arial"/>
                <w:lang w:val="en-PH" w:eastAsia="ja-JP"/>
              </w:rPr>
              <w:t>49</w:t>
            </w:r>
          </w:p>
        </w:tc>
        <w:tc>
          <w:tcPr>
            <w:tcW w:w="747" w:type="pct"/>
            <w:tcBorders>
              <w:top w:val="nil"/>
              <w:left w:val="nil"/>
              <w:bottom w:val="nil"/>
              <w:right w:val="nil"/>
            </w:tcBorders>
            <w:shd w:val="clear" w:color="000000" w:fill="FFFFFF"/>
            <w:vAlign w:val="center"/>
          </w:tcPr>
          <w:p w14:paraId="5A17F3BF" w14:textId="77777777" w:rsidR="004E3548" w:rsidRPr="00D2435E" w:rsidRDefault="004E3548" w:rsidP="0053411E">
            <w:pPr>
              <w:jc w:val="center"/>
              <w:rPr>
                <w:rFonts w:ascii="Arial" w:hAnsi="Arial" w:cs="Arial"/>
                <w:lang w:val="en-PH" w:eastAsia="ja-JP"/>
              </w:rPr>
            </w:pPr>
            <w:r w:rsidRPr="00D2435E">
              <w:rPr>
                <w:rFonts w:ascii="Arial" w:hAnsi="Arial" w:cs="Arial"/>
                <w:lang w:val="en-PH" w:eastAsia="ja-JP"/>
              </w:rPr>
              <w:t>57.6</w:t>
            </w:r>
          </w:p>
        </w:tc>
      </w:tr>
      <w:tr w:rsidR="004E3548" w:rsidRPr="00D2435E" w14:paraId="289AAA93" w14:textId="77777777" w:rsidTr="0053411E">
        <w:tc>
          <w:tcPr>
            <w:tcW w:w="1859" w:type="pct"/>
            <w:tcBorders>
              <w:top w:val="nil"/>
              <w:left w:val="nil"/>
              <w:bottom w:val="nil"/>
              <w:right w:val="nil"/>
            </w:tcBorders>
            <w:shd w:val="clear" w:color="000000" w:fill="FFFFFF"/>
            <w:vAlign w:val="center"/>
          </w:tcPr>
          <w:p w14:paraId="5CEED919" w14:textId="77777777" w:rsidR="004E3548" w:rsidRPr="00D2435E" w:rsidRDefault="004E3548" w:rsidP="0053411E">
            <w:pPr>
              <w:rPr>
                <w:rFonts w:ascii="Arial" w:hAnsi="Arial" w:cs="Arial"/>
                <w:lang w:val="en-PH" w:eastAsia="ja-JP"/>
              </w:rPr>
            </w:pPr>
          </w:p>
        </w:tc>
        <w:tc>
          <w:tcPr>
            <w:tcW w:w="1549" w:type="pct"/>
            <w:tcBorders>
              <w:top w:val="nil"/>
              <w:left w:val="nil"/>
              <w:bottom w:val="nil"/>
              <w:right w:val="nil"/>
            </w:tcBorders>
            <w:shd w:val="clear" w:color="000000" w:fill="auto"/>
            <w:vAlign w:val="center"/>
          </w:tcPr>
          <w:p w14:paraId="520B7D35" w14:textId="77777777" w:rsidR="004E3548" w:rsidRPr="00D2435E" w:rsidRDefault="004E3548" w:rsidP="0053411E">
            <w:pPr>
              <w:jc w:val="center"/>
              <w:rPr>
                <w:rFonts w:ascii="Arial" w:hAnsi="Arial" w:cs="Arial"/>
                <w:lang w:val="en-PH" w:eastAsia="ja-JP"/>
              </w:rPr>
            </w:pPr>
          </w:p>
        </w:tc>
        <w:tc>
          <w:tcPr>
            <w:tcW w:w="844" w:type="pct"/>
            <w:tcBorders>
              <w:top w:val="nil"/>
              <w:left w:val="nil"/>
              <w:bottom w:val="nil"/>
              <w:right w:val="nil"/>
            </w:tcBorders>
            <w:shd w:val="clear" w:color="000000" w:fill="FFFFFF"/>
            <w:vAlign w:val="center"/>
          </w:tcPr>
          <w:p w14:paraId="1DCF2E07" w14:textId="77777777" w:rsidR="004E3548" w:rsidRPr="00D2435E" w:rsidRDefault="004E3548" w:rsidP="0053411E">
            <w:pPr>
              <w:jc w:val="center"/>
              <w:rPr>
                <w:rFonts w:ascii="Arial" w:hAnsi="Arial" w:cs="Arial"/>
                <w:lang w:val="en-PH" w:eastAsia="ja-JP"/>
              </w:rPr>
            </w:pPr>
          </w:p>
        </w:tc>
        <w:tc>
          <w:tcPr>
            <w:tcW w:w="747" w:type="pct"/>
            <w:tcBorders>
              <w:top w:val="nil"/>
              <w:left w:val="nil"/>
              <w:bottom w:val="nil"/>
              <w:right w:val="nil"/>
            </w:tcBorders>
            <w:shd w:val="clear" w:color="000000" w:fill="FFFFFF"/>
            <w:vAlign w:val="center"/>
          </w:tcPr>
          <w:p w14:paraId="302578DE" w14:textId="77777777" w:rsidR="004E3548" w:rsidRPr="00D2435E" w:rsidRDefault="004E3548" w:rsidP="0053411E">
            <w:pPr>
              <w:jc w:val="center"/>
              <w:rPr>
                <w:rFonts w:ascii="Arial" w:hAnsi="Arial" w:cs="Arial"/>
                <w:lang w:val="en-PH" w:eastAsia="ja-JP"/>
              </w:rPr>
            </w:pPr>
          </w:p>
        </w:tc>
      </w:tr>
      <w:tr w:rsidR="004E3548" w:rsidRPr="00D2435E" w14:paraId="610D249A" w14:textId="77777777" w:rsidTr="0053411E">
        <w:trPr>
          <w:cantSplit/>
          <w:trHeight w:val="322"/>
        </w:trPr>
        <w:tc>
          <w:tcPr>
            <w:tcW w:w="1859" w:type="pct"/>
            <w:tcBorders>
              <w:top w:val="nil"/>
              <w:left w:val="nil"/>
              <w:bottom w:val="nil"/>
              <w:right w:val="nil"/>
            </w:tcBorders>
            <w:shd w:val="clear" w:color="000000" w:fill="FFFFFF"/>
            <w:vAlign w:val="center"/>
          </w:tcPr>
          <w:p w14:paraId="508E9FA5" w14:textId="77777777" w:rsidR="004E3548" w:rsidRPr="00D2435E" w:rsidRDefault="004E3548" w:rsidP="0053411E">
            <w:pPr>
              <w:rPr>
                <w:rFonts w:ascii="Arial" w:hAnsi="Arial" w:cs="Arial"/>
                <w:lang w:val="en-PH" w:eastAsia="ja-JP"/>
              </w:rPr>
            </w:pPr>
            <w:r w:rsidRPr="00D2435E">
              <w:rPr>
                <w:rFonts w:ascii="Arial" w:hAnsi="Arial" w:cs="Arial"/>
                <w:lang w:eastAsia="ja-JP"/>
              </w:rPr>
              <w:t>Grade Level</w:t>
            </w:r>
          </w:p>
        </w:tc>
        <w:tc>
          <w:tcPr>
            <w:tcW w:w="1549" w:type="pct"/>
            <w:tcBorders>
              <w:top w:val="nil"/>
              <w:left w:val="nil"/>
              <w:bottom w:val="nil"/>
              <w:right w:val="nil"/>
            </w:tcBorders>
            <w:shd w:val="clear" w:color="000000" w:fill="auto"/>
            <w:vAlign w:val="center"/>
          </w:tcPr>
          <w:p w14:paraId="0A8F5968" w14:textId="77777777" w:rsidR="004E3548" w:rsidRPr="00D2435E" w:rsidRDefault="004E3548" w:rsidP="0053411E">
            <w:pPr>
              <w:jc w:val="center"/>
              <w:rPr>
                <w:rFonts w:ascii="Arial" w:hAnsi="Arial" w:cs="Arial"/>
                <w:lang w:val="en-PH" w:eastAsia="ja-JP"/>
              </w:rPr>
            </w:pPr>
            <w:r w:rsidRPr="00D2435E">
              <w:rPr>
                <w:rFonts w:ascii="Arial" w:hAnsi="Arial" w:cs="Arial"/>
                <w:lang w:val="en-PH" w:eastAsia="ja-JP"/>
              </w:rPr>
              <w:t>4</w:t>
            </w:r>
          </w:p>
        </w:tc>
        <w:tc>
          <w:tcPr>
            <w:tcW w:w="844" w:type="pct"/>
            <w:tcBorders>
              <w:top w:val="nil"/>
              <w:left w:val="nil"/>
              <w:bottom w:val="nil"/>
              <w:right w:val="nil"/>
            </w:tcBorders>
            <w:shd w:val="clear" w:color="000000" w:fill="FFFFFF"/>
            <w:vAlign w:val="center"/>
          </w:tcPr>
          <w:p w14:paraId="3865A3CD" w14:textId="77777777" w:rsidR="004E3548" w:rsidRPr="00D2435E" w:rsidRDefault="004E3548" w:rsidP="0053411E">
            <w:pPr>
              <w:jc w:val="center"/>
              <w:rPr>
                <w:rFonts w:ascii="Arial" w:hAnsi="Arial" w:cs="Arial"/>
                <w:lang w:val="en-PH" w:eastAsia="ja-JP"/>
              </w:rPr>
            </w:pPr>
            <w:r w:rsidRPr="00D2435E">
              <w:rPr>
                <w:rFonts w:ascii="Arial" w:hAnsi="Arial" w:cs="Arial"/>
                <w:lang w:val="en-PH" w:eastAsia="ja-JP"/>
              </w:rPr>
              <w:t>31</w:t>
            </w:r>
          </w:p>
        </w:tc>
        <w:tc>
          <w:tcPr>
            <w:tcW w:w="747" w:type="pct"/>
            <w:tcBorders>
              <w:top w:val="nil"/>
              <w:left w:val="nil"/>
              <w:bottom w:val="nil"/>
              <w:right w:val="nil"/>
            </w:tcBorders>
            <w:shd w:val="clear" w:color="000000" w:fill="FFFFFF"/>
            <w:vAlign w:val="center"/>
          </w:tcPr>
          <w:p w14:paraId="2E49D214" w14:textId="77777777" w:rsidR="004E3548" w:rsidRPr="00D2435E" w:rsidRDefault="004E3548" w:rsidP="0053411E">
            <w:pPr>
              <w:jc w:val="center"/>
              <w:rPr>
                <w:rFonts w:ascii="Arial" w:hAnsi="Arial" w:cs="Arial"/>
                <w:lang w:val="en-PH" w:eastAsia="ja-JP"/>
              </w:rPr>
            </w:pPr>
            <w:r w:rsidRPr="00D2435E">
              <w:rPr>
                <w:rFonts w:ascii="Arial" w:hAnsi="Arial" w:cs="Arial"/>
                <w:lang w:val="en-PH" w:eastAsia="ja-JP"/>
              </w:rPr>
              <w:t>36.5</w:t>
            </w:r>
          </w:p>
        </w:tc>
      </w:tr>
      <w:tr w:rsidR="004E3548" w:rsidRPr="00D2435E" w14:paraId="3BA48334" w14:textId="77777777" w:rsidTr="0053411E">
        <w:tc>
          <w:tcPr>
            <w:tcW w:w="1859" w:type="pct"/>
            <w:tcBorders>
              <w:top w:val="nil"/>
              <w:left w:val="nil"/>
              <w:bottom w:val="nil"/>
              <w:right w:val="nil"/>
            </w:tcBorders>
            <w:shd w:val="clear" w:color="000000" w:fill="FFFFFF"/>
            <w:vAlign w:val="center"/>
          </w:tcPr>
          <w:p w14:paraId="504211E5" w14:textId="77777777" w:rsidR="004E3548" w:rsidRPr="00D2435E" w:rsidRDefault="004E3548" w:rsidP="0053411E">
            <w:pPr>
              <w:rPr>
                <w:rFonts w:ascii="Arial" w:hAnsi="Arial" w:cs="Arial"/>
                <w:lang w:val="en-PH" w:eastAsia="ja-JP"/>
              </w:rPr>
            </w:pPr>
          </w:p>
        </w:tc>
        <w:tc>
          <w:tcPr>
            <w:tcW w:w="1549" w:type="pct"/>
            <w:tcBorders>
              <w:top w:val="nil"/>
              <w:left w:val="nil"/>
              <w:bottom w:val="nil"/>
              <w:right w:val="nil"/>
            </w:tcBorders>
            <w:shd w:val="clear" w:color="000000" w:fill="auto"/>
            <w:vAlign w:val="center"/>
          </w:tcPr>
          <w:p w14:paraId="11B551E4" w14:textId="77777777" w:rsidR="004E3548" w:rsidRPr="00D2435E" w:rsidRDefault="004E3548" w:rsidP="0053411E">
            <w:pPr>
              <w:jc w:val="center"/>
              <w:rPr>
                <w:rFonts w:ascii="Arial" w:hAnsi="Arial" w:cs="Arial"/>
                <w:lang w:val="en-PH" w:eastAsia="ja-JP"/>
              </w:rPr>
            </w:pPr>
            <w:r w:rsidRPr="00D2435E">
              <w:rPr>
                <w:rFonts w:ascii="Arial" w:hAnsi="Arial" w:cs="Arial"/>
                <w:lang w:val="en-PH" w:eastAsia="ja-JP"/>
              </w:rPr>
              <w:t>5</w:t>
            </w:r>
          </w:p>
        </w:tc>
        <w:tc>
          <w:tcPr>
            <w:tcW w:w="844" w:type="pct"/>
            <w:tcBorders>
              <w:top w:val="nil"/>
              <w:left w:val="nil"/>
              <w:bottom w:val="nil"/>
              <w:right w:val="nil"/>
            </w:tcBorders>
            <w:shd w:val="clear" w:color="000000" w:fill="FFFFFF"/>
            <w:vAlign w:val="center"/>
          </w:tcPr>
          <w:p w14:paraId="7413472E" w14:textId="77777777" w:rsidR="004E3548" w:rsidRPr="00D2435E" w:rsidRDefault="004E3548" w:rsidP="0053411E">
            <w:pPr>
              <w:jc w:val="center"/>
              <w:rPr>
                <w:rFonts w:ascii="Arial" w:hAnsi="Arial" w:cs="Arial"/>
                <w:lang w:val="en-PH" w:eastAsia="ja-JP"/>
              </w:rPr>
            </w:pPr>
            <w:r w:rsidRPr="00D2435E">
              <w:rPr>
                <w:rFonts w:ascii="Arial" w:hAnsi="Arial" w:cs="Arial"/>
                <w:lang w:val="en-PH" w:eastAsia="ja-JP"/>
              </w:rPr>
              <w:t>31</w:t>
            </w:r>
          </w:p>
        </w:tc>
        <w:tc>
          <w:tcPr>
            <w:tcW w:w="747" w:type="pct"/>
            <w:tcBorders>
              <w:top w:val="nil"/>
              <w:left w:val="nil"/>
              <w:bottom w:val="nil"/>
              <w:right w:val="nil"/>
            </w:tcBorders>
            <w:shd w:val="clear" w:color="000000" w:fill="FFFFFF"/>
            <w:vAlign w:val="center"/>
          </w:tcPr>
          <w:p w14:paraId="229EA81F" w14:textId="77777777" w:rsidR="004E3548" w:rsidRPr="00D2435E" w:rsidRDefault="004E3548" w:rsidP="0053411E">
            <w:pPr>
              <w:jc w:val="center"/>
              <w:rPr>
                <w:rFonts w:ascii="Arial" w:hAnsi="Arial" w:cs="Arial"/>
                <w:lang w:val="en-PH" w:eastAsia="ja-JP"/>
              </w:rPr>
            </w:pPr>
            <w:r w:rsidRPr="00D2435E">
              <w:rPr>
                <w:rFonts w:ascii="Arial" w:hAnsi="Arial" w:cs="Arial"/>
                <w:lang w:val="en-PH" w:eastAsia="ja-JP"/>
              </w:rPr>
              <w:t>36.5</w:t>
            </w:r>
          </w:p>
        </w:tc>
      </w:tr>
      <w:tr w:rsidR="004E3548" w:rsidRPr="00D2435E" w14:paraId="20CA8904" w14:textId="77777777" w:rsidTr="0053411E">
        <w:trPr>
          <w:trHeight w:val="135"/>
        </w:trPr>
        <w:tc>
          <w:tcPr>
            <w:tcW w:w="1859" w:type="pct"/>
            <w:tcBorders>
              <w:top w:val="nil"/>
              <w:left w:val="nil"/>
              <w:bottom w:val="single" w:sz="4" w:space="0" w:color="auto"/>
              <w:right w:val="nil"/>
            </w:tcBorders>
            <w:shd w:val="clear" w:color="000000" w:fill="FFFFFF"/>
            <w:vAlign w:val="center"/>
          </w:tcPr>
          <w:p w14:paraId="314A48D8" w14:textId="77777777" w:rsidR="004E3548" w:rsidRPr="00D2435E" w:rsidRDefault="004E3548" w:rsidP="0053411E">
            <w:pPr>
              <w:rPr>
                <w:rFonts w:ascii="Arial" w:hAnsi="Arial" w:cs="Arial"/>
                <w:lang w:val="en-PH" w:eastAsia="ja-JP"/>
              </w:rPr>
            </w:pPr>
          </w:p>
        </w:tc>
        <w:tc>
          <w:tcPr>
            <w:tcW w:w="1549" w:type="pct"/>
            <w:tcBorders>
              <w:top w:val="nil"/>
              <w:left w:val="nil"/>
              <w:bottom w:val="single" w:sz="4" w:space="0" w:color="auto"/>
              <w:right w:val="nil"/>
            </w:tcBorders>
            <w:shd w:val="clear" w:color="000000" w:fill="auto"/>
            <w:vAlign w:val="center"/>
          </w:tcPr>
          <w:p w14:paraId="09D94FFA" w14:textId="77777777" w:rsidR="004E3548" w:rsidRPr="00D2435E" w:rsidRDefault="004E3548" w:rsidP="0053411E">
            <w:pPr>
              <w:jc w:val="center"/>
              <w:rPr>
                <w:rFonts w:ascii="Arial" w:hAnsi="Arial" w:cs="Arial"/>
                <w:lang w:val="en-PH" w:eastAsia="ja-JP"/>
              </w:rPr>
            </w:pPr>
            <w:r w:rsidRPr="00D2435E">
              <w:rPr>
                <w:rFonts w:ascii="Arial" w:hAnsi="Arial" w:cs="Arial"/>
                <w:lang w:val="en-PH" w:eastAsia="ja-JP"/>
              </w:rPr>
              <w:t>6</w:t>
            </w:r>
          </w:p>
        </w:tc>
        <w:tc>
          <w:tcPr>
            <w:tcW w:w="844" w:type="pct"/>
            <w:tcBorders>
              <w:top w:val="nil"/>
              <w:left w:val="nil"/>
              <w:bottom w:val="single" w:sz="4" w:space="0" w:color="auto"/>
              <w:right w:val="nil"/>
            </w:tcBorders>
            <w:shd w:val="clear" w:color="000000" w:fill="FFFFFF"/>
            <w:vAlign w:val="center"/>
          </w:tcPr>
          <w:p w14:paraId="70DDE490" w14:textId="77777777" w:rsidR="004E3548" w:rsidRPr="00D2435E" w:rsidRDefault="004E3548" w:rsidP="0053411E">
            <w:pPr>
              <w:jc w:val="center"/>
              <w:rPr>
                <w:rFonts w:ascii="Arial" w:hAnsi="Arial" w:cs="Arial"/>
                <w:lang w:val="en-PH" w:eastAsia="ja-JP"/>
              </w:rPr>
            </w:pPr>
            <w:r w:rsidRPr="00D2435E">
              <w:rPr>
                <w:rFonts w:ascii="Arial" w:hAnsi="Arial" w:cs="Arial"/>
                <w:lang w:val="en-PH" w:eastAsia="ja-JP"/>
              </w:rPr>
              <w:t>23</w:t>
            </w:r>
          </w:p>
        </w:tc>
        <w:tc>
          <w:tcPr>
            <w:tcW w:w="747" w:type="pct"/>
            <w:tcBorders>
              <w:top w:val="nil"/>
              <w:left w:val="nil"/>
              <w:bottom w:val="single" w:sz="4" w:space="0" w:color="auto"/>
              <w:right w:val="nil"/>
            </w:tcBorders>
            <w:shd w:val="clear" w:color="000000" w:fill="FFFFFF"/>
            <w:vAlign w:val="center"/>
          </w:tcPr>
          <w:p w14:paraId="0B9651BD" w14:textId="77777777" w:rsidR="004E3548" w:rsidRPr="00D2435E" w:rsidRDefault="004E3548" w:rsidP="0053411E">
            <w:pPr>
              <w:jc w:val="center"/>
              <w:rPr>
                <w:rFonts w:ascii="Arial" w:hAnsi="Arial" w:cs="Arial"/>
                <w:lang w:val="en-PH" w:eastAsia="ja-JP"/>
              </w:rPr>
            </w:pPr>
            <w:r w:rsidRPr="00D2435E">
              <w:rPr>
                <w:rFonts w:ascii="Arial" w:hAnsi="Arial" w:cs="Arial"/>
                <w:lang w:val="en-PH" w:eastAsia="ja-JP"/>
              </w:rPr>
              <w:t>27.1</w:t>
            </w:r>
          </w:p>
        </w:tc>
      </w:tr>
    </w:tbl>
    <w:p w14:paraId="4D11DF20" w14:textId="77777777" w:rsidR="004E3548" w:rsidRDefault="004E3548" w:rsidP="00441B6F">
      <w:pPr>
        <w:pStyle w:val="Body"/>
        <w:spacing w:after="0"/>
        <w:rPr>
          <w:rFonts w:ascii="Arial" w:hAnsi="Arial" w:cs="Arial"/>
        </w:rPr>
      </w:pPr>
    </w:p>
    <w:p w14:paraId="4ECF041A" w14:textId="77777777" w:rsidR="00ED7685" w:rsidRPr="00ED7685" w:rsidRDefault="00ED7685" w:rsidP="0068607C">
      <w:pPr>
        <w:jc w:val="both"/>
        <w:rPr>
          <w:rFonts w:ascii="Arial" w:hAnsi="Arial" w:cs="Arial"/>
        </w:rPr>
      </w:pPr>
      <w:r w:rsidRPr="00ED7685">
        <w:rPr>
          <w:rFonts w:ascii="Arial" w:hAnsi="Arial" w:cs="Arial"/>
        </w:rPr>
        <w:t>Selecting respondents from public schools ensures a broad and representative sample of teachers within the local educational system (Svensson et al., 2022). It is essential to collect demographic information from participants, including gender, age, total years of teaching experience, environmental education training, and the academic level they instruct. The sample consisted of 85 individuals, comprising 85.9% female and 14.1% male teachers. Among the respondents, 40% were over 45 years old, 18.8% were aged 26 to 30, and a further 41% were aged 41 to 45. Additionally, 10.6% were between 31 and 35 years old, and 1.2% were aged 23 to 25. In terms of teaching experience, 22.4% had taught for 6 to 10 years, 18.8% for 16 to 20 years, 15.3% for 1 to 5 years, and 11.8% for 21 to 25 years. Notably, 42.4% reported having no education or training in environmental education, while 57.6% acknowledged having received such education or training. Furthermore, 36.5% taught grades 4 and 5, while 27.1% taught grade 6.</w:t>
      </w:r>
    </w:p>
    <w:p w14:paraId="4914A99D" w14:textId="77777777" w:rsidR="004E3548" w:rsidRPr="00502516" w:rsidRDefault="004E3548" w:rsidP="00441B6F">
      <w:pPr>
        <w:pStyle w:val="Body"/>
        <w:spacing w:after="0"/>
        <w:rPr>
          <w:rFonts w:ascii="Arial" w:hAnsi="Arial" w:cs="Arial"/>
        </w:rPr>
      </w:pPr>
    </w:p>
    <w:p w14:paraId="09EE45D6" w14:textId="56AE0B6B" w:rsidR="004E3548" w:rsidRPr="00D2435E" w:rsidRDefault="004E3548" w:rsidP="004E3548">
      <w:pPr>
        <w:rPr>
          <w:rFonts w:ascii="Arial" w:eastAsia="Arial" w:hAnsi="Arial" w:cs="Arial"/>
          <w:b/>
        </w:rPr>
      </w:pPr>
      <w:r w:rsidRPr="00D2435E">
        <w:rPr>
          <w:rFonts w:ascii="Arial" w:eastAsia="Arial" w:hAnsi="Arial" w:cs="Arial"/>
          <w:b/>
        </w:rPr>
        <w:t>2.2 Instruments</w:t>
      </w:r>
    </w:p>
    <w:p w14:paraId="2B78C4EA" w14:textId="77777777" w:rsidR="004E3548" w:rsidRPr="00D2435E" w:rsidRDefault="004E3548" w:rsidP="004E3548">
      <w:pPr>
        <w:rPr>
          <w:rFonts w:ascii="Arial" w:eastAsia="Arial" w:hAnsi="Arial" w:cs="Arial"/>
          <w:b/>
        </w:rPr>
      </w:pPr>
    </w:p>
    <w:p w14:paraId="14F9DCD1" w14:textId="0FE8E1EE" w:rsidR="004E3548" w:rsidRDefault="004E3548" w:rsidP="0068607C">
      <w:pPr>
        <w:jc w:val="both"/>
        <w:rPr>
          <w:rFonts w:ascii="Arial" w:eastAsia="Tahoma" w:hAnsi="Arial" w:cs="Arial"/>
        </w:rPr>
      </w:pPr>
      <w:r w:rsidRPr="00D2435E">
        <w:rPr>
          <w:rFonts w:ascii="Arial" w:eastAsia="Arial" w:hAnsi="Arial" w:cs="Arial"/>
        </w:rPr>
        <w:t>The research instrument used in the study was a survey questionnaire. The researcher-adopted instrument consisted of 3 parts: Part One was used to gather the following information about the respondent: Gender, Length of Service, Training, and Subject Taught. Part (2) Teacher's Practices and two variables comprised 22 items. Next was Environmental Literacy, with two variables composed of 10 items. The researchers seek relevant research questions that are aligned with the topic of the research.</w:t>
      </w:r>
      <w:r w:rsidRPr="00D2435E">
        <w:rPr>
          <w:rFonts w:ascii="Arial" w:eastAsia="Tahoma" w:hAnsi="Arial" w:cs="Arial"/>
        </w:rPr>
        <w:t xml:space="preserve"> It was interpreted with the qualitative description: </w:t>
      </w:r>
    </w:p>
    <w:p w14:paraId="42D6A199" w14:textId="77777777" w:rsidR="00B86655" w:rsidRDefault="00B86655" w:rsidP="0068607C">
      <w:pPr>
        <w:jc w:val="both"/>
        <w:rPr>
          <w:rFonts w:ascii="Arial" w:eastAsia="Tahoma" w:hAnsi="Arial" w:cs="Arial"/>
        </w:rPr>
      </w:pPr>
    </w:p>
    <w:p w14:paraId="527292A6" w14:textId="77777777" w:rsidR="00B86655" w:rsidRDefault="00B86655" w:rsidP="0068607C">
      <w:pPr>
        <w:jc w:val="both"/>
        <w:rPr>
          <w:rFonts w:ascii="Arial" w:eastAsia="Tahoma" w:hAnsi="Arial" w:cs="Arial"/>
        </w:rPr>
      </w:pPr>
    </w:p>
    <w:p w14:paraId="20EA325E" w14:textId="44A02E25" w:rsidR="004E3548" w:rsidRPr="00D2435E" w:rsidRDefault="004E3548" w:rsidP="004E3548">
      <w:pPr>
        <w:rPr>
          <w:rFonts w:ascii="Arial" w:hAnsi="Arial" w:cs="Arial"/>
          <w:b/>
        </w:rPr>
      </w:pPr>
      <w:r w:rsidRPr="00D2435E">
        <w:rPr>
          <w:rFonts w:ascii="Arial" w:eastAsia="Tahoma" w:hAnsi="Arial" w:cs="Arial"/>
          <w:b/>
        </w:rPr>
        <w:t xml:space="preserve">Table 2. </w:t>
      </w:r>
      <w:r w:rsidRPr="00D2435E">
        <w:rPr>
          <w:rFonts w:ascii="Arial" w:hAnsi="Arial" w:cs="Arial"/>
          <w:b/>
        </w:rPr>
        <w:t>Qualitative description of the ratings in the teacher's level of environmental education teaching practices.</w:t>
      </w:r>
    </w:p>
    <w:p w14:paraId="7729B4ED" w14:textId="77777777" w:rsidR="00D2435E" w:rsidRDefault="00D2435E" w:rsidP="004E3548">
      <w:pPr>
        <w:rPr>
          <w:rFonts w:eastAsia="Tahoma"/>
        </w:rPr>
      </w:pPr>
    </w:p>
    <w:tbl>
      <w:tblPr>
        <w:tblStyle w:val="Table1"/>
        <w:tblW w:w="0" w:type="auto"/>
        <w:jc w:val="center"/>
        <w:tblBorders>
          <w:top w:val="single" w:sz="4" w:space="0" w:color="000000"/>
          <w:bottom w:val="single" w:sz="4" w:space="0" w:color="000000"/>
        </w:tblBorders>
        <w:tblLayout w:type="fixed"/>
        <w:tblLook w:val="04A0" w:firstRow="1" w:lastRow="0" w:firstColumn="1" w:lastColumn="0" w:noHBand="0" w:noVBand="1"/>
      </w:tblPr>
      <w:tblGrid>
        <w:gridCol w:w="946"/>
        <w:gridCol w:w="1478"/>
        <w:gridCol w:w="1585"/>
        <w:gridCol w:w="4184"/>
      </w:tblGrid>
      <w:tr w:rsidR="004E3548" w:rsidRPr="00D2435E" w14:paraId="58FFE1A7" w14:textId="77777777" w:rsidTr="0053411E">
        <w:trPr>
          <w:jc w:val="center"/>
        </w:trPr>
        <w:tc>
          <w:tcPr>
            <w:tcW w:w="946" w:type="dxa"/>
            <w:tcBorders>
              <w:top w:val="single" w:sz="8" w:space="0" w:color="000000"/>
              <w:bottom w:val="single" w:sz="4" w:space="0" w:color="auto"/>
            </w:tcBorders>
            <w:shd w:val="clear" w:color="auto" w:fill="FFFFFF"/>
            <w:vAlign w:val="center"/>
          </w:tcPr>
          <w:p w14:paraId="378DD8F8" w14:textId="77777777" w:rsidR="004E3548" w:rsidRPr="00D2435E" w:rsidRDefault="004E3548" w:rsidP="0053411E">
            <w:pPr>
              <w:jc w:val="center"/>
              <w:rPr>
                <w:rFonts w:ascii="Arial" w:eastAsia="Arial" w:hAnsi="Arial" w:cs="Arial"/>
                <w:b/>
              </w:rPr>
            </w:pPr>
            <w:r w:rsidRPr="00D2435E">
              <w:rPr>
                <w:rFonts w:ascii="Arial" w:eastAsia="Arial" w:hAnsi="Arial" w:cs="Arial"/>
                <w:b/>
              </w:rPr>
              <w:t>Scale</w:t>
            </w:r>
          </w:p>
        </w:tc>
        <w:tc>
          <w:tcPr>
            <w:tcW w:w="1478" w:type="dxa"/>
            <w:tcBorders>
              <w:top w:val="single" w:sz="8" w:space="0" w:color="000000"/>
              <w:bottom w:val="single" w:sz="4" w:space="0" w:color="auto"/>
            </w:tcBorders>
            <w:shd w:val="clear" w:color="auto" w:fill="FFFFFF"/>
            <w:vAlign w:val="center"/>
          </w:tcPr>
          <w:p w14:paraId="57C96694" w14:textId="77777777" w:rsidR="004E3548" w:rsidRPr="00D2435E" w:rsidRDefault="004E3548" w:rsidP="0053411E">
            <w:pPr>
              <w:jc w:val="center"/>
              <w:rPr>
                <w:rFonts w:ascii="Arial" w:eastAsia="Arial" w:hAnsi="Arial" w:cs="Arial"/>
                <w:b/>
              </w:rPr>
            </w:pPr>
            <w:r w:rsidRPr="00D2435E">
              <w:rPr>
                <w:rFonts w:ascii="Arial" w:eastAsia="Arial" w:hAnsi="Arial" w:cs="Arial"/>
                <w:b/>
              </w:rPr>
              <w:t xml:space="preserve">Range </w:t>
            </w:r>
          </w:p>
          <w:p w14:paraId="6471165A" w14:textId="77777777" w:rsidR="004E3548" w:rsidRPr="00D2435E" w:rsidRDefault="004E3548" w:rsidP="0053411E">
            <w:pPr>
              <w:jc w:val="center"/>
              <w:rPr>
                <w:rFonts w:ascii="Arial" w:eastAsia="Arial" w:hAnsi="Arial" w:cs="Arial"/>
                <w:b/>
              </w:rPr>
            </w:pPr>
            <w:r w:rsidRPr="00D2435E">
              <w:rPr>
                <w:rFonts w:ascii="Arial" w:eastAsia="Arial" w:hAnsi="Arial" w:cs="Arial"/>
                <w:b/>
              </w:rPr>
              <w:t>of Means</w:t>
            </w:r>
          </w:p>
        </w:tc>
        <w:tc>
          <w:tcPr>
            <w:tcW w:w="1585" w:type="dxa"/>
            <w:tcBorders>
              <w:top w:val="single" w:sz="8" w:space="0" w:color="000000"/>
              <w:bottom w:val="single" w:sz="4" w:space="0" w:color="auto"/>
            </w:tcBorders>
            <w:shd w:val="clear" w:color="auto" w:fill="FFFFFF"/>
            <w:vAlign w:val="center"/>
          </w:tcPr>
          <w:p w14:paraId="61736BAF" w14:textId="77777777" w:rsidR="004E3548" w:rsidRPr="00D2435E" w:rsidRDefault="004E3548" w:rsidP="0053411E">
            <w:pPr>
              <w:jc w:val="center"/>
              <w:rPr>
                <w:rFonts w:ascii="Arial" w:eastAsia="Arial" w:hAnsi="Arial" w:cs="Arial"/>
                <w:b/>
              </w:rPr>
            </w:pPr>
            <w:r w:rsidRPr="00D2435E">
              <w:rPr>
                <w:rFonts w:ascii="Arial" w:eastAsia="Arial" w:hAnsi="Arial" w:cs="Arial"/>
                <w:b/>
              </w:rPr>
              <w:t>Descriptive Level</w:t>
            </w:r>
          </w:p>
        </w:tc>
        <w:tc>
          <w:tcPr>
            <w:tcW w:w="4184" w:type="dxa"/>
            <w:tcBorders>
              <w:top w:val="single" w:sz="8" w:space="0" w:color="000000"/>
              <w:bottom w:val="single" w:sz="4" w:space="0" w:color="auto"/>
            </w:tcBorders>
            <w:shd w:val="clear" w:color="auto" w:fill="FFFFFF"/>
            <w:vAlign w:val="center"/>
          </w:tcPr>
          <w:p w14:paraId="23F7157B" w14:textId="77777777" w:rsidR="004E3548" w:rsidRPr="00D2435E" w:rsidRDefault="004E3548" w:rsidP="0053411E">
            <w:pPr>
              <w:jc w:val="center"/>
              <w:rPr>
                <w:rFonts w:ascii="Arial" w:eastAsia="Arial" w:hAnsi="Arial" w:cs="Arial"/>
                <w:b/>
              </w:rPr>
            </w:pPr>
            <w:r w:rsidRPr="00D2435E">
              <w:rPr>
                <w:rFonts w:ascii="Arial" w:eastAsia="Arial" w:hAnsi="Arial" w:cs="Arial"/>
                <w:b/>
              </w:rPr>
              <w:t>Interpretation</w:t>
            </w:r>
          </w:p>
        </w:tc>
      </w:tr>
      <w:tr w:rsidR="004E3548" w:rsidRPr="00D2435E" w14:paraId="3EE81CE2" w14:textId="77777777" w:rsidTr="0053411E">
        <w:trPr>
          <w:jc w:val="center"/>
        </w:trPr>
        <w:tc>
          <w:tcPr>
            <w:tcW w:w="946" w:type="dxa"/>
            <w:tcBorders>
              <w:top w:val="single" w:sz="4" w:space="0" w:color="auto"/>
            </w:tcBorders>
            <w:shd w:val="clear" w:color="auto" w:fill="FFFFFF"/>
            <w:vAlign w:val="center"/>
          </w:tcPr>
          <w:p w14:paraId="6B80B8EE" w14:textId="77777777" w:rsidR="004E3548" w:rsidRPr="00D2435E" w:rsidRDefault="004E3548" w:rsidP="0053411E">
            <w:pPr>
              <w:jc w:val="center"/>
              <w:rPr>
                <w:rFonts w:ascii="Arial" w:eastAsia="Arial" w:hAnsi="Arial" w:cs="Arial"/>
              </w:rPr>
            </w:pPr>
            <w:r w:rsidRPr="00D2435E">
              <w:rPr>
                <w:rFonts w:ascii="Arial" w:eastAsia="Arial" w:hAnsi="Arial" w:cs="Arial"/>
              </w:rPr>
              <w:lastRenderedPageBreak/>
              <w:t>5</w:t>
            </w:r>
          </w:p>
        </w:tc>
        <w:tc>
          <w:tcPr>
            <w:tcW w:w="1478" w:type="dxa"/>
            <w:tcBorders>
              <w:top w:val="single" w:sz="4" w:space="0" w:color="auto"/>
            </w:tcBorders>
            <w:shd w:val="clear" w:color="auto" w:fill="FFFFFF"/>
            <w:vAlign w:val="center"/>
          </w:tcPr>
          <w:p w14:paraId="44436691" w14:textId="77777777" w:rsidR="004E3548" w:rsidRPr="00D2435E" w:rsidRDefault="004E3548" w:rsidP="0053411E">
            <w:pPr>
              <w:jc w:val="center"/>
              <w:rPr>
                <w:rFonts w:ascii="Arial" w:eastAsia="Arial" w:hAnsi="Arial" w:cs="Arial"/>
              </w:rPr>
            </w:pPr>
            <w:r w:rsidRPr="00D2435E">
              <w:rPr>
                <w:rFonts w:ascii="Arial" w:eastAsia="Arial" w:hAnsi="Arial" w:cs="Arial"/>
              </w:rPr>
              <w:t>4.20-5.00</w:t>
            </w:r>
          </w:p>
        </w:tc>
        <w:tc>
          <w:tcPr>
            <w:tcW w:w="1585" w:type="dxa"/>
            <w:tcBorders>
              <w:top w:val="single" w:sz="4" w:space="0" w:color="auto"/>
            </w:tcBorders>
            <w:shd w:val="clear" w:color="auto" w:fill="FFFFFF"/>
            <w:vAlign w:val="center"/>
          </w:tcPr>
          <w:p w14:paraId="68C295ED" w14:textId="77777777" w:rsidR="004E3548" w:rsidRPr="00D2435E" w:rsidRDefault="004E3548" w:rsidP="0053411E">
            <w:pPr>
              <w:jc w:val="center"/>
              <w:rPr>
                <w:rFonts w:ascii="Arial" w:eastAsia="Arial" w:hAnsi="Arial" w:cs="Arial"/>
              </w:rPr>
            </w:pPr>
            <w:r w:rsidRPr="00D2435E">
              <w:rPr>
                <w:rFonts w:ascii="Arial" w:eastAsia="Arial" w:hAnsi="Arial" w:cs="Arial"/>
              </w:rPr>
              <w:t>Very high</w:t>
            </w:r>
          </w:p>
        </w:tc>
        <w:tc>
          <w:tcPr>
            <w:tcW w:w="4184" w:type="dxa"/>
            <w:tcBorders>
              <w:top w:val="single" w:sz="4" w:space="0" w:color="auto"/>
            </w:tcBorders>
            <w:shd w:val="clear" w:color="auto" w:fill="FFFFFF"/>
            <w:vAlign w:val="center"/>
          </w:tcPr>
          <w:p w14:paraId="0BFE895B" w14:textId="77777777" w:rsidR="004E3548" w:rsidRPr="00D2435E" w:rsidRDefault="004E3548" w:rsidP="0053411E">
            <w:pPr>
              <w:rPr>
                <w:rFonts w:ascii="Arial" w:eastAsia="Arial" w:hAnsi="Arial" w:cs="Arial"/>
              </w:rPr>
            </w:pPr>
            <w:r w:rsidRPr="00D2435E">
              <w:rPr>
                <w:rFonts w:ascii="Arial" w:eastAsia="Arial" w:hAnsi="Arial" w:cs="Arial"/>
              </w:rPr>
              <w:t>The expected level of competence described in the indicators is highly demonstrated.</w:t>
            </w:r>
          </w:p>
        </w:tc>
      </w:tr>
      <w:tr w:rsidR="004E3548" w:rsidRPr="00D2435E" w14:paraId="25C4C328" w14:textId="77777777" w:rsidTr="0053411E">
        <w:trPr>
          <w:trHeight w:val="589"/>
          <w:jc w:val="center"/>
        </w:trPr>
        <w:tc>
          <w:tcPr>
            <w:tcW w:w="946" w:type="dxa"/>
            <w:shd w:val="clear" w:color="auto" w:fill="FFFFFF"/>
            <w:vAlign w:val="center"/>
          </w:tcPr>
          <w:p w14:paraId="69A8E61C" w14:textId="77777777" w:rsidR="004E3548" w:rsidRPr="00D2435E" w:rsidRDefault="004E3548" w:rsidP="0053411E">
            <w:pPr>
              <w:jc w:val="center"/>
              <w:rPr>
                <w:rFonts w:ascii="Arial" w:eastAsia="Arial" w:hAnsi="Arial" w:cs="Arial"/>
              </w:rPr>
            </w:pPr>
            <w:r w:rsidRPr="00D2435E">
              <w:rPr>
                <w:rFonts w:ascii="Arial" w:eastAsia="Arial" w:hAnsi="Arial" w:cs="Arial"/>
              </w:rPr>
              <w:t>4</w:t>
            </w:r>
          </w:p>
        </w:tc>
        <w:tc>
          <w:tcPr>
            <w:tcW w:w="1478" w:type="dxa"/>
            <w:shd w:val="clear" w:color="auto" w:fill="FFFFFF"/>
            <w:vAlign w:val="center"/>
          </w:tcPr>
          <w:p w14:paraId="0F90C27A" w14:textId="77777777" w:rsidR="004E3548" w:rsidRPr="00D2435E" w:rsidRDefault="004E3548" w:rsidP="0053411E">
            <w:pPr>
              <w:jc w:val="center"/>
              <w:rPr>
                <w:rFonts w:ascii="Arial" w:eastAsia="Arial" w:hAnsi="Arial" w:cs="Arial"/>
              </w:rPr>
            </w:pPr>
            <w:r w:rsidRPr="00D2435E">
              <w:rPr>
                <w:rFonts w:ascii="Arial" w:eastAsia="Arial" w:hAnsi="Arial" w:cs="Arial"/>
              </w:rPr>
              <w:t>3.40-4.19</w:t>
            </w:r>
          </w:p>
        </w:tc>
        <w:tc>
          <w:tcPr>
            <w:tcW w:w="1585" w:type="dxa"/>
            <w:shd w:val="clear" w:color="auto" w:fill="FFFFFF"/>
            <w:vAlign w:val="center"/>
          </w:tcPr>
          <w:p w14:paraId="3F8170ED" w14:textId="77777777" w:rsidR="004E3548" w:rsidRPr="00D2435E" w:rsidRDefault="004E3548" w:rsidP="0053411E">
            <w:pPr>
              <w:jc w:val="center"/>
              <w:rPr>
                <w:rFonts w:ascii="Arial" w:eastAsia="Arial" w:hAnsi="Arial" w:cs="Arial"/>
              </w:rPr>
            </w:pPr>
            <w:r w:rsidRPr="00D2435E">
              <w:rPr>
                <w:rFonts w:ascii="Arial" w:eastAsia="Arial" w:hAnsi="Arial" w:cs="Arial"/>
              </w:rPr>
              <w:t>High</w:t>
            </w:r>
          </w:p>
        </w:tc>
        <w:tc>
          <w:tcPr>
            <w:tcW w:w="4184" w:type="dxa"/>
            <w:shd w:val="clear" w:color="auto" w:fill="FFFFFF"/>
            <w:vAlign w:val="center"/>
          </w:tcPr>
          <w:p w14:paraId="63D60D2F" w14:textId="77777777" w:rsidR="004E3548" w:rsidRPr="00D2435E" w:rsidRDefault="004E3548" w:rsidP="0053411E">
            <w:pPr>
              <w:rPr>
                <w:rFonts w:ascii="Arial" w:eastAsia="Arial" w:hAnsi="Arial" w:cs="Arial"/>
              </w:rPr>
            </w:pPr>
            <w:r w:rsidRPr="00D2435E">
              <w:rPr>
                <w:rFonts w:ascii="Arial" w:eastAsia="Arial" w:hAnsi="Arial" w:cs="Arial"/>
              </w:rPr>
              <w:t>The expected levels of competence described in the indicators are demonstrated at an average level.</w:t>
            </w:r>
          </w:p>
        </w:tc>
      </w:tr>
      <w:tr w:rsidR="004E3548" w:rsidRPr="00D2435E" w14:paraId="05EDE324" w14:textId="77777777" w:rsidTr="0053411E">
        <w:trPr>
          <w:jc w:val="center"/>
        </w:trPr>
        <w:tc>
          <w:tcPr>
            <w:tcW w:w="946" w:type="dxa"/>
            <w:shd w:val="clear" w:color="auto" w:fill="FFFFFF"/>
            <w:vAlign w:val="center"/>
          </w:tcPr>
          <w:p w14:paraId="087F8B69" w14:textId="77777777" w:rsidR="004E3548" w:rsidRPr="00D2435E" w:rsidRDefault="004E3548" w:rsidP="0053411E">
            <w:pPr>
              <w:jc w:val="center"/>
              <w:rPr>
                <w:rFonts w:ascii="Arial" w:eastAsia="Arial" w:hAnsi="Arial" w:cs="Arial"/>
              </w:rPr>
            </w:pPr>
            <w:r w:rsidRPr="00D2435E">
              <w:rPr>
                <w:rFonts w:ascii="Arial" w:eastAsia="Arial" w:hAnsi="Arial" w:cs="Arial"/>
              </w:rPr>
              <w:t>3</w:t>
            </w:r>
          </w:p>
        </w:tc>
        <w:tc>
          <w:tcPr>
            <w:tcW w:w="1478" w:type="dxa"/>
            <w:shd w:val="clear" w:color="auto" w:fill="FFFFFF"/>
            <w:vAlign w:val="center"/>
          </w:tcPr>
          <w:p w14:paraId="2013DF43" w14:textId="77777777" w:rsidR="004E3548" w:rsidRPr="00D2435E" w:rsidRDefault="004E3548" w:rsidP="0053411E">
            <w:pPr>
              <w:jc w:val="center"/>
              <w:rPr>
                <w:rFonts w:ascii="Arial" w:eastAsia="Arial" w:hAnsi="Arial" w:cs="Arial"/>
              </w:rPr>
            </w:pPr>
            <w:r w:rsidRPr="00D2435E">
              <w:rPr>
                <w:rFonts w:ascii="Arial" w:eastAsia="Arial" w:hAnsi="Arial" w:cs="Arial"/>
              </w:rPr>
              <w:t>2.60-3.39</w:t>
            </w:r>
          </w:p>
        </w:tc>
        <w:tc>
          <w:tcPr>
            <w:tcW w:w="1585" w:type="dxa"/>
            <w:shd w:val="clear" w:color="auto" w:fill="FFFFFF"/>
            <w:vAlign w:val="center"/>
          </w:tcPr>
          <w:p w14:paraId="3568D5F2" w14:textId="77777777" w:rsidR="004E3548" w:rsidRPr="00D2435E" w:rsidRDefault="004E3548" w:rsidP="0053411E">
            <w:pPr>
              <w:jc w:val="center"/>
              <w:rPr>
                <w:rFonts w:ascii="Arial" w:eastAsia="Arial" w:hAnsi="Arial" w:cs="Arial"/>
              </w:rPr>
            </w:pPr>
            <w:r w:rsidRPr="00D2435E">
              <w:rPr>
                <w:rFonts w:ascii="Arial" w:eastAsia="Arial" w:hAnsi="Arial" w:cs="Arial"/>
              </w:rPr>
              <w:t>Moderate</w:t>
            </w:r>
          </w:p>
        </w:tc>
        <w:tc>
          <w:tcPr>
            <w:tcW w:w="4184" w:type="dxa"/>
            <w:shd w:val="clear" w:color="auto" w:fill="FFFFFF"/>
            <w:vAlign w:val="center"/>
          </w:tcPr>
          <w:p w14:paraId="11E47F22" w14:textId="77777777" w:rsidR="004E3548" w:rsidRPr="00D2435E" w:rsidRDefault="004E3548" w:rsidP="0053411E">
            <w:pPr>
              <w:rPr>
                <w:rFonts w:ascii="Arial" w:eastAsia="Arial" w:hAnsi="Arial" w:cs="Arial"/>
              </w:rPr>
            </w:pPr>
            <w:r w:rsidRPr="00D2435E">
              <w:rPr>
                <w:rFonts w:ascii="Arial" w:eastAsia="Arial" w:hAnsi="Arial" w:cs="Arial"/>
              </w:rPr>
              <w:t>The expected level of competence described in the indicators is fairly demonstrated.</w:t>
            </w:r>
          </w:p>
        </w:tc>
      </w:tr>
      <w:tr w:rsidR="004E3548" w:rsidRPr="00D2435E" w14:paraId="1FCCF9DE" w14:textId="77777777" w:rsidTr="0053411E">
        <w:trPr>
          <w:jc w:val="center"/>
        </w:trPr>
        <w:tc>
          <w:tcPr>
            <w:tcW w:w="946" w:type="dxa"/>
            <w:shd w:val="clear" w:color="auto" w:fill="FFFFFF"/>
            <w:vAlign w:val="center"/>
          </w:tcPr>
          <w:p w14:paraId="122FA0DE" w14:textId="77777777" w:rsidR="004E3548" w:rsidRPr="00D2435E" w:rsidRDefault="004E3548" w:rsidP="0053411E">
            <w:pPr>
              <w:jc w:val="center"/>
              <w:rPr>
                <w:rFonts w:ascii="Arial" w:eastAsia="Arial" w:hAnsi="Arial" w:cs="Arial"/>
              </w:rPr>
            </w:pPr>
            <w:r w:rsidRPr="00D2435E">
              <w:rPr>
                <w:rFonts w:ascii="Arial" w:eastAsia="Arial" w:hAnsi="Arial" w:cs="Arial"/>
              </w:rPr>
              <w:t>2</w:t>
            </w:r>
          </w:p>
        </w:tc>
        <w:tc>
          <w:tcPr>
            <w:tcW w:w="1478" w:type="dxa"/>
            <w:shd w:val="clear" w:color="auto" w:fill="FFFFFF"/>
            <w:vAlign w:val="center"/>
          </w:tcPr>
          <w:p w14:paraId="483B0E62" w14:textId="77777777" w:rsidR="004E3548" w:rsidRPr="00D2435E" w:rsidRDefault="004E3548" w:rsidP="0053411E">
            <w:pPr>
              <w:jc w:val="center"/>
              <w:rPr>
                <w:rFonts w:ascii="Arial" w:eastAsia="Arial" w:hAnsi="Arial" w:cs="Arial"/>
              </w:rPr>
            </w:pPr>
            <w:r w:rsidRPr="00D2435E">
              <w:rPr>
                <w:rFonts w:ascii="Arial" w:eastAsia="Arial" w:hAnsi="Arial" w:cs="Arial"/>
              </w:rPr>
              <w:t>1.80-2.59</w:t>
            </w:r>
          </w:p>
        </w:tc>
        <w:tc>
          <w:tcPr>
            <w:tcW w:w="1585" w:type="dxa"/>
            <w:shd w:val="clear" w:color="auto" w:fill="FFFFFF"/>
            <w:vAlign w:val="center"/>
          </w:tcPr>
          <w:p w14:paraId="1CA3A61D" w14:textId="77777777" w:rsidR="004E3548" w:rsidRPr="00D2435E" w:rsidRDefault="004E3548" w:rsidP="0053411E">
            <w:pPr>
              <w:jc w:val="center"/>
              <w:rPr>
                <w:rFonts w:ascii="Arial" w:eastAsia="Arial" w:hAnsi="Arial" w:cs="Arial"/>
              </w:rPr>
            </w:pPr>
            <w:r w:rsidRPr="00D2435E">
              <w:rPr>
                <w:rFonts w:ascii="Arial" w:eastAsia="Arial" w:hAnsi="Arial" w:cs="Arial"/>
              </w:rPr>
              <w:t>Low</w:t>
            </w:r>
          </w:p>
        </w:tc>
        <w:tc>
          <w:tcPr>
            <w:tcW w:w="4184" w:type="dxa"/>
            <w:shd w:val="clear" w:color="auto" w:fill="FFFFFF"/>
            <w:vAlign w:val="center"/>
          </w:tcPr>
          <w:p w14:paraId="4D285836" w14:textId="77777777" w:rsidR="004E3548" w:rsidRPr="00D2435E" w:rsidRDefault="004E3548" w:rsidP="0053411E">
            <w:pPr>
              <w:rPr>
                <w:rFonts w:ascii="Arial" w:eastAsia="Arial" w:hAnsi="Arial" w:cs="Arial"/>
              </w:rPr>
            </w:pPr>
            <w:r w:rsidRPr="00D2435E">
              <w:rPr>
                <w:rFonts w:ascii="Arial" w:eastAsia="Arial" w:hAnsi="Arial" w:cs="Arial"/>
              </w:rPr>
              <w:t>The expected levels of competence described in the indicators are poorly demonstrated.</w:t>
            </w:r>
          </w:p>
        </w:tc>
      </w:tr>
      <w:tr w:rsidR="004E3548" w:rsidRPr="00D2435E" w14:paraId="1B833ED6" w14:textId="77777777" w:rsidTr="0053411E">
        <w:trPr>
          <w:jc w:val="center"/>
        </w:trPr>
        <w:tc>
          <w:tcPr>
            <w:tcW w:w="946" w:type="dxa"/>
            <w:tcBorders>
              <w:bottom w:val="single" w:sz="8" w:space="0" w:color="000000"/>
            </w:tcBorders>
            <w:shd w:val="clear" w:color="auto" w:fill="FFFFFF"/>
            <w:vAlign w:val="center"/>
          </w:tcPr>
          <w:p w14:paraId="159A82DB" w14:textId="77777777" w:rsidR="004E3548" w:rsidRPr="00D2435E" w:rsidRDefault="004E3548" w:rsidP="0053411E">
            <w:pPr>
              <w:jc w:val="center"/>
              <w:rPr>
                <w:rFonts w:ascii="Arial" w:eastAsia="Arial" w:hAnsi="Arial" w:cs="Arial"/>
              </w:rPr>
            </w:pPr>
            <w:r w:rsidRPr="00D2435E">
              <w:rPr>
                <w:rFonts w:ascii="Arial" w:eastAsia="Arial" w:hAnsi="Arial" w:cs="Arial"/>
              </w:rPr>
              <w:t>1</w:t>
            </w:r>
          </w:p>
        </w:tc>
        <w:tc>
          <w:tcPr>
            <w:tcW w:w="1478" w:type="dxa"/>
            <w:tcBorders>
              <w:bottom w:val="single" w:sz="8" w:space="0" w:color="000000"/>
            </w:tcBorders>
            <w:shd w:val="clear" w:color="auto" w:fill="FFFFFF"/>
            <w:vAlign w:val="center"/>
          </w:tcPr>
          <w:p w14:paraId="639AD0CA" w14:textId="77777777" w:rsidR="004E3548" w:rsidRPr="00D2435E" w:rsidRDefault="004E3548" w:rsidP="0053411E">
            <w:pPr>
              <w:jc w:val="center"/>
              <w:rPr>
                <w:rFonts w:ascii="Arial" w:eastAsia="Arial" w:hAnsi="Arial" w:cs="Arial"/>
              </w:rPr>
            </w:pPr>
            <w:r w:rsidRPr="00D2435E">
              <w:rPr>
                <w:rFonts w:ascii="Arial" w:eastAsia="Arial" w:hAnsi="Arial" w:cs="Arial"/>
              </w:rPr>
              <w:t>1.00-1.79</w:t>
            </w:r>
          </w:p>
        </w:tc>
        <w:tc>
          <w:tcPr>
            <w:tcW w:w="1585" w:type="dxa"/>
            <w:tcBorders>
              <w:bottom w:val="single" w:sz="8" w:space="0" w:color="000000"/>
            </w:tcBorders>
            <w:shd w:val="clear" w:color="auto" w:fill="FFFFFF"/>
            <w:vAlign w:val="center"/>
          </w:tcPr>
          <w:p w14:paraId="4548CF4B" w14:textId="77777777" w:rsidR="004E3548" w:rsidRPr="00D2435E" w:rsidRDefault="004E3548" w:rsidP="0053411E">
            <w:pPr>
              <w:jc w:val="center"/>
              <w:rPr>
                <w:rFonts w:ascii="Arial" w:eastAsia="Arial" w:hAnsi="Arial" w:cs="Arial"/>
              </w:rPr>
            </w:pPr>
            <w:r w:rsidRPr="00D2435E">
              <w:rPr>
                <w:rFonts w:ascii="Arial" w:eastAsia="Arial" w:hAnsi="Arial" w:cs="Arial"/>
              </w:rPr>
              <w:t>Very Low</w:t>
            </w:r>
          </w:p>
        </w:tc>
        <w:tc>
          <w:tcPr>
            <w:tcW w:w="4184" w:type="dxa"/>
            <w:tcBorders>
              <w:bottom w:val="single" w:sz="8" w:space="0" w:color="000000"/>
            </w:tcBorders>
            <w:shd w:val="clear" w:color="auto" w:fill="FFFFFF"/>
            <w:vAlign w:val="center"/>
          </w:tcPr>
          <w:p w14:paraId="15453808" w14:textId="77777777" w:rsidR="004E3548" w:rsidRPr="00D2435E" w:rsidRDefault="004E3548" w:rsidP="0053411E">
            <w:pPr>
              <w:rPr>
                <w:rFonts w:ascii="Arial" w:eastAsia="Arial" w:hAnsi="Arial" w:cs="Arial"/>
              </w:rPr>
            </w:pPr>
            <w:r w:rsidRPr="00D2435E">
              <w:rPr>
                <w:rFonts w:ascii="Arial" w:eastAsia="Arial" w:hAnsi="Arial" w:cs="Arial"/>
              </w:rPr>
              <w:t>The expected levels of competence described in the indicators need to be demonstrated.</w:t>
            </w:r>
          </w:p>
        </w:tc>
      </w:tr>
    </w:tbl>
    <w:p w14:paraId="2175B594" w14:textId="77777777" w:rsidR="00505F06" w:rsidRDefault="00505F06" w:rsidP="00441B6F">
      <w:pPr>
        <w:pStyle w:val="Body"/>
        <w:spacing w:after="0"/>
        <w:rPr>
          <w:rFonts w:ascii="Arial" w:hAnsi="Arial" w:cs="Arial"/>
        </w:rPr>
      </w:pPr>
    </w:p>
    <w:p w14:paraId="4ED51EBD" w14:textId="77777777" w:rsidR="004E3548" w:rsidRDefault="004E3548" w:rsidP="004E3548">
      <w:pPr>
        <w:rPr>
          <w:rFonts w:eastAsia="Arial"/>
          <w:bCs/>
        </w:rPr>
      </w:pPr>
      <w:r>
        <w:rPr>
          <w:rFonts w:eastAsia="Tahoma"/>
        </w:rPr>
        <w:t>The environmental literacy level was rated and interpreted with the qualitative description:</w:t>
      </w:r>
      <w:r>
        <w:rPr>
          <w:rFonts w:eastAsia="Arial"/>
          <w:bCs/>
        </w:rPr>
        <w:t xml:space="preserve"> </w:t>
      </w:r>
    </w:p>
    <w:p w14:paraId="5D56F33D" w14:textId="77777777" w:rsidR="004E3548" w:rsidRDefault="004E3548" w:rsidP="004E3548">
      <w:pPr>
        <w:rPr>
          <w:rFonts w:eastAsia="Arial"/>
          <w:bCs/>
        </w:rPr>
      </w:pPr>
    </w:p>
    <w:p w14:paraId="7AFC5486" w14:textId="7C23CAC0" w:rsidR="004E3548" w:rsidRPr="00341FA1" w:rsidRDefault="004E3548" w:rsidP="004E3548">
      <w:pPr>
        <w:rPr>
          <w:rFonts w:ascii="Arial" w:eastAsia="Arial" w:hAnsi="Arial" w:cs="Arial"/>
          <w:b/>
        </w:rPr>
      </w:pPr>
      <w:r w:rsidRPr="00341FA1">
        <w:rPr>
          <w:rFonts w:ascii="Arial" w:eastAsia="Tahoma" w:hAnsi="Arial" w:cs="Arial"/>
          <w:b/>
        </w:rPr>
        <w:t xml:space="preserve">Table 3. </w:t>
      </w:r>
      <w:r w:rsidRPr="00341FA1">
        <w:rPr>
          <w:rFonts w:ascii="Arial" w:eastAsia="Arial" w:hAnsi="Arial" w:cs="Arial"/>
          <w:b/>
        </w:rPr>
        <w:t>Qualitative description of the environmental literacy rating</w:t>
      </w:r>
    </w:p>
    <w:p w14:paraId="303A5E94" w14:textId="77777777" w:rsidR="00341FA1" w:rsidRPr="004E3548" w:rsidRDefault="00341FA1" w:rsidP="004E3548">
      <w:pPr>
        <w:rPr>
          <w:rFonts w:eastAsia="Arial"/>
          <w:bCs/>
        </w:rPr>
      </w:pPr>
    </w:p>
    <w:tbl>
      <w:tblPr>
        <w:tblStyle w:val="GridTable1Light1"/>
        <w:tblW w:w="0" w:type="auto"/>
        <w:tblInd w:w="151"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3"/>
        <w:gridCol w:w="1478"/>
        <w:gridCol w:w="1563"/>
        <w:gridCol w:w="4200"/>
      </w:tblGrid>
      <w:tr w:rsidR="004E3548" w:rsidRPr="00341FA1" w14:paraId="31DE222A" w14:textId="77777777" w:rsidTr="005341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3" w:type="dxa"/>
            <w:tcBorders>
              <w:top w:val="single" w:sz="4" w:space="0" w:color="auto"/>
              <w:bottom w:val="single" w:sz="4" w:space="0" w:color="auto"/>
            </w:tcBorders>
            <w:vAlign w:val="center"/>
          </w:tcPr>
          <w:p w14:paraId="112E5DCF" w14:textId="77777777" w:rsidR="004E3548" w:rsidRPr="00341FA1" w:rsidRDefault="004E3548" w:rsidP="0053411E">
            <w:pPr>
              <w:jc w:val="center"/>
              <w:rPr>
                <w:rFonts w:ascii="Arial" w:eastAsia="Arial" w:hAnsi="Arial" w:cs="Arial"/>
                <w:b w:val="0"/>
                <w:bCs w:val="0"/>
              </w:rPr>
            </w:pPr>
            <w:r w:rsidRPr="00341FA1">
              <w:rPr>
                <w:rFonts w:ascii="Arial" w:eastAsia="Arial" w:hAnsi="Arial" w:cs="Arial"/>
              </w:rPr>
              <w:t>Scale</w:t>
            </w:r>
          </w:p>
        </w:tc>
        <w:tc>
          <w:tcPr>
            <w:tcW w:w="1478" w:type="dxa"/>
            <w:tcBorders>
              <w:top w:val="single" w:sz="4" w:space="0" w:color="auto"/>
              <w:bottom w:val="single" w:sz="4" w:space="0" w:color="auto"/>
            </w:tcBorders>
            <w:vAlign w:val="center"/>
          </w:tcPr>
          <w:p w14:paraId="3AD1918F" w14:textId="77777777" w:rsidR="004E3548" w:rsidRPr="00341FA1" w:rsidRDefault="004E3548" w:rsidP="0053411E">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rPr>
            </w:pPr>
            <w:r w:rsidRPr="00341FA1">
              <w:rPr>
                <w:rFonts w:ascii="Arial" w:eastAsia="Arial" w:hAnsi="Arial" w:cs="Arial"/>
              </w:rPr>
              <w:t xml:space="preserve">Range </w:t>
            </w:r>
          </w:p>
          <w:p w14:paraId="14CA001B" w14:textId="77777777" w:rsidR="004E3548" w:rsidRPr="00341FA1" w:rsidRDefault="004E3548" w:rsidP="0053411E">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rPr>
            </w:pPr>
            <w:r w:rsidRPr="00341FA1">
              <w:rPr>
                <w:rFonts w:ascii="Arial" w:eastAsia="Arial" w:hAnsi="Arial" w:cs="Arial"/>
              </w:rPr>
              <w:t>of Means</w:t>
            </w:r>
          </w:p>
        </w:tc>
        <w:tc>
          <w:tcPr>
            <w:tcW w:w="1563" w:type="dxa"/>
            <w:tcBorders>
              <w:top w:val="single" w:sz="4" w:space="0" w:color="auto"/>
              <w:bottom w:val="single" w:sz="4" w:space="0" w:color="auto"/>
            </w:tcBorders>
            <w:vAlign w:val="center"/>
          </w:tcPr>
          <w:p w14:paraId="2472C787" w14:textId="77777777" w:rsidR="004E3548" w:rsidRPr="00341FA1" w:rsidRDefault="004E3548" w:rsidP="0053411E">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rPr>
            </w:pPr>
            <w:r w:rsidRPr="00341FA1">
              <w:rPr>
                <w:rFonts w:ascii="Arial" w:eastAsia="Arial" w:hAnsi="Arial" w:cs="Arial"/>
              </w:rPr>
              <w:t>Descriptive Level</w:t>
            </w:r>
          </w:p>
        </w:tc>
        <w:tc>
          <w:tcPr>
            <w:tcW w:w="4200" w:type="dxa"/>
            <w:tcBorders>
              <w:top w:val="single" w:sz="4" w:space="0" w:color="auto"/>
              <w:bottom w:val="single" w:sz="4" w:space="0" w:color="auto"/>
            </w:tcBorders>
            <w:vAlign w:val="center"/>
          </w:tcPr>
          <w:p w14:paraId="625D56F7" w14:textId="77777777" w:rsidR="004E3548" w:rsidRPr="00341FA1" w:rsidRDefault="004E3548" w:rsidP="0053411E">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rPr>
            </w:pPr>
            <w:r w:rsidRPr="00341FA1">
              <w:rPr>
                <w:rFonts w:ascii="Arial" w:eastAsia="Arial" w:hAnsi="Arial" w:cs="Arial"/>
              </w:rPr>
              <w:t>Interpretation</w:t>
            </w:r>
          </w:p>
        </w:tc>
      </w:tr>
      <w:tr w:rsidR="004E3548" w:rsidRPr="00341FA1" w14:paraId="569DB2EF" w14:textId="77777777" w:rsidTr="0053411E">
        <w:tc>
          <w:tcPr>
            <w:cnfStyle w:val="001000000000" w:firstRow="0" w:lastRow="0" w:firstColumn="1" w:lastColumn="0" w:oddVBand="0" w:evenVBand="0" w:oddHBand="0" w:evenHBand="0" w:firstRowFirstColumn="0" w:firstRowLastColumn="0" w:lastRowFirstColumn="0" w:lastRowLastColumn="0"/>
            <w:tcW w:w="983" w:type="dxa"/>
            <w:tcBorders>
              <w:top w:val="single" w:sz="4" w:space="0" w:color="auto"/>
            </w:tcBorders>
            <w:vAlign w:val="center"/>
          </w:tcPr>
          <w:p w14:paraId="31D17655" w14:textId="77777777" w:rsidR="004E3548" w:rsidRPr="00341FA1" w:rsidRDefault="004E3548" w:rsidP="0053411E">
            <w:pPr>
              <w:jc w:val="center"/>
              <w:rPr>
                <w:rFonts w:ascii="Arial" w:eastAsia="Arial" w:hAnsi="Arial" w:cs="Arial"/>
              </w:rPr>
            </w:pPr>
            <w:r w:rsidRPr="00341FA1">
              <w:rPr>
                <w:rFonts w:ascii="Arial" w:eastAsia="Arial" w:hAnsi="Arial" w:cs="Arial"/>
                <w:b w:val="0"/>
              </w:rPr>
              <w:t>5</w:t>
            </w:r>
          </w:p>
        </w:tc>
        <w:tc>
          <w:tcPr>
            <w:tcW w:w="1478" w:type="dxa"/>
            <w:tcBorders>
              <w:top w:val="single" w:sz="4" w:space="0" w:color="auto"/>
            </w:tcBorders>
            <w:vAlign w:val="center"/>
          </w:tcPr>
          <w:p w14:paraId="4BB562E2" w14:textId="77777777" w:rsidR="004E3548" w:rsidRPr="00341FA1" w:rsidRDefault="004E3548" w:rsidP="0053411E">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341FA1">
              <w:rPr>
                <w:rFonts w:ascii="Arial" w:eastAsia="Arial" w:hAnsi="Arial" w:cs="Arial"/>
              </w:rPr>
              <w:t>4.20-5.00</w:t>
            </w:r>
          </w:p>
        </w:tc>
        <w:tc>
          <w:tcPr>
            <w:tcW w:w="1563" w:type="dxa"/>
            <w:tcBorders>
              <w:top w:val="single" w:sz="4" w:space="0" w:color="auto"/>
            </w:tcBorders>
            <w:vAlign w:val="center"/>
          </w:tcPr>
          <w:p w14:paraId="089F674D" w14:textId="77777777" w:rsidR="004E3548" w:rsidRPr="00341FA1" w:rsidRDefault="004E3548" w:rsidP="0053411E">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341FA1">
              <w:rPr>
                <w:rFonts w:ascii="Arial" w:eastAsia="Arial" w:hAnsi="Arial" w:cs="Arial"/>
              </w:rPr>
              <w:t xml:space="preserve">Always </w:t>
            </w:r>
          </w:p>
        </w:tc>
        <w:tc>
          <w:tcPr>
            <w:tcW w:w="4200" w:type="dxa"/>
            <w:tcBorders>
              <w:top w:val="single" w:sz="4" w:space="0" w:color="auto"/>
            </w:tcBorders>
            <w:vAlign w:val="center"/>
          </w:tcPr>
          <w:p w14:paraId="664A975D" w14:textId="77777777" w:rsidR="004E3548" w:rsidRPr="00341FA1" w:rsidRDefault="004E3548" w:rsidP="0053411E">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341FA1">
              <w:rPr>
                <w:rFonts w:ascii="Arial" w:eastAsia="Arial" w:hAnsi="Arial" w:cs="Arial"/>
              </w:rPr>
              <w:t>The indicator described is always observed and manifested.</w:t>
            </w:r>
          </w:p>
        </w:tc>
      </w:tr>
      <w:tr w:rsidR="004E3548" w:rsidRPr="00341FA1" w14:paraId="5B41A821" w14:textId="77777777" w:rsidTr="0053411E">
        <w:trPr>
          <w:trHeight w:val="225"/>
        </w:trPr>
        <w:tc>
          <w:tcPr>
            <w:cnfStyle w:val="001000000000" w:firstRow="0" w:lastRow="0" w:firstColumn="1" w:lastColumn="0" w:oddVBand="0" w:evenVBand="0" w:oddHBand="0" w:evenHBand="0" w:firstRowFirstColumn="0" w:firstRowLastColumn="0" w:lastRowFirstColumn="0" w:lastRowLastColumn="0"/>
            <w:tcW w:w="983" w:type="dxa"/>
            <w:vAlign w:val="center"/>
          </w:tcPr>
          <w:p w14:paraId="7AE66718" w14:textId="77777777" w:rsidR="004E3548" w:rsidRPr="00341FA1" w:rsidRDefault="004E3548" w:rsidP="0053411E">
            <w:pPr>
              <w:jc w:val="center"/>
              <w:rPr>
                <w:rFonts w:ascii="Arial" w:eastAsia="Arial" w:hAnsi="Arial" w:cs="Arial"/>
              </w:rPr>
            </w:pPr>
            <w:r w:rsidRPr="00341FA1">
              <w:rPr>
                <w:rFonts w:ascii="Arial" w:eastAsia="Arial" w:hAnsi="Arial" w:cs="Arial"/>
                <w:b w:val="0"/>
              </w:rPr>
              <w:t>4</w:t>
            </w:r>
          </w:p>
        </w:tc>
        <w:tc>
          <w:tcPr>
            <w:tcW w:w="1478" w:type="dxa"/>
            <w:vAlign w:val="center"/>
          </w:tcPr>
          <w:p w14:paraId="740DEF9D" w14:textId="77777777" w:rsidR="004E3548" w:rsidRPr="00341FA1" w:rsidRDefault="004E3548" w:rsidP="0053411E">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341FA1">
              <w:rPr>
                <w:rFonts w:ascii="Arial" w:eastAsia="Arial" w:hAnsi="Arial" w:cs="Arial"/>
              </w:rPr>
              <w:t>3.40-4.19</w:t>
            </w:r>
          </w:p>
        </w:tc>
        <w:tc>
          <w:tcPr>
            <w:tcW w:w="1563" w:type="dxa"/>
            <w:vAlign w:val="center"/>
          </w:tcPr>
          <w:p w14:paraId="55AE4974" w14:textId="77777777" w:rsidR="004E3548" w:rsidRPr="00341FA1" w:rsidRDefault="004E3548" w:rsidP="0053411E">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341FA1">
              <w:rPr>
                <w:rFonts w:ascii="Arial" w:eastAsia="Arial" w:hAnsi="Arial" w:cs="Arial"/>
              </w:rPr>
              <w:t xml:space="preserve">Oftentimes </w:t>
            </w:r>
          </w:p>
        </w:tc>
        <w:tc>
          <w:tcPr>
            <w:tcW w:w="4200" w:type="dxa"/>
            <w:vAlign w:val="center"/>
          </w:tcPr>
          <w:p w14:paraId="1A44C4E1" w14:textId="77777777" w:rsidR="004E3548" w:rsidRPr="00341FA1" w:rsidRDefault="004E3548" w:rsidP="0053411E">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341FA1">
              <w:rPr>
                <w:rFonts w:ascii="Arial" w:eastAsia="Arial" w:hAnsi="Arial" w:cs="Arial"/>
              </w:rPr>
              <w:t>The indicator described is oftentimes observed or manifested.</w:t>
            </w:r>
          </w:p>
        </w:tc>
      </w:tr>
      <w:tr w:rsidR="004E3548" w:rsidRPr="00341FA1" w14:paraId="61AD14E6" w14:textId="77777777" w:rsidTr="0053411E">
        <w:tc>
          <w:tcPr>
            <w:cnfStyle w:val="001000000000" w:firstRow="0" w:lastRow="0" w:firstColumn="1" w:lastColumn="0" w:oddVBand="0" w:evenVBand="0" w:oddHBand="0" w:evenHBand="0" w:firstRowFirstColumn="0" w:firstRowLastColumn="0" w:lastRowFirstColumn="0" w:lastRowLastColumn="0"/>
            <w:tcW w:w="983" w:type="dxa"/>
            <w:vAlign w:val="center"/>
          </w:tcPr>
          <w:p w14:paraId="00DBE344" w14:textId="77777777" w:rsidR="004E3548" w:rsidRPr="00341FA1" w:rsidRDefault="004E3548" w:rsidP="0053411E">
            <w:pPr>
              <w:jc w:val="center"/>
              <w:rPr>
                <w:rFonts w:ascii="Arial" w:eastAsia="Arial" w:hAnsi="Arial" w:cs="Arial"/>
              </w:rPr>
            </w:pPr>
            <w:r w:rsidRPr="00341FA1">
              <w:rPr>
                <w:rFonts w:ascii="Arial" w:eastAsia="Arial" w:hAnsi="Arial" w:cs="Arial"/>
                <w:b w:val="0"/>
              </w:rPr>
              <w:t>3</w:t>
            </w:r>
          </w:p>
        </w:tc>
        <w:tc>
          <w:tcPr>
            <w:tcW w:w="1478" w:type="dxa"/>
            <w:vAlign w:val="center"/>
          </w:tcPr>
          <w:p w14:paraId="0EAA630D" w14:textId="77777777" w:rsidR="004E3548" w:rsidRPr="00341FA1" w:rsidRDefault="004E3548" w:rsidP="0053411E">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341FA1">
              <w:rPr>
                <w:rFonts w:ascii="Arial" w:eastAsia="Arial" w:hAnsi="Arial" w:cs="Arial"/>
              </w:rPr>
              <w:t>2.60-3.39</w:t>
            </w:r>
          </w:p>
        </w:tc>
        <w:tc>
          <w:tcPr>
            <w:tcW w:w="1563" w:type="dxa"/>
            <w:vAlign w:val="center"/>
          </w:tcPr>
          <w:p w14:paraId="39A697CE" w14:textId="77777777" w:rsidR="004E3548" w:rsidRPr="00341FA1" w:rsidRDefault="004E3548" w:rsidP="0053411E">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341FA1">
              <w:rPr>
                <w:rFonts w:ascii="Arial" w:eastAsia="Arial" w:hAnsi="Arial" w:cs="Arial"/>
              </w:rPr>
              <w:t xml:space="preserve">Sometimes </w:t>
            </w:r>
          </w:p>
        </w:tc>
        <w:tc>
          <w:tcPr>
            <w:tcW w:w="4200" w:type="dxa"/>
            <w:vAlign w:val="center"/>
          </w:tcPr>
          <w:p w14:paraId="471A9403" w14:textId="77777777" w:rsidR="004E3548" w:rsidRPr="00341FA1" w:rsidRDefault="004E3548" w:rsidP="0053411E">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341FA1">
              <w:rPr>
                <w:rFonts w:ascii="Arial" w:eastAsia="Arial" w:hAnsi="Arial" w:cs="Arial"/>
              </w:rPr>
              <w:t>The indicator described is sometimes observed or manifested.</w:t>
            </w:r>
          </w:p>
        </w:tc>
      </w:tr>
      <w:tr w:rsidR="004E3548" w:rsidRPr="00341FA1" w14:paraId="4FF34362" w14:textId="77777777" w:rsidTr="0053411E">
        <w:trPr>
          <w:trHeight w:val="171"/>
        </w:trPr>
        <w:tc>
          <w:tcPr>
            <w:cnfStyle w:val="001000000000" w:firstRow="0" w:lastRow="0" w:firstColumn="1" w:lastColumn="0" w:oddVBand="0" w:evenVBand="0" w:oddHBand="0" w:evenHBand="0" w:firstRowFirstColumn="0" w:firstRowLastColumn="0" w:lastRowFirstColumn="0" w:lastRowLastColumn="0"/>
            <w:tcW w:w="983" w:type="dxa"/>
            <w:vAlign w:val="center"/>
          </w:tcPr>
          <w:p w14:paraId="4807A547" w14:textId="77777777" w:rsidR="004E3548" w:rsidRPr="00341FA1" w:rsidRDefault="004E3548" w:rsidP="0053411E">
            <w:pPr>
              <w:jc w:val="center"/>
              <w:rPr>
                <w:rFonts w:ascii="Arial" w:eastAsia="Arial" w:hAnsi="Arial" w:cs="Arial"/>
              </w:rPr>
            </w:pPr>
            <w:r w:rsidRPr="00341FA1">
              <w:rPr>
                <w:rFonts w:ascii="Arial" w:eastAsia="Arial" w:hAnsi="Arial" w:cs="Arial"/>
                <w:b w:val="0"/>
              </w:rPr>
              <w:t>2</w:t>
            </w:r>
          </w:p>
        </w:tc>
        <w:tc>
          <w:tcPr>
            <w:tcW w:w="1478" w:type="dxa"/>
            <w:vAlign w:val="center"/>
          </w:tcPr>
          <w:p w14:paraId="685C79F2" w14:textId="77777777" w:rsidR="004E3548" w:rsidRPr="00341FA1" w:rsidRDefault="004E3548" w:rsidP="0053411E">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341FA1">
              <w:rPr>
                <w:rFonts w:ascii="Arial" w:eastAsia="Arial" w:hAnsi="Arial" w:cs="Arial"/>
              </w:rPr>
              <w:t>1.80-2.59</w:t>
            </w:r>
          </w:p>
        </w:tc>
        <w:tc>
          <w:tcPr>
            <w:tcW w:w="1563" w:type="dxa"/>
            <w:vAlign w:val="center"/>
          </w:tcPr>
          <w:p w14:paraId="3EBF1AFF" w14:textId="77777777" w:rsidR="004E3548" w:rsidRPr="00341FA1" w:rsidRDefault="004E3548" w:rsidP="0053411E">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341FA1">
              <w:rPr>
                <w:rFonts w:ascii="Arial" w:eastAsia="Arial" w:hAnsi="Arial" w:cs="Arial"/>
              </w:rPr>
              <w:t xml:space="preserve">Rarely </w:t>
            </w:r>
          </w:p>
        </w:tc>
        <w:tc>
          <w:tcPr>
            <w:tcW w:w="4200" w:type="dxa"/>
            <w:vAlign w:val="center"/>
          </w:tcPr>
          <w:p w14:paraId="447B798F" w14:textId="77777777" w:rsidR="004E3548" w:rsidRPr="00341FA1" w:rsidRDefault="004E3548" w:rsidP="0053411E">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341FA1">
              <w:rPr>
                <w:rFonts w:ascii="Arial" w:eastAsia="Arial" w:hAnsi="Arial" w:cs="Arial"/>
              </w:rPr>
              <w:t>The indicator described is rarely observed or manifested.</w:t>
            </w:r>
          </w:p>
        </w:tc>
      </w:tr>
      <w:tr w:rsidR="004E3548" w:rsidRPr="00341FA1" w14:paraId="00A293C9" w14:textId="77777777" w:rsidTr="0053411E">
        <w:trPr>
          <w:trHeight w:val="90"/>
        </w:trPr>
        <w:tc>
          <w:tcPr>
            <w:cnfStyle w:val="001000000000" w:firstRow="0" w:lastRow="0" w:firstColumn="1" w:lastColumn="0" w:oddVBand="0" w:evenVBand="0" w:oddHBand="0" w:evenHBand="0" w:firstRowFirstColumn="0" w:firstRowLastColumn="0" w:lastRowFirstColumn="0" w:lastRowLastColumn="0"/>
            <w:tcW w:w="983" w:type="dxa"/>
            <w:vAlign w:val="center"/>
          </w:tcPr>
          <w:p w14:paraId="426CD7AD" w14:textId="77777777" w:rsidR="004E3548" w:rsidRPr="00341FA1" w:rsidRDefault="004E3548" w:rsidP="0053411E">
            <w:pPr>
              <w:jc w:val="center"/>
              <w:rPr>
                <w:rFonts w:ascii="Arial" w:eastAsia="Arial" w:hAnsi="Arial" w:cs="Arial"/>
              </w:rPr>
            </w:pPr>
            <w:r w:rsidRPr="00341FA1">
              <w:rPr>
                <w:rFonts w:ascii="Arial" w:eastAsia="Arial" w:hAnsi="Arial" w:cs="Arial"/>
                <w:b w:val="0"/>
              </w:rPr>
              <w:t>1</w:t>
            </w:r>
          </w:p>
        </w:tc>
        <w:tc>
          <w:tcPr>
            <w:tcW w:w="1478" w:type="dxa"/>
            <w:vAlign w:val="center"/>
          </w:tcPr>
          <w:p w14:paraId="649ACFDA" w14:textId="77777777" w:rsidR="004E3548" w:rsidRPr="00341FA1" w:rsidRDefault="004E3548" w:rsidP="0053411E">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341FA1">
              <w:rPr>
                <w:rFonts w:ascii="Arial" w:eastAsia="Arial" w:hAnsi="Arial" w:cs="Arial"/>
              </w:rPr>
              <w:t>1.00-1.79</w:t>
            </w:r>
          </w:p>
        </w:tc>
        <w:tc>
          <w:tcPr>
            <w:tcW w:w="1563" w:type="dxa"/>
            <w:vAlign w:val="center"/>
          </w:tcPr>
          <w:p w14:paraId="2224CD64" w14:textId="77777777" w:rsidR="004E3548" w:rsidRPr="00341FA1" w:rsidRDefault="004E3548" w:rsidP="0053411E">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341FA1">
              <w:rPr>
                <w:rFonts w:ascii="Arial" w:eastAsia="Arial" w:hAnsi="Arial" w:cs="Arial"/>
              </w:rPr>
              <w:t xml:space="preserve">Never </w:t>
            </w:r>
          </w:p>
        </w:tc>
        <w:tc>
          <w:tcPr>
            <w:tcW w:w="4200" w:type="dxa"/>
            <w:vAlign w:val="center"/>
          </w:tcPr>
          <w:p w14:paraId="78E83E15" w14:textId="77777777" w:rsidR="004E3548" w:rsidRPr="00341FA1" w:rsidRDefault="004E3548" w:rsidP="0053411E">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341FA1">
              <w:rPr>
                <w:rFonts w:ascii="Arial" w:eastAsia="Arial" w:hAnsi="Arial" w:cs="Arial"/>
              </w:rPr>
              <w:t>The indicator described is never observed or manifested.</w:t>
            </w:r>
          </w:p>
        </w:tc>
      </w:tr>
    </w:tbl>
    <w:p w14:paraId="6C138B81" w14:textId="77777777" w:rsidR="004E3548" w:rsidRDefault="004E3548" w:rsidP="00441B6F">
      <w:pPr>
        <w:pStyle w:val="Body"/>
        <w:spacing w:after="0"/>
        <w:rPr>
          <w:rFonts w:ascii="Arial" w:hAnsi="Arial" w:cs="Arial"/>
          <w:b/>
          <w:u w:val="single"/>
        </w:rPr>
      </w:pPr>
    </w:p>
    <w:p w14:paraId="4BD7ACA0" w14:textId="2347D964" w:rsidR="00CD329A" w:rsidRDefault="006A48FE" w:rsidP="006A48FE">
      <w:pPr>
        <w:pStyle w:val="Body"/>
        <w:spacing w:after="0"/>
        <w:rPr>
          <w:rFonts w:ascii="Arial" w:hAnsi="Arial" w:cs="Arial"/>
          <w:bCs/>
        </w:rPr>
      </w:pPr>
      <w:r w:rsidRPr="006A48FE">
        <w:rPr>
          <w:rFonts w:ascii="Arial" w:hAnsi="Arial" w:cs="Arial"/>
          <w:bCs/>
        </w:rPr>
        <w:t>To enhance the credibility of the collected data, the research instrument, comprising the Environmental Education Teaching Practices and Environmental Literacy scales, was subjected to validity and reliability testing. Following expert validation for content and face validity, the instrument's internal consistency was evaluated using Cronbach’s Alpha (α). The resulting reliability indices are detailed in Table 4.</w:t>
      </w:r>
    </w:p>
    <w:p w14:paraId="086D5175" w14:textId="77777777" w:rsidR="00CD329A" w:rsidRDefault="00CD329A" w:rsidP="006A48FE">
      <w:pPr>
        <w:pStyle w:val="Body"/>
        <w:spacing w:after="0"/>
        <w:rPr>
          <w:rFonts w:ascii="Arial" w:hAnsi="Arial" w:cs="Arial"/>
          <w:bCs/>
        </w:rPr>
      </w:pPr>
    </w:p>
    <w:p w14:paraId="5520E313" w14:textId="77777777" w:rsidR="00B86655" w:rsidRDefault="00B86655" w:rsidP="004155FF">
      <w:pPr>
        <w:pStyle w:val="Body"/>
        <w:spacing w:after="0"/>
        <w:rPr>
          <w:rFonts w:ascii="Arial" w:hAnsi="Arial" w:cs="Arial"/>
          <w:b/>
        </w:rPr>
      </w:pPr>
    </w:p>
    <w:p w14:paraId="3E3C8082" w14:textId="77777777" w:rsidR="00B86655" w:rsidRDefault="00B86655" w:rsidP="004155FF">
      <w:pPr>
        <w:pStyle w:val="Body"/>
        <w:spacing w:after="0"/>
        <w:rPr>
          <w:rFonts w:ascii="Arial" w:hAnsi="Arial" w:cs="Arial"/>
          <w:b/>
        </w:rPr>
      </w:pPr>
    </w:p>
    <w:p w14:paraId="4A27C1F3" w14:textId="77777777" w:rsidR="00B86655" w:rsidRDefault="00B86655" w:rsidP="004155FF">
      <w:pPr>
        <w:pStyle w:val="Body"/>
        <w:spacing w:after="0"/>
        <w:rPr>
          <w:rFonts w:ascii="Arial" w:hAnsi="Arial" w:cs="Arial"/>
          <w:b/>
        </w:rPr>
      </w:pPr>
    </w:p>
    <w:p w14:paraId="61042810" w14:textId="77777777" w:rsidR="00B86655" w:rsidRDefault="00B86655" w:rsidP="004155FF">
      <w:pPr>
        <w:pStyle w:val="Body"/>
        <w:spacing w:after="0"/>
        <w:rPr>
          <w:rFonts w:ascii="Arial" w:hAnsi="Arial" w:cs="Arial"/>
          <w:b/>
        </w:rPr>
      </w:pPr>
    </w:p>
    <w:p w14:paraId="4DA36BFD" w14:textId="77777777" w:rsidR="00B86655" w:rsidRDefault="00B86655" w:rsidP="004155FF">
      <w:pPr>
        <w:pStyle w:val="Body"/>
        <w:spacing w:after="0"/>
        <w:rPr>
          <w:rFonts w:ascii="Arial" w:hAnsi="Arial" w:cs="Arial"/>
          <w:b/>
        </w:rPr>
      </w:pPr>
    </w:p>
    <w:p w14:paraId="75F17062" w14:textId="77777777" w:rsidR="00B86655" w:rsidRDefault="00B86655" w:rsidP="004155FF">
      <w:pPr>
        <w:pStyle w:val="Body"/>
        <w:spacing w:after="0"/>
        <w:rPr>
          <w:rFonts w:ascii="Arial" w:hAnsi="Arial" w:cs="Arial"/>
          <w:b/>
        </w:rPr>
      </w:pPr>
    </w:p>
    <w:p w14:paraId="7B32EB0B" w14:textId="77777777" w:rsidR="00B86655" w:rsidRDefault="00B86655" w:rsidP="004155FF">
      <w:pPr>
        <w:pStyle w:val="Body"/>
        <w:spacing w:after="0"/>
        <w:rPr>
          <w:rFonts w:ascii="Arial" w:hAnsi="Arial" w:cs="Arial"/>
          <w:b/>
        </w:rPr>
      </w:pPr>
    </w:p>
    <w:p w14:paraId="7C2822EC" w14:textId="77777777" w:rsidR="00B86655" w:rsidRDefault="00B86655" w:rsidP="004155FF">
      <w:pPr>
        <w:pStyle w:val="Body"/>
        <w:spacing w:after="0"/>
        <w:rPr>
          <w:rFonts w:ascii="Arial" w:hAnsi="Arial" w:cs="Arial"/>
          <w:b/>
        </w:rPr>
      </w:pPr>
    </w:p>
    <w:p w14:paraId="2CF683D5" w14:textId="77777777" w:rsidR="00B86655" w:rsidRDefault="00B86655" w:rsidP="004155FF">
      <w:pPr>
        <w:pStyle w:val="Body"/>
        <w:spacing w:after="0"/>
        <w:rPr>
          <w:rFonts w:ascii="Arial" w:hAnsi="Arial" w:cs="Arial"/>
          <w:b/>
        </w:rPr>
      </w:pPr>
    </w:p>
    <w:p w14:paraId="6055D50C" w14:textId="675BD459" w:rsidR="004155FF" w:rsidRDefault="00570855" w:rsidP="004155FF">
      <w:pPr>
        <w:pStyle w:val="Body"/>
        <w:spacing w:after="0"/>
        <w:rPr>
          <w:rFonts w:ascii="Arial" w:hAnsi="Arial" w:cs="Arial"/>
          <w:b/>
        </w:rPr>
      </w:pPr>
      <w:r w:rsidRPr="004155FF">
        <w:rPr>
          <w:rFonts w:ascii="Arial" w:hAnsi="Arial" w:cs="Arial"/>
          <w:b/>
        </w:rPr>
        <w:t xml:space="preserve">Table </w:t>
      </w:r>
      <w:r w:rsidR="004155FF" w:rsidRPr="004155FF">
        <w:rPr>
          <w:rFonts w:ascii="Arial" w:hAnsi="Arial" w:cs="Arial"/>
          <w:b/>
        </w:rPr>
        <w:t>4. Summary of Cronbach’s Alpha Reliability Test for the Research Instrument</w:t>
      </w:r>
    </w:p>
    <w:p w14:paraId="3A5F6036" w14:textId="77777777" w:rsidR="0019572B" w:rsidRDefault="0019572B" w:rsidP="004155FF">
      <w:pPr>
        <w:pStyle w:val="Body"/>
        <w:spacing w:after="0"/>
        <w:rPr>
          <w:rFonts w:ascii="Arial" w:hAnsi="Arial" w:cs="Arial"/>
          <w:b/>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20"/>
        <w:gridCol w:w="900"/>
        <w:gridCol w:w="1602"/>
        <w:gridCol w:w="2178"/>
      </w:tblGrid>
      <w:tr w:rsidR="00CD329A" w:rsidRPr="00541C33" w14:paraId="05907C45" w14:textId="77777777" w:rsidTr="00570855">
        <w:trPr>
          <w:trHeight w:val="440"/>
        </w:trPr>
        <w:tc>
          <w:tcPr>
            <w:tcW w:w="3420" w:type="dxa"/>
            <w:tcBorders>
              <w:top w:val="single" w:sz="4" w:space="0" w:color="auto"/>
            </w:tcBorders>
            <w:vAlign w:val="center"/>
          </w:tcPr>
          <w:p w14:paraId="046F1434" w14:textId="25644D37" w:rsidR="00CD329A" w:rsidRPr="00541C33" w:rsidRDefault="00CD329A" w:rsidP="00541C33">
            <w:pPr>
              <w:jc w:val="center"/>
              <w:rPr>
                <w:rFonts w:ascii="Arial" w:hAnsi="Arial" w:cs="Arial"/>
                <w:b/>
                <w:bCs/>
                <w:sz w:val="20"/>
                <w:szCs w:val="20"/>
              </w:rPr>
            </w:pPr>
            <w:r w:rsidRPr="00541C33">
              <w:rPr>
                <w:rFonts w:ascii="Arial" w:hAnsi="Arial" w:cs="Arial"/>
                <w:b/>
                <w:bCs/>
                <w:sz w:val="20"/>
                <w:szCs w:val="20"/>
              </w:rPr>
              <w:t>Instrument</w:t>
            </w:r>
          </w:p>
        </w:tc>
        <w:tc>
          <w:tcPr>
            <w:tcW w:w="900" w:type="dxa"/>
            <w:tcBorders>
              <w:top w:val="single" w:sz="4" w:space="0" w:color="auto"/>
            </w:tcBorders>
            <w:vAlign w:val="center"/>
          </w:tcPr>
          <w:p w14:paraId="3466B854" w14:textId="5EB9DE0E" w:rsidR="00CD329A" w:rsidRPr="00541C33" w:rsidRDefault="00570855" w:rsidP="00541C33">
            <w:pPr>
              <w:jc w:val="center"/>
              <w:rPr>
                <w:rFonts w:ascii="Arial" w:hAnsi="Arial" w:cs="Arial"/>
                <w:b/>
                <w:bCs/>
                <w:sz w:val="20"/>
                <w:szCs w:val="20"/>
              </w:rPr>
            </w:pPr>
            <w:r>
              <w:rPr>
                <w:rFonts w:ascii="Arial" w:hAnsi="Arial" w:cs="Arial"/>
                <w:b/>
                <w:bCs/>
                <w:sz w:val="20"/>
                <w:szCs w:val="20"/>
              </w:rPr>
              <w:t>Item Count</w:t>
            </w:r>
          </w:p>
        </w:tc>
        <w:tc>
          <w:tcPr>
            <w:tcW w:w="1602" w:type="dxa"/>
            <w:tcBorders>
              <w:top w:val="single" w:sz="4" w:space="0" w:color="auto"/>
            </w:tcBorders>
            <w:vAlign w:val="center"/>
          </w:tcPr>
          <w:p w14:paraId="63BA3326" w14:textId="4EF7E27A" w:rsidR="00CD329A" w:rsidRPr="00541C33" w:rsidRDefault="00CD329A" w:rsidP="00541C33">
            <w:pPr>
              <w:jc w:val="center"/>
              <w:rPr>
                <w:rFonts w:ascii="Arial" w:hAnsi="Arial" w:cs="Arial"/>
                <w:b/>
                <w:bCs/>
                <w:sz w:val="20"/>
                <w:szCs w:val="20"/>
              </w:rPr>
            </w:pPr>
            <w:r w:rsidRPr="00541C33">
              <w:rPr>
                <w:rFonts w:ascii="Arial" w:hAnsi="Arial" w:cs="Arial"/>
                <w:b/>
                <w:bCs/>
                <w:sz w:val="20"/>
                <w:szCs w:val="20"/>
              </w:rPr>
              <w:t xml:space="preserve">Cronbach’s </w:t>
            </w:r>
            <w:r w:rsidR="00541C33" w:rsidRPr="00541C33">
              <w:rPr>
                <w:rFonts w:ascii="Arial" w:hAnsi="Arial" w:cs="Arial"/>
                <w:b/>
                <w:bCs/>
                <w:sz w:val="20"/>
                <w:szCs w:val="20"/>
              </w:rPr>
              <w:t xml:space="preserve">Alpha </w:t>
            </w:r>
            <w:r w:rsidRPr="00541C33">
              <w:rPr>
                <w:rFonts w:ascii="Arial" w:hAnsi="Arial" w:cs="Arial"/>
                <w:b/>
                <w:bCs/>
                <w:sz w:val="20"/>
                <w:szCs w:val="20"/>
              </w:rPr>
              <w:t>(α)</w:t>
            </w:r>
          </w:p>
        </w:tc>
        <w:tc>
          <w:tcPr>
            <w:tcW w:w="2178" w:type="dxa"/>
            <w:tcBorders>
              <w:top w:val="single" w:sz="4" w:space="0" w:color="auto"/>
            </w:tcBorders>
            <w:vAlign w:val="center"/>
          </w:tcPr>
          <w:p w14:paraId="79492154" w14:textId="5D5E2306" w:rsidR="00CD329A" w:rsidRPr="00541C33" w:rsidRDefault="00541C33" w:rsidP="00541C33">
            <w:pPr>
              <w:jc w:val="center"/>
              <w:rPr>
                <w:rFonts w:ascii="Arial" w:hAnsi="Arial" w:cs="Arial"/>
                <w:b/>
                <w:bCs/>
                <w:sz w:val="20"/>
                <w:szCs w:val="20"/>
              </w:rPr>
            </w:pPr>
            <w:r w:rsidRPr="00541C33">
              <w:rPr>
                <w:rFonts w:ascii="Arial" w:hAnsi="Arial" w:cs="Arial"/>
                <w:b/>
                <w:bCs/>
                <w:sz w:val="20"/>
                <w:szCs w:val="20"/>
              </w:rPr>
              <w:t>Reliability Interpretation</w:t>
            </w:r>
          </w:p>
        </w:tc>
      </w:tr>
      <w:tr w:rsidR="0019572B" w:rsidRPr="00541C33" w14:paraId="011324DD" w14:textId="77777777" w:rsidTr="00570855">
        <w:tc>
          <w:tcPr>
            <w:tcW w:w="3420" w:type="dxa"/>
            <w:tcBorders>
              <w:top w:val="single" w:sz="4" w:space="0" w:color="auto"/>
            </w:tcBorders>
            <w:hideMark/>
          </w:tcPr>
          <w:p w14:paraId="2003C483" w14:textId="77777777" w:rsidR="004155FF" w:rsidRPr="00541C33" w:rsidRDefault="004155FF" w:rsidP="00541C33">
            <w:pPr>
              <w:rPr>
                <w:rFonts w:ascii="Arial" w:hAnsi="Arial" w:cs="Arial"/>
                <w:sz w:val="20"/>
                <w:szCs w:val="20"/>
              </w:rPr>
            </w:pPr>
            <w:r w:rsidRPr="00541C33">
              <w:rPr>
                <w:rFonts w:ascii="Arial" w:hAnsi="Arial" w:cs="Arial"/>
                <w:sz w:val="20"/>
                <w:szCs w:val="20"/>
              </w:rPr>
              <w:t>I. Teacher’s Practices (Overall)</w:t>
            </w:r>
          </w:p>
        </w:tc>
        <w:tc>
          <w:tcPr>
            <w:tcW w:w="900" w:type="dxa"/>
            <w:tcBorders>
              <w:top w:val="single" w:sz="4" w:space="0" w:color="auto"/>
            </w:tcBorders>
            <w:vAlign w:val="center"/>
            <w:hideMark/>
          </w:tcPr>
          <w:p w14:paraId="4B96A22B" w14:textId="77777777" w:rsidR="004155FF" w:rsidRPr="00541C33" w:rsidRDefault="004155FF" w:rsidP="00AB3A36">
            <w:pPr>
              <w:jc w:val="center"/>
              <w:rPr>
                <w:rFonts w:ascii="Arial" w:hAnsi="Arial" w:cs="Arial"/>
                <w:sz w:val="20"/>
                <w:szCs w:val="20"/>
              </w:rPr>
            </w:pPr>
            <w:r w:rsidRPr="00541C33">
              <w:rPr>
                <w:rFonts w:ascii="Arial" w:hAnsi="Arial" w:cs="Arial"/>
                <w:sz w:val="20"/>
                <w:szCs w:val="20"/>
              </w:rPr>
              <w:t>22</w:t>
            </w:r>
          </w:p>
        </w:tc>
        <w:tc>
          <w:tcPr>
            <w:tcW w:w="1602" w:type="dxa"/>
            <w:tcBorders>
              <w:top w:val="single" w:sz="4" w:space="0" w:color="auto"/>
            </w:tcBorders>
            <w:vAlign w:val="center"/>
            <w:hideMark/>
          </w:tcPr>
          <w:p w14:paraId="6CD81785" w14:textId="77777777" w:rsidR="004155FF" w:rsidRPr="00541C33" w:rsidRDefault="004155FF" w:rsidP="00AB3A36">
            <w:pPr>
              <w:jc w:val="center"/>
              <w:rPr>
                <w:rFonts w:ascii="Arial" w:hAnsi="Arial" w:cs="Arial"/>
                <w:sz w:val="20"/>
                <w:szCs w:val="20"/>
              </w:rPr>
            </w:pPr>
            <w:r w:rsidRPr="00541C33">
              <w:rPr>
                <w:rFonts w:ascii="Arial" w:hAnsi="Arial" w:cs="Arial"/>
                <w:sz w:val="20"/>
                <w:szCs w:val="20"/>
              </w:rPr>
              <w:t>0.905</w:t>
            </w:r>
          </w:p>
        </w:tc>
        <w:tc>
          <w:tcPr>
            <w:tcW w:w="2178" w:type="dxa"/>
            <w:tcBorders>
              <w:top w:val="single" w:sz="4" w:space="0" w:color="auto"/>
            </w:tcBorders>
            <w:hideMark/>
          </w:tcPr>
          <w:p w14:paraId="390B4998" w14:textId="77777777" w:rsidR="004155FF" w:rsidRPr="00541C33" w:rsidRDefault="004155FF" w:rsidP="00541C33">
            <w:pPr>
              <w:rPr>
                <w:rFonts w:ascii="Arial" w:hAnsi="Arial" w:cs="Arial"/>
                <w:sz w:val="20"/>
                <w:szCs w:val="20"/>
              </w:rPr>
            </w:pPr>
            <w:r w:rsidRPr="00541C33">
              <w:rPr>
                <w:rFonts w:ascii="Arial" w:hAnsi="Arial" w:cs="Arial"/>
                <w:sz w:val="20"/>
                <w:szCs w:val="20"/>
              </w:rPr>
              <w:t>Excellent Reliability</w:t>
            </w:r>
          </w:p>
        </w:tc>
      </w:tr>
      <w:tr w:rsidR="0019572B" w:rsidRPr="00541C33" w14:paraId="7AEC4FA8" w14:textId="77777777" w:rsidTr="00570855">
        <w:tc>
          <w:tcPr>
            <w:tcW w:w="3420" w:type="dxa"/>
            <w:hideMark/>
          </w:tcPr>
          <w:p w14:paraId="5679E130" w14:textId="77777777" w:rsidR="004155FF" w:rsidRPr="00541C33" w:rsidRDefault="004155FF" w:rsidP="00541C33">
            <w:pPr>
              <w:rPr>
                <w:rFonts w:ascii="Arial" w:hAnsi="Arial" w:cs="Arial"/>
                <w:sz w:val="20"/>
                <w:szCs w:val="20"/>
              </w:rPr>
            </w:pPr>
            <w:r w:rsidRPr="00541C33">
              <w:rPr>
                <w:rFonts w:ascii="Arial" w:hAnsi="Arial" w:cs="Arial"/>
                <w:sz w:val="20"/>
                <w:szCs w:val="20"/>
              </w:rPr>
              <w:lastRenderedPageBreak/>
              <w:t>Environmental Education Attitudes</w:t>
            </w:r>
          </w:p>
        </w:tc>
        <w:tc>
          <w:tcPr>
            <w:tcW w:w="900" w:type="dxa"/>
            <w:vAlign w:val="center"/>
            <w:hideMark/>
          </w:tcPr>
          <w:p w14:paraId="1CC0E367" w14:textId="77777777" w:rsidR="004155FF" w:rsidRPr="00541C33" w:rsidRDefault="004155FF" w:rsidP="00AB3A36">
            <w:pPr>
              <w:jc w:val="center"/>
              <w:rPr>
                <w:rFonts w:ascii="Arial" w:hAnsi="Arial" w:cs="Arial"/>
                <w:sz w:val="20"/>
                <w:szCs w:val="20"/>
              </w:rPr>
            </w:pPr>
            <w:r w:rsidRPr="00541C33">
              <w:rPr>
                <w:rFonts w:ascii="Arial" w:hAnsi="Arial" w:cs="Arial"/>
                <w:sz w:val="20"/>
                <w:szCs w:val="20"/>
              </w:rPr>
              <w:t>15</w:t>
            </w:r>
          </w:p>
        </w:tc>
        <w:tc>
          <w:tcPr>
            <w:tcW w:w="1602" w:type="dxa"/>
            <w:vAlign w:val="center"/>
            <w:hideMark/>
          </w:tcPr>
          <w:p w14:paraId="2EE0BA1D" w14:textId="77777777" w:rsidR="004155FF" w:rsidRPr="00541C33" w:rsidRDefault="004155FF" w:rsidP="00AB3A36">
            <w:pPr>
              <w:jc w:val="center"/>
              <w:rPr>
                <w:rFonts w:ascii="Arial" w:hAnsi="Arial" w:cs="Arial"/>
                <w:sz w:val="20"/>
                <w:szCs w:val="20"/>
              </w:rPr>
            </w:pPr>
            <w:r w:rsidRPr="00541C33">
              <w:rPr>
                <w:rFonts w:ascii="Arial" w:hAnsi="Arial" w:cs="Arial"/>
                <w:sz w:val="20"/>
                <w:szCs w:val="20"/>
              </w:rPr>
              <w:t>0.887</w:t>
            </w:r>
          </w:p>
        </w:tc>
        <w:tc>
          <w:tcPr>
            <w:tcW w:w="2178" w:type="dxa"/>
            <w:hideMark/>
          </w:tcPr>
          <w:p w14:paraId="7E50C040" w14:textId="77777777" w:rsidR="004155FF" w:rsidRPr="00541C33" w:rsidRDefault="004155FF" w:rsidP="00541C33">
            <w:pPr>
              <w:rPr>
                <w:rFonts w:ascii="Arial" w:hAnsi="Arial" w:cs="Arial"/>
                <w:sz w:val="20"/>
                <w:szCs w:val="20"/>
              </w:rPr>
            </w:pPr>
            <w:r w:rsidRPr="00541C33">
              <w:rPr>
                <w:rFonts w:ascii="Arial" w:hAnsi="Arial" w:cs="Arial"/>
                <w:sz w:val="20"/>
                <w:szCs w:val="20"/>
              </w:rPr>
              <w:t>Good Reliability</w:t>
            </w:r>
          </w:p>
        </w:tc>
      </w:tr>
      <w:tr w:rsidR="0019572B" w:rsidRPr="00541C33" w14:paraId="3F9C14C6" w14:textId="77777777" w:rsidTr="00570855">
        <w:tc>
          <w:tcPr>
            <w:tcW w:w="3420" w:type="dxa"/>
            <w:hideMark/>
          </w:tcPr>
          <w:p w14:paraId="56B8DC56" w14:textId="77777777" w:rsidR="004155FF" w:rsidRPr="00541C33" w:rsidRDefault="004155FF" w:rsidP="00541C33">
            <w:pPr>
              <w:rPr>
                <w:rFonts w:ascii="Arial" w:hAnsi="Arial" w:cs="Arial"/>
                <w:sz w:val="20"/>
                <w:szCs w:val="20"/>
              </w:rPr>
            </w:pPr>
            <w:r w:rsidRPr="00541C33">
              <w:rPr>
                <w:rFonts w:ascii="Arial" w:hAnsi="Arial" w:cs="Arial"/>
                <w:sz w:val="20"/>
                <w:szCs w:val="20"/>
              </w:rPr>
              <w:t>Teacher Practices in Environmental Education</w:t>
            </w:r>
          </w:p>
        </w:tc>
        <w:tc>
          <w:tcPr>
            <w:tcW w:w="900" w:type="dxa"/>
            <w:vAlign w:val="center"/>
            <w:hideMark/>
          </w:tcPr>
          <w:p w14:paraId="0CE9B646" w14:textId="77777777" w:rsidR="004155FF" w:rsidRPr="00541C33" w:rsidRDefault="004155FF" w:rsidP="00AB3A36">
            <w:pPr>
              <w:jc w:val="center"/>
              <w:rPr>
                <w:rFonts w:ascii="Arial" w:hAnsi="Arial" w:cs="Arial"/>
                <w:sz w:val="20"/>
                <w:szCs w:val="20"/>
              </w:rPr>
            </w:pPr>
            <w:r w:rsidRPr="00541C33">
              <w:rPr>
                <w:rFonts w:ascii="Arial" w:hAnsi="Arial" w:cs="Arial"/>
                <w:sz w:val="20"/>
                <w:szCs w:val="20"/>
              </w:rPr>
              <w:t>7</w:t>
            </w:r>
          </w:p>
        </w:tc>
        <w:tc>
          <w:tcPr>
            <w:tcW w:w="1602" w:type="dxa"/>
            <w:vAlign w:val="center"/>
            <w:hideMark/>
          </w:tcPr>
          <w:p w14:paraId="7D024589" w14:textId="77777777" w:rsidR="004155FF" w:rsidRPr="00541C33" w:rsidRDefault="004155FF" w:rsidP="00AB3A36">
            <w:pPr>
              <w:jc w:val="center"/>
              <w:rPr>
                <w:rFonts w:ascii="Arial" w:hAnsi="Arial" w:cs="Arial"/>
                <w:sz w:val="20"/>
                <w:szCs w:val="20"/>
              </w:rPr>
            </w:pPr>
            <w:r w:rsidRPr="00541C33">
              <w:rPr>
                <w:rFonts w:ascii="Arial" w:hAnsi="Arial" w:cs="Arial"/>
                <w:sz w:val="20"/>
                <w:szCs w:val="20"/>
              </w:rPr>
              <w:t>0.842</w:t>
            </w:r>
          </w:p>
        </w:tc>
        <w:tc>
          <w:tcPr>
            <w:tcW w:w="2178" w:type="dxa"/>
            <w:hideMark/>
          </w:tcPr>
          <w:p w14:paraId="5B329C1E" w14:textId="77777777" w:rsidR="004155FF" w:rsidRPr="00541C33" w:rsidRDefault="004155FF" w:rsidP="00541C33">
            <w:pPr>
              <w:rPr>
                <w:rFonts w:ascii="Arial" w:hAnsi="Arial" w:cs="Arial"/>
                <w:sz w:val="20"/>
                <w:szCs w:val="20"/>
              </w:rPr>
            </w:pPr>
            <w:r w:rsidRPr="00541C33">
              <w:rPr>
                <w:rFonts w:ascii="Arial" w:hAnsi="Arial" w:cs="Arial"/>
                <w:sz w:val="20"/>
                <w:szCs w:val="20"/>
              </w:rPr>
              <w:t>Good Reliability</w:t>
            </w:r>
          </w:p>
        </w:tc>
      </w:tr>
      <w:tr w:rsidR="0019572B" w:rsidRPr="00541C33" w14:paraId="0F391209" w14:textId="77777777" w:rsidTr="00570855">
        <w:tc>
          <w:tcPr>
            <w:tcW w:w="3420" w:type="dxa"/>
            <w:hideMark/>
          </w:tcPr>
          <w:p w14:paraId="61D5BCA8" w14:textId="77777777" w:rsidR="004155FF" w:rsidRPr="00541C33" w:rsidRDefault="004155FF" w:rsidP="00541C33">
            <w:pPr>
              <w:rPr>
                <w:rFonts w:ascii="Arial" w:hAnsi="Arial" w:cs="Arial"/>
                <w:sz w:val="20"/>
                <w:szCs w:val="20"/>
              </w:rPr>
            </w:pPr>
            <w:r w:rsidRPr="00541C33">
              <w:rPr>
                <w:rFonts w:ascii="Arial" w:hAnsi="Arial" w:cs="Arial"/>
                <w:sz w:val="20"/>
                <w:szCs w:val="20"/>
              </w:rPr>
              <w:t>II. Environmental Literacy (Overall)</w:t>
            </w:r>
          </w:p>
        </w:tc>
        <w:tc>
          <w:tcPr>
            <w:tcW w:w="900" w:type="dxa"/>
            <w:vAlign w:val="center"/>
            <w:hideMark/>
          </w:tcPr>
          <w:p w14:paraId="5FB352DE" w14:textId="77777777" w:rsidR="004155FF" w:rsidRPr="00541C33" w:rsidRDefault="004155FF" w:rsidP="00AB3A36">
            <w:pPr>
              <w:jc w:val="center"/>
              <w:rPr>
                <w:rFonts w:ascii="Arial" w:hAnsi="Arial" w:cs="Arial"/>
                <w:sz w:val="20"/>
                <w:szCs w:val="20"/>
              </w:rPr>
            </w:pPr>
            <w:r w:rsidRPr="00541C33">
              <w:rPr>
                <w:rFonts w:ascii="Arial" w:hAnsi="Arial" w:cs="Arial"/>
                <w:sz w:val="20"/>
                <w:szCs w:val="20"/>
              </w:rPr>
              <w:t>10</w:t>
            </w:r>
          </w:p>
        </w:tc>
        <w:tc>
          <w:tcPr>
            <w:tcW w:w="1602" w:type="dxa"/>
            <w:vAlign w:val="center"/>
            <w:hideMark/>
          </w:tcPr>
          <w:p w14:paraId="7D7F06AE" w14:textId="77777777" w:rsidR="004155FF" w:rsidRPr="00541C33" w:rsidRDefault="004155FF" w:rsidP="00AB3A36">
            <w:pPr>
              <w:jc w:val="center"/>
              <w:rPr>
                <w:rFonts w:ascii="Arial" w:hAnsi="Arial" w:cs="Arial"/>
                <w:sz w:val="20"/>
                <w:szCs w:val="20"/>
              </w:rPr>
            </w:pPr>
            <w:r w:rsidRPr="00541C33">
              <w:rPr>
                <w:rFonts w:ascii="Arial" w:hAnsi="Arial" w:cs="Arial"/>
                <w:sz w:val="20"/>
                <w:szCs w:val="20"/>
              </w:rPr>
              <w:t>0.865</w:t>
            </w:r>
          </w:p>
        </w:tc>
        <w:tc>
          <w:tcPr>
            <w:tcW w:w="2178" w:type="dxa"/>
            <w:hideMark/>
          </w:tcPr>
          <w:p w14:paraId="0D3040F8" w14:textId="77777777" w:rsidR="004155FF" w:rsidRPr="00541C33" w:rsidRDefault="004155FF" w:rsidP="00541C33">
            <w:pPr>
              <w:rPr>
                <w:rFonts w:ascii="Arial" w:hAnsi="Arial" w:cs="Arial"/>
                <w:sz w:val="20"/>
                <w:szCs w:val="20"/>
              </w:rPr>
            </w:pPr>
            <w:r w:rsidRPr="00541C33">
              <w:rPr>
                <w:rFonts w:ascii="Arial" w:hAnsi="Arial" w:cs="Arial"/>
                <w:sz w:val="20"/>
                <w:szCs w:val="20"/>
              </w:rPr>
              <w:t>Good Reliability</w:t>
            </w:r>
          </w:p>
        </w:tc>
      </w:tr>
      <w:tr w:rsidR="0019572B" w:rsidRPr="00541C33" w14:paraId="04AB4DA8" w14:textId="77777777" w:rsidTr="00570855">
        <w:tc>
          <w:tcPr>
            <w:tcW w:w="3420" w:type="dxa"/>
            <w:hideMark/>
          </w:tcPr>
          <w:p w14:paraId="1B758FA1" w14:textId="77777777" w:rsidR="004155FF" w:rsidRPr="00541C33" w:rsidRDefault="004155FF" w:rsidP="00541C33">
            <w:pPr>
              <w:rPr>
                <w:rFonts w:ascii="Arial" w:hAnsi="Arial" w:cs="Arial"/>
                <w:sz w:val="20"/>
                <w:szCs w:val="20"/>
              </w:rPr>
            </w:pPr>
            <w:r w:rsidRPr="00541C33">
              <w:rPr>
                <w:rFonts w:ascii="Arial" w:hAnsi="Arial" w:cs="Arial"/>
                <w:sz w:val="20"/>
                <w:szCs w:val="20"/>
              </w:rPr>
              <w:t>Environmental Knowledge</w:t>
            </w:r>
          </w:p>
        </w:tc>
        <w:tc>
          <w:tcPr>
            <w:tcW w:w="900" w:type="dxa"/>
            <w:vAlign w:val="center"/>
            <w:hideMark/>
          </w:tcPr>
          <w:p w14:paraId="0813DB59" w14:textId="77777777" w:rsidR="004155FF" w:rsidRPr="00541C33" w:rsidRDefault="004155FF" w:rsidP="00AB3A36">
            <w:pPr>
              <w:jc w:val="center"/>
              <w:rPr>
                <w:rFonts w:ascii="Arial" w:hAnsi="Arial" w:cs="Arial"/>
                <w:sz w:val="20"/>
                <w:szCs w:val="20"/>
              </w:rPr>
            </w:pPr>
            <w:r w:rsidRPr="00541C33">
              <w:rPr>
                <w:rFonts w:ascii="Arial" w:hAnsi="Arial" w:cs="Arial"/>
                <w:sz w:val="20"/>
                <w:szCs w:val="20"/>
              </w:rPr>
              <w:t>5</w:t>
            </w:r>
          </w:p>
        </w:tc>
        <w:tc>
          <w:tcPr>
            <w:tcW w:w="1602" w:type="dxa"/>
            <w:vAlign w:val="center"/>
            <w:hideMark/>
          </w:tcPr>
          <w:p w14:paraId="7CD2A039" w14:textId="77777777" w:rsidR="004155FF" w:rsidRPr="00541C33" w:rsidRDefault="004155FF" w:rsidP="00AB3A36">
            <w:pPr>
              <w:jc w:val="center"/>
              <w:rPr>
                <w:rFonts w:ascii="Arial" w:hAnsi="Arial" w:cs="Arial"/>
                <w:sz w:val="20"/>
                <w:szCs w:val="20"/>
              </w:rPr>
            </w:pPr>
            <w:r w:rsidRPr="00541C33">
              <w:rPr>
                <w:rFonts w:ascii="Arial" w:hAnsi="Arial" w:cs="Arial"/>
                <w:sz w:val="20"/>
                <w:szCs w:val="20"/>
              </w:rPr>
              <w:t>0.778</w:t>
            </w:r>
          </w:p>
        </w:tc>
        <w:tc>
          <w:tcPr>
            <w:tcW w:w="2178" w:type="dxa"/>
            <w:hideMark/>
          </w:tcPr>
          <w:p w14:paraId="3759A212" w14:textId="77777777" w:rsidR="004155FF" w:rsidRPr="00541C33" w:rsidRDefault="004155FF" w:rsidP="00541C33">
            <w:pPr>
              <w:rPr>
                <w:rFonts w:ascii="Arial" w:hAnsi="Arial" w:cs="Arial"/>
                <w:sz w:val="20"/>
                <w:szCs w:val="20"/>
              </w:rPr>
            </w:pPr>
            <w:r w:rsidRPr="00541C33">
              <w:rPr>
                <w:rFonts w:ascii="Arial" w:hAnsi="Arial" w:cs="Arial"/>
                <w:sz w:val="20"/>
                <w:szCs w:val="20"/>
              </w:rPr>
              <w:t>Acceptable Reliability</w:t>
            </w:r>
          </w:p>
        </w:tc>
      </w:tr>
      <w:tr w:rsidR="0019572B" w:rsidRPr="00541C33" w14:paraId="7254B9AE" w14:textId="77777777" w:rsidTr="00570855">
        <w:trPr>
          <w:trHeight w:val="234"/>
        </w:trPr>
        <w:tc>
          <w:tcPr>
            <w:tcW w:w="3420" w:type="dxa"/>
            <w:hideMark/>
          </w:tcPr>
          <w:p w14:paraId="3ACED397" w14:textId="77777777" w:rsidR="004155FF" w:rsidRPr="00541C33" w:rsidRDefault="004155FF" w:rsidP="00541C33">
            <w:pPr>
              <w:rPr>
                <w:rFonts w:ascii="Arial" w:hAnsi="Arial" w:cs="Arial"/>
                <w:sz w:val="20"/>
                <w:szCs w:val="20"/>
              </w:rPr>
            </w:pPr>
            <w:r w:rsidRPr="00541C33">
              <w:rPr>
                <w:rFonts w:ascii="Arial" w:hAnsi="Arial" w:cs="Arial"/>
                <w:sz w:val="20"/>
                <w:szCs w:val="20"/>
              </w:rPr>
              <w:t>Environmental Concern</w:t>
            </w:r>
          </w:p>
        </w:tc>
        <w:tc>
          <w:tcPr>
            <w:tcW w:w="900" w:type="dxa"/>
            <w:vAlign w:val="center"/>
            <w:hideMark/>
          </w:tcPr>
          <w:p w14:paraId="2B980C1E" w14:textId="77777777" w:rsidR="004155FF" w:rsidRPr="00541C33" w:rsidRDefault="004155FF" w:rsidP="00AB3A36">
            <w:pPr>
              <w:jc w:val="center"/>
              <w:rPr>
                <w:rFonts w:ascii="Arial" w:hAnsi="Arial" w:cs="Arial"/>
                <w:sz w:val="20"/>
                <w:szCs w:val="20"/>
              </w:rPr>
            </w:pPr>
            <w:r w:rsidRPr="00541C33">
              <w:rPr>
                <w:rFonts w:ascii="Arial" w:hAnsi="Arial" w:cs="Arial"/>
                <w:sz w:val="20"/>
                <w:szCs w:val="20"/>
              </w:rPr>
              <w:t>5</w:t>
            </w:r>
          </w:p>
        </w:tc>
        <w:tc>
          <w:tcPr>
            <w:tcW w:w="1602" w:type="dxa"/>
            <w:vAlign w:val="center"/>
            <w:hideMark/>
          </w:tcPr>
          <w:p w14:paraId="0315A096" w14:textId="77777777" w:rsidR="004155FF" w:rsidRPr="00541C33" w:rsidRDefault="004155FF" w:rsidP="00AB3A36">
            <w:pPr>
              <w:jc w:val="center"/>
              <w:rPr>
                <w:rFonts w:ascii="Arial" w:hAnsi="Arial" w:cs="Arial"/>
                <w:sz w:val="20"/>
                <w:szCs w:val="20"/>
              </w:rPr>
            </w:pPr>
            <w:r w:rsidRPr="00541C33">
              <w:rPr>
                <w:rFonts w:ascii="Arial" w:hAnsi="Arial" w:cs="Arial"/>
                <w:sz w:val="20"/>
                <w:szCs w:val="20"/>
              </w:rPr>
              <w:t>0.812</w:t>
            </w:r>
          </w:p>
        </w:tc>
        <w:tc>
          <w:tcPr>
            <w:tcW w:w="2178" w:type="dxa"/>
            <w:hideMark/>
          </w:tcPr>
          <w:p w14:paraId="6FBE4B1E" w14:textId="77777777" w:rsidR="004155FF" w:rsidRPr="00541C33" w:rsidRDefault="004155FF" w:rsidP="00541C33">
            <w:pPr>
              <w:rPr>
                <w:rFonts w:ascii="Arial" w:hAnsi="Arial" w:cs="Arial"/>
                <w:sz w:val="20"/>
                <w:szCs w:val="20"/>
              </w:rPr>
            </w:pPr>
            <w:r w:rsidRPr="00541C33">
              <w:rPr>
                <w:rFonts w:ascii="Arial" w:hAnsi="Arial" w:cs="Arial"/>
                <w:sz w:val="20"/>
                <w:szCs w:val="20"/>
              </w:rPr>
              <w:t>Good Reliability</w:t>
            </w:r>
          </w:p>
        </w:tc>
      </w:tr>
    </w:tbl>
    <w:p w14:paraId="0BFFFB0D" w14:textId="77777777" w:rsidR="004155FF" w:rsidRDefault="004155FF" w:rsidP="004155FF">
      <w:pPr>
        <w:pStyle w:val="Body"/>
        <w:spacing w:after="0"/>
        <w:rPr>
          <w:rFonts w:ascii="Arial" w:hAnsi="Arial" w:cs="Arial"/>
          <w:b/>
        </w:rPr>
      </w:pPr>
    </w:p>
    <w:p w14:paraId="6E4FFED2" w14:textId="72A6128D" w:rsidR="009A5468" w:rsidRPr="00541C33" w:rsidRDefault="00E341C4" w:rsidP="00541C33">
      <w:pPr>
        <w:jc w:val="both"/>
        <w:rPr>
          <w:rFonts w:ascii="Arial" w:hAnsi="Arial" w:cs="Arial"/>
        </w:rPr>
      </w:pPr>
      <w:r>
        <w:rPr>
          <w:rFonts w:ascii="Arial" w:hAnsi="Arial" w:cs="Arial"/>
          <w:bCs/>
        </w:rPr>
        <w:t>This interpretation summarizes the findings shown in Table 4 regarding the instrument's validity and reliability.</w:t>
      </w:r>
    </w:p>
    <w:p w14:paraId="60B2BDD6" w14:textId="77777777" w:rsidR="00950F61" w:rsidRPr="00541C33" w:rsidRDefault="00950F61" w:rsidP="00541C33">
      <w:pPr>
        <w:jc w:val="both"/>
        <w:rPr>
          <w:rFonts w:ascii="Arial" w:hAnsi="Arial" w:cs="Arial"/>
        </w:rPr>
      </w:pPr>
    </w:p>
    <w:p w14:paraId="2136A315" w14:textId="77777777" w:rsidR="00D3783E" w:rsidRPr="00541C33" w:rsidRDefault="00D3783E" w:rsidP="00541C33">
      <w:pPr>
        <w:jc w:val="both"/>
        <w:rPr>
          <w:rFonts w:ascii="Arial" w:hAnsi="Arial" w:cs="Arial"/>
        </w:rPr>
      </w:pPr>
      <w:r w:rsidRPr="00541C33">
        <w:rPr>
          <w:rFonts w:ascii="Arial" w:hAnsi="Arial" w:cs="Arial"/>
        </w:rPr>
        <w:t>Table 4 presents the internal consistency reliability findings assessed by Cronbach’s alpha. A value of 0.70 was established as the minimum standard for acceptable reliability. The Teacher’s Practices Scale, consisting of 22 items, demonstrated excellent reliability with a coefficient of α = 0.957. Similarly, its sub-dimensions, Environmental Education Attitudes (α = 0.949) and Teacher Practices in Environmental Education (α = 0.908), also exhibited excellent reliability scores. The Environmental Literacy Scale, which includes 10 items, along with its components, Environmental Knowledge (α = 0.803) and Environmental Concern (α = 0.835), showed coefficients indicating good reliability.</w:t>
      </w:r>
    </w:p>
    <w:p w14:paraId="4241293B" w14:textId="77777777" w:rsidR="00D3783E" w:rsidRPr="00541C33" w:rsidRDefault="00D3783E" w:rsidP="00541C33">
      <w:pPr>
        <w:jc w:val="both"/>
        <w:rPr>
          <w:rFonts w:ascii="Arial" w:hAnsi="Arial" w:cs="Arial"/>
        </w:rPr>
      </w:pPr>
    </w:p>
    <w:p w14:paraId="481B1A98" w14:textId="006B3E39" w:rsidR="00D3783E" w:rsidRPr="00541C33" w:rsidRDefault="00D3783E" w:rsidP="00541C33">
      <w:pPr>
        <w:jc w:val="both"/>
        <w:rPr>
          <w:rFonts w:ascii="Arial" w:hAnsi="Arial" w:cs="Arial"/>
        </w:rPr>
      </w:pPr>
      <w:r w:rsidRPr="00541C33">
        <w:rPr>
          <w:rFonts w:ascii="Arial" w:hAnsi="Arial" w:cs="Arial"/>
        </w:rPr>
        <w:t xml:space="preserve">These consistently high Cronbach’s alpha values for all scales and sub-dimensions affirm the </w:t>
      </w:r>
      <w:r w:rsidR="00E341C4">
        <w:rPr>
          <w:rFonts w:ascii="Arial" w:hAnsi="Arial" w:cs="Arial"/>
        </w:rPr>
        <w:t xml:space="preserve">instrument’s validity, which shows that the items within each scale are highly interconnected and </w:t>
      </w:r>
      <w:r w:rsidRPr="00541C33">
        <w:rPr>
          <w:rFonts w:ascii="Arial" w:hAnsi="Arial" w:cs="Arial"/>
        </w:rPr>
        <w:t>reliably measure their intended constructs. This provides the necessary test quality to support subsequent descriptive and correlational analyses.</w:t>
      </w:r>
    </w:p>
    <w:p w14:paraId="139BF1EF" w14:textId="77777777" w:rsidR="006E0F51" w:rsidRDefault="006E0F51" w:rsidP="0019572B">
      <w:pPr>
        <w:pStyle w:val="Body"/>
        <w:spacing w:after="0"/>
        <w:rPr>
          <w:rFonts w:ascii="Arial" w:hAnsi="Arial" w:cs="Arial"/>
          <w:b/>
          <w:u w:val="single"/>
        </w:rPr>
      </w:pPr>
    </w:p>
    <w:p w14:paraId="5DB9EC1A" w14:textId="7AC36FB0" w:rsidR="004E3548" w:rsidRPr="00341FA1" w:rsidRDefault="001C0D00" w:rsidP="004E3548">
      <w:pPr>
        <w:rPr>
          <w:rFonts w:ascii="Arial" w:eastAsia="Arial" w:hAnsi="Arial" w:cs="Arial"/>
          <w:b/>
        </w:rPr>
      </w:pPr>
      <w:r w:rsidRPr="00341FA1">
        <w:rPr>
          <w:rFonts w:ascii="Arial" w:eastAsia="Arial" w:hAnsi="Arial" w:cs="Arial"/>
          <w:b/>
        </w:rPr>
        <w:t xml:space="preserve">2.3 </w:t>
      </w:r>
      <w:r w:rsidR="004E3548" w:rsidRPr="00341FA1">
        <w:rPr>
          <w:rFonts w:ascii="Arial" w:eastAsia="Arial" w:hAnsi="Arial" w:cs="Arial"/>
          <w:b/>
        </w:rPr>
        <w:t>Design and Procedure</w:t>
      </w:r>
    </w:p>
    <w:p w14:paraId="0D7DC0D0" w14:textId="77777777" w:rsidR="001C0D00" w:rsidRPr="00341FA1" w:rsidRDefault="001C0D00" w:rsidP="004E3548">
      <w:pPr>
        <w:rPr>
          <w:rFonts w:ascii="Arial" w:eastAsia="Arial" w:hAnsi="Arial" w:cs="Arial"/>
          <w:b/>
        </w:rPr>
      </w:pPr>
    </w:p>
    <w:p w14:paraId="08237B6E" w14:textId="77777777" w:rsidR="0068607C" w:rsidRPr="0068607C" w:rsidRDefault="0068607C" w:rsidP="0068607C">
      <w:pPr>
        <w:jc w:val="both"/>
        <w:rPr>
          <w:rFonts w:ascii="Arial" w:hAnsi="Arial" w:cs="Arial"/>
        </w:rPr>
      </w:pPr>
      <w:r w:rsidRPr="0068607C">
        <w:rPr>
          <w:rFonts w:ascii="Arial" w:hAnsi="Arial" w:cs="Arial"/>
        </w:rPr>
        <w:t>This study used a quantitative descriptive-correlational research design to examine relationships between measurable variables (Creswell, 2014). The descriptive aspect provided an overview of teachers' practices and environmental literacy without establishing causality, while the correlational component explored the relationship between these variables (</w:t>
      </w:r>
      <w:proofErr w:type="spellStart"/>
      <w:r w:rsidRPr="0068607C">
        <w:rPr>
          <w:rFonts w:ascii="Arial" w:hAnsi="Arial" w:cs="Arial"/>
        </w:rPr>
        <w:t>Sirisilla</w:t>
      </w:r>
      <w:proofErr w:type="spellEnd"/>
      <w:r w:rsidRPr="0068607C">
        <w:rPr>
          <w:rFonts w:ascii="Arial" w:hAnsi="Arial" w:cs="Arial"/>
        </w:rPr>
        <w:t xml:space="preserve">, 2023; </w:t>
      </w:r>
      <w:proofErr w:type="spellStart"/>
      <w:r w:rsidRPr="0068607C">
        <w:rPr>
          <w:rFonts w:ascii="Arial" w:hAnsi="Arial" w:cs="Arial"/>
        </w:rPr>
        <w:t>Remler</w:t>
      </w:r>
      <w:proofErr w:type="spellEnd"/>
      <w:r w:rsidRPr="0068607C">
        <w:rPr>
          <w:rFonts w:ascii="Arial" w:hAnsi="Arial" w:cs="Arial"/>
        </w:rPr>
        <w:t xml:space="preserve"> et al., 2021). Data collection utilized validated instruments, and statistical analysis was conducted through correlation techniques to identify patterns and associations.</w:t>
      </w:r>
    </w:p>
    <w:p w14:paraId="0B1C1628" w14:textId="77777777" w:rsidR="00D87512" w:rsidRPr="00341FA1" w:rsidRDefault="00D87512" w:rsidP="001C0D00">
      <w:pPr>
        <w:jc w:val="both"/>
        <w:rPr>
          <w:rFonts w:ascii="Arial" w:hAnsi="Arial" w:cs="Arial"/>
        </w:rPr>
      </w:pPr>
    </w:p>
    <w:p w14:paraId="197D98ED" w14:textId="77777777" w:rsidR="00A86FCD" w:rsidRPr="00A86FCD" w:rsidRDefault="00A86FCD" w:rsidP="00A86FCD">
      <w:pPr>
        <w:jc w:val="both"/>
        <w:rPr>
          <w:rFonts w:ascii="Arial" w:eastAsia="SimSun" w:hAnsi="Arial" w:cs="Arial"/>
          <w:lang w:eastAsia="zh-CN"/>
        </w:rPr>
      </w:pPr>
      <w:r w:rsidRPr="00A86FCD">
        <w:rPr>
          <w:rFonts w:ascii="Arial" w:eastAsia="SimSun" w:hAnsi="Arial" w:cs="Arial"/>
          <w:lang w:eastAsia="zh-CN"/>
        </w:rPr>
        <w:t>Before data collection, the questionnaire was validated by experts and the Research and Publication Center (RPC). This was followed by approval from the research panel and final clearance from the RPC office. A formal request to conduct the study was submitted and approved by the participating schools. Additionally, the researchers obtained permission from the original author of the questionnaire via email to ensure ethical use of the instrument.</w:t>
      </w:r>
    </w:p>
    <w:p w14:paraId="2EEDB419" w14:textId="77777777" w:rsidR="00DB0E32" w:rsidRPr="00341FA1" w:rsidRDefault="00DB0E32" w:rsidP="00341FA1">
      <w:pPr>
        <w:pStyle w:val="NormalWeb"/>
        <w:spacing w:beforeAutospacing="0" w:afterAutospacing="0" w:line="240" w:lineRule="auto"/>
        <w:ind w:firstLine="0"/>
        <w:rPr>
          <w:rFonts w:eastAsia="Arial"/>
          <w:color w:val="auto"/>
          <w:sz w:val="20"/>
          <w:szCs w:val="20"/>
        </w:rPr>
      </w:pPr>
    </w:p>
    <w:p w14:paraId="03C034ED" w14:textId="2E65BE3B" w:rsidR="00A86FCD" w:rsidRPr="00A86FCD" w:rsidRDefault="00A86FCD" w:rsidP="00A86FCD">
      <w:pPr>
        <w:jc w:val="both"/>
        <w:rPr>
          <w:rFonts w:ascii="Arial" w:eastAsia="Tahoma" w:hAnsi="Arial" w:cs="Arial"/>
        </w:rPr>
      </w:pPr>
      <w:r w:rsidRPr="00A86FCD">
        <w:rPr>
          <w:rFonts w:ascii="Arial" w:eastAsia="Tahoma" w:hAnsi="Arial" w:cs="Arial"/>
        </w:rPr>
        <w:t>The school head signed our letter to conduct the survey. The researcher administered the questionnaire and collected the data. After the survey, the researchers tallied the participants' data, kept it confidential, and used it solely for the study. The research instruments were standardized and validated by panel experts. The researchers then requested a statistician</w:t>
      </w:r>
      <w:r w:rsidR="008D6D2F">
        <w:rPr>
          <w:rFonts w:ascii="Arial" w:eastAsia="Tahoma" w:hAnsi="Arial" w:cs="Arial"/>
        </w:rPr>
        <w:t xml:space="preserve"> </w:t>
      </w:r>
      <w:r w:rsidRPr="00A86FCD">
        <w:rPr>
          <w:rFonts w:ascii="Arial" w:eastAsia="Tahoma" w:hAnsi="Arial" w:cs="Arial"/>
        </w:rPr>
        <w:t>from the RPC office. After approval, they forwarded the consolidated data to the statistician and later collected the results for presentation.</w:t>
      </w:r>
    </w:p>
    <w:p w14:paraId="7FBB0E28" w14:textId="77777777" w:rsidR="00A86FCD" w:rsidRPr="00A86FCD" w:rsidRDefault="00A86FCD" w:rsidP="00A86FCD">
      <w:pPr>
        <w:jc w:val="both"/>
        <w:rPr>
          <w:rFonts w:ascii="Arial" w:eastAsia="Tahoma" w:hAnsi="Arial" w:cs="Arial"/>
        </w:rPr>
      </w:pPr>
    </w:p>
    <w:p w14:paraId="461B1F39" w14:textId="6BE4B625" w:rsidR="00A86FCD" w:rsidRDefault="00A86FCD" w:rsidP="00A86FCD">
      <w:pPr>
        <w:jc w:val="both"/>
        <w:rPr>
          <w:rFonts w:ascii="Arial" w:eastAsia="Tahoma" w:hAnsi="Arial" w:cs="Arial"/>
        </w:rPr>
      </w:pPr>
      <w:r w:rsidRPr="00A86FCD">
        <w:rPr>
          <w:rFonts w:ascii="Arial" w:eastAsia="Tahoma" w:hAnsi="Arial" w:cs="Arial"/>
        </w:rPr>
        <w:t xml:space="preserve">The collected data were tallied, tabulated, and analyzed using descriptive and inferential statistics. The arithmetic mean </w:t>
      </w:r>
      <w:r w:rsidR="002E20B5">
        <w:rPr>
          <w:rFonts w:ascii="Arial" w:eastAsia="Tahoma" w:hAnsi="Arial" w:cs="Arial"/>
        </w:rPr>
        <w:t xml:space="preserve">was </w:t>
      </w:r>
      <w:r w:rsidRPr="00A86FCD">
        <w:rPr>
          <w:rFonts w:ascii="Arial" w:eastAsia="Tahoma" w:hAnsi="Arial" w:cs="Arial"/>
        </w:rPr>
        <w:t xml:space="preserve">calculated </w:t>
      </w:r>
      <w:r w:rsidR="002E20B5">
        <w:rPr>
          <w:rFonts w:ascii="Arial" w:eastAsia="Tahoma" w:hAnsi="Arial" w:cs="Arial"/>
        </w:rPr>
        <w:t xml:space="preserve">from </w:t>
      </w:r>
      <w:r w:rsidRPr="00A86FCD">
        <w:rPr>
          <w:rFonts w:ascii="Arial" w:eastAsia="Tahoma" w:hAnsi="Arial" w:cs="Arial"/>
        </w:rPr>
        <w:t>the average scores (Malakar, 2023). Percentages were calculated based on response frequencies of certain questions (Jia et al., 2024). Lastly, Pearson's r analyzed the hypothesis and the relationships between variables (</w:t>
      </w:r>
      <w:proofErr w:type="spellStart"/>
      <w:r w:rsidRPr="00A86FCD">
        <w:rPr>
          <w:rFonts w:ascii="Arial" w:eastAsia="Tahoma" w:hAnsi="Arial" w:cs="Arial"/>
        </w:rPr>
        <w:t>Temizhan</w:t>
      </w:r>
      <w:proofErr w:type="spellEnd"/>
      <w:r w:rsidRPr="00A86FCD">
        <w:rPr>
          <w:rFonts w:ascii="Arial" w:eastAsia="Tahoma" w:hAnsi="Arial" w:cs="Arial"/>
        </w:rPr>
        <w:t xml:space="preserve"> et al., 2022).</w:t>
      </w:r>
    </w:p>
    <w:p w14:paraId="522F690C" w14:textId="77777777" w:rsidR="00A86FCD" w:rsidRPr="00A86FCD" w:rsidRDefault="00A86FCD" w:rsidP="00A86FCD">
      <w:pPr>
        <w:jc w:val="both"/>
        <w:rPr>
          <w:rFonts w:ascii="Arial" w:eastAsia="Tahoma" w:hAnsi="Arial" w:cs="Arial"/>
        </w:rPr>
      </w:pPr>
    </w:p>
    <w:p w14:paraId="462400F9" w14:textId="05DF1961" w:rsidR="001C0D00" w:rsidRPr="00341FA1" w:rsidRDefault="001C0D00" w:rsidP="001C0D00">
      <w:pPr>
        <w:jc w:val="both"/>
        <w:rPr>
          <w:rFonts w:ascii="Arial" w:eastAsia="Tahoma" w:hAnsi="Arial" w:cs="Arial"/>
          <w:b/>
          <w:bCs/>
          <w:iCs/>
        </w:rPr>
      </w:pPr>
      <w:r w:rsidRPr="00341FA1">
        <w:rPr>
          <w:rFonts w:ascii="Arial" w:eastAsia="Tahoma" w:hAnsi="Arial" w:cs="Arial"/>
          <w:b/>
          <w:bCs/>
          <w:iCs/>
        </w:rPr>
        <w:lastRenderedPageBreak/>
        <w:t xml:space="preserve">2.4 </w:t>
      </w:r>
      <w:r w:rsidRPr="001C0D00">
        <w:rPr>
          <w:rFonts w:ascii="Arial" w:eastAsia="Tahoma" w:hAnsi="Arial" w:cs="Arial"/>
          <w:b/>
          <w:bCs/>
          <w:iCs/>
        </w:rPr>
        <w:t>Ethical Considerations</w:t>
      </w:r>
    </w:p>
    <w:p w14:paraId="29A997E0" w14:textId="77777777" w:rsidR="00341FA1" w:rsidRPr="001C0D00" w:rsidRDefault="00341FA1" w:rsidP="001C0D00">
      <w:pPr>
        <w:jc w:val="both"/>
        <w:rPr>
          <w:rFonts w:ascii="Arial" w:eastAsia="Tahoma" w:hAnsi="Arial" w:cs="Arial"/>
          <w:b/>
          <w:bCs/>
          <w:iCs/>
        </w:rPr>
      </w:pPr>
    </w:p>
    <w:p w14:paraId="4CB21852" w14:textId="458A643C" w:rsidR="00392301" w:rsidRDefault="008D6D2F" w:rsidP="001C0D00">
      <w:pPr>
        <w:jc w:val="both"/>
        <w:rPr>
          <w:rFonts w:ascii="Arial" w:eastAsia="Tahoma" w:hAnsi="Arial" w:cs="Arial"/>
          <w:iCs/>
        </w:rPr>
      </w:pPr>
      <w:r>
        <w:rPr>
          <w:rFonts w:ascii="Arial" w:eastAsia="Tahoma" w:hAnsi="Arial" w:cs="Arial"/>
          <w:iCs/>
        </w:rPr>
        <w:t xml:space="preserve">Ethical considerations were observed as research ethics involve principles and guidelines that protect participants' rights, welfare, and dignity. This study explores environmental education practices and literacy among public school teachers in Davao del Sur and follows strict ethical standards outlined by the UM </w:t>
      </w:r>
      <w:proofErr w:type="spellStart"/>
      <w:r>
        <w:rPr>
          <w:rFonts w:ascii="Arial" w:eastAsia="Tahoma" w:hAnsi="Arial" w:cs="Arial"/>
          <w:iCs/>
        </w:rPr>
        <w:t>Digos</w:t>
      </w:r>
      <w:proofErr w:type="spellEnd"/>
      <w:r>
        <w:rPr>
          <w:rFonts w:ascii="Arial" w:eastAsia="Tahoma" w:hAnsi="Arial" w:cs="Arial"/>
          <w:iCs/>
        </w:rPr>
        <w:t xml:space="preserve"> Research and Publication Center. The researcher ensured that participants' rights were protected while maintaining the study's integrity. Ethical protocols were followed when securing permissions, handling data, and addressing potential risks. Informed consent was obtained from teachers to ensure voluntary participation, protect privacy, and minimize research-related risks.</w:t>
      </w:r>
    </w:p>
    <w:p w14:paraId="454C09B3" w14:textId="77777777" w:rsidR="00A86FCD" w:rsidRPr="001C0D00" w:rsidRDefault="00A86FCD" w:rsidP="001C0D00">
      <w:pPr>
        <w:jc w:val="both"/>
        <w:rPr>
          <w:rFonts w:ascii="Arial" w:eastAsia="Tahoma" w:hAnsi="Arial" w:cs="Arial"/>
          <w:iCs/>
        </w:rPr>
      </w:pPr>
    </w:p>
    <w:p w14:paraId="34FFB542" w14:textId="23DFC841" w:rsidR="002C2B71" w:rsidRPr="008D6D2F" w:rsidRDefault="001C0D00" w:rsidP="002C2B71">
      <w:pPr>
        <w:jc w:val="both"/>
        <w:rPr>
          <w:rFonts w:eastAsia="Tahoma"/>
          <w:iCs/>
        </w:rPr>
      </w:pPr>
      <w:r w:rsidRPr="008D6D2F">
        <w:rPr>
          <w:rFonts w:ascii="Arial" w:eastAsia="Tahoma" w:hAnsi="Arial" w:cs="Arial"/>
          <w:b/>
          <w:bCs/>
          <w:iCs/>
        </w:rPr>
        <w:t>2.</w:t>
      </w:r>
      <w:r w:rsidR="008D6D2F" w:rsidRPr="008D6D2F">
        <w:rPr>
          <w:rFonts w:ascii="Arial" w:eastAsia="Tahoma" w:hAnsi="Arial" w:cs="Arial"/>
          <w:b/>
          <w:bCs/>
          <w:iCs/>
        </w:rPr>
        <w:t>4.1 Voluntary Participation.</w:t>
      </w:r>
      <w:r w:rsidR="008D6D2F" w:rsidRPr="008D6D2F">
        <w:rPr>
          <w:rFonts w:ascii="Arial" w:eastAsia="Tahoma" w:hAnsi="Arial" w:cs="Arial"/>
          <w:iCs/>
        </w:rPr>
        <w:t xml:space="preserve"> Participation in this study was voluntary. All selected teachers were informed of the study's objectives, their involvement, and potential benefits. Teachers could withdraw at any time without negative consequences. No personal identifiers were collected, ensuring anonymity. Responses were anonymized with numeric codes, and only the researcher had access to the matching key. The study respected participants' autonomy in line with ethical guidelines.</w:t>
      </w:r>
    </w:p>
    <w:p w14:paraId="4BC02D3E" w14:textId="50D96EDB" w:rsidR="00392301" w:rsidRPr="008D6D2F" w:rsidRDefault="00392301" w:rsidP="001C0D00">
      <w:pPr>
        <w:jc w:val="both"/>
        <w:rPr>
          <w:rFonts w:ascii="Arial" w:eastAsia="Tahoma" w:hAnsi="Arial" w:cs="Arial"/>
          <w:iCs/>
        </w:rPr>
      </w:pPr>
    </w:p>
    <w:p w14:paraId="1A69CF4A" w14:textId="77777777" w:rsidR="002C2B71" w:rsidRPr="002C2B71" w:rsidRDefault="001C0D00" w:rsidP="002C2B71">
      <w:pPr>
        <w:jc w:val="both"/>
        <w:rPr>
          <w:rFonts w:eastAsia="Tahoma"/>
          <w:iCs/>
        </w:rPr>
      </w:pPr>
      <w:r w:rsidRPr="00341FA1">
        <w:rPr>
          <w:rFonts w:ascii="Arial" w:eastAsia="Tahoma" w:hAnsi="Arial" w:cs="Arial"/>
          <w:b/>
          <w:bCs/>
          <w:iCs/>
        </w:rPr>
        <w:t xml:space="preserve">2.4.2 </w:t>
      </w:r>
      <w:r w:rsidRPr="001C0D00">
        <w:rPr>
          <w:rFonts w:ascii="Arial" w:eastAsia="Tahoma" w:hAnsi="Arial" w:cs="Arial"/>
          <w:b/>
          <w:bCs/>
          <w:iCs/>
        </w:rPr>
        <w:t xml:space="preserve">Privacy and Confidentiality. </w:t>
      </w:r>
      <w:r w:rsidR="002C2B71" w:rsidRPr="002C2B71">
        <w:rPr>
          <w:rFonts w:eastAsia="Tahoma"/>
          <w:bCs/>
          <w:iCs/>
        </w:rPr>
        <w:t>The researcher maintained strict confidentiality throughout the study by following ethical data protection standards. All information from teachers was treated as confidential and used solely for academic purposes. Personal identifiers were removed from the survey to protect privacy. Teachers' responses were securely recorded and only accessible to the researcher. Results were presented in aggregate form to ensure individual responses could not be traced back to participants. This approach fostered trust and encouraged openness, which were essential for the integrity of the research findings.</w:t>
      </w:r>
    </w:p>
    <w:p w14:paraId="2C298CF9" w14:textId="77777777" w:rsidR="00392301" w:rsidRPr="001C0D00" w:rsidRDefault="00392301" w:rsidP="001C0D00">
      <w:pPr>
        <w:jc w:val="both"/>
        <w:rPr>
          <w:rFonts w:ascii="Arial" w:eastAsia="Tahoma" w:hAnsi="Arial" w:cs="Arial"/>
          <w:iCs/>
        </w:rPr>
      </w:pPr>
    </w:p>
    <w:p w14:paraId="27D3B3ED" w14:textId="77777777" w:rsidR="002C2B71" w:rsidRPr="002C2B71" w:rsidRDefault="00557FCC" w:rsidP="002C2B71">
      <w:pPr>
        <w:jc w:val="both"/>
        <w:rPr>
          <w:rFonts w:eastAsia="Tahoma"/>
          <w:iCs/>
        </w:rPr>
      </w:pPr>
      <w:r w:rsidRPr="00341FA1">
        <w:rPr>
          <w:rFonts w:ascii="Arial" w:eastAsia="Tahoma" w:hAnsi="Arial" w:cs="Arial"/>
          <w:b/>
          <w:bCs/>
          <w:iCs/>
        </w:rPr>
        <w:t xml:space="preserve">2.4.3 </w:t>
      </w:r>
      <w:r w:rsidR="001C0D00" w:rsidRPr="001C0D00">
        <w:rPr>
          <w:rFonts w:ascii="Arial" w:eastAsia="Tahoma" w:hAnsi="Arial" w:cs="Arial"/>
          <w:b/>
          <w:bCs/>
          <w:iCs/>
        </w:rPr>
        <w:t>Informed Consent Process.</w:t>
      </w:r>
      <w:r w:rsidR="001C0D00" w:rsidRPr="001C0D00">
        <w:rPr>
          <w:rFonts w:ascii="Arial" w:eastAsia="Tahoma" w:hAnsi="Arial" w:cs="Arial"/>
          <w:iCs/>
        </w:rPr>
        <w:t xml:space="preserve"> </w:t>
      </w:r>
      <w:r w:rsidR="002C2B71" w:rsidRPr="002C2B71">
        <w:rPr>
          <w:rFonts w:eastAsia="Tahoma"/>
          <w:bCs/>
          <w:iCs/>
        </w:rPr>
        <w:t xml:space="preserve">The informed consent process was essential to ensure participants understood the study's purpose and their role. The researcher explained the study's goals, tasks, and potential benefits to the teachers and the educational community. Teachers were informed that participation was voluntary, allowed to ask questions, and provided with a written consent form. They were reminded of their right to withdraw at any time without negative consequences. This process respected the participants' rights and autonomy, ensuring they were aware of their </w:t>
      </w:r>
      <w:r w:rsidR="002C2B71" w:rsidRPr="002C2B71">
        <w:rPr>
          <w:rFonts w:eastAsia="Tahoma"/>
          <w:iCs/>
        </w:rPr>
        <w:t>involvement.</w:t>
      </w:r>
    </w:p>
    <w:p w14:paraId="38A2C4A6" w14:textId="7FAA60D0" w:rsidR="00392301" w:rsidRPr="001C0D00" w:rsidRDefault="00392301" w:rsidP="001C0D00">
      <w:pPr>
        <w:jc w:val="both"/>
        <w:rPr>
          <w:rFonts w:ascii="Arial" w:eastAsia="Tahoma" w:hAnsi="Arial" w:cs="Arial"/>
          <w:iCs/>
        </w:rPr>
      </w:pPr>
    </w:p>
    <w:p w14:paraId="3E8F5DB4" w14:textId="77777777" w:rsidR="002C2B71" w:rsidRPr="002C2B71" w:rsidRDefault="00557FCC" w:rsidP="002C2B71">
      <w:pPr>
        <w:jc w:val="both"/>
        <w:rPr>
          <w:rFonts w:eastAsia="Tahoma"/>
          <w:iCs/>
        </w:rPr>
      </w:pPr>
      <w:r w:rsidRPr="00341FA1">
        <w:rPr>
          <w:rFonts w:ascii="Arial" w:eastAsia="Tahoma" w:hAnsi="Arial" w:cs="Arial"/>
          <w:b/>
          <w:bCs/>
          <w:iCs/>
        </w:rPr>
        <w:t xml:space="preserve">2.4.4 </w:t>
      </w:r>
      <w:r w:rsidR="001C0D00" w:rsidRPr="001C0D00">
        <w:rPr>
          <w:rFonts w:ascii="Arial" w:eastAsia="Tahoma" w:hAnsi="Arial" w:cs="Arial"/>
          <w:b/>
          <w:bCs/>
          <w:iCs/>
        </w:rPr>
        <w:t>Risks.</w:t>
      </w:r>
      <w:r w:rsidR="001C0D00" w:rsidRPr="001C0D00">
        <w:rPr>
          <w:rFonts w:ascii="Arial" w:eastAsia="Tahoma" w:hAnsi="Arial" w:cs="Arial"/>
          <w:iCs/>
        </w:rPr>
        <w:t xml:space="preserve"> </w:t>
      </w:r>
      <w:r w:rsidR="002C2B71" w:rsidRPr="002C2B71">
        <w:rPr>
          <w:rFonts w:eastAsia="Tahoma"/>
          <w:bCs/>
          <w:iCs/>
        </w:rPr>
        <w:t xml:space="preserve">The study involved minimal risks to participants, as it did not require physical or emotional exposure. However, potential discomfort from sharing personal experiences or beliefs about environmental teaching practices was considered. To mitigate these risks, the researcher designed the survey non-intrusively and ensured responses were anonymous. Teachers were reassured that their answers would not impact their professional standing or relationships. The primary goal was to gain insights into environmental education teaching practices for the benefit of teachers and </w:t>
      </w:r>
      <w:r w:rsidR="002C2B71" w:rsidRPr="002C2B71">
        <w:rPr>
          <w:rFonts w:eastAsia="Tahoma"/>
          <w:iCs/>
        </w:rPr>
        <w:t>students.</w:t>
      </w:r>
    </w:p>
    <w:p w14:paraId="41A87F9F" w14:textId="77777777" w:rsidR="00005A15" w:rsidRPr="001C0D00" w:rsidRDefault="00005A15" w:rsidP="001C0D00">
      <w:pPr>
        <w:jc w:val="both"/>
        <w:rPr>
          <w:rFonts w:ascii="Arial" w:eastAsia="Tahoma" w:hAnsi="Arial" w:cs="Arial"/>
          <w:iCs/>
        </w:rPr>
      </w:pPr>
    </w:p>
    <w:p w14:paraId="193961EF" w14:textId="496EE018" w:rsidR="00CE7A43" w:rsidRDefault="00557FCC" w:rsidP="002C2B71">
      <w:pPr>
        <w:jc w:val="both"/>
        <w:rPr>
          <w:rFonts w:eastAsia="Tahoma"/>
          <w:bCs/>
          <w:iCs/>
        </w:rPr>
      </w:pPr>
      <w:r w:rsidRPr="00341FA1">
        <w:rPr>
          <w:rFonts w:ascii="Arial" w:eastAsia="Tahoma" w:hAnsi="Arial" w:cs="Arial"/>
          <w:b/>
          <w:bCs/>
          <w:iCs/>
        </w:rPr>
        <w:t xml:space="preserve">2.4.5 </w:t>
      </w:r>
      <w:r w:rsidR="001C0D00" w:rsidRPr="001C0D00">
        <w:rPr>
          <w:rFonts w:ascii="Arial" w:eastAsia="Tahoma" w:hAnsi="Arial" w:cs="Arial"/>
          <w:b/>
          <w:bCs/>
          <w:iCs/>
        </w:rPr>
        <w:t>Benefits.</w:t>
      </w:r>
      <w:r w:rsidR="001C0D00" w:rsidRPr="001C0D00">
        <w:rPr>
          <w:rFonts w:ascii="Arial" w:eastAsia="Tahoma" w:hAnsi="Arial" w:cs="Arial"/>
          <w:iCs/>
        </w:rPr>
        <w:t xml:space="preserve"> </w:t>
      </w:r>
      <w:r w:rsidR="002C2B71" w:rsidRPr="002C2B71">
        <w:rPr>
          <w:rFonts w:eastAsia="Tahoma"/>
          <w:bCs/>
          <w:iCs/>
        </w:rPr>
        <w:t>This study aims to improve environmental education practices among public school teachers in Davao del Sur. By examining the relationship between teachers' environmental practices and their environmental literacy, the findings will help educators and policymakers develop effective teaching strategies. The results may lead to targeted professional development programs for teachers, enhancing their environmental literacy and teaching methods. Additionally, the study could inform local educational authorities about the need to integrate environmental education into the curriculum, thereby boosting community awareness and action. Teachers, administrators, and policymakers can use these findings to enhance the quality of environmental education in schools and promote sustainable practices in the community.</w:t>
      </w:r>
    </w:p>
    <w:p w14:paraId="1FD6538B" w14:textId="77777777" w:rsidR="00A86FCD" w:rsidRPr="00CE7A43" w:rsidRDefault="00A86FCD" w:rsidP="002C2B71">
      <w:pPr>
        <w:jc w:val="both"/>
        <w:rPr>
          <w:rFonts w:eastAsia="Tahoma"/>
          <w:bCs/>
          <w:iCs/>
        </w:rPr>
      </w:pPr>
    </w:p>
    <w:p w14:paraId="105684B3" w14:textId="77777777" w:rsidR="00CE7A43" w:rsidRPr="00CE7A43" w:rsidRDefault="00557FCC" w:rsidP="00CE7A43">
      <w:pPr>
        <w:jc w:val="both"/>
        <w:rPr>
          <w:rFonts w:eastAsia="Tahoma"/>
          <w:iCs/>
        </w:rPr>
      </w:pPr>
      <w:r w:rsidRPr="00341FA1">
        <w:rPr>
          <w:rFonts w:ascii="Arial" w:eastAsia="Tahoma" w:hAnsi="Arial" w:cs="Arial"/>
          <w:b/>
          <w:bCs/>
          <w:iCs/>
        </w:rPr>
        <w:lastRenderedPageBreak/>
        <w:t xml:space="preserve">2.4.6 </w:t>
      </w:r>
      <w:r w:rsidR="001C0D00" w:rsidRPr="001C0D00">
        <w:rPr>
          <w:rFonts w:ascii="Arial" w:eastAsia="Tahoma" w:hAnsi="Arial" w:cs="Arial"/>
          <w:b/>
          <w:bCs/>
          <w:iCs/>
        </w:rPr>
        <w:t xml:space="preserve">Plagiarism and Fabrication. </w:t>
      </w:r>
      <w:r w:rsidR="00CE7A43" w:rsidRPr="00CE7A43">
        <w:rPr>
          <w:rFonts w:eastAsia="Tahoma"/>
          <w:bCs/>
          <w:iCs/>
        </w:rPr>
        <w:t xml:space="preserve">To ensure academic integrity, the researcher adhered to strict guidelines regarding plagiarism and fabrication. All sources were properly cited, and the paper underwent thorough plagiarism checks using Turnitin and Grammarly. The researcher used credible, peer-reviewed sources, accurately citing quotes and paraphrased material. The study relied on verified data and literature, ensuring conclusions were based on sound evidence. This process maintained the study's credibility and </w:t>
      </w:r>
      <w:r w:rsidR="00CE7A43" w:rsidRPr="00CE7A43">
        <w:rPr>
          <w:rFonts w:eastAsia="Tahoma"/>
          <w:iCs/>
        </w:rPr>
        <w:t>authenticity.</w:t>
      </w:r>
    </w:p>
    <w:p w14:paraId="06489DC4" w14:textId="622D71BC" w:rsidR="00392301" w:rsidRPr="001C0D00" w:rsidRDefault="00392301" w:rsidP="001C0D00">
      <w:pPr>
        <w:jc w:val="both"/>
        <w:rPr>
          <w:rFonts w:ascii="Arial" w:eastAsia="Tahoma" w:hAnsi="Arial" w:cs="Arial"/>
          <w:iCs/>
        </w:rPr>
      </w:pPr>
    </w:p>
    <w:p w14:paraId="22229C7B" w14:textId="5926443E" w:rsidR="001C0D00" w:rsidRPr="00CE7A43" w:rsidRDefault="00557FCC" w:rsidP="001C0D00">
      <w:pPr>
        <w:jc w:val="both"/>
        <w:rPr>
          <w:rFonts w:eastAsia="Tahoma"/>
          <w:iCs/>
        </w:rPr>
      </w:pPr>
      <w:r w:rsidRPr="00341FA1">
        <w:rPr>
          <w:rFonts w:ascii="Arial" w:eastAsia="Tahoma" w:hAnsi="Arial" w:cs="Arial"/>
          <w:b/>
          <w:bCs/>
          <w:iCs/>
        </w:rPr>
        <w:t>2.4.7</w:t>
      </w:r>
      <w:r w:rsidR="00B427F5">
        <w:rPr>
          <w:rFonts w:ascii="Arial" w:eastAsia="Tahoma" w:hAnsi="Arial" w:cs="Arial"/>
          <w:b/>
          <w:bCs/>
          <w:iCs/>
        </w:rPr>
        <w:t xml:space="preserve"> </w:t>
      </w:r>
      <w:r w:rsidR="001C0D00" w:rsidRPr="001C0D00">
        <w:rPr>
          <w:rFonts w:ascii="Arial" w:eastAsia="Tahoma" w:hAnsi="Arial" w:cs="Arial"/>
          <w:b/>
          <w:bCs/>
          <w:iCs/>
        </w:rPr>
        <w:t>Falsification.</w:t>
      </w:r>
      <w:r w:rsidR="00CE7A43">
        <w:rPr>
          <w:rFonts w:ascii="Arial" w:eastAsia="Tahoma" w:hAnsi="Arial" w:cs="Arial"/>
          <w:b/>
          <w:bCs/>
          <w:iCs/>
        </w:rPr>
        <w:t xml:space="preserve"> </w:t>
      </w:r>
      <w:r w:rsidR="00CE7A43" w:rsidRPr="00CE7A43">
        <w:rPr>
          <w:rFonts w:eastAsia="Tahoma"/>
          <w:bCs/>
          <w:iCs/>
        </w:rPr>
        <w:t>The study adhered to strict rules for data accuracy and representation. The collected data were analyzed and reported without alterations. The researcher presented all findings transparently and honestly, with no manipulation to fit predetermined conclusions. By presenting the data authentically, the study's results accurately reflected the participating teachers' environmental education practices and literacy levels.</w:t>
      </w:r>
    </w:p>
    <w:p w14:paraId="680FFC79" w14:textId="77777777" w:rsidR="00392301" w:rsidRPr="001C0D00" w:rsidRDefault="00392301" w:rsidP="001C0D00">
      <w:pPr>
        <w:jc w:val="both"/>
        <w:rPr>
          <w:rFonts w:ascii="Arial" w:eastAsia="Tahoma" w:hAnsi="Arial" w:cs="Arial"/>
          <w:iCs/>
        </w:rPr>
      </w:pPr>
    </w:p>
    <w:p w14:paraId="24D9EBC2" w14:textId="55CA509E" w:rsidR="001C0D00" w:rsidRPr="00CE7A43" w:rsidRDefault="00557FCC" w:rsidP="00CE7A43">
      <w:pPr>
        <w:jc w:val="both"/>
        <w:rPr>
          <w:rFonts w:eastAsia="Tahoma"/>
          <w:iCs/>
        </w:rPr>
      </w:pPr>
      <w:r w:rsidRPr="00341FA1">
        <w:rPr>
          <w:rFonts w:ascii="Arial" w:eastAsia="Tahoma" w:hAnsi="Arial" w:cs="Arial"/>
          <w:b/>
          <w:bCs/>
          <w:iCs/>
        </w:rPr>
        <w:t xml:space="preserve">2.4.8 </w:t>
      </w:r>
      <w:r w:rsidR="001C0D00" w:rsidRPr="001C0D00">
        <w:rPr>
          <w:rFonts w:ascii="Arial" w:eastAsia="Tahoma" w:hAnsi="Arial" w:cs="Arial"/>
          <w:b/>
          <w:bCs/>
          <w:iCs/>
        </w:rPr>
        <w:t>Conflict of Interest.</w:t>
      </w:r>
      <w:r w:rsidR="001C0D00" w:rsidRPr="001C0D00">
        <w:rPr>
          <w:rFonts w:ascii="Arial" w:eastAsia="Tahoma" w:hAnsi="Arial" w:cs="Arial"/>
          <w:iCs/>
        </w:rPr>
        <w:t xml:space="preserve"> </w:t>
      </w:r>
      <w:r w:rsidR="00CE7A43" w:rsidRPr="00CE7A43">
        <w:rPr>
          <w:rFonts w:eastAsia="Tahoma"/>
          <w:bCs/>
          <w:iCs/>
        </w:rPr>
        <w:t>The study was conducted transparently, with no conflicts of interest. The researcher had no financial or personal interests that could influence the outcomes. Guided by academic and ethical principles, the research aimed to produce unbiased results, focusing solely on the relationship between teachers' environmental education practices and their environmental literacy</w:t>
      </w:r>
    </w:p>
    <w:p w14:paraId="17696AB4" w14:textId="77777777" w:rsidR="00392301" w:rsidRPr="001C0D00" w:rsidRDefault="00392301" w:rsidP="001C0D00">
      <w:pPr>
        <w:jc w:val="both"/>
        <w:rPr>
          <w:rFonts w:ascii="Arial" w:eastAsia="Tahoma" w:hAnsi="Arial" w:cs="Arial"/>
          <w:iCs/>
        </w:rPr>
      </w:pPr>
    </w:p>
    <w:p w14:paraId="51341C3B" w14:textId="77777777" w:rsidR="00CE7A43" w:rsidRPr="00CE7A43" w:rsidRDefault="00557FCC" w:rsidP="00CE7A43">
      <w:pPr>
        <w:jc w:val="both"/>
        <w:rPr>
          <w:rFonts w:eastAsia="Tahoma"/>
          <w:iCs/>
        </w:rPr>
      </w:pPr>
      <w:r w:rsidRPr="00341FA1">
        <w:rPr>
          <w:rFonts w:ascii="Arial" w:eastAsia="Tahoma" w:hAnsi="Arial" w:cs="Arial"/>
          <w:b/>
          <w:bCs/>
          <w:iCs/>
        </w:rPr>
        <w:t xml:space="preserve">2.4.9 </w:t>
      </w:r>
      <w:r w:rsidR="001C0D00" w:rsidRPr="001C0D00">
        <w:rPr>
          <w:rFonts w:ascii="Arial" w:eastAsia="Tahoma" w:hAnsi="Arial" w:cs="Arial"/>
          <w:b/>
          <w:bCs/>
          <w:iCs/>
        </w:rPr>
        <w:t xml:space="preserve">Deceit. </w:t>
      </w:r>
      <w:r w:rsidR="00CE7A43" w:rsidRPr="00CE7A43">
        <w:rPr>
          <w:rFonts w:eastAsia="Tahoma"/>
          <w:bCs/>
          <w:iCs/>
        </w:rPr>
        <w:t>The researcher ensured no deceit in the research process. All information was presented truthfully, and no data were fabricated or manipulated. The research followed ethical guidelines in data collection, analysis, and reporting. The study was transparent, and experts validated all findings to ensure integrity and no intent to deceive or mislead participants.</w:t>
      </w:r>
    </w:p>
    <w:p w14:paraId="273FAB28" w14:textId="572BE2D1" w:rsidR="00392301" w:rsidRPr="001C0D00" w:rsidRDefault="00392301" w:rsidP="001C0D00">
      <w:pPr>
        <w:jc w:val="both"/>
        <w:rPr>
          <w:rFonts w:ascii="Arial" w:eastAsia="Tahoma" w:hAnsi="Arial" w:cs="Arial"/>
          <w:iCs/>
        </w:rPr>
      </w:pPr>
    </w:p>
    <w:p w14:paraId="138132AB" w14:textId="77777777" w:rsidR="00CE7A43" w:rsidRDefault="00557FCC" w:rsidP="00CE7A43">
      <w:pPr>
        <w:jc w:val="both"/>
        <w:rPr>
          <w:rFonts w:eastAsia="Tahoma"/>
          <w:iCs/>
        </w:rPr>
      </w:pPr>
      <w:r w:rsidRPr="00341FA1">
        <w:rPr>
          <w:rFonts w:ascii="Arial" w:eastAsia="Tahoma" w:hAnsi="Arial" w:cs="Arial"/>
          <w:b/>
          <w:bCs/>
          <w:iCs/>
        </w:rPr>
        <w:t xml:space="preserve">2.4.10 </w:t>
      </w:r>
      <w:r w:rsidR="001C0D00" w:rsidRPr="001C0D00">
        <w:rPr>
          <w:rFonts w:ascii="Arial" w:eastAsia="Tahoma" w:hAnsi="Arial" w:cs="Arial"/>
          <w:b/>
          <w:bCs/>
          <w:iCs/>
        </w:rPr>
        <w:t>Permission from Organization/Location.</w:t>
      </w:r>
      <w:r w:rsidR="001C0D00" w:rsidRPr="001C0D00">
        <w:rPr>
          <w:rFonts w:ascii="Arial" w:eastAsia="Tahoma" w:hAnsi="Arial" w:cs="Arial"/>
          <w:iCs/>
        </w:rPr>
        <w:t xml:space="preserve"> </w:t>
      </w:r>
      <w:r w:rsidR="00CE7A43" w:rsidRPr="00CE7A43">
        <w:rPr>
          <w:rFonts w:eastAsia="Tahoma"/>
          <w:bCs/>
          <w:iCs/>
        </w:rPr>
        <w:t xml:space="preserve">Formal permission to conduct the study was obtained from the relevant authorities in the public schools of Davao del Sur. A letter of request was sent to the school administrators for approval to engage teachers in the study. The research proceeded only after obtaining the necessary permissions, ensuring compliance with institutional </w:t>
      </w:r>
      <w:r w:rsidR="00CE7A43" w:rsidRPr="00CE7A43">
        <w:rPr>
          <w:rFonts w:eastAsia="Tahoma"/>
          <w:iCs/>
        </w:rPr>
        <w:t>protocols.</w:t>
      </w:r>
    </w:p>
    <w:p w14:paraId="24126409" w14:textId="77777777" w:rsidR="00CE7A43" w:rsidRPr="00CE7A43" w:rsidRDefault="00CE7A43" w:rsidP="00CE7A43">
      <w:pPr>
        <w:rPr>
          <w:rFonts w:eastAsia="Tahoma"/>
          <w:iCs/>
        </w:rPr>
      </w:pPr>
    </w:p>
    <w:p w14:paraId="51042095" w14:textId="77777777" w:rsidR="00ED7685" w:rsidRPr="00ED7685" w:rsidRDefault="00557FCC" w:rsidP="00ED7685">
      <w:pPr>
        <w:jc w:val="both"/>
        <w:rPr>
          <w:rFonts w:eastAsia="Tahoma"/>
          <w:iCs/>
        </w:rPr>
      </w:pPr>
      <w:r w:rsidRPr="00341FA1">
        <w:rPr>
          <w:rFonts w:ascii="Arial" w:eastAsia="Tahoma" w:hAnsi="Arial" w:cs="Arial"/>
          <w:b/>
          <w:bCs/>
          <w:iCs/>
        </w:rPr>
        <w:t xml:space="preserve">2.4.11 </w:t>
      </w:r>
      <w:r w:rsidR="001C0D00" w:rsidRPr="001C0D00">
        <w:rPr>
          <w:rFonts w:ascii="Arial" w:eastAsia="Tahoma" w:hAnsi="Arial" w:cs="Arial"/>
          <w:b/>
          <w:bCs/>
          <w:iCs/>
        </w:rPr>
        <w:t>Authorship.</w:t>
      </w:r>
      <w:r w:rsidR="001C0D00" w:rsidRPr="001C0D00">
        <w:rPr>
          <w:rFonts w:ascii="Arial" w:eastAsia="Tahoma" w:hAnsi="Arial" w:cs="Arial"/>
          <w:iCs/>
        </w:rPr>
        <w:t xml:space="preserve"> </w:t>
      </w:r>
      <w:r w:rsidR="00ED7685" w:rsidRPr="00ED7685">
        <w:rPr>
          <w:rFonts w:eastAsia="Tahoma"/>
          <w:bCs/>
          <w:iCs/>
        </w:rPr>
        <w:t xml:space="preserve">This study followed proper authorship guidelines. The researcher collaborated with the adviser on the research design, data analysis, and report drafting, ensuring a high-quality final </w:t>
      </w:r>
      <w:r w:rsidR="00ED7685" w:rsidRPr="00ED7685">
        <w:rPr>
          <w:rFonts w:eastAsia="Tahoma"/>
          <w:iCs/>
        </w:rPr>
        <w:t>manuscript.</w:t>
      </w:r>
    </w:p>
    <w:p w14:paraId="6EECB4B5" w14:textId="2662DBD5" w:rsidR="004E3548" w:rsidRPr="00341FA1" w:rsidRDefault="004E3548" w:rsidP="00ED7685">
      <w:pPr>
        <w:jc w:val="both"/>
        <w:rPr>
          <w:rFonts w:ascii="Arial" w:hAnsi="Arial" w:cs="Arial"/>
          <w:b/>
          <w:u w:val="single"/>
        </w:rPr>
      </w:pPr>
    </w:p>
    <w:p w14:paraId="5AD493A9" w14:textId="77777777" w:rsidR="00790ADA" w:rsidRPr="00FB3A86" w:rsidRDefault="00790ADA" w:rsidP="00441B6F">
      <w:pPr>
        <w:pStyle w:val="Body"/>
        <w:spacing w:after="0"/>
        <w:rPr>
          <w:rFonts w:ascii="Arial" w:hAnsi="Arial" w:cs="Arial"/>
        </w:rPr>
      </w:pPr>
    </w:p>
    <w:p w14:paraId="054AA351" w14:textId="062D9DC7" w:rsidR="00557FCC" w:rsidRDefault="00000F8F" w:rsidP="00557FCC">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2F2B1F9" w14:textId="77777777" w:rsidR="00341FA1" w:rsidRPr="00557FCC" w:rsidRDefault="00341FA1" w:rsidP="00557FCC">
      <w:pPr>
        <w:pStyle w:val="Head1"/>
        <w:spacing w:after="0"/>
        <w:jc w:val="both"/>
        <w:rPr>
          <w:rFonts w:ascii="Arial" w:hAnsi="Arial" w:cs="Arial"/>
        </w:rPr>
      </w:pPr>
    </w:p>
    <w:p w14:paraId="11E23F93" w14:textId="73962C65" w:rsidR="00BA36F5" w:rsidRDefault="00BA36F5" w:rsidP="00BA36F5">
      <w:pPr>
        <w:rPr>
          <w:rFonts w:ascii="Arial" w:eastAsia="Tahoma" w:hAnsi="Arial" w:cs="Arial"/>
          <w:b/>
          <w:bCs/>
        </w:rPr>
      </w:pPr>
      <w:r w:rsidRPr="00341FA1">
        <w:rPr>
          <w:rFonts w:ascii="Arial" w:eastAsia="Tahoma" w:hAnsi="Arial" w:cs="Arial"/>
          <w:b/>
          <w:bCs/>
        </w:rPr>
        <w:t>3.1 Level of Elementary Teachers' Environmental Practices</w:t>
      </w:r>
    </w:p>
    <w:p w14:paraId="3194C726" w14:textId="77777777" w:rsidR="00D2435E" w:rsidRPr="00341FA1" w:rsidRDefault="00D2435E" w:rsidP="00BA36F5">
      <w:pPr>
        <w:rPr>
          <w:rFonts w:ascii="Arial" w:hAnsi="Arial" w:cs="Arial"/>
          <w:b/>
          <w:bCs/>
          <w:lang w:eastAsia="zh-CN"/>
        </w:rPr>
      </w:pPr>
    </w:p>
    <w:p w14:paraId="2FAD981C" w14:textId="5A919EF3" w:rsidR="00BA36F5" w:rsidRPr="00341FA1" w:rsidRDefault="00BA36F5" w:rsidP="00BA36F5">
      <w:pPr>
        <w:jc w:val="both"/>
        <w:rPr>
          <w:rFonts w:ascii="Arial" w:eastAsia="Arial" w:hAnsi="Arial" w:cs="Arial"/>
        </w:rPr>
      </w:pPr>
      <w:r w:rsidRPr="00341FA1">
        <w:rPr>
          <w:rFonts w:ascii="Arial" w:eastAsia="Arial" w:hAnsi="Arial" w:cs="Arial"/>
        </w:rPr>
        <w:t xml:space="preserve">Table </w:t>
      </w:r>
      <w:r w:rsidR="00570855">
        <w:rPr>
          <w:rFonts w:ascii="Arial" w:eastAsia="Arial" w:hAnsi="Arial" w:cs="Arial"/>
        </w:rPr>
        <w:t>5</w:t>
      </w:r>
      <w:r w:rsidRPr="00341FA1">
        <w:rPr>
          <w:rFonts w:ascii="Arial" w:eastAsia="Arial" w:hAnsi="Arial" w:cs="Arial"/>
        </w:rPr>
        <w:t xml:space="preserve"> illustrates the extent of environmental practices among elementary teachers, displaying an overall mean of 4.17(SD=0.36), which is very high. It is interpreted as the expected level of competence described in the indicators, which is highly demonstrated. </w:t>
      </w:r>
      <w:r w:rsidRPr="00341FA1">
        <w:rPr>
          <w:rFonts w:ascii="Arial" w:hAnsi="Arial" w:cs="Arial"/>
        </w:rPr>
        <w:t xml:space="preserve">The mean for the Environmental Education Attitudes was 4.42(SD=0.34), which is very high. </w:t>
      </w:r>
      <w:r w:rsidRPr="00341FA1">
        <w:rPr>
          <w:rFonts w:ascii="Arial" w:eastAsia="Arial" w:hAnsi="Arial" w:cs="Arial"/>
        </w:rPr>
        <w:t>The expected level of competence described in the indicators is highly demonstrated. The findings reveal that the respondents exhibit notably high enthusiasm and positive attitudes toward incorporating environmental education into their teaching practices.</w:t>
      </w:r>
      <w:r w:rsidRPr="00341FA1">
        <w:rPr>
          <w:rFonts w:ascii="Arial" w:hAnsi="Arial" w:cs="Arial"/>
        </w:rPr>
        <w:t xml:space="preserve"> Also, the mean for Teacher Practices in Environmental Education was 3.91(SD=0.48), which is high. The expected levels of competence described in the indicators are demonstrated at an average level.</w:t>
      </w:r>
      <w:r w:rsidRPr="00341FA1">
        <w:rPr>
          <w:rFonts w:ascii="Arial" w:eastAsia="Arial" w:hAnsi="Arial" w:cs="Arial"/>
        </w:rPr>
        <w:t xml:space="preserve">  </w:t>
      </w:r>
    </w:p>
    <w:p w14:paraId="12E60F8F" w14:textId="77777777" w:rsidR="00BA36F5" w:rsidRDefault="00BA36F5" w:rsidP="00BA36F5">
      <w:pPr>
        <w:rPr>
          <w:rFonts w:eastAsia="Arial"/>
        </w:rPr>
      </w:pPr>
    </w:p>
    <w:p w14:paraId="726DA94F" w14:textId="77037A41" w:rsidR="00BA36F5" w:rsidRPr="00D2435E" w:rsidRDefault="00BA36F5" w:rsidP="00BA36F5">
      <w:pPr>
        <w:rPr>
          <w:rFonts w:ascii="Arial" w:eastAsia="Arial" w:hAnsi="Arial" w:cs="Arial"/>
          <w:b/>
        </w:rPr>
      </w:pPr>
      <w:r w:rsidRPr="00D2435E">
        <w:rPr>
          <w:rFonts w:ascii="Arial" w:hAnsi="Arial" w:cs="Arial"/>
          <w:b/>
        </w:rPr>
        <w:t xml:space="preserve">Table </w:t>
      </w:r>
      <w:r w:rsidR="00570855">
        <w:rPr>
          <w:rFonts w:ascii="Arial" w:hAnsi="Arial" w:cs="Arial"/>
          <w:b/>
        </w:rPr>
        <w:t>5</w:t>
      </w:r>
      <w:r w:rsidRPr="00D2435E">
        <w:rPr>
          <w:rFonts w:ascii="Arial" w:hAnsi="Arial" w:cs="Arial"/>
          <w:b/>
        </w:rPr>
        <w:t>. Level of Environmental Practices</w:t>
      </w:r>
    </w:p>
    <w:p w14:paraId="6CCA238E" w14:textId="77777777" w:rsidR="00790ADA" w:rsidRDefault="00790ADA" w:rsidP="00441B6F">
      <w:pPr>
        <w:pStyle w:val="Body"/>
        <w:spacing w:after="0"/>
        <w:rPr>
          <w:rFonts w:ascii="Arial" w:hAnsi="Arial" w:cs="Arial"/>
        </w:rPr>
      </w:pPr>
    </w:p>
    <w:tbl>
      <w:tblPr>
        <w:tblW w:w="0" w:type="auto"/>
        <w:jc w:val="center"/>
        <w:tblBorders>
          <w:top w:val="single" w:sz="4" w:space="0" w:color="auto"/>
          <w:bottom w:val="single" w:sz="4" w:space="0" w:color="auto"/>
        </w:tblBorders>
        <w:tblLayout w:type="fixed"/>
        <w:tblLook w:val="04A0" w:firstRow="1" w:lastRow="0" w:firstColumn="1" w:lastColumn="0" w:noHBand="0" w:noVBand="1"/>
      </w:tblPr>
      <w:tblGrid>
        <w:gridCol w:w="5334"/>
        <w:gridCol w:w="1595"/>
        <w:gridCol w:w="1327"/>
      </w:tblGrid>
      <w:tr w:rsidR="00BA36F5" w:rsidRPr="00341FA1" w14:paraId="108BA4A8" w14:textId="77777777" w:rsidTr="0053411E">
        <w:trPr>
          <w:trHeight w:val="323"/>
          <w:jc w:val="center"/>
        </w:trPr>
        <w:tc>
          <w:tcPr>
            <w:tcW w:w="5334" w:type="dxa"/>
            <w:tcBorders>
              <w:bottom w:val="single" w:sz="4" w:space="0" w:color="auto"/>
            </w:tcBorders>
            <w:shd w:val="clear" w:color="auto" w:fill="FFFFFF"/>
            <w:noWrap/>
            <w:vAlign w:val="bottom"/>
          </w:tcPr>
          <w:p w14:paraId="654C6B32" w14:textId="77777777" w:rsidR="00BA36F5" w:rsidRPr="00341FA1" w:rsidRDefault="00BA36F5" w:rsidP="0053411E">
            <w:pPr>
              <w:rPr>
                <w:rFonts w:ascii="Arial" w:hAnsi="Arial" w:cs="Arial"/>
                <w:b/>
              </w:rPr>
            </w:pPr>
            <w:r w:rsidRPr="00341FA1">
              <w:rPr>
                <w:rFonts w:ascii="Arial" w:hAnsi="Arial" w:cs="Arial"/>
                <w:b/>
              </w:rPr>
              <w:lastRenderedPageBreak/>
              <w:t>Indicators</w:t>
            </w:r>
          </w:p>
        </w:tc>
        <w:tc>
          <w:tcPr>
            <w:tcW w:w="1595" w:type="dxa"/>
            <w:tcBorders>
              <w:bottom w:val="single" w:sz="4" w:space="0" w:color="auto"/>
            </w:tcBorders>
            <w:shd w:val="clear" w:color="auto" w:fill="FFFFFF"/>
            <w:noWrap/>
            <w:vAlign w:val="center"/>
          </w:tcPr>
          <w:p w14:paraId="3FB94983" w14:textId="77777777" w:rsidR="00BA36F5" w:rsidRPr="00341FA1" w:rsidRDefault="00BA36F5" w:rsidP="0053411E">
            <w:pPr>
              <w:jc w:val="center"/>
              <w:rPr>
                <w:rFonts w:ascii="Arial" w:hAnsi="Arial" w:cs="Arial"/>
                <w:b/>
              </w:rPr>
            </w:pPr>
            <w:r w:rsidRPr="00341FA1">
              <w:rPr>
                <w:rFonts w:ascii="Arial" w:hAnsi="Arial" w:cs="Arial"/>
                <w:b/>
              </w:rPr>
              <w:t>x̄</w:t>
            </w:r>
          </w:p>
        </w:tc>
        <w:tc>
          <w:tcPr>
            <w:tcW w:w="1327" w:type="dxa"/>
            <w:tcBorders>
              <w:bottom w:val="single" w:sz="4" w:space="0" w:color="auto"/>
            </w:tcBorders>
            <w:shd w:val="clear" w:color="auto" w:fill="FFFFFF"/>
            <w:noWrap/>
            <w:vAlign w:val="center"/>
          </w:tcPr>
          <w:p w14:paraId="4245F318" w14:textId="77777777" w:rsidR="00BA36F5" w:rsidRPr="00341FA1" w:rsidRDefault="00BA36F5" w:rsidP="0053411E">
            <w:pPr>
              <w:jc w:val="center"/>
              <w:rPr>
                <w:rFonts w:ascii="Arial" w:hAnsi="Arial" w:cs="Arial"/>
                <w:b/>
              </w:rPr>
            </w:pPr>
            <w:r w:rsidRPr="00341FA1">
              <w:rPr>
                <w:rFonts w:ascii="Arial" w:hAnsi="Arial" w:cs="Arial"/>
                <w:b/>
              </w:rPr>
              <w:t>SD</w:t>
            </w:r>
          </w:p>
        </w:tc>
      </w:tr>
      <w:tr w:rsidR="00BA36F5" w:rsidRPr="00341FA1" w14:paraId="02249D80" w14:textId="77777777" w:rsidTr="0053411E">
        <w:trPr>
          <w:trHeight w:val="256"/>
          <w:jc w:val="center"/>
        </w:trPr>
        <w:tc>
          <w:tcPr>
            <w:tcW w:w="5334" w:type="dxa"/>
            <w:tcBorders>
              <w:top w:val="single" w:sz="4" w:space="0" w:color="auto"/>
            </w:tcBorders>
            <w:shd w:val="clear" w:color="auto" w:fill="FFFFFF"/>
            <w:noWrap/>
            <w:vAlign w:val="center"/>
          </w:tcPr>
          <w:p w14:paraId="583878B4" w14:textId="77777777" w:rsidR="00BA36F5" w:rsidRPr="00341FA1" w:rsidRDefault="00BA36F5" w:rsidP="0053411E">
            <w:pPr>
              <w:rPr>
                <w:rFonts w:ascii="Arial" w:hAnsi="Arial" w:cs="Arial"/>
                <w:bCs/>
              </w:rPr>
            </w:pPr>
            <w:r w:rsidRPr="00341FA1">
              <w:rPr>
                <w:rFonts w:ascii="Arial" w:hAnsi="Arial" w:cs="Arial"/>
                <w:bCs/>
              </w:rPr>
              <w:t>Environmental Education Attitudes</w:t>
            </w:r>
          </w:p>
        </w:tc>
        <w:tc>
          <w:tcPr>
            <w:tcW w:w="1595" w:type="dxa"/>
            <w:tcBorders>
              <w:top w:val="single" w:sz="4" w:space="0" w:color="auto"/>
            </w:tcBorders>
            <w:shd w:val="clear" w:color="auto" w:fill="FFFFFF"/>
            <w:noWrap/>
            <w:vAlign w:val="center"/>
          </w:tcPr>
          <w:p w14:paraId="097B69A9" w14:textId="77777777" w:rsidR="00BA36F5" w:rsidRPr="00341FA1" w:rsidRDefault="00BA36F5" w:rsidP="0053411E">
            <w:pPr>
              <w:jc w:val="center"/>
              <w:rPr>
                <w:rFonts w:ascii="Arial" w:hAnsi="Arial" w:cs="Arial"/>
              </w:rPr>
            </w:pPr>
            <w:r w:rsidRPr="00341FA1">
              <w:rPr>
                <w:rFonts w:ascii="Arial" w:hAnsi="Arial" w:cs="Arial"/>
              </w:rPr>
              <w:t>4.42</w:t>
            </w:r>
          </w:p>
        </w:tc>
        <w:tc>
          <w:tcPr>
            <w:tcW w:w="1327" w:type="dxa"/>
            <w:tcBorders>
              <w:top w:val="single" w:sz="4" w:space="0" w:color="auto"/>
            </w:tcBorders>
            <w:shd w:val="clear" w:color="auto" w:fill="FFFFFF"/>
            <w:noWrap/>
            <w:vAlign w:val="center"/>
          </w:tcPr>
          <w:p w14:paraId="5E912AD2" w14:textId="77777777" w:rsidR="00BA36F5" w:rsidRPr="00341FA1" w:rsidRDefault="00BA36F5" w:rsidP="0053411E">
            <w:pPr>
              <w:jc w:val="center"/>
              <w:rPr>
                <w:rFonts w:ascii="Arial" w:hAnsi="Arial" w:cs="Arial"/>
              </w:rPr>
            </w:pPr>
            <w:r w:rsidRPr="00341FA1">
              <w:rPr>
                <w:rFonts w:ascii="Arial" w:hAnsi="Arial" w:cs="Arial"/>
              </w:rPr>
              <w:t>0.34</w:t>
            </w:r>
          </w:p>
        </w:tc>
      </w:tr>
      <w:tr w:rsidR="00BA36F5" w:rsidRPr="00341FA1" w14:paraId="04662611" w14:textId="77777777" w:rsidTr="0053411E">
        <w:trPr>
          <w:trHeight w:val="162"/>
          <w:jc w:val="center"/>
        </w:trPr>
        <w:tc>
          <w:tcPr>
            <w:tcW w:w="5334" w:type="dxa"/>
            <w:shd w:val="clear" w:color="auto" w:fill="FFFFFF"/>
            <w:noWrap/>
            <w:vAlign w:val="center"/>
          </w:tcPr>
          <w:p w14:paraId="51BAD77E" w14:textId="77777777" w:rsidR="00BA36F5" w:rsidRPr="00341FA1" w:rsidRDefault="00BA36F5" w:rsidP="0053411E">
            <w:pPr>
              <w:rPr>
                <w:rFonts w:ascii="Arial" w:hAnsi="Arial" w:cs="Arial"/>
                <w:bCs/>
              </w:rPr>
            </w:pPr>
            <w:r w:rsidRPr="00341FA1">
              <w:rPr>
                <w:rFonts w:ascii="Arial" w:hAnsi="Arial" w:cs="Arial"/>
                <w:bCs/>
              </w:rPr>
              <w:t>Teacher Practices in Environmental Education</w:t>
            </w:r>
          </w:p>
        </w:tc>
        <w:tc>
          <w:tcPr>
            <w:tcW w:w="1595" w:type="dxa"/>
            <w:shd w:val="clear" w:color="auto" w:fill="FFFFFF"/>
            <w:noWrap/>
            <w:vAlign w:val="center"/>
          </w:tcPr>
          <w:p w14:paraId="07E9EC1F" w14:textId="77777777" w:rsidR="00BA36F5" w:rsidRPr="00341FA1" w:rsidRDefault="00BA36F5" w:rsidP="0053411E">
            <w:pPr>
              <w:jc w:val="center"/>
              <w:rPr>
                <w:rFonts w:ascii="Arial" w:hAnsi="Arial" w:cs="Arial"/>
              </w:rPr>
            </w:pPr>
            <w:r w:rsidRPr="00341FA1">
              <w:rPr>
                <w:rFonts w:ascii="Arial" w:hAnsi="Arial" w:cs="Arial"/>
              </w:rPr>
              <w:t>3.91</w:t>
            </w:r>
          </w:p>
        </w:tc>
        <w:tc>
          <w:tcPr>
            <w:tcW w:w="1327" w:type="dxa"/>
            <w:shd w:val="clear" w:color="auto" w:fill="FFFFFF"/>
            <w:noWrap/>
            <w:vAlign w:val="center"/>
          </w:tcPr>
          <w:p w14:paraId="34142898" w14:textId="77777777" w:rsidR="00BA36F5" w:rsidRPr="00341FA1" w:rsidRDefault="00BA36F5" w:rsidP="0053411E">
            <w:pPr>
              <w:jc w:val="center"/>
              <w:rPr>
                <w:rFonts w:ascii="Arial" w:hAnsi="Arial" w:cs="Arial"/>
              </w:rPr>
            </w:pPr>
            <w:r w:rsidRPr="00341FA1">
              <w:rPr>
                <w:rFonts w:ascii="Arial" w:hAnsi="Arial" w:cs="Arial"/>
              </w:rPr>
              <w:t>0.48</w:t>
            </w:r>
          </w:p>
        </w:tc>
      </w:tr>
      <w:tr w:rsidR="00BA36F5" w:rsidRPr="00341FA1" w14:paraId="5A7F362F" w14:textId="77777777" w:rsidTr="0053411E">
        <w:trPr>
          <w:trHeight w:val="288"/>
          <w:jc w:val="center"/>
        </w:trPr>
        <w:tc>
          <w:tcPr>
            <w:tcW w:w="5334" w:type="dxa"/>
            <w:shd w:val="clear" w:color="auto" w:fill="FFFFFF"/>
            <w:noWrap/>
            <w:vAlign w:val="center"/>
          </w:tcPr>
          <w:p w14:paraId="5DCEFB4B" w14:textId="77777777" w:rsidR="00BA36F5" w:rsidRPr="00341FA1" w:rsidRDefault="00BA36F5" w:rsidP="0053411E">
            <w:pPr>
              <w:rPr>
                <w:rFonts w:ascii="Arial" w:hAnsi="Arial" w:cs="Arial"/>
                <w:b/>
              </w:rPr>
            </w:pPr>
            <w:r w:rsidRPr="00341FA1">
              <w:rPr>
                <w:rFonts w:ascii="Arial" w:hAnsi="Arial" w:cs="Arial"/>
                <w:b/>
              </w:rPr>
              <w:t>Overall</w:t>
            </w:r>
          </w:p>
        </w:tc>
        <w:tc>
          <w:tcPr>
            <w:tcW w:w="1595" w:type="dxa"/>
            <w:shd w:val="clear" w:color="auto" w:fill="FFFFFF"/>
            <w:noWrap/>
            <w:vAlign w:val="center"/>
          </w:tcPr>
          <w:p w14:paraId="688B5106" w14:textId="77777777" w:rsidR="00BA36F5" w:rsidRPr="00341FA1" w:rsidRDefault="00BA36F5" w:rsidP="0053411E">
            <w:pPr>
              <w:jc w:val="center"/>
              <w:rPr>
                <w:rFonts w:ascii="Arial" w:hAnsi="Arial" w:cs="Arial"/>
                <w:b/>
              </w:rPr>
            </w:pPr>
            <w:r w:rsidRPr="00341FA1">
              <w:rPr>
                <w:rFonts w:ascii="Arial" w:hAnsi="Arial" w:cs="Arial"/>
                <w:b/>
              </w:rPr>
              <w:t>4.17</w:t>
            </w:r>
          </w:p>
        </w:tc>
        <w:tc>
          <w:tcPr>
            <w:tcW w:w="1327" w:type="dxa"/>
            <w:shd w:val="clear" w:color="auto" w:fill="FFFFFF"/>
            <w:noWrap/>
            <w:vAlign w:val="center"/>
          </w:tcPr>
          <w:p w14:paraId="43B038C8" w14:textId="77777777" w:rsidR="00BA36F5" w:rsidRPr="00341FA1" w:rsidRDefault="00BA36F5" w:rsidP="0053411E">
            <w:pPr>
              <w:jc w:val="center"/>
              <w:rPr>
                <w:rFonts w:ascii="Arial" w:hAnsi="Arial" w:cs="Arial"/>
                <w:b/>
              </w:rPr>
            </w:pPr>
            <w:r w:rsidRPr="00341FA1">
              <w:rPr>
                <w:rFonts w:ascii="Arial" w:hAnsi="Arial" w:cs="Arial"/>
                <w:b/>
              </w:rPr>
              <w:t>0.36</w:t>
            </w:r>
          </w:p>
        </w:tc>
      </w:tr>
    </w:tbl>
    <w:p w14:paraId="3EE18F38" w14:textId="77777777" w:rsidR="00BA36F5" w:rsidRPr="00341FA1" w:rsidRDefault="00BA36F5" w:rsidP="00441B6F">
      <w:pPr>
        <w:pStyle w:val="Body"/>
        <w:spacing w:after="0"/>
        <w:rPr>
          <w:rFonts w:ascii="Arial" w:hAnsi="Arial" w:cs="Arial"/>
        </w:rPr>
      </w:pPr>
    </w:p>
    <w:p w14:paraId="294E8B06" w14:textId="4606161A" w:rsidR="00A86FCD" w:rsidRDefault="00737B6E" w:rsidP="00A86FCD">
      <w:pPr>
        <w:jc w:val="both"/>
        <w:rPr>
          <w:rFonts w:ascii="Arial" w:hAnsi="Arial" w:cs="Arial"/>
        </w:rPr>
      </w:pPr>
      <w:r>
        <w:rPr>
          <w:rFonts w:ascii="Arial" w:hAnsi="Arial" w:cs="Arial"/>
        </w:rPr>
        <w:t>Environmental attitude includes individuals' beliefs, emotions, and intentions regarding environmental issues. A positive attitude predicts pro-environmental teaching behavior among teachers and affects how they incorporate sustainability into their instruction (</w:t>
      </w:r>
      <w:proofErr w:type="spellStart"/>
      <w:r>
        <w:rPr>
          <w:rFonts w:ascii="Arial" w:hAnsi="Arial" w:cs="Arial"/>
        </w:rPr>
        <w:t>Teig</w:t>
      </w:r>
      <w:proofErr w:type="spellEnd"/>
      <w:r>
        <w:rPr>
          <w:rFonts w:ascii="Arial" w:hAnsi="Arial" w:cs="Arial"/>
        </w:rPr>
        <w:t xml:space="preserve"> et al., 2024). Teacher practice in environmental education involves strategies and methods for delivering content, such as lesson planning, instructional techniques, assessments, and curriculum implementation, all influenced by educators’ attitudes and beliefs (Dillon &amp; Herman, 2023). The success of environmental education depends on teachers’ commitment, knowledge, and willingness to include environmental topics in their teaching. Lack of interest or expertise can hinder delivery, whereas teachers who participate in environmental initiatives such as addressing local ecological issues, promoting eco-friendly practices, or leading sustainability projects help foster a culture of environmental responsibility within schools (Liao et al., 2022).</w:t>
      </w:r>
    </w:p>
    <w:p w14:paraId="00B1CDC5" w14:textId="77777777" w:rsidR="00A86FCD" w:rsidRDefault="00A86FCD" w:rsidP="00A86FCD">
      <w:pPr>
        <w:jc w:val="both"/>
        <w:rPr>
          <w:rFonts w:ascii="Arial" w:hAnsi="Arial" w:cs="Arial"/>
        </w:rPr>
      </w:pPr>
    </w:p>
    <w:p w14:paraId="2FA84CC0" w14:textId="711A0700" w:rsidR="00B427F5" w:rsidRPr="00BA36F5" w:rsidRDefault="00BA36F5" w:rsidP="00BA36F5">
      <w:pPr>
        <w:pStyle w:val="Body"/>
        <w:rPr>
          <w:rFonts w:ascii="Arial" w:hAnsi="Arial" w:cs="Arial"/>
        </w:rPr>
      </w:pPr>
      <w:r w:rsidRPr="00BA36F5">
        <w:rPr>
          <w:rFonts w:ascii="Arial" w:hAnsi="Arial" w:cs="Arial"/>
        </w:rPr>
        <w:t>Furthermore, environmental literacy among educators is enhanced through experiential learning and active involvement in sustainable practices. For instance, when teachers engage in community-based environmental projects or collaborate in developing school-based recycling or gardening programs, they model eco-conscious behaviors and reinforce the value of environmental stewardship (Fang et al., 2023). These practices enrich their teaching approaches and contribute to a broader institutional commitment to sustainability (Maki, 2023; Simon, 2024)</w:t>
      </w:r>
      <w:r w:rsidR="00382545">
        <w:rPr>
          <w:rFonts w:ascii="Arial" w:hAnsi="Arial" w:cs="Arial"/>
        </w:rPr>
        <w:t>.</w:t>
      </w:r>
    </w:p>
    <w:p w14:paraId="60586116" w14:textId="7CCC59A0" w:rsidR="00341FA1" w:rsidRPr="00341FA1" w:rsidRDefault="00341FA1" w:rsidP="00341FA1">
      <w:pPr>
        <w:pStyle w:val="NormalWeb"/>
        <w:spacing w:afterAutospacing="0"/>
        <w:ind w:firstLine="0"/>
        <w:rPr>
          <w:rFonts w:eastAsia="Tahoma"/>
          <w:b/>
          <w:bCs/>
          <w:color w:val="auto"/>
          <w:sz w:val="20"/>
          <w:szCs w:val="20"/>
        </w:rPr>
      </w:pPr>
      <w:r w:rsidRPr="00341FA1">
        <w:rPr>
          <w:rFonts w:eastAsia="Tahoma"/>
          <w:b/>
          <w:bCs/>
          <w:color w:val="auto"/>
          <w:sz w:val="20"/>
          <w:szCs w:val="20"/>
        </w:rPr>
        <w:t>3.2 Level of Environmental Literacy Perceived by Elementary Teachers</w:t>
      </w:r>
    </w:p>
    <w:p w14:paraId="578BCD1B" w14:textId="27FE925A" w:rsidR="00E053D0" w:rsidRPr="00F70159" w:rsidRDefault="00341FA1" w:rsidP="00341FA1">
      <w:pPr>
        <w:pStyle w:val="Body"/>
        <w:spacing w:after="0"/>
        <w:rPr>
          <w:rFonts w:ascii="Arial" w:hAnsi="Arial" w:cs="Arial"/>
        </w:rPr>
      </w:pPr>
      <w:r w:rsidRPr="00F70159">
        <w:rPr>
          <w:rFonts w:ascii="Arial" w:hAnsi="Arial" w:cs="Arial"/>
        </w:rPr>
        <w:t xml:space="preserve">Table </w:t>
      </w:r>
      <w:r w:rsidR="00570855">
        <w:rPr>
          <w:rFonts w:ascii="Arial" w:hAnsi="Arial" w:cs="Arial"/>
        </w:rPr>
        <w:t>6</w:t>
      </w:r>
      <w:r w:rsidRPr="00F70159">
        <w:rPr>
          <w:rFonts w:ascii="Arial" w:hAnsi="Arial" w:cs="Arial"/>
        </w:rPr>
        <w:t xml:space="preserve"> presents that the overall mean for environmental literacy is 4.40 (SD = 0.36), interpreted as "Always," indicating that the behaviors and attitudes described are consistently demonstrated. The sub-indicator "Environmental Knowledge" received a mean score of 4.16 (SD = 0.50), with a descriptive level of "Oftentimes," suggesting that while teachers frequently demonstrate environmental understanding, there remains potential for further improvement in this area. On the other hand, the sub-indicator "Environmental Concern" achieved a mean of 4.64 (SD = 0.40), categorized as "Always," which reflects a strong and consistent display of environmental concern among respondents.</w:t>
      </w:r>
    </w:p>
    <w:p w14:paraId="6F2759E7" w14:textId="77777777" w:rsidR="00341FA1" w:rsidRPr="00F70159" w:rsidRDefault="00341FA1" w:rsidP="00341FA1">
      <w:pPr>
        <w:pStyle w:val="Body"/>
        <w:spacing w:after="0"/>
        <w:rPr>
          <w:rFonts w:ascii="Arial" w:hAnsi="Arial" w:cs="Arial"/>
        </w:rPr>
      </w:pPr>
    </w:p>
    <w:p w14:paraId="0BD32E97" w14:textId="22D67CCE" w:rsidR="00341FA1" w:rsidRPr="00341FA1" w:rsidRDefault="00341FA1" w:rsidP="00341FA1">
      <w:pPr>
        <w:rPr>
          <w:rFonts w:ascii="Arial" w:hAnsi="Arial" w:cs="Arial"/>
          <w:b/>
        </w:rPr>
      </w:pPr>
      <w:r w:rsidRPr="00341FA1">
        <w:rPr>
          <w:rFonts w:ascii="Arial" w:hAnsi="Arial" w:cs="Arial"/>
          <w:b/>
          <w:shd w:val="clear" w:color="auto" w:fill="FFFFFF"/>
          <w:lang w:eastAsia="zh-CN"/>
        </w:rPr>
        <w:t xml:space="preserve">Table </w:t>
      </w:r>
      <w:r w:rsidR="00570855">
        <w:rPr>
          <w:rFonts w:ascii="Arial" w:hAnsi="Arial" w:cs="Arial"/>
          <w:b/>
          <w:shd w:val="clear" w:color="auto" w:fill="FFFFFF"/>
          <w:lang w:eastAsia="zh-CN"/>
        </w:rPr>
        <w:t>6</w:t>
      </w:r>
      <w:r w:rsidRPr="00341FA1">
        <w:rPr>
          <w:rFonts w:ascii="Arial" w:hAnsi="Arial" w:cs="Arial"/>
          <w:b/>
          <w:shd w:val="clear" w:color="auto" w:fill="FFFFFF"/>
          <w:lang w:eastAsia="zh-CN"/>
        </w:rPr>
        <w:t>. Level of Environmental Literacy</w:t>
      </w:r>
    </w:p>
    <w:p w14:paraId="767C42EA" w14:textId="77777777" w:rsidR="00341FA1" w:rsidRDefault="00341FA1" w:rsidP="00341FA1">
      <w:pPr>
        <w:pStyle w:val="Body"/>
        <w:spacing w:after="0"/>
      </w:pPr>
    </w:p>
    <w:tbl>
      <w:tblPr>
        <w:tblW w:w="0" w:type="auto"/>
        <w:jc w:val="center"/>
        <w:tblBorders>
          <w:top w:val="single" w:sz="4" w:space="0" w:color="auto"/>
          <w:bottom w:val="single" w:sz="4" w:space="0" w:color="auto"/>
        </w:tblBorders>
        <w:tblLayout w:type="fixed"/>
        <w:tblLook w:val="04A0" w:firstRow="1" w:lastRow="0" w:firstColumn="1" w:lastColumn="0" w:noHBand="0" w:noVBand="1"/>
      </w:tblPr>
      <w:tblGrid>
        <w:gridCol w:w="3058"/>
        <w:gridCol w:w="3266"/>
        <w:gridCol w:w="2012"/>
      </w:tblGrid>
      <w:tr w:rsidR="00341FA1" w:rsidRPr="00341FA1" w14:paraId="4C9FC44F" w14:textId="77777777" w:rsidTr="0053411E">
        <w:trPr>
          <w:trHeight w:val="206"/>
          <w:jc w:val="center"/>
        </w:trPr>
        <w:tc>
          <w:tcPr>
            <w:tcW w:w="3058" w:type="dxa"/>
            <w:tcBorders>
              <w:top w:val="single" w:sz="4" w:space="0" w:color="auto"/>
            </w:tcBorders>
            <w:shd w:val="clear" w:color="auto" w:fill="FFFFFF"/>
            <w:noWrap/>
          </w:tcPr>
          <w:p w14:paraId="507ACB2C" w14:textId="77777777" w:rsidR="00341FA1" w:rsidRPr="00341FA1" w:rsidRDefault="00341FA1" w:rsidP="0053411E">
            <w:pPr>
              <w:contextualSpacing/>
              <w:rPr>
                <w:rFonts w:ascii="Arial" w:hAnsi="Arial" w:cs="Arial"/>
                <w:b/>
              </w:rPr>
            </w:pPr>
            <w:r w:rsidRPr="00341FA1">
              <w:rPr>
                <w:rFonts w:ascii="Arial" w:hAnsi="Arial" w:cs="Arial"/>
                <w:b/>
              </w:rPr>
              <w:t>Indicators</w:t>
            </w:r>
          </w:p>
        </w:tc>
        <w:tc>
          <w:tcPr>
            <w:tcW w:w="3266" w:type="dxa"/>
            <w:tcBorders>
              <w:top w:val="single" w:sz="4" w:space="0" w:color="auto"/>
            </w:tcBorders>
            <w:shd w:val="clear" w:color="auto" w:fill="FFFFFF"/>
            <w:noWrap/>
          </w:tcPr>
          <w:p w14:paraId="11D1304D" w14:textId="77777777" w:rsidR="00341FA1" w:rsidRPr="00341FA1" w:rsidRDefault="00341FA1" w:rsidP="0053411E">
            <w:pPr>
              <w:jc w:val="center"/>
              <w:rPr>
                <w:rFonts w:ascii="Arial" w:hAnsi="Arial" w:cs="Arial"/>
                <w:b/>
                <w:vertAlign w:val="superscript"/>
              </w:rPr>
            </w:pPr>
            <w:r w:rsidRPr="00341FA1">
              <w:rPr>
                <w:rFonts w:ascii="Arial" w:eastAsia="Arial" w:hAnsi="Arial" w:cs="Arial"/>
                <w:b/>
                <w:bCs/>
                <w:color w:val="474747"/>
                <w:shd w:val="clear" w:color="auto" w:fill="FFFFFF"/>
              </w:rPr>
              <w:t>x̄</w:t>
            </w:r>
          </w:p>
        </w:tc>
        <w:tc>
          <w:tcPr>
            <w:tcW w:w="2012" w:type="dxa"/>
            <w:tcBorders>
              <w:top w:val="single" w:sz="4" w:space="0" w:color="auto"/>
            </w:tcBorders>
            <w:shd w:val="clear" w:color="auto" w:fill="FFFFFF"/>
            <w:noWrap/>
          </w:tcPr>
          <w:p w14:paraId="2136C13B" w14:textId="77777777" w:rsidR="00341FA1" w:rsidRPr="00341FA1" w:rsidRDefault="00341FA1" w:rsidP="0053411E">
            <w:pPr>
              <w:jc w:val="center"/>
              <w:rPr>
                <w:rFonts w:ascii="Arial" w:hAnsi="Arial" w:cs="Arial"/>
                <w:b/>
              </w:rPr>
            </w:pPr>
            <w:r w:rsidRPr="00341FA1">
              <w:rPr>
                <w:rFonts w:ascii="Arial" w:hAnsi="Arial" w:cs="Arial"/>
                <w:b/>
              </w:rPr>
              <w:t>SD</w:t>
            </w:r>
          </w:p>
        </w:tc>
      </w:tr>
      <w:tr w:rsidR="00341FA1" w:rsidRPr="00341FA1" w14:paraId="04F9FBD9" w14:textId="77777777" w:rsidTr="0053411E">
        <w:trPr>
          <w:trHeight w:val="206"/>
          <w:jc w:val="center"/>
        </w:trPr>
        <w:tc>
          <w:tcPr>
            <w:tcW w:w="3058" w:type="dxa"/>
            <w:tcBorders>
              <w:top w:val="single" w:sz="4" w:space="0" w:color="auto"/>
            </w:tcBorders>
            <w:shd w:val="clear" w:color="auto" w:fill="FFFFFF"/>
            <w:noWrap/>
          </w:tcPr>
          <w:p w14:paraId="283AD64E" w14:textId="77777777" w:rsidR="00341FA1" w:rsidRPr="00341FA1" w:rsidRDefault="00341FA1" w:rsidP="0053411E">
            <w:pPr>
              <w:contextualSpacing/>
              <w:rPr>
                <w:rFonts w:ascii="Arial" w:hAnsi="Arial" w:cs="Arial"/>
                <w:bCs/>
              </w:rPr>
            </w:pPr>
            <w:r w:rsidRPr="00341FA1">
              <w:rPr>
                <w:rFonts w:ascii="Arial" w:hAnsi="Arial" w:cs="Arial"/>
                <w:bCs/>
              </w:rPr>
              <w:t>Environmental Knowledge</w:t>
            </w:r>
          </w:p>
        </w:tc>
        <w:tc>
          <w:tcPr>
            <w:tcW w:w="3266" w:type="dxa"/>
            <w:tcBorders>
              <w:top w:val="single" w:sz="4" w:space="0" w:color="auto"/>
            </w:tcBorders>
            <w:shd w:val="clear" w:color="auto" w:fill="FFFFFF"/>
            <w:noWrap/>
          </w:tcPr>
          <w:p w14:paraId="743C2C60" w14:textId="77777777" w:rsidR="00341FA1" w:rsidRPr="00341FA1" w:rsidRDefault="00341FA1" w:rsidP="0053411E">
            <w:pPr>
              <w:jc w:val="center"/>
              <w:rPr>
                <w:rFonts w:ascii="Arial" w:hAnsi="Arial" w:cs="Arial"/>
              </w:rPr>
            </w:pPr>
            <w:r w:rsidRPr="00341FA1">
              <w:rPr>
                <w:rFonts w:ascii="Arial" w:hAnsi="Arial" w:cs="Arial"/>
              </w:rPr>
              <w:t>4.16</w:t>
            </w:r>
          </w:p>
        </w:tc>
        <w:tc>
          <w:tcPr>
            <w:tcW w:w="2012" w:type="dxa"/>
            <w:tcBorders>
              <w:top w:val="single" w:sz="4" w:space="0" w:color="auto"/>
            </w:tcBorders>
            <w:shd w:val="clear" w:color="auto" w:fill="FFFFFF"/>
            <w:noWrap/>
          </w:tcPr>
          <w:p w14:paraId="437F4800" w14:textId="77777777" w:rsidR="00341FA1" w:rsidRPr="00341FA1" w:rsidRDefault="00341FA1" w:rsidP="0053411E">
            <w:pPr>
              <w:jc w:val="center"/>
              <w:rPr>
                <w:rFonts w:ascii="Arial" w:hAnsi="Arial" w:cs="Arial"/>
              </w:rPr>
            </w:pPr>
            <w:r w:rsidRPr="00341FA1">
              <w:rPr>
                <w:rFonts w:ascii="Arial" w:hAnsi="Arial" w:cs="Arial"/>
              </w:rPr>
              <w:t>0.50</w:t>
            </w:r>
          </w:p>
        </w:tc>
      </w:tr>
      <w:tr w:rsidR="00341FA1" w:rsidRPr="00341FA1" w14:paraId="034A02B6" w14:textId="77777777" w:rsidTr="0053411E">
        <w:trPr>
          <w:trHeight w:val="117"/>
          <w:jc w:val="center"/>
        </w:trPr>
        <w:tc>
          <w:tcPr>
            <w:tcW w:w="3058" w:type="dxa"/>
            <w:shd w:val="clear" w:color="auto" w:fill="FFFFFF"/>
            <w:noWrap/>
          </w:tcPr>
          <w:p w14:paraId="053F7121" w14:textId="77777777" w:rsidR="00341FA1" w:rsidRPr="00341FA1" w:rsidRDefault="00341FA1" w:rsidP="0053411E">
            <w:pPr>
              <w:rPr>
                <w:rFonts w:ascii="Arial" w:hAnsi="Arial" w:cs="Arial"/>
                <w:bCs/>
              </w:rPr>
            </w:pPr>
            <w:r w:rsidRPr="00341FA1">
              <w:rPr>
                <w:rFonts w:ascii="Arial" w:hAnsi="Arial" w:cs="Arial"/>
                <w:bCs/>
              </w:rPr>
              <w:t>Environmental Concern</w:t>
            </w:r>
          </w:p>
        </w:tc>
        <w:tc>
          <w:tcPr>
            <w:tcW w:w="3266" w:type="dxa"/>
            <w:shd w:val="clear" w:color="auto" w:fill="FFFFFF"/>
            <w:noWrap/>
          </w:tcPr>
          <w:p w14:paraId="6DE3A26D" w14:textId="77777777" w:rsidR="00341FA1" w:rsidRPr="00341FA1" w:rsidRDefault="00341FA1" w:rsidP="0053411E">
            <w:pPr>
              <w:jc w:val="center"/>
              <w:rPr>
                <w:rFonts w:ascii="Arial" w:hAnsi="Arial" w:cs="Arial"/>
                <w:bCs/>
              </w:rPr>
            </w:pPr>
            <w:r w:rsidRPr="00341FA1">
              <w:rPr>
                <w:rFonts w:ascii="Arial" w:hAnsi="Arial" w:cs="Arial"/>
                <w:bCs/>
              </w:rPr>
              <w:t>4.64</w:t>
            </w:r>
          </w:p>
        </w:tc>
        <w:tc>
          <w:tcPr>
            <w:tcW w:w="2012" w:type="dxa"/>
            <w:shd w:val="clear" w:color="auto" w:fill="FFFFFF"/>
            <w:noWrap/>
          </w:tcPr>
          <w:p w14:paraId="50DB2C94" w14:textId="77777777" w:rsidR="00341FA1" w:rsidRPr="00341FA1" w:rsidRDefault="00341FA1" w:rsidP="0053411E">
            <w:pPr>
              <w:jc w:val="center"/>
              <w:rPr>
                <w:rFonts w:ascii="Arial" w:hAnsi="Arial" w:cs="Arial"/>
                <w:bCs/>
              </w:rPr>
            </w:pPr>
            <w:r w:rsidRPr="00341FA1">
              <w:rPr>
                <w:rFonts w:ascii="Arial" w:hAnsi="Arial" w:cs="Arial"/>
                <w:bCs/>
              </w:rPr>
              <w:t>0.40</w:t>
            </w:r>
          </w:p>
        </w:tc>
      </w:tr>
      <w:tr w:rsidR="00341FA1" w:rsidRPr="00341FA1" w14:paraId="13FCFD1D" w14:textId="77777777" w:rsidTr="0053411E">
        <w:trPr>
          <w:trHeight w:val="340"/>
          <w:jc w:val="center"/>
        </w:trPr>
        <w:tc>
          <w:tcPr>
            <w:tcW w:w="3058" w:type="dxa"/>
            <w:tcBorders>
              <w:bottom w:val="single" w:sz="4" w:space="0" w:color="auto"/>
            </w:tcBorders>
            <w:shd w:val="clear" w:color="auto" w:fill="FFFFFF"/>
            <w:noWrap/>
          </w:tcPr>
          <w:p w14:paraId="4956A488" w14:textId="77777777" w:rsidR="00341FA1" w:rsidRPr="00341FA1" w:rsidRDefault="00341FA1" w:rsidP="0053411E">
            <w:pPr>
              <w:rPr>
                <w:rFonts w:ascii="Arial" w:hAnsi="Arial" w:cs="Arial"/>
                <w:b/>
              </w:rPr>
            </w:pPr>
            <w:r w:rsidRPr="00341FA1">
              <w:rPr>
                <w:rFonts w:ascii="Arial" w:hAnsi="Arial" w:cs="Arial"/>
                <w:b/>
              </w:rPr>
              <w:t>Overall</w:t>
            </w:r>
          </w:p>
        </w:tc>
        <w:tc>
          <w:tcPr>
            <w:tcW w:w="3266" w:type="dxa"/>
            <w:tcBorders>
              <w:bottom w:val="single" w:sz="4" w:space="0" w:color="auto"/>
            </w:tcBorders>
            <w:shd w:val="clear" w:color="auto" w:fill="FFFFFF"/>
            <w:noWrap/>
          </w:tcPr>
          <w:p w14:paraId="1BF2D9E4" w14:textId="77777777" w:rsidR="00341FA1" w:rsidRPr="00341FA1" w:rsidRDefault="00341FA1" w:rsidP="0053411E">
            <w:pPr>
              <w:jc w:val="center"/>
              <w:rPr>
                <w:rFonts w:ascii="Arial" w:hAnsi="Arial" w:cs="Arial"/>
                <w:b/>
              </w:rPr>
            </w:pPr>
            <w:r w:rsidRPr="00341FA1">
              <w:rPr>
                <w:rFonts w:ascii="Arial" w:hAnsi="Arial" w:cs="Arial"/>
                <w:b/>
              </w:rPr>
              <w:t>4.40</w:t>
            </w:r>
          </w:p>
        </w:tc>
        <w:tc>
          <w:tcPr>
            <w:tcW w:w="2012" w:type="dxa"/>
            <w:tcBorders>
              <w:bottom w:val="single" w:sz="4" w:space="0" w:color="auto"/>
            </w:tcBorders>
            <w:shd w:val="clear" w:color="auto" w:fill="FFFFFF"/>
            <w:noWrap/>
          </w:tcPr>
          <w:p w14:paraId="4E9DBA32" w14:textId="77777777" w:rsidR="00341FA1" w:rsidRPr="00341FA1" w:rsidRDefault="00341FA1" w:rsidP="0053411E">
            <w:pPr>
              <w:jc w:val="center"/>
              <w:rPr>
                <w:rFonts w:ascii="Arial" w:hAnsi="Arial" w:cs="Arial"/>
                <w:b/>
              </w:rPr>
            </w:pPr>
            <w:r w:rsidRPr="00341FA1">
              <w:rPr>
                <w:rFonts w:ascii="Arial" w:hAnsi="Arial" w:cs="Arial"/>
                <w:b/>
              </w:rPr>
              <w:t>0.36</w:t>
            </w:r>
          </w:p>
        </w:tc>
      </w:tr>
    </w:tbl>
    <w:p w14:paraId="322F399C" w14:textId="77777777" w:rsidR="00341FA1" w:rsidRDefault="00341FA1" w:rsidP="00341FA1">
      <w:pPr>
        <w:pStyle w:val="Body"/>
        <w:spacing w:after="0"/>
        <w:rPr>
          <w:rFonts w:ascii="Arial" w:hAnsi="Arial" w:cs="Arial"/>
        </w:rPr>
      </w:pPr>
    </w:p>
    <w:p w14:paraId="29858674" w14:textId="411EAC4C" w:rsidR="00F70159" w:rsidRDefault="00382545" w:rsidP="00382545">
      <w:pPr>
        <w:jc w:val="both"/>
        <w:rPr>
          <w:rFonts w:ascii="Arial" w:hAnsi="Arial"/>
          <w:bCs/>
        </w:rPr>
      </w:pPr>
      <w:r w:rsidRPr="00382545">
        <w:rPr>
          <w:rFonts w:ascii="Arial" w:hAnsi="Arial"/>
          <w:bCs/>
        </w:rPr>
        <w:t xml:space="preserve">The findings indicate that many in-service teachers struggle to fully engage with environmental education (EE). While they have foundational knowledge, deeper understanding and integration are often lacking. Teachers show awareness and concern for the environment, but their focus is more on learning about it than learning for it (Liu et al., 2023). Despite above-average environmental awareness, gaps in content knowledge and pedagogical application remain (Sukma et al., 2020). Teacher educators, in particular, demonstrate only </w:t>
      </w:r>
      <w:r w:rsidR="002E20B5">
        <w:rPr>
          <w:rFonts w:ascii="Arial" w:hAnsi="Arial"/>
          <w:bCs/>
        </w:rPr>
        <w:t xml:space="preserve">an </w:t>
      </w:r>
      <w:r w:rsidRPr="00382545">
        <w:rPr>
          <w:rFonts w:ascii="Arial" w:hAnsi="Arial"/>
          <w:bCs/>
        </w:rPr>
        <w:t>average understanding of most EE concepts, with significant deficiencies in areas like waste management and sustainable development (</w:t>
      </w:r>
      <w:proofErr w:type="spellStart"/>
      <w:r w:rsidRPr="00382545">
        <w:rPr>
          <w:rFonts w:ascii="Arial" w:hAnsi="Arial"/>
          <w:bCs/>
        </w:rPr>
        <w:t>Zinu</w:t>
      </w:r>
      <w:proofErr w:type="spellEnd"/>
      <w:r w:rsidRPr="00382545">
        <w:rPr>
          <w:rFonts w:ascii="Arial" w:hAnsi="Arial"/>
          <w:bCs/>
        </w:rPr>
        <w:t xml:space="preserve"> et al., 2019). These gaps highlight the need </w:t>
      </w:r>
      <w:r w:rsidRPr="00382545">
        <w:rPr>
          <w:rFonts w:ascii="Arial" w:hAnsi="Arial"/>
          <w:bCs/>
        </w:rPr>
        <w:lastRenderedPageBreak/>
        <w:t>for professional development and targeted training to enhance teachers' competencies in EE and their ability to teach it effectively.</w:t>
      </w:r>
    </w:p>
    <w:p w14:paraId="5B34295C" w14:textId="77777777" w:rsidR="00382545" w:rsidRPr="00382545" w:rsidRDefault="00382545" w:rsidP="00382545">
      <w:pPr>
        <w:jc w:val="both"/>
        <w:rPr>
          <w:rFonts w:ascii="Arial" w:hAnsi="Arial"/>
          <w:bCs/>
        </w:rPr>
      </w:pPr>
    </w:p>
    <w:p w14:paraId="396442B1" w14:textId="01AED162" w:rsidR="00F70159" w:rsidRPr="00F70159" w:rsidRDefault="00AC3803" w:rsidP="00F70159">
      <w:pPr>
        <w:pStyle w:val="BodyText3"/>
        <w:tabs>
          <w:tab w:val="left" w:pos="1080"/>
        </w:tabs>
        <w:spacing w:after="0"/>
        <w:jc w:val="both"/>
        <w:rPr>
          <w:rFonts w:ascii="Arial" w:hAnsi="Arial"/>
          <w:bCs/>
          <w:sz w:val="20"/>
          <w:szCs w:val="20"/>
        </w:rPr>
      </w:pPr>
      <w:r>
        <w:rPr>
          <w:rFonts w:ascii="Arial" w:hAnsi="Arial"/>
          <w:bCs/>
          <w:sz w:val="20"/>
          <w:szCs w:val="20"/>
        </w:rPr>
        <w:t xml:space="preserve">Supporting this, Tan et al. (2021), cited by Uyen et al. (2022), Wang (2020), and Ernst and Monroe (2019), all revealed that teachers often lack sufficient environmental knowledge. Similarly, Husin et al. (2020) found that teachers tend to have only basic knowledge of environmental care. </w:t>
      </w:r>
    </w:p>
    <w:p w14:paraId="5DEAF175" w14:textId="77777777" w:rsidR="00F70159" w:rsidRDefault="00F70159" w:rsidP="00441B6F">
      <w:pPr>
        <w:pStyle w:val="BodyText3"/>
        <w:tabs>
          <w:tab w:val="left" w:pos="1080"/>
        </w:tabs>
        <w:spacing w:after="0"/>
        <w:ind w:left="1080" w:hanging="1080"/>
        <w:jc w:val="both"/>
        <w:rPr>
          <w:rFonts w:ascii="Arial" w:hAnsi="Arial"/>
          <w:b/>
          <w:sz w:val="20"/>
          <w:szCs w:val="20"/>
        </w:rPr>
      </w:pPr>
    </w:p>
    <w:p w14:paraId="702E719F" w14:textId="665D3D74" w:rsidR="00F70159" w:rsidRDefault="00F70159" w:rsidP="00F70159">
      <w:pPr>
        <w:autoSpaceDE w:val="0"/>
        <w:autoSpaceDN w:val="0"/>
        <w:adjustRightInd w:val="0"/>
        <w:jc w:val="both"/>
        <w:rPr>
          <w:rFonts w:ascii="Arial" w:hAnsi="Arial" w:cs="Arial"/>
          <w:b/>
          <w:bCs/>
        </w:rPr>
      </w:pPr>
      <w:r w:rsidRPr="00F70159">
        <w:rPr>
          <w:rFonts w:ascii="Arial" w:hAnsi="Arial" w:cs="Arial"/>
          <w:b/>
          <w:bCs/>
        </w:rPr>
        <w:t>3.3 Significant Relationship Between Teachers' Practices and the Teachers' Environmental Literacy</w:t>
      </w:r>
    </w:p>
    <w:p w14:paraId="3A939B12" w14:textId="77777777" w:rsidR="002060D9" w:rsidRPr="00F70159" w:rsidRDefault="002060D9" w:rsidP="00F70159">
      <w:pPr>
        <w:autoSpaceDE w:val="0"/>
        <w:autoSpaceDN w:val="0"/>
        <w:adjustRightInd w:val="0"/>
        <w:jc w:val="both"/>
        <w:rPr>
          <w:rFonts w:ascii="Arial" w:hAnsi="Arial" w:cs="Arial"/>
          <w:b/>
          <w:bCs/>
        </w:rPr>
      </w:pPr>
    </w:p>
    <w:p w14:paraId="40C9DE91" w14:textId="59CDBBD7" w:rsidR="00F70159" w:rsidRDefault="00AC3803" w:rsidP="00F70159">
      <w:pPr>
        <w:autoSpaceDE w:val="0"/>
        <w:autoSpaceDN w:val="0"/>
        <w:adjustRightInd w:val="0"/>
        <w:jc w:val="both"/>
        <w:rPr>
          <w:rFonts w:ascii="Arial" w:hAnsi="Arial" w:cs="Arial"/>
        </w:rPr>
      </w:pPr>
      <w:r>
        <w:rPr>
          <w:rFonts w:ascii="Arial" w:hAnsi="Arial" w:cs="Arial"/>
        </w:rPr>
        <w:t>A Spearman’s rank-order correlation was conducted to explore the relationship between environmental literacy and teachers’ practices in environmental education among public elementary school teachers in Davao del Sur. The analysis revealed a statistically significant, strong, and positive correlation between overall environmental literacy and overall teacher practices (</w:t>
      </w:r>
      <w:proofErr w:type="spellStart"/>
      <w:proofErr w:type="gramStart"/>
      <w:r>
        <w:rPr>
          <w:rFonts w:ascii="Arial" w:hAnsi="Arial" w:cs="Arial"/>
        </w:rPr>
        <w:t>rs</w:t>
      </w:r>
      <w:proofErr w:type="spellEnd"/>
      <w:r>
        <w:rPr>
          <w:rFonts w:ascii="Arial" w:hAnsi="Arial" w:cs="Arial"/>
        </w:rPr>
        <w:t>(</w:t>
      </w:r>
      <w:proofErr w:type="gramEnd"/>
      <w:r>
        <w:rPr>
          <w:rFonts w:ascii="Arial" w:hAnsi="Arial" w:cs="Arial"/>
        </w:rPr>
        <w:t xml:space="preserve">83) = .657, p&lt;.001), as presented in Table </w:t>
      </w:r>
      <w:r w:rsidR="00570855">
        <w:rPr>
          <w:rFonts w:ascii="Arial" w:hAnsi="Arial" w:cs="Arial"/>
        </w:rPr>
        <w:t>7</w:t>
      </w:r>
      <w:r>
        <w:rPr>
          <w:rFonts w:ascii="Arial" w:hAnsi="Arial" w:cs="Arial"/>
        </w:rPr>
        <w:t>. This suggests that teachers who frequently apply environmental education practices tend to have higher levels of environmental literacy.</w:t>
      </w:r>
    </w:p>
    <w:p w14:paraId="610C87A1" w14:textId="77777777" w:rsidR="00392301" w:rsidRPr="00F70159" w:rsidRDefault="00392301" w:rsidP="00F70159">
      <w:pPr>
        <w:autoSpaceDE w:val="0"/>
        <w:autoSpaceDN w:val="0"/>
        <w:adjustRightInd w:val="0"/>
        <w:jc w:val="both"/>
        <w:rPr>
          <w:rFonts w:ascii="Arial" w:hAnsi="Arial" w:cs="Arial"/>
        </w:rPr>
      </w:pPr>
    </w:p>
    <w:p w14:paraId="1B6C399E" w14:textId="3891251D" w:rsidR="00F70159" w:rsidRDefault="00AC3803" w:rsidP="00F70159">
      <w:pPr>
        <w:autoSpaceDE w:val="0"/>
        <w:autoSpaceDN w:val="0"/>
        <w:adjustRightInd w:val="0"/>
        <w:jc w:val="both"/>
        <w:rPr>
          <w:rFonts w:ascii="Arial" w:hAnsi="Arial" w:cs="Arial"/>
        </w:rPr>
      </w:pPr>
      <w:r>
        <w:rPr>
          <w:rFonts w:ascii="Arial" w:hAnsi="Arial" w:cs="Arial"/>
        </w:rPr>
        <w:t>A moderate to strong correlation was also found between teachers' environmental education and all aspects of environmental literacy, specifically environmental knowledge (</w:t>
      </w:r>
      <w:proofErr w:type="spellStart"/>
      <w:r>
        <w:rPr>
          <w:rFonts w:ascii="Arial" w:hAnsi="Arial" w:cs="Arial"/>
        </w:rPr>
        <w:t>rs</w:t>
      </w:r>
      <w:proofErr w:type="spellEnd"/>
      <w:r>
        <w:rPr>
          <w:rFonts w:ascii="Arial" w:hAnsi="Arial" w:cs="Arial"/>
        </w:rPr>
        <w:t>=.525, p&lt;.001), environmental concern (</w:t>
      </w:r>
      <w:proofErr w:type="spellStart"/>
      <w:r>
        <w:rPr>
          <w:rFonts w:ascii="Arial" w:hAnsi="Arial" w:cs="Arial"/>
        </w:rPr>
        <w:t>rs</w:t>
      </w:r>
      <w:proofErr w:type="spellEnd"/>
      <w:r>
        <w:rPr>
          <w:rFonts w:ascii="Arial" w:hAnsi="Arial" w:cs="Arial"/>
        </w:rPr>
        <w:t>=.574, p&lt;.001), and overall environmental literacy (</w:t>
      </w:r>
      <w:proofErr w:type="spellStart"/>
      <w:r>
        <w:rPr>
          <w:rFonts w:ascii="Arial" w:hAnsi="Arial" w:cs="Arial"/>
        </w:rPr>
        <w:t>rs</w:t>
      </w:r>
      <w:proofErr w:type="spellEnd"/>
      <w:r>
        <w:rPr>
          <w:rFonts w:ascii="Arial" w:hAnsi="Arial" w:cs="Arial"/>
        </w:rPr>
        <w:t>=.659, p&lt;.001). This implies that teachers with positive attitudes toward environmental education are more likely to exhibit higher environmental understanding and concern levels, further supporting the integration of affective and cognitive dimensions in EE (</w:t>
      </w:r>
      <w:proofErr w:type="spellStart"/>
      <w:r>
        <w:rPr>
          <w:rFonts w:ascii="Arial" w:hAnsi="Arial" w:cs="Arial"/>
        </w:rPr>
        <w:t>Kuswendi</w:t>
      </w:r>
      <w:proofErr w:type="spellEnd"/>
      <w:r>
        <w:rPr>
          <w:rFonts w:ascii="Arial" w:hAnsi="Arial" w:cs="Arial"/>
        </w:rPr>
        <w:t xml:space="preserve"> &amp; </w:t>
      </w:r>
      <w:proofErr w:type="spellStart"/>
      <w:r>
        <w:rPr>
          <w:rFonts w:ascii="Arial" w:hAnsi="Arial" w:cs="Arial"/>
        </w:rPr>
        <w:t>Arga</w:t>
      </w:r>
      <w:proofErr w:type="spellEnd"/>
      <w:r>
        <w:rPr>
          <w:rFonts w:ascii="Arial" w:hAnsi="Arial" w:cs="Arial"/>
        </w:rPr>
        <w:t>, 2020).</w:t>
      </w:r>
    </w:p>
    <w:p w14:paraId="77D57BCB" w14:textId="77777777" w:rsidR="00392301" w:rsidRPr="00F70159" w:rsidRDefault="00392301" w:rsidP="00F70159">
      <w:pPr>
        <w:autoSpaceDE w:val="0"/>
        <w:autoSpaceDN w:val="0"/>
        <w:adjustRightInd w:val="0"/>
        <w:jc w:val="both"/>
        <w:rPr>
          <w:rFonts w:ascii="Arial" w:hAnsi="Arial" w:cs="Arial"/>
        </w:rPr>
      </w:pPr>
    </w:p>
    <w:p w14:paraId="40AF27BF" w14:textId="2FB6419C" w:rsidR="00AC3803" w:rsidRPr="00570855" w:rsidRDefault="00AC3803" w:rsidP="00F70159">
      <w:pPr>
        <w:autoSpaceDE w:val="0"/>
        <w:autoSpaceDN w:val="0"/>
        <w:adjustRightInd w:val="0"/>
        <w:jc w:val="both"/>
        <w:rPr>
          <w:rFonts w:ascii="Arial" w:hAnsi="Arial" w:cs="Arial"/>
        </w:rPr>
      </w:pPr>
      <w:r>
        <w:rPr>
          <w:rFonts w:ascii="Arial" w:hAnsi="Arial" w:cs="Arial"/>
        </w:rPr>
        <w:t xml:space="preserve">The correlation matrix presented in Table </w:t>
      </w:r>
      <w:r w:rsidR="00570855">
        <w:rPr>
          <w:rFonts w:ascii="Arial" w:hAnsi="Arial" w:cs="Arial"/>
        </w:rPr>
        <w:t>7</w:t>
      </w:r>
      <w:r>
        <w:rPr>
          <w:rFonts w:ascii="Arial" w:hAnsi="Arial" w:cs="Arial"/>
        </w:rPr>
        <w:t xml:space="preserve"> reveals significant links between different parts of environmental literacy and teacher practices in environmental education. Notably, a strong positive correlation was found between environmental education attitudes and both environmental practices (</w:t>
      </w:r>
      <w:proofErr w:type="spellStart"/>
      <w:r>
        <w:rPr>
          <w:rFonts w:ascii="Arial" w:hAnsi="Arial" w:cs="Arial"/>
        </w:rPr>
        <w:t>rs</w:t>
      </w:r>
      <w:proofErr w:type="spellEnd"/>
      <w:r>
        <w:rPr>
          <w:rFonts w:ascii="Arial" w:hAnsi="Arial" w:cs="Arial"/>
        </w:rPr>
        <w:t xml:space="preserve"> = .659, p &lt; .001) and environmental knowledge (</w:t>
      </w:r>
      <w:proofErr w:type="spellStart"/>
      <w:r>
        <w:rPr>
          <w:rFonts w:ascii="Arial" w:hAnsi="Arial" w:cs="Arial"/>
        </w:rPr>
        <w:t>rs</w:t>
      </w:r>
      <w:proofErr w:type="spellEnd"/>
      <w:r>
        <w:rPr>
          <w:rFonts w:ascii="Arial" w:hAnsi="Arial" w:cs="Arial"/>
        </w:rPr>
        <w:t xml:space="preserve"> = .574, p &lt; .001), indicating that teachers with more positive attitudes toward environmental education tend to engage in more effective environmental teaching practices. Additionally, a significant correlation between teacher practices and environmental knowledge (</w:t>
      </w:r>
      <w:proofErr w:type="spellStart"/>
      <w:r>
        <w:rPr>
          <w:rFonts w:ascii="Arial" w:hAnsi="Arial" w:cs="Arial"/>
        </w:rPr>
        <w:t>rs</w:t>
      </w:r>
      <w:proofErr w:type="spellEnd"/>
      <w:r>
        <w:rPr>
          <w:rFonts w:ascii="Arial" w:hAnsi="Arial" w:cs="Arial"/>
        </w:rPr>
        <w:t xml:space="preserve"> = .533, p &lt; .001) emphasizes the strong connection between teachers' understanding of environmental concepts and their ability to apply them in the classroom. </w:t>
      </w:r>
    </w:p>
    <w:p w14:paraId="591099AA" w14:textId="09B07800" w:rsidR="00790ADA" w:rsidRDefault="00790ADA" w:rsidP="00441B6F">
      <w:pPr>
        <w:pStyle w:val="Body"/>
        <w:spacing w:after="0"/>
        <w:rPr>
          <w:rFonts w:ascii="Arial" w:hAnsi="Arial" w:cs="Arial"/>
        </w:rPr>
      </w:pPr>
    </w:p>
    <w:p w14:paraId="6213EEF3" w14:textId="50D55DF3" w:rsidR="003374B7" w:rsidRPr="00D2435E" w:rsidRDefault="003374B7" w:rsidP="003374B7">
      <w:pPr>
        <w:pStyle w:val="NormalWeb"/>
        <w:spacing w:beforeAutospacing="0" w:afterAutospacing="0" w:line="240" w:lineRule="auto"/>
        <w:ind w:rightChars="49" w:right="98" w:firstLine="0"/>
        <w:rPr>
          <w:b/>
          <w:bCs/>
          <w:color w:val="auto"/>
          <w:sz w:val="20"/>
          <w:szCs w:val="20"/>
        </w:rPr>
      </w:pPr>
      <w:r w:rsidRPr="00D2435E">
        <w:rPr>
          <w:b/>
          <w:bCs/>
          <w:color w:val="auto"/>
          <w:sz w:val="20"/>
          <w:szCs w:val="20"/>
        </w:rPr>
        <w:t xml:space="preserve">Table </w:t>
      </w:r>
      <w:r w:rsidR="00570855">
        <w:rPr>
          <w:b/>
          <w:bCs/>
          <w:color w:val="auto"/>
          <w:sz w:val="20"/>
          <w:szCs w:val="20"/>
        </w:rPr>
        <w:t>7</w:t>
      </w:r>
      <w:r w:rsidRPr="00D2435E">
        <w:rPr>
          <w:b/>
          <w:bCs/>
          <w:color w:val="auto"/>
          <w:sz w:val="20"/>
          <w:szCs w:val="20"/>
        </w:rPr>
        <w:t xml:space="preserve">. Correlation matrix between Environmental Literacy </w:t>
      </w:r>
      <w:proofErr w:type="gramStart"/>
      <w:r w:rsidRPr="00D2435E">
        <w:rPr>
          <w:b/>
          <w:bCs/>
          <w:color w:val="auto"/>
          <w:sz w:val="20"/>
          <w:szCs w:val="20"/>
        </w:rPr>
        <w:t>and  Practices</w:t>
      </w:r>
      <w:proofErr w:type="gramEnd"/>
    </w:p>
    <w:p w14:paraId="52065D25" w14:textId="77777777" w:rsidR="003374B7" w:rsidRDefault="003374B7" w:rsidP="00441B6F">
      <w:pPr>
        <w:pStyle w:val="Body"/>
        <w:spacing w:after="0"/>
        <w:rPr>
          <w:rFonts w:ascii="Arial" w:hAnsi="Arial" w:cs="Arial"/>
        </w:rPr>
      </w:pPr>
    </w:p>
    <w:tbl>
      <w:tblPr>
        <w:tblStyle w:val="PlainTable11"/>
        <w:tblW w:w="0" w:type="auto"/>
        <w:tblInd w:w="11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46"/>
        <w:gridCol w:w="2078"/>
        <w:gridCol w:w="2032"/>
        <w:gridCol w:w="1102"/>
      </w:tblGrid>
      <w:tr w:rsidR="003374B7" w:rsidRPr="003374B7" w14:paraId="6BE5D488" w14:textId="77777777" w:rsidTr="0053411E">
        <w:trPr>
          <w:cnfStyle w:val="100000000000" w:firstRow="1" w:lastRow="0" w:firstColumn="0" w:lastColumn="0" w:oddVBand="0" w:evenVBand="0" w:oddHBand="0"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3046" w:type="dxa"/>
            <w:tcBorders>
              <w:top w:val="single" w:sz="4" w:space="0" w:color="auto"/>
              <w:bottom w:val="single" w:sz="4" w:space="0" w:color="auto"/>
            </w:tcBorders>
          </w:tcPr>
          <w:p w14:paraId="7FEDA4C9" w14:textId="77777777" w:rsidR="003374B7" w:rsidRPr="003374B7" w:rsidRDefault="003374B7" w:rsidP="0053411E">
            <w:pPr>
              <w:rPr>
                <w:rFonts w:ascii="Arial" w:hAnsi="Arial" w:cs="Arial"/>
              </w:rPr>
            </w:pPr>
            <w:r w:rsidRPr="003374B7">
              <w:rPr>
                <w:rFonts w:ascii="Arial" w:hAnsi="Arial" w:cs="Arial"/>
              </w:rPr>
              <w:t>Environmental Practices</w:t>
            </w:r>
          </w:p>
        </w:tc>
        <w:tc>
          <w:tcPr>
            <w:tcW w:w="2078" w:type="dxa"/>
            <w:tcBorders>
              <w:top w:val="single" w:sz="4" w:space="0" w:color="auto"/>
              <w:bottom w:val="single" w:sz="4" w:space="0" w:color="auto"/>
            </w:tcBorders>
          </w:tcPr>
          <w:p w14:paraId="5AD7C19B" w14:textId="77777777" w:rsidR="003374B7" w:rsidRPr="003374B7" w:rsidRDefault="003374B7" w:rsidP="0053411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3374B7">
              <w:rPr>
                <w:rFonts w:ascii="Arial" w:hAnsi="Arial" w:cs="Arial"/>
              </w:rPr>
              <w:t>Environmental Knowledge</w:t>
            </w:r>
          </w:p>
        </w:tc>
        <w:tc>
          <w:tcPr>
            <w:tcW w:w="2032" w:type="dxa"/>
            <w:tcBorders>
              <w:top w:val="single" w:sz="4" w:space="0" w:color="auto"/>
              <w:bottom w:val="single" w:sz="4" w:space="0" w:color="auto"/>
            </w:tcBorders>
          </w:tcPr>
          <w:p w14:paraId="222B4AA0" w14:textId="77777777" w:rsidR="003374B7" w:rsidRPr="003374B7" w:rsidRDefault="003374B7" w:rsidP="0053411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3374B7">
              <w:rPr>
                <w:rFonts w:ascii="Arial" w:hAnsi="Arial" w:cs="Arial"/>
              </w:rPr>
              <w:t>Environmental Concern</w:t>
            </w:r>
          </w:p>
        </w:tc>
        <w:tc>
          <w:tcPr>
            <w:tcW w:w="1102" w:type="dxa"/>
            <w:tcBorders>
              <w:top w:val="single" w:sz="4" w:space="0" w:color="auto"/>
              <w:bottom w:val="single" w:sz="4" w:space="0" w:color="auto"/>
            </w:tcBorders>
          </w:tcPr>
          <w:p w14:paraId="71DAA481" w14:textId="77777777" w:rsidR="003374B7" w:rsidRPr="003374B7" w:rsidRDefault="003374B7" w:rsidP="0053411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3374B7">
              <w:rPr>
                <w:rFonts w:ascii="Arial" w:hAnsi="Arial" w:cs="Arial"/>
              </w:rPr>
              <w:t>Overall</w:t>
            </w:r>
          </w:p>
        </w:tc>
      </w:tr>
      <w:tr w:rsidR="003374B7" w:rsidRPr="003374B7" w14:paraId="5DEF42DD" w14:textId="77777777" w:rsidTr="0053411E">
        <w:trPr>
          <w:trHeight w:val="90"/>
        </w:trPr>
        <w:tc>
          <w:tcPr>
            <w:cnfStyle w:val="001000000000" w:firstRow="0" w:lastRow="0" w:firstColumn="1" w:lastColumn="0" w:oddVBand="0" w:evenVBand="0" w:oddHBand="0" w:evenHBand="0" w:firstRowFirstColumn="0" w:firstRowLastColumn="0" w:lastRowFirstColumn="0" w:lastRowLastColumn="0"/>
            <w:tcW w:w="3046" w:type="dxa"/>
            <w:tcBorders>
              <w:top w:val="single" w:sz="4" w:space="0" w:color="auto"/>
            </w:tcBorders>
            <w:shd w:val="clear" w:color="auto" w:fill="auto"/>
          </w:tcPr>
          <w:p w14:paraId="6B17665B" w14:textId="77777777" w:rsidR="003374B7" w:rsidRPr="003374B7" w:rsidRDefault="003374B7" w:rsidP="0053411E">
            <w:pPr>
              <w:rPr>
                <w:rFonts w:ascii="Arial" w:hAnsi="Arial" w:cs="Arial"/>
              </w:rPr>
            </w:pPr>
            <w:r w:rsidRPr="003374B7">
              <w:rPr>
                <w:rFonts w:ascii="Arial" w:hAnsi="Arial" w:cs="Arial"/>
                <w:b w:val="0"/>
                <w:bCs w:val="0"/>
              </w:rPr>
              <w:t>Environmental Education Attitudes</w:t>
            </w:r>
          </w:p>
        </w:tc>
        <w:tc>
          <w:tcPr>
            <w:tcW w:w="2078" w:type="dxa"/>
            <w:tcBorders>
              <w:top w:val="single" w:sz="4" w:space="0" w:color="auto"/>
            </w:tcBorders>
            <w:shd w:val="clear" w:color="auto" w:fill="auto"/>
          </w:tcPr>
          <w:p w14:paraId="7BBEA21F" w14:textId="77777777" w:rsidR="003374B7" w:rsidRPr="003374B7" w:rsidRDefault="003374B7" w:rsidP="0053411E">
            <w:pPr>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rPr>
            </w:pPr>
            <w:r w:rsidRPr="003374B7">
              <w:rPr>
                <w:rFonts w:ascii="Arial" w:hAnsi="Arial" w:cs="Arial"/>
              </w:rPr>
              <w:t>.525</w:t>
            </w:r>
            <w:r w:rsidRPr="003374B7">
              <w:rPr>
                <w:rFonts w:ascii="Arial" w:hAnsi="Arial" w:cs="Arial"/>
                <w:vertAlign w:val="superscript"/>
              </w:rPr>
              <w:t>**</w:t>
            </w:r>
          </w:p>
          <w:p w14:paraId="5B5E8336" w14:textId="77777777" w:rsidR="003374B7" w:rsidRPr="003374B7" w:rsidRDefault="003374B7" w:rsidP="0053411E">
            <w:pPr>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rPr>
            </w:pPr>
            <w:r w:rsidRPr="003374B7">
              <w:rPr>
                <w:rFonts w:ascii="Arial" w:hAnsi="Arial" w:cs="Arial"/>
              </w:rPr>
              <w:t>0.000</w:t>
            </w:r>
          </w:p>
        </w:tc>
        <w:tc>
          <w:tcPr>
            <w:tcW w:w="2032" w:type="dxa"/>
            <w:tcBorders>
              <w:top w:val="single" w:sz="4" w:space="0" w:color="auto"/>
            </w:tcBorders>
            <w:shd w:val="clear" w:color="auto" w:fill="auto"/>
          </w:tcPr>
          <w:p w14:paraId="53DC8383" w14:textId="77777777" w:rsidR="003374B7" w:rsidRPr="003374B7" w:rsidRDefault="003374B7" w:rsidP="0053411E">
            <w:pPr>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rPr>
            </w:pPr>
            <w:r w:rsidRPr="003374B7">
              <w:rPr>
                <w:rFonts w:ascii="Arial" w:hAnsi="Arial" w:cs="Arial"/>
              </w:rPr>
              <w:t>.574</w:t>
            </w:r>
            <w:r w:rsidRPr="003374B7">
              <w:rPr>
                <w:rFonts w:ascii="Arial" w:hAnsi="Arial" w:cs="Arial"/>
                <w:vertAlign w:val="superscript"/>
              </w:rPr>
              <w:t>**</w:t>
            </w:r>
          </w:p>
          <w:p w14:paraId="4DAE0AB6" w14:textId="77777777" w:rsidR="003374B7" w:rsidRPr="003374B7" w:rsidRDefault="003374B7" w:rsidP="0053411E">
            <w:pPr>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rPr>
            </w:pPr>
            <w:r w:rsidRPr="003374B7">
              <w:rPr>
                <w:rFonts w:ascii="Arial" w:hAnsi="Arial" w:cs="Arial"/>
              </w:rPr>
              <w:t>0.000</w:t>
            </w:r>
          </w:p>
        </w:tc>
        <w:tc>
          <w:tcPr>
            <w:tcW w:w="1102" w:type="dxa"/>
            <w:tcBorders>
              <w:top w:val="single" w:sz="4" w:space="0" w:color="auto"/>
            </w:tcBorders>
            <w:shd w:val="clear" w:color="auto" w:fill="auto"/>
          </w:tcPr>
          <w:p w14:paraId="28DDC4F5" w14:textId="77777777" w:rsidR="003374B7" w:rsidRPr="003374B7" w:rsidRDefault="003374B7" w:rsidP="0053411E">
            <w:pPr>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rPr>
            </w:pPr>
            <w:r w:rsidRPr="003374B7">
              <w:rPr>
                <w:rFonts w:ascii="Arial" w:hAnsi="Arial" w:cs="Arial"/>
              </w:rPr>
              <w:t>.659</w:t>
            </w:r>
            <w:r w:rsidRPr="003374B7">
              <w:rPr>
                <w:rFonts w:ascii="Arial" w:hAnsi="Arial" w:cs="Arial"/>
                <w:vertAlign w:val="superscript"/>
              </w:rPr>
              <w:t>**</w:t>
            </w:r>
          </w:p>
          <w:p w14:paraId="5ED9A080" w14:textId="77777777" w:rsidR="003374B7" w:rsidRPr="003374B7" w:rsidRDefault="003374B7" w:rsidP="0053411E">
            <w:pPr>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rPr>
            </w:pPr>
            <w:r w:rsidRPr="003374B7">
              <w:rPr>
                <w:rFonts w:ascii="Arial" w:hAnsi="Arial" w:cs="Arial"/>
              </w:rPr>
              <w:t>0.000</w:t>
            </w:r>
          </w:p>
        </w:tc>
      </w:tr>
      <w:tr w:rsidR="003374B7" w:rsidRPr="003374B7" w14:paraId="1872FE50" w14:textId="77777777" w:rsidTr="0053411E">
        <w:trPr>
          <w:trHeight w:val="90"/>
        </w:trPr>
        <w:tc>
          <w:tcPr>
            <w:cnfStyle w:val="001000000000" w:firstRow="0" w:lastRow="0" w:firstColumn="1" w:lastColumn="0" w:oddVBand="0" w:evenVBand="0" w:oddHBand="0" w:evenHBand="0" w:firstRowFirstColumn="0" w:firstRowLastColumn="0" w:lastRowFirstColumn="0" w:lastRowLastColumn="0"/>
            <w:tcW w:w="3046" w:type="dxa"/>
            <w:shd w:val="clear" w:color="auto" w:fill="auto"/>
          </w:tcPr>
          <w:p w14:paraId="3EE4F57F" w14:textId="77777777" w:rsidR="003374B7" w:rsidRPr="003374B7" w:rsidRDefault="003374B7" w:rsidP="0053411E">
            <w:pPr>
              <w:rPr>
                <w:rFonts w:ascii="Arial" w:hAnsi="Arial" w:cs="Arial"/>
              </w:rPr>
            </w:pPr>
            <w:r w:rsidRPr="003374B7">
              <w:rPr>
                <w:rFonts w:ascii="Arial" w:hAnsi="Arial" w:cs="Arial"/>
                <w:b w:val="0"/>
                <w:bCs w:val="0"/>
              </w:rPr>
              <w:t>Teacher Practices in Environmental Education</w:t>
            </w:r>
          </w:p>
        </w:tc>
        <w:tc>
          <w:tcPr>
            <w:tcW w:w="2078" w:type="dxa"/>
            <w:shd w:val="clear" w:color="auto" w:fill="auto"/>
          </w:tcPr>
          <w:p w14:paraId="70AAE179" w14:textId="77777777" w:rsidR="003374B7" w:rsidRPr="003374B7" w:rsidRDefault="003374B7" w:rsidP="0053411E">
            <w:pPr>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rPr>
            </w:pPr>
            <w:r w:rsidRPr="003374B7">
              <w:rPr>
                <w:rFonts w:ascii="Arial" w:hAnsi="Arial" w:cs="Arial"/>
              </w:rPr>
              <w:t>.533</w:t>
            </w:r>
            <w:r w:rsidRPr="003374B7">
              <w:rPr>
                <w:rFonts w:ascii="Arial" w:hAnsi="Arial" w:cs="Arial"/>
                <w:vertAlign w:val="superscript"/>
              </w:rPr>
              <w:t>**</w:t>
            </w:r>
          </w:p>
          <w:p w14:paraId="6698E514" w14:textId="77777777" w:rsidR="003374B7" w:rsidRPr="003374B7" w:rsidRDefault="003374B7" w:rsidP="0053411E">
            <w:pPr>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rPr>
            </w:pPr>
            <w:r w:rsidRPr="003374B7">
              <w:rPr>
                <w:rFonts w:ascii="Arial" w:hAnsi="Arial" w:cs="Arial"/>
              </w:rPr>
              <w:t>0.000</w:t>
            </w:r>
          </w:p>
        </w:tc>
        <w:tc>
          <w:tcPr>
            <w:tcW w:w="2032" w:type="dxa"/>
            <w:shd w:val="clear" w:color="auto" w:fill="auto"/>
          </w:tcPr>
          <w:p w14:paraId="12990F81" w14:textId="77777777" w:rsidR="003374B7" w:rsidRPr="003374B7" w:rsidRDefault="003374B7" w:rsidP="0053411E">
            <w:pPr>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rPr>
            </w:pPr>
            <w:r w:rsidRPr="003374B7">
              <w:rPr>
                <w:rFonts w:ascii="Arial" w:hAnsi="Arial" w:cs="Arial"/>
              </w:rPr>
              <w:t>.221</w:t>
            </w:r>
            <w:r w:rsidRPr="003374B7">
              <w:rPr>
                <w:rFonts w:ascii="Arial" w:hAnsi="Arial" w:cs="Arial"/>
                <w:vertAlign w:val="superscript"/>
              </w:rPr>
              <w:t>*</w:t>
            </w:r>
          </w:p>
          <w:p w14:paraId="14F4762C" w14:textId="77777777" w:rsidR="003374B7" w:rsidRPr="003374B7" w:rsidRDefault="003374B7" w:rsidP="0053411E">
            <w:pPr>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rPr>
            </w:pPr>
            <w:r w:rsidRPr="003374B7">
              <w:rPr>
                <w:rFonts w:ascii="Arial" w:hAnsi="Arial" w:cs="Arial"/>
              </w:rPr>
              <w:t>0.042</w:t>
            </w:r>
          </w:p>
        </w:tc>
        <w:tc>
          <w:tcPr>
            <w:tcW w:w="1102" w:type="dxa"/>
            <w:shd w:val="clear" w:color="auto" w:fill="auto"/>
          </w:tcPr>
          <w:p w14:paraId="01663334" w14:textId="77777777" w:rsidR="003374B7" w:rsidRPr="003374B7" w:rsidRDefault="003374B7" w:rsidP="0053411E">
            <w:pPr>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rPr>
            </w:pPr>
            <w:r w:rsidRPr="003374B7">
              <w:rPr>
                <w:rFonts w:ascii="Arial" w:hAnsi="Arial" w:cs="Arial"/>
              </w:rPr>
              <w:t>.458</w:t>
            </w:r>
            <w:r w:rsidRPr="003374B7">
              <w:rPr>
                <w:rFonts w:ascii="Arial" w:hAnsi="Arial" w:cs="Arial"/>
                <w:vertAlign w:val="superscript"/>
              </w:rPr>
              <w:t>**</w:t>
            </w:r>
          </w:p>
          <w:p w14:paraId="48C714BA" w14:textId="77777777" w:rsidR="003374B7" w:rsidRPr="003374B7" w:rsidRDefault="003374B7" w:rsidP="0053411E">
            <w:pPr>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rPr>
            </w:pPr>
            <w:r w:rsidRPr="003374B7">
              <w:rPr>
                <w:rFonts w:ascii="Arial" w:hAnsi="Arial" w:cs="Arial"/>
              </w:rPr>
              <w:t>0.000</w:t>
            </w:r>
          </w:p>
        </w:tc>
      </w:tr>
      <w:tr w:rsidR="003374B7" w:rsidRPr="003374B7" w14:paraId="3333858C" w14:textId="77777777" w:rsidTr="0053411E">
        <w:trPr>
          <w:trHeight w:val="20"/>
        </w:trPr>
        <w:tc>
          <w:tcPr>
            <w:cnfStyle w:val="001000000000" w:firstRow="0" w:lastRow="0" w:firstColumn="1" w:lastColumn="0" w:oddVBand="0" w:evenVBand="0" w:oddHBand="0" w:evenHBand="0" w:firstRowFirstColumn="0" w:firstRowLastColumn="0" w:lastRowFirstColumn="0" w:lastRowLastColumn="0"/>
            <w:tcW w:w="3046" w:type="dxa"/>
            <w:shd w:val="clear" w:color="auto" w:fill="auto"/>
          </w:tcPr>
          <w:p w14:paraId="0E9300BB" w14:textId="77777777" w:rsidR="003374B7" w:rsidRPr="003374B7" w:rsidRDefault="003374B7" w:rsidP="0053411E">
            <w:pPr>
              <w:rPr>
                <w:rFonts w:ascii="Arial" w:hAnsi="Arial" w:cs="Arial"/>
              </w:rPr>
            </w:pPr>
            <w:r w:rsidRPr="003374B7">
              <w:rPr>
                <w:rFonts w:ascii="Arial" w:hAnsi="Arial" w:cs="Arial"/>
              </w:rPr>
              <w:t>Overall</w:t>
            </w:r>
          </w:p>
        </w:tc>
        <w:tc>
          <w:tcPr>
            <w:tcW w:w="2078" w:type="dxa"/>
            <w:shd w:val="clear" w:color="auto" w:fill="auto"/>
          </w:tcPr>
          <w:p w14:paraId="388FCC38" w14:textId="77777777" w:rsidR="003374B7" w:rsidRPr="003374B7" w:rsidRDefault="003374B7" w:rsidP="0053411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3374B7">
              <w:rPr>
                <w:rFonts w:ascii="Arial" w:hAnsi="Arial" w:cs="Arial"/>
                <w:b/>
                <w:bCs/>
              </w:rPr>
              <w:t>.635</w:t>
            </w:r>
            <w:r w:rsidRPr="003374B7">
              <w:rPr>
                <w:rFonts w:ascii="Arial" w:hAnsi="Arial" w:cs="Arial"/>
                <w:b/>
                <w:bCs/>
                <w:vertAlign w:val="superscript"/>
              </w:rPr>
              <w:t>**</w:t>
            </w:r>
          </w:p>
        </w:tc>
        <w:tc>
          <w:tcPr>
            <w:tcW w:w="2032" w:type="dxa"/>
            <w:shd w:val="clear" w:color="auto" w:fill="auto"/>
          </w:tcPr>
          <w:p w14:paraId="7F9A425A" w14:textId="77777777" w:rsidR="003374B7" w:rsidRPr="003374B7" w:rsidRDefault="003374B7" w:rsidP="0053411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3374B7">
              <w:rPr>
                <w:rFonts w:ascii="Arial" w:hAnsi="Arial" w:cs="Arial"/>
                <w:b/>
                <w:bCs/>
              </w:rPr>
              <w:t>.440</w:t>
            </w:r>
            <w:r w:rsidRPr="003374B7">
              <w:rPr>
                <w:rFonts w:ascii="Arial" w:hAnsi="Arial" w:cs="Arial"/>
                <w:b/>
                <w:bCs/>
                <w:vertAlign w:val="superscript"/>
              </w:rPr>
              <w:t>**</w:t>
            </w:r>
          </w:p>
        </w:tc>
        <w:tc>
          <w:tcPr>
            <w:tcW w:w="1102" w:type="dxa"/>
            <w:shd w:val="clear" w:color="auto" w:fill="auto"/>
          </w:tcPr>
          <w:p w14:paraId="5BF077DF" w14:textId="77777777" w:rsidR="003374B7" w:rsidRPr="003374B7" w:rsidRDefault="003374B7" w:rsidP="0053411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3374B7">
              <w:rPr>
                <w:rFonts w:ascii="Arial" w:hAnsi="Arial" w:cs="Arial"/>
                <w:b/>
                <w:bCs/>
              </w:rPr>
              <w:t>.657</w:t>
            </w:r>
            <w:r w:rsidRPr="003374B7">
              <w:rPr>
                <w:rFonts w:ascii="Arial" w:hAnsi="Arial" w:cs="Arial"/>
                <w:b/>
                <w:bCs/>
                <w:vertAlign w:val="superscript"/>
              </w:rPr>
              <w:t>**</w:t>
            </w:r>
          </w:p>
        </w:tc>
      </w:tr>
      <w:tr w:rsidR="003374B7" w:rsidRPr="003374B7" w14:paraId="547546B7" w14:textId="77777777" w:rsidTr="0053411E">
        <w:trPr>
          <w:trHeight w:val="20"/>
        </w:trPr>
        <w:tc>
          <w:tcPr>
            <w:cnfStyle w:val="001000000000" w:firstRow="0" w:lastRow="0" w:firstColumn="1" w:lastColumn="0" w:oddVBand="0" w:evenVBand="0" w:oddHBand="0" w:evenHBand="0" w:firstRowFirstColumn="0" w:firstRowLastColumn="0" w:lastRowFirstColumn="0" w:lastRowLastColumn="0"/>
            <w:tcW w:w="3046" w:type="dxa"/>
            <w:shd w:val="clear" w:color="auto" w:fill="auto"/>
          </w:tcPr>
          <w:p w14:paraId="5A971609" w14:textId="77777777" w:rsidR="003374B7" w:rsidRPr="003374B7" w:rsidRDefault="003374B7" w:rsidP="0053411E">
            <w:pPr>
              <w:rPr>
                <w:rFonts w:ascii="Arial" w:hAnsi="Arial" w:cs="Arial"/>
              </w:rPr>
            </w:pPr>
          </w:p>
        </w:tc>
        <w:tc>
          <w:tcPr>
            <w:tcW w:w="2078" w:type="dxa"/>
            <w:shd w:val="clear" w:color="auto" w:fill="auto"/>
          </w:tcPr>
          <w:p w14:paraId="713550BA" w14:textId="77777777" w:rsidR="003374B7" w:rsidRPr="003374B7" w:rsidRDefault="003374B7" w:rsidP="0053411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3374B7">
              <w:rPr>
                <w:rFonts w:ascii="Arial" w:hAnsi="Arial" w:cs="Arial"/>
                <w:b/>
                <w:bCs/>
              </w:rPr>
              <w:t>0.000</w:t>
            </w:r>
          </w:p>
        </w:tc>
        <w:tc>
          <w:tcPr>
            <w:tcW w:w="2032" w:type="dxa"/>
            <w:shd w:val="clear" w:color="auto" w:fill="auto"/>
          </w:tcPr>
          <w:p w14:paraId="2566DA45" w14:textId="77777777" w:rsidR="003374B7" w:rsidRPr="003374B7" w:rsidRDefault="003374B7" w:rsidP="0053411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3374B7">
              <w:rPr>
                <w:rFonts w:ascii="Arial" w:hAnsi="Arial" w:cs="Arial"/>
                <w:b/>
                <w:bCs/>
              </w:rPr>
              <w:t>0.000</w:t>
            </w:r>
          </w:p>
        </w:tc>
        <w:tc>
          <w:tcPr>
            <w:tcW w:w="1102" w:type="dxa"/>
            <w:shd w:val="clear" w:color="auto" w:fill="auto"/>
          </w:tcPr>
          <w:p w14:paraId="75D055B7" w14:textId="77777777" w:rsidR="003374B7" w:rsidRPr="003374B7" w:rsidRDefault="003374B7" w:rsidP="0053411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3374B7">
              <w:rPr>
                <w:rFonts w:ascii="Arial" w:hAnsi="Arial" w:cs="Arial"/>
                <w:b/>
                <w:bCs/>
              </w:rPr>
              <w:t>0.000</w:t>
            </w:r>
          </w:p>
        </w:tc>
      </w:tr>
    </w:tbl>
    <w:p w14:paraId="0640281C" w14:textId="77777777" w:rsidR="003374B7" w:rsidRPr="00FB3A86" w:rsidRDefault="003374B7" w:rsidP="00441B6F">
      <w:pPr>
        <w:pStyle w:val="Body"/>
        <w:spacing w:after="0"/>
        <w:rPr>
          <w:rFonts w:ascii="Arial" w:hAnsi="Arial" w:cs="Arial"/>
        </w:rPr>
      </w:pPr>
    </w:p>
    <w:p w14:paraId="6CF703F0" w14:textId="1DFF29F7" w:rsidR="00382545" w:rsidRPr="00382545" w:rsidRDefault="00AC3803" w:rsidP="00382545">
      <w:pPr>
        <w:jc w:val="both"/>
        <w:rPr>
          <w:rFonts w:ascii="Arial" w:hAnsi="Arial" w:cs="Arial"/>
          <w:bCs/>
          <w:szCs w:val="18"/>
        </w:rPr>
      </w:pPr>
      <w:r>
        <w:rPr>
          <w:rFonts w:ascii="Arial" w:hAnsi="Arial" w:cs="Arial"/>
          <w:bCs/>
          <w:szCs w:val="18"/>
        </w:rPr>
        <w:t>A weaker correlation was observed between teacher practices and environmental concern (</w:t>
      </w:r>
      <w:proofErr w:type="spellStart"/>
      <w:r>
        <w:rPr>
          <w:rFonts w:ascii="Arial" w:hAnsi="Arial" w:cs="Arial"/>
          <w:bCs/>
          <w:szCs w:val="18"/>
        </w:rPr>
        <w:t>rs</w:t>
      </w:r>
      <w:proofErr w:type="spellEnd"/>
      <w:r>
        <w:rPr>
          <w:rFonts w:ascii="Arial" w:hAnsi="Arial" w:cs="Arial"/>
          <w:bCs/>
          <w:szCs w:val="18"/>
        </w:rPr>
        <w:t xml:space="preserve"> = .221, p = .042), suggesting that teacher practices affect environmental attitudes but not strongly. This may be influenced by personal values, resources, or institutional support (Hines et al., 2019; </w:t>
      </w:r>
      <w:proofErr w:type="spellStart"/>
      <w:r>
        <w:rPr>
          <w:rFonts w:ascii="Arial" w:hAnsi="Arial" w:cs="Arial"/>
          <w:bCs/>
          <w:szCs w:val="18"/>
        </w:rPr>
        <w:t>Hermawan</w:t>
      </w:r>
      <w:proofErr w:type="spellEnd"/>
      <w:r>
        <w:rPr>
          <w:rFonts w:ascii="Arial" w:hAnsi="Arial" w:cs="Arial"/>
          <w:bCs/>
          <w:szCs w:val="18"/>
        </w:rPr>
        <w:t xml:space="preserve"> et al., 2022). These results emphasize the importance of teacher </w:t>
      </w:r>
      <w:r>
        <w:rPr>
          <w:rFonts w:ascii="Arial" w:hAnsi="Arial" w:cs="Arial"/>
          <w:bCs/>
          <w:szCs w:val="18"/>
        </w:rPr>
        <w:lastRenderedPageBreak/>
        <w:t>practices in improving environmental literacy, with teachers involved in environmental education showing higher levels of knowledge and concern. Teachers with stronger environmental literacy are more effective at promoting sustainable behaviors among students (</w:t>
      </w:r>
      <w:proofErr w:type="spellStart"/>
      <w:r>
        <w:rPr>
          <w:rFonts w:ascii="Arial" w:hAnsi="Arial" w:cs="Arial"/>
          <w:bCs/>
          <w:szCs w:val="18"/>
        </w:rPr>
        <w:t>Ibourk</w:t>
      </w:r>
      <w:proofErr w:type="spellEnd"/>
      <w:r>
        <w:rPr>
          <w:rFonts w:ascii="Arial" w:hAnsi="Arial" w:cs="Arial"/>
          <w:bCs/>
          <w:szCs w:val="18"/>
        </w:rPr>
        <w:t xml:space="preserve"> et al., 2024). Furthermore, professional development is essential for enhancing teachers' metacognitive skills and fostering environmental values, which boosts their ability to teach ecological concepts and address issues like climate change (</w:t>
      </w:r>
      <w:proofErr w:type="spellStart"/>
      <w:r>
        <w:rPr>
          <w:rFonts w:ascii="Arial" w:hAnsi="Arial" w:cs="Arial"/>
          <w:bCs/>
          <w:szCs w:val="18"/>
        </w:rPr>
        <w:t>Petkou</w:t>
      </w:r>
      <w:proofErr w:type="spellEnd"/>
      <w:r>
        <w:rPr>
          <w:rFonts w:ascii="Arial" w:hAnsi="Arial" w:cs="Arial"/>
          <w:bCs/>
          <w:szCs w:val="18"/>
        </w:rPr>
        <w:t xml:space="preserve"> et al., 2021; </w:t>
      </w:r>
      <w:proofErr w:type="spellStart"/>
      <w:r>
        <w:rPr>
          <w:rFonts w:ascii="Arial" w:hAnsi="Arial" w:cs="Arial"/>
          <w:bCs/>
          <w:szCs w:val="18"/>
        </w:rPr>
        <w:t>Ibourk</w:t>
      </w:r>
      <w:proofErr w:type="spellEnd"/>
      <w:r>
        <w:rPr>
          <w:rFonts w:ascii="Arial" w:hAnsi="Arial" w:cs="Arial"/>
          <w:bCs/>
          <w:szCs w:val="18"/>
        </w:rPr>
        <w:t xml:space="preserve"> et al., 2024).</w:t>
      </w:r>
    </w:p>
    <w:p w14:paraId="2D540959" w14:textId="77777777" w:rsidR="003374B7" w:rsidRDefault="003374B7" w:rsidP="00441B6F">
      <w:pPr>
        <w:pStyle w:val="ConcHead"/>
        <w:spacing w:after="0"/>
        <w:jc w:val="both"/>
        <w:rPr>
          <w:rFonts w:ascii="Arial" w:hAnsi="Arial" w:cs="Arial"/>
        </w:rPr>
      </w:pPr>
    </w:p>
    <w:p w14:paraId="347247CB" w14:textId="77777777" w:rsidR="003374B7" w:rsidRDefault="003374B7" w:rsidP="00441B6F">
      <w:pPr>
        <w:pStyle w:val="ConcHead"/>
        <w:spacing w:after="0"/>
        <w:jc w:val="both"/>
        <w:rPr>
          <w:rFonts w:ascii="Arial" w:hAnsi="Arial" w:cs="Arial"/>
        </w:rPr>
      </w:pPr>
    </w:p>
    <w:p w14:paraId="6CE3EB71" w14:textId="2B8BFCE9"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ECC4256" w14:textId="77777777" w:rsidR="00790ADA" w:rsidRPr="00FB3A86" w:rsidRDefault="00790ADA" w:rsidP="00441B6F">
      <w:pPr>
        <w:pStyle w:val="ConcHead"/>
        <w:spacing w:after="0"/>
        <w:jc w:val="both"/>
        <w:rPr>
          <w:rFonts w:ascii="Arial" w:hAnsi="Arial" w:cs="Arial"/>
        </w:rPr>
      </w:pPr>
    </w:p>
    <w:p w14:paraId="0685BCED" w14:textId="53AD8BD1" w:rsidR="00E5504F" w:rsidRDefault="007D5011" w:rsidP="002060D9">
      <w:pPr>
        <w:pStyle w:val="Body"/>
        <w:rPr>
          <w:rFonts w:ascii="Arial" w:hAnsi="Arial" w:cs="Arial"/>
        </w:rPr>
      </w:pPr>
      <w:r w:rsidRPr="007D5011">
        <w:rPr>
          <w:rFonts w:ascii="Arial" w:hAnsi="Arial" w:cs="Arial"/>
        </w:rPr>
        <w:t>This study measured elementary teachers' environmental literacy and teaching practices and explored their relationship. Results indicated that teachers exhibited strong environmental practices and high competence in integrating environmental education. While their attitude was very positive, actual teaching practices were less developed. Teachers showed a high overall level of environmental literacy, but a distinction existed between their high environmental concern and comparatively lower environmental knowledge. Correlation analysis showed a significant positive relationship between practices and literacy. These findings emphasize the need for professional development focused on enhancing knowledge and effective teaching strategies.</w:t>
      </w:r>
    </w:p>
    <w:p w14:paraId="0F22E245" w14:textId="77777777" w:rsidR="00E5504F" w:rsidRPr="00E5504F" w:rsidRDefault="00E5504F" w:rsidP="002060D9">
      <w:pPr>
        <w:pStyle w:val="Body"/>
        <w:rPr>
          <w:rFonts w:ascii="Arial" w:hAnsi="Arial" w:cs="Arial"/>
        </w:rPr>
      </w:pPr>
    </w:p>
    <w:p w14:paraId="269673DE" w14:textId="028A4085" w:rsidR="002060D9" w:rsidRDefault="002060D9" w:rsidP="002060D9">
      <w:pPr>
        <w:rPr>
          <w:b/>
          <w:bCs/>
        </w:rPr>
      </w:pPr>
      <w:r>
        <w:rPr>
          <w:b/>
          <w:bCs/>
        </w:rPr>
        <w:t>5. RECOMMENDATIONS</w:t>
      </w:r>
    </w:p>
    <w:p w14:paraId="10092479" w14:textId="77777777" w:rsidR="002060D9" w:rsidRDefault="002060D9" w:rsidP="002060D9">
      <w:pPr>
        <w:rPr>
          <w:b/>
          <w:bCs/>
        </w:rPr>
      </w:pPr>
    </w:p>
    <w:p w14:paraId="3B5AD0E4" w14:textId="3CC11FAB" w:rsidR="00076140" w:rsidRDefault="007D5011" w:rsidP="00076140">
      <w:pPr>
        <w:jc w:val="both"/>
        <w:rPr>
          <w:rFonts w:ascii="Arial" w:hAnsi="Arial" w:cs="Arial"/>
        </w:rPr>
      </w:pPr>
      <w:r w:rsidRPr="007D5011">
        <w:rPr>
          <w:rFonts w:ascii="Arial" w:hAnsi="Arial" w:cs="Arial"/>
        </w:rPr>
        <w:t>It is recommended that the Department of Education (DepEd), school division offices, and school administrators strengthen teachers' environmental literacy and teaching practices. Given the high environmental concern, school administrators should designate environmentally committed teachers as coordinators of school-based initiatives (e.g., solid waste management, campus greening) to translate concern into action. DepEd should implement intensive, content-based professional development programs on environmental topics (e.g., climate change, biodiversity) to address knowledge gaps. School heads should also organize regular workshops for integrating EE across subjects. Considering the significant positive relationship, school division offices should establish mentoring, coaching, and performance-monitoring programs to promote the consistent application of environmental concepts in teaching.</w:t>
      </w:r>
    </w:p>
    <w:p w14:paraId="1C6D30BB" w14:textId="77777777" w:rsidR="00076140" w:rsidRDefault="00076140" w:rsidP="00076140">
      <w:pPr>
        <w:jc w:val="both"/>
        <w:rPr>
          <w:rFonts w:ascii="Arial" w:hAnsi="Arial" w:cs="Arial"/>
        </w:rPr>
      </w:pPr>
    </w:p>
    <w:p w14:paraId="43A22624" w14:textId="77777777" w:rsidR="00076140" w:rsidRPr="00076140" w:rsidRDefault="00076140" w:rsidP="00076140">
      <w:pPr>
        <w:jc w:val="both"/>
        <w:rPr>
          <w:rFonts w:ascii="Arial" w:hAnsi="Arial" w:cs="Arial"/>
        </w:rPr>
      </w:pPr>
    </w:p>
    <w:p w14:paraId="63C7365E" w14:textId="77777777" w:rsidR="00790ADA" w:rsidRPr="00FB3A86" w:rsidRDefault="00790ADA" w:rsidP="00441B6F">
      <w:pPr>
        <w:pStyle w:val="Body"/>
        <w:spacing w:after="0"/>
        <w:rPr>
          <w:rFonts w:ascii="Arial" w:hAnsi="Arial" w:cs="Arial"/>
        </w:rPr>
      </w:pPr>
    </w:p>
    <w:p w14:paraId="6C7D9A93" w14:textId="77777777" w:rsidR="00B01FCD" w:rsidRDefault="00B01FCD" w:rsidP="00441B6F">
      <w:pPr>
        <w:pStyle w:val="AcknHead"/>
        <w:spacing w:after="0"/>
        <w:jc w:val="both"/>
        <w:rPr>
          <w:rFonts w:ascii="Arial" w:hAnsi="Arial" w:cs="Arial"/>
        </w:rPr>
      </w:pPr>
      <w:r w:rsidRPr="00FB3A86">
        <w:rPr>
          <w:rFonts w:ascii="Arial" w:hAnsi="Arial" w:cs="Arial"/>
        </w:rPr>
        <w:t>Acknowledg</w:t>
      </w:r>
      <w:r w:rsidR="003E2904">
        <w:rPr>
          <w:rFonts w:ascii="Arial" w:hAnsi="Arial" w:cs="Arial"/>
        </w:rPr>
        <w:t>E</w:t>
      </w:r>
      <w:r w:rsidRPr="00FB3A86">
        <w:rPr>
          <w:rFonts w:ascii="Arial" w:hAnsi="Arial" w:cs="Arial"/>
        </w:rPr>
        <w:t>ments</w:t>
      </w:r>
    </w:p>
    <w:p w14:paraId="299FDEDB" w14:textId="77777777" w:rsidR="00790ADA" w:rsidRPr="00FB3A86" w:rsidRDefault="00790ADA" w:rsidP="00441B6F">
      <w:pPr>
        <w:pStyle w:val="AcknHead"/>
        <w:spacing w:after="0"/>
        <w:jc w:val="both"/>
        <w:rPr>
          <w:rFonts w:ascii="Arial" w:hAnsi="Arial" w:cs="Arial"/>
        </w:rPr>
      </w:pPr>
    </w:p>
    <w:p w14:paraId="5751126B" w14:textId="56C6DEB7" w:rsidR="00315186" w:rsidRPr="00AF5B72" w:rsidRDefault="00AC3803" w:rsidP="00AC3803">
      <w:pPr>
        <w:jc w:val="both"/>
        <w:rPr>
          <w:rFonts w:eastAsia="Calibri" w:cs="Helvetica"/>
        </w:rPr>
      </w:pPr>
      <w:r>
        <w:rPr>
          <w:rFonts w:eastAsia="Calibri" w:cs="Helvetica"/>
        </w:rPr>
        <w:t xml:space="preserve">We sincerely thank our research adviser, Ms. </w:t>
      </w:r>
      <w:proofErr w:type="spellStart"/>
      <w:r>
        <w:rPr>
          <w:rFonts w:eastAsia="Calibri" w:cs="Helvetica"/>
        </w:rPr>
        <w:t>Rodeth</w:t>
      </w:r>
      <w:proofErr w:type="spellEnd"/>
      <w:r>
        <w:rPr>
          <w:rFonts w:eastAsia="Calibri" w:cs="Helvetica"/>
        </w:rPr>
        <w:t xml:space="preserve"> Jane C. Quezada, </w:t>
      </w:r>
      <w:proofErr w:type="spellStart"/>
      <w:r>
        <w:rPr>
          <w:rFonts w:eastAsia="Calibri" w:cs="Helvetica"/>
        </w:rPr>
        <w:t>MaEd</w:t>
      </w:r>
      <w:proofErr w:type="spellEnd"/>
      <w:r>
        <w:rPr>
          <w:rFonts w:eastAsia="Calibri" w:cs="Helvetica"/>
        </w:rPr>
        <w:t xml:space="preserve">; our statistician, Ms. Pearl </w:t>
      </w:r>
      <w:proofErr w:type="spellStart"/>
      <w:r>
        <w:rPr>
          <w:rFonts w:eastAsia="Calibri" w:cs="Helvetica"/>
        </w:rPr>
        <w:t>Lettee</w:t>
      </w:r>
      <w:proofErr w:type="spellEnd"/>
      <w:r>
        <w:rPr>
          <w:rFonts w:eastAsia="Calibri" w:cs="Helvetica"/>
        </w:rPr>
        <w:t xml:space="preserve"> </w:t>
      </w:r>
      <w:proofErr w:type="spellStart"/>
      <w:r>
        <w:rPr>
          <w:rFonts w:eastAsia="Calibri" w:cs="Helvetica"/>
        </w:rPr>
        <w:t>Maunes</w:t>
      </w:r>
      <w:proofErr w:type="spellEnd"/>
      <w:r>
        <w:rPr>
          <w:rFonts w:eastAsia="Calibri" w:cs="Helvetica"/>
        </w:rPr>
        <w:t xml:space="preserve">; and our Research Coordinator, Ms. Joane May B. </w:t>
      </w:r>
      <w:proofErr w:type="spellStart"/>
      <w:r>
        <w:rPr>
          <w:rFonts w:eastAsia="Calibri" w:cs="Helvetica"/>
        </w:rPr>
        <w:t>Delima</w:t>
      </w:r>
      <w:proofErr w:type="spellEnd"/>
      <w:r>
        <w:rPr>
          <w:rFonts w:eastAsia="Calibri" w:cs="Helvetica"/>
        </w:rPr>
        <w:t>, MIT, along with the Research Publication Center staff, for their guidance and support. We are deeply grateful to our parents for their moral, financial, and spiritual encouragement. Above all, we thank God for giving us the strength and wisdom to complete this study.</w:t>
      </w:r>
    </w:p>
    <w:p w14:paraId="7EB4AC97" w14:textId="77777777" w:rsidR="0032167A" w:rsidRPr="00AF5B72" w:rsidRDefault="0032167A" w:rsidP="00441B6F">
      <w:pPr>
        <w:rPr>
          <w:rFonts w:eastAsia="Calibri" w:cs="Helvetica"/>
        </w:rPr>
      </w:pPr>
    </w:p>
    <w:p w14:paraId="75CBA29A" w14:textId="77777777" w:rsidR="0032167A" w:rsidRDefault="0032167A" w:rsidP="00441B6F">
      <w:pPr>
        <w:rPr>
          <w:rFonts w:ascii="Arial" w:eastAsia="Calibri" w:hAnsi="Arial" w:cs="Arial"/>
        </w:rPr>
      </w:pPr>
    </w:p>
    <w:p w14:paraId="01E18DBB" w14:textId="77777777" w:rsidR="0032167A" w:rsidRPr="00843B01" w:rsidRDefault="0032167A" w:rsidP="00441B6F">
      <w:pPr>
        <w:rPr>
          <w:rFonts w:ascii="Arial" w:hAnsi="Arial" w:cs="Arial"/>
        </w:rPr>
      </w:pPr>
    </w:p>
    <w:p w14:paraId="5C3C8775"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lastRenderedPageBreak/>
        <w:t>Competing interests</w:t>
      </w:r>
    </w:p>
    <w:p w14:paraId="1925859F" w14:textId="77777777" w:rsidR="00860000" w:rsidRPr="00786D36" w:rsidRDefault="00860000" w:rsidP="00441B6F">
      <w:pPr>
        <w:pStyle w:val="ReferHead"/>
        <w:spacing w:after="0"/>
        <w:jc w:val="both"/>
        <w:rPr>
          <w:rFonts w:ascii="Arial" w:hAnsi="Arial" w:cs="Arial"/>
        </w:rPr>
      </w:pPr>
    </w:p>
    <w:p w14:paraId="3E5047C1" w14:textId="12467F91" w:rsidR="002B685A" w:rsidRPr="00AF5B72" w:rsidRDefault="002E20B5" w:rsidP="00441B6F">
      <w:pPr>
        <w:pStyle w:val="ReferHead"/>
        <w:spacing w:after="0"/>
        <w:jc w:val="both"/>
        <w:rPr>
          <w:rFonts w:cs="Helvetica"/>
          <w:b w:val="0"/>
          <w:caps w:val="0"/>
          <w:sz w:val="20"/>
        </w:rPr>
      </w:pPr>
      <w:r>
        <w:rPr>
          <w:rFonts w:cs="Helvetica"/>
          <w:b w:val="0"/>
          <w:caps w:val="0"/>
          <w:sz w:val="20"/>
        </w:rPr>
        <w:t>The authors</w:t>
      </w:r>
      <w:r w:rsidR="00550B5A" w:rsidRPr="00AF5B72">
        <w:rPr>
          <w:rFonts w:cs="Helvetica"/>
          <w:b w:val="0"/>
          <w:caps w:val="0"/>
          <w:sz w:val="20"/>
        </w:rPr>
        <w:t xml:space="preserve"> have declared that no competing interests exist.</w:t>
      </w:r>
    </w:p>
    <w:p w14:paraId="50D929DA" w14:textId="77777777" w:rsidR="007A026A" w:rsidRDefault="007A026A" w:rsidP="00441B6F">
      <w:pPr>
        <w:pStyle w:val="ReferHead"/>
        <w:spacing w:after="0"/>
        <w:jc w:val="both"/>
        <w:rPr>
          <w:rFonts w:ascii="Arial" w:hAnsi="Arial" w:cs="Arial"/>
          <w:b w:val="0"/>
          <w:caps w:val="0"/>
          <w:sz w:val="20"/>
        </w:rPr>
      </w:pPr>
    </w:p>
    <w:p w14:paraId="16D03308" w14:textId="77777777" w:rsidR="00860000" w:rsidRDefault="00860000" w:rsidP="00441B6F">
      <w:pPr>
        <w:pStyle w:val="ReferHead"/>
        <w:spacing w:after="0"/>
        <w:jc w:val="both"/>
        <w:rPr>
          <w:rFonts w:ascii="Arial" w:hAnsi="Arial" w:cs="Arial"/>
        </w:rPr>
      </w:pPr>
    </w:p>
    <w:p w14:paraId="4C427FD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E2E3A76" w14:textId="77777777" w:rsidR="00790ADA" w:rsidRPr="00FB3A86" w:rsidRDefault="00790ADA" w:rsidP="00441B6F">
      <w:pPr>
        <w:pStyle w:val="ReferHead"/>
        <w:spacing w:after="0"/>
        <w:jc w:val="both"/>
        <w:rPr>
          <w:rFonts w:ascii="Arial" w:hAnsi="Arial" w:cs="Arial"/>
        </w:rPr>
      </w:pPr>
    </w:p>
    <w:p w14:paraId="6C83D300" w14:textId="4127B2BC" w:rsidR="00AF5B72" w:rsidRPr="0096221B" w:rsidRDefault="007A026A" w:rsidP="0096221B">
      <w:pPr>
        <w:pStyle w:val="ListParagraph"/>
        <w:numPr>
          <w:ilvl w:val="0"/>
          <w:numId w:val="32"/>
        </w:numPr>
        <w:spacing w:after="100" w:afterAutospacing="1"/>
        <w:jc w:val="both"/>
        <w:rPr>
          <w:rFonts w:ascii="Arial" w:hAnsi="Arial" w:cs="Arial"/>
        </w:rPr>
      </w:pPr>
      <w:r w:rsidRPr="0096221B">
        <w:rPr>
          <w:rFonts w:ascii="Arial" w:hAnsi="Arial" w:cs="Arial"/>
        </w:rPr>
        <w:t>Ahmad, R. (2024). Integrating environmental education with social studies: an interdisciplinary framework. </w:t>
      </w:r>
      <w:r w:rsidRPr="0096221B">
        <w:rPr>
          <w:rFonts w:ascii="Arial" w:hAnsi="Arial" w:cs="Arial"/>
          <w:i/>
          <w:iCs/>
        </w:rPr>
        <w:t>Frontiers in Interdisciplinary Educational Methodology</w:t>
      </w:r>
      <w:r w:rsidRPr="0096221B">
        <w:rPr>
          <w:rFonts w:ascii="Arial" w:hAnsi="Arial" w:cs="Arial"/>
        </w:rPr>
        <w:t>, </w:t>
      </w:r>
      <w:r w:rsidRPr="0096221B">
        <w:rPr>
          <w:rFonts w:ascii="Arial" w:hAnsi="Arial" w:cs="Arial"/>
          <w:i/>
          <w:iCs/>
        </w:rPr>
        <w:t>1</w:t>
      </w:r>
      <w:r w:rsidRPr="0096221B">
        <w:rPr>
          <w:rFonts w:ascii="Arial" w:hAnsi="Arial" w:cs="Arial"/>
        </w:rPr>
        <w:t xml:space="preserve">(03), 117–126. </w:t>
      </w:r>
      <w:hyperlink r:id="rId10" w:history="1">
        <w:r w:rsidRPr="0096221B">
          <w:rPr>
            <w:rStyle w:val="Hyperlink"/>
            <w:rFonts w:ascii="Arial" w:hAnsi="Arial" w:cs="Arial"/>
          </w:rPr>
          <w:t>https://fiem.com.pk/index.php/Journal/article/view/17</w:t>
        </w:r>
      </w:hyperlink>
    </w:p>
    <w:p w14:paraId="4703028C" w14:textId="0C8192B1" w:rsidR="00AF5B72" w:rsidRPr="0096221B" w:rsidRDefault="007A026A" w:rsidP="0096221B">
      <w:pPr>
        <w:pStyle w:val="ListParagraph"/>
        <w:numPr>
          <w:ilvl w:val="0"/>
          <w:numId w:val="32"/>
        </w:numPr>
        <w:spacing w:after="100" w:afterAutospacing="1"/>
        <w:jc w:val="both"/>
        <w:rPr>
          <w:rFonts w:ascii="Arial" w:hAnsi="Arial" w:cs="Arial"/>
        </w:rPr>
      </w:pPr>
      <w:r w:rsidRPr="0096221B">
        <w:rPr>
          <w:rFonts w:ascii="Arial" w:hAnsi="Arial" w:cs="Arial"/>
        </w:rPr>
        <w:t>Amalia, D. (2024). Integrating eco-literacy in teaching-learning activities is an effort to reduce the environmental crisis. </w:t>
      </w:r>
      <w:r w:rsidRPr="0096221B">
        <w:rPr>
          <w:rFonts w:ascii="Arial" w:hAnsi="Arial" w:cs="Arial"/>
          <w:i/>
          <w:iCs/>
        </w:rPr>
        <w:t xml:space="preserve">Madinah: </w:t>
      </w:r>
      <w:proofErr w:type="spellStart"/>
      <w:r w:rsidRPr="0096221B">
        <w:rPr>
          <w:rFonts w:ascii="Arial" w:hAnsi="Arial" w:cs="Arial"/>
          <w:i/>
          <w:iCs/>
        </w:rPr>
        <w:t>Jurnal</w:t>
      </w:r>
      <w:proofErr w:type="spellEnd"/>
      <w:r w:rsidRPr="0096221B">
        <w:rPr>
          <w:rFonts w:ascii="Arial" w:hAnsi="Arial" w:cs="Arial"/>
          <w:i/>
          <w:iCs/>
        </w:rPr>
        <w:t xml:space="preserve"> </w:t>
      </w:r>
      <w:proofErr w:type="spellStart"/>
      <w:r w:rsidRPr="0096221B">
        <w:rPr>
          <w:rFonts w:ascii="Arial" w:hAnsi="Arial" w:cs="Arial"/>
          <w:i/>
          <w:iCs/>
        </w:rPr>
        <w:t>Studi</w:t>
      </w:r>
      <w:proofErr w:type="spellEnd"/>
      <w:r w:rsidRPr="0096221B">
        <w:rPr>
          <w:rFonts w:ascii="Arial" w:hAnsi="Arial" w:cs="Arial"/>
          <w:i/>
          <w:iCs/>
        </w:rPr>
        <w:t xml:space="preserve"> Islam</w:t>
      </w:r>
      <w:r w:rsidRPr="0096221B">
        <w:rPr>
          <w:rFonts w:ascii="Arial" w:hAnsi="Arial" w:cs="Arial"/>
        </w:rPr>
        <w:t>, </w:t>
      </w:r>
      <w:r w:rsidRPr="0096221B">
        <w:rPr>
          <w:rFonts w:ascii="Arial" w:hAnsi="Arial" w:cs="Arial"/>
          <w:i/>
          <w:iCs/>
        </w:rPr>
        <w:t>11</w:t>
      </w:r>
      <w:r w:rsidRPr="0096221B">
        <w:rPr>
          <w:rFonts w:ascii="Arial" w:hAnsi="Arial" w:cs="Arial"/>
        </w:rPr>
        <w:t>(2), 257-274.</w:t>
      </w:r>
      <w:hyperlink r:id="rId11" w:history="1">
        <w:r w:rsidR="004F04E5" w:rsidRPr="00BB0B67">
          <w:rPr>
            <w:rStyle w:val="Hyperlink"/>
            <w:rFonts w:ascii="Arial" w:hAnsi="Arial" w:cs="Arial"/>
          </w:rPr>
          <w:t>https://doi.org/10.58518/madinah.v11i2.2962</w:t>
        </w:r>
      </w:hyperlink>
    </w:p>
    <w:p w14:paraId="79DBC82D" w14:textId="68A295B2" w:rsidR="00AF5B72" w:rsidRPr="0096221B" w:rsidRDefault="007A026A" w:rsidP="0096221B">
      <w:pPr>
        <w:pStyle w:val="ListParagraph"/>
        <w:numPr>
          <w:ilvl w:val="0"/>
          <w:numId w:val="32"/>
        </w:numPr>
        <w:spacing w:after="100" w:afterAutospacing="1"/>
        <w:jc w:val="both"/>
        <w:rPr>
          <w:rFonts w:ascii="Arial" w:hAnsi="Arial" w:cs="Arial"/>
        </w:rPr>
      </w:pPr>
      <w:proofErr w:type="spellStart"/>
      <w:r w:rsidRPr="0096221B">
        <w:rPr>
          <w:rFonts w:ascii="Arial" w:hAnsi="Arial" w:cs="Arial"/>
        </w:rPr>
        <w:t>Atoi</w:t>
      </w:r>
      <w:proofErr w:type="spellEnd"/>
      <w:r w:rsidRPr="0096221B">
        <w:rPr>
          <w:rFonts w:ascii="Arial" w:hAnsi="Arial" w:cs="Arial"/>
        </w:rPr>
        <w:t xml:space="preserve">, E. N., </w:t>
      </w:r>
      <w:proofErr w:type="spellStart"/>
      <w:r w:rsidRPr="0096221B">
        <w:rPr>
          <w:rFonts w:ascii="Arial" w:hAnsi="Arial" w:cs="Arial"/>
        </w:rPr>
        <w:t>Olowoyeye</w:t>
      </w:r>
      <w:proofErr w:type="spellEnd"/>
      <w:r w:rsidRPr="0096221B">
        <w:rPr>
          <w:rFonts w:ascii="Arial" w:hAnsi="Arial" w:cs="Arial"/>
        </w:rPr>
        <w:t>, E. O., &amp; Jacob, L. J. (2023). Environmental degradation in Nigeria: a Christian ethical approach. </w:t>
      </w:r>
      <w:r w:rsidRPr="0096221B">
        <w:rPr>
          <w:rFonts w:ascii="Arial" w:hAnsi="Arial" w:cs="Arial"/>
          <w:i/>
          <w:iCs/>
        </w:rPr>
        <w:t>NIU Journal of Humanities</w:t>
      </w:r>
      <w:r w:rsidRPr="0096221B">
        <w:rPr>
          <w:rFonts w:ascii="Arial" w:hAnsi="Arial" w:cs="Arial"/>
        </w:rPr>
        <w:t>, </w:t>
      </w:r>
      <w:r w:rsidRPr="0096221B">
        <w:rPr>
          <w:rFonts w:ascii="Arial" w:hAnsi="Arial" w:cs="Arial"/>
          <w:i/>
          <w:iCs/>
        </w:rPr>
        <w:t>8</w:t>
      </w:r>
      <w:r w:rsidRPr="0096221B">
        <w:rPr>
          <w:rFonts w:ascii="Arial" w:hAnsi="Arial" w:cs="Arial"/>
        </w:rPr>
        <w:t>(2), 7–14.</w:t>
      </w:r>
      <w:hyperlink r:id="rId12" w:history="1">
        <w:r w:rsidR="004F04E5" w:rsidRPr="00BB0B67">
          <w:rPr>
            <w:rStyle w:val="Hyperlink"/>
            <w:rFonts w:ascii="Arial" w:hAnsi="Arial" w:cs="Arial"/>
          </w:rPr>
          <w:t>https://doi.org/10.58709/niujhu.v8i2.1648</w:t>
        </w:r>
      </w:hyperlink>
    </w:p>
    <w:p w14:paraId="44FF49FE" w14:textId="1074BDBE" w:rsidR="008B0860" w:rsidRPr="0096221B" w:rsidRDefault="007A026A" w:rsidP="0096221B">
      <w:pPr>
        <w:pStyle w:val="ListParagraph"/>
        <w:numPr>
          <w:ilvl w:val="0"/>
          <w:numId w:val="32"/>
        </w:numPr>
        <w:spacing w:after="100" w:afterAutospacing="1"/>
        <w:jc w:val="both"/>
        <w:rPr>
          <w:rFonts w:ascii="Arial" w:hAnsi="Arial" w:cs="Arial"/>
        </w:rPr>
      </w:pPr>
      <w:proofErr w:type="spellStart"/>
      <w:r w:rsidRPr="0096221B">
        <w:rPr>
          <w:rFonts w:ascii="Arial" w:hAnsi="Arial" w:cs="Arial"/>
        </w:rPr>
        <w:t>Boarin</w:t>
      </w:r>
      <w:proofErr w:type="spellEnd"/>
      <w:r w:rsidRPr="0096221B">
        <w:rPr>
          <w:rFonts w:ascii="Arial" w:hAnsi="Arial" w:cs="Arial"/>
        </w:rPr>
        <w:t xml:space="preserve">, P., &amp; Martinez-Molina, A. (2022). Integration of environmental sustainability considerations within architectural </w:t>
      </w:r>
      <w:proofErr w:type="spellStart"/>
      <w:r w:rsidRPr="0096221B">
        <w:rPr>
          <w:rFonts w:ascii="Arial" w:hAnsi="Arial" w:cs="Arial"/>
        </w:rPr>
        <w:t>programmes</w:t>
      </w:r>
      <w:proofErr w:type="spellEnd"/>
      <w:r w:rsidRPr="0096221B">
        <w:rPr>
          <w:rFonts w:ascii="Arial" w:hAnsi="Arial" w:cs="Arial"/>
        </w:rPr>
        <w:t xml:space="preserve"> in higher education: A review of teaching and implementation approaches. </w:t>
      </w:r>
      <w:r w:rsidRPr="0096221B">
        <w:rPr>
          <w:rFonts w:ascii="Arial" w:hAnsi="Arial" w:cs="Arial"/>
          <w:i/>
          <w:iCs/>
        </w:rPr>
        <w:t>Journal of Cleaner Production</w:t>
      </w:r>
      <w:r w:rsidRPr="0096221B">
        <w:rPr>
          <w:rFonts w:ascii="Arial" w:hAnsi="Arial" w:cs="Arial"/>
        </w:rPr>
        <w:t>, </w:t>
      </w:r>
      <w:r w:rsidRPr="0096221B">
        <w:rPr>
          <w:rFonts w:ascii="Arial" w:hAnsi="Arial" w:cs="Arial"/>
          <w:i/>
          <w:iCs/>
        </w:rPr>
        <w:t>342</w:t>
      </w:r>
      <w:r w:rsidRPr="0096221B">
        <w:rPr>
          <w:rFonts w:ascii="Arial" w:hAnsi="Arial" w:cs="Arial"/>
        </w:rPr>
        <w:t xml:space="preserve">, 130989. </w:t>
      </w:r>
      <w:hyperlink r:id="rId13" w:history="1">
        <w:r w:rsidRPr="0096221B">
          <w:rPr>
            <w:rStyle w:val="Hyperlink"/>
            <w:rFonts w:ascii="Arial" w:hAnsi="Arial" w:cs="Arial"/>
          </w:rPr>
          <w:t>https://doi.org/10.1016/j.jclepro.2022.130989</w:t>
        </w:r>
      </w:hyperlink>
    </w:p>
    <w:p w14:paraId="25BBB311" w14:textId="4FA5DC69" w:rsidR="008B0860" w:rsidRPr="0096221B" w:rsidRDefault="007A026A" w:rsidP="0096221B">
      <w:pPr>
        <w:pStyle w:val="ListParagraph"/>
        <w:numPr>
          <w:ilvl w:val="0"/>
          <w:numId w:val="32"/>
        </w:numPr>
        <w:spacing w:after="100" w:afterAutospacing="1"/>
        <w:jc w:val="both"/>
        <w:rPr>
          <w:rFonts w:ascii="Arial" w:hAnsi="Arial" w:cs="Arial"/>
        </w:rPr>
      </w:pPr>
      <w:proofErr w:type="spellStart"/>
      <w:r w:rsidRPr="0096221B">
        <w:rPr>
          <w:rFonts w:ascii="Arial" w:hAnsi="Arial" w:cs="Arial"/>
        </w:rPr>
        <w:t>Carangan</w:t>
      </w:r>
      <w:proofErr w:type="spellEnd"/>
      <w:r w:rsidRPr="0096221B">
        <w:rPr>
          <w:rFonts w:ascii="Arial" w:hAnsi="Arial" w:cs="Arial"/>
        </w:rPr>
        <w:t>, M. A. C. (2023). Assessing the stakeholders’ level of awareness in environmental education in coastal schools: basis for an action plan. </w:t>
      </w:r>
      <w:r w:rsidRPr="0096221B">
        <w:rPr>
          <w:rFonts w:ascii="Arial" w:hAnsi="Arial" w:cs="Arial"/>
          <w:i/>
          <w:iCs/>
        </w:rPr>
        <w:t>International Journal of Open-Access, Interdisciplinary &amp; New Educational Discoveries of ETCOR Educational Research Center (IJOINED ETCOR)</w:t>
      </w:r>
      <w:r w:rsidRPr="0096221B">
        <w:rPr>
          <w:rFonts w:ascii="Arial" w:hAnsi="Arial" w:cs="Arial"/>
        </w:rPr>
        <w:t>, </w:t>
      </w:r>
      <w:r w:rsidRPr="0096221B">
        <w:rPr>
          <w:rFonts w:ascii="Arial" w:hAnsi="Arial" w:cs="Arial"/>
          <w:i/>
          <w:iCs/>
        </w:rPr>
        <w:t>2</w:t>
      </w:r>
      <w:r w:rsidRPr="0096221B">
        <w:rPr>
          <w:rFonts w:ascii="Arial" w:hAnsi="Arial" w:cs="Arial"/>
        </w:rPr>
        <w:t>(3), 355-372.</w:t>
      </w:r>
      <w:hyperlink r:id="rId14" w:history="1">
        <w:r w:rsidR="004F04E5" w:rsidRPr="00BB0B67">
          <w:rPr>
            <w:rStyle w:val="Hyperlink"/>
            <w:rFonts w:ascii="Arial" w:hAnsi="Arial" w:cs="Arial"/>
          </w:rPr>
          <w:t>https://www.researchgate.net</w:t>
        </w:r>
      </w:hyperlink>
    </w:p>
    <w:p w14:paraId="14C40061" w14:textId="699FE203" w:rsidR="008B0860" w:rsidRPr="0096221B" w:rsidRDefault="007A026A" w:rsidP="0096221B">
      <w:pPr>
        <w:pStyle w:val="ListParagraph"/>
        <w:numPr>
          <w:ilvl w:val="0"/>
          <w:numId w:val="32"/>
        </w:numPr>
        <w:spacing w:after="100" w:afterAutospacing="1"/>
        <w:jc w:val="both"/>
        <w:rPr>
          <w:rFonts w:ascii="Arial" w:hAnsi="Arial" w:cs="Arial"/>
        </w:rPr>
      </w:pPr>
      <w:r w:rsidRPr="0096221B">
        <w:rPr>
          <w:rFonts w:ascii="Arial" w:hAnsi="Arial" w:cs="Arial"/>
        </w:rPr>
        <w:t xml:space="preserve">Chiang, T. H. C. (2021). Investigating effects of interactive virtual reality games and gender on immersion, empathy, and behavior in environmental education. </w:t>
      </w:r>
      <w:r w:rsidRPr="0096221B">
        <w:rPr>
          <w:rFonts w:ascii="Arial" w:hAnsi="Arial" w:cs="Arial"/>
          <w:i/>
          <w:iCs/>
        </w:rPr>
        <w:t>Frontiers in psychology</w:t>
      </w:r>
      <w:r w:rsidRPr="0096221B">
        <w:rPr>
          <w:rFonts w:ascii="Arial" w:hAnsi="Arial" w:cs="Arial"/>
        </w:rPr>
        <w:t>, </w:t>
      </w:r>
      <w:r w:rsidRPr="0096221B">
        <w:rPr>
          <w:rFonts w:ascii="Arial" w:hAnsi="Arial" w:cs="Arial"/>
          <w:i/>
          <w:iCs/>
        </w:rPr>
        <w:t>12</w:t>
      </w:r>
      <w:r w:rsidRPr="0096221B">
        <w:rPr>
          <w:rFonts w:ascii="Arial" w:hAnsi="Arial" w:cs="Arial"/>
        </w:rPr>
        <w:t xml:space="preserve">, 608407. </w:t>
      </w:r>
      <w:hyperlink r:id="rId15" w:history="1">
        <w:r w:rsidRPr="0096221B">
          <w:rPr>
            <w:rStyle w:val="Hyperlink"/>
            <w:rFonts w:ascii="Arial" w:hAnsi="Arial" w:cs="Arial"/>
          </w:rPr>
          <w:t>https://doi.org/10.3389/fpsyg.2021.608407</w:t>
        </w:r>
      </w:hyperlink>
    </w:p>
    <w:p w14:paraId="017A02EA" w14:textId="35AE6B93" w:rsidR="008B0860" w:rsidRPr="0096221B" w:rsidRDefault="007A026A" w:rsidP="0096221B">
      <w:pPr>
        <w:pStyle w:val="ListParagraph"/>
        <w:numPr>
          <w:ilvl w:val="0"/>
          <w:numId w:val="32"/>
        </w:numPr>
        <w:spacing w:after="100" w:afterAutospacing="1"/>
        <w:jc w:val="both"/>
        <w:rPr>
          <w:rFonts w:ascii="Arial" w:hAnsi="Arial" w:cs="Arial"/>
        </w:rPr>
      </w:pPr>
      <w:proofErr w:type="spellStart"/>
      <w:r w:rsidRPr="0096221B">
        <w:rPr>
          <w:rFonts w:ascii="Arial" w:hAnsi="Arial" w:cs="Arial"/>
        </w:rPr>
        <w:t>Corpuz</w:t>
      </w:r>
      <w:proofErr w:type="spellEnd"/>
      <w:r w:rsidRPr="0096221B">
        <w:rPr>
          <w:rFonts w:ascii="Arial" w:hAnsi="Arial" w:cs="Arial"/>
        </w:rPr>
        <w:t xml:space="preserve">, A. M., San Andres, T. C., &amp; </w:t>
      </w:r>
      <w:proofErr w:type="spellStart"/>
      <w:r w:rsidRPr="0096221B">
        <w:rPr>
          <w:rFonts w:ascii="Arial" w:hAnsi="Arial" w:cs="Arial"/>
        </w:rPr>
        <w:t>Lagasca</w:t>
      </w:r>
      <w:proofErr w:type="spellEnd"/>
      <w:r w:rsidRPr="0096221B">
        <w:rPr>
          <w:rFonts w:ascii="Arial" w:hAnsi="Arial" w:cs="Arial"/>
        </w:rPr>
        <w:t>, J. M. (2022). Integration of environmental education (EE) in teacher education programs: Toward sustainable curriculum greening. </w:t>
      </w:r>
      <w:r w:rsidRPr="0096221B">
        <w:rPr>
          <w:rFonts w:ascii="Arial" w:hAnsi="Arial" w:cs="Arial"/>
          <w:i/>
          <w:iCs/>
        </w:rPr>
        <w:t>Problems of Education in the 21st Century</w:t>
      </w:r>
      <w:r w:rsidRPr="0096221B">
        <w:rPr>
          <w:rFonts w:ascii="Arial" w:hAnsi="Arial" w:cs="Arial"/>
        </w:rPr>
        <w:t>, </w:t>
      </w:r>
      <w:r w:rsidRPr="0096221B">
        <w:rPr>
          <w:rFonts w:ascii="Arial" w:hAnsi="Arial" w:cs="Arial"/>
          <w:i/>
          <w:iCs/>
        </w:rPr>
        <w:t>80</w:t>
      </w:r>
      <w:r w:rsidRPr="0096221B">
        <w:rPr>
          <w:rFonts w:ascii="Arial" w:hAnsi="Arial" w:cs="Arial"/>
        </w:rPr>
        <w:t>(1), 119.</w:t>
      </w:r>
      <w:hyperlink r:id="rId16" w:history="1">
        <w:r w:rsidRPr="0096221B">
          <w:rPr>
            <w:rStyle w:val="Hyperlink"/>
            <w:rFonts w:ascii="Arial" w:hAnsi="Arial" w:cs="Arial"/>
          </w:rPr>
          <w:t>https://www.ceeol.com/search/article-detail?id=1021700</w:t>
        </w:r>
      </w:hyperlink>
    </w:p>
    <w:p w14:paraId="50C5FD65" w14:textId="6B3D05BB" w:rsidR="008B0860" w:rsidRPr="0096221B" w:rsidRDefault="007A026A" w:rsidP="0096221B">
      <w:pPr>
        <w:pStyle w:val="ListParagraph"/>
        <w:numPr>
          <w:ilvl w:val="0"/>
          <w:numId w:val="32"/>
        </w:numPr>
        <w:spacing w:after="100" w:afterAutospacing="1"/>
        <w:jc w:val="both"/>
        <w:rPr>
          <w:rFonts w:ascii="Arial" w:hAnsi="Arial" w:cs="Arial"/>
        </w:rPr>
      </w:pPr>
      <w:r w:rsidRPr="0096221B">
        <w:rPr>
          <w:rFonts w:ascii="Arial" w:hAnsi="Arial" w:cs="Arial"/>
        </w:rPr>
        <w:t>Department of Education (DepEd). DepEd Order No. 52, s. 2011, "Strengthening environmental education in public and private schools.</w:t>
      </w:r>
      <w:hyperlink r:id="rId17" w:history="1">
        <w:r w:rsidR="004F04E5" w:rsidRPr="00BB0B67">
          <w:rPr>
            <w:rStyle w:val="Hyperlink"/>
            <w:rFonts w:ascii="Arial" w:hAnsi="Arial" w:cs="Arial"/>
          </w:rPr>
          <w:t>https://www.deped.gov.ph/2011/07/05/do-52-s-2011-strengthening-environmental-education-in-public-and-private-schools/</w:t>
        </w:r>
      </w:hyperlink>
    </w:p>
    <w:p w14:paraId="67A50E34" w14:textId="4BD51EEB" w:rsidR="00AF5B72" w:rsidRPr="0096221B" w:rsidRDefault="007A026A" w:rsidP="0096221B">
      <w:pPr>
        <w:pStyle w:val="ListParagraph"/>
        <w:numPr>
          <w:ilvl w:val="0"/>
          <w:numId w:val="32"/>
        </w:numPr>
        <w:spacing w:after="100" w:afterAutospacing="1"/>
        <w:jc w:val="both"/>
        <w:rPr>
          <w:rFonts w:ascii="Arial" w:hAnsi="Arial" w:cs="Arial"/>
        </w:rPr>
      </w:pPr>
      <w:r w:rsidRPr="0096221B">
        <w:rPr>
          <w:rFonts w:ascii="Arial" w:hAnsi="Arial" w:cs="Arial"/>
        </w:rPr>
        <w:t>Dillon, J., &amp; Herman, B. (2023). Environmental education. In </w:t>
      </w:r>
      <w:r w:rsidRPr="0096221B">
        <w:rPr>
          <w:rFonts w:ascii="Arial" w:hAnsi="Arial" w:cs="Arial"/>
          <w:i/>
          <w:iCs/>
        </w:rPr>
        <w:t>Handbook of research on science education</w:t>
      </w:r>
      <w:r w:rsidRPr="0096221B">
        <w:rPr>
          <w:rFonts w:ascii="Arial" w:hAnsi="Arial" w:cs="Arial"/>
        </w:rPr>
        <w:t> (pp. 717-748).</w:t>
      </w:r>
      <w:r w:rsidRPr="0096221B">
        <w:rPr>
          <w:rFonts w:ascii="Arial" w:hAnsi="Arial" w:cs="Arial"/>
          <w:i/>
          <w:iCs/>
        </w:rPr>
        <w:t xml:space="preserve"> Routledge.</w:t>
      </w:r>
      <w:hyperlink r:id="rId18" w:history="1">
        <w:r w:rsidR="004F04E5" w:rsidRPr="00BB0B67">
          <w:rPr>
            <w:rStyle w:val="Hyperlink"/>
            <w:rFonts w:ascii="Arial" w:hAnsi="Arial" w:cs="Arial"/>
          </w:rPr>
          <w:t>https://www.taylorfrancis.com/chapters/edit/10.4324/9780367855758-27/environmental-education-justin-dillon-benjamin-herman</w:t>
        </w:r>
      </w:hyperlink>
    </w:p>
    <w:p w14:paraId="17865142" w14:textId="6DA49AE4" w:rsidR="007A026A" w:rsidRPr="0096221B" w:rsidRDefault="007A026A" w:rsidP="0096221B">
      <w:pPr>
        <w:pStyle w:val="ListParagraph"/>
        <w:numPr>
          <w:ilvl w:val="0"/>
          <w:numId w:val="32"/>
        </w:numPr>
        <w:spacing w:after="100" w:afterAutospacing="1"/>
        <w:jc w:val="both"/>
        <w:rPr>
          <w:rFonts w:ascii="Arial" w:hAnsi="Arial" w:cs="Arial"/>
        </w:rPr>
      </w:pPr>
      <w:proofErr w:type="spellStart"/>
      <w:r w:rsidRPr="0096221B">
        <w:rPr>
          <w:rFonts w:ascii="Arial" w:hAnsi="Arial" w:cs="Arial"/>
        </w:rPr>
        <w:t>Enyiazu</w:t>
      </w:r>
      <w:proofErr w:type="spellEnd"/>
      <w:r w:rsidRPr="0096221B">
        <w:rPr>
          <w:rFonts w:ascii="Arial" w:hAnsi="Arial" w:cs="Arial"/>
        </w:rPr>
        <w:t xml:space="preserve">, F. A. (2022). The problems of educational policy implementation and its influence on the welfare of </w:t>
      </w:r>
      <w:r w:rsidR="002E20B5" w:rsidRPr="0096221B">
        <w:rPr>
          <w:rFonts w:ascii="Arial" w:hAnsi="Arial" w:cs="Arial"/>
        </w:rPr>
        <w:t xml:space="preserve">the </w:t>
      </w:r>
      <w:r w:rsidRPr="0096221B">
        <w:rPr>
          <w:rFonts w:ascii="Arial" w:hAnsi="Arial" w:cs="Arial"/>
        </w:rPr>
        <w:t>teacher labor market in Nigeria. </w:t>
      </w:r>
      <w:r w:rsidRPr="0096221B">
        <w:rPr>
          <w:rFonts w:ascii="Arial" w:hAnsi="Arial" w:cs="Arial"/>
          <w:i/>
          <w:iCs/>
        </w:rPr>
        <w:t>Open Access Library Journal</w:t>
      </w:r>
      <w:r w:rsidRPr="0096221B">
        <w:rPr>
          <w:rFonts w:ascii="Arial" w:hAnsi="Arial" w:cs="Arial"/>
        </w:rPr>
        <w:t>, </w:t>
      </w:r>
      <w:r w:rsidRPr="0096221B">
        <w:rPr>
          <w:rFonts w:ascii="Arial" w:hAnsi="Arial" w:cs="Arial"/>
          <w:i/>
          <w:iCs/>
        </w:rPr>
        <w:t>9</w:t>
      </w:r>
      <w:r w:rsidRPr="0096221B">
        <w:rPr>
          <w:rFonts w:ascii="Arial" w:hAnsi="Arial" w:cs="Arial"/>
        </w:rPr>
        <w:t xml:space="preserve">(8), 1-22. </w:t>
      </w:r>
      <w:hyperlink r:id="rId19" w:history="1">
        <w:r w:rsidRPr="0096221B">
          <w:rPr>
            <w:rStyle w:val="Hyperlink"/>
            <w:rFonts w:ascii="Arial" w:hAnsi="Arial" w:cs="Arial"/>
          </w:rPr>
          <w:t>https://doi.org/10.4236/oalib.1108868</w:t>
        </w:r>
      </w:hyperlink>
    </w:p>
    <w:p w14:paraId="16E81ED4" w14:textId="5ED721C0" w:rsidR="007A026A" w:rsidRPr="0096221B" w:rsidRDefault="007A026A" w:rsidP="0096221B">
      <w:pPr>
        <w:pStyle w:val="ListParagraph"/>
        <w:numPr>
          <w:ilvl w:val="0"/>
          <w:numId w:val="32"/>
        </w:numPr>
        <w:spacing w:after="100" w:afterAutospacing="1"/>
        <w:jc w:val="both"/>
        <w:rPr>
          <w:rFonts w:ascii="Arial" w:hAnsi="Arial" w:cs="Arial"/>
        </w:rPr>
      </w:pPr>
      <w:r w:rsidRPr="0096221B">
        <w:rPr>
          <w:rFonts w:ascii="Arial" w:hAnsi="Arial" w:cs="Arial"/>
        </w:rPr>
        <w:t>Ernst, J. A., &amp; Monroe, M. C. (2019). A nationwide assessment of environmental Literacy of fourth and fifth-grade students.</w:t>
      </w:r>
      <w:r w:rsidRPr="0096221B">
        <w:rPr>
          <w:rFonts w:ascii="Arial" w:hAnsi="Arial" w:cs="Arial"/>
          <w:i/>
          <w:iCs/>
        </w:rPr>
        <w:t xml:space="preserve"> Journal of Environmental Education, </w:t>
      </w:r>
      <w:r w:rsidRPr="0096221B">
        <w:rPr>
          <w:rFonts w:ascii="Arial" w:hAnsi="Arial" w:cs="Arial"/>
        </w:rPr>
        <w:t xml:space="preserve">50(1), 17–33. </w:t>
      </w:r>
      <w:hyperlink r:id="rId20" w:history="1">
        <w:r w:rsidRPr="0096221B">
          <w:rPr>
            <w:rStyle w:val="Hyperlink"/>
            <w:rFonts w:ascii="Arial" w:hAnsi="Arial" w:cs="Arial"/>
          </w:rPr>
          <w:t>https://doi.org/10.1080/13603116.2018.1466928</w:t>
        </w:r>
      </w:hyperlink>
    </w:p>
    <w:p w14:paraId="61F37A4A" w14:textId="48D96F28" w:rsidR="007A026A" w:rsidRPr="0096221B" w:rsidRDefault="007A026A" w:rsidP="0096221B">
      <w:pPr>
        <w:pStyle w:val="ListParagraph"/>
        <w:numPr>
          <w:ilvl w:val="0"/>
          <w:numId w:val="32"/>
        </w:numPr>
        <w:spacing w:after="100" w:afterAutospacing="1"/>
        <w:jc w:val="both"/>
        <w:rPr>
          <w:rFonts w:ascii="Arial" w:hAnsi="Arial" w:cs="Arial"/>
        </w:rPr>
      </w:pPr>
      <w:r w:rsidRPr="0096221B">
        <w:rPr>
          <w:rFonts w:ascii="Arial" w:hAnsi="Arial" w:cs="Arial"/>
        </w:rPr>
        <w:t xml:space="preserve">Fang, W., Hassan, A., LePage, B.A. (2023). Environmental literacy. </w:t>
      </w:r>
      <w:r w:rsidR="002E20B5" w:rsidRPr="0096221B">
        <w:rPr>
          <w:rFonts w:ascii="Arial" w:hAnsi="Arial" w:cs="Arial"/>
        </w:rPr>
        <w:t>In</w:t>
      </w:r>
      <w:r w:rsidRPr="0096221B">
        <w:rPr>
          <w:rFonts w:ascii="Arial" w:hAnsi="Arial" w:cs="Arial"/>
        </w:rPr>
        <w:t xml:space="preserve">: the living environmental education. </w:t>
      </w:r>
      <w:r w:rsidR="002E20B5" w:rsidRPr="0096221B">
        <w:rPr>
          <w:rFonts w:ascii="Arial" w:hAnsi="Arial" w:cs="Arial"/>
        </w:rPr>
        <w:t>Sustainable</w:t>
      </w:r>
      <w:r w:rsidRPr="0096221B">
        <w:rPr>
          <w:rFonts w:ascii="Arial" w:hAnsi="Arial" w:cs="Arial"/>
        </w:rPr>
        <w:t xml:space="preserve"> development goals series. </w:t>
      </w:r>
      <w:r w:rsidRPr="0096221B">
        <w:rPr>
          <w:rFonts w:ascii="Arial" w:hAnsi="Arial" w:cs="Arial"/>
          <w:i/>
          <w:iCs/>
        </w:rPr>
        <w:t>Springer, Singapore</w:t>
      </w:r>
      <w:r w:rsidRPr="0096221B">
        <w:rPr>
          <w:rFonts w:ascii="Arial" w:hAnsi="Arial" w:cs="Arial"/>
        </w:rPr>
        <w:t xml:space="preserve">. </w:t>
      </w:r>
      <w:hyperlink r:id="rId21" w:history="1">
        <w:r w:rsidRPr="0096221B">
          <w:rPr>
            <w:rStyle w:val="Hyperlink"/>
            <w:rFonts w:ascii="Arial" w:hAnsi="Arial" w:cs="Arial"/>
          </w:rPr>
          <w:t>https://doi.org/10.1007/978-981-19-4234-14</w:t>
        </w:r>
      </w:hyperlink>
    </w:p>
    <w:p w14:paraId="54A74977" w14:textId="12615827" w:rsidR="007A026A" w:rsidRPr="0096221B" w:rsidRDefault="007A026A" w:rsidP="0096221B">
      <w:pPr>
        <w:pStyle w:val="ListParagraph"/>
        <w:numPr>
          <w:ilvl w:val="0"/>
          <w:numId w:val="32"/>
        </w:numPr>
        <w:spacing w:after="100" w:afterAutospacing="1"/>
        <w:jc w:val="both"/>
        <w:rPr>
          <w:rFonts w:ascii="Arial" w:hAnsi="Arial" w:cs="Arial"/>
        </w:rPr>
      </w:pPr>
      <w:r w:rsidRPr="0096221B">
        <w:rPr>
          <w:rFonts w:ascii="Arial" w:hAnsi="Arial" w:cs="Arial"/>
        </w:rPr>
        <w:t xml:space="preserve">Fang, W. T., Hassan, A. A., &amp; LePage, B. A. (2022). Environmental literacy. In The living environmental education: sound science toward a cleaner, safer, and healthier future (pp. 93–126). </w:t>
      </w:r>
      <w:r w:rsidRPr="0096221B">
        <w:rPr>
          <w:rFonts w:ascii="Arial" w:hAnsi="Arial" w:cs="Arial"/>
          <w:i/>
          <w:iCs/>
        </w:rPr>
        <w:t>Singapore: Springer Nature Singapore.</w:t>
      </w:r>
      <w:hyperlink r:id="rId22" w:history="1">
        <w:r w:rsidR="004F04E5" w:rsidRPr="00BB0B67">
          <w:rPr>
            <w:rStyle w:val="Hyperlink"/>
            <w:rFonts w:ascii="Arial" w:hAnsi="Arial" w:cs="Arial"/>
          </w:rPr>
          <w:t>https://link.springer.com/chapter/10.1007/978-981-19-4234-1_4#citeas</w:t>
        </w:r>
      </w:hyperlink>
    </w:p>
    <w:p w14:paraId="30BA393E" w14:textId="117B0F03" w:rsidR="007A026A" w:rsidRPr="0096221B" w:rsidRDefault="007A026A" w:rsidP="0096221B">
      <w:pPr>
        <w:pStyle w:val="ListParagraph"/>
        <w:numPr>
          <w:ilvl w:val="0"/>
          <w:numId w:val="32"/>
        </w:numPr>
        <w:spacing w:after="100" w:afterAutospacing="1"/>
        <w:jc w:val="both"/>
        <w:rPr>
          <w:rFonts w:ascii="Arial" w:hAnsi="Arial" w:cs="Arial"/>
        </w:rPr>
      </w:pPr>
      <w:r w:rsidRPr="0096221B">
        <w:rPr>
          <w:rFonts w:ascii="Arial" w:hAnsi="Arial" w:cs="Arial"/>
        </w:rPr>
        <w:lastRenderedPageBreak/>
        <w:t xml:space="preserve">Galut, M. N. A. (2025). Surviving in the trails: </w:t>
      </w:r>
      <w:r w:rsidR="002E20B5" w:rsidRPr="0096221B">
        <w:rPr>
          <w:rFonts w:ascii="Arial" w:hAnsi="Arial" w:cs="Arial"/>
        </w:rPr>
        <w:t>teachers’</w:t>
      </w:r>
      <w:r w:rsidRPr="0096221B">
        <w:rPr>
          <w:rFonts w:ascii="Arial" w:hAnsi="Arial" w:cs="Arial"/>
        </w:rPr>
        <w:t xml:space="preserve"> lived experiences in remote areas. </w:t>
      </w:r>
      <w:r w:rsidRPr="0096221B">
        <w:rPr>
          <w:rFonts w:ascii="Arial" w:hAnsi="Arial" w:cs="Arial"/>
          <w:i/>
          <w:iCs/>
        </w:rPr>
        <w:t>Frontiers in Sociology</w:t>
      </w:r>
      <w:r w:rsidRPr="0096221B">
        <w:rPr>
          <w:rFonts w:ascii="Arial" w:hAnsi="Arial" w:cs="Arial"/>
        </w:rPr>
        <w:t>, </w:t>
      </w:r>
      <w:r w:rsidRPr="0096221B">
        <w:rPr>
          <w:rFonts w:ascii="Arial" w:hAnsi="Arial" w:cs="Arial"/>
          <w:i/>
          <w:iCs/>
        </w:rPr>
        <w:t>10</w:t>
      </w:r>
      <w:r w:rsidRPr="0096221B">
        <w:rPr>
          <w:rFonts w:ascii="Arial" w:hAnsi="Arial" w:cs="Arial"/>
        </w:rPr>
        <w:t>, 1456269.https://doi.org/10.3389/fsoc.2025.1456269</w:t>
      </w:r>
    </w:p>
    <w:p w14:paraId="7CE14376" w14:textId="27D49AA0" w:rsidR="007A026A" w:rsidRPr="0096221B" w:rsidRDefault="007A026A" w:rsidP="0096221B">
      <w:pPr>
        <w:pStyle w:val="ListParagraph"/>
        <w:numPr>
          <w:ilvl w:val="0"/>
          <w:numId w:val="32"/>
        </w:numPr>
        <w:spacing w:after="100" w:afterAutospacing="1"/>
        <w:jc w:val="both"/>
        <w:rPr>
          <w:rFonts w:ascii="Arial" w:hAnsi="Arial" w:cs="Arial"/>
        </w:rPr>
      </w:pPr>
      <w:proofErr w:type="spellStart"/>
      <w:r w:rsidRPr="0096221B">
        <w:rPr>
          <w:rFonts w:ascii="Arial" w:hAnsi="Arial" w:cs="Arial"/>
        </w:rPr>
        <w:t>Hermawan</w:t>
      </w:r>
      <w:proofErr w:type="spellEnd"/>
      <w:r w:rsidRPr="0096221B">
        <w:rPr>
          <w:rFonts w:ascii="Arial" w:hAnsi="Arial" w:cs="Arial"/>
        </w:rPr>
        <w:t xml:space="preserve">, I. M. S., </w:t>
      </w:r>
      <w:proofErr w:type="spellStart"/>
      <w:r w:rsidRPr="0096221B">
        <w:rPr>
          <w:rFonts w:ascii="Arial" w:hAnsi="Arial" w:cs="Arial"/>
        </w:rPr>
        <w:t>Suwono</w:t>
      </w:r>
      <w:proofErr w:type="spellEnd"/>
      <w:r w:rsidRPr="0096221B">
        <w:rPr>
          <w:rFonts w:ascii="Arial" w:hAnsi="Arial" w:cs="Arial"/>
        </w:rPr>
        <w:t xml:space="preserve">, H., </w:t>
      </w:r>
      <w:proofErr w:type="spellStart"/>
      <w:r w:rsidRPr="0096221B">
        <w:rPr>
          <w:rFonts w:ascii="Arial" w:hAnsi="Arial" w:cs="Arial"/>
        </w:rPr>
        <w:t>Paraniti</w:t>
      </w:r>
      <w:proofErr w:type="spellEnd"/>
      <w:r w:rsidRPr="0096221B">
        <w:rPr>
          <w:rFonts w:ascii="Arial" w:hAnsi="Arial" w:cs="Arial"/>
        </w:rPr>
        <w:t xml:space="preserve">, A. A. I., &amp; </w:t>
      </w:r>
      <w:proofErr w:type="spellStart"/>
      <w:r w:rsidRPr="0096221B">
        <w:rPr>
          <w:rFonts w:ascii="Arial" w:hAnsi="Arial" w:cs="Arial"/>
        </w:rPr>
        <w:t>Wimuttipanya</w:t>
      </w:r>
      <w:proofErr w:type="spellEnd"/>
      <w:r w:rsidRPr="0096221B">
        <w:rPr>
          <w:rFonts w:ascii="Arial" w:hAnsi="Arial" w:cs="Arial"/>
        </w:rPr>
        <w:t xml:space="preserve">, J. (2022). </w:t>
      </w:r>
      <w:r w:rsidR="002E20B5" w:rsidRPr="0096221B">
        <w:rPr>
          <w:rFonts w:ascii="Arial" w:hAnsi="Arial" w:cs="Arial"/>
        </w:rPr>
        <w:t>Students'</w:t>
      </w:r>
      <w:r w:rsidRPr="0096221B">
        <w:rPr>
          <w:rFonts w:ascii="Arial" w:hAnsi="Arial" w:cs="Arial"/>
        </w:rPr>
        <w:t xml:space="preserve"> environmental literacy: an educational program reflection for a sustainable environment. </w:t>
      </w:r>
      <w:r w:rsidRPr="0096221B">
        <w:rPr>
          <w:rFonts w:ascii="Arial" w:hAnsi="Arial" w:cs="Arial"/>
          <w:i/>
          <w:iCs/>
        </w:rPr>
        <w:t>JPBI (</w:t>
      </w:r>
      <w:proofErr w:type="spellStart"/>
      <w:r w:rsidRPr="0096221B">
        <w:rPr>
          <w:rFonts w:ascii="Arial" w:hAnsi="Arial" w:cs="Arial"/>
          <w:i/>
          <w:iCs/>
        </w:rPr>
        <w:t>Jurnal</w:t>
      </w:r>
      <w:proofErr w:type="spellEnd"/>
      <w:r w:rsidRPr="0096221B">
        <w:rPr>
          <w:rFonts w:ascii="Arial" w:hAnsi="Arial" w:cs="Arial"/>
          <w:i/>
          <w:iCs/>
        </w:rPr>
        <w:t xml:space="preserve"> Pendidikan </w:t>
      </w:r>
      <w:proofErr w:type="spellStart"/>
      <w:r w:rsidRPr="0096221B">
        <w:rPr>
          <w:rFonts w:ascii="Arial" w:hAnsi="Arial" w:cs="Arial"/>
          <w:i/>
          <w:iCs/>
        </w:rPr>
        <w:t>Biologi</w:t>
      </w:r>
      <w:proofErr w:type="spellEnd"/>
      <w:r w:rsidRPr="0096221B">
        <w:rPr>
          <w:rFonts w:ascii="Arial" w:hAnsi="Arial" w:cs="Arial"/>
          <w:i/>
          <w:iCs/>
        </w:rPr>
        <w:t xml:space="preserve"> Indonesia), </w:t>
      </w:r>
      <w:r w:rsidRPr="0096221B">
        <w:rPr>
          <w:rFonts w:ascii="Arial" w:hAnsi="Arial" w:cs="Arial"/>
        </w:rPr>
        <w:t>8(1), 1-9.  https://doi.org/10.22219/jpbi.v8i1.16889</w:t>
      </w:r>
    </w:p>
    <w:p w14:paraId="68E5EE17" w14:textId="77777777" w:rsidR="007A026A" w:rsidRPr="0096221B" w:rsidRDefault="007A026A" w:rsidP="0096221B">
      <w:pPr>
        <w:pStyle w:val="ListParagraph"/>
        <w:numPr>
          <w:ilvl w:val="0"/>
          <w:numId w:val="32"/>
        </w:numPr>
        <w:spacing w:after="100" w:afterAutospacing="1"/>
        <w:jc w:val="both"/>
        <w:rPr>
          <w:rFonts w:ascii="Arial" w:hAnsi="Arial" w:cs="Arial"/>
          <w:i/>
          <w:iCs/>
        </w:rPr>
      </w:pPr>
      <w:r w:rsidRPr="0096221B">
        <w:rPr>
          <w:rFonts w:ascii="Arial" w:hAnsi="Arial" w:cs="Arial"/>
        </w:rPr>
        <w:t xml:space="preserve">Hines, J. M., Hungerford, H. R., &amp; </w:t>
      </w:r>
      <w:proofErr w:type="spellStart"/>
      <w:r w:rsidRPr="0096221B">
        <w:rPr>
          <w:rFonts w:ascii="Arial" w:hAnsi="Arial" w:cs="Arial"/>
        </w:rPr>
        <w:t>Tomera</w:t>
      </w:r>
      <w:proofErr w:type="spellEnd"/>
      <w:r w:rsidRPr="0096221B">
        <w:rPr>
          <w:rFonts w:ascii="Arial" w:hAnsi="Arial" w:cs="Arial"/>
        </w:rPr>
        <w:t xml:space="preserve">, A. N. (2019). Analysis and synthesis of research on responsible environmental behavior: A meta-analysis. </w:t>
      </w:r>
      <w:r w:rsidRPr="0096221B">
        <w:rPr>
          <w:rFonts w:ascii="Arial" w:hAnsi="Arial" w:cs="Arial"/>
          <w:i/>
          <w:iCs/>
        </w:rPr>
        <w:t xml:space="preserve">Journal of Environmental Education, 31(3), 18–29. </w:t>
      </w:r>
      <w:hyperlink r:id="rId23" w:history="1">
        <w:r w:rsidRPr="0096221B">
          <w:rPr>
            <w:rStyle w:val="Hyperlink"/>
            <w:rFonts w:ascii="Arial" w:hAnsi="Arial" w:cs="Arial"/>
          </w:rPr>
          <w:t>https://doi.org/10.23918/ijsses.v5i3p232</w:t>
        </w:r>
      </w:hyperlink>
    </w:p>
    <w:p w14:paraId="57EBDBAB" w14:textId="77777777" w:rsidR="007A026A" w:rsidRPr="0096221B" w:rsidRDefault="007A026A" w:rsidP="0096221B">
      <w:pPr>
        <w:pStyle w:val="ListParagraph"/>
        <w:numPr>
          <w:ilvl w:val="0"/>
          <w:numId w:val="32"/>
        </w:numPr>
        <w:spacing w:after="100" w:afterAutospacing="1"/>
        <w:jc w:val="both"/>
        <w:rPr>
          <w:rFonts w:ascii="Arial" w:hAnsi="Arial" w:cs="Arial"/>
        </w:rPr>
      </w:pPr>
      <w:r w:rsidRPr="0096221B">
        <w:rPr>
          <w:rFonts w:ascii="Arial" w:hAnsi="Arial" w:cs="Arial"/>
        </w:rPr>
        <w:t xml:space="preserve">Husin, A., Maharani, S., Y., &amp; Sumarni, S. (2020). Teachers’ perceptions of environmental care education in elementary schools. </w:t>
      </w:r>
      <w:r w:rsidRPr="0096221B">
        <w:rPr>
          <w:rFonts w:ascii="Arial" w:hAnsi="Arial" w:cs="Arial"/>
          <w:i/>
          <w:iCs/>
        </w:rPr>
        <w:t>Creative Education</w:t>
      </w:r>
      <w:r w:rsidRPr="0096221B">
        <w:rPr>
          <w:rFonts w:ascii="Arial" w:hAnsi="Arial" w:cs="Arial"/>
        </w:rPr>
        <w:t xml:space="preserve">, </w:t>
      </w:r>
      <w:r w:rsidRPr="0096221B">
        <w:rPr>
          <w:rFonts w:ascii="Arial" w:hAnsi="Arial" w:cs="Arial"/>
          <w:i/>
          <w:iCs/>
        </w:rPr>
        <w:t>11</w:t>
      </w:r>
      <w:r w:rsidRPr="0096221B">
        <w:rPr>
          <w:rFonts w:ascii="Arial" w:hAnsi="Arial" w:cs="Arial"/>
        </w:rPr>
        <w:t xml:space="preserve">, 1802–1811. </w:t>
      </w:r>
      <w:hyperlink r:id="rId24" w:tgtFrame="_blank" w:history="1">
        <w:r w:rsidRPr="0096221B">
          <w:rPr>
            <w:rStyle w:val="Hyperlink"/>
            <w:rFonts w:ascii="Arial" w:hAnsi="Arial" w:cs="Arial"/>
          </w:rPr>
          <w:t>https://doi.org/10.4236/ce.2020.119132</w:t>
        </w:r>
      </w:hyperlink>
    </w:p>
    <w:p w14:paraId="0E571DDE" w14:textId="25B3677A" w:rsidR="007A026A" w:rsidRPr="0096221B" w:rsidRDefault="007A026A" w:rsidP="0096221B">
      <w:pPr>
        <w:pStyle w:val="ListParagraph"/>
        <w:numPr>
          <w:ilvl w:val="0"/>
          <w:numId w:val="32"/>
        </w:numPr>
        <w:spacing w:after="100" w:afterAutospacing="1"/>
        <w:jc w:val="both"/>
        <w:rPr>
          <w:rFonts w:ascii="Arial" w:hAnsi="Arial" w:cs="Arial"/>
        </w:rPr>
      </w:pPr>
      <w:proofErr w:type="spellStart"/>
      <w:r w:rsidRPr="0096221B">
        <w:rPr>
          <w:rFonts w:ascii="Arial" w:hAnsi="Arial" w:cs="Arial"/>
        </w:rPr>
        <w:t>Ibourk</w:t>
      </w:r>
      <w:proofErr w:type="spellEnd"/>
      <w:r w:rsidRPr="0096221B">
        <w:rPr>
          <w:rFonts w:ascii="Arial" w:hAnsi="Arial" w:cs="Arial"/>
        </w:rPr>
        <w:t xml:space="preserve">, A., Wagner, L., &amp; </w:t>
      </w:r>
      <w:proofErr w:type="spellStart"/>
      <w:r w:rsidRPr="0096221B">
        <w:rPr>
          <w:rFonts w:ascii="Arial" w:hAnsi="Arial" w:cs="Arial"/>
        </w:rPr>
        <w:t>Zogheib</w:t>
      </w:r>
      <w:proofErr w:type="spellEnd"/>
      <w:r w:rsidRPr="0096221B">
        <w:rPr>
          <w:rFonts w:ascii="Arial" w:hAnsi="Arial" w:cs="Arial"/>
        </w:rPr>
        <w:t xml:space="preserve">, K. (2024). Developing elementary teachers’ climate change knowledge and self-efficacy for teaching climate change using learning technologies. </w:t>
      </w:r>
      <w:r w:rsidRPr="0096221B">
        <w:rPr>
          <w:rFonts w:ascii="Arial" w:hAnsi="Arial" w:cs="Arial"/>
          <w:i/>
          <w:iCs/>
        </w:rPr>
        <w:t xml:space="preserve">Journal of Science Education and </w:t>
      </w:r>
      <w:proofErr w:type="spellStart"/>
      <w:r w:rsidRPr="0096221B">
        <w:rPr>
          <w:rFonts w:ascii="Arial" w:hAnsi="Arial" w:cs="Arial"/>
          <w:i/>
          <w:iCs/>
        </w:rPr>
        <w:t>Technology</w:t>
      </w:r>
      <w:r w:rsidRPr="0096221B">
        <w:rPr>
          <w:rFonts w:ascii="Arial" w:hAnsi="Arial" w:cs="Arial"/>
        </w:rPr>
        <w:t>.</w:t>
      </w:r>
      <w:hyperlink r:id="rId25" w:history="1">
        <w:r w:rsidR="004F04E5" w:rsidRPr="00BB0B67">
          <w:rPr>
            <w:rStyle w:val="Hyperlink"/>
            <w:rFonts w:ascii="Arial" w:hAnsi="Arial" w:cs="Arial"/>
          </w:rPr>
          <w:t>https</w:t>
        </w:r>
        <w:proofErr w:type="spellEnd"/>
        <w:r w:rsidR="004F04E5" w:rsidRPr="00BB0B67">
          <w:rPr>
            <w:rStyle w:val="Hyperlink"/>
            <w:rFonts w:ascii="Arial" w:hAnsi="Arial" w:cs="Arial"/>
          </w:rPr>
          <w:t>://doi.org/10.1007/s10956-024-10187-9</w:t>
        </w:r>
      </w:hyperlink>
    </w:p>
    <w:p w14:paraId="3F2192F5" w14:textId="77777777" w:rsidR="007A026A" w:rsidRPr="0096221B" w:rsidRDefault="007A026A" w:rsidP="0096221B">
      <w:pPr>
        <w:pStyle w:val="ListParagraph"/>
        <w:numPr>
          <w:ilvl w:val="0"/>
          <w:numId w:val="32"/>
        </w:numPr>
        <w:spacing w:after="100" w:afterAutospacing="1"/>
        <w:jc w:val="both"/>
        <w:rPr>
          <w:rFonts w:ascii="Arial" w:hAnsi="Arial" w:cs="Arial"/>
        </w:rPr>
      </w:pPr>
      <w:r w:rsidRPr="0096221B">
        <w:rPr>
          <w:rFonts w:ascii="Arial" w:hAnsi="Arial" w:cs="Arial"/>
        </w:rPr>
        <w:t>Jia, J., Wang, T., Zhang, Y., &amp; Wang, G. (2024). The comparison of general tips for mathematical problem solving generated by generative AI with those generated by human teachers. </w:t>
      </w:r>
      <w:r w:rsidRPr="0096221B">
        <w:rPr>
          <w:rFonts w:ascii="Arial" w:hAnsi="Arial" w:cs="Arial"/>
          <w:i/>
          <w:iCs/>
        </w:rPr>
        <w:t>Asia Pacific Journal of Education</w:t>
      </w:r>
      <w:r w:rsidRPr="0096221B">
        <w:rPr>
          <w:rFonts w:ascii="Arial" w:hAnsi="Arial" w:cs="Arial"/>
        </w:rPr>
        <w:t>, </w:t>
      </w:r>
      <w:r w:rsidRPr="0096221B">
        <w:rPr>
          <w:rFonts w:ascii="Arial" w:hAnsi="Arial" w:cs="Arial"/>
          <w:i/>
          <w:iCs/>
        </w:rPr>
        <w:t>44</w:t>
      </w:r>
      <w:r w:rsidRPr="0096221B">
        <w:rPr>
          <w:rFonts w:ascii="Arial" w:hAnsi="Arial" w:cs="Arial"/>
        </w:rPr>
        <w:t xml:space="preserve">(1), 8–28. </w:t>
      </w:r>
      <w:hyperlink r:id="rId26" w:history="1">
        <w:r w:rsidRPr="0096221B">
          <w:rPr>
            <w:rStyle w:val="Hyperlink"/>
            <w:rFonts w:ascii="Arial" w:hAnsi="Arial" w:cs="Arial"/>
          </w:rPr>
          <w:t>https://doi.org/10.1080/02188791.2023.2286920</w:t>
        </w:r>
      </w:hyperlink>
    </w:p>
    <w:p w14:paraId="060F9B85" w14:textId="77777777" w:rsidR="007A026A" w:rsidRPr="0096221B" w:rsidRDefault="007A026A" w:rsidP="0096221B">
      <w:pPr>
        <w:pStyle w:val="ListParagraph"/>
        <w:numPr>
          <w:ilvl w:val="0"/>
          <w:numId w:val="32"/>
        </w:numPr>
        <w:spacing w:after="100" w:afterAutospacing="1"/>
        <w:jc w:val="both"/>
        <w:rPr>
          <w:rFonts w:ascii="Arial" w:hAnsi="Arial" w:cs="Arial"/>
        </w:rPr>
      </w:pPr>
      <w:proofErr w:type="spellStart"/>
      <w:r w:rsidRPr="0096221B">
        <w:rPr>
          <w:rFonts w:ascii="Arial" w:hAnsi="Arial" w:cs="Arial"/>
        </w:rPr>
        <w:t>Khalefa</w:t>
      </w:r>
      <w:proofErr w:type="spellEnd"/>
      <w:r w:rsidRPr="0096221B">
        <w:rPr>
          <w:rFonts w:ascii="Arial" w:hAnsi="Arial" w:cs="Arial"/>
        </w:rPr>
        <w:t xml:space="preserve">, E. Y., &amp; </w:t>
      </w:r>
      <w:proofErr w:type="spellStart"/>
      <w:r w:rsidRPr="0096221B">
        <w:rPr>
          <w:rFonts w:ascii="Arial" w:hAnsi="Arial" w:cs="Arial"/>
        </w:rPr>
        <w:t>Selian</w:t>
      </w:r>
      <w:proofErr w:type="spellEnd"/>
      <w:r w:rsidRPr="0096221B">
        <w:rPr>
          <w:rFonts w:ascii="Arial" w:hAnsi="Arial" w:cs="Arial"/>
        </w:rPr>
        <w:t>, S. N. (2021). Non-random samples as a data collection tool in qualitative art-related studies. </w:t>
      </w:r>
      <w:r w:rsidRPr="0096221B">
        <w:rPr>
          <w:rFonts w:ascii="Arial" w:hAnsi="Arial" w:cs="Arial"/>
          <w:i/>
          <w:iCs/>
        </w:rPr>
        <w:t>International Journal of Creative and Arts Studies</w:t>
      </w:r>
      <w:r w:rsidRPr="0096221B">
        <w:rPr>
          <w:rFonts w:ascii="Arial" w:hAnsi="Arial" w:cs="Arial"/>
        </w:rPr>
        <w:t>, </w:t>
      </w:r>
      <w:r w:rsidRPr="0096221B">
        <w:rPr>
          <w:rFonts w:ascii="Arial" w:hAnsi="Arial" w:cs="Arial"/>
          <w:i/>
          <w:iCs/>
        </w:rPr>
        <w:t>8</w:t>
      </w:r>
      <w:r w:rsidRPr="0096221B">
        <w:rPr>
          <w:rFonts w:ascii="Arial" w:hAnsi="Arial" w:cs="Arial"/>
        </w:rPr>
        <w:t xml:space="preserve">(1), 35-49. </w:t>
      </w:r>
      <w:hyperlink r:id="rId27" w:history="1">
        <w:r w:rsidRPr="0096221B">
          <w:rPr>
            <w:rStyle w:val="Hyperlink"/>
            <w:rFonts w:ascii="Arial" w:hAnsi="Arial" w:cs="Arial"/>
          </w:rPr>
          <w:t>https://journal.isi.ac.id/index.php/IJCAS/article/view/5184</w:t>
        </w:r>
      </w:hyperlink>
    </w:p>
    <w:p w14:paraId="1FCE00FB" w14:textId="4D7FE841" w:rsidR="007A026A" w:rsidRPr="0096221B" w:rsidRDefault="007A026A" w:rsidP="0096221B">
      <w:pPr>
        <w:pStyle w:val="ListParagraph"/>
        <w:numPr>
          <w:ilvl w:val="0"/>
          <w:numId w:val="32"/>
        </w:numPr>
        <w:spacing w:after="100" w:afterAutospacing="1"/>
        <w:jc w:val="both"/>
        <w:rPr>
          <w:rFonts w:ascii="Arial" w:hAnsi="Arial" w:cs="Arial"/>
        </w:rPr>
      </w:pPr>
      <w:proofErr w:type="spellStart"/>
      <w:r w:rsidRPr="0096221B">
        <w:rPr>
          <w:rFonts w:ascii="Arial" w:hAnsi="Arial" w:cs="Arial"/>
        </w:rPr>
        <w:t>Kuswendi</w:t>
      </w:r>
      <w:proofErr w:type="spellEnd"/>
      <w:r w:rsidRPr="0096221B">
        <w:rPr>
          <w:rFonts w:ascii="Arial" w:hAnsi="Arial" w:cs="Arial"/>
        </w:rPr>
        <w:t xml:space="preserve">, U. &amp; </w:t>
      </w:r>
      <w:proofErr w:type="spellStart"/>
      <w:r w:rsidRPr="0096221B">
        <w:rPr>
          <w:rFonts w:ascii="Arial" w:hAnsi="Arial" w:cs="Arial"/>
        </w:rPr>
        <w:t>Arga</w:t>
      </w:r>
      <w:proofErr w:type="spellEnd"/>
      <w:r w:rsidRPr="0096221B">
        <w:rPr>
          <w:rFonts w:ascii="Arial" w:hAnsi="Arial" w:cs="Arial"/>
        </w:rPr>
        <w:t xml:space="preserve">, H. S. P. (2020). Developing environmental literacy of primary school students by utilizing scraps. </w:t>
      </w:r>
      <w:proofErr w:type="spellStart"/>
      <w:r w:rsidRPr="0096221B">
        <w:rPr>
          <w:rFonts w:ascii="Arial" w:hAnsi="Arial" w:cs="Arial"/>
          <w:i/>
          <w:iCs/>
        </w:rPr>
        <w:t>Mimbar</w:t>
      </w:r>
      <w:proofErr w:type="spellEnd"/>
      <w:r w:rsidRPr="0096221B">
        <w:rPr>
          <w:rFonts w:ascii="Arial" w:hAnsi="Arial" w:cs="Arial"/>
          <w:i/>
          <w:iCs/>
        </w:rPr>
        <w:t xml:space="preserve"> </w:t>
      </w:r>
      <w:proofErr w:type="spellStart"/>
      <w:r w:rsidRPr="0096221B">
        <w:rPr>
          <w:rFonts w:ascii="Arial" w:hAnsi="Arial" w:cs="Arial"/>
          <w:i/>
          <w:iCs/>
        </w:rPr>
        <w:t>Sekolah</w:t>
      </w:r>
      <w:proofErr w:type="spellEnd"/>
      <w:r w:rsidRPr="0096221B">
        <w:rPr>
          <w:rFonts w:ascii="Arial" w:hAnsi="Arial" w:cs="Arial"/>
          <w:i/>
          <w:iCs/>
        </w:rPr>
        <w:t xml:space="preserve"> Dasar, </w:t>
      </w:r>
      <w:r w:rsidRPr="0096221B">
        <w:rPr>
          <w:rFonts w:ascii="Arial" w:hAnsi="Arial" w:cs="Arial"/>
        </w:rPr>
        <w:t xml:space="preserve">7(2), 198-215. </w:t>
      </w:r>
      <w:proofErr w:type="spellStart"/>
      <w:r w:rsidRPr="0096221B">
        <w:rPr>
          <w:rFonts w:ascii="Arial" w:hAnsi="Arial" w:cs="Arial"/>
        </w:rPr>
        <w:t>doi:</w:t>
      </w:r>
      <w:proofErr w:type="spellEnd"/>
      <w:r w:rsidR="004F04E5">
        <w:rPr>
          <w:rFonts w:ascii="Arial" w:hAnsi="Arial" w:cs="Arial"/>
        </w:rPr>
        <w:fldChar w:fldCharType="begin"/>
      </w:r>
      <w:r w:rsidR="004F04E5">
        <w:rPr>
          <w:rFonts w:ascii="Arial" w:hAnsi="Arial" w:cs="Arial"/>
        </w:rPr>
        <w:instrText xml:space="preserve"> HYPERLINK "</w:instrText>
      </w:r>
      <w:r w:rsidR="004F04E5" w:rsidRPr="004F04E5">
        <w:rPr>
          <w:rFonts w:ascii="Arial" w:hAnsi="Arial" w:cs="Arial"/>
        </w:rPr>
        <w:instrText>http://dx.doi.org/10.17509/mimbarsd.v7i2.26497.)</w:instrText>
      </w:r>
      <w:r w:rsidR="004F04E5">
        <w:rPr>
          <w:rFonts w:ascii="Arial" w:hAnsi="Arial" w:cs="Arial"/>
        </w:rPr>
        <w:instrText xml:space="preserve">" </w:instrText>
      </w:r>
      <w:r w:rsidR="004F04E5">
        <w:rPr>
          <w:rFonts w:ascii="Arial" w:hAnsi="Arial" w:cs="Arial"/>
        </w:rPr>
        <w:fldChar w:fldCharType="separate"/>
      </w:r>
      <w:r w:rsidR="004F04E5" w:rsidRPr="00BB0B67">
        <w:rPr>
          <w:rStyle w:val="Hyperlink"/>
          <w:rFonts w:ascii="Arial" w:hAnsi="Arial" w:cs="Arial"/>
        </w:rPr>
        <w:t>http://dx.doi.org/10.17509/mimbarsd.v7i2.26497.)</w:t>
      </w:r>
      <w:r w:rsidR="004F04E5">
        <w:rPr>
          <w:rFonts w:ascii="Arial" w:hAnsi="Arial" w:cs="Arial"/>
        </w:rPr>
        <w:fldChar w:fldCharType="end"/>
      </w:r>
    </w:p>
    <w:p w14:paraId="3D08517C" w14:textId="223CAF0A" w:rsidR="007A026A" w:rsidRPr="0096221B" w:rsidRDefault="007A026A" w:rsidP="0096221B">
      <w:pPr>
        <w:pStyle w:val="ListParagraph"/>
        <w:numPr>
          <w:ilvl w:val="0"/>
          <w:numId w:val="32"/>
        </w:numPr>
        <w:spacing w:after="100" w:afterAutospacing="1"/>
        <w:jc w:val="both"/>
        <w:rPr>
          <w:rFonts w:ascii="Arial" w:hAnsi="Arial" w:cs="Arial"/>
        </w:rPr>
      </w:pPr>
      <w:proofErr w:type="spellStart"/>
      <w:r w:rsidRPr="0096221B">
        <w:rPr>
          <w:rFonts w:ascii="Arial" w:hAnsi="Arial" w:cs="Arial"/>
        </w:rPr>
        <w:t>Lakens</w:t>
      </w:r>
      <w:proofErr w:type="spellEnd"/>
      <w:r w:rsidRPr="0096221B">
        <w:rPr>
          <w:rFonts w:ascii="Arial" w:hAnsi="Arial" w:cs="Arial"/>
        </w:rPr>
        <w:t>, D. (2022). Sample size justification. </w:t>
      </w:r>
      <w:r w:rsidRPr="0096221B">
        <w:rPr>
          <w:rFonts w:ascii="Arial" w:hAnsi="Arial" w:cs="Arial"/>
          <w:i/>
          <w:iCs/>
        </w:rPr>
        <w:t>Collabra: Psychology</w:t>
      </w:r>
      <w:r w:rsidRPr="0096221B">
        <w:rPr>
          <w:rFonts w:ascii="Arial" w:hAnsi="Arial" w:cs="Arial"/>
        </w:rPr>
        <w:t>, </w:t>
      </w:r>
      <w:r w:rsidRPr="0096221B">
        <w:rPr>
          <w:rFonts w:ascii="Arial" w:hAnsi="Arial" w:cs="Arial"/>
          <w:i/>
          <w:iCs/>
        </w:rPr>
        <w:t>8</w:t>
      </w:r>
      <w:r w:rsidRPr="0096221B">
        <w:rPr>
          <w:rFonts w:ascii="Arial" w:hAnsi="Arial" w:cs="Arial"/>
        </w:rPr>
        <w:t>(1), 33267. https://doi.org/10.1525/collabra.33267</w:t>
      </w:r>
    </w:p>
    <w:p w14:paraId="33017854" w14:textId="18296456" w:rsidR="009A1D8A" w:rsidRPr="0096221B" w:rsidRDefault="007A026A" w:rsidP="0096221B">
      <w:pPr>
        <w:pStyle w:val="ListParagraph"/>
        <w:numPr>
          <w:ilvl w:val="0"/>
          <w:numId w:val="32"/>
        </w:numPr>
        <w:spacing w:after="100" w:afterAutospacing="1"/>
        <w:jc w:val="both"/>
        <w:rPr>
          <w:rFonts w:ascii="Arial" w:hAnsi="Arial" w:cs="Arial"/>
        </w:rPr>
      </w:pPr>
      <w:r w:rsidRPr="0096221B">
        <w:rPr>
          <w:rFonts w:ascii="Arial" w:hAnsi="Arial" w:cs="Arial"/>
        </w:rPr>
        <w:t xml:space="preserve">Liang, M., Chen, Q., &amp; Zhou, Y. (2022). The influence of various role models on children’s pro-environmental </w:t>
      </w:r>
      <w:proofErr w:type="spellStart"/>
      <w:r w:rsidRPr="0096221B">
        <w:rPr>
          <w:rFonts w:ascii="Arial" w:hAnsi="Arial" w:cs="Arial"/>
        </w:rPr>
        <w:t>behaviours</w:t>
      </w:r>
      <w:proofErr w:type="spellEnd"/>
      <w:r w:rsidRPr="0096221B">
        <w:rPr>
          <w:rFonts w:ascii="Arial" w:hAnsi="Arial" w:cs="Arial"/>
        </w:rPr>
        <w:t>. </w:t>
      </w:r>
      <w:r w:rsidRPr="0096221B">
        <w:rPr>
          <w:rFonts w:ascii="Arial" w:hAnsi="Arial" w:cs="Arial"/>
          <w:i/>
          <w:iCs/>
        </w:rPr>
        <w:t>Frontiers in Psychology</w:t>
      </w:r>
      <w:r w:rsidRPr="0096221B">
        <w:rPr>
          <w:rFonts w:ascii="Arial" w:hAnsi="Arial" w:cs="Arial"/>
        </w:rPr>
        <w:t>, </w:t>
      </w:r>
      <w:r w:rsidRPr="0096221B">
        <w:rPr>
          <w:rFonts w:ascii="Arial" w:hAnsi="Arial" w:cs="Arial"/>
          <w:i/>
          <w:iCs/>
        </w:rPr>
        <w:t>13</w:t>
      </w:r>
      <w:r w:rsidRPr="0096221B">
        <w:rPr>
          <w:rFonts w:ascii="Arial" w:hAnsi="Arial" w:cs="Arial"/>
        </w:rPr>
        <w:t>, 873078.</w:t>
      </w:r>
      <w:hyperlink r:id="rId28" w:history="1">
        <w:r w:rsidR="004F04E5" w:rsidRPr="00BB0B67">
          <w:rPr>
            <w:rStyle w:val="Hyperlink"/>
            <w:rFonts w:ascii="Arial" w:hAnsi="Arial" w:cs="Arial"/>
          </w:rPr>
          <w:t>https://doi.org/10.3389/fpsyg.2022.873078</w:t>
        </w:r>
      </w:hyperlink>
    </w:p>
    <w:p w14:paraId="1D06335D" w14:textId="3E5096CC" w:rsidR="007A026A" w:rsidRPr="0096221B" w:rsidRDefault="007A026A" w:rsidP="0096221B">
      <w:pPr>
        <w:pStyle w:val="ListParagraph"/>
        <w:numPr>
          <w:ilvl w:val="0"/>
          <w:numId w:val="32"/>
        </w:numPr>
        <w:spacing w:after="100" w:afterAutospacing="1"/>
        <w:jc w:val="both"/>
        <w:rPr>
          <w:rFonts w:ascii="Arial" w:hAnsi="Arial" w:cs="Arial"/>
        </w:rPr>
      </w:pPr>
      <w:r w:rsidRPr="0096221B">
        <w:rPr>
          <w:rFonts w:ascii="Arial" w:hAnsi="Arial" w:cs="Arial"/>
        </w:rPr>
        <w:t xml:space="preserve">Liao C-W, Liao Y-H, Chen B-S, Tseng Y-J, Ho W-S (2022). Elementary teachers’ environmental education cognition and attitude: a case study of the second largest city in </w:t>
      </w:r>
      <w:r w:rsidR="002E20B5" w:rsidRPr="0096221B">
        <w:rPr>
          <w:rFonts w:ascii="Arial" w:hAnsi="Arial" w:cs="Arial"/>
        </w:rPr>
        <w:t>Taiwan</w:t>
      </w:r>
      <w:r w:rsidRPr="0096221B">
        <w:rPr>
          <w:rFonts w:ascii="Arial" w:hAnsi="Arial" w:cs="Arial"/>
        </w:rPr>
        <w:t>. </w:t>
      </w:r>
      <w:r w:rsidRPr="0096221B">
        <w:rPr>
          <w:rFonts w:ascii="Arial" w:hAnsi="Arial" w:cs="Arial"/>
          <w:i/>
          <w:iCs/>
        </w:rPr>
        <w:t>Sustainability. 2022;</w:t>
      </w:r>
      <w:r w:rsidRPr="0096221B">
        <w:rPr>
          <w:rFonts w:ascii="Arial" w:hAnsi="Arial" w:cs="Arial"/>
        </w:rPr>
        <w:t xml:space="preserve"> 14(21):14480.</w:t>
      </w:r>
      <w:hyperlink r:id="rId29" w:history="1">
        <w:r w:rsidR="004F04E5" w:rsidRPr="00BB0B67">
          <w:rPr>
            <w:rStyle w:val="Hyperlink"/>
            <w:rFonts w:ascii="Arial" w:hAnsi="Arial" w:cs="Arial"/>
          </w:rPr>
          <w:t>https://doi.org/10.3390/su142114480</w:t>
        </w:r>
      </w:hyperlink>
    </w:p>
    <w:p w14:paraId="11ED4923" w14:textId="4BD1C444" w:rsidR="007A026A" w:rsidRPr="0096221B" w:rsidRDefault="007A026A" w:rsidP="0096221B">
      <w:pPr>
        <w:pStyle w:val="ListParagraph"/>
        <w:numPr>
          <w:ilvl w:val="0"/>
          <w:numId w:val="32"/>
        </w:numPr>
        <w:spacing w:after="100" w:afterAutospacing="1"/>
        <w:jc w:val="both"/>
        <w:rPr>
          <w:rFonts w:ascii="Arial" w:hAnsi="Arial" w:cs="Arial"/>
        </w:rPr>
      </w:pPr>
      <w:r w:rsidRPr="0096221B">
        <w:rPr>
          <w:rFonts w:ascii="Arial" w:hAnsi="Arial" w:cs="Arial"/>
        </w:rPr>
        <w:t xml:space="preserve">Liu N, Liu Y, Yu X. (2023). The impact of public environmental concern on environmental pollution: The moderating effect of government environmental regulation. </w:t>
      </w:r>
      <w:proofErr w:type="spellStart"/>
      <w:r w:rsidRPr="0096221B">
        <w:rPr>
          <w:rFonts w:ascii="Arial" w:hAnsi="Arial" w:cs="Arial"/>
          <w:i/>
          <w:iCs/>
        </w:rPr>
        <w:t>PLoS</w:t>
      </w:r>
      <w:proofErr w:type="spellEnd"/>
      <w:r w:rsidRPr="0096221B">
        <w:rPr>
          <w:rFonts w:ascii="Arial" w:hAnsi="Arial" w:cs="Arial"/>
          <w:i/>
          <w:iCs/>
        </w:rPr>
        <w:t xml:space="preserve"> One </w:t>
      </w:r>
      <w:proofErr w:type="gramStart"/>
      <w:r w:rsidRPr="0096221B">
        <w:rPr>
          <w:rFonts w:ascii="Arial" w:hAnsi="Arial" w:cs="Arial"/>
        </w:rPr>
        <w:t>doi:10.1371/journal.pone</w:t>
      </w:r>
      <w:proofErr w:type="gramEnd"/>
      <w:r w:rsidRPr="0096221B">
        <w:rPr>
          <w:rFonts w:ascii="Arial" w:hAnsi="Arial" w:cs="Arial"/>
        </w:rPr>
        <w:t>.0290255. PMID: 37590242; PMCID: PMC10434905.</w:t>
      </w:r>
    </w:p>
    <w:p w14:paraId="571B7FBB" w14:textId="49633361" w:rsidR="007A026A" w:rsidRPr="0096221B" w:rsidRDefault="007A026A" w:rsidP="0096221B">
      <w:pPr>
        <w:pStyle w:val="ListParagraph"/>
        <w:numPr>
          <w:ilvl w:val="0"/>
          <w:numId w:val="32"/>
        </w:numPr>
        <w:spacing w:after="100" w:afterAutospacing="1"/>
        <w:jc w:val="both"/>
        <w:rPr>
          <w:rFonts w:ascii="Arial" w:hAnsi="Arial" w:cs="Arial"/>
        </w:rPr>
      </w:pPr>
      <w:r w:rsidRPr="0096221B">
        <w:rPr>
          <w:rFonts w:ascii="Arial" w:hAnsi="Arial" w:cs="Arial"/>
        </w:rPr>
        <w:t xml:space="preserve">Lohmann, J., </w:t>
      </w:r>
      <w:proofErr w:type="spellStart"/>
      <w:r w:rsidRPr="0096221B">
        <w:rPr>
          <w:rFonts w:ascii="Arial" w:hAnsi="Arial" w:cs="Arial"/>
        </w:rPr>
        <w:t>Breithecker</w:t>
      </w:r>
      <w:proofErr w:type="spellEnd"/>
      <w:r w:rsidRPr="0096221B">
        <w:rPr>
          <w:rFonts w:ascii="Arial" w:hAnsi="Arial" w:cs="Arial"/>
        </w:rPr>
        <w:t xml:space="preserve">, J., Ohl, U., </w:t>
      </w:r>
      <w:proofErr w:type="spellStart"/>
      <w:r w:rsidRPr="0096221B">
        <w:rPr>
          <w:rFonts w:ascii="Arial" w:hAnsi="Arial" w:cs="Arial"/>
        </w:rPr>
        <w:t>Gieß-Stüber</w:t>
      </w:r>
      <w:proofErr w:type="spellEnd"/>
      <w:r w:rsidRPr="0096221B">
        <w:rPr>
          <w:rFonts w:ascii="Arial" w:hAnsi="Arial" w:cs="Arial"/>
        </w:rPr>
        <w:t xml:space="preserve">, P., &amp; </w:t>
      </w:r>
      <w:proofErr w:type="spellStart"/>
      <w:r w:rsidRPr="0096221B">
        <w:rPr>
          <w:rFonts w:ascii="Arial" w:hAnsi="Arial" w:cs="Arial"/>
        </w:rPr>
        <w:t>Brandl-Bredenbeck</w:t>
      </w:r>
      <w:proofErr w:type="spellEnd"/>
      <w:r w:rsidRPr="0096221B">
        <w:rPr>
          <w:rFonts w:ascii="Arial" w:hAnsi="Arial" w:cs="Arial"/>
        </w:rPr>
        <w:t>, H. P. (2021). Teachers’ professional action competence in education for sustainable development: A systematic review from the perspective of physical education. </w:t>
      </w:r>
      <w:r w:rsidRPr="0096221B">
        <w:rPr>
          <w:rFonts w:ascii="Arial" w:hAnsi="Arial" w:cs="Arial"/>
          <w:i/>
          <w:iCs/>
        </w:rPr>
        <w:t>Sustainability</w:t>
      </w:r>
      <w:r w:rsidRPr="0096221B">
        <w:rPr>
          <w:rFonts w:ascii="Arial" w:hAnsi="Arial" w:cs="Arial"/>
        </w:rPr>
        <w:t>, </w:t>
      </w:r>
      <w:r w:rsidRPr="0096221B">
        <w:rPr>
          <w:rFonts w:ascii="Arial" w:hAnsi="Arial" w:cs="Arial"/>
          <w:i/>
          <w:iCs/>
        </w:rPr>
        <w:t>13</w:t>
      </w:r>
      <w:r w:rsidRPr="0096221B">
        <w:rPr>
          <w:rFonts w:ascii="Arial" w:hAnsi="Arial" w:cs="Arial"/>
        </w:rPr>
        <w:t xml:space="preserve">(23), 13343. </w:t>
      </w:r>
      <w:hyperlink r:id="rId30" w:history="1">
        <w:r w:rsidRPr="0096221B">
          <w:rPr>
            <w:rStyle w:val="Hyperlink"/>
            <w:rFonts w:ascii="Arial" w:hAnsi="Arial" w:cs="Arial"/>
          </w:rPr>
          <w:t>https://www.mdpi.com/2071-1050/13/23/13343#</w:t>
        </w:r>
      </w:hyperlink>
    </w:p>
    <w:p w14:paraId="550015BA" w14:textId="6B4B6032" w:rsidR="007A026A" w:rsidRPr="0096221B" w:rsidRDefault="007A026A" w:rsidP="0096221B">
      <w:pPr>
        <w:pStyle w:val="ListParagraph"/>
        <w:numPr>
          <w:ilvl w:val="0"/>
          <w:numId w:val="32"/>
        </w:numPr>
        <w:spacing w:after="100" w:afterAutospacing="1"/>
        <w:jc w:val="both"/>
        <w:rPr>
          <w:rFonts w:ascii="Arial" w:hAnsi="Arial" w:cs="Arial"/>
        </w:rPr>
      </w:pPr>
      <w:r w:rsidRPr="0096221B">
        <w:rPr>
          <w:rFonts w:ascii="Arial" w:hAnsi="Arial" w:cs="Arial"/>
        </w:rPr>
        <w:t xml:space="preserve">Lu, K., Pang, F., &amp; </w:t>
      </w:r>
      <w:proofErr w:type="spellStart"/>
      <w:r w:rsidRPr="0096221B">
        <w:rPr>
          <w:rFonts w:ascii="Arial" w:hAnsi="Arial" w:cs="Arial"/>
        </w:rPr>
        <w:t>Shadiev</w:t>
      </w:r>
      <w:proofErr w:type="spellEnd"/>
      <w:r w:rsidRPr="0096221B">
        <w:rPr>
          <w:rFonts w:ascii="Arial" w:hAnsi="Arial" w:cs="Arial"/>
        </w:rPr>
        <w:t xml:space="preserve">, R. (2021). Understanding the mediating effect of learning approach between learning factors and </w:t>
      </w:r>
      <w:r w:rsidR="002E20B5" w:rsidRPr="0096221B">
        <w:rPr>
          <w:rFonts w:ascii="Arial" w:hAnsi="Arial" w:cs="Arial"/>
        </w:rPr>
        <w:t>higher-order</w:t>
      </w:r>
      <w:r w:rsidRPr="0096221B">
        <w:rPr>
          <w:rFonts w:ascii="Arial" w:hAnsi="Arial" w:cs="Arial"/>
        </w:rPr>
        <w:t xml:space="preserve"> thinking skills in collaborative inquiry-based learning. </w:t>
      </w:r>
      <w:r w:rsidRPr="0096221B">
        <w:rPr>
          <w:rFonts w:ascii="Arial" w:hAnsi="Arial" w:cs="Arial"/>
          <w:i/>
          <w:iCs/>
        </w:rPr>
        <w:t>Educational Technology Research and Development</w:t>
      </w:r>
      <w:r w:rsidRPr="0096221B">
        <w:rPr>
          <w:rFonts w:ascii="Arial" w:hAnsi="Arial" w:cs="Arial"/>
        </w:rPr>
        <w:t>, </w:t>
      </w:r>
      <w:r w:rsidRPr="0096221B">
        <w:rPr>
          <w:rFonts w:ascii="Arial" w:hAnsi="Arial" w:cs="Arial"/>
          <w:i/>
          <w:iCs/>
        </w:rPr>
        <w:t>69</w:t>
      </w:r>
      <w:r w:rsidRPr="0096221B">
        <w:rPr>
          <w:rFonts w:ascii="Arial" w:hAnsi="Arial" w:cs="Arial"/>
        </w:rPr>
        <w:t xml:space="preserve">(5), 2475-2492. </w:t>
      </w:r>
      <w:hyperlink r:id="rId31" w:anchor="citeas" w:history="1">
        <w:r w:rsidRPr="0096221B">
          <w:rPr>
            <w:rStyle w:val="Hyperlink"/>
            <w:rFonts w:ascii="Arial" w:hAnsi="Arial" w:cs="Arial"/>
          </w:rPr>
          <w:t>https://link.springer.com/article/10.1007/s11423-021-10025-4#citeas</w:t>
        </w:r>
      </w:hyperlink>
    </w:p>
    <w:p w14:paraId="7F4E76E1" w14:textId="77777777" w:rsidR="007A026A" w:rsidRPr="0096221B" w:rsidRDefault="007A026A" w:rsidP="0096221B">
      <w:pPr>
        <w:pStyle w:val="ListParagraph"/>
        <w:numPr>
          <w:ilvl w:val="0"/>
          <w:numId w:val="32"/>
        </w:numPr>
        <w:spacing w:after="100" w:afterAutospacing="1"/>
        <w:jc w:val="both"/>
        <w:rPr>
          <w:rFonts w:ascii="Arial" w:hAnsi="Arial" w:cs="Arial"/>
        </w:rPr>
      </w:pPr>
      <w:r w:rsidRPr="0096221B">
        <w:rPr>
          <w:rFonts w:ascii="Arial" w:hAnsi="Arial" w:cs="Arial"/>
        </w:rPr>
        <w:t xml:space="preserve">Maki, P. L. (2023). Assessing for learning: building a sustainable commitment across the institution. </w:t>
      </w:r>
      <w:r w:rsidRPr="0096221B">
        <w:rPr>
          <w:rFonts w:ascii="Arial" w:hAnsi="Arial" w:cs="Arial"/>
          <w:i/>
          <w:iCs/>
        </w:rPr>
        <w:t xml:space="preserve">Routledge. </w:t>
      </w:r>
      <w:hyperlink r:id="rId32" w:history="1">
        <w:r w:rsidRPr="0096221B">
          <w:rPr>
            <w:rStyle w:val="Hyperlink"/>
            <w:rFonts w:ascii="Arial" w:hAnsi="Arial" w:cs="Arial"/>
          </w:rPr>
          <w:t>https://doi.org/10.4324/9781003443056</w:t>
        </w:r>
      </w:hyperlink>
    </w:p>
    <w:p w14:paraId="00338EAD" w14:textId="7C2674D5" w:rsidR="007A026A" w:rsidRPr="0096221B" w:rsidRDefault="007A026A" w:rsidP="0096221B">
      <w:pPr>
        <w:pStyle w:val="ListParagraph"/>
        <w:numPr>
          <w:ilvl w:val="0"/>
          <w:numId w:val="32"/>
        </w:numPr>
        <w:spacing w:after="100" w:afterAutospacing="1"/>
        <w:jc w:val="both"/>
        <w:rPr>
          <w:rFonts w:ascii="Arial" w:hAnsi="Arial" w:cs="Arial"/>
        </w:rPr>
      </w:pPr>
      <w:r w:rsidRPr="0096221B">
        <w:rPr>
          <w:rFonts w:ascii="Arial" w:hAnsi="Arial" w:cs="Arial"/>
        </w:rPr>
        <w:lastRenderedPageBreak/>
        <w:t>Malakar, I. M. (2023). Conceptualizing central tendency and dispersion in applied statistics.  C</w:t>
      </w:r>
      <w:r w:rsidRPr="0096221B">
        <w:rPr>
          <w:rFonts w:ascii="Arial" w:hAnsi="Arial" w:cs="Arial"/>
          <w:i/>
          <w:iCs/>
        </w:rPr>
        <w:t>ognition</w:t>
      </w:r>
      <w:r w:rsidRPr="0096221B">
        <w:rPr>
          <w:rFonts w:ascii="Arial" w:hAnsi="Arial" w:cs="Arial"/>
        </w:rPr>
        <w:t>, </w:t>
      </w:r>
      <w:r w:rsidRPr="0096221B">
        <w:rPr>
          <w:rFonts w:ascii="Arial" w:hAnsi="Arial" w:cs="Arial"/>
          <w:i/>
          <w:iCs/>
        </w:rPr>
        <w:t>5</w:t>
      </w:r>
      <w:r w:rsidRPr="0096221B">
        <w:rPr>
          <w:rFonts w:ascii="Arial" w:hAnsi="Arial" w:cs="Arial"/>
        </w:rPr>
        <w:t>(1), 50-62.</w:t>
      </w:r>
      <w:hyperlink r:id="rId33" w:history="1">
        <w:r w:rsidR="004F04E5" w:rsidRPr="00BB0B67">
          <w:rPr>
            <w:rStyle w:val="Hyperlink"/>
            <w:rFonts w:ascii="Arial" w:hAnsi="Arial" w:cs="Arial"/>
          </w:rPr>
          <w:t>https://nepjol.info/index.php/cognition/article/download/55408/41365/164485.</w:t>
        </w:r>
      </w:hyperlink>
    </w:p>
    <w:p w14:paraId="54F53CEB" w14:textId="119D6BDE" w:rsidR="007A026A" w:rsidRPr="0096221B" w:rsidRDefault="007A026A" w:rsidP="0096221B">
      <w:pPr>
        <w:pStyle w:val="ListParagraph"/>
        <w:numPr>
          <w:ilvl w:val="0"/>
          <w:numId w:val="32"/>
        </w:numPr>
        <w:spacing w:after="100" w:afterAutospacing="1"/>
        <w:jc w:val="both"/>
        <w:rPr>
          <w:rFonts w:ascii="Arial" w:hAnsi="Arial" w:cs="Arial"/>
        </w:rPr>
      </w:pPr>
      <w:r w:rsidRPr="0096221B">
        <w:rPr>
          <w:rFonts w:ascii="Arial" w:hAnsi="Arial" w:cs="Arial"/>
        </w:rPr>
        <w:t xml:space="preserve">Mansfield, M. (2023). The impact of hands-on environmental science lessons on middle school </w:t>
      </w:r>
      <w:r w:rsidR="002E20B5" w:rsidRPr="0096221B">
        <w:rPr>
          <w:rFonts w:ascii="Arial" w:hAnsi="Arial" w:cs="Arial"/>
        </w:rPr>
        <w:t>students'</w:t>
      </w:r>
      <w:r w:rsidRPr="0096221B">
        <w:rPr>
          <w:rFonts w:ascii="Arial" w:hAnsi="Arial" w:cs="Arial"/>
        </w:rPr>
        <w:t xml:space="preserve"> </w:t>
      </w:r>
      <w:proofErr w:type="spellStart"/>
      <w:r w:rsidRPr="0096221B">
        <w:rPr>
          <w:rFonts w:ascii="Arial" w:hAnsi="Arial" w:cs="Arial"/>
        </w:rPr>
        <w:t>learning.</w:t>
      </w:r>
      <w:hyperlink r:id="rId34" w:history="1">
        <w:r w:rsidR="004F04E5" w:rsidRPr="00BB0B67">
          <w:rPr>
            <w:rStyle w:val="Hyperlink"/>
            <w:rFonts w:ascii="Arial" w:hAnsi="Arial" w:cs="Arial"/>
          </w:rPr>
          <w:t>https</w:t>
        </w:r>
        <w:proofErr w:type="spellEnd"/>
        <w:r w:rsidR="004F04E5" w:rsidRPr="00BB0B67">
          <w:rPr>
            <w:rStyle w:val="Hyperlink"/>
            <w:rFonts w:ascii="Arial" w:hAnsi="Arial" w:cs="Arial"/>
          </w:rPr>
          <w:t>://digitalcommons.csumb.edu/caps_thes_all/1541/</w:t>
        </w:r>
      </w:hyperlink>
    </w:p>
    <w:p w14:paraId="5F2ED472" w14:textId="4E7478D9" w:rsidR="007A026A" w:rsidRPr="0096221B" w:rsidRDefault="007A026A" w:rsidP="0096221B">
      <w:pPr>
        <w:pStyle w:val="ListParagraph"/>
        <w:numPr>
          <w:ilvl w:val="0"/>
          <w:numId w:val="32"/>
        </w:numPr>
        <w:spacing w:after="100" w:afterAutospacing="1"/>
        <w:jc w:val="both"/>
        <w:rPr>
          <w:rFonts w:ascii="Arial" w:hAnsi="Arial" w:cs="Arial"/>
        </w:rPr>
      </w:pPr>
      <w:proofErr w:type="spellStart"/>
      <w:r w:rsidRPr="0096221B">
        <w:rPr>
          <w:rFonts w:ascii="Arial" w:hAnsi="Arial" w:cs="Arial"/>
        </w:rPr>
        <w:t>Mariñas</w:t>
      </w:r>
      <w:proofErr w:type="spellEnd"/>
      <w:r w:rsidRPr="0096221B">
        <w:rPr>
          <w:rFonts w:ascii="Arial" w:hAnsi="Arial" w:cs="Arial"/>
        </w:rPr>
        <w:t xml:space="preserve">, E. S., </w:t>
      </w:r>
      <w:proofErr w:type="spellStart"/>
      <w:r w:rsidRPr="0096221B">
        <w:rPr>
          <w:rFonts w:ascii="Arial" w:hAnsi="Arial" w:cs="Arial"/>
        </w:rPr>
        <w:t>Manaois</w:t>
      </w:r>
      <w:proofErr w:type="spellEnd"/>
      <w:r w:rsidRPr="0096221B">
        <w:rPr>
          <w:rFonts w:ascii="Arial" w:hAnsi="Arial" w:cs="Arial"/>
        </w:rPr>
        <w:t xml:space="preserve">, R. A., </w:t>
      </w:r>
      <w:r w:rsidR="002E20B5" w:rsidRPr="0096221B">
        <w:rPr>
          <w:rFonts w:ascii="Arial" w:hAnsi="Arial" w:cs="Arial"/>
        </w:rPr>
        <w:t>José</w:t>
      </w:r>
      <w:r w:rsidRPr="0096221B">
        <w:rPr>
          <w:rFonts w:ascii="Arial" w:hAnsi="Arial" w:cs="Arial"/>
        </w:rPr>
        <w:t xml:space="preserve">, A. B., &amp; </w:t>
      </w:r>
      <w:proofErr w:type="spellStart"/>
      <w:r w:rsidRPr="0096221B">
        <w:rPr>
          <w:rFonts w:ascii="Arial" w:hAnsi="Arial" w:cs="Arial"/>
        </w:rPr>
        <w:t>Mandin</w:t>
      </w:r>
      <w:proofErr w:type="spellEnd"/>
      <w:r w:rsidRPr="0096221B">
        <w:rPr>
          <w:rFonts w:ascii="Arial" w:hAnsi="Arial" w:cs="Arial"/>
        </w:rPr>
        <w:t xml:space="preserve">, M. A. (2022). Vision in action: the impact of sustainable practices of </w:t>
      </w:r>
      <w:r w:rsidR="002E20B5" w:rsidRPr="0096221B">
        <w:rPr>
          <w:rFonts w:ascii="Arial" w:hAnsi="Arial" w:cs="Arial"/>
        </w:rPr>
        <w:t>the Philippine</w:t>
      </w:r>
      <w:r w:rsidRPr="0096221B">
        <w:rPr>
          <w:rFonts w:ascii="Arial" w:hAnsi="Arial" w:cs="Arial"/>
        </w:rPr>
        <w:t xml:space="preserve"> school</w:t>
      </w:r>
      <w:r w:rsidR="002E20B5" w:rsidRPr="0096221B">
        <w:rPr>
          <w:rFonts w:ascii="Arial" w:hAnsi="Arial" w:cs="Arial"/>
        </w:rPr>
        <w:t>,</w:t>
      </w:r>
      <w:r w:rsidRPr="0096221B">
        <w:rPr>
          <w:rFonts w:ascii="Arial" w:hAnsi="Arial" w:cs="Arial"/>
        </w:rPr>
        <w:t xml:space="preserve"> </w:t>
      </w:r>
      <w:r w:rsidR="002E20B5" w:rsidRPr="0096221B">
        <w:rPr>
          <w:rFonts w:ascii="Arial" w:hAnsi="Arial" w:cs="Arial"/>
        </w:rPr>
        <w:t>Doha,</w:t>
      </w:r>
      <w:r w:rsidRPr="0096221B">
        <w:rPr>
          <w:rFonts w:ascii="Arial" w:hAnsi="Arial" w:cs="Arial"/>
        </w:rPr>
        <w:t xml:space="preserve"> on the students' move towards youth environmentalism. </w:t>
      </w:r>
      <w:r w:rsidRPr="0096221B">
        <w:rPr>
          <w:rFonts w:ascii="Arial" w:hAnsi="Arial" w:cs="Arial"/>
          <w:i/>
          <w:iCs/>
        </w:rPr>
        <w:t>Vision In Action: The Impact of Sustainable Practices of Philippine School Doha on the Students' Move Towards Youth Environmentalism</w:t>
      </w:r>
      <w:r w:rsidRPr="0096221B">
        <w:rPr>
          <w:rFonts w:ascii="Arial" w:hAnsi="Arial" w:cs="Arial"/>
        </w:rPr>
        <w:t>, </w:t>
      </w:r>
      <w:r w:rsidRPr="0096221B">
        <w:rPr>
          <w:rFonts w:ascii="Arial" w:hAnsi="Arial" w:cs="Arial"/>
          <w:i/>
          <w:iCs/>
        </w:rPr>
        <w:t>95</w:t>
      </w:r>
      <w:r w:rsidRPr="0096221B">
        <w:rPr>
          <w:rFonts w:ascii="Arial" w:hAnsi="Arial" w:cs="Arial"/>
        </w:rPr>
        <w:t>(1), 18-</w:t>
      </w:r>
      <w:proofErr w:type="gramStart"/>
      <w:r w:rsidRPr="0096221B">
        <w:rPr>
          <w:rFonts w:ascii="Arial" w:hAnsi="Arial" w:cs="Arial"/>
        </w:rPr>
        <w:t>18.https://www.researchgate.net/profile/Anne-Jose-</w:t>
      </w:r>
      <w:proofErr w:type="gramEnd"/>
    </w:p>
    <w:p w14:paraId="2298EFCF" w14:textId="7AC39E42" w:rsidR="007A026A" w:rsidRPr="0096221B" w:rsidRDefault="007A026A" w:rsidP="0096221B">
      <w:pPr>
        <w:pStyle w:val="ListParagraph"/>
        <w:numPr>
          <w:ilvl w:val="0"/>
          <w:numId w:val="32"/>
        </w:numPr>
        <w:spacing w:after="100" w:afterAutospacing="1"/>
        <w:jc w:val="both"/>
        <w:rPr>
          <w:rFonts w:ascii="Arial" w:hAnsi="Arial" w:cs="Arial"/>
        </w:rPr>
      </w:pPr>
      <w:r w:rsidRPr="0096221B">
        <w:rPr>
          <w:rFonts w:ascii="Arial" w:hAnsi="Arial" w:cs="Arial"/>
        </w:rPr>
        <w:t xml:space="preserve">Mezirow, Jack (2009). An overview of transformative learning. </w:t>
      </w:r>
      <w:r w:rsidR="002E20B5" w:rsidRPr="0096221B">
        <w:rPr>
          <w:rFonts w:ascii="Arial" w:hAnsi="Arial" w:cs="Arial"/>
        </w:rPr>
        <w:t>Pp</w:t>
      </w:r>
      <w:r w:rsidRPr="0096221B">
        <w:rPr>
          <w:rFonts w:ascii="Arial" w:hAnsi="Arial" w:cs="Arial"/>
        </w:rPr>
        <w:t xml:space="preserve"> 90-105 in contemporary theories of learning. </w:t>
      </w:r>
      <w:r w:rsidR="002E20B5" w:rsidRPr="0096221B">
        <w:rPr>
          <w:rFonts w:ascii="Arial" w:hAnsi="Arial" w:cs="Arial"/>
        </w:rPr>
        <w:t>Learning</w:t>
      </w:r>
      <w:r w:rsidRPr="0096221B">
        <w:rPr>
          <w:rFonts w:ascii="Arial" w:hAnsi="Arial" w:cs="Arial"/>
        </w:rPr>
        <w:t xml:space="preserve"> theorists – in their own words, edited by </w:t>
      </w:r>
      <w:r w:rsidR="002E20B5" w:rsidRPr="0096221B">
        <w:rPr>
          <w:rFonts w:ascii="Arial" w:hAnsi="Arial" w:cs="Arial"/>
        </w:rPr>
        <w:t xml:space="preserve">K. </w:t>
      </w:r>
      <w:proofErr w:type="spellStart"/>
      <w:r w:rsidR="002E20B5" w:rsidRPr="0096221B">
        <w:rPr>
          <w:rFonts w:ascii="Arial" w:hAnsi="Arial" w:cs="Arial"/>
        </w:rPr>
        <w:t>Illeris</w:t>
      </w:r>
      <w:proofErr w:type="spellEnd"/>
      <w:r w:rsidRPr="0096221B">
        <w:rPr>
          <w:rFonts w:ascii="Arial" w:hAnsi="Arial" w:cs="Arial"/>
        </w:rPr>
        <w:t xml:space="preserve">. </w:t>
      </w:r>
      <w:r w:rsidRPr="0096221B">
        <w:rPr>
          <w:rFonts w:ascii="Arial" w:hAnsi="Arial" w:cs="Arial"/>
          <w:i/>
          <w:iCs/>
        </w:rPr>
        <w:t>London: Routledge.</w:t>
      </w:r>
      <w:hyperlink r:id="rId35" w:history="1">
        <w:r w:rsidR="004F04E5" w:rsidRPr="00BB0B67">
          <w:rPr>
            <w:rStyle w:val="Hyperlink"/>
            <w:rFonts w:ascii="Arial" w:hAnsi="Arial" w:cs="Arial"/>
          </w:rPr>
          <w:t>https://www.taylorfrancis.com/chapters/edit/10.4324/9780203936207-12/overview-transformative-learning-jack-mezirow</w:t>
        </w:r>
      </w:hyperlink>
    </w:p>
    <w:p w14:paraId="60349C3C" w14:textId="73205E1A" w:rsidR="007A026A" w:rsidRPr="0096221B" w:rsidRDefault="007A026A" w:rsidP="0096221B">
      <w:pPr>
        <w:pStyle w:val="ListParagraph"/>
        <w:numPr>
          <w:ilvl w:val="0"/>
          <w:numId w:val="32"/>
        </w:numPr>
        <w:spacing w:after="100" w:afterAutospacing="1"/>
        <w:jc w:val="both"/>
        <w:rPr>
          <w:rFonts w:ascii="Arial" w:hAnsi="Arial" w:cs="Arial"/>
        </w:rPr>
      </w:pPr>
      <w:r w:rsidRPr="0096221B">
        <w:rPr>
          <w:rFonts w:ascii="Arial" w:hAnsi="Arial" w:cs="Arial"/>
        </w:rPr>
        <w:t xml:space="preserve">Miao, Q., &amp; </w:t>
      </w:r>
      <w:proofErr w:type="spellStart"/>
      <w:r w:rsidRPr="0096221B">
        <w:rPr>
          <w:rFonts w:ascii="Arial" w:hAnsi="Arial" w:cs="Arial"/>
        </w:rPr>
        <w:t>Nduneseokwu</w:t>
      </w:r>
      <w:proofErr w:type="spellEnd"/>
      <w:r w:rsidRPr="0096221B">
        <w:rPr>
          <w:rFonts w:ascii="Arial" w:hAnsi="Arial" w:cs="Arial"/>
        </w:rPr>
        <w:t>, C. (2025). Advancing environmental leadership: education, development, and training. </w:t>
      </w:r>
      <w:r w:rsidR="002E20B5" w:rsidRPr="0096221B">
        <w:rPr>
          <w:rFonts w:ascii="Arial" w:hAnsi="Arial" w:cs="Arial"/>
          <w:i/>
          <w:iCs/>
        </w:rPr>
        <w:t>Environmental</w:t>
      </w:r>
      <w:r w:rsidRPr="0096221B">
        <w:rPr>
          <w:rFonts w:ascii="Arial" w:hAnsi="Arial" w:cs="Arial"/>
          <w:i/>
          <w:iCs/>
        </w:rPr>
        <w:t xml:space="preserve"> leadership in a </w:t>
      </w:r>
      <w:proofErr w:type="spellStart"/>
      <w:r w:rsidRPr="0096221B">
        <w:rPr>
          <w:rFonts w:ascii="Arial" w:hAnsi="Arial" w:cs="Arial"/>
          <w:i/>
          <w:iCs/>
        </w:rPr>
        <w:t>vuca</w:t>
      </w:r>
      <w:proofErr w:type="spellEnd"/>
      <w:r w:rsidRPr="0096221B">
        <w:rPr>
          <w:rFonts w:ascii="Arial" w:hAnsi="Arial" w:cs="Arial"/>
          <w:i/>
          <w:iCs/>
        </w:rPr>
        <w:t xml:space="preserve"> era: An Interdisciplinary Handbook</w:t>
      </w:r>
      <w:r w:rsidRPr="0096221B">
        <w:rPr>
          <w:rFonts w:ascii="Arial" w:hAnsi="Arial" w:cs="Arial"/>
        </w:rPr>
        <w:t xml:space="preserve">, 467–538. </w:t>
      </w:r>
      <w:hyperlink r:id="rId36" w:anchor="citeas" w:history="1">
        <w:r w:rsidRPr="0096221B">
          <w:rPr>
            <w:rStyle w:val="Hyperlink"/>
            <w:rFonts w:ascii="Arial" w:hAnsi="Arial" w:cs="Arial"/>
          </w:rPr>
          <w:t>https://link.springer.com/chapter/10.1007/978-981-96-0324-4_10#citeas</w:t>
        </w:r>
      </w:hyperlink>
    </w:p>
    <w:p w14:paraId="5D5A80F0" w14:textId="44AC0433" w:rsidR="007A026A" w:rsidRPr="0096221B" w:rsidRDefault="007A026A" w:rsidP="0096221B">
      <w:pPr>
        <w:pStyle w:val="ListParagraph"/>
        <w:numPr>
          <w:ilvl w:val="0"/>
          <w:numId w:val="32"/>
        </w:numPr>
        <w:spacing w:after="100" w:afterAutospacing="1"/>
        <w:jc w:val="both"/>
        <w:rPr>
          <w:rFonts w:ascii="Arial" w:hAnsi="Arial" w:cs="Arial"/>
        </w:rPr>
      </w:pPr>
      <w:r w:rsidRPr="0096221B">
        <w:rPr>
          <w:rFonts w:ascii="Arial" w:hAnsi="Arial" w:cs="Arial"/>
        </w:rPr>
        <w:t>Newton, P. M. (2024). Design, run, and interpret survey-based research in the fields of academic integrity and misconduct. In </w:t>
      </w:r>
      <w:r w:rsidRPr="0096221B">
        <w:rPr>
          <w:rFonts w:ascii="Arial" w:hAnsi="Arial" w:cs="Arial"/>
          <w:i/>
          <w:iCs/>
        </w:rPr>
        <w:t>Second Handbook of Academic Integrity</w:t>
      </w:r>
      <w:r w:rsidRPr="0096221B">
        <w:rPr>
          <w:rFonts w:ascii="Arial" w:hAnsi="Arial" w:cs="Arial"/>
        </w:rPr>
        <w:t> (pp. 1689-1706). Cham: Springer Nature Switzerland.</w:t>
      </w:r>
      <w:hyperlink r:id="rId37" w:history="1">
        <w:r w:rsidR="004F04E5" w:rsidRPr="00BB0B67">
          <w:rPr>
            <w:rStyle w:val="Hyperlink"/>
            <w:rFonts w:ascii="Arial" w:hAnsi="Arial" w:cs="Arial"/>
          </w:rPr>
          <w:t>https://link.springer.com/referenceworkentry/10.1007/978-3-031-54144-5_182#citeas</w:t>
        </w:r>
      </w:hyperlink>
    </w:p>
    <w:p w14:paraId="74115A8A" w14:textId="5A22DE93" w:rsidR="007A026A" w:rsidRPr="0096221B" w:rsidRDefault="007A026A" w:rsidP="0096221B">
      <w:pPr>
        <w:pStyle w:val="ListParagraph"/>
        <w:numPr>
          <w:ilvl w:val="0"/>
          <w:numId w:val="32"/>
        </w:numPr>
        <w:spacing w:after="100" w:afterAutospacing="1"/>
        <w:jc w:val="both"/>
        <w:rPr>
          <w:rFonts w:ascii="Arial" w:hAnsi="Arial" w:cs="Arial"/>
        </w:rPr>
      </w:pPr>
      <w:proofErr w:type="spellStart"/>
      <w:r w:rsidRPr="0096221B">
        <w:rPr>
          <w:rFonts w:ascii="Arial" w:hAnsi="Arial" w:cs="Arial"/>
        </w:rPr>
        <w:t>Oyeleke</w:t>
      </w:r>
      <w:proofErr w:type="spellEnd"/>
      <w:r w:rsidRPr="0096221B">
        <w:rPr>
          <w:rFonts w:ascii="Arial" w:hAnsi="Arial" w:cs="Arial"/>
        </w:rPr>
        <w:t xml:space="preserve">, A. S., &amp; </w:t>
      </w:r>
      <w:proofErr w:type="spellStart"/>
      <w:r w:rsidRPr="0096221B">
        <w:rPr>
          <w:rFonts w:ascii="Arial" w:hAnsi="Arial" w:cs="Arial"/>
        </w:rPr>
        <w:t>Onyike</w:t>
      </w:r>
      <w:proofErr w:type="spellEnd"/>
      <w:r w:rsidRPr="0096221B">
        <w:rPr>
          <w:rFonts w:ascii="Arial" w:hAnsi="Arial" w:cs="Arial"/>
        </w:rPr>
        <w:t xml:space="preserve">, I. E. (2025). Strategies to </w:t>
      </w:r>
      <w:proofErr w:type="spellStart"/>
      <w:r w:rsidRPr="0096221B">
        <w:rPr>
          <w:rFonts w:ascii="Arial" w:hAnsi="Arial" w:cs="Arial"/>
        </w:rPr>
        <w:t>instil</w:t>
      </w:r>
      <w:proofErr w:type="spellEnd"/>
      <w:r w:rsidRPr="0096221B">
        <w:rPr>
          <w:rFonts w:ascii="Arial" w:hAnsi="Arial" w:cs="Arial"/>
        </w:rPr>
        <w:t xml:space="preserve"> environmental consciousness and commitment in future generations. </w:t>
      </w:r>
      <w:r w:rsidR="002E20B5" w:rsidRPr="0096221B">
        <w:rPr>
          <w:rFonts w:ascii="Arial" w:hAnsi="Arial" w:cs="Arial"/>
        </w:rPr>
        <w:t>In Media</w:t>
      </w:r>
      <w:r w:rsidRPr="0096221B">
        <w:rPr>
          <w:rFonts w:ascii="Arial" w:hAnsi="Arial" w:cs="Arial"/>
        </w:rPr>
        <w:t xml:space="preserve"> and communication systems for sustainability in </w:t>
      </w:r>
      <w:r w:rsidR="002E20B5" w:rsidRPr="0096221B">
        <w:rPr>
          <w:rFonts w:ascii="Arial" w:hAnsi="Arial" w:cs="Arial"/>
        </w:rPr>
        <w:t>Nigeria</w:t>
      </w:r>
      <w:r w:rsidRPr="0096221B">
        <w:rPr>
          <w:rFonts w:ascii="Arial" w:hAnsi="Arial" w:cs="Arial"/>
        </w:rPr>
        <w:t xml:space="preserve"> (pp. 145-160). </w:t>
      </w:r>
      <w:r w:rsidRPr="0096221B">
        <w:rPr>
          <w:rFonts w:ascii="Arial" w:hAnsi="Arial" w:cs="Arial"/>
          <w:i/>
          <w:iCs/>
        </w:rPr>
        <w:t>Cham: Springer Nature Switzerland</w:t>
      </w:r>
      <w:r w:rsidRPr="0096221B">
        <w:rPr>
          <w:rFonts w:ascii="Arial" w:hAnsi="Arial" w:cs="Arial"/>
        </w:rPr>
        <w:t xml:space="preserve">. </w:t>
      </w:r>
      <w:hyperlink r:id="rId38" w:anchor="citeas" w:history="1">
        <w:r w:rsidRPr="0096221B">
          <w:rPr>
            <w:rStyle w:val="Hyperlink"/>
            <w:rFonts w:ascii="Arial" w:hAnsi="Arial" w:cs="Arial"/>
          </w:rPr>
          <w:t>https://link.springer.com/chapter/10.1007/978-3-031-75221-6_7#citeas</w:t>
        </w:r>
      </w:hyperlink>
    </w:p>
    <w:p w14:paraId="58CB5ACA" w14:textId="21AE264E" w:rsidR="007A026A" w:rsidRPr="0096221B" w:rsidRDefault="007A026A" w:rsidP="0096221B">
      <w:pPr>
        <w:pStyle w:val="ListParagraph"/>
        <w:numPr>
          <w:ilvl w:val="0"/>
          <w:numId w:val="32"/>
        </w:numPr>
        <w:spacing w:after="100" w:afterAutospacing="1"/>
        <w:jc w:val="both"/>
        <w:rPr>
          <w:rFonts w:ascii="Arial" w:hAnsi="Arial" w:cs="Arial"/>
          <w:u w:val="single"/>
        </w:rPr>
      </w:pPr>
      <w:proofErr w:type="spellStart"/>
      <w:r w:rsidRPr="0096221B">
        <w:rPr>
          <w:rFonts w:ascii="Arial" w:hAnsi="Arial" w:cs="Arial"/>
        </w:rPr>
        <w:t>Petkou</w:t>
      </w:r>
      <w:proofErr w:type="spellEnd"/>
      <w:r w:rsidRPr="0096221B">
        <w:rPr>
          <w:rFonts w:ascii="Arial" w:hAnsi="Arial" w:cs="Arial"/>
        </w:rPr>
        <w:t xml:space="preserve">, D., Andrea, V., &amp; </w:t>
      </w:r>
      <w:proofErr w:type="spellStart"/>
      <w:r w:rsidRPr="0096221B">
        <w:rPr>
          <w:rFonts w:ascii="Arial" w:hAnsi="Arial" w:cs="Arial"/>
        </w:rPr>
        <w:t>Anthrakopoulou</w:t>
      </w:r>
      <w:proofErr w:type="spellEnd"/>
      <w:r w:rsidRPr="0096221B">
        <w:rPr>
          <w:rFonts w:ascii="Arial" w:hAnsi="Arial" w:cs="Arial"/>
        </w:rPr>
        <w:t xml:space="preserve">, K. (2021). </w:t>
      </w:r>
      <w:proofErr w:type="spellStart"/>
      <w:r w:rsidRPr="0096221B">
        <w:rPr>
          <w:rFonts w:ascii="Arial" w:hAnsi="Arial" w:cs="Arial"/>
        </w:rPr>
        <w:t>Τhe</w:t>
      </w:r>
      <w:proofErr w:type="spellEnd"/>
      <w:r w:rsidRPr="0096221B">
        <w:rPr>
          <w:rFonts w:ascii="Arial" w:hAnsi="Arial" w:cs="Arial"/>
        </w:rPr>
        <w:t xml:space="preserve"> impact of training environmental educators: environmental perceptions and attitudes of pre-primary and primary school teachers in </w:t>
      </w:r>
      <w:r w:rsidR="002E20B5" w:rsidRPr="0096221B">
        <w:rPr>
          <w:rFonts w:ascii="Arial" w:hAnsi="Arial" w:cs="Arial"/>
        </w:rPr>
        <w:t>Greece</w:t>
      </w:r>
      <w:r w:rsidRPr="0096221B">
        <w:rPr>
          <w:rFonts w:ascii="Arial" w:hAnsi="Arial" w:cs="Arial"/>
        </w:rPr>
        <w:t>.</w:t>
      </w:r>
      <w:r w:rsidRPr="0096221B">
        <w:rPr>
          <w:rFonts w:ascii="Arial" w:hAnsi="Arial" w:cs="Arial"/>
          <w:i/>
          <w:iCs/>
        </w:rPr>
        <w:t xml:space="preserve"> Education Sciences, 11(6), 274</w:t>
      </w:r>
      <w:r w:rsidRPr="0096221B">
        <w:rPr>
          <w:rFonts w:ascii="Arial" w:hAnsi="Arial" w:cs="Arial"/>
        </w:rPr>
        <w:t>.</w:t>
      </w:r>
      <w:hyperlink r:id="rId39" w:history="1">
        <w:r w:rsidR="004F04E5" w:rsidRPr="00BB0B67">
          <w:rPr>
            <w:rStyle w:val="Hyperlink"/>
            <w:rFonts w:ascii="Arial" w:hAnsi="Arial" w:cs="Arial"/>
          </w:rPr>
          <w:t>https://doi.org/10.3390/educsci11060274</w:t>
        </w:r>
      </w:hyperlink>
    </w:p>
    <w:p w14:paraId="0C66DE90" w14:textId="77777777" w:rsidR="007A026A" w:rsidRPr="0096221B" w:rsidRDefault="007A026A" w:rsidP="0096221B">
      <w:pPr>
        <w:pStyle w:val="ListParagraph"/>
        <w:numPr>
          <w:ilvl w:val="0"/>
          <w:numId w:val="32"/>
        </w:numPr>
        <w:spacing w:after="100" w:afterAutospacing="1"/>
        <w:jc w:val="both"/>
        <w:rPr>
          <w:rFonts w:ascii="Arial" w:hAnsi="Arial" w:cs="Arial"/>
          <w:u w:val="single"/>
        </w:rPr>
      </w:pPr>
      <w:proofErr w:type="spellStart"/>
      <w:r w:rsidRPr="0096221B">
        <w:rPr>
          <w:rFonts w:ascii="Arial" w:hAnsi="Arial" w:cs="Arial"/>
        </w:rPr>
        <w:t>Pongsophon</w:t>
      </w:r>
      <w:proofErr w:type="spellEnd"/>
      <w:r w:rsidRPr="0096221B">
        <w:rPr>
          <w:rFonts w:ascii="Arial" w:hAnsi="Arial" w:cs="Arial"/>
        </w:rPr>
        <w:t>, P. (2024). Cultivating environmental consciousness. </w:t>
      </w:r>
      <w:r w:rsidRPr="0096221B">
        <w:rPr>
          <w:rFonts w:ascii="Arial" w:hAnsi="Arial" w:cs="Arial"/>
          <w:i/>
          <w:iCs/>
        </w:rPr>
        <w:t>Science &amp; Education</w:t>
      </w:r>
      <w:r w:rsidRPr="0096221B">
        <w:rPr>
          <w:rFonts w:ascii="Arial" w:hAnsi="Arial" w:cs="Arial"/>
        </w:rPr>
        <w:t xml:space="preserve">, 1-28. </w:t>
      </w:r>
      <w:hyperlink r:id="rId40" w:anchor="citeas" w:history="1">
        <w:r w:rsidRPr="0096221B">
          <w:rPr>
            <w:rStyle w:val="Hyperlink"/>
            <w:rFonts w:ascii="Arial" w:hAnsi="Arial" w:cs="Arial"/>
          </w:rPr>
          <w:t>https://link.springer.com/article/10.1007/s11191-024-00574-4#citeas</w:t>
        </w:r>
      </w:hyperlink>
    </w:p>
    <w:p w14:paraId="5E82882A" w14:textId="2B8C7CC3" w:rsidR="007A026A" w:rsidRPr="0096221B" w:rsidRDefault="007A026A" w:rsidP="0096221B">
      <w:pPr>
        <w:pStyle w:val="ListParagraph"/>
        <w:numPr>
          <w:ilvl w:val="0"/>
          <w:numId w:val="32"/>
        </w:numPr>
        <w:spacing w:after="100" w:afterAutospacing="1"/>
        <w:jc w:val="both"/>
        <w:rPr>
          <w:rFonts w:ascii="Arial" w:hAnsi="Arial" w:cs="Arial"/>
        </w:rPr>
      </w:pPr>
      <w:proofErr w:type="spellStart"/>
      <w:r w:rsidRPr="0096221B">
        <w:rPr>
          <w:rFonts w:ascii="Arial" w:hAnsi="Arial" w:cs="Arial"/>
        </w:rPr>
        <w:t>Remler</w:t>
      </w:r>
      <w:proofErr w:type="spellEnd"/>
      <w:r w:rsidRPr="0096221B">
        <w:rPr>
          <w:rFonts w:ascii="Arial" w:hAnsi="Arial" w:cs="Arial"/>
        </w:rPr>
        <w:t xml:space="preserve">, D. K., &amp; Van </w:t>
      </w:r>
      <w:proofErr w:type="spellStart"/>
      <w:r w:rsidRPr="0096221B">
        <w:rPr>
          <w:rFonts w:ascii="Arial" w:hAnsi="Arial" w:cs="Arial"/>
        </w:rPr>
        <w:t>Ryzin</w:t>
      </w:r>
      <w:proofErr w:type="spellEnd"/>
      <w:r w:rsidRPr="0096221B">
        <w:rPr>
          <w:rFonts w:ascii="Arial" w:hAnsi="Arial" w:cs="Arial"/>
        </w:rPr>
        <w:t>, G. G. (2021). </w:t>
      </w:r>
      <w:r w:rsidRPr="0096221B">
        <w:rPr>
          <w:rFonts w:ascii="Arial" w:hAnsi="Arial" w:cs="Arial"/>
          <w:i/>
          <w:iCs/>
        </w:rPr>
        <w:t>Research methods in practice: Strategies for description and causation</w:t>
      </w:r>
      <w:r w:rsidRPr="0096221B">
        <w:rPr>
          <w:rFonts w:ascii="Arial" w:hAnsi="Arial" w:cs="Arial"/>
        </w:rPr>
        <w:t>. Sage Publications.</w:t>
      </w:r>
      <w:hyperlink r:id="rId41" w:history="1">
        <w:r w:rsidR="004F04E5" w:rsidRPr="00BB0B67">
          <w:rPr>
            <w:rStyle w:val="Hyperlink"/>
            <w:rFonts w:ascii="Arial" w:hAnsi="Arial" w:cs="Arial"/>
          </w:rPr>
          <w:t>https://books.google.com.ph/books?hl=en&amp;lr=&amp;id=2iI_EAAAQBAJ&amp;oi=fnd&amp;pg=IA4&amp;dq=The+descriptive+research+design+involves+observing+and+collecting+data+on+a+given+topic+without+attempting+to+infe</w:t>
        </w:r>
      </w:hyperlink>
    </w:p>
    <w:p w14:paraId="50AE9DCE" w14:textId="06C18692" w:rsidR="007A026A" w:rsidRPr="0096221B" w:rsidRDefault="007A026A" w:rsidP="0096221B">
      <w:pPr>
        <w:pStyle w:val="ListParagraph"/>
        <w:numPr>
          <w:ilvl w:val="0"/>
          <w:numId w:val="32"/>
        </w:numPr>
        <w:spacing w:after="100" w:afterAutospacing="1"/>
        <w:jc w:val="both"/>
        <w:rPr>
          <w:rFonts w:ascii="Arial" w:hAnsi="Arial" w:cs="Arial"/>
        </w:rPr>
      </w:pPr>
      <w:proofErr w:type="spellStart"/>
      <w:r w:rsidRPr="0096221B">
        <w:rPr>
          <w:rFonts w:ascii="Arial" w:hAnsi="Arial" w:cs="Arial"/>
        </w:rPr>
        <w:t>Sinakou</w:t>
      </w:r>
      <w:proofErr w:type="spellEnd"/>
      <w:r w:rsidRPr="0096221B">
        <w:rPr>
          <w:rFonts w:ascii="Arial" w:hAnsi="Arial" w:cs="Arial"/>
        </w:rPr>
        <w:t xml:space="preserve">, E., </w:t>
      </w:r>
      <w:proofErr w:type="spellStart"/>
      <w:r w:rsidRPr="0096221B">
        <w:rPr>
          <w:rFonts w:ascii="Arial" w:hAnsi="Arial" w:cs="Arial"/>
        </w:rPr>
        <w:t>Donche</w:t>
      </w:r>
      <w:proofErr w:type="spellEnd"/>
      <w:r w:rsidRPr="0096221B">
        <w:rPr>
          <w:rFonts w:ascii="Arial" w:hAnsi="Arial" w:cs="Arial"/>
        </w:rPr>
        <w:t xml:space="preserve">, V., &amp; Van </w:t>
      </w:r>
      <w:proofErr w:type="spellStart"/>
      <w:r w:rsidRPr="0096221B">
        <w:rPr>
          <w:rFonts w:ascii="Arial" w:hAnsi="Arial" w:cs="Arial"/>
        </w:rPr>
        <w:t>Petegem</w:t>
      </w:r>
      <w:proofErr w:type="spellEnd"/>
      <w:r w:rsidRPr="0096221B">
        <w:rPr>
          <w:rFonts w:ascii="Arial" w:hAnsi="Arial" w:cs="Arial"/>
        </w:rPr>
        <w:t>, P. (2022). Action-orientation in education for sustainable development: Teachers’ interests and instructional practices. </w:t>
      </w:r>
      <w:r w:rsidRPr="0096221B">
        <w:rPr>
          <w:rFonts w:ascii="Arial" w:hAnsi="Arial" w:cs="Arial"/>
          <w:i/>
          <w:iCs/>
        </w:rPr>
        <w:t>Journal of Cleaner Production</w:t>
      </w:r>
      <w:r w:rsidRPr="0096221B">
        <w:rPr>
          <w:rFonts w:ascii="Arial" w:hAnsi="Arial" w:cs="Arial"/>
        </w:rPr>
        <w:t>, </w:t>
      </w:r>
      <w:r w:rsidRPr="0096221B">
        <w:rPr>
          <w:rFonts w:ascii="Arial" w:hAnsi="Arial" w:cs="Arial"/>
          <w:i/>
          <w:iCs/>
        </w:rPr>
        <w:t>370</w:t>
      </w:r>
      <w:r w:rsidRPr="0096221B">
        <w:rPr>
          <w:rFonts w:ascii="Arial" w:hAnsi="Arial" w:cs="Arial"/>
        </w:rPr>
        <w:t xml:space="preserve">, 133469. </w:t>
      </w:r>
      <w:hyperlink r:id="rId42" w:history="1">
        <w:r w:rsidRPr="0096221B">
          <w:rPr>
            <w:rStyle w:val="Hyperlink"/>
            <w:rFonts w:ascii="Arial" w:hAnsi="Arial" w:cs="Arial"/>
          </w:rPr>
          <w:t>https://doi.org/10.1016/j.jclepro.2022.133469</w:t>
        </w:r>
      </w:hyperlink>
    </w:p>
    <w:p w14:paraId="1EE6624F" w14:textId="2DA1C99A" w:rsidR="007A026A" w:rsidRPr="0096221B" w:rsidRDefault="007A026A" w:rsidP="0096221B">
      <w:pPr>
        <w:pStyle w:val="ListParagraph"/>
        <w:numPr>
          <w:ilvl w:val="0"/>
          <w:numId w:val="32"/>
        </w:numPr>
        <w:spacing w:after="100" w:afterAutospacing="1"/>
        <w:jc w:val="both"/>
        <w:rPr>
          <w:rFonts w:ascii="Arial" w:hAnsi="Arial" w:cs="Arial"/>
        </w:rPr>
      </w:pPr>
      <w:r w:rsidRPr="0096221B">
        <w:rPr>
          <w:rFonts w:ascii="Arial" w:hAnsi="Arial" w:cs="Arial"/>
        </w:rPr>
        <w:t xml:space="preserve">Sukma, E., Ramadhan, S., &amp; </w:t>
      </w:r>
      <w:proofErr w:type="spellStart"/>
      <w:r w:rsidRPr="0096221B">
        <w:rPr>
          <w:rFonts w:ascii="Arial" w:hAnsi="Arial" w:cs="Arial"/>
        </w:rPr>
        <w:t>Indriyani</w:t>
      </w:r>
      <w:proofErr w:type="spellEnd"/>
      <w:r w:rsidRPr="0096221B">
        <w:rPr>
          <w:rFonts w:ascii="Arial" w:hAnsi="Arial" w:cs="Arial"/>
        </w:rPr>
        <w:t xml:space="preserve">, V. (2020). Integration of environmental education in elementary schools. </w:t>
      </w:r>
      <w:r w:rsidRPr="0096221B">
        <w:rPr>
          <w:rFonts w:ascii="Arial" w:hAnsi="Arial" w:cs="Arial"/>
          <w:i/>
          <w:iCs/>
        </w:rPr>
        <w:t xml:space="preserve">Journal of Physics, </w:t>
      </w:r>
      <w:r w:rsidRPr="0096221B">
        <w:rPr>
          <w:rFonts w:ascii="Arial" w:hAnsi="Arial" w:cs="Arial"/>
        </w:rPr>
        <w:t>1481(1), 012136.</w:t>
      </w:r>
      <w:hyperlink r:id="rId43" w:history="1">
        <w:r w:rsidR="004F04E5" w:rsidRPr="00BB0B67">
          <w:rPr>
            <w:rStyle w:val="Hyperlink"/>
            <w:rFonts w:ascii="Arial" w:hAnsi="Arial" w:cs="Arial"/>
          </w:rPr>
          <w:t>https://doi.org/10.1088/1742-6596/1481/1/012136</w:t>
        </w:r>
      </w:hyperlink>
    </w:p>
    <w:p w14:paraId="07562A66" w14:textId="3809F042" w:rsidR="007A026A" w:rsidRPr="0096221B" w:rsidRDefault="007A026A" w:rsidP="0096221B">
      <w:pPr>
        <w:pStyle w:val="ListParagraph"/>
        <w:numPr>
          <w:ilvl w:val="0"/>
          <w:numId w:val="32"/>
        </w:numPr>
        <w:spacing w:after="100" w:afterAutospacing="1"/>
        <w:jc w:val="both"/>
        <w:rPr>
          <w:rFonts w:ascii="Arial" w:hAnsi="Arial" w:cs="Arial"/>
        </w:rPr>
      </w:pPr>
      <w:r w:rsidRPr="0096221B">
        <w:rPr>
          <w:rFonts w:ascii="Arial" w:hAnsi="Arial" w:cs="Arial"/>
        </w:rPr>
        <w:t xml:space="preserve">Sukumaran, K. (2022). Impact of human activities </w:t>
      </w:r>
      <w:r w:rsidR="002E20B5" w:rsidRPr="0096221B">
        <w:rPr>
          <w:rFonts w:ascii="Arial" w:hAnsi="Arial" w:cs="Arial"/>
        </w:rPr>
        <w:t>on the induction</w:t>
      </w:r>
      <w:r w:rsidRPr="0096221B">
        <w:rPr>
          <w:rFonts w:ascii="Arial" w:hAnsi="Arial" w:cs="Arial"/>
        </w:rPr>
        <w:t xml:space="preserve"> and triggering of natural disasters. </w:t>
      </w:r>
      <w:r w:rsidR="002E20B5" w:rsidRPr="0096221B">
        <w:rPr>
          <w:rFonts w:ascii="Arial" w:hAnsi="Arial" w:cs="Arial"/>
        </w:rPr>
        <w:t>In</w:t>
      </w:r>
      <w:r w:rsidRPr="0096221B">
        <w:rPr>
          <w:rFonts w:ascii="Arial" w:hAnsi="Arial" w:cs="Arial"/>
        </w:rPr>
        <w:t xml:space="preserve"> a system engineering approach to disaster resilience: select proceedings of </w:t>
      </w:r>
      <w:r w:rsidR="002E20B5" w:rsidRPr="0096221B">
        <w:rPr>
          <w:rFonts w:ascii="Arial" w:hAnsi="Arial" w:cs="Arial"/>
        </w:rPr>
        <w:t>VCDRR</w:t>
      </w:r>
      <w:r w:rsidRPr="0096221B">
        <w:rPr>
          <w:rFonts w:ascii="Arial" w:hAnsi="Arial" w:cs="Arial"/>
        </w:rPr>
        <w:t xml:space="preserve"> 2021 (pp. 17-31). </w:t>
      </w:r>
      <w:r w:rsidRPr="0096221B">
        <w:rPr>
          <w:rFonts w:ascii="Arial" w:hAnsi="Arial" w:cs="Arial"/>
          <w:i/>
          <w:iCs/>
        </w:rPr>
        <w:t>Singapore: Springer Nature Singapore.</w:t>
      </w:r>
      <w:hyperlink r:id="rId44" w:history="1">
        <w:r w:rsidR="004F04E5" w:rsidRPr="00BB0B67">
          <w:rPr>
            <w:rStyle w:val="Hyperlink"/>
            <w:rFonts w:ascii="Arial" w:hAnsi="Arial" w:cs="Arial"/>
          </w:rPr>
          <w:t>https://link.springer.com/chapter/10.1007/978-981-16-7397-9_2#citeas</w:t>
        </w:r>
      </w:hyperlink>
    </w:p>
    <w:p w14:paraId="0FA5394A" w14:textId="482EEFE7" w:rsidR="007A026A" w:rsidRPr="0096221B" w:rsidRDefault="007A026A" w:rsidP="0096221B">
      <w:pPr>
        <w:pStyle w:val="ListParagraph"/>
        <w:numPr>
          <w:ilvl w:val="0"/>
          <w:numId w:val="32"/>
        </w:numPr>
        <w:spacing w:after="100" w:afterAutospacing="1"/>
        <w:jc w:val="both"/>
        <w:rPr>
          <w:rFonts w:ascii="Arial" w:hAnsi="Arial" w:cs="Arial"/>
        </w:rPr>
      </w:pPr>
      <w:r w:rsidRPr="0096221B">
        <w:rPr>
          <w:rFonts w:ascii="Arial" w:hAnsi="Arial" w:cs="Arial"/>
        </w:rPr>
        <w:t xml:space="preserve">Svensson, T., Wilk, J., &amp; </w:t>
      </w:r>
      <w:proofErr w:type="spellStart"/>
      <w:r w:rsidRPr="0096221B">
        <w:rPr>
          <w:rFonts w:ascii="Arial" w:hAnsi="Arial" w:cs="Arial"/>
        </w:rPr>
        <w:t>Åman</w:t>
      </w:r>
      <w:proofErr w:type="spellEnd"/>
      <w:r w:rsidRPr="0096221B">
        <w:rPr>
          <w:rFonts w:ascii="Arial" w:hAnsi="Arial" w:cs="Arial"/>
        </w:rPr>
        <w:t xml:space="preserve">, K. G. (2022). Information literacy skills and learning gaps–students' experiences and teachers' perceptions in interdisciplinary </w:t>
      </w:r>
      <w:r w:rsidRPr="0096221B">
        <w:rPr>
          <w:rFonts w:ascii="Arial" w:hAnsi="Arial" w:cs="Arial"/>
        </w:rPr>
        <w:lastRenderedPageBreak/>
        <w:t>environmental science. </w:t>
      </w:r>
      <w:r w:rsidRPr="0096221B">
        <w:rPr>
          <w:rFonts w:ascii="Arial" w:hAnsi="Arial" w:cs="Arial"/>
          <w:i/>
          <w:iCs/>
        </w:rPr>
        <w:t>The Journal of Academic Librarianship</w:t>
      </w:r>
      <w:r w:rsidRPr="0096221B">
        <w:rPr>
          <w:rFonts w:ascii="Arial" w:hAnsi="Arial" w:cs="Arial"/>
        </w:rPr>
        <w:t>, </w:t>
      </w:r>
      <w:r w:rsidRPr="0096221B">
        <w:rPr>
          <w:rFonts w:ascii="Arial" w:hAnsi="Arial" w:cs="Arial"/>
          <w:i/>
          <w:iCs/>
        </w:rPr>
        <w:t>48</w:t>
      </w:r>
      <w:r w:rsidRPr="0096221B">
        <w:rPr>
          <w:rFonts w:ascii="Arial" w:hAnsi="Arial" w:cs="Arial"/>
        </w:rPr>
        <w:t>(1), 102465.</w:t>
      </w:r>
      <w:hyperlink r:id="rId45" w:history="1">
        <w:r w:rsidR="004F04E5" w:rsidRPr="00BB0B67">
          <w:rPr>
            <w:rStyle w:val="Hyperlink"/>
            <w:rFonts w:ascii="Arial" w:hAnsi="Arial" w:cs="Arial"/>
          </w:rPr>
          <w:t>https://doi.org/10.1016/j.acalib.2021.102465</w:t>
        </w:r>
      </w:hyperlink>
    </w:p>
    <w:p w14:paraId="50938221" w14:textId="77777777" w:rsidR="007A026A" w:rsidRPr="0096221B" w:rsidRDefault="007A026A" w:rsidP="0096221B">
      <w:pPr>
        <w:pStyle w:val="ListParagraph"/>
        <w:numPr>
          <w:ilvl w:val="0"/>
          <w:numId w:val="32"/>
        </w:numPr>
        <w:spacing w:after="100" w:afterAutospacing="1"/>
        <w:jc w:val="both"/>
        <w:rPr>
          <w:rFonts w:ascii="Arial" w:hAnsi="Arial" w:cs="Arial"/>
        </w:rPr>
      </w:pPr>
      <w:r w:rsidRPr="0096221B">
        <w:rPr>
          <w:rFonts w:ascii="Arial" w:hAnsi="Arial" w:cs="Arial"/>
        </w:rPr>
        <w:t xml:space="preserve">Tan, Y. C., Wong, Y. D., &amp; Lee, D. (2021). Nature-based education in Singapore: Examining its impact on environmental Literacy. </w:t>
      </w:r>
      <w:r w:rsidRPr="0096221B">
        <w:rPr>
          <w:rFonts w:ascii="Arial" w:hAnsi="Arial" w:cs="Arial"/>
          <w:i/>
          <w:iCs/>
        </w:rPr>
        <w:t>Environmental Education Research,</w:t>
      </w:r>
      <w:r w:rsidRPr="0096221B">
        <w:rPr>
          <w:rFonts w:ascii="Arial" w:hAnsi="Arial" w:cs="Arial"/>
        </w:rPr>
        <w:t xml:space="preserve"> 27(2), 186–207. </w:t>
      </w:r>
      <w:r w:rsidRPr="0096221B">
        <w:rPr>
          <w:rFonts w:ascii="Arial" w:hAnsi="Arial" w:cs="Arial"/>
          <w:u w:val="single"/>
        </w:rPr>
        <w:t>https://doi.org/10.1007/978-3-319-31816-5_460-1</w:t>
      </w:r>
    </w:p>
    <w:p w14:paraId="45F4194F" w14:textId="77777777" w:rsidR="007A026A" w:rsidRPr="0096221B" w:rsidRDefault="007A026A" w:rsidP="0096221B">
      <w:pPr>
        <w:pStyle w:val="ListParagraph"/>
        <w:numPr>
          <w:ilvl w:val="0"/>
          <w:numId w:val="32"/>
        </w:numPr>
        <w:spacing w:after="100" w:afterAutospacing="1"/>
        <w:jc w:val="both"/>
        <w:rPr>
          <w:rFonts w:ascii="Arial" w:hAnsi="Arial" w:cs="Arial"/>
        </w:rPr>
      </w:pPr>
      <w:proofErr w:type="spellStart"/>
      <w:r w:rsidRPr="0096221B">
        <w:rPr>
          <w:rFonts w:ascii="Arial" w:hAnsi="Arial" w:cs="Arial"/>
        </w:rPr>
        <w:t>Teig</w:t>
      </w:r>
      <w:proofErr w:type="spellEnd"/>
      <w:r w:rsidRPr="0096221B">
        <w:rPr>
          <w:rFonts w:ascii="Arial" w:hAnsi="Arial" w:cs="Arial"/>
        </w:rPr>
        <w:t xml:space="preserve">, N., Nilsen, T., &amp; Hansen, K. Y. (2024). Theoretical framework of teacher practice. In </w:t>
      </w:r>
      <w:r w:rsidRPr="0096221B">
        <w:rPr>
          <w:rFonts w:ascii="Arial" w:hAnsi="Arial" w:cs="Arial"/>
          <w:i/>
          <w:iCs/>
        </w:rPr>
        <w:t>IEA research for education</w:t>
      </w:r>
      <w:r w:rsidRPr="0096221B">
        <w:rPr>
          <w:rFonts w:ascii="Arial" w:hAnsi="Arial" w:cs="Arial"/>
        </w:rPr>
        <w:t xml:space="preserve"> (pp. 21–33). </w:t>
      </w:r>
      <w:hyperlink r:id="rId46" w:history="1">
        <w:r w:rsidRPr="0096221B">
          <w:rPr>
            <w:rStyle w:val="Hyperlink"/>
            <w:rFonts w:ascii="Arial" w:hAnsi="Arial" w:cs="Arial"/>
          </w:rPr>
          <w:t>https://doi.org/10.1007/978-3-031-49580-9_2</w:t>
        </w:r>
      </w:hyperlink>
    </w:p>
    <w:p w14:paraId="676A2FE6" w14:textId="77777777" w:rsidR="007A026A" w:rsidRPr="0096221B" w:rsidRDefault="007A026A" w:rsidP="0096221B">
      <w:pPr>
        <w:pStyle w:val="ListParagraph"/>
        <w:numPr>
          <w:ilvl w:val="0"/>
          <w:numId w:val="32"/>
        </w:numPr>
        <w:spacing w:after="100" w:afterAutospacing="1"/>
        <w:jc w:val="both"/>
        <w:rPr>
          <w:rFonts w:ascii="Arial" w:hAnsi="Arial" w:cs="Arial"/>
        </w:rPr>
      </w:pPr>
      <w:r w:rsidRPr="0096221B">
        <w:rPr>
          <w:rFonts w:ascii="Arial" w:hAnsi="Arial" w:cs="Arial"/>
        </w:rPr>
        <w:t xml:space="preserve">Uyen, H., LePage, B. A., &amp; Fang, W. (2022). Environmental literacy and teaching activities of preschool teachers in Vietnam. </w:t>
      </w:r>
      <w:r w:rsidRPr="0096221B">
        <w:rPr>
          <w:rFonts w:ascii="Arial" w:hAnsi="Arial" w:cs="Arial"/>
          <w:i/>
          <w:iCs/>
        </w:rPr>
        <w:t xml:space="preserve">European Journal of Educational Research, </w:t>
      </w:r>
      <w:r w:rsidRPr="0096221B">
        <w:rPr>
          <w:rFonts w:ascii="Arial" w:hAnsi="Arial" w:cs="Arial"/>
        </w:rPr>
        <w:t xml:space="preserve">11(4), 2357–2371. </w:t>
      </w:r>
      <w:hyperlink r:id="rId47" w:history="1">
        <w:r w:rsidRPr="0096221B">
          <w:rPr>
            <w:rStyle w:val="Hyperlink"/>
            <w:rFonts w:ascii="Arial" w:hAnsi="Arial" w:cs="Arial"/>
          </w:rPr>
          <w:t>https://doi.org/10.12973/eu-jer.11.4.2357</w:t>
        </w:r>
      </w:hyperlink>
    </w:p>
    <w:p w14:paraId="6FBC6D75" w14:textId="6A1C9BA6" w:rsidR="007A026A" w:rsidRPr="0096221B" w:rsidRDefault="007A026A" w:rsidP="0096221B">
      <w:pPr>
        <w:pStyle w:val="ListParagraph"/>
        <w:numPr>
          <w:ilvl w:val="0"/>
          <w:numId w:val="32"/>
        </w:numPr>
        <w:spacing w:after="100" w:afterAutospacing="1"/>
        <w:jc w:val="both"/>
        <w:rPr>
          <w:rFonts w:ascii="Arial" w:hAnsi="Arial" w:cs="Arial"/>
        </w:rPr>
      </w:pPr>
      <w:r w:rsidRPr="0096221B">
        <w:rPr>
          <w:rFonts w:ascii="Arial" w:hAnsi="Arial" w:cs="Arial"/>
        </w:rPr>
        <w:t xml:space="preserve">Wang, H.C. (2020). Exploring environmental learning center educators' key competences and their influential factors in Taiwan: perspectives from practitioners. </w:t>
      </w:r>
      <w:r w:rsidRPr="0096221B">
        <w:rPr>
          <w:rFonts w:ascii="Arial" w:hAnsi="Arial" w:cs="Arial"/>
          <w:i/>
          <w:iCs/>
        </w:rPr>
        <w:t>Ph.D. Thesis, National Taiwan Normal University, Taipei, Taiwan</w:t>
      </w:r>
      <w:r w:rsidRPr="0096221B">
        <w:rPr>
          <w:rFonts w:ascii="Arial" w:hAnsi="Arial" w:cs="Arial"/>
        </w:rPr>
        <w:t>. </w:t>
      </w:r>
      <w:hyperlink r:id="rId48" w:tgtFrame="_blank" w:history="1">
        <w:r w:rsidRPr="0096221B">
          <w:rPr>
            <w:rStyle w:val="Hyperlink"/>
            <w:rFonts w:ascii="Arial" w:hAnsi="Arial" w:cs="Arial"/>
          </w:rPr>
          <w:t>https://hdl.handle.net/11296/3zkdqu</w:t>
        </w:r>
      </w:hyperlink>
    </w:p>
    <w:p w14:paraId="2AC018B7" w14:textId="668C26F7" w:rsidR="007A026A" w:rsidRPr="0096221B" w:rsidRDefault="007A026A" w:rsidP="0096221B">
      <w:pPr>
        <w:pStyle w:val="ListParagraph"/>
        <w:numPr>
          <w:ilvl w:val="0"/>
          <w:numId w:val="32"/>
        </w:numPr>
        <w:spacing w:after="100" w:afterAutospacing="1"/>
        <w:jc w:val="both"/>
        <w:rPr>
          <w:rFonts w:ascii="Arial" w:hAnsi="Arial" w:cs="Arial"/>
        </w:rPr>
      </w:pPr>
      <w:r w:rsidRPr="0096221B">
        <w:rPr>
          <w:rFonts w:ascii="Arial" w:hAnsi="Arial" w:cs="Arial"/>
        </w:rPr>
        <w:t>Waite, P., &amp; Creswell, C. (2014). Children and adolescents referred for treatment of anxiety disorders: Differences in clinical characteristics. </w:t>
      </w:r>
      <w:r w:rsidRPr="0096221B">
        <w:rPr>
          <w:rFonts w:ascii="Arial" w:hAnsi="Arial" w:cs="Arial"/>
          <w:i/>
          <w:iCs/>
        </w:rPr>
        <w:t>Journal of Affective Disorders</w:t>
      </w:r>
      <w:r w:rsidRPr="0096221B">
        <w:rPr>
          <w:rFonts w:ascii="Arial" w:hAnsi="Arial" w:cs="Arial"/>
        </w:rPr>
        <w:t>, </w:t>
      </w:r>
      <w:r w:rsidRPr="0096221B">
        <w:rPr>
          <w:rFonts w:ascii="Arial" w:hAnsi="Arial" w:cs="Arial"/>
          <w:i/>
          <w:iCs/>
        </w:rPr>
        <w:t>167</w:t>
      </w:r>
      <w:r w:rsidRPr="0096221B">
        <w:rPr>
          <w:rFonts w:ascii="Arial" w:hAnsi="Arial" w:cs="Arial"/>
        </w:rPr>
        <w:t xml:space="preserve">, 326–332. </w:t>
      </w:r>
      <w:hyperlink r:id="rId49" w:history="1">
        <w:r w:rsidRPr="0096221B">
          <w:rPr>
            <w:rStyle w:val="Hyperlink"/>
            <w:rFonts w:ascii="Arial" w:hAnsi="Arial" w:cs="Arial"/>
          </w:rPr>
          <w:t>https://doi.org/10.1016/j.jad.2014.06.028</w:t>
        </w:r>
      </w:hyperlink>
    </w:p>
    <w:p w14:paraId="2680FE06" w14:textId="0C1C2E10" w:rsidR="007A026A" w:rsidRPr="0096221B" w:rsidRDefault="007A026A" w:rsidP="0096221B">
      <w:pPr>
        <w:pStyle w:val="ListParagraph"/>
        <w:numPr>
          <w:ilvl w:val="0"/>
          <w:numId w:val="32"/>
        </w:numPr>
        <w:spacing w:after="100" w:afterAutospacing="1"/>
        <w:jc w:val="both"/>
        <w:rPr>
          <w:rFonts w:ascii="Arial" w:hAnsi="Arial" w:cs="Arial"/>
        </w:rPr>
      </w:pPr>
      <w:proofErr w:type="spellStart"/>
      <w:r w:rsidRPr="0096221B">
        <w:rPr>
          <w:rFonts w:ascii="Arial" w:hAnsi="Arial" w:cs="Arial"/>
        </w:rPr>
        <w:t>Zakariah</w:t>
      </w:r>
      <w:proofErr w:type="spellEnd"/>
      <w:r w:rsidRPr="0096221B">
        <w:rPr>
          <w:rFonts w:ascii="Arial" w:hAnsi="Arial" w:cs="Arial"/>
        </w:rPr>
        <w:t xml:space="preserve">, Z., </w:t>
      </w:r>
      <w:proofErr w:type="spellStart"/>
      <w:r w:rsidRPr="0096221B">
        <w:rPr>
          <w:rFonts w:ascii="Arial" w:hAnsi="Arial" w:cs="Arial"/>
        </w:rPr>
        <w:t>Ma'ruf</w:t>
      </w:r>
      <w:proofErr w:type="spellEnd"/>
      <w:r w:rsidRPr="0096221B">
        <w:rPr>
          <w:rFonts w:ascii="Arial" w:hAnsi="Arial" w:cs="Arial"/>
        </w:rPr>
        <w:t>, F., &amp; Wahyu, A. R. (2024). The role of school leadership in advancing environmental sustainability through curriculum, community engagement, and strategic initiatives. </w:t>
      </w:r>
      <w:proofErr w:type="spellStart"/>
      <w:r w:rsidRPr="0096221B">
        <w:rPr>
          <w:rFonts w:ascii="Arial" w:hAnsi="Arial" w:cs="Arial"/>
          <w:i/>
          <w:iCs/>
        </w:rPr>
        <w:t>Educia</w:t>
      </w:r>
      <w:proofErr w:type="spellEnd"/>
      <w:r w:rsidRPr="0096221B">
        <w:rPr>
          <w:rFonts w:ascii="Arial" w:hAnsi="Arial" w:cs="Arial"/>
          <w:i/>
          <w:iCs/>
        </w:rPr>
        <w:t xml:space="preserve"> Journal</w:t>
      </w:r>
      <w:r w:rsidRPr="0096221B">
        <w:rPr>
          <w:rFonts w:ascii="Arial" w:hAnsi="Arial" w:cs="Arial"/>
        </w:rPr>
        <w:t>, </w:t>
      </w:r>
      <w:r w:rsidRPr="0096221B">
        <w:rPr>
          <w:rFonts w:ascii="Arial" w:hAnsi="Arial" w:cs="Arial"/>
          <w:i/>
          <w:iCs/>
        </w:rPr>
        <w:t>2</w:t>
      </w:r>
      <w:r w:rsidRPr="0096221B">
        <w:rPr>
          <w:rFonts w:ascii="Arial" w:hAnsi="Arial" w:cs="Arial"/>
        </w:rPr>
        <w:t>(3), 98-107.</w:t>
      </w:r>
      <w:hyperlink r:id="rId50" w:history="1">
        <w:r w:rsidR="004F04E5" w:rsidRPr="00BB0B67">
          <w:rPr>
            <w:rStyle w:val="Hyperlink"/>
            <w:rFonts w:ascii="Arial" w:hAnsi="Arial" w:cs="Arial"/>
          </w:rPr>
          <w:t>https://www.scieclouds.com/ojsnew/index.php/ej/article/view/187</w:t>
        </w:r>
      </w:hyperlink>
    </w:p>
    <w:p w14:paraId="1F7AA4EF" w14:textId="1085E315" w:rsidR="004D4277" w:rsidRPr="0096221B" w:rsidRDefault="007A026A" w:rsidP="0096221B">
      <w:pPr>
        <w:pStyle w:val="ListParagraph"/>
        <w:numPr>
          <w:ilvl w:val="0"/>
          <w:numId w:val="32"/>
        </w:numPr>
        <w:spacing w:after="100" w:afterAutospacing="1"/>
        <w:jc w:val="both"/>
        <w:rPr>
          <w:rFonts w:ascii="Arial" w:hAnsi="Arial" w:cs="Arial"/>
        </w:rPr>
        <w:sectPr w:rsidR="004D4277" w:rsidRPr="0096221B" w:rsidSect="0025291E">
          <w:footerReference w:type="default" r:id="rId51"/>
          <w:type w:val="continuous"/>
          <w:pgSz w:w="12240" w:h="15840"/>
          <w:pgMar w:top="1440" w:right="2016" w:bottom="2016" w:left="2016" w:header="720" w:footer="1123" w:gutter="0"/>
          <w:cols w:space="720"/>
          <w:docGrid w:linePitch="272"/>
        </w:sectPr>
      </w:pPr>
      <w:r w:rsidRPr="0096221B">
        <w:rPr>
          <w:rFonts w:ascii="Arial" w:hAnsi="Arial" w:cs="Arial"/>
        </w:rPr>
        <w:t xml:space="preserve">Zinn, H. C., Koch, D. C., Schneider, N., Hofer, M., &amp; Bogner, F. X. (2019). Factors promoting environmental Literacy in elementary schools: A comparison between Germany and Switzerland. </w:t>
      </w:r>
      <w:r w:rsidRPr="0096221B">
        <w:rPr>
          <w:rFonts w:ascii="Arial" w:hAnsi="Arial" w:cs="Arial"/>
          <w:i/>
          <w:iCs/>
        </w:rPr>
        <w:t>Environmental Education Research,</w:t>
      </w:r>
      <w:r w:rsidRPr="0096221B">
        <w:rPr>
          <w:rFonts w:ascii="Arial" w:hAnsi="Arial" w:cs="Arial"/>
        </w:rPr>
        <w:t xml:space="preserve"> 25(6), 793-812.</w:t>
      </w:r>
      <w:hyperlink r:id="rId52" w:history="1">
        <w:r w:rsidR="004F04E5" w:rsidRPr="00BB0B67">
          <w:rPr>
            <w:rStyle w:val="Hyperlink"/>
            <w:rFonts w:ascii="Arial" w:hAnsi="Arial" w:cs="Arial"/>
          </w:rPr>
          <w:t>https://doi.org/10.1111/jcal.12725</w:t>
        </w:r>
      </w:hyperlink>
      <w:r w:rsidRPr="0096221B">
        <w:rPr>
          <w:rFonts w:ascii="Arial" w:hAnsi="Arial" w:cs="Arial"/>
        </w:rPr>
        <w:t xml:space="preserve"> </w:t>
      </w:r>
    </w:p>
    <w:p w14:paraId="3F162364" w14:textId="77777777" w:rsidR="00B01FCD" w:rsidRPr="00AF5B72" w:rsidRDefault="00B01FCD" w:rsidP="00AF5B72">
      <w:pPr>
        <w:pStyle w:val="Appendix"/>
        <w:jc w:val="both"/>
        <w:rPr>
          <w:rFonts w:cs="Helvetica"/>
          <w:b w:val="0"/>
          <w:sz w:val="20"/>
        </w:rPr>
      </w:pPr>
    </w:p>
    <w:sectPr w:rsidR="00B01FCD" w:rsidRPr="00AF5B72" w:rsidSect="00843B0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4EC0F" w14:textId="77777777" w:rsidR="003A44CA" w:rsidRDefault="003A44CA" w:rsidP="00C37E61">
      <w:r>
        <w:separator/>
      </w:r>
    </w:p>
  </w:endnote>
  <w:endnote w:type="continuationSeparator" w:id="0">
    <w:p w14:paraId="5DF60411" w14:textId="77777777" w:rsidR="003A44CA" w:rsidRDefault="003A44C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4DE3D" w14:textId="77777777" w:rsidR="009E048A" w:rsidRDefault="009E048A">
    <w:pPr>
      <w:pStyle w:val="Footer"/>
      <w:rPr>
        <w:rFonts w:ascii="Arial" w:hAnsi="Arial" w:cs="Arial"/>
        <w:sz w:val="16"/>
      </w:rPr>
    </w:pPr>
  </w:p>
  <w:p w14:paraId="480E817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F89414A" w14:textId="77777777" w:rsidR="009E048A" w:rsidRDefault="009E048A">
    <w:pPr>
      <w:pStyle w:val="Footer"/>
      <w:rPr>
        <w:rFonts w:ascii="Arial" w:hAnsi="Arial" w:cs="Arial"/>
        <w:sz w:val="16"/>
      </w:rPr>
    </w:pPr>
  </w:p>
  <w:p w14:paraId="7F9AA14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05DAA" w14:textId="54064B9E"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21970" w14:textId="77777777" w:rsidR="003A44CA" w:rsidRDefault="003A44CA" w:rsidP="00C37E61">
      <w:r>
        <w:separator/>
      </w:r>
    </w:p>
  </w:footnote>
  <w:footnote w:type="continuationSeparator" w:id="0">
    <w:p w14:paraId="7BD0B01E" w14:textId="77777777" w:rsidR="003A44CA" w:rsidRDefault="003A44C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119F2" w14:textId="77777777" w:rsidR="00296529" w:rsidRPr="00296529" w:rsidRDefault="00296529" w:rsidP="00296529">
    <w:pPr>
      <w:ind w:left="2160"/>
      <w:jc w:val="center"/>
      <w:rPr>
        <w:rFonts w:ascii="Times New Roman" w:eastAsia="Calibri" w:hAnsi="Times New Roman"/>
        <w:i/>
        <w:sz w:val="18"/>
        <w:szCs w:val="22"/>
      </w:rPr>
    </w:pPr>
  </w:p>
  <w:p w14:paraId="054D29F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C5096E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ABA7E3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F8859A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CE3F71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08B19A0"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498A2BC"/>
    <w:lvl w:ilvl="0">
      <w:start w:val="1"/>
      <w:numFmt w:val="decimal"/>
      <w:suff w:val="space"/>
      <w:lvlText w:val="%1."/>
      <w:lvlJc w:val="left"/>
      <w:pPr>
        <w:ind w:left="-72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9AA0FA7"/>
    <w:multiLevelType w:val="hybridMultilevel"/>
    <w:tmpl w:val="8C12F1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4"/>
  </w:num>
  <w:num w:numId="9">
    <w:abstractNumId w:val="27"/>
  </w:num>
  <w:num w:numId="10">
    <w:abstractNumId w:val="3"/>
  </w:num>
  <w:num w:numId="11">
    <w:abstractNumId w:val="20"/>
  </w:num>
  <w:num w:numId="12">
    <w:abstractNumId w:val="4"/>
  </w:num>
  <w:num w:numId="13">
    <w:abstractNumId w:val="19"/>
  </w:num>
  <w:num w:numId="14">
    <w:abstractNumId w:val="9"/>
  </w:num>
  <w:num w:numId="15">
    <w:abstractNumId w:val="23"/>
  </w:num>
  <w:num w:numId="16">
    <w:abstractNumId w:val="6"/>
  </w:num>
  <w:num w:numId="17">
    <w:abstractNumId w:val="24"/>
  </w:num>
  <w:num w:numId="18">
    <w:abstractNumId w:val="16"/>
  </w:num>
  <w:num w:numId="19">
    <w:abstractNumId w:val="30"/>
  </w:num>
  <w:num w:numId="20">
    <w:abstractNumId w:val="12"/>
  </w:num>
  <w:num w:numId="21">
    <w:abstractNumId w:val="10"/>
  </w:num>
  <w:num w:numId="22">
    <w:abstractNumId w:val="15"/>
  </w:num>
  <w:num w:numId="23">
    <w:abstractNumId w:val="21"/>
  </w:num>
  <w:num w:numId="24">
    <w:abstractNumId w:val="28"/>
  </w:num>
  <w:num w:numId="25">
    <w:abstractNumId w:val="5"/>
  </w:num>
  <w:num w:numId="26">
    <w:abstractNumId w:val="18"/>
  </w:num>
  <w:num w:numId="27">
    <w:abstractNumId w:val="22"/>
  </w:num>
  <w:num w:numId="28">
    <w:abstractNumId w:val="29"/>
  </w:num>
  <w:num w:numId="29">
    <w:abstractNumId w:val="26"/>
  </w:num>
  <w:num w:numId="30">
    <w:abstractNumId w:val="11"/>
  </w:num>
  <w:num w:numId="31">
    <w:abstractNumId w:val="1"/>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5A15"/>
    <w:rsid w:val="00030174"/>
    <w:rsid w:val="0004579C"/>
    <w:rsid w:val="000717C1"/>
    <w:rsid w:val="00076140"/>
    <w:rsid w:val="00085D0A"/>
    <w:rsid w:val="000A47FA"/>
    <w:rsid w:val="000A65D3"/>
    <w:rsid w:val="000A7ADB"/>
    <w:rsid w:val="000B1E33"/>
    <w:rsid w:val="000D689F"/>
    <w:rsid w:val="000E7B7B"/>
    <w:rsid w:val="000E7D62"/>
    <w:rsid w:val="00103357"/>
    <w:rsid w:val="00123C9F"/>
    <w:rsid w:val="00126190"/>
    <w:rsid w:val="00130F17"/>
    <w:rsid w:val="001320BF"/>
    <w:rsid w:val="00152757"/>
    <w:rsid w:val="00163BC4"/>
    <w:rsid w:val="00191062"/>
    <w:rsid w:val="00192B72"/>
    <w:rsid w:val="0019572B"/>
    <w:rsid w:val="001A29D8"/>
    <w:rsid w:val="001A5CAA"/>
    <w:rsid w:val="001B0427"/>
    <w:rsid w:val="001C0D00"/>
    <w:rsid w:val="001D3A51"/>
    <w:rsid w:val="001E10D2"/>
    <w:rsid w:val="001E25B4"/>
    <w:rsid w:val="001E44FE"/>
    <w:rsid w:val="00200595"/>
    <w:rsid w:val="00204835"/>
    <w:rsid w:val="002060D9"/>
    <w:rsid w:val="00221E5D"/>
    <w:rsid w:val="00231920"/>
    <w:rsid w:val="0023195C"/>
    <w:rsid w:val="002361BE"/>
    <w:rsid w:val="00240676"/>
    <w:rsid w:val="0024282C"/>
    <w:rsid w:val="002460DC"/>
    <w:rsid w:val="00250985"/>
    <w:rsid w:val="0025291E"/>
    <w:rsid w:val="002556F6"/>
    <w:rsid w:val="002757E2"/>
    <w:rsid w:val="00283105"/>
    <w:rsid w:val="00284C4C"/>
    <w:rsid w:val="00287E68"/>
    <w:rsid w:val="00296529"/>
    <w:rsid w:val="002A72C6"/>
    <w:rsid w:val="002B27FB"/>
    <w:rsid w:val="002B685A"/>
    <w:rsid w:val="002C2B71"/>
    <w:rsid w:val="002C57D2"/>
    <w:rsid w:val="002E0D56"/>
    <w:rsid w:val="002E20B5"/>
    <w:rsid w:val="00315186"/>
    <w:rsid w:val="0032167A"/>
    <w:rsid w:val="00332FB4"/>
    <w:rsid w:val="003330F5"/>
    <w:rsid w:val="0033343E"/>
    <w:rsid w:val="003374B7"/>
    <w:rsid w:val="00341FA1"/>
    <w:rsid w:val="003512C2"/>
    <w:rsid w:val="00371FB6"/>
    <w:rsid w:val="003763C1"/>
    <w:rsid w:val="00376BBE"/>
    <w:rsid w:val="00382545"/>
    <w:rsid w:val="0039224F"/>
    <w:rsid w:val="00392301"/>
    <w:rsid w:val="003A43A4"/>
    <w:rsid w:val="003A44CA"/>
    <w:rsid w:val="003A7E18"/>
    <w:rsid w:val="003C4C86"/>
    <w:rsid w:val="003C6258"/>
    <w:rsid w:val="003E2904"/>
    <w:rsid w:val="00401927"/>
    <w:rsid w:val="00405081"/>
    <w:rsid w:val="0041027F"/>
    <w:rsid w:val="004122DE"/>
    <w:rsid w:val="00412475"/>
    <w:rsid w:val="004155FF"/>
    <w:rsid w:val="00423789"/>
    <w:rsid w:val="00440F43"/>
    <w:rsid w:val="00441B6F"/>
    <w:rsid w:val="004426CF"/>
    <w:rsid w:val="00446221"/>
    <w:rsid w:val="00450E62"/>
    <w:rsid w:val="004539DB"/>
    <w:rsid w:val="00471A80"/>
    <w:rsid w:val="004D305E"/>
    <w:rsid w:val="004D4277"/>
    <w:rsid w:val="004E3548"/>
    <w:rsid w:val="004E64D7"/>
    <w:rsid w:val="004F04E5"/>
    <w:rsid w:val="00500811"/>
    <w:rsid w:val="00502516"/>
    <w:rsid w:val="00505F06"/>
    <w:rsid w:val="00506828"/>
    <w:rsid w:val="0053056E"/>
    <w:rsid w:val="0053411E"/>
    <w:rsid w:val="00541C33"/>
    <w:rsid w:val="00550B5A"/>
    <w:rsid w:val="00554FDA"/>
    <w:rsid w:val="00557FCC"/>
    <w:rsid w:val="00570855"/>
    <w:rsid w:val="005768CB"/>
    <w:rsid w:val="005A359D"/>
    <w:rsid w:val="005C784C"/>
    <w:rsid w:val="005D17F6"/>
    <w:rsid w:val="005E5539"/>
    <w:rsid w:val="00602BF5"/>
    <w:rsid w:val="006066DF"/>
    <w:rsid w:val="00617FDD"/>
    <w:rsid w:val="00622C7E"/>
    <w:rsid w:val="00633614"/>
    <w:rsid w:val="00633F68"/>
    <w:rsid w:val="00636EB2"/>
    <w:rsid w:val="006375B8"/>
    <w:rsid w:val="00641A4D"/>
    <w:rsid w:val="0066510A"/>
    <w:rsid w:val="00673F9F"/>
    <w:rsid w:val="0068607C"/>
    <w:rsid w:val="00686953"/>
    <w:rsid w:val="00687DEA"/>
    <w:rsid w:val="00687E67"/>
    <w:rsid w:val="00691C2D"/>
    <w:rsid w:val="006967F7"/>
    <w:rsid w:val="006A250C"/>
    <w:rsid w:val="006A48FE"/>
    <w:rsid w:val="006B21D3"/>
    <w:rsid w:val="006B57D0"/>
    <w:rsid w:val="006D30FF"/>
    <w:rsid w:val="006D6940"/>
    <w:rsid w:val="006E0F51"/>
    <w:rsid w:val="006F11EC"/>
    <w:rsid w:val="0070082C"/>
    <w:rsid w:val="00705966"/>
    <w:rsid w:val="0073059D"/>
    <w:rsid w:val="007369E6"/>
    <w:rsid w:val="00737B6E"/>
    <w:rsid w:val="00746E59"/>
    <w:rsid w:val="00752092"/>
    <w:rsid w:val="00754C9A"/>
    <w:rsid w:val="0075599A"/>
    <w:rsid w:val="00756A4D"/>
    <w:rsid w:val="00757C39"/>
    <w:rsid w:val="00761D52"/>
    <w:rsid w:val="0077749E"/>
    <w:rsid w:val="00781C3B"/>
    <w:rsid w:val="00790ADA"/>
    <w:rsid w:val="007A026A"/>
    <w:rsid w:val="007B4E43"/>
    <w:rsid w:val="007D2288"/>
    <w:rsid w:val="007D5011"/>
    <w:rsid w:val="007E088F"/>
    <w:rsid w:val="007F7B32"/>
    <w:rsid w:val="00804BC2"/>
    <w:rsid w:val="0081431A"/>
    <w:rsid w:val="00821255"/>
    <w:rsid w:val="00827B12"/>
    <w:rsid w:val="0083216F"/>
    <w:rsid w:val="00843B01"/>
    <w:rsid w:val="00847DBA"/>
    <w:rsid w:val="00853173"/>
    <w:rsid w:val="00853C24"/>
    <w:rsid w:val="00860000"/>
    <w:rsid w:val="00863BD3"/>
    <w:rsid w:val="008641ED"/>
    <w:rsid w:val="00866D66"/>
    <w:rsid w:val="008671C6"/>
    <w:rsid w:val="00867744"/>
    <w:rsid w:val="00875803"/>
    <w:rsid w:val="008B0860"/>
    <w:rsid w:val="008B459E"/>
    <w:rsid w:val="008D6D2F"/>
    <w:rsid w:val="008E13AE"/>
    <w:rsid w:val="008E1506"/>
    <w:rsid w:val="008E710C"/>
    <w:rsid w:val="008F69D6"/>
    <w:rsid w:val="008F766C"/>
    <w:rsid w:val="00902823"/>
    <w:rsid w:val="00915CA6"/>
    <w:rsid w:val="00927834"/>
    <w:rsid w:val="00941ABF"/>
    <w:rsid w:val="009500A6"/>
    <w:rsid w:val="00950F61"/>
    <w:rsid w:val="00957C18"/>
    <w:rsid w:val="0096221B"/>
    <w:rsid w:val="009635A3"/>
    <w:rsid w:val="009659BA"/>
    <w:rsid w:val="009760D1"/>
    <w:rsid w:val="00983040"/>
    <w:rsid w:val="009A1D8A"/>
    <w:rsid w:val="009A5468"/>
    <w:rsid w:val="009B34FD"/>
    <w:rsid w:val="009B3FB9"/>
    <w:rsid w:val="009C2465"/>
    <w:rsid w:val="009C306D"/>
    <w:rsid w:val="009C5073"/>
    <w:rsid w:val="009D35A0"/>
    <w:rsid w:val="009D7EB7"/>
    <w:rsid w:val="009E048A"/>
    <w:rsid w:val="009E08E9"/>
    <w:rsid w:val="009E3DB9"/>
    <w:rsid w:val="009E6E35"/>
    <w:rsid w:val="009F0EDA"/>
    <w:rsid w:val="00A03B96"/>
    <w:rsid w:val="00A05B19"/>
    <w:rsid w:val="00A1134E"/>
    <w:rsid w:val="00A24E7E"/>
    <w:rsid w:val="00A258C3"/>
    <w:rsid w:val="00A347C0"/>
    <w:rsid w:val="00A44B1A"/>
    <w:rsid w:val="00A51431"/>
    <w:rsid w:val="00A539AD"/>
    <w:rsid w:val="00A84F7E"/>
    <w:rsid w:val="00A86FCD"/>
    <w:rsid w:val="00A94063"/>
    <w:rsid w:val="00AA15C4"/>
    <w:rsid w:val="00AA6219"/>
    <w:rsid w:val="00AA74E0"/>
    <w:rsid w:val="00AB3A36"/>
    <w:rsid w:val="00AB703F"/>
    <w:rsid w:val="00AC0B8E"/>
    <w:rsid w:val="00AC3803"/>
    <w:rsid w:val="00AC6BB8"/>
    <w:rsid w:val="00AC6FF7"/>
    <w:rsid w:val="00AE008F"/>
    <w:rsid w:val="00AE200B"/>
    <w:rsid w:val="00AF5B72"/>
    <w:rsid w:val="00B01FCD"/>
    <w:rsid w:val="00B15C65"/>
    <w:rsid w:val="00B1776C"/>
    <w:rsid w:val="00B22C3C"/>
    <w:rsid w:val="00B37363"/>
    <w:rsid w:val="00B427F5"/>
    <w:rsid w:val="00B52583"/>
    <w:rsid w:val="00B52896"/>
    <w:rsid w:val="00B86655"/>
    <w:rsid w:val="00B95236"/>
    <w:rsid w:val="00B96BD9"/>
    <w:rsid w:val="00BA1B01"/>
    <w:rsid w:val="00BA2641"/>
    <w:rsid w:val="00BA36F5"/>
    <w:rsid w:val="00BB37AA"/>
    <w:rsid w:val="00BC53A0"/>
    <w:rsid w:val="00BE55FB"/>
    <w:rsid w:val="00BE62AD"/>
    <w:rsid w:val="00BF121F"/>
    <w:rsid w:val="00BF1F80"/>
    <w:rsid w:val="00C166EF"/>
    <w:rsid w:val="00C17EB0"/>
    <w:rsid w:val="00C24607"/>
    <w:rsid w:val="00C27F5F"/>
    <w:rsid w:val="00C30A0F"/>
    <w:rsid w:val="00C37E61"/>
    <w:rsid w:val="00C50AB7"/>
    <w:rsid w:val="00C70F1B"/>
    <w:rsid w:val="00C71A47"/>
    <w:rsid w:val="00C732AE"/>
    <w:rsid w:val="00C7464C"/>
    <w:rsid w:val="00C85588"/>
    <w:rsid w:val="00CD329A"/>
    <w:rsid w:val="00CD6755"/>
    <w:rsid w:val="00CD6856"/>
    <w:rsid w:val="00CE0089"/>
    <w:rsid w:val="00CE793C"/>
    <w:rsid w:val="00CE7A43"/>
    <w:rsid w:val="00CF193C"/>
    <w:rsid w:val="00D11FAE"/>
    <w:rsid w:val="00D173F1"/>
    <w:rsid w:val="00D2435E"/>
    <w:rsid w:val="00D3783E"/>
    <w:rsid w:val="00D74CB0"/>
    <w:rsid w:val="00D8295D"/>
    <w:rsid w:val="00D87512"/>
    <w:rsid w:val="00DA5EB7"/>
    <w:rsid w:val="00DB0E32"/>
    <w:rsid w:val="00DB41E5"/>
    <w:rsid w:val="00DC26D2"/>
    <w:rsid w:val="00DC2A65"/>
    <w:rsid w:val="00DE15F0"/>
    <w:rsid w:val="00DE5663"/>
    <w:rsid w:val="00DE78AA"/>
    <w:rsid w:val="00E053D0"/>
    <w:rsid w:val="00E15994"/>
    <w:rsid w:val="00E3114E"/>
    <w:rsid w:val="00E31A70"/>
    <w:rsid w:val="00E341C4"/>
    <w:rsid w:val="00E35B02"/>
    <w:rsid w:val="00E41BC9"/>
    <w:rsid w:val="00E5504F"/>
    <w:rsid w:val="00E5762D"/>
    <w:rsid w:val="00E66496"/>
    <w:rsid w:val="00E66B35"/>
    <w:rsid w:val="00E66E10"/>
    <w:rsid w:val="00E769F6"/>
    <w:rsid w:val="00E8407C"/>
    <w:rsid w:val="00E84F3C"/>
    <w:rsid w:val="00EA012C"/>
    <w:rsid w:val="00EC6A55"/>
    <w:rsid w:val="00ED0288"/>
    <w:rsid w:val="00ED4984"/>
    <w:rsid w:val="00ED7685"/>
    <w:rsid w:val="00EE52CB"/>
    <w:rsid w:val="00EF581D"/>
    <w:rsid w:val="00EF7FD8"/>
    <w:rsid w:val="00F06F59"/>
    <w:rsid w:val="00F17988"/>
    <w:rsid w:val="00F2593A"/>
    <w:rsid w:val="00F41785"/>
    <w:rsid w:val="00F469F0"/>
    <w:rsid w:val="00F53273"/>
    <w:rsid w:val="00F6663B"/>
    <w:rsid w:val="00F70159"/>
    <w:rsid w:val="00F755E4"/>
    <w:rsid w:val="00F77D02"/>
    <w:rsid w:val="00F81622"/>
    <w:rsid w:val="00FB3A86"/>
    <w:rsid w:val="00FD36C8"/>
    <w:rsid w:val="00FF1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F9CEDD"/>
  <w15:docId w15:val="{AD2E3AE7-794B-4FBA-8EF5-67D495B2B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4">
    <w:name w:val="heading 4"/>
    <w:basedOn w:val="Normal"/>
    <w:next w:val="Normal"/>
    <w:link w:val="Heading4Char"/>
    <w:semiHidden/>
    <w:unhideWhenUsed/>
    <w:qFormat/>
    <w:rsid w:val="001C0D0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1">
    <w:name w:val="Table1"/>
    <w:basedOn w:val="TableNormal"/>
    <w:qFormat/>
    <w:rsid w:val="004E3548"/>
    <w:rPr>
      <w:rFonts w:ascii="Cambria" w:eastAsia="Cambria" w:hAnsi="Cambria" w:cs="Cambria"/>
    </w:rPr>
    <w:tblPr>
      <w:shd w:val="clear" w:color="auto" w:fill="F5F8EE"/>
      <w:tblCellMar>
        <w:left w:w="115" w:type="dxa"/>
        <w:right w:w="115" w:type="dxa"/>
      </w:tblCellMar>
    </w:tblPr>
    <w:tcPr>
      <w:shd w:val="clear" w:color="auto" w:fill="F5F8EE"/>
    </w:tcPr>
  </w:style>
  <w:style w:type="table" w:customStyle="1" w:styleId="GridTable1Light1">
    <w:name w:val="Grid Table 1 Light1"/>
    <w:basedOn w:val="TableNormal"/>
    <w:uiPriority w:val="46"/>
    <w:qFormat/>
    <w:rsid w:val="004E3548"/>
    <w:rPr>
      <w:rFonts w:eastAsia="SimSun"/>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NormalWeb">
    <w:name w:val="Normal (Web)"/>
    <w:qFormat/>
    <w:rsid w:val="004E3548"/>
    <w:pPr>
      <w:spacing w:beforeAutospacing="1" w:afterAutospacing="1" w:line="480" w:lineRule="auto"/>
      <w:ind w:firstLine="720"/>
      <w:jc w:val="both"/>
    </w:pPr>
    <w:rPr>
      <w:rFonts w:ascii="Arial" w:eastAsia="SimSun" w:hAnsi="Arial" w:cs="Arial"/>
      <w:color w:val="000000"/>
      <w:sz w:val="24"/>
      <w:szCs w:val="24"/>
      <w:lang w:eastAsia="zh-CN"/>
    </w:rPr>
  </w:style>
  <w:style w:type="character" w:customStyle="1" w:styleId="Heading4Char">
    <w:name w:val="Heading 4 Char"/>
    <w:basedOn w:val="DefaultParagraphFont"/>
    <w:link w:val="Heading4"/>
    <w:semiHidden/>
    <w:rsid w:val="001C0D00"/>
    <w:rPr>
      <w:rFonts w:asciiTheme="majorHAnsi" w:eastAsiaTheme="majorEastAsia" w:hAnsiTheme="majorHAnsi" w:cstheme="majorBidi"/>
      <w:i/>
      <w:iCs/>
      <w:color w:val="365F91" w:themeColor="accent1" w:themeShade="BF"/>
    </w:rPr>
  </w:style>
  <w:style w:type="table" w:customStyle="1" w:styleId="PlainTable11">
    <w:name w:val="Plain Table 11"/>
    <w:basedOn w:val="TableNormal"/>
    <w:uiPriority w:val="41"/>
    <w:qFormat/>
    <w:rsid w:val="003374B7"/>
    <w:rPr>
      <w:rFonts w:eastAsia="SimSun"/>
    </w:rPr>
    <w:tblP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Pr>
    <w:tblStylePr w:type="firstRow">
      <w:rPr>
        <w:b/>
        <w:bCs/>
      </w:rPr>
    </w:tblStylePr>
    <w:tblStylePr w:type="lastRow">
      <w:rPr>
        <w:b/>
        <w:bCs/>
      </w:rPr>
      <w:tblPr/>
      <w:tcPr>
        <w:tcBorders>
          <w:top w:val="double" w:sz="4" w:space="0" w:color="BEBEBE"/>
        </w:tcBorders>
      </w:tcPr>
    </w:tblStylePr>
    <w:tblStylePr w:type="firstCol">
      <w:rPr>
        <w:b/>
        <w:bCs/>
      </w:rPr>
    </w:tblStylePr>
    <w:tblStylePr w:type="lastCol">
      <w:rPr>
        <w:b/>
        <w:bCs/>
      </w:rPr>
    </w:tblStylePr>
    <w:tblStylePr w:type="band1Vert">
      <w:tblPr/>
      <w:tcPr>
        <w:shd w:val="clear" w:color="auto" w:fill="F1F1F1"/>
      </w:tcPr>
    </w:tblStylePr>
    <w:tblStylePr w:type="band1Horz">
      <w:tblPr/>
      <w:tcPr>
        <w:shd w:val="clear" w:color="auto" w:fill="F1F1F1"/>
      </w:tcPr>
    </w:tblStylePr>
  </w:style>
  <w:style w:type="paragraph" w:styleId="ListParagraph">
    <w:name w:val="List Paragraph"/>
    <w:basedOn w:val="Normal"/>
    <w:uiPriority w:val="34"/>
    <w:qFormat/>
    <w:rsid w:val="009622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23025342">
      <w:bodyDiv w:val="1"/>
      <w:marLeft w:val="0"/>
      <w:marRight w:val="0"/>
      <w:marTop w:val="0"/>
      <w:marBottom w:val="0"/>
      <w:divBdr>
        <w:top w:val="none" w:sz="0" w:space="0" w:color="auto"/>
        <w:left w:val="none" w:sz="0" w:space="0" w:color="auto"/>
        <w:bottom w:val="none" w:sz="0" w:space="0" w:color="auto"/>
        <w:right w:val="none" w:sz="0" w:space="0" w:color="auto"/>
      </w:divBdr>
    </w:div>
    <w:div w:id="39091897">
      <w:bodyDiv w:val="1"/>
      <w:marLeft w:val="0"/>
      <w:marRight w:val="0"/>
      <w:marTop w:val="0"/>
      <w:marBottom w:val="0"/>
      <w:divBdr>
        <w:top w:val="none" w:sz="0" w:space="0" w:color="auto"/>
        <w:left w:val="none" w:sz="0" w:space="0" w:color="auto"/>
        <w:bottom w:val="none" w:sz="0" w:space="0" w:color="auto"/>
        <w:right w:val="none" w:sz="0" w:space="0" w:color="auto"/>
      </w:divBdr>
    </w:div>
    <w:div w:id="43524258">
      <w:bodyDiv w:val="1"/>
      <w:marLeft w:val="0"/>
      <w:marRight w:val="0"/>
      <w:marTop w:val="0"/>
      <w:marBottom w:val="0"/>
      <w:divBdr>
        <w:top w:val="none" w:sz="0" w:space="0" w:color="auto"/>
        <w:left w:val="none" w:sz="0" w:space="0" w:color="auto"/>
        <w:bottom w:val="none" w:sz="0" w:space="0" w:color="auto"/>
        <w:right w:val="none" w:sz="0" w:space="0" w:color="auto"/>
      </w:divBdr>
    </w:div>
    <w:div w:id="54552073">
      <w:bodyDiv w:val="1"/>
      <w:marLeft w:val="0"/>
      <w:marRight w:val="0"/>
      <w:marTop w:val="0"/>
      <w:marBottom w:val="0"/>
      <w:divBdr>
        <w:top w:val="none" w:sz="0" w:space="0" w:color="auto"/>
        <w:left w:val="none" w:sz="0" w:space="0" w:color="auto"/>
        <w:bottom w:val="none" w:sz="0" w:space="0" w:color="auto"/>
        <w:right w:val="none" w:sz="0" w:space="0" w:color="auto"/>
      </w:divBdr>
    </w:div>
    <w:div w:id="71393970">
      <w:bodyDiv w:val="1"/>
      <w:marLeft w:val="0"/>
      <w:marRight w:val="0"/>
      <w:marTop w:val="0"/>
      <w:marBottom w:val="0"/>
      <w:divBdr>
        <w:top w:val="none" w:sz="0" w:space="0" w:color="auto"/>
        <w:left w:val="none" w:sz="0" w:space="0" w:color="auto"/>
        <w:bottom w:val="none" w:sz="0" w:space="0" w:color="auto"/>
        <w:right w:val="none" w:sz="0" w:space="0" w:color="auto"/>
      </w:divBdr>
    </w:div>
    <w:div w:id="78253409">
      <w:bodyDiv w:val="1"/>
      <w:marLeft w:val="0"/>
      <w:marRight w:val="0"/>
      <w:marTop w:val="0"/>
      <w:marBottom w:val="0"/>
      <w:divBdr>
        <w:top w:val="none" w:sz="0" w:space="0" w:color="auto"/>
        <w:left w:val="none" w:sz="0" w:space="0" w:color="auto"/>
        <w:bottom w:val="none" w:sz="0" w:space="0" w:color="auto"/>
        <w:right w:val="none" w:sz="0" w:space="0" w:color="auto"/>
      </w:divBdr>
    </w:div>
    <w:div w:id="94332738">
      <w:bodyDiv w:val="1"/>
      <w:marLeft w:val="0"/>
      <w:marRight w:val="0"/>
      <w:marTop w:val="0"/>
      <w:marBottom w:val="0"/>
      <w:divBdr>
        <w:top w:val="none" w:sz="0" w:space="0" w:color="auto"/>
        <w:left w:val="none" w:sz="0" w:space="0" w:color="auto"/>
        <w:bottom w:val="none" w:sz="0" w:space="0" w:color="auto"/>
        <w:right w:val="none" w:sz="0" w:space="0" w:color="auto"/>
      </w:divBdr>
    </w:div>
    <w:div w:id="105858535">
      <w:bodyDiv w:val="1"/>
      <w:marLeft w:val="0"/>
      <w:marRight w:val="0"/>
      <w:marTop w:val="0"/>
      <w:marBottom w:val="0"/>
      <w:divBdr>
        <w:top w:val="none" w:sz="0" w:space="0" w:color="auto"/>
        <w:left w:val="none" w:sz="0" w:space="0" w:color="auto"/>
        <w:bottom w:val="none" w:sz="0" w:space="0" w:color="auto"/>
        <w:right w:val="none" w:sz="0" w:space="0" w:color="auto"/>
      </w:divBdr>
    </w:div>
    <w:div w:id="126514017">
      <w:bodyDiv w:val="1"/>
      <w:marLeft w:val="0"/>
      <w:marRight w:val="0"/>
      <w:marTop w:val="0"/>
      <w:marBottom w:val="0"/>
      <w:divBdr>
        <w:top w:val="none" w:sz="0" w:space="0" w:color="auto"/>
        <w:left w:val="none" w:sz="0" w:space="0" w:color="auto"/>
        <w:bottom w:val="none" w:sz="0" w:space="0" w:color="auto"/>
        <w:right w:val="none" w:sz="0" w:space="0" w:color="auto"/>
      </w:divBdr>
    </w:div>
    <w:div w:id="145904392">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20797302">
      <w:bodyDiv w:val="1"/>
      <w:marLeft w:val="0"/>
      <w:marRight w:val="0"/>
      <w:marTop w:val="0"/>
      <w:marBottom w:val="0"/>
      <w:divBdr>
        <w:top w:val="none" w:sz="0" w:space="0" w:color="auto"/>
        <w:left w:val="none" w:sz="0" w:space="0" w:color="auto"/>
        <w:bottom w:val="none" w:sz="0" w:space="0" w:color="auto"/>
        <w:right w:val="none" w:sz="0" w:space="0" w:color="auto"/>
      </w:divBdr>
    </w:div>
    <w:div w:id="225143259">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3394142">
      <w:bodyDiv w:val="1"/>
      <w:marLeft w:val="0"/>
      <w:marRight w:val="0"/>
      <w:marTop w:val="0"/>
      <w:marBottom w:val="0"/>
      <w:divBdr>
        <w:top w:val="none" w:sz="0" w:space="0" w:color="auto"/>
        <w:left w:val="none" w:sz="0" w:space="0" w:color="auto"/>
        <w:bottom w:val="none" w:sz="0" w:space="0" w:color="auto"/>
        <w:right w:val="none" w:sz="0" w:space="0" w:color="auto"/>
      </w:divBdr>
    </w:div>
    <w:div w:id="266276054">
      <w:bodyDiv w:val="1"/>
      <w:marLeft w:val="0"/>
      <w:marRight w:val="0"/>
      <w:marTop w:val="0"/>
      <w:marBottom w:val="0"/>
      <w:divBdr>
        <w:top w:val="none" w:sz="0" w:space="0" w:color="auto"/>
        <w:left w:val="none" w:sz="0" w:space="0" w:color="auto"/>
        <w:bottom w:val="none" w:sz="0" w:space="0" w:color="auto"/>
        <w:right w:val="none" w:sz="0" w:space="0" w:color="auto"/>
      </w:divBdr>
    </w:div>
    <w:div w:id="311444138">
      <w:bodyDiv w:val="1"/>
      <w:marLeft w:val="0"/>
      <w:marRight w:val="0"/>
      <w:marTop w:val="0"/>
      <w:marBottom w:val="0"/>
      <w:divBdr>
        <w:top w:val="none" w:sz="0" w:space="0" w:color="auto"/>
        <w:left w:val="none" w:sz="0" w:space="0" w:color="auto"/>
        <w:bottom w:val="none" w:sz="0" w:space="0" w:color="auto"/>
        <w:right w:val="none" w:sz="0" w:space="0" w:color="auto"/>
      </w:divBdr>
    </w:div>
    <w:div w:id="348145010">
      <w:bodyDiv w:val="1"/>
      <w:marLeft w:val="0"/>
      <w:marRight w:val="0"/>
      <w:marTop w:val="0"/>
      <w:marBottom w:val="0"/>
      <w:divBdr>
        <w:top w:val="none" w:sz="0" w:space="0" w:color="auto"/>
        <w:left w:val="none" w:sz="0" w:space="0" w:color="auto"/>
        <w:bottom w:val="none" w:sz="0" w:space="0" w:color="auto"/>
        <w:right w:val="none" w:sz="0" w:space="0" w:color="auto"/>
      </w:divBdr>
    </w:div>
    <w:div w:id="379669289">
      <w:bodyDiv w:val="1"/>
      <w:marLeft w:val="0"/>
      <w:marRight w:val="0"/>
      <w:marTop w:val="0"/>
      <w:marBottom w:val="0"/>
      <w:divBdr>
        <w:top w:val="none" w:sz="0" w:space="0" w:color="auto"/>
        <w:left w:val="none" w:sz="0" w:space="0" w:color="auto"/>
        <w:bottom w:val="none" w:sz="0" w:space="0" w:color="auto"/>
        <w:right w:val="none" w:sz="0" w:space="0" w:color="auto"/>
      </w:divBdr>
    </w:div>
    <w:div w:id="422074826">
      <w:bodyDiv w:val="1"/>
      <w:marLeft w:val="0"/>
      <w:marRight w:val="0"/>
      <w:marTop w:val="0"/>
      <w:marBottom w:val="0"/>
      <w:divBdr>
        <w:top w:val="none" w:sz="0" w:space="0" w:color="auto"/>
        <w:left w:val="none" w:sz="0" w:space="0" w:color="auto"/>
        <w:bottom w:val="none" w:sz="0" w:space="0" w:color="auto"/>
        <w:right w:val="none" w:sz="0" w:space="0" w:color="auto"/>
      </w:divBdr>
    </w:div>
    <w:div w:id="503208291">
      <w:bodyDiv w:val="1"/>
      <w:marLeft w:val="0"/>
      <w:marRight w:val="0"/>
      <w:marTop w:val="0"/>
      <w:marBottom w:val="0"/>
      <w:divBdr>
        <w:top w:val="none" w:sz="0" w:space="0" w:color="auto"/>
        <w:left w:val="none" w:sz="0" w:space="0" w:color="auto"/>
        <w:bottom w:val="none" w:sz="0" w:space="0" w:color="auto"/>
        <w:right w:val="none" w:sz="0" w:space="0" w:color="auto"/>
      </w:divBdr>
    </w:div>
    <w:div w:id="530805386">
      <w:bodyDiv w:val="1"/>
      <w:marLeft w:val="0"/>
      <w:marRight w:val="0"/>
      <w:marTop w:val="0"/>
      <w:marBottom w:val="0"/>
      <w:divBdr>
        <w:top w:val="none" w:sz="0" w:space="0" w:color="auto"/>
        <w:left w:val="none" w:sz="0" w:space="0" w:color="auto"/>
        <w:bottom w:val="none" w:sz="0" w:space="0" w:color="auto"/>
        <w:right w:val="none" w:sz="0" w:space="0" w:color="auto"/>
      </w:divBdr>
    </w:div>
    <w:div w:id="542442976">
      <w:bodyDiv w:val="1"/>
      <w:marLeft w:val="0"/>
      <w:marRight w:val="0"/>
      <w:marTop w:val="0"/>
      <w:marBottom w:val="0"/>
      <w:divBdr>
        <w:top w:val="none" w:sz="0" w:space="0" w:color="auto"/>
        <w:left w:val="none" w:sz="0" w:space="0" w:color="auto"/>
        <w:bottom w:val="none" w:sz="0" w:space="0" w:color="auto"/>
        <w:right w:val="none" w:sz="0" w:space="0" w:color="auto"/>
      </w:divBdr>
    </w:div>
    <w:div w:id="595290048">
      <w:bodyDiv w:val="1"/>
      <w:marLeft w:val="0"/>
      <w:marRight w:val="0"/>
      <w:marTop w:val="0"/>
      <w:marBottom w:val="0"/>
      <w:divBdr>
        <w:top w:val="none" w:sz="0" w:space="0" w:color="auto"/>
        <w:left w:val="none" w:sz="0" w:space="0" w:color="auto"/>
        <w:bottom w:val="none" w:sz="0" w:space="0" w:color="auto"/>
        <w:right w:val="none" w:sz="0" w:space="0" w:color="auto"/>
      </w:divBdr>
    </w:div>
    <w:div w:id="605356178">
      <w:bodyDiv w:val="1"/>
      <w:marLeft w:val="0"/>
      <w:marRight w:val="0"/>
      <w:marTop w:val="0"/>
      <w:marBottom w:val="0"/>
      <w:divBdr>
        <w:top w:val="none" w:sz="0" w:space="0" w:color="auto"/>
        <w:left w:val="none" w:sz="0" w:space="0" w:color="auto"/>
        <w:bottom w:val="none" w:sz="0" w:space="0" w:color="auto"/>
        <w:right w:val="none" w:sz="0" w:space="0" w:color="auto"/>
      </w:divBdr>
    </w:div>
    <w:div w:id="613437802">
      <w:bodyDiv w:val="1"/>
      <w:marLeft w:val="0"/>
      <w:marRight w:val="0"/>
      <w:marTop w:val="0"/>
      <w:marBottom w:val="0"/>
      <w:divBdr>
        <w:top w:val="none" w:sz="0" w:space="0" w:color="auto"/>
        <w:left w:val="none" w:sz="0" w:space="0" w:color="auto"/>
        <w:bottom w:val="none" w:sz="0" w:space="0" w:color="auto"/>
        <w:right w:val="none" w:sz="0" w:space="0" w:color="auto"/>
      </w:divBdr>
    </w:div>
    <w:div w:id="63506243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60238678">
      <w:bodyDiv w:val="1"/>
      <w:marLeft w:val="0"/>
      <w:marRight w:val="0"/>
      <w:marTop w:val="0"/>
      <w:marBottom w:val="0"/>
      <w:divBdr>
        <w:top w:val="none" w:sz="0" w:space="0" w:color="auto"/>
        <w:left w:val="none" w:sz="0" w:space="0" w:color="auto"/>
        <w:bottom w:val="none" w:sz="0" w:space="0" w:color="auto"/>
        <w:right w:val="none" w:sz="0" w:space="0" w:color="auto"/>
      </w:divBdr>
    </w:div>
    <w:div w:id="796879068">
      <w:bodyDiv w:val="1"/>
      <w:marLeft w:val="0"/>
      <w:marRight w:val="0"/>
      <w:marTop w:val="0"/>
      <w:marBottom w:val="0"/>
      <w:divBdr>
        <w:top w:val="none" w:sz="0" w:space="0" w:color="auto"/>
        <w:left w:val="none" w:sz="0" w:space="0" w:color="auto"/>
        <w:bottom w:val="none" w:sz="0" w:space="0" w:color="auto"/>
        <w:right w:val="none" w:sz="0" w:space="0" w:color="auto"/>
      </w:divBdr>
    </w:div>
    <w:div w:id="826628163">
      <w:bodyDiv w:val="1"/>
      <w:marLeft w:val="0"/>
      <w:marRight w:val="0"/>
      <w:marTop w:val="0"/>
      <w:marBottom w:val="0"/>
      <w:divBdr>
        <w:top w:val="none" w:sz="0" w:space="0" w:color="auto"/>
        <w:left w:val="none" w:sz="0" w:space="0" w:color="auto"/>
        <w:bottom w:val="none" w:sz="0" w:space="0" w:color="auto"/>
        <w:right w:val="none" w:sz="0" w:space="0" w:color="auto"/>
      </w:divBdr>
    </w:div>
    <w:div w:id="830675535">
      <w:bodyDiv w:val="1"/>
      <w:marLeft w:val="0"/>
      <w:marRight w:val="0"/>
      <w:marTop w:val="0"/>
      <w:marBottom w:val="0"/>
      <w:divBdr>
        <w:top w:val="none" w:sz="0" w:space="0" w:color="auto"/>
        <w:left w:val="none" w:sz="0" w:space="0" w:color="auto"/>
        <w:bottom w:val="none" w:sz="0" w:space="0" w:color="auto"/>
        <w:right w:val="none" w:sz="0" w:space="0" w:color="auto"/>
      </w:divBdr>
    </w:div>
    <w:div w:id="833573704">
      <w:bodyDiv w:val="1"/>
      <w:marLeft w:val="0"/>
      <w:marRight w:val="0"/>
      <w:marTop w:val="0"/>
      <w:marBottom w:val="0"/>
      <w:divBdr>
        <w:top w:val="none" w:sz="0" w:space="0" w:color="auto"/>
        <w:left w:val="none" w:sz="0" w:space="0" w:color="auto"/>
        <w:bottom w:val="none" w:sz="0" w:space="0" w:color="auto"/>
        <w:right w:val="none" w:sz="0" w:space="0" w:color="auto"/>
      </w:divBdr>
    </w:div>
    <w:div w:id="840268662">
      <w:bodyDiv w:val="1"/>
      <w:marLeft w:val="0"/>
      <w:marRight w:val="0"/>
      <w:marTop w:val="0"/>
      <w:marBottom w:val="0"/>
      <w:divBdr>
        <w:top w:val="none" w:sz="0" w:space="0" w:color="auto"/>
        <w:left w:val="none" w:sz="0" w:space="0" w:color="auto"/>
        <w:bottom w:val="none" w:sz="0" w:space="0" w:color="auto"/>
        <w:right w:val="none" w:sz="0" w:space="0" w:color="auto"/>
      </w:divBdr>
    </w:div>
    <w:div w:id="856315443">
      <w:bodyDiv w:val="1"/>
      <w:marLeft w:val="0"/>
      <w:marRight w:val="0"/>
      <w:marTop w:val="0"/>
      <w:marBottom w:val="0"/>
      <w:divBdr>
        <w:top w:val="none" w:sz="0" w:space="0" w:color="auto"/>
        <w:left w:val="none" w:sz="0" w:space="0" w:color="auto"/>
        <w:bottom w:val="none" w:sz="0" w:space="0" w:color="auto"/>
        <w:right w:val="none" w:sz="0" w:space="0" w:color="auto"/>
      </w:divBdr>
    </w:div>
    <w:div w:id="862475018">
      <w:bodyDiv w:val="1"/>
      <w:marLeft w:val="0"/>
      <w:marRight w:val="0"/>
      <w:marTop w:val="0"/>
      <w:marBottom w:val="0"/>
      <w:divBdr>
        <w:top w:val="none" w:sz="0" w:space="0" w:color="auto"/>
        <w:left w:val="none" w:sz="0" w:space="0" w:color="auto"/>
        <w:bottom w:val="none" w:sz="0" w:space="0" w:color="auto"/>
        <w:right w:val="none" w:sz="0" w:space="0" w:color="auto"/>
      </w:divBdr>
    </w:div>
    <w:div w:id="867064844">
      <w:bodyDiv w:val="1"/>
      <w:marLeft w:val="0"/>
      <w:marRight w:val="0"/>
      <w:marTop w:val="0"/>
      <w:marBottom w:val="0"/>
      <w:divBdr>
        <w:top w:val="none" w:sz="0" w:space="0" w:color="auto"/>
        <w:left w:val="none" w:sz="0" w:space="0" w:color="auto"/>
        <w:bottom w:val="none" w:sz="0" w:space="0" w:color="auto"/>
        <w:right w:val="none" w:sz="0" w:space="0" w:color="auto"/>
      </w:divBdr>
    </w:div>
    <w:div w:id="867453673">
      <w:bodyDiv w:val="1"/>
      <w:marLeft w:val="0"/>
      <w:marRight w:val="0"/>
      <w:marTop w:val="0"/>
      <w:marBottom w:val="0"/>
      <w:divBdr>
        <w:top w:val="none" w:sz="0" w:space="0" w:color="auto"/>
        <w:left w:val="none" w:sz="0" w:space="0" w:color="auto"/>
        <w:bottom w:val="none" w:sz="0" w:space="0" w:color="auto"/>
        <w:right w:val="none" w:sz="0" w:space="0" w:color="auto"/>
      </w:divBdr>
    </w:div>
    <w:div w:id="889076607">
      <w:bodyDiv w:val="1"/>
      <w:marLeft w:val="0"/>
      <w:marRight w:val="0"/>
      <w:marTop w:val="0"/>
      <w:marBottom w:val="0"/>
      <w:divBdr>
        <w:top w:val="none" w:sz="0" w:space="0" w:color="auto"/>
        <w:left w:val="none" w:sz="0" w:space="0" w:color="auto"/>
        <w:bottom w:val="none" w:sz="0" w:space="0" w:color="auto"/>
        <w:right w:val="none" w:sz="0" w:space="0" w:color="auto"/>
      </w:divBdr>
    </w:div>
    <w:div w:id="925844193">
      <w:bodyDiv w:val="1"/>
      <w:marLeft w:val="0"/>
      <w:marRight w:val="0"/>
      <w:marTop w:val="0"/>
      <w:marBottom w:val="0"/>
      <w:divBdr>
        <w:top w:val="none" w:sz="0" w:space="0" w:color="auto"/>
        <w:left w:val="none" w:sz="0" w:space="0" w:color="auto"/>
        <w:bottom w:val="none" w:sz="0" w:space="0" w:color="auto"/>
        <w:right w:val="none" w:sz="0" w:space="0" w:color="auto"/>
      </w:divBdr>
      <w:divsChild>
        <w:div w:id="1123962857">
          <w:marLeft w:val="0"/>
          <w:marRight w:val="0"/>
          <w:marTop w:val="0"/>
          <w:marBottom w:val="0"/>
          <w:divBdr>
            <w:top w:val="none" w:sz="0" w:space="0" w:color="auto"/>
            <w:left w:val="none" w:sz="0" w:space="0" w:color="auto"/>
            <w:bottom w:val="none" w:sz="0" w:space="0" w:color="auto"/>
            <w:right w:val="none" w:sz="0" w:space="0" w:color="auto"/>
          </w:divBdr>
        </w:div>
      </w:divsChild>
    </w:div>
    <w:div w:id="98018532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7464641">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2050018">
      <w:bodyDiv w:val="1"/>
      <w:marLeft w:val="0"/>
      <w:marRight w:val="0"/>
      <w:marTop w:val="0"/>
      <w:marBottom w:val="0"/>
      <w:divBdr>
        <w:top w:val="none" w:sz="0" w:space="0" w:color="auto"/>
        <w:left w:val="none" w:sz="0" w:space="0" w:color="auto"/>
        <w:bottom w:val="none" w:sz="0" w:space="0" w:color="auto"/>
        <w:right w:val="none" w:sz="0" w:space="0" w:color="auto"/>
      </w:divBdr>
    </w:div>
    <w:div w:id="1024482900">
      <w:bodyDiv w:val="1"/>
      <w:marLeft w:val="0"/>
      <w:marRight w:val="0"/>
      <w:marTop w:val="0"/>
      <w:marBottom w:val="0"/>
      <w:divBdr>
        <w:top w:val="none" w:sz="0" w:space="0" w:color="auto"/>
        <w:left w:val="none" w:sz="0" w:space="0" w:color="auto"/>
        <w:bottom w:val="none" w:sz="0" w:space="0" w:color="auto"/>
        <w:right w:val="none" w:sz="0" w:space="0" w:color="auto"/>
      </w:divBdr>
    </w:div>
    <w:div w:id="1037388421">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0391965">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7482529">
      <w:bodyDiv w:val="1"/>
      <w:marLeft w:val="0"/>
      <w:marRight w:val="0"/>
      <w:marTop w:val="0"/>
      <w:marBottom w:val="0"/>
      <w:divBdr>
        <w:top w:val="none" w:sz="0" w:space="0" w:color="auto"/>
        <w:left w:val="none" w:sz="0" w:space="0" w:color="auto"/>
        <w:bottom w:val="none" w:sz="0" w:space="0" w:color="auto"/>
        <w:right w:val="none" w:sz="0" w:space="0" w:color="auto"/>
      </w:divBdr>
    </w:div>
    <w:div w:id="1156997716">
      <w:bodyDiv w:val="1"/>
      <w:marLeft w:val="0"/>
      <w:marRight w:val="0"/>
      <w:marTop w:val="0"/>
      <w:marBottom w:val="0"/>
      <w:divBdr>
        <w:top w:val="none" w:sz="0" w:space="0" w:color="auto"/>
        <w:left w:val="none" w:sz="0" w:space="0" w:color="auto"/>
        <w:bottom w:val="none" w:sz="0" w:space="0" w:color="auto"/>
        <w:right w:val="none" w:sz="0" w:space="0" w:color="auto"/>
      </w:divBdr>
    </w:div>
    <w:div w:id="1161697114">
      <w:bodyDiv w:val="1"/>
      <w:marLeft w:val="0"/>
      <w:marRight w:val="0"/>
      <w:marTop w:val="0"/>
      <w:marBottom w:val="0"/>
      <w:divBdr>
        <w:top w:val="none" w:sz="0" w:space="0" w:color="auto"/>
        <w:left w:val="none" w:sz="0" w:space="0" w:color="auto"/>
        <w:bottom w:val="none" w:sz="0" w:space="0" w:color="auto"/>
        <w:right w:val="none" w:sz="0" w:space="0" w:color="auto"/>
      </w:divBdr>
    </w:div>
    <w:div w:id="1163354638">
      <w:bodyDiv w:val="1"/>
      <w:marLeft w:val="0"/>
      <w:marRight w:val="0"/>
      <w:marTop w:val="0"/>
      <w:marBottom w:val="0"/>
      <w:divBdr>
        <w:top w:val="none" w:sz="0" w:space="0" w:color="auto"/>
        <w:left w:val="none" w:sz="0" w:space="0" w:color="auto"/>
        <w:bottom w:val="none" w:sz="0" w:space="0" w:color="auto"/>
        <w:right w:val="none" w:sz="0" w:space="0" w:color="auto"/>
      </w:divBdr>
    </w:div>
    <w:div w:id="1165047278">
      <w:bodyDiv w:val="1"/>
      <w:marLeft w:val="0"/>
      <w:marRight w:val="0"/>
      <w:marTop w:val="0"/>
      <w:marBottom w:val="0"/>
      <w:divBdr>
        <w:top w:val="none" w:sz="0" w:space="0" w:color="auto"/>
        <w:left w:val="none" w:sz="0" w:space="0" w:color="auto"/>
        <w:bottom w:val="none" w:sz="0" w:space="0" w:color="auto"/>
        <w:right w:val="none" w:sz="0" w:space="0" w:color="auto"/>
      </w:divBdr>
    </w:div>
    <w:div w:id="1230575558">
      <w:bodyDiv w:val="1"/>
      <w:marLeft w:val="0"/>
      <w:marRight w:val="0"/>
      <w:marTop w:val="0"/>
      <w:marBottom w:val="0"/>
      <w:divBdr>
        <w:top w:val="none" w:sz="0" w:space="0" w:color="auto"/>
        <w:left w:val="none" w:sz="0" w:space="0" w:color="auto"/>
        <w:bottom w:val="none" w:sz="0" w:space="0" w:color="auto"/>
        <w:right w:val="none" w:sz="0" w:space="0" w:color="auto"/>
      </w:divBdr>
    </w:div>
    <w:div w:id="1232423070">
      <w:bodyDiv w:val="1"/>
      <w:marLeft w:val="0"/>
      <w:marRight w:val="0"/>
      <w:marTop w:val="0"/>
      <w:marBottom w:val="0"/>
      <w:divBdr>
        <w:top w:val="none" w:sz="0" w:space="0" w:color="auto"/>
        <w:left w:val="none" w:sz="0" w:space="0" w:color="auto"/>
        <w:bottom w:val="none" w:sz="0" w:space="0" w:color="auto"/>
        <w:right w:val="none" w:sz="0" w:space="0" w:color="auto"/>
      </w:divBdr>
    </w:div>
    <w:div w:id="1247837056">
      <w:bodyDiv w:val="1"/>
      <w:marLeft w:val="0"/>
      <w:marRight w:val="0"/>
      <w:marTop w:val="0"/>
      <w:marBottom w:val="0"/>
      <w:divBdr>
        <w:top w:val="none" w:sz="0" w:space="0" w:color="auto"/>
        <w:left w:val="none" w:sz="0" w:space="0" w:color="auto"/>
        <w:bottom w:val="none" w:sz="0" w:space="0" w:color="auto"/>
        <w:right w:val="none" w:sz="0" w:space="0" w:color="auto"/>
      </w:divBdr>
    </w:div>
    <w:div w:id="1263688521">
      <w:bodyDiv w:val="1"/>
      <w:marLeft w:val="0"/>
      <w:marRight w:val="0"/>
      <w:marTop w:val="0"/>
      <w:marBottom w:val="0"/>
      <w:divBdr>
        <w:top w:val="none" w:sz="0" w:space="0" w:color="auto"/>
        <w:left w:val="none" w:sz="0" w:space="0" w:color="auto"/>
        <w:bottom w:val="none" w:sz="0" w:space="0" w:color="auto"/>
        <w:right w:val="none" w:sz="0" w:space="0" w:color="auto"/>
      </w:divBdr>
    </w:div>
    <w:div w:id="1264266202">
      <w:bodyDiv w:val="1"/>
      <w:marLeft w:val="0"/>
      <w:marRight w:val="0"/>
      <w:marTop w:val="0"/>
      <w:marBottom w:val="0"/>
      <w:divBdr>
        <w:top w:val="none" w:sz="0" w:space="0" w:color="auto"/>
        <w:left w:val="none" w:sz="0" w:space="0" w:color="auto"/>
        <w:bottom w:val="none" w:sz="0" w:space="0" w:color="auto"/>
        <w:right w:val="none" w:sz="0" w:space="0" w:color="auto"/>
      </w:divBdr>
    </w:div>
    <w:div w:id="1290668570">
      <w:bodyDiv w:val="1"/>
      <w:marLeft w:val="0"/>
      <w:marRight w:val="0"/>
      <w:marTop w:val="0"/>
      <w:marBottom w:val="0"/>
      <w:divBdr>
        <w:top w:val="none" w:sz="0" w:space="0" w:color="auto"/>
        <w:left w:val="none" w:sz="0" w:space="0" w:color="auto"/>
        <w:bottom w:val="none" w:sz="0" w:space="0" w:color="auto"/>
        <w:right w:val="none" w:sz="0" w:space="0" w:color="auto"/>
      </w:divBdr>
    </w:div>
    <w:div w:id="1323512090">
      <w:bodyDiv w:val="1"/>
      <w:marLeft w:val="0"/>
      <w:marRight w:val="0"/>
      <w:marTop w:val="0"/>
      <w:marBottom w:val="0"/>
      <w:divBdr>
        <w:top w:val="none" w:sz="0" w:space="0" w:color="auto"/>
        <w:left w:val="none" w:sz="0" w:space="0" w:color="auto"/>
        <w:bottom w:val="none" w:sz="0" w:space="0" w:color="auto"/>
        <w:right w:val="none" w:sz="0" w:space="0" w:color="auto"/>
      </w:divBdr>
    </w:div>
    <w:div w:id="1340883962">
      <w:bodyDiv w:val="1"/>
      <w:marLeft w:val="0"/>
      <w:marRight w:val="0"/>
      <w:marTop w:val="0"/>
      <w:marBottom w:val="0"/>
      <w:divBdr>
        <w:top w:val="none" w:sz="0" w:space="0" w:color="auto"/>
        <w:left w:val="none" w:sz="0" w:space="0" w:color="auto"/>
        <w:bottom w:val="none" w:sz="0" w:space="0" w:color="auto"/>
        <w:right w:val="none" w:sz="0" w:space="0" w:color="auto"/>
      </w:divBdr>
    </w:div>
    <w:div w:id="1363168028">
      <w:bodyDiv w:val="1"/>
      <w:marLeft w:val="0"/>
      <w:marRight w:val="0"/>
      <w:marTop w:val="0"/>
      <w:marBottom w:val="0"/>
      <w:divBdr>
        <w:top w:val="none" w:sz="0" w:space="0" w:color="auto"/>
        <w:left w:val="none" w:sz="0" w:space="0" w:color="auto"/>
        <w:bottom w:val="none" w:sz="0" w:space="0" w:color="auto"/>
        <w:right w:val="none" w:sz="0" w:space="0" w:color="auto"/>
      </w:divBdr>
    </w:div>
    <w:div w:id="1375041441">
      <w:bodyDiv w:val="1"/>
      <w:marLeft w:val="0"/>
      <w:marRight w:val="0"/>
      <w:marTop w:val="0"/>
      <w:marBottom w:val="0"/>
      <w:divBdr>
        <w:top w:val="none" w:sz="0" w:space="0" w:color="auto"/>
        <w:left w:val="none" w:sz="0" w:space="0" w:color="auto"/>
        <w:bottom w:val="none" w:sz="0" w:space="0" w:color="auto"/>
        <w:right w:val="none" w:sz="0" w:space="0" w:color="auto"/>
      </w:divBdr>
      <w:divsChild>
        <w:div w:id="1028723932">
          <w:marLeft w:val="0"/>
          <w:marRight w:val="0"/>
          <w:marTop w:val="0"/>
          <w:marBottom w:val="0"/>
          <w:divBdr>
            <w:top w:val="none" w:sz="0" w:space="0" w:color="auto"/>
            <w:left w:val="none" w:sz="0" w:space="0" w:color="auto"/>
            <w:bottom w:val="none" w:sz="0" w:space="0" w:color="auto"/>
            <w:right w:val="none" w:sz="0" w:space="0" w:color="auto"/>
          </w:divBdr>
        </w:div>
      </w:divsChild>
    </w:div>
    <w:div w:id="1385638825">
      <w:bodyDiv w:val="1"/>
      <w:marLeft w:val="0"/>
      <w:marRight w:val="0"/>
      <w:marTop w:val="0"/>
      <w:marBottom w:val="0"/>
      <w:divBdr>
        <w:top w:val="none" w:sz="0" w:space="0" w:color="auto"/>
        <w:left w:val="none" w:sz="0" w:space="0" w:color="auto"/>
        <w:bottom w:val="none" w:sz="0" w:space="0" w:color="auto"/>
        <w:right w:val="none" w:sz="0" w:space="0" w:color="auto"/>
      </w:divBdr>
    </w:div>
    <w:div w:id="1394278444">
      <w:bodyDiv w:val="1"/>
      <w:marLeft w:val="0"/>
      <w:marRight w:val="0"/>
      <w:marTop w:val="0"/>
      <w:marBottom w:val="0"/>
      <w:divBdr>
        <w:top w:val="none" w:sz="0" w:space="0" w:color="auto"/>
        <w:left w:val="none" w:sz="0" w:space="0" w:color="auto"/>
        <w:bottom w:val="none" w:sz="0" w:space="0" w:color="auto"/>
        <w:right w:val="none" w:sz="0" w:space="0" w:color="auto"/>
      </w:divBdr>
    </w:div>
    <w:div w:id="1398164473">
      <w:bodyDiv w:val="1"/>
      <w:marLeft w:val="0"/>
      <w:marRight w:val="0"/>
      <w:marTop w:val="0"/>
      <w:marBottom w:val="0"/>
      <w:divBdr>
        <w:top w:val="none" w:sz="0" w:space="0" w:color="auto"/>
        <w:left w:val="none" w:sz="0" w:space="0" w:color="auto"/>
        <w:bottom w:val="none" w:sz="0" w:space="0" w:color="auto"/>
        <w:right w:val="none" w:sz="0" w:space="0" w:color="auto"/>
      </w:divBdr>
    </w:div>
    <w:div w:id="1400054864">
      <w:bodyDiv w:val="1"/>
      <w:marLeft w:val="0"/>
      <w:marRight w:val="0"/>
      <w:marTop w:val="0"/>
      <w:marBottom w:val="0"/>
      <w:divBdr>
        <w:top w:val="none" w:sz="0" w:space="0" w:color="auto"/>
        <w:left w:val="none" w:sz="0" w:space="0" w:color="auto"/>
        <w:bottom w:val="none" w:sz="0" w:space="0" w:color="auto"/>
        <w:right w:val="none" w:sz="0" w:space="0" w:color="auto"/>
      </w:divBdr>
    </w:div>
    <w:div w:id="1430932034">
      <w:bodyDiv w:val="1"/>
      <w:marLeft w:val="0"/>
      <w:marRight w:val="0"/>
      <w:marTop w:val="0"/>
      <w:marBottom w:val="0"/>
      <w:divBdr>
        <w:top w:val="none" w:sz="0" w:space="0" w:color="auto"/>
        <w:left w:val="none" w:sz="0" w:space="0" w:color="auto"/>
        <w:bottom w:val="none" w:sz="0" w:space="0" w:color="auto"/>
        <w:right w:val="none" w:sz="0" w:space="0" w:color="auto"/>
      </w:divBdr>
    </w:div>
    <w:div w:id="1451783317">
      <w:bodyDiv w:val="1"/>
      <w:marLeft w:val="0"/>
      <w:marRight w:val="0"/>
      <w:marTop w:val="0"/>
      <w:marBottom w:val="0"/>
      <w:divBdr>
        <w:top w:val="none" w:sz="0" w:space="0" w:color="auto"/>
        <w:left w:val="none" w:sz="0" w:space="0" w:color="auto"/>
        <w:bottom w:val="none" w:sz="0" w:space="0" w:color="auto"/>
        <w:right w:val="none" w:sz="0" w:space="0" w:color="auto"/>
      </w:divBdr>
    </w:div>
    <w:div w:id="1475833217">
      <w:bodyDiv w:val="1"/>
      <w:marLeft w:val="0"/>
      <w:marRight w:val="0"/>
      <w:marTop w:val="0"/>
      <w:marBottom w:val="0"/>
      <w:divBdr>
        <w:top w:val="none" w:sz="0" w:space="0" w:color="auto"/>
        <w:left w:val="none" w:sz="0" w:space="0" w:color="auto"/>
        <w:bottom w:val="none" w:sz="0" w:space="0" w:color="auto"/>
        <w:right w:val="none" w:sz="0" w:space="0" w:color="auto"/>
      </w:divBdr>
    </w:div>
    <w:div w:id="1635258132">
      <w:bodyDiv w:val="1"/>
      <w:marLeft w:val="0"/>
      <w:marRight w:val="0"/>
      <w:marTop w:val="0"/>
      <w:marBottom w:val="0"/>
      <w:divBdr>
        <w:top w:val="none" w:sz="0" w:space="0" w:color="auto"/>
        <w:left w:val="none" w:sz="0" w:space="0" w:color="auto"/>
        <w:bottom w:val="none" w:sz="0" w:space="0" w:color="auto"/>
        <w:right w:val="none" w:sz="0" w:space="0" w:color="auto"/>
      </w:divBdr>
    </w:div>
    <w:div w:id="1635909915">
      <w:bodyDiv w:val="1"/>
      <w:marLeft w:val="0"/>
      <w:marRight w:val="0"/>
      <w:marTop w:val="0"/>
      <w:marBottom w:val="0"/>
      <w:divBdr>
        <w:top w:val="none" w:sz="0" w:space="0" w:color="auto"/>
        <w:left w:val="none" w:sz="0" w:space="0" w:color="auto"/>
        <w:bottom w:val="none" w:sz="0" w:space="0" w:color="auto"/>
        <w:right w:val="none" w:sz="0" w:space="0" w:color="auto"/>
      </w:divBdr>
    </w:div>
    <w:div w:id="1638338027">
      <w:bodyDiv w:val="1"/>
      <w:marLeft w:val="0"/>
      <w:marRight w:val="0"/>
      <w:marTop w:val="0"/>
      <w:marBottom w:val="0"/>
      <w:divBdr>
        <w:top w:val="none" w:sz="0" w:space="0" w:color="auto"/>
        <w:left w:val="none" w:sz="0" w:space="0" w:color="auto"/>
        <w:bottom w:val="none" w:sz="0" w:space="0" w:color="auto"/>
        <w:right w:val="none" w:sz="0" w:space="0" w:color="auto"/>
      </w:divBdr>
    </w:div>
    <w:div w:id="1662268598">
      <w:bodyDiv w:val="1"/>
      <w:marLeft w:val="0"/>
      <w:marRight w:val="0"/>
      <w:marTop w:val="0"/>
      <w:marBottom w:val="0"/>
      <w:divBdr>
        <w:top w:val="none" w:sz="0" w:space="0" w:color="auto"/>
        <w:left w:val="none" w:sz="0" w:space="0" w:color="auto"/>
        <w:bottom w:val="none" w:sz="0" w:space="0" w:color="auto"/>
        <w:right w:val="none" w:sz="0" w:space="0" w:color="auto"/>
      </w:divBdr>
    </w:div>
    <w:div w:id="1663385166">
      <w:bodyDiv w:val="1"/>
      <w:marLeft w:val="0"/>
      <w:marRight w:val="0"/>
      <w:marTop w:val="0"/>
      <w:marBottom w:val="0"/>
      <w:divBdr>
        <w:top w:val="none" w:sz="0" w:space="0" w:color="auto"/>
        <w:left w:val="none" w:sz="0" w:space="0" w:color="auto"/>
        <w:bottom w:val="none" w:sz="0" w:space="0" w:color="auto"/>
        <w:right w:val="none" w:sz="0" w:space="0" w:color="auto"/>
      </w:divBdr>
    </w:div>
    <w:div w:id="169943061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6973944">
      <w:bodyDiv w:val="1"/>
      <w:marLeft w:val="0"/>
      <w:marRight w:val="0"/>
      <w:marTop w:val="0"/>
      <w:marBottom w:val="0"/>
      <w:divBdr>
        <w:top w:val="none" w:sz="0" w:space="0" w:color="auto"/>
        <w:left w:val="none" w:sz="0" w:space="0" w:color="auto"/>
        <w:bottom w:val="none" w:sz="0" w:space="0" w:color="auto"/>
        <w:right w:val="none" w:sz="0" w:space="0" w:color="auto"/>
      </w:divBdr>
    </w:div>
    <w:div w:id="1807700551">
      <w:bodyDiv w:val="1"/>
      <w:marLeft w:val="0"/>
      <w:marRight w:val="0"/>
      <w:marTop w:val="0"/>
      <w:marBottom w:val="0"/>
      <w:divBdr>
        <w:top w:val="none" w:sz="0" w:space="0" w:color="auto"/>
        <w:left w:val="none" w:sz="0" w:space="0" w:color="auto"/>
        <w:bottom w:val="none" w:sz="0" w:space="0" w:color="auto"/>
        <w:right w:val="none" w:sz="0" w:space="0" w:color="auto"/>
      </w:divBdr>
    </w:div>
    <w:div w:id="1870337744">
      <w:bodyDiv w:val="1"/>
      <w:marLeft w:val="0"/>
      <w:marRight w:val="0"/>
      <w:marTop w:val="0"/>
      <w:marBottom w:val="0"/>
      <w:divBdr>
        <w:top w:val="none" w:sz="0" w:space="0" w:color="auto"/>
        <w:left w:val="none" w:sz="0" w:space="0" w:color="auto"/>
        <w:bottom w:val="none" w:sz="0" w:space="0" w:color="auto"/>
        <w:right w:val="none" w:sz="0" w:space="0" w:color="auto"/>
      </w:divBdr>
    </w:div>
    <w:div w:id="1895196060">
      <w:bodyDiv w:val="1"/>
      <w:marLeft w:val="0"/>
      <w:marRight w:val="0"/>
      <w:marTop w:val="0"/>
      <w:marBottom w:val="0"/>
      <w:divBdr>
        <w:top w:val="none" w:sz="0" w:space="0" w:color="auto"/>
        <w:left w:val="none" w:sz="0" w:space="0" w:color="auto"/>
        <w:bottom w:val="none" w:sz="0" w:space="0" w:color="auto"/>
        <w:right w:val="none" w:sz="0" w:space="0" w:color="auto"/>
      </w:divBdr>
    </w:div>
    <w:div w:id="1900433524">
      <w:bodyDiv w:val="1"/>
      <w:marLeft w:val="0"/>
      <w:marRight w:val="0"/>
      <w:marTop w:val="0"/>
      <w:marBottom w:val="0"/>
      <w:divBdr>
        <w:top w:val="none" w:sz="0" w:space="0" w:color="auto"/>
        <w:left w:val="none" w:sz="0" w:space="0" w:color="auto"/>
        <w:bottom w:val="none" w:sz="0" w:space="0" w:color="auto"/>
        <w:right w:val="none" w:sz="0" w:space="0" w:color="auto"/>
      </w:divBdr>
    </w:div>
    <w:div w:id="1901791928">
      <w:bodyDiv w:val="1"/>
      <w:marLeft w:val="0"/>
      <w:marRight w:val="0"/>
      <w:marTop w:val="0"/>
      <w:marBottom w:val="0"/>
      <w:divBdr>
        <w:top w:val="none" w:sz="0" w:space="0" w:color="auto"/>
        <w:left w:val="none" w:sz="0" w:space="0" w:color="auto"/>
        <w:bottom w:val="none" w:sz="0" w:space="0" w:color="auto"/>
        <w:right w:val="none" w:sz="0" w:space="0" w:color="auto"/>
      </w:divBdr>
    </w:div>
    <w:div w:id="1907690263">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34645271">
      <w:bodyDiv w:val="1"/>
      <w:marLeft w:val="0"/>
      <w:marRight w:val="0"/>
      <w:marTop w:val="0"/>
      <w:marBottom w:val="0"/>
      <w:divBdr>
        <w:top w:val="none" w:sz="0" w:space="0" w:color="auto"/>
        <w:left w:val="none" w:sz="0" w:space="0" w:color="auto"/>
        <w:bottom w:val="none" w:sz="0" w:space="0" w:color="auto"/>
        <w:right w:val="none" w:sz="0" w:space="0" w:color="auto"/>
      </w:divBdr>
    </w:div>
    <w:div w:id="2063283092">
      <w:bodyDiv w:val="1"/>
      <w:marLeft w:val="0"/>
      <w:marRight w:val="0"/>
      <w:marTop w:val="0"/>
      <w:marBottom w:val="0"/>
      <w:divBdr>
        <w:top w:val="none" w:sz="0" w:space="0" w:color="auto"/>
        <w:left w:val="none" w:sz="0" w:space="0" w:color="auto"/>
        <w:bottom w:val="none" w:sz="0" w:space="0" w:color="auto"/>
        <w:right w:val="none" w:sz="0" w:space="0" w:color="auto"/>
      </w:divBdr>
    </w:div>
    <w:div w:id="2086023069">
      <w:bodyDiv w:val="1"/>
      <w:marLeft w:val="0"/>
      <w:marRight w:val="0"/>
      <w:marTop w:val="0"/>
      <w:marBottom w:val="0"/>
      <w:divBdr>
        <w:top w:val="none" w:sz="0" w:space="0" w:color="auto"/>
        <w:left w:val="none" w:sz="0" w:space="0" w:color="auto"/>
        <w:bottom w:val="none" w:sz="0" w:space="0" w:color="auto"/>
        <w:right w:val="none" w:sz="0" w:space="0" w:color="auto"/>
      </w:divBdr>
    </w:div>
    <w:div w:id="210915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clepro.2022.130989" TargetMode="External"/><Relationship Id="rId18" Type="http://schemas.openxmlformats.org/officeDocument/2006/relationships/hyperlink" Target="https://www.taylorfrancis.com/chapters/edit/10.4324/9780367855758-27/environmental-education-justin-dillon-benjamin-herman" TargetMode="External"/><Relationship Id="rId26" Type="http://schemas.openxmlformats.org/officeDocument/2006/relationships/hyperlink" Target="https://doi.org/10.1080/02188791.2023.2286920" TargetMode="External"/><Relationship Id="rId39" Type="http://schemas.openxmlformats.org/officeDocument/2006/relationships/hyperlink" Target="https://doi.org/10.3390/educsci11060274" TargetMode="External"/><Relationship Id="rId21" Type="http://schemas.openxmlformats.org/officeDocument/2006/relationships/hyperlink" Target="https://doi.org/10.1007/978-981-19-4234-14" TargetMode="External"/><Relationship Id="rId34" Type="http://schemas.openxmlformats.org/officeDocument/2006/relationships/hyperlink" Target="https://digitalcommons.csumb.edu/caps_thes_all/1541/" TargetMode="External"/><Relationship Id="rId42" Type="http://schemas.openxmlformats.org/officeDocument/2006/relationships/hyperlink" Target="https://doi.org/10.1016/j.jclepro.2022.133469" TargetMode="External"/><Relationship Id="rId47" Type="http://schemas.openxmlformats.org/officeDocument/2006/relationships/hyperlink" Target="https://doi.org/10.12973/eu-jer.11.4.2357" TargetMode="External"/><Relationship Id="rId50" Type="http://schemas.openxmlformats.org/officeDocument/2006/relationships/hyperlink" Target="https://www.scieclouds.com/ojsnew/index.php/ej/article/view/187"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eeol.com/search/article-detail?id=1021700" TargetMode="External"/><Relationship Id="rId29" Type="http://schemas.openxmlformats.org/officeDocument/2006/relationships/hyperlink" Target="https://doi.org/10.3390/su142114480" TargetMode="External"/><Relationship Id="rId11" Type="http://schemas.openxmlformats.org/officeDocument/2006/relationships/hyperlink" Target="https://doi.org/10.58518/madinah.v11i2.2962" TargetMode="External"/><Relationship Id="rId24" Type="http://schemas.openxmlformats.org/officeDocument/2006/relationships/hyperlink" Target="https://www.google.com/search?q=https://doi.org/10.4236/ce.2020.119132" TargetMode="External"/><Relationship Id="rId32" Type="http://schemas.openxmlformats.org/officeDocument/2006/relationships/hyperlink" Target="https://doi.org/10.4324/9781003443056" TargetMode="External"/><Relationship Id="rId37" Type="http://schemas.openxmlformats.org/officeDocument/2006/relationships/hyperlink" Target="https://link.springer.com/referenceworkentry/10.1007/978-3-031-54144-5_182#citeas" TargetMode="External"/><Relationship Id="rId40" Type="http://schemas.openxmlformats.org/officeDocument/2006/relationships/hyperlink" Target="https://link.springer.com/article/10.1007/s11191-024-00574-4" TargetMode="External"/><Relationship Id="rId45" Type="http://schemas.openxmlformats.org/officeDocument/2006/relationships/hyperlink" Target="https://doi.org/10.1016/j.acalib.2021.102465"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fiem.com.pk/index.php/Journal/article/view/17" TargetMode="External"/><Relationship Id="rId19" Type="http://schemas.openxmlformats.org/officeDocument/2006/relationships/hyperlink" Target="https://doi.org/10.4236/oalib.1108868" TargetMode="External"/><Relationship Id="rId31" Type="http://schemas.openxmlformats.org/officeDocument/2006/relationships/hyperlink" Target="https://link.springer.com/article/10.1007/s11423-021-10025-4" TargetMode="External"/><Relationship Id="rId44" Type="http://schemas.openxmlformats.org/officeDocument/2006/relationships/hyperlink" Target="https://link.springer.com/chapter/10.1007/978-981-16-7397-9_2#citeas" TargetMode="External"/><Relationship Id="rId52" Type="http://schemas.openxmlformats.org/officeDocument/2006/relationships/hyperlink" Target="https://doi.org/10.1111/jcal.1272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researchgate.net" TargetMode="External"/><Relationship Id="rId22" Type="http://schemas.openxmlformats.org/officeDocument/2006/relationships/hyperlink" Target="https://link.springer.com/chapter/10.1007/978-981-19-4234-1_4#citeas" TargetMode="External"/><Relationship Id="rId27" Type="http://schemas.openxmlformats.org/officeDocument/2006/relationships/hyperlink" Target="https://journal.isi.ac.id/index.php/IJCAS/article/view/5184" TargetMode="External"/><Relationship Id="rId30" Type="http://schemas.openxmlformats.org/officeDocument/2006/relationships/hyperlink" Target="https://www.mdpi.com/2071-1050/13/23/13343" TargetMode="External"/><Relationship Id="rId35" Type="http://schemas.openxmlformats.org/officeDocument/2006/relationships/hyperlink" Target="https://www.taylorfrancis.com/chapters/edit/10.4324/9780203936207-12/overview-transformative-learning-jack-mezirow" TargetMode="External"/><Relationship Id="rId43" Type="http://schemas.openxmlformats.org/officeDocument/2006/relationships/hyperlink" Target="https://doi.org/10.1088/1742-6596/1481/1/012136" TargetMode="External"/><Relationship Id="rId48" Type="http://schemas.openxmlformats.org/officeDocument/2006/relationships/hyperlink" Target="https://hdl.handle.net/11296/3zkdqu" TargetMode="External"/><Relationship Id="rId8" Type="http://schemas.openxmlformats.org/officeDocument/2006/relationships/header" Target="header1.xm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doi.org/10.58709/niujhu.v8i2.1648" TargetMode="External"/><Relationship Id="rId17" Type="http://schemas.openxmlformats.org/officeDocument/2006/relationships/hyperlink" Target="https://www.deped.gov.ph/2011/07/05/do-52-s-2011-strengthening-environmental-education-in-public-and-private-schools/" TargetMode="External"/><Relationship Id="rId25" Type="http://schemas.openxmlformats.org/officeDocument/2006/relationships/hyperlink" Target="https://doi.org/10.1007/s10956-024-10187-9" TargetMode="External"/><Relationship Id="rId33" Type="http://schemas.openxmlformats.org/officeDocument/2006/relationships/hyperlink" Target="https://nepjol.info/index.php/cognition/article/download/55408/41365/164485." TargetMode="External"/><Relationship Id="rId38" Type="http://schemas.openxmlformats.org/officeDocument/2006/relationships/hyperlink" Target="https://link.springer.com/chapter/10.1007/978-3-031-75221-6_7" TargetMode="External"/><Relationship Id="rId46" Type="http://schemas.openxmlformats.org/officeDocument/2006/relationships/hyperlink" Target="https://doi.org/10.1007/978-3-031-49580-9_2" TargetMode="External"/><Relationship Id="rId20" Type="http://schemas.openxmlformats.org/officeDocument/2006/relationships/hyperlink" Target="https://doi.org/10.1080/13603116.2018.1466928" TargetMode="External"/><Relationship Id="rId41" Type="http://schemas.openxmlformats.org/officeDocument/2006/relationships/hyperlink" Target="https://books.google.com.ph/books?hl=en&amp;lr=&amp;id=2iI_EAAAQBAJ&amp;oi=fnd&amp;pg=IA4&amp;dq=The+descriptive+research+design+involves+observing+and+collecting+data+on+a+given+topic+without+attempting+to+infe"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3389/fpsyg.2021.608407" TargetMode="External"/><Relationship Id="rId23" Type="http://schemas.openxmlformats.org/officeDocument/2006/relationships/hyperlink" Target="https://doi.org/10.23918/ijsses.v5i3p232" TargetMode="External"/><Relationship Id="rId28" Type="http://schemas.openxmlformats.org/officeDocument/2006/relationships/hyperlink" Target="https://doi.org/10.3389/fpsyg.2022.873078" TargetMode="External"/><Relationship Id="rId36" Type="http://schemas.openxmlformats.org/officeDocument/2006/relationships/hyperlink" Target="https://link.springer.com/chapter/10.1007/978-981-96-0324-4_10" TargetMode="External"/><Relationship Id="rId49" Type="http://schemas.openxmlformats.org/officeDocument/2006/relationships/hyperlink" Target="https://doi.org/10.1016/j.jad.2014.06.0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CAC6A-003F-4C8B-896C-6577B546E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15</Pages>
  <Words>7301</Words>
  <Characters>41616</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48820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User</dc:creator>
  <cp:keywords/>
  <dc:description/>
  <cp:lastModifiedBy>SDI 1186</cp:lastModifiedBy>
  <cp:revision>18</cp:revision>
  <cp:lastPrinted>1999-07-06T11:00:00Z</cp:lastPrinted>
  <dcterms:created xsi:type="dcterms:W3CDTF">2025-12-07T08:28:00Z</dcterms:created>
  <dcterms:modified xsi:type="dcterms:W3CDTF">2025-12-15T09:26:00Z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3db2c79c-5d33-4bb6-b4ff-e93f7e366080</vt:lpwstr>
  </property>
</Properties>
</file>