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C7A9" w14:textId="0645F807" w:rsidR="00754C9A" w:rsidRPr="008F4B1C" w:rsidRDefault="008F4B1C" w:rsidP="00441B6F">
      <w:pPr>
        <w:pStyle w:val="Judul"/>
        <w:spacing w:after="0"/>
        <w:jc w:val="both"/>
        <w:rPr>
          <w:rFonts w:ascii="Arial" w:hAnsi="Arial" w:cs="Arial"/>
          <w:u w:val="single"/>
        </w:rPr>
      </w:pPr>
      <w:r w:rsidRPr="008F4B1C">
        <w:rPr>
          <w:rFonts w:ascii="Arial" w:hAnsi="Arial" w:cs="Arial"/>
          <w:u w:val="single"/>
        </w:rPr>
        <w:t>Review Article</w:t>
      </w:r>
    </w:p>
    <w:p w14:paraId="051BECD9" w14:textId="77777777" w:rsidR="008F4B1C" w:rsidRDefault="008F4B1C" w:rsidP="00441B6F">
      <w:pPr>
        <w:pStyle w:val="Author"/>
        <w:spacing w:line="240" w:lineRule="auto"/>
        <w:jc w:val="both"/>
        <w:rPr>
          <w:rFonts w:ascii="Arial" w:hAnsi="Arial" w:cs="Arial"/>
          <w:bCs/>
          <w:iCs/>
          <w:kern w:val="28"/>
          <w:sz w:val="36"/>
        </w:rPr>
      </w:pPr>
    </w:p>
    <w:p w14:paraId="56726549" w14:textId="7F3A92BA" w:rsidR="00A258C3" w:rsidRPr="00790ADA" w:rsidRDefault="004E5833" w:rsidP="00441B6F">
      <w:pPr>
        <w:pStyle w:val="Author"/>
        <w:spacing w:line="240" w:lineRule="auto"/>
        <w:jc w:val="both"/>
        <w:rPr>
          <w:rFonts w:ascii="Arial" w:hAnsi="Arial" w:cs="Arial"/>
          <w:sz w:val="36"/>
        </w:rPr>
      </w:pPr>
      <w:r w:rsidRPr="004E5833">
        <w:rPr>
          <w:rFonts w:ascii="Arial" w:hAnsi="Arial" w:cs="Arial"/>
          <w:bCs/>
          <w:iCs/>
          <w:kern w:val="28"/>
          <w:sz w:val="36"/>
        </w:rPr>
        <w:t>ANALYSIS OF TEACHER ALLOCATION POLICY IN SPECIFIC DISTRICTS</w:t>
      </w:r>
    </w:p>
    <w:p w14:paraId="2A08961B" w14:textId="77777777" w:rsidR="00FA51A4" w:rsidRDefault="00FA51A4" w:rsidP="00441B6F">
      <w:pPr>
        <w:pStyle w:val="Copyright"/>
        <w:spacing w:after="0" w:line="240" w:lineRule="auto"/>
        <w:jc w:val="both"/>
        <w:rPr>
          <w:rFonts w:ascii="Arial" w:hAnsi="Arial" w:cs="Arial"/>
        </w:rPr>
      </w:pPr>
    </w:p>
    <w:p w14:paraId="421DAE4D" w14:textId="0A7E4ACF" w:rsidR="00B01FCD" w:rsidRPr="00FB3A86" w:rsidRDefault="00342B6C" w:rsidP="00441B6F">
      <w:pPr>
        <w:pStyle w:val="Copyright"/>
        <w:spacing w:after="0" w:line="240" w:lineRule="auto"/>
        <w:jc w:val="both"/>
        <w:rPr>
          <w:rFonts w:ascii="Arial" w:hAnsi="Arial" w:cs="Arial"/>
        </w:rPr>
        <w:sectPr w:rsidR="00B01FCD" w:rsidRPr="00FB3A86" w:rsidSect="00FA51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254700" wp14:editId="2B58236A">
                <wp:extent cx="5303520" cy="635"/>
                <wp:effectExtent l="11430" t="15240" r="9525" b="13335"/>
                <wp:docPr id="19486422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F181B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7B498EB" w14:textId="2162767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5B13C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E71843" w14:textId="77777777" w:rsidTr="001E44FE">
        <w:tc>
          <w:tcPr>
            <w:tcW w:w="9576" w:type="dxa"/>
            <w:shd w:val="clear" w:color="auto" w:fill="F2F2F2"/>
          </w:tcPr>
          <w:p w14:paraId="4E6A013D" w14:textId="77777777" w:rsid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 xml:space="preserve">Introduction: </w:t>
            </w:r>
            <w:r w:rsidR="009F0CAD" w:rsidRPr="00BC57F0">
              <w:rPr>
                <w:rFonts w:ascii="Arial" w:hAnsi="Arial" w:cs="Arial"/>
                <w:bCs/>
                <w:color w:val="000000" w:themeColor="text1"/>
                <w:sz w:val="22"/>
                <w:szCs w:val="22"/>
                <w:lang w:val="id-ID"/>
              </w:rPr>
              <w:t xml:space="preserve">Teacher allocation policy in Indonesia is a strategic aspect in realizing equitable education, especially in remote sub-districts that face geographical, social, and economic constraints. </w:t>
            </w:r>
          </w:p>
          <w:p w14:paraId="15E457CB" w14:textId="77777777" w:rsid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Objective</w:t>
            </w:r>
            <w:r>
              <w:rPr>
                <w:rFonts w:ascii="Arial" w:hAnsi="Arial" w:cs="Arial"/>
                <w:b/>
                <w:color w:val="000000" w:themeColor="text1"/>
                <w:sz w:val="22"/>
                <w:szCs w:val="22"/>
                <w:lang w:val="id-ID"/>
              </w:rPr>
              <w:t>s</w:t>
            </w:r>
            <w:r w:rsidRPr="00BC57F0">
              <w:rPr>
                <w:rFonts w:ascii="Arial" w:hAnsi="Arial" w:cs="Arial"/>
                <w:b/>
                <w:color w:val="000000" w:themeColor="text1"/>
                <w:sz w:val="22"/>
                <w:szCs w:val="22"/>
                <w:lang w:val="id-ID"/>
              </w:rPr>
              <w:t xml:space="preserve">: </w:t>
            </w:r>
            <w:r w:rsidRPr="00BC57F0">
              <w:rPr>
                <w:rFonts w:ascii="Arial" w:hAnsi="Arial" w:cs="Arial"/>
                <w:bCs/>
                <w:color w:val="000000" w:themeColor="text1"/>
                <w:sz w:val="22"/>
                <w:szCs w:val="22"/>
                <w:lang w:val="id-ID"/>
              </w:rPr>
              <w:t>T</w:t>
            </w:r>
            <w:r w:rsidR="009F0CAD" w:rsidRPr="00BC57F0">
              <w:rPr>
                <w:rFonts w:ascii="Arial" w:hAnsi="Arial" w:cs="Arial"/>
                <w:bCs/>
                <w:color w:val="000000" w:themeColor="text1"/>
                <w:sz w:val="22"/>
                <w:szCs w:val="22"/>
                <w:lang w:val="id-ID"/>
              </w:rPr>
              <w:t xml:space="preserve">o analyze the dynamics, challenges, and effectiveness of teacher allocation policies in remote sub-districts after the 2020 education policy reform, with a focus on the implementation of policies based on Top-Down and Bottom-Up approaches. </w:t>
            </w:r>
          </w:p>
          <w:p w14:paraId="123D3961" w14:textId="77777777" w:rsid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M</w:t>
            </w:r>
            <w:r w:rsidR="009F0CAD" w:rsidRPr="00BC57F0">
              <w:rPr>
                <w:rFonts w:ascii="Arial" w:hAnsi="Arial" w:cs="Arial"/>
                <w:b/>
                <w:color w:val="000000" w:themeColor="text1"/>
                <w:sz w:val="22"/>
                <w:szCs w:val="22"/>
                <w:lang w:val="id-ID"/>
              </w:rPr>
              <w:t>ethod</w:t>
            </w:r>
            <w:r>
              <w:rPr>
                <w:rFonts w:ascii="Arial" w:hAnsi="Arial" w:cs="Arial"/>
                <w:b/>
                <w:color w:val="000000" w:themeColor="text1"/>
                <w:sz w:val="22"/>
                <w:szCs w:val="22"/>
                <w:lang w:val="id-ID"/>
              </w:rPr>
              <w:t xml:space="preserve">s: </w:t>
            </w:r>
            <w:r>
              <w:rPr>
                <w:rFonts w:ascii="Arial" w:hAnsi="Arial" w:cs="Arial"/>
                <w:bCs/>
                <w:color w:val="000000" w:themeColor="text1"/>
                <w:sz w:val="22"/>
                <w:szCs w:val="22"/>
                <w:lang w:val="id-ID"/>
              </w:rPr>
              <w:t>A</w:t>
            </w:r>
            <w:r w:rsidR="009F0CAD" w:rsidRPr="00BC57F0">
              <w:rPr>
                <w:rFonts w:ascii="Arial" w:hAnsi="Arial" w:cs="Arial"/>
                <w:bCs/>
                <w:color w:val="000000" w:themeColor="text1"/>
                <w:sz w:val="22"/>
                <w:szCs w:val="22"/>
                <w:lang w:val="id-ID"/>
              </w:rPr>
              <w:t xml:space="preserve"> Systematic Literature Review (SLR) of 22 national and international literature published between 2015–2025, using the PRISMA framework to ensure data validity and traceability. </w:t>
            </w:r>
          </w:p>
          <w:p w14:paraId="5A79642B" w14:textId="2B3EEC02" w:rsid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R</w:t>
            </w:r>
            <w:r w:rsidR="009F0CAD" w:rsidRPr="00BC57F0">
              <w:rPr>
                <w:rFonts w:ascii="Arial" w:hAnsi="Arial" w:cs="Arial"/>
                <w:b/>
                <w:color w:val="000000" w:themeColor="text1"/>
                <w:sz w:val="22"/>
                <w:szCs w:val="22"/>
                <w:lang w:val="id-ID"/>
              </w:rPr>
              <w:t>esults</w:t>
            </w:r>
            <w:r w:rsidRPr="00BC57F0">
              <w:rPr>
                <w:rFonts w:ascii="Arial" w:hAnsi="Arial" w:cs="Arial"/>
                <w:b/>
                <w:color w:val="000000" w:themeColor="text1"/>
                <w:sz w:val="22"/>
                <w:szCs w:val="22"/>
                <w:lang w:val="id-ID"/>
              </w:rPr>
              <w:t>:</w:t>
            </w:r>
            <w:r w:rsidR="009F0CAD" w:rsidRPr="00BC57F0">
              <w:rPr>
                <w:rFonts w:ascii="Arial" w:hAnsi="Arial" w:cs="Arial"/>
                <w:bCs/>
                <w:color w:val="000000" w:themeColor="text1"/>
                <w:sz w:val="22"/>
                <w:szCs w:val="22"/>
                <w:lang w:val="id-ID"/>
              </w:rPr>
              <w:t xml:space="preserve"> </w:t>
            </w:r>
            <w:r>
              <w:rPr>
                <w:rFonts w:ascii="Arial" w:hAnsi="Arial" w:cs="Arial"/>
                <w:bCs/>
                <w:color w:val="000000" w:themeColor="text1"/>
                <w:sz w:val="22"/>
                <w:szCs w:val="22"/>
                <w:lang w:val="id-ID"/>
              </w:rPr>
              <w:t>T</w:t>
            </w:r>
            <w:r w:rsidR="009F0CAD" w:rsidRPr="00BC57F0">
              <w:rPr>
                <w:rFonts w:ascii="Arial" w:hAnsi="Arial" w:cs="Arial"/>
                <w:bCs/>
                <w:color w:val="000000" w:themeColor="text1"/>
                <w:sz w:val="22"/>
                <w:szCs w:val="22"/>
                <w:lang w:val="id-ID"/>
              </w:rPr>
              <w:t xml:space="preserve">he analysis show that inequality in teacher distribution remains high in remote sub-districts, characterized by a shortage of </w:t>
            </w:r>
            <w:r w:rsidRPr="00BC57F0">
              <w:rPr>
                <w:rFonts w:ascii="Arial" w:hAnsi="Arial" w:cs="Arial"/>
                <w:bCs/>
                <w:color w:val="000000" w:themeColor="text1"/>
                <w:sz w:val="22"/>
                <w:szCs w:val="22"/>
              </w:rPr>
              <w:t>Civil Servant</w:t>
            </w:r>
            <w:r>
              <w:rPr>
                <w:rFonts w:ascii="Arial" w:hAnsi="Arial" w:cs="Arial"/>
                <w:bCs/>
                <w:color w:val="000000" w:themeColor="text1"/>
                <w:sz w:val="22"/>
                <w:szCs w:val="22"/>
              </w:rPr>
              <w:t xml:space="preserve"> </w:t>
            </w:r>
            <w:r w:rsidR="009F0CAD" w:rsidRPr="00BC57F0">
              <w:rPr>
                <w:rFonts w:ascii="Arial" w:hAnsi="Arial" w:cs="Arial"/>
                <w:bCs/>
                <w:color w:val="000000" w:themeColor="text1"/>
                <w:sz w:val="22"/>
                <w:szCs w:val="22"/>
                <w:lang w:val="id-ID"/>
              </w:rPr>
              <w:t xml:space="preserve">teachers, a high ratio of non-permanent teachers, and a significant turnover rate. Policy implementation is often hampered by weak coordination across levels of government, limited data on real teacher needs, and the low effectiveness of non-financial incentive schemes. In addition, </w:t>
            </w:r>
            <w:r w:rsidRPr="00BC57F0">
              <w:rPr>
                <w:rFonts w:ascii="Arial" w:hAnsi="Arial" w:cs="Arial"/>
                <w:bCs/>
                <w:color w:val="000000" w:themeColor="text1"/>
                <w:sz w:val="22"/>
                <w:szCs w:val="22"/>
              </w:rPr>
              <w:t>Government Contract Employee</w:t>
            </w:r>
            <w:r>
              <w:rPr>
                <w:rFonts w:ascii="Arial" w:hAnsi="Arial" w:cs="Arial"/>
                <w:bCs/>
                <w:color w:val="000000" w:themeColor="text1"/>
                <w:sz w:val="22"/>
                <w:szCs w:val="22"/>
              </w:rPr>
              <w:t xml:space="preserve"> </w:t>
            </w:r>
            <w:r w:rsidR="009F0CAD" w:rsidRPr="00BC57F0">
              <w:rPr>
                <w:rFonts w:ascii="Arial" w:hAnsi="Arial" w:cs="Arial"/>
                <w:bCs/>
                <w:color w:val="000000" w:themeColor="text1"/>
                <w:sz w:val="22"/>
                <w:szCs w:val="22"/>
                <w:lang w:val="id-ID"/>
              </w:rPr>
              <w:t xml:space="preserve">policies and regional autonomy have not fully addressed the issue of sustainable teacher placement and retention in difficult areas. This study emphasizes the need for affirmative action policies based on spatial equity and holistic incentive mechanisms that consider the socio-emotional dimensions of teachers. </w:t>
            </w:r>
            <w:r w:rsidR="002A4C25" w:rsidRPr="002A4C25">
              <w:rPr>
                <w:rFonts w:ascii="Arial" w:hAnsi="Arial" w:cs="Arial"/>
                <w:bCs/>
                <w:color w:val="000000" w:themeColor="text1"/>
                <w:sz w:val="22"/>
                <w:szCs w:val="22"/>
                <w:highlight w:val="yellow"/>
                <w:lang w:val="id-ID"/>
              </w:rPr>
              <w:t>This analysis is based on the conceptual framework of Educational Equity and Resource Allocative Efficiency, which examines the extent to which teacher distribution aligns with school workload needs and geographic accessibility.</w:t>
            </w:r>
          </w:p>
          <w:p w14:paraId="601042FF" w14:textId="73D6A7A0" w:rsidR="00505F06" w:rsidRP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 xml:space="preserve">Impact: </w:t>
            </w:r>
            <w:r w:rsidR="009F0CAD" w:rsidRPr="00BC57F0">
              <w:rPr>
                <w:rFonts w:ascii="Arial" w:hAnsi="Arial" w:cs="Arial"/>
                <w:bCs/>
                <w:color w:val="000000" w:themeColor="text1"/>
                <w:sz w:val="22"/>
                <w:szCs w:val="22"/>
                <w:lang w:val="id-ID"/>
              </w:rPr>
              <w:t>This research provides a conceptual contribution to strengthening contextual, equitable, and sustainable teacher allocation policy models for remote areas in Indonesia.</w:t>
            </w:r>
          </w:p>
        </w:tc>
      </w:tr>
    </w:tbl>
    <w:p w14:paraId="3E9AA432" w14:textId="77777777" w:rsidR="00636EB2" w:rsidRDefault="00636EB2" w:rsidP="00441B6F">
      <w:pPr>
        <w:pStyle w:val="Body"/>
        <w:spacing w:after="0"/>
        <w:rPr>
          <w:rFonts w:ascii="Arial" w:hAnsi="Arial" w:cs="Arial"/>
          <w:i/>
        </w:rPr>
      </w:pPr>
    </w:p>
    <w:p w14:paraId="0273F952" w14:textId="4671A6F8" w:rsidR="00B52896" w:rsidRPr="00BC57F0" w:rsidRDefault="00A24E7E" w:rsidP="00BC57F0">
      <w:pPr>
        <w:pStyle w:val="Body"/>
        <w:spacing w:after="0"/>
        <w:rPr>
          <w:rFonts w:ascii="Arial" w:hAnsi="Arial" w:cs="Arial"/>
          <w:iCs/>
          <w:sz w:val="18"/>
        </w:rPr>
      </w:pPr>
      <w:r>
        <w:rPr>
          <w:rFonts w:ascii="Arial" w:hAnsi="Arial" w:cs="Arial"/>
          <w:i/>
        </w:rPr>
        <w:t xml:space="preserve">Keywords: </w:t>
      </w:r>
      <w:r w:rsidR="00BC57F0" w:rsidRPr="00BC57F0">
        <w:rPr>
          <w:rFonts w:ascii="Arial" w:hAnsi="Arial" w:cs="Arial"/>
          <w:iCs/>
        </w:rPr>
        <w:t>Administration;</w:t>
      </w:r>
      <w:r w:rsidR="00BC57F0">
        <w:rPr>
          <w:rFonts w:ascii="Arial" w:hAnsi="Arial" w:cs="Arial"/>
          <w:i/>
        </w:rPr>
        <w:t xml:space="preserve"> </w:t>
      </w:r>
      <w:r w:rsidR="00BC57F0" w:rsidRPr="00BC57F0">
        <w:rPr>
          <w:rFonts w:ascii="Arial" w:hAnsi="Arial" w:cs="Arial"/>
          <w:iCs/>
        </w:rPr>
        <w:t>Educational</w:t>
      </w:r>
      <w:r w:rsidR="00BC57F0">
        <w:rPr>
          <w:rFonts w:ascii="Arial" w:hAnsi="Arial" w:cs="Arial"/>
          <w:iCs/>
        </w:rPr>
        <w:t xml:space="preserve">; Funding; </w:t>
      </w:r>
      <w:r w:rsidR="00BC57F0" w:rsidRPr="00BC57F0">
        <w:rPr>
          <w:rFonts w:ascii="Arial" w:hAnsi="Arial" w:cs="Arial"/>
          <w:iCs/>
        </w:rPr>
        <w:t>Management</w:t>
      </w:r>
      <w:r w:rsidR="00BC57F0">
        <w:rPr>
          <w:rFonts w:ascii="Arial" w:hAnsi="Arial" w:cs="Arial"/>
          <w:iCs/>
        </w:rPr>
        <w:t xml:space="preserve">; </w:t>
      </w:r>
      <w:r w:rsidR="00BC57F0" w:rsidRPr="00BC57F0">
        <w:rPr>
          <w:rFonts w:ascii="Arial" w:hAnsi="Arial" w:cs="Arial"/>
          <w:iCs/>
        </w:rPr>
        <w:t>Indonesian teacher</w:t>
      </w:r>
    </w:p>
    <w:p w14:paraId="36307F14" w14:textId="77777777" w:rsidR="0024282C" w:rsidRDefault="0024282C" w:rsidP="00441B6F">
      <w:pPr>
        <w:pStyle w:val="Body"/>
        <w:spacing w:after="0"/>
        <w:rPr>
          <w:rFonts w:ascii="Arial" w:hAnsi="Arial" w:cs="Arial"/>
          <w:i/>
          <w:sz w:val="18"/>
        </w:rPr>
      </w:pPr>
    </w:p>
    <w:p w14:paraId="7D87F642" w14:textId="77777777" w:rsidR="00505F06" w:rsidRPr="00A24E7E" w:rsidRDefault="00505F06" w:rsidP="00441B6F">
      <w:pPr>
        <w:pStyle w:val="Body"/>
        <w:spacing w:after="0"/>
        <w:rPr>
          <w:rFonts w:ascii="Arial" w:hAnsi="Arial" w:cs="Arial"/>
          <w:i/>
        </w:rPr>
      </w:pPr>
    </w:p>
    <w:p w14:paraId="63FF4A92" w14:textId="1DACCBA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3DCA1F9" w14:textId="77777777" w:rsidR="00790ADA" w:rsidRPr="009F0CAD" w:rsidRDefault="00790ADA" w:rsidP="00441B6F">
      <w:pPr>
        <w:pStyle w:val="AbstHead"/>
        <w:spacing w:after="0"/>
        <w:jc w:val="both"/>
        <w:rPr>
          <w:rFonts w:ascii="Arial" w:hAnsi="Arial" w:cs="Arial"/>
          <w:sz w:val="20"/>
          <w:szCs w:val="18"/>
        </w:rPr>
      </w:pPr>
    </w:p>
    <w:p w14:paraId="2138BCD3" w14:textId="0B06E104" w:rsidR="009F0CAD" w:rsidRPr="00B63E23" w:rsidRDefault="009F0CAD" w:rsidP="009F0CAD">
      <w:pPr>
        <w:pStyle w:val="IsiParagarf"/>
        <w:rPr>
          <w:rFonts w:ascii="Arial" w:hAnsi="Arial" w:cs="Arial"/>
        </w:rPr>
      </w:pPr>
      <w:r w:rsidRPr="00B63E23">
        <w:rPr>
          <w:rFonts w:ascii="Arial" w:hAnsi="Arial" w:cs="Arial"/>
        </w:rPr>
        <w:t>Education is a key pillar of national development and a key instrument for breaking the cycle of poverty and promoting social mobility (World Bank, 2021; UNESCO, 2020). In the context of Indonesia, an archipelagic nation with massive geographic and demographic diversity, providing equitable access to and quality education is a complex challenge (</w:t>
      </w:r>
      <w:r w:rsidR="00573F96" w:rsidRPr="00573F96">
        <w:rPr>
          <w:rFonts w:ascii="Arial" w:hAnsi="Arial" w:cs="Arial"/>
        </w:rPr>
        <w:t>Sihaloho</w:t>
      </w:r>
      <w:r w:rsidR="00573F96">
        <w:rPr>
          <w:rFonts w:ascii="Arial" w:hAnsi="Arial" w:cs="Arial"/>
        </w:rPr>
        <w:t xml:space="preserve"> et al., </w:t>
      </w:r>
      <w:r w:rsidR="00573F96" w:rsidRPr="00573F96">
        <w:rPr>
          <w:rFonts w:ascii="Arial" w:hAnsi="Arial" w:cs="Arial"/>
        </w:rPr>
        <w:t>2023</w:t>
      </w:r>
      <w:r w:rsidRPr="00B63E23">
        <w:rPr>
          <w:rFonts w:ascii="Arial" w:hAnsi="Arial" w:cs="Arial"/>
        </w:rPr>
        <w:t xml:space="preserve">). The 1945 Constitution of </w:t>
      </w:r>
      <w:r w:rsidRPr="00B63E23">
        <w:rPr>
          <w:rFonts w:ascii="Arial" w:hAnsi="Arial" w:cs="Arial"/>
        </w:rPr>
        <w:lastRenderedPageBreak/>
        <w:t>the Republic of Indonesia explicitly mandates that every citizen has the right to education, which implicitly demands a fair and equitable distribution of teachers across all regions (Ministry of Education and Culture, 2023). However, the reality on the ground shows significant disparities in education quality between urban areas and remote and isolated areas, where the issue of teacher shortages and mismatched qualifications is a crucial and persistent problem (</w:t>
      </w:r>
      <w:r w:rsidR="00102052">
        <w:rPr>
          <w:rFonts w:ascii="Arial" w:hAnsi="Arial" w:cs="Arial"/>
        </w:rPr>
        <w:t>Moyle et al., 2017</w:t>
      </w:r>
      <w:r w:rsidRPr="00B63E23">
        <w:rPr>
          <w:rFonts w:ascii="Arial" w:hAnsi="Arial" w:cs="Arial"/>
        </w:rPr>
        <w:t>; OECD, 2022). Remote sub-districts, often characterized by difficult accessibility, minimal supporting infrastructure, and lower socio-economic conditions, are most severely impacted by suboptimal teacher allocation policies (</w:t>
      </w:r>
      <w:r w:rsidR="007910E7" w:rsidRPr="007910E7">
        <w:rPr>
          <w:rFonts w:ascii="Arial" w:hAnsi="Arial" w:cs="Arial"/>
        </w:rPr>
        <w:t>Bano &amp; Dyonisius, 2023</w:t>
      </w:r>
      <w:r w:rsidRPr="00B63E23">
        <w:rPr>
          <w:rFonts w:ascii="Arial" w:hAnsi="Arial" w:cs="Arial"/>
        </w:rPr>
        <w:t>;</w:t>
      </w:r>
      <w:r w:rsidR="005F786F">
        <w:rPr>
          <w:rFonts w:ascii="Arial" w:hAnsi="Arial" w:cs="Arial"/>
        </w:rPr>
        <w:t xml:space="preserve"> Subair</w:t>
      </w:r>
      <w:r w:rsidRPr="00B63E23">
        <w:rPr>
          <w:rFonts w:ascii="Arial" w:hAnsi="Arial" w:cs="Arial"/>
        </w:rPr>
        <w:t>, 202</w:t>
      </w:r>
      <w:r w:rsidR="005F786F">
        <w:rPr>
          <w:rFonts w:ascii="Arial" w:hAnsi="Arial" w:cs="Arial"/>
        </w:rPr>
        <w:t>4</w:t>
      </w:r>
      <w:r w:rsidRPr="00B63E23">
        <w:rPr>
          <w:rFonts w:ascii="Arial" w:hAnsi="Arial" w:cs="Arial"/>
        </w:rPr>
        <w:t>).</w:t>
      </w:r>
    </w:p>
    <w:p w14:paraId="18B0B8E1" w14:textId="1D9F8C74" w:rsidR="009F0CAD" w:rsidRPr="00B63E23" w:rsidRDefault="009F0CAD" w:rsidP="00B411CD">
      <w:pPr>
        <w:pStyle w:val="IsiParagarf"/>
        <w:rPr>
          <w:rFonts w:ascii="Arial" w:hAnsi="Arial" w:cs="Arial"/>
        </w:rPr>
      </w:pPr>
      <w:r w:rsidRPr="00B63E23">
        <w:rPr>
          <w:rFonts w:ascii="Arial" w:hAnsi="Arial" w:cs="Arial"/>
        </w:rPr>
        <w:t>This inequitable teacher allocation is not simply a matter of quantity, but also of the quality and relevance of placements (</w:t>
      </w:r>
      <w:r w:rsidR="00185BE4" w:rsidRPr="00185BE4">
        <w:rPr>
          <w:rFonts w:ascii="Arial" w:hAnsi="Arial" w:cs="Arial"/>
        </w:rPr>
        <w:t>Huang &amp; Fillaili, 2022).</w:t>
      </w:r>
      <w:r w:rsidRPr="00B63E23">
        <w:rPr>
          <w:rFonts w:ascii="Arial" w:hAnsi="Arial" w:cs="Arial"/>
        </w:rPr>
        <w:t xml:space="preserve"> Reports indicate that schools in remote areas tend to have a higher proportion of non-civil servant teachers, rapid teacher turnover rates, and a widening competency gap compared to schools in developed regions (Taniredja &amp; Farid, 2022). This phenomenon creates a vicious cycle in which the low quality of education in remote areas hinders the potential for local human resource development, which in turn exacerbates economic and social underdevelopment (</w:t>
      </w:r>
      <w:r w:rsidRPr="00B63E23">
        <w:rPr>
          <w:rFonts w:ascii="Arial" w:hAnsi="Arial" w:cs="Arial"/>
          <w:lang w:val="id-ID"/>
        </w:rPr>
        <w:t>Murniarti, 2015;</w:t>
      </w:r>
      <w:r w:rsidR="008F3066">
        <w:rPr>
          <w:rFonts w:ascii="Arial" w:hAnsi="Arial" w:cs="Arial"/>
          <w:lang w:val="id-ID"/>
        </w:rPr>
        <w:t xml:space="preserve"> Song</w:t>
      </w:r>
      <w:r w:rsidRPr="00B63E23">
        <w:rPr>
          <w:rFonts w:ascii="Arial" w:hAnsi="Arial" w:cs="Arial"/>
        </w:rPr>
        <w:t>, 2023). Therefore, an in-depth analysis of teacher allocation policies in remote sub-districts is urgently needed to identify root causes and formulate effective, sustainable, and locally context-based policy interventions (</w:t>
      </w:r>
      <w:r w:rsidR="00EB7302" w:rsidRPr="00EB7302">
        <w:rPr>
          <w:rFonts w:ascii="Arial" w:hAnsi="Arial" w:cs="Arial"/>
        </w:rPr>
        <w:t>Purwanto</w:t>
      </w:r>
      <w:r w:rsidR="00EB7302">
        <w:rPr>
          <w:rFonts w:ascii="Arial" w:hAnsi="Arial" w:cs="Arial"/>
        </w:rPr>
        <w:t xml:space="preserve"> </w:t>
      </w:r>
      <w:r w:rsidR="00EB7302" w:rsidRPr="00EB7302">
        <w:rPr>
          <w:rFonts w:ascii="Arial" w:hAnsi="Arial" w:cs="Arial"/>
        </w:rPr>
        <w:t>&amp; Yuliana, 2025</w:t>
      </w:r>
      <w:r w:rsidRPr="00B63E23">
        <w:rPr>
          <w:rFonts w:ascii="Arial" w:hAnsi="Arial" w:cs="Arial"/>
        </w:rPr>
        <w:t>;</w:t>
      </w:r>
      <w:r w:rsidR="007B3AAF">
        <w:rPr>
          <w:rFonts w:ascii="Arial" w:hAnsi="Arial" w:cs="Arial"/>
        </w:rPr>
        <w:t xml:space="preserve"> </w:t>
      </w:r>
      <w:r w:rsidR="007B3AAF" w:rsidRPr="007B3AAF">
        <w:rPr>
          <w:rFonts w:ascii="Arial" w:hAnsi="Arial" w:cs="Arial"/>
        </w:rPr>
        <w:t>Pramono,</w:t>
      </w:r>
      <w:r w:rsidR="007B3AAF">
        <w:rPr>
          <w:rFonts w:ascii="Arial" w:hAnsi="Arial" w:cs="Arial"/>
        </w:rPr>
        <w:t xml:space="preserve"> </w:t>
      </w:r>
      <w:r w:rsidR="007B3AAF" w:rsidRPr="007B3AAF">
        <w:rPr>
          <w:rFonts w:ascii="Arial" w:hAnsi="Arial" w:cs="Arial"/>
        </w:rPr>
        <w:t>2016</w:t>
      </w:r>
      <w:r w:rsidRPr="00B63E23">
        <w:rPr>
          <w:rFonts w:ascii="Arial" w:hAnsi="Arial" w:cs="Arial"/>
        </w:rPr>
        <w:t>). This research seeks to unpack the mechanisms, challenges, and impacts of existing policies to provide recommendations that can guarantee the fundamental right of remote communities to quality education (</w:t>
      </w:r>
      <w:r w:rsidR="004F52BA" w:rsidRPr="004F52BA">
        <w:rPr>
          <w:rFonts w:ascii="Arial" w:hAnsi="Arial" w:cs="Arial"/>
        </w:rPr>
        <w:t>Yu</w:t>
      </w:r>
      <w:r w:rsidR="004F52BA">
        <w:rPr>
          <w:rFonts w:ascii="Arial" w:hAnsi="Arial" w:cs="Arial"/>
        </w:rPr>
        <w:t xml:space="preserve"> et al.,</w:t>
      </w:r>
      <w:r w:rsidRPr="00B63E23">
        <w:rPr>
          <w:rFonts w:ascii="Arial" w:hAnsi="Arial" w:cs="Arial"/>
        </w:rPr>
        <w:t xml:space="preserve"> 202</w:t>
      </w:r>
      <w:r w:rsidR="00B411CD">
        <w:rPr>
          <w:rFonts w:ascii="Arial" w:hAnsi="Arial" w:cs="Arial"/>
        </w:rPr>
        <w:t>4</w:t>
      </w:r>
      <w:r w:rsidRPr="00B63E23">
        <w:rPr>
          <w:rFonts w:ascii="Arial" w:hAnsi="Arial" w:cs="Arial"/>
        </w:rPr>
        <w:t>;</w:t>
      </w:r>
      <w:r w:rsidR="00110BCB" w:rsidRPr="00110BCB">
        <w:rPr>
          <w:rFonts w:ascii="Arial" w:eastAsia="Times New Roman" w:hAnsi="Arial" w:cs="Arial"/>
          <w:color w:val="222222"/>
          <w:sz w:val="20"/>
          <w:szCs w:val="20"/>
          <w:shd w:val="clear" w:color="auto" w:fill="FFFFFF"/>
        </w:rPr>
        <w:t xml:space="preserve"> </w:t>
      </w:r>
      <w:r w:rsidR="00110BCB" w:rsidRPr="00110BCB">
        <w:rPr>
          <w:rFonts w:ascii="Arial" w:hAnsi="Arial" w:cs="Arial"/>
        </w:rPr>
        <w:t xml:space="preserve">Samhaji &amp; Anggara, 2025). </w:t>
      </w:r>
    </w:p>
    <w:p w14:paraId="4EB15B7D" w14:textId="4C9532B3" w:rsidR="009F0CAD" w:rsidRPr="00B63E23" w:rsidRDefault="009F0CAD" w:rsidP="009F0CAD">
      <w:pPr>
        <w:pStyle w:val="IsiParagarf"/>
        <w:rPr>
          <w:rFonts w:ascii="Arial" w:hAnsi="Arial" w:cs="Arial"/>
        </w:rPr>
      </w:pPr>
      <w:r w:rsidRPr="00B63E23">
        <w:rPr>
          <w:rFonts w:ascii="Arial" w:hAnsi="Arial" w:cs="Arial"/>
        </w:rPr>
        <w:t>Teacher allocation policies are a rich subject in the education and public administration literature, often examined from the perspectives of distributive justice and governance effectiveness (</w:t>
      </w:r>
      <w:r w:rsidR="008F3066" w:rsidRPr="008F3066">
        <w:rPr>
          <w:rFonts w:ascii="Arial" w:hAnsi="Arial" w:cs="Arial"/>
        </w:rPr>
        <w:t>Waza</w:t>
      </w:r>
      <w:r w:rsidR="008F3066">
        <w:rPr>
          <w:rFonts w:ascii="Arial" w:hAnsi="Arial" w:cs="Arial"/>
        </w:rPr>
        <w:t xml:space="preserve"> </w:t>
      </w:r>
      <w:r w:rsidR="008F3066" w:rsidRPr="008F3066">
        <w:rPr>
          <w:rFonts w:ascii="Arial" w:hAnsi="Arial" w:cs="Arial"/>
        </w:rPr>
        <w:t>&amp; Ekambaker, 2024).</w:t>
      </w:r>
      <w:r w:rsidRPr="00B63E23">
        <w:rPr>
          <w:rFonts w:ascii="Arial" w:hAnsi="Arial" w:cs="Arial"/>
        </w:rPr>
        <w:t xml:space="preserve"> Conceptually, teacher allocation is influenced by three main factors: availability (the total number of available teachers), demand (projected shortages based on teacher-student ratios and subject areas), and incentives (mechanisms for attracting and retaining teachers in difficult areas) (</w:t>
      </w:r>
      <w:r w:rsidR="00B615AF" w:rsidRPr="00B615AF">
        <w:rPr>
          <w:rFonts w:ascii="Arial" w:hAnsi="Arial" w:cs="Arial"/>
        </w:rPr>
        <w:t>Sutcher</w:t>
      </w:r>
      <w:r w:rsidR="00B615AF">
        <w:rPr>
          <w:rFonts w:ascii="Arial" w:hAnsi="Arial" w:cs="Arial"/>
        </w:rPr>
        <w:t xml:space="preserve"> et al., </w:t>
      </w:r>
      <w:r w:rsidR="00B615AF" w:rsidRPr="00B615AF">
        <w:rPr>
          <w:rFonts w:ascii="Arial" w:hAnsi="Arial" w:cs="Arial"/>
        </w:rPr>
        <w:t>2016)</w:t>
      </w:r>
      <w:r w:rsidRPr="00B63E23">
        <w:rPr>
          <w:rFonts w:ascii="Arial" w:hAnsi="Arial" w:cs="Arial"/>
        </w:rPr>
        <w:t>. Several allocation models have been implemented in various countries, ranging from centralized approaches managed by the central government to decentralized models that grant greater autonomy to local governments or schools (Hanum &amp; Iskandar, 2023;</w:t>
      </w:r>
      <w:r w:rsidR="00754DD1">
        <w:rPr>
          <w:rFonts w:ascii="Arial" w:hAnsi="Arial" w:cs="Arial"/>
        </w:rPr>
        <w:t xml:space="preserve"> </w:t>
      </w:r>
      <w:r w:rsidR="00754DD1" w:rsidRPr="00754DD1">
        <w:rPr>
          <w:rFonts w:ascii="Arial" w:hAnsi="Arial" w:cs="Arial"/>
        </w:rPr>
        <w:t>Dafflon, 2015</w:t>
      </w:r>
      <w:r w:rsidRPr="00B63E23">
        <w:rPr>
          <w:rFonts w:ascii="Arial" w:hAnsi="Arial" w:cs="Arial"/>
        </w:rPr>
        <w:t>). However, research shows that in developing countries like Indonesia, a hybrid approach combining central control with local adaptation is often necessary to address allocation challenges in remote areas (Wibowo &amp; Kusuma, 2024;</w:t>
      </w:r>
      <w:r w:rsidR="00D36697" w:rsidRPr="00D36697">
        <w:rPr>
          <w:rFonts w:ascii="Arial" w:eastAsia="Times New Roman" w:hAnsi="Arial" w:cs="Arial"/>
          <w:color w:val="222222"/>
          <w:sz w:val="20"/>
          <w:szCs w:val="20"/>
          <w:shd w:val="clear" w:color="auto" w:fill="FFFFFF"/>
        </w:rPr>
        <w:t xml:space="preserve"> </w:t>
      </w:r>
      <w:r w:rsidR="00D36697" w:rsidRPr="00D36697">
        <w:rPr>
          <w:rFonts w:ascii="Arial" w:hAnsi="Arial" w:cs="Arial"/>
        </w:rPr>
        <w:t>Wise</w:t>
      </w:r>
      <w:r w:rsidR="00D36697">
        <w:rPr>
          <w:rFonts w:ascii="Arial" w:hAnsi="Arial" w:cs="Arial"/>
        </w:rPr>
        <w:t xml:space="preserve"> et al</w:t>
      </w:r>
      <w:r w:rsidR="00D36697" w:rsidRPr="00D36697">
        <w:rPr>
          <w:rFonts w:ascii="Arial" w:hAnsi="Arial" w:cs="Arial"/>
        </w:rPr>
        <w:t>.</w:t>
      </w:r>
      <w:r w:rsidR="00D36697">
        <w:rPr>
          <w:rFonts w:ascii="Arial" w:hAnsi="Arial" w:cs="Arial"/>
        </w:rPr>
        <w:t>, 2016</w:t>
      </w:r>
      <w:r w:rsidRPr="00B63E23">
        <w:rPr>
          <w:rFonts w:ascii="Arial" w:hAnsi="Arial" w:cs="Arial"/>
        </w:rPr>
        <w:t>).</w:t>
      </w:r>
    </w:p>
    <w:p w14:paraId="050FBCC1" w14:textId="09627F2F" w:rsidR="009F0CAD" w:rsidRPr="00B63E23" w:rsidRDefault="009F0CAD" w:rsidP="009F0CAD">
      <w:pPr>
        <w:pStyle w:val="IsiParagarf"/>
        <w:rPr>
          <w:rFonts w:ascii="Arial" w:hAnsi="Arial" w:cs="Arial"/>
        </w:rPr>
      </w:pPr>
      <w:r w:rsidRPr="00B63E23">
        <w:rPr>
          <w:rFonts w:ascii="Arial" w:hAnsi="Arial" w:cs="Arial"/>
        </w:rPr>
        <w:t>The relevant conceptual framework for this analysis is the Top-Down and Bottom-Up Policy Implementation Theory (Syarif &amp; Abdullah, 2020). The Top-Down model views teacher allocation policy as a series of orders that must be implemented linearly from the center to the regions, focusing on regulatory consistency and compliance (</w:t>
      </w:r>
      <w:r w:rsidR="00754DD1" w:rsidRPr="00754DD1">
        <w:rPr>
          <w:rFonts w:ascii="Arial" w:hAnsi="Arial" w:cs="Arial"/>
        </w:rPr>
        <w:t>Homsy</w:t>
      </w:r>
      <w:r w:rsidR="00754DD1">
        <w:rPr>
          <w:rFonts w:ascii="Arial" w:hAnsi="Arial" w:cs="Arial"/>
        </w:rPr>
        <w:t xml:space="preserve"> et al., </w:t>
      </w:r>
      <w:r w:rsidR="00754DD1" w:rsidRPr="00754DD1">
        <w:rPr>
          <w:rFonts w:ascii="Arial" w:hAnsi="Arial" w:cs="Arial"/>
        </w:rPr>
        <w:t>2019).</w:t>
      </w:r>
      <w:r w:rsidRPr="00B63E23">
        <w:rPr>
          <w:rFonts w:ascii="Arial" w:hAnsi="Arial" w:cs="Arial"/>
        </w:rPr>
        <w:t xml:space="preserve"> In contrast, the Bottom-Up model emphasizes the role of discretion and adaptation by actors at the sub-district and school levels, </w:t>
      </w:r>
      <w:r w:rsidRPr="00B63E23">
        <w:rPr>
          <w:rFonts w:ascii="Arial" w:hAnsi="Arial" w:cs="Arial"/>
        </w:rPr>
        <w:lastRenderedPageBreak/>
        <w:t>recognizing that local contexts (such as culture, infrastructure, and socio-economic context) significantly influence successful implementation (</w:t>
      </w:r>
      <w:r w:rsidR="00185BE4" w:rsidRPr="00185BE4">
        <w:rPr>
          <w:rFonts w:ascii="Arial" w:hAnsi="Arial" w:cs="Arial"/>
        </w:rPr>
        <w:t xml:space="preserve">Jameaba, 2013). </w:t>
      </w:r>
      <w:r w:rsidRPr="00B63E23">
        <w:rPr>
          <w:rFonts w:ascii="Arial" w:hAnsi="Arial" w:cs="Arial"/>
        </w:rPr>
        <w:t>Teacher allocation policies for remote areas in Indonesia, such as the Frontline Teacher (GGD) program or special incentive schemes, often fail to achieve optimal results due to a disconnect between policy design at the central level and the reality of implementation on the ground (</w:t>
      </w:r>
      <w:r w:rsidR="00B066D5">
        <w:rPr>
          <w:rFonts w:ascii="Arial" w:hAnsi="Arial" w:cs="Arial"/>
        </w:rPr>
        <w:t>Pratiwi</w:t>
      </w:r>
      <w:r w:rsidRPr="00B63E23">
        <w:rPr>
          <w:rFonts w:ascii="Arial" w:hAnsi="Arial" w:cs="Arial"/>
        </w:rPr>
        <w:t>, 202</w:t>
      </w:r>
      <w:r w:rsidR="00B066D5">
        <w:rPr>
          <w:rFonts w:ascii="Arial" w:hAnsi="Arial" w:cs="Arial"/>
        </w:rPr>
        <w:t>2</w:t>
      </w:r>
      <w:r w:rsidRPr="00B63E23">
        <w:rPr>
          <w:rFonts w:ascii="Arial" w:hAnsi="Arial" w:cs="Arial"/>
        </w:rPr>
        <w:t>;</w:t>
      </w:r>
      <w:r w:rsidR="00185BE4" w:rsidRPr="00185BE4">
        <w:rPr>
          <w:rFonts w:ascii="Arial" w:eastAsia="Times New Roman" w:hAnsi="Arial" w:cs="Arial"/>
          <w:color w:val="222222"/>
          <w:sz w:val="20"/>
          <w:szCs w:val="20"/>
          <w:shd w:val="clear" w:color="auto" w:fill="FFFFFF"/>
        </w:rPr>
        <w:t xml:space="preserve"> </w:t>
      </w:r>
      <w:r w:rsidR="00185BE4" w:rsidRPr="00185BE4">
        <w:rPr>
          <w:rFonts w:ascii="Arial" w:hAnsi="Arial" w:cs="Arial"/>
        </w:rPr>
        <w:t>Rahmadi</w:t>
      </w:r>
      <w:r w:rsidR="00185BE4">
        <w:rPr>
          <w:rFonts w:ascii="Arial" w:hAnsi="Arial" w:cs="Arial"/>
        </w:rPr>
        <w:t xml:space="preserve"> et al., </w:t>
      </w:r>
      <w:r w:rsidR="00185BE4" w:rsidRPr="00185BE4">
        <w:rPr>
          <w:rFonts w:ascii="Arial" w:hAnsi="Arial" w:cs="Arial"/>
        </w:rPr>
        <w:t>2010).</w:t>
      </w:r>
      <w:r w:rsidRPr="00B63E23">
        <w:rPr>
          <w:rFonts w:ascii="Arial" w:hAnsi="Arial" w:cs="Arial"/>
        </w:rPr>
        <w:t xml:space="preserve"> This failure is often exacerbated by rigid bureaucracy, a lack of accurate data on actual teacher needs, and weak coordination between levels of government (Widodo &amp; Prasetyo, 2022;</w:t>
      </w:r>
      <w:r w:rsidR="009522DD" w:rsidRPr="009522DD">
        <w:rPr>
          <w:rFonts w:ascii="Arial" w:eastAsia="Times New Roman" w:hAnsi="Arial" w:cs="Arial"/>
          <w:color w:val="222222"/>
          <w:sz w:val="20"/>
          <w:szCs w:val="20"/>
          <w:shd w:val="clear" w:color="auto" w:fill="FFFFFF"/>
        </w:rPr>
        <w:t xml:space="preserve"> </w:t>
      </w:r>
      <w:r w:rsidR="009522DD" w:rsidRPr="009522DD">
        <w:rPr>
          <w:rFonts w:ascii="Arial" w:hAnsi="Arial" w:cs="Arial"/>
        </w:rPr>
        <w:t>Widhiasthini</w:t>
      </w:r>
      <w:r w:rsidR="009522DD">
        <w:rPr>
          <w:rFonts w:ascii="Arial" w:hAnsi="Arial" w:cs="Arial"/>
        </w:rPr>
        <w:t xml:space="preserve"> et al., </w:t>
      </w:r>
      <w:r w:rsidR="009522DD" w:rsidRPr="009522DD">
        <w:rPr>
          <w:rFonts w:ascii="Arial" w:hAnsi="Arial" w:cs="Arial"/>
        </w:rPr>
        <w:t>2024).</w:t>
      </w:r>
    </w:p>
    <w:p w14:paraId="47C8F2A2" w14:textId="64F30930" w:rsidR="009F0CAD" w:rsidRPr="00B63E23" w:rsidRDefault="009F0CAD" w:rsidP="009F0CAD">
      <w:pPr>
        <w:pStyle w:val="IsiParagarf"/>
        <w:rPr>
          <w:rFonts w:ascii="Arial" w:hAnsi="Arial" w:cs="Arial"/>
        </w:rPr>
      </w:pPr>
      <w:r w:rsidRPr="00B63E23">
        <w:rPr>
          <w:rFonts w:ascii="Arial" w:hAnsi="Arial" w:cs="Arial"/>
        </w:rPr>
        <w:t>Furthermore, the concept of Spatial Justice is also an important lens. Spatial justice demands that public resources, including qualified teachers, be distributed in such a way as to compensate for the geographic disadvantages experienced by communities in remote areas (</w:t>
      </w:r>
      <w:r w:rsidR="006F7867" w:rsidRPr="006F7867">
        <w:rPr>
          <w:rFonts w:ascii="Arial" w:hAnsi="Arial" w:cs="Arial"/>
        </w:rPr>
        <w:t>Muhaimin</w:t>
      </w:r>
      <w:r w:rsidR="006F7867">
        <w:rPr>
          <w:rFonts w:ascii="Arial" w:hAnsi="Arial" w:cs="Arial"/>
        </w:rPr>
        <w:t xml:space="preserve"> et al., </w:t>
      </w:r>
      <w:r w:rsidR="006F7867" w:rsidRPr="006F7867">
        <w:rPr>
          <w:rFonts w:ascii="Arial" w:hAnsi="Arial" w:cs="Arial"/>
        </w:rPr>
        <w:t>2022).</w:t>
      </w:r>
      <w:r w:rsidRPr="00B63E23">
        <w:rPr>
          <w:rFonts w:ascii="Arial" w:hAnsi="Arial" w:cs="Arial"/>
        </w:rPr>
        <w:t xml:space="preserve"> This means that teacher allocation should not be based on simple proportionality, but rather should be affirmative and provide substantial incentives to attract and retain competent teachers (</w:t>
      </w:r>
      <w:r w:rsidR="008F3066" w:rsidRPr="008F3066">
        <w:rPr>
          <w:rFonts w:ascii="Arial" w:hAnsi="Arial" w:cs="Arial"/>
        </w:rPr>
        <w:t>Saultz</w:t>
      </w:r>
      <w:r w:rsidR="008F3066">
        <w:rPr>
          <w:rFonts w:ascii="Arial" w:hAnsi="Arial" w:cs="Arial"/>
        </w:rPr>
        <w:t xml:space="preserve"> et al., 2017</w:t>
      </w:r>
      <w:r w:rsidRPr="00B63E23">
        <w:rPr>
          <w:rFonts w:ascii="Arial" w:hAnsi="Arial" w:cs="Arial"/>
        </w:rPr>
        <w:t>;</w:t>
      </w:r>
      <w:r w:rsidR="00967CAE" w:rsidRPr="00967CAE">
        <w:rPr>
          <w:rFonts w:ascii="Arial" w:eastAsia="Times New Roman" w:hAnsi="Arial" w:cs="Arial"/>
          <w:color w:val="222222"/>
          <w:sz w:val="20"/>
          <w:szCs w:val="20"/>
          <w:shd w:val="clear" w:color="auto" w:fill="FFFFFF"/>
        </w:rPr>
        <w:t xml:space="preserve"> </w:t>
      </w:r>
      <w:r w:rsidR="00967CAE" w:rsidRPr="00967CAE">
        <w:rPr>
          <w:rFonts w:ascii="Arial" w:hAnsi="Arial" w:cs="Arial"/>
        </w:rPr>
        <w:t>Sulisworo</w:t>
      </w:r>
      <w:r w:rsidR="00967CAE">
        <w:rPr>
          <w:rFonts w:ascii="Arial" w:hAnsi="Arial" w:cs="Arial"/>
        </w:rPr>
        <w:t xml:space="preserve"> et al., </w:t>
      </w:r>
      <w:r w:rsidR="00967CAE" w:rsidRPr="00967CAE">
        <w:rPr>
          <w:rFonts w:ascii="Arial" w:hAnsi="Arial" w:cs="Arial"/>
        </w:rPr>
        <w:t>2017</w:t>
      </w:r>
      <w:r w:rsidRPr="00B63E23">
        <w:rPr>
          <w:rFonts w:ascii="Arial" w:hAnsi="Arial" w:cs="Arial"/>
        </w:rPr>
        <w:t>). This research will use this conceptual framework to evaluate the extent to which current teacher allocation policies meet the principles of distributive and spatial justice in remote sub-districts</w:t>
      </w:r>
      <w:r w:rsidR="004F52BA" w:rsidRPr="004F52BA">
        <w:rPr>
          <w:rFonts w:ascii="Arial" w:eastAsia="Times New Roman" w:hAnsi="Arial" w:cs="Arial"/>
          <w:color w:val="222222"/>
          <w:sz w:val="20"/>
          <w:szCs w:val="20"/>
          <w:shd w:val="clear" w:color="auto" w:fill="FFFFFF"/>
        </w:rPr>
        <w:t xml:space="preserve"> </w:t>
      </w:r>
      <w:r w:rsidR="004F52BA">
        <w:rPr>
          <w:rFonts w:ascii="Arial" w:eastAsia="Times New Roman" w:hAnsi="Arial" w:cs="Arial"/>
          <w:color w:val="222222"/>
          <w:sz w:val="20"/>
          <w:szCs w:val="20"/>
          <w:shd w:val="clear" w:color="auto" w:fill="FFFFFF"/>
        </w:rPr>
        <w:t>(</w:t>
      </w:r>
      <w:r w:rsidR="004F52BA" w:rsidRPr="004F52BA">
        <w:rPr>
          <w:rFonts w:ascii="Arial" w:hAnsi="Arial" w:cs="Arial"/>
        </w:rPr>
        <w:t>Kempa, 2019</w:t>
      </w:r>
      <w:r w:rsidRPr="00B63E23">
        <w:rPr>
          <w:rFonts w:ascii="Arial" w:hAnsi="Arial" w:cs="Arial"/>
        </w:rPr>
        <w:t xml:space="preserve">; </w:t>
      </w:r>
      <w:r w:rsidR="008F3C31" w:rsidRPr="008F3C31">
        <w:rPr>
          <w:rFonts w:ascii="Arial" w:hAnsi="Arial" w:cs="Arial"/>
        </w:rPr>
        <w:t>Wijaya &amp; Ishihara, 2018).</w:t>
      </w:r>
    </w:p>
    <w:p w14:paraId="03110560" w14:textId="0DDD71D1" w:rsidR="009F0CAD" w:rsidRPr="00B63E23" w:rsidRDefault="009F0CAD" w:rsidP="009F0CAD">
      <w:pPr>
        <w:pStyle w:val="IsiParagarf"/>
        <w:rPr>
          <w:rFonts w:ascii="Arial" w:hAnsi="Arial" w:cs="Arial"/>
        </w:rPr>
      </w:pPr>
      <w:r w:rsidRPr="00B63E23">
        <w:rPr>
          <w:rFonts w:ascii="Arial" w:hAnsi="Arial" w:cs="Arial"/>
        </w:rPr>
        <w:t>Although the issue of teacher allocation has been extensively researched, several significant research gaps remain, particularly related to the post-2020 policy context and the specific focus on remote sub-districts (rather than simply "3T" areas in general). First, most previous research tends to focus on the impact of teacher shortages on student learning outcomes (</w:t>
      </w:r>
      <w:r w:rsidR="004F52BA" w:rsidRPr="004F52BA">
        <w:rPr>
          <w:rFonts w:ascii="Arial" w:hAnsi="Arial" w:cs="Arial"/>
        </w:rPr>
        <w:t>Castro,</w:t>
      </w:r>
      <w:r w:rsidR="004F52BA">
        <w:rPr>
          <w:rFonts w:ascii="Arial" w:hAnsi="Arial" w:cs="Arial"/>
        </w:rPr>
        <w:t xml:space="preserve"> </w:t>
      </w:r>
      <w:r w:rsidRPr="00B63E23">
        <w:rPr>
          <w:rFonts w:ascii="Arial" w:hAnsi="Arial" w:cs="Arial"/>
        </w:rPr>
        <w:t>202</w:t>
      </w:r>
      <w:r w:rsidR="004F52BA">
        <w:rPr>
          <w:rFonts w:ascii="Arial" w:hAnsi="Arial" w:cs="Arial"/>
        </w:rPr>
        <w:t>3</w:t>
      </w:r>
      <w:r w:rsidRPr="00B63E23">
        <w:rPr>
          <w:rFonts w:ascii="Arial" w:hAnsi="Arial" w:cs="Arial"/>
        </w:rPr>
        <w:t>), but lacks a thorough examination of the mechanisms and constraints of allocation policies themselves from the perspective of implementers at the sub-district level (Darmawan &amp; Hadi, 2023).</w:t>
      </w:r>
    </w:p>
    <w:p w14:paraId="3F07E328" w14:textId="703C996D" w:rsidR="009F0CAD" w:rsidRPr="00B63E23" w:rsidRDefault="009F0CAD" w:rsidP="009F0CAD">
      <w:pPr>
        <w:pStyle w:val="IsiParagarf"/>
        <w:rPr>
          <w:rFonts w:ascii="Arial" w:hAnsi="Arial" w:cs="Arial"/>
        </w:rPr>
      </w:pPr>
      <w:r w:rsidRPr="00B63E23">
        <w:rPr>
          <w:rFonts w:ascii="Arial" w:hAnsi="Arial" w:cs="Arial"/>
        </w:rPr>
        <w:t>This lack of focus on a bottom-up perspective often results in policy recommendations being general and inapplicable to the unique conditions of remote areas (</w:t>
      </w:r>
      <w:r w:rsidR="001E5D9B" w:rsidRPr="001E5D9B">
        <w:rPr>
          <w:rFonts w:ascii="Arial" w:hAnsi="Arial" w:cs="Arial"/>
        </w:rPr>
        <w:t>Crescenzi &amp; Rodríguez-Pose, 2011).</w:t>
      </w:r>
      <w:r w:rsidRPr="00B63E23">
        <w:rPr>
          <w:rFonts w:ascii="Arial" w:hAnsi="Arial" w:cs="Arial"/>
        </w:rPr>
        <w:t xml:space="preserve"> Second, significant policy shifts have occurred post-2020, such as reforms to the State Civil Apparatus (</w:t>
      </w:r>
      <w:r w:rsidR="00BF303C">
        <w:rPr>
          <w:rFonts w:ascii="Arial" w:hAnsi="Arial" w:cs="Arial"/>
        </w:rPr>
        <w:t>CIVIL SERVANT</w:t>
      </w:r>
      <w:r w:rsidRPr="00B63E23">
        <w:rPr>
          <w:rFonts w:ascii="Arial" w:hAnsi="Arial" w:cs="Arial"/>
        </w:rPr>
        <w:t>) procurement through the Government Employees with Work Agreements (PPPK) scheme for teachers and an emphasis on regional autonomy in education management (</w:t>
      </w:r>
      <w:r w:rsidR="00B615AF" w:rsidRPr="00B615AF">
        <w:rPr>
          <w:rFonts w:ascii="Arial" w:hAnsi="Arial" w:cs="Arial"/>
        </w:rPr>
        <w:t>Fathuloh</w:t>
      </w:r>
      <w:r w:rsidR="00B615AF">
        <w:rPr>
          <w:rFonts w:ascii="Arial" w:hAnsi="Arial" w:cs="Arial"/>
        </w:rPr>
        <w:t xml:space="preserve"> et al., </w:t>
      </w:r>
      <w:r w:rsidR="00B615AF" w:rsidRPr="00B615AF">
        <w:rPr>
          <w:rFonts w:ascii="Arial" w:hAnsi="Arial" w:cs="Arial"/>
        </w:rPr>
        <w:t>2023</w:t>
      </w:r>
      <w:r w:rsidRPr="00B63E23">
        <w:rPr>
          <w:rFonts w:ascii="Arial" w:hAnsi="Arial" w:cs="Arial"/>
          <w:lang w:val="id-ID"/>
        </w:rPr>
        <w:t>; Murniarti, 2020</w:t>
      </w:r>
      <w:r w:rsidRPr="00B63E23">
        <w:rPr>
          <w:rFonts w:ascii="Arial" w:hAnsi="Arial" w:cs="Arial"/>
        </w:rPr>
        <w:t>). The impact of these new policies on the dynamics of teacher allocation, particularly in remote sub-districts that rely heavily on central initiatives, has not been fully explored systematically (</w:t>
      </w:r>
      <w:r w:rsidR="00EB7302" w:rsidRPr="00EB7302">
        <w:rPr>
          <w:rFonts w:ascii="Arial" w:hAnsi="Arial" w:cs="Arial"/>
        </w:rPr>
        <w:t>Hasegawa, 2013</w:t>
      </w:r>
      <w:r w:rsidRPr="00B63E23">
        <w:rPr>
          <w:rFonts w:ascii="Arial" w:hAnsi="Arial" w:cs="Arial"/>
        </w:rPr>
        <w:t>;</w:t>
      </w:r>
      <w:r w:rsidR="00027BC9">
        <w:rPr>
          <w:rFonts w:ascii="Arial" w:hAnsi="Arial" w:cs="Arial"/>
        </w:rPr>
        <w:t xml:space="preserve"> </w:t>
      </w:r>
      <w:r w:rsidR="00027BC9" w:rsidRPr="00027BC9">
        <w:rPr>
          <w:rFonts w:ascii="Arial" w:hAnsi="Arial" w:cs="Arial"/>
        </w:rPr>
        <w:t>Asim</w:t>
      </w:r>
      <w:r w:rsidR="00027BC9">
        <w:rPr>
          <w:rFonts w:ascii="Arial" w:hAnsi="Arial" w:cs="Arial"/>
        </w:rPr>
        <w:t xml:space="preserve"> et al., 2017</w:t>
      </w:r>
      <w:r w:rsidRPr="00B63E23">
        <w:rPr>
          <w:rFonts w:ascii="Arial" w:hAnsi="Arial" w:cs="Arial"/>
        </w:rPr>
        <w:t>).</w:t>
      </w:r>
    </w:p>
    <w:p w14:paraId="2CA2409D" w14:textId="31281DA1" w:rsidR="009F0CAD" w:rsidRPr="00B63E23" w:rsidRDefault="009F0CAD" w:rsidP="009F0CAD">
      <w:pPr>
        <w:pStyle w:val="IsiParagarf"/>
        <w:rPr>
          <w:rFonts w:ascii="Arial" w:hAnsi="Arial" w:cs="Arial"/>
        </w:rPr>
      </w:pPr>
      <w:r w:rsidRPr="00B63E23">
        <w:rPr>
          <w:rFonts w:ascii="Arial" w:hAnsi="Arial" w:cs="Arial"/>
        </w:rPr>
        <w:t>Existing research often uses pre-pandemic or pre-PPPK implementation data, thus limiting its relevance to the current policy context (</w:t>
      </w:r>
      <w:r w:rsidR="00D323E7" w:rsidRPr="00D323E7">
        <w:rPr>
          <w:rFonts w:ascii="Arial" w:hAnsi="Arial" w:cs="Arial"/>
        </w:rPr>
        <w:t>Parasti &amp; Murwaningsih,</w:t>
      </w:r>
      <w:r w:rsidR="00D323E7">
        <w:rPr>
          <w:rFonts w:ascii="Arial" w:hAnsi="Arial" w:cs="Arial"/>
        </w:rPr>
        <w:t xml:space="preserve"> </w:t>
      </w:r>
      <w:r w:rsidR="00D323E7" w:rsidRPr="00D323E7">
        <w:rPr>
          <w:rFonts w:ascii="Arial" w:hAnsi="Arial" w:cs="Arial"/>
        </w:rPr>
        <w:t>2025</w:t>
      </w:r>
      <w:r w:rsidRPr="00B63E23">
        <w:rPr>
          <w:rFonts w:ascii="Arial" w:hAnsi="Arial" w:cs="Arial"/>
        </w:rPr>
        <w:t>;</w:t>
      </w:r>
      <w:r w:rsidR="005E4900" w:rsidRPr="005E4900">
        <w:rPr>
          <w:rFonts w:ascii="Arial" w:eastAsia="Times New Roman" w:hAnsi="Arial" w:cs="Arial"/>
          <w:color w:val="222222"/>
          <w:sz w:val="20"/>
          <w:szCs w:val="20"/>
          <w:shd w:val="clear" w:color="auto" w:fill="FFFFFF"/>
        </w:rPr>
        <w:t xml:space="preserve"> </w:t>
      </w:r>
      <w:r w:rsidR="005E4900" w:rsidRPr="005E4900">
        <w:rPr>
          <w:rFonts w:ascii="Arial" w:hAnsi="Arial" w:cs="Arial"/>
        </w:rPr>
        <w:t>Syahputra &amp; Budi Hartono,</w:t>
      </w:r>
      <w:r w:rsidR="005E4900">
        <w:rPr>
          <w:rFonts w:ascii="Arial" w:hAnsi="Arial" w:cs="Arial"/>
        </w:rPr>
        <w:t xml:space="preserve"> 2022</w:t>
      </w:r>
      <w:r w:rsidRPr="00B63E23">
        <w:rPr>
          <w:rFonts w:ascii="Arial" w:hAnsi="Arial" w:cs="Arial"/>
        </w:rPr>
        <w:t>). Third, comprehensive studies on effective incentive design to retain qualified teachers in remote locations are still limited (</w:t>
      </w:r>
      <w:r w:rsidR="00262527" w:rsidRPr="00262527">
        <w:rPr>
          <w:rFonts w:ascii="Arial" w:hAnsi="Arial" w:cs="Arial"/>
        </w:rPr>
        <w:t>Ferdina</w:t>
      </w:r>
      <w:r w:rsidR="00262527">
        <w:rPr>
          <w:rFonts w:ascii="Arial" w:hAnsi="Arial" w:cs="Arial"/>
        </w:rPr>
        <w:t xml:space="preserve"> et al., </w:t>
      </w:r>
      <w:r w:rsidR="00262527" w:rsidRPr="00262527">
        <w:rPr>
          <w:rFonts w:ascii="Arial" w:hAnsi="Arial" w:cs="Arial"/>
        </w:rPr>
        <w:t>2024).</w:t>
      </w:r>
      <w:r w:rsidRPr="00B63E23">
        <w:rPr>
          <w:rFonts w:ascii="Arial" w:hAnsi="Arial" w:cs="Arial"/>
        </w:rPr>
        <w:t xml:space="preserve"> Financial incentives are often insufficient to address non-financial challenges such as social isolation, lack of healthcare facilities, and limited career development </w:t>
      </w:r>
      <w:r w:rsidRPr="00B63E23">
        <w:rPr>
          <w:rFonts w:ascii="Arial" w:hAnsi="Arial" w:cs="Arial"/>
        </w:rPr>
        <w:lastRenderedPageBreak/>
        <w:t>opportunities (</w:t>
      </w:r>
      <w:r w:rsidR="004F52BA" w:rsidRPr="004F52BA">
        <w:rPr>
          <w:rFonts w:ascii="Arial" w:hAnsi="Arial" w:cs="Arial"/>
        </w:rPr>
        <w:t>Gadsden</w:t>
      </w:r>
      <w:r w:rsidR="004F52BA">
        <w:rPr>
          <w:rFonts w:ascii="Arial" w:hAnsi="Arial" w:cs="Arial"/>
        </w:rPr>
        <w:t xml:space="preserve"> et al</w:t>
      </w:r>
      <w:r w:rsidR="004F52BA" w:rsidRPr="004F52BA">
        <w:rPr>
          <w:rFonts w:ascii="Arial" w:hAnsi="Arial" w:cs="Arial"/>
        </w:rPr>
        <w:t>.</w:t>
      </w:r>
      <w:r w:rsidR="004F52BA">
        <w:rPr>
          <w:rFonts w:ascii="Arial" w:hAnsi="Arial" w:cs="Arial"/>
        </w:rPr>
        <w:t>, 2021</w:t>
      </w:r>
      <w:r w:rsidRPr="00B63E23">
        <w:rPr>
          <w:rFonts w:ascii="Arial" w:hAnsi="Arial" w:cs="Arial"/>
        </w:rPr>
        <w:t>). This study seeks to fill this gap by analyzing incentive policies more holistically, considering non-material factors that are important for the sustainability of teacher placement (</w:t>
      </w:r>
      <w:r w:rsidR="001E5D9B" w:rsidRPr="001E5D9B">
        <w:rPr>
          <w:rFonts w:ascii="Arial" w:hAnsi="Arial" w:cs="Arial"/>
        </w:rPr>
        <w:t>Brewis, 2019</w:t>
      </w:r>
      <w:r w:rsidRPr="00B63E23">
        <w:rPr>
          <w:rFonts w:ascii="Arial" w:hAnsi="Arial" w:cs="Arial"/>
        </w:rPr>
        <w:t xml:space="preserve">; </w:t>
      </w:r>
      <w:r w:rsidR="009E1D67" w:rsidRPr="009E1D67">
        <w:rPr>
          <w:rFonts w:ascii="Arial" w:hAnsi="Arial" w:cs="Arial"/>
        </w:rPr>
        <w:t xml:space="preserve">Aisyah &amp; Yuswono, 2025). </w:t>
      </w:r>
    </w:p>
    <w:p w14:paraId="679591A9" w14:textId="3EB1C857" w:rsidR="009F0CAD" w:rsidRPr="00B63E23" w:rsidRDefault="009F0CAD" w:rsidP="009F0CAD">
      <w:pPr>
        <w:pStyle w:val="IsiParagarf"/>
        <w:rPr>
          <w:rFonts w:ascii="Arial" w:hAnsi="Arial" w:cs="Arial"/>
        </w:rPr>
      </w:pPr>
      <w:r w:rsidRPr="00B63E23">
        <w:rPr>
          <w:rFonts w:ascii="Arial" w:hAnsi="Arial" w:cs="Arial"/>
        </w:rPr>
        <w:t>Therefore, the contributions of this study are as follows: (1) Providing an in-depth analysis of teacher allocation policy with a specific focus on dynamics in remote sub-districts, using both a top-down and bottom-up implementation lens. (2) Evaluate the impact and constraints of post-2020 teacher allocation policies, particularly those related to the PPPK scheme and regional autonomy, using the latest data and literature (2020-2024). (3) Formulate a more applicable and sustainable policy recommendation model, which emphasizes not only the quantity of teachers, but also the quality of placement, retention mechanisms, and the principle of spatial equity (</w:t>
      </w:r>
      <w:r w:rsidR="009E7BA0" w:rsidRPr="009E7BA0">
        <w:rPr>
          <w:rFonts w:ascii="Arial" w:hAnsi="Arial" w:cs="Arial"/>
        </w:rPr>
        <w:t>Herman,</w:t>
      </w:r>
      <w:r w:rsidRPr="00B63E23">
        <w:rPr>
          <w:rFonts w:ascii="Arial" w:hAnsi="Arial" w:cs="Arial"/>
        </w:rPr>
        <w:t xml:space="preserve"> 202</w:t>
      </w:r>
      <w:r w:rsidR="009E7BA0">
        <w:rPr>
          <w:rFonts w:ascii="Arial" w:hAnsi="Arial" w:cs="Arial"/>
        </w:rPr>
        <w:t>3</w:t>
      </w:r>
      <w:r w:rsidRPr="00B63E23">
        <w:rPr>
          <w:rFonts w:ascii="Arial" w:hAnsi="Arial" w:cs="Arial"/>
        </w:rPr>
        <w:t>;</w:t>
      </w:r>
      <w:r w:rsidR="00C22B6C" w:rsidRPr="00C22B6C">
        <w:rPr>
          <w:rFonts w:ascii="Arial" w:eastAsia="Times New Roman" w:hAnsi="Arial" w:cs="Arial"/>
          <w:color w:val="222222"/>
          <w:sz w:val="20"/>
          <w:szCs w:val="20"/>
          <w:shd w:val="clear" w:color="auto" w:fill="FFFFFF"/>
        </w:rPr>
        <w:t xml:space="preserve"> </w:t>
      </w:r>
      <w:r w:rsidR="00C22B6C" w:rsidRPr="00C22B6C">
        <w:rPr>
          <w:rFonts w:ascii="Arial" w:hAnsi="Arial" w:cs="Arial"/>
        </w:rPr>
        <w:t>Brooks &amp; Perryman, 2024).</w:t>
      </w:r>
      <w:r w:rsidRPr="00B63E23">
        <w:rPr>
          <w:rFonts w:ascii="Arial" w:hAnsi="Arial" w:cs="Arial"/>
        </w:rPr>
        <w:t xml:space="preserve"> This research is expected to be an important reference for policymakers at the central and regional levels in designing educational equity strategies that are more pro-community in remote areas (</w:t>
      </w:r>
      <w:r w:rsidR="004F3292" w:rsidRPr="004F3292">
        <w:rPr>
          <w:rFonts w:ascii="Arial" w:hAnsi="Arial" w:cs="Arial"/>
        </w:rPr>
        <w:t>Gaddefors</w:t>
      </w:r>
      <w:r w:rsidR="004F3292">
        <w:rPr>
          <w:rFonts w:ascii="Arial" w:hAnsi="Arial" w:cs="Arial"/>
        </w:rPr>
        <w:t xml:space="preserve"> et al.</w:t>
      </w:r>
      <w:r w:rsidR="004F3292" w:rsidRPr="004F3292">
        <w:rPr>
          <w:rFonts w:ascii="Arial" w:hAnsi="Arial" w:cs="Arial"/>
        </w:rPr>
        <w:t>, 2020</w:t>
      </w:r>
      <w:r w:rsidRPr="00B63E23">
        <w:rPr>
          <w:rFonts w:ascii="Arial" w:hAnsi="Arial" w:cs="Arial"/>
        </w:rPr>
        <w:t>;</w:t>
      </w:r>
      <w:r w:rsidR="006F7867" w:rsidRPr="006F7867">
        <w:rPr>
          <w:rFonts w:ascii="Arial" w:eastAsia="Times New Roman" w:hAnsi="Arial" w:cs="Arial"/>
          <w:color w:val="222222"/>
          <w:sz w:val="20"/>
          <w:szCs w:val="20"/>
          <w:shd w:val="clear" w:color="auto" w:fill="FFFFFF"/>
        </w:rPr>
        <w:t xml:space="preserve"> </w:t>
      </w:r>
      <w:r w:rsidR="006F7867" w:rsidRPr="006F7867">
        <w:rPr>
          <w:rFonts w:ascii="Arial" w:hAnsi="Arial" w:cs="Arial"/>
        </w:rPr>
        <w:t>Edwards Jr, 2017). </w:t>
      </w:r>
    </w:p>
    <w:p w14:paraId="41E81E7B" w14:textId="7001FD4C" w:rsidR="00790ADA" w:rsidRPr="00B63E23" w:rsidRDefault="00790ADA" w:rsidP="009F0CAD">
      <w:pPr>
        <w:pStyle w:val="Body"/>
        <w:spacing w:after="0"/>
        <w:rPr>
          <w:rFonts w:ascii="Arial" w:hAnsi="Arial" w:cs="Arial"/>
          <w:sz w:val="22"/>
          <w:szCs w:val="22"/>
        </w:rPr>
      </w:pPr>
    </w:p>
    <w:p w14:paraId="00E632F3" w14:textId="5A6345F4" w:rsidR="007F7B32" w:rsidRPr="00B63E23" w:rsidRDefault="00902823" w:rsidP="00441B6F">
      <w:pPr>
        <w:pStyle w:val="AbstHead"/>
        <w:spacing w:after="0"/>
        <w:jc w:val="both"/>
        <w:rPr>
          <w:rFonts w:ascii="Arial" w:hAnsi="Arial" w:cs="Arial"/>
          <w:szCs w:val="22"/>
        </w:rPr>
      </w:pPr>
      <w:r w:rsidRPr="00B63E23">
        <w:rPr>
          <w:rFonts w:ascii="Arial" w:hAnsi="Arial" w:cs="Arial"/>
          <w:szCs w:val="22"/>
        </w:rPr>
        <w:t>2. material and method</w:t>
      </w:r>
      <w:r w:rsidR="00000F8F" w:rsidRPr="00B63E23">
        <w:rPr>
          <w:rFonts w:ascii="Arial" w:hAnsi="Arial" w:cs="Arial"/>
          <w:szCs w:val="22"/>
        </w:rPr>
        <w:t xml:space="preserve">s </w:t>
      </w:r>
    </w:p>
    <w:p w14:paraId="75A1D468" w14:textId="77777777" w:rsidR="009F0CAD" w:rsidRPr="00B63E23" w:rsidRDefault="009F0CAD" w:rsidP="009F0CAD">
      <w:pPr>
        <w:pStyle w:val="IsiParagarf"/>
        <w:ind w:firstLine="0"/>
        <w:rPr>
          <w:rFonts w:ascii="Arial" w:hAnsi="Arial" w:cs="Arial"/>
          <w:b/>
          <w:bCs/>
        </w:rPr>
      </w:pPr>
      <w:r w:rsidRPr="00B63E23">
        <w:rPr>
          <w:rFonts w:ascii="Arial" w:hAnsi="Arial" w:cs="Arial"/>
          <w:b/>
          <w:bCs/>
        </w:rPr>
        <w:t>A. Research Design</w:t>
      </w:r>
    </w:p>
    <w:p w14:paraId="5C5E90FE" w14:textId="77777777" w:rsidR="009F0CAD" w:rsidRPr="00B63E23" w:rsidRDefault="009F0CAD" w:rsidP="009F0CAD">
      <w:pPr>
        <w:pStyle w:val="IsiParagarf"/>
        <w:rPr>
          <w:rFonts w:ascii="Arial" w:hAnsi="Arial" w:cs="Arial"/>
          <w:lang w:val="id-ID"/>
        </w:rPr>
      </w:pPr>
      <w:r w:rsidRPr="00B63E23">
        <w:rPr>
          <w:rFonts w:ascii="Arial" w:hAnsi="Arial" w:cs="Arial"/>
        </w:rPr>
        <w:t>This research uses a descriptive-analytical Systematic Literature Review (SLR) approach. The SLR approach was chosen to ensure that the literature identification, selection, and evaluation process is conducted in a transparent, structured, and replicable manner, resulting in a comprehensive synthesis.</w:t>
      </w:r>
      <w:r w:rsidRPr="00B63E23">
        <w:rPr>
          <w:rFonts w:ascii="Arial" w:hAnsi="Arial" w:cs="Arial"/>
          <w:lang w:val="id-ID"/>
        </w:rPr>
        <w:t>.</w:t>
      </w:r>
    </w:p>
    <w:p w14:paraId="32ED39D0" w14:textId="77777777" w:rsidR="009F0CAD" w:rsidRPr="00B63E23" w:rsidRDefault="009F0CAD" w:rsidP="009F0CAD">
      <w:pPr>
        <w:pStyle w:val="IsiParagarf"/>
        <w:ind w:firstLine="0"/>
        <w:rPr>
          <w:rFonts w:ascii="Arial" w:hAnsi="Arial" w:cs="Arial"/>
          <w:b/>
          <w:bCs/>
        </w:rPr>
      </w:pPr>
      <w:r w:rsidRPr="00B63E23">
        <w:rPr>
          <w:rFonts w:ascii="Arial" w:hAnsi="Arial" w:cs="Arial"/>
          <w:b/>
          <w:bCs/>
        </w:rPr>
        <w:t>B. Search Strategy and Data Sources</w:t>
      </w:r>
    </w:p>
    <w:p w14:paraId="51CFBCB9" w14:textId="77777777" w:rsidR="009F0CAD" w:rsidRPr="00B63E23" w:rsidRDefault="009F0CAD" w:rsidP="009F0CAD">
      <w:pPr>
        <w:pStyle w:val="IsiParagarf"/>
        <w:ind w:firstLine="0"/>
        <w:rPr>
          <w:rFonts w:ascii="Arial" w:hAnsi="Arial" w:cs="Arial"/>
          <w:b/>
          <w:bCs/>
        </w:rPr>
      </w:pPr>
      <w:r w:rsidRPr="00B63E23">
        <w:rPr>
          <w:rFonts w:ascii="Arial" w:hAnsi="Arial" w:cs="Arial"/>
          <w:b/>
          <w:bCs/>
        </w:rPr>
        <w:t>1. Databases</w:t>
      </w:r>
    </w:p>
    <w:p w14:paraId="2987EF15" w14:textId="77777777" w:rsidR="009F0CAD" w:rsidRPr="00B63E23" w:rsidRDefault="009F0CAD" w:rsidP="009F0CAD">
      <w:pPr>
        <w:pStyle w:val="IsiParagarf"/>
        <w:rPr>
          <w:rFonts w:ascii="Arial" w:hAnsi="Arial" w:cs="Arial"/>
        </w:rPr>
      </w:pPr>
      <w:r w:rsidRPr="00B63E23">
        <w:rPr>
          <w:rFonts w:ascii="Arial" w:hAnsi="Arial" w:cs="Arial"/>
        </w:rPr>
        <w:t>The literature search was conducted through reputable electronic databases covering international and national literature. The databases used include:</w:t>
      </w:r>
    </w:p>
    <w:p w14:paraId="5EEBC55B" w14:textId="77777777" w:rsidR="009F0CAD" w:rsidRPr="00B63E23" w:rsidRDefault="009F0CAD" w:rsidP="009F0CAD">
      <w:pPr>
        <w:pStyle w:val="IsiParagarf"/>
        <w:ind w:leftChars="300" w:left="820" w:hangingChars="100" w:hanging="220"/>
        <w:rPr>
          <w:rFonts w:ascii="Arial" w:hAnsi="Arial" w:cs="Arial"/>
        </w:rPr>
      </w:pPr>
      <w:r w:rsidRPr="00B63E23">
        <w:rPr>
          <w:rFonts w:ascii="Arial" w:hAnsi="Arial" w:cs="Arial"/>
        </w:rPr>
        <w:t>1. International Databases</w:t>
      </w:r>
      <w:r w:rsidRPr="00B63E23">
        <w:rPr>
          <w:rFonts w:ascii="Arial" w:hAnsi="Arial" w:cs="Arial"/>
          <w:lang w:val="id-ID"/>
        </w:rPr>
        <w:t xml:space="preserve"> such as</w:t>
      </w:r>
      <w:r w:rsidRPr="00B63E23">
        <w:rPr>
          <w:rFonts w:ascii="Arial" w:hAnsi="Arial" w:cs="Arial"/>
        </w:rPr>
        <w:t xml:space="preserve"> Scopus, ScienceDirect, ERIC, and the Directory of Open Access Journals (DOAJ).</w:t>
      </w:r>
    </w:p>
    <w:p w14:paraId="15FF0DE7" w14:textId="77777777" w:rsidR="009F0CAD" w:rsidRPr="00B63E23" w:rsidRDefault="009F0CAD" w:rsidP="009F0CAD">
      <w:pPr>
        <w:pStyle w:val="IsiParagarf"/>
        <w:ind w:leftChars="300" w:left="820" w:hangingChars="100" w:hanging="220"/>
        <w:rPr>
          <w:rFonts w:ascii="Arial" w:hAnsi="Arial" w:cs="Arial"/>
        </w:rPr>
      </w:pPr>
      <w:r w:rsidRPr="00B63E23">
        <w:rPr>
          <w:rFonts w:ascii="Arial" w:hAnsi="Arial" w:cs="Arial"/>
        </w:rPr>
        <w:t>2. National Database</w:t>
      </w:r>
      <w:r w:rsidRPr="00B63E23">
        <w:rPr>
          <w:rFonts w:ascii="Arial" w:hAnsi="Arial" w:cs="Arial"/>
          <w:lang w:val="id-ID"/>
        </w:rPr>
        <w:t xml:space="preserve"> such as </w:t>
      </w:r>
      <w:r w:rsidRPr="00B63E23">
        <w:rPr>
          <w:rFonts w:ascii="Arial" w:hAnsi="Arial" w:cs="Arial"/>
        </w:rPr>
        <w:t>Google Scholar and the National Journal Portal (SINTA) to capture studies relevant to the Indonesian context.</w:t>
      </w:r>
    </w:p>
    <w:p w14:paraId="74C50239" w14:textId="77777777" w:rsidR="009F0CAD" w:rsidRPr="00B63E23" w:rsidRDefault="009F0CAD" w:rsidP="009F0CAD">
      <w:pPr>
        <w:pStyle w:val="IsiParagarf"/>
        <w:ind w:leftChars="300" w:left="820" w:hangingChars="100" w:hanging="220"/>
        <w:rPr>
          <w:rFonts w:ascii="Arial" w:hAnsi="Arial" w:cs="Arial"/>
        </w:rPr>
      </w:pPr>
      <w:r w:rsidRPr="00B63E23">
        <w:rPr>
          <w:rFonts w:ascii="Arial" w:hAnsi="Arial" w:cs="Arial"/>
        </w:rPr>
        <w:t>3. Primary Policy Sources</w:t>
      </w:r>
      <w:r w:rsidRPr="00B63E23">
        <w:rPr>
          <w:rFonts w:ascii="Arial" w:hAnsi="Arial" w:cs="Arial"/>
          <w:lang w:val="id-ID"/>
        </w:rPr>
        <w:t xml:space="preserve"> such as</w:t>
      </w:r>
      <w:r w:rsidRPr="00B63E23">
        <w:rPr>
          <w:rFonts w:ascii="Arial" w:hAnsi="Arial" w:cs="Arial"/>
        </w:rPr>
        <w:t xml:space="preserve"> The official website of the Ministry of Education, Culture, Research, and Technology (Kemendikbudristek) or relevant local governments for policy documents, regulations, and official reports.</w:t>
      </w:r>
    </w:p>
    <w:p w14:paraId="44F34476" w14:textId="77777777" w:rsidR="009F0CAD" w:rsidRPr="00B63E23" w:rsidRDefault="009F0CAD" w:rsidP="009F0CAD">
      <w:pPr>
        <w:pStyle w:val="IsiParagarf"/>
        <w:ind w:firstLine="0"/>
        <w:rPr>
          <w:rFonts w:ascii="Arial" w:hAnsi="Arial" w:cs="Arial"/>
          <w:b/>
          <w:bCs/>
        </w:rPr>
      </w:pPr>
      <w:r w:rsidRPr="00B63E23">
        <w:rPr>
          <w:rFonts w:ascii="Arial" w:hAnsi="Arial" w:cs="Arial"/>
          <w:b/>
          <w:bCs/>
        </w:rPr>
        <w:t>2. Keywords</w:t>
      </w:r>
    </w:p>
    <w:p w14:paraId="4396312B" w14:textId="0123ED66" w:rsidR="009F0CAD" w:rsidRPr="00B63E23" w:rsidRDefault="009F0CAD" w:rsidP="009F0CAD">
      <w:pPr>
        <w:pStyle w:val="IsiParagarf"/>
        <w:rPr>
          <w:rFonts w:ascii="Arial" w:hAnsi="Arial" w:cs="Arial"/>
          <w:lang w:val="id-ID"/>
        </w:rPr>
      </w:pPr>
      <w:r w:rsidRPr="00B63E23">
        <w:rPr>
          <w:rFonts w:ascii="Arial" w:hAnsi="Arial" w:cs="Arial"/>
        </w:rPr>
        <w:t>The search strategy used a combination of keywords in Indonesian and English, connected with Boolean operators (AND/OR), to ensure broad and specific results</w:t>
      </w:r>
      <w:r w:rsidRPr="00B63E23">
        <w:rPr>
          <w:rFonts w:ascii="Arial" w:hAnsi="Arial" w:cs="Arial"/>
          <w:lang w:val="id-ID"/>
        </w:rPr>
        <w:t>, as presented in Table 1</w:t>
      </w:r>
      <w:r w:rsidR="00B63E23">
        <w:rPr>
          <w:rFonts w:ascii="Arial" w:hAnsi="Arial" w:cs="Arial"/>
          <w:lang w:val="id-ID"/>
        </w:rPr>
        <w:t>.</w:t>
      </w:r>
    </w:p>
    <w:p w14:paraId="73E91157" w14:textId="77777777" w:rsidR="009F0CAD" w:rsidRPr="00B63E23" w:rsidRDefault="009F0CAD" w:rsidP="009F0CAD">
      <w:pPr>
        <w:pStyle w:val="IsiParagarf"/>
        <w:ind w:firstLine="0"/>
        <w:rPr>
          <w:rFonts w:ascii="Arial" w:hAnsi="Arial" w:cs="Arial"/>
          <w:lang w:val="id-ID"/>
        </w:rPr>
      </w:pPr>
      <w:r w:rsidRPr="00B63E23">
        <w:rPr>
          <w:rFonts w:ascii="Arial" w:hAnsi="Arial" w:cs="Arial"/>
          <w:lang w:val="id-ID"/>
        </w:rPr>
        <w:t xml:space="preserve">Table 1. </w:t>
      </w:r>
      <w:r w:rsidRPr="00B63E23">
        <w:rPr>
          <w:rFonts w:ascii="Arial" w:hAnsi="Arial" w:cs="Arial"/>
        </w:rPr>
        <w:t>Keywords</w:t>
      </w:r>
      <w:r w:rsidRPr="00B63E23">
        <w:rPr>
          <w:rFonts w:ascii="Arial" w:hAnsi="Arial" w:cs="Arial"/>
          <w:lang w:val="id-ID"/>
        </w:rPr>
        <w:t xml:space="preserve"> </w:t>
      </w:r>
      <w:r w:rsidRPr="00B63E23">
        <w:rPr>
          <w:rFonts w:ascii="Arial" w:hAnsi="Arial" w:cs="Arial"/>
        </w:rPr>
        <w:t>Data Sources</w:t>
      </w:r>
    </w:p>
    <w:tbl>
      <w:tblPr>
        <w:tblStyle w:val="KisiTabel"/>
        <w:tblW w:w="0" w:type="auto"/>
        <w:tblInd w:w="1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67"/>
        <w:gridCol w:w="6507"/>
      </w:tblGrid>
      <w:tr w:rsidR="009F0CAD" w:rsidRPr="00B63E23" w14:paraId="2CCA0284" w14:textId="77777777" w:rsidTr="00BC57F0">
        <w:tc>
          <w:tcPr>
            <w:tcW w:w="1567" w:type="dxa"/>
          </w:tcPr>
          <w:p w14:paraId="4F4B24D3" w14:textId="77777777" w:rsidR="009F0CAD" w:rsidRPr="00B63E23" w:rsidRDefault="009F0CAD" w:rsidP="007277FD">
            <w:pPr>
              <w:pStyle w:val="IsiParagarf"/>
              <w:ind w:firstLine="0"/>
              <w:jc w:val="center"/>
              <w:rPr>
                <w:rFonts w:ascii="Arial" w:hAnsi="Arial" w:cs="Arial"/>
                <w:b/>
                <w:bCs/>
                <w:lang w:val="id-ID"/>
              </w:rPr>
            </w:pPr>
            <w:r w:rsidRPr="00B63E23">
              <w:rPr>
                <w:rFonts w:ascii="Arial" w:hAnsi="Arial" w:cs="Arial"/>
                <w:b/>
                <w:bCs/>
                <w:lang w:val="id-ID"/>
              </w:rPr>
              <w:t>Language</w:t>
            </w:r>
          </w:p>
        </w:tc>
        <w:tc>
          <w:tcPr>
            <w:tcW w:w="6507" w:type="dxa"/>
          </w:tcPr>
          <w:p w14:paraId="10D093FD" w14:textId="77777777" w:rsidR="009F0CAD" w:rsidRPr="00B63E23" w:rsidRDefault="009F0CAD" w:rsidP="007277FD">
            <w:pPr>
              <w:pStyle w:val="IsiParagarf"/>
              <w:jc w:val="center"/>
              <w:rPr>
                <w:rFonts w:ascii="Arial" w:hAnsi="Arial" w:cs="Arial"/>
                <w:b/>
                <w:bCs/>
                <w:lang w:val="id-ID"/>
              </w:rPr>
            </w:pPr>
            <w:r w:rsidRPr="00B63E23">
              <w:rPr>
                <w:rFonts w:ascii="Arial" w:hAnsi="Arial" w:cs="Arial"/>
                <w:b/>
                <w:bCs/>
                <w:lang w:val="id-ID"/>
              </w:rPr>
              <w:t>Keyword</w:t>
            </w:r>
          </w:p>
        </w:tc>
      </w:tr>
      <w:tr w:rsidR="009F0CAD" w:rsidRPr="00B63E23" w14:paraId="78B1D476" w14:textId="77777777" w:rsidTr="00BC57F0">
        <w:tc>
          <w:tcPr>
            <w:tcW w:w="1567" w:type="dxa"/>
          </w:tcPr>
          <w:p w14:paraId="5CCF3EDE" w14:textId="77777777" w:rsidR="009F0CAD" w:rsidRPr="00B63E23" w:rsidRDefault="009F0CAD" w:rsidP="007277FD">
            <w:pPr>
              <w:pStyle w:val="IsiParagarf"/>
              <w:ind w:firstLine="0"/>
              <w:rPr>
                <w:rFonts w:ascii="Arial" w:hAnsi="Arial" w:cs="Arial"/>
              </w:rPr>
            </w:pPr>
            <w:r w:rsidRPr="00B63E23">
              <w:rPr>
                <w:rFonts w:ascii="Arial" w:hAnsi="Arial" w:cs="Arial"/>
              </w:rPr>
              <w:t>Indonesian</w:t>
            </w:r>
          </w:p>
        </w:tc>
        <w:tc>
          <w:tcPr>
            <w:tcW w:w="6507" w:type="dxa"/>
          </w:tcPr>
          <w:p w14:paraId="15ABBE57" w14:textId="77777777" w:rsidR="009F0CAD" w:rsidRPr="00B63E23" w:rsidRDefault="009F0CAD" w:rsidP="007277FD">
            <w:pPr>
              <w:pStyle w:val="IsiParagarf"/>
              <w:ind w:firstLine="0"/>
              <w:rPr>
                <w:rFonts w:ascii="Arial" w:hAnsi="Arial" w:cs="Arial"/>
              </w:rPr>
            </w:pPr>
            <w:r w:rsidRPr="00B63E23">
              <w:rPr>
                <w:rFonts w:ascii="Arial" w:hAnsi="Arial" w:cs="Arial"/>
              </w:rPr>
              <w:t>"</w:t>
            </w:r>
            <w:r w:rsidRPr="00B63E23">
              <w:rPr>
                <w:rFonts w:ascii="Arial" w:hAnsi="Arial" w:cs="Arial"/>
                <w:lang w:val="id-ID"/>
              </w:rPr>
              <w:t>kebijakan alokasi guru</w:t>
            </w:r>
            <w:r w:rsidRPr="00B63E23">
              <w:rPr>
                <w:rFonts w:ascii="Arial" w:hAnsi="Arial" w:cs="Arial"/>
              </w:rPr>
              <w:t>"</w:t>
            </w:r>
            <w:r w:rsidRPr="00B63E23">
              <w:rPr>
                <w:rFonts w:ascii="Arial" w:hAnsi="Arial" w:cs="Arial"/>
                <w:lang w:val="id-ID"/>
              </w:rPr>
              <w:t>; “</w:t>
            </w:r>
            <w:r w:rsidRPr="00B63E23">
              <w:rPr>
                <w:rFonts w:ascii="Arial" w:hAnsi="Arial" w:cs="Arial"/>
              </w:rPr>
              <w:t>penempatan guru daerah terpencil"</w:t>
            </w:r>
            <w:r w:rsidRPr="00B63E23">
              <w:rPr>
                <w:rFonts w:ascii="Arial" w:hAnsi="Arial" w:cs="Arial"/>
                <w:lang w:val="id-ID"/>
              </w:rPr>
              <w:t xml:space="preserve">; </w:t>
            </w:r>
            <w:r w:rsidRPr="00B63E23">
              <w:rPr>
                <w:rFonts w:ascii="Arial" w:hAnsi="Arial" w:cs="Arial"/>
              </w:rPr>
              <w:t>"distribusi guru"</w:t>
            </w:r>
            <w:r w:rsidRPr="00B63E23">
              <w:rPr>
                <w:rFonts w:ascii="Arial" w:hAnsi="Arial" w:cs="Arial"/>
                <w:lang w:val="id-ID"/>
              </w:rPr>
              <w:t xml:space="preserve">; </w:t>
            </w:r>
            <w:r w:rsidRPr="00B63E23">
              <w:rPr>
                <w:rFonts w:ascii="Arial" w:hAnsi="Arial" w:cs="Arial"/>
              </w:rPr>
              <w:t>"analisis kebijakan pendidikan"</w:t>
            </w:r>
            <w:r w:rsidRPr="00B63E23">
              <w:rPr>
                <w:rFonts w:ascii="Arial" w:hAnsi="Arial" w:cs="Arial"/>
                <w:lang w:val="id-ID"/>
              </w:rPr>
              <w:t xml:space="preserve">; </w:t>
            </w:r>
            <w:r w:rsidRPr="00B63E23">
              <w:rPr>
                <w:rFonts w:ascii="Arial" w:hAnsi="Arial" w:cs="Arial"/>
              </w:rPr>
              <w:t>"guru 3T"</w:t>
            </w:r>
          </w:p>
        </w:tc>
      </w:tr>
      <w:tr w:rsidR="009F0CAD" w:rsidRPr="00B63E23" w14:paraId="558BE1CB" w14:textId="77777777" w:rsidTr="00BC57F0">
        <w:tc>
          <w:tcPr>
            <w:tcW w:w="1567" w:type="dxa"/>
          </w:tcPr>
          <w:p w14:paraId="5930B04C" w14:textId="77777777" w:rsidR="009F0CAD" w:rsidRPr="00B63E23" w:rsidRDefault="009F0CAD" w:rsidP="007277FD">
            <w:pPr>
              <w:pStyle w:val="IsiParagarf"/>
              <w:ind w:firstLine="0"/>
              <w:rPr>
                <w:rFonts w:ascii="Arial" w:hAnsi="Arial" w:cs="Arial"/>
                <w:lang w:val="id-ID"/>
              </w:rPr>
            </w:pPr>
            <w:r w:rsidRPr="00B63E23">
              <w:rPr>
                <w:rFonts w:ascii="Arial" w:hAnsi="Arial" w:cs="Arial"/>
                <w:lang w:val="id-ID"/>
              </w:rPr>
              <w:lastRenderedPageBreak/>
              <w:t>Englis</w:t>
            </w:r>
          </w:p>
        </w:tc>
        <w:tc>
          <w:tcPr>
            <w:tcW w:w="6507" w:type="dxa"/>
          </w:tcPr>
          <w:p w14:paraId="3BE83025" w14:textId="77777777" w:rsidR="009F0CAD" w:rsidRPr="00B63E23" w:rsidRDefault="009F0CAD" w:rsidP="007277FD">
            <w:pPr>
              <w:pStyle w:val="IsiParagarf"/>
              <w:ind w:firstLine="0"/>
              <w:rPr>
                <w:rFonts w:ascii="Arial" w:hAnsi="Arial" w:cs="Arial"/>
              </w:rPr>
            </w:pPr>
            <w:r w:rsidRPr="00B63E23">
              <w:rPr>
                <w:rFonts w:ascii="Arial" w:hAnsi="Arial" w:cs="Arial"/>
              </w:rPr>
              <w:t>"teacher allocation policy"</w:t>
            </w:r>
            <w:r w:rsidRPr="00B63E23">
              <w:rPr>
                <w:rFonts w:ascii="Arial" w:hAnsi="Arial" w:cs="Arial"/>
                <w:lang w:val="id-ID"/>
              </w:rPr>
              <w:t xml:space="preserve">; </w:t>
            </w:r>
            <w:r w:rsidRPr="00B63E23">
              <w:rPr>
                <w:rFonts w:ascii="Arial" w:hAnsi="Arial" w:cs="Arial"/>
              </w:rPr>
              <w:t>"teacher placement in remote areas"</w:t>
            </w:r>
            <w:r w:rsidRPr="00B63E23">
              <w:rPr>
                <w:rFonts w:ascii="Arial" w:hAnsi="Arial" w:cs="Arial"/>
                <w:lang w:val="id-ID"/>
              </w:rPr>
              <w:t xml:space="preserve">; </w:t>
            </w:r>
            <w:r w:rsidRPr="00B63E23">
              <w:rPr>
                <w:rFonts w:ascii="Arial" w:hAnsi="Arial" w:cs="Arial"/>
              </w:rPr>
              <w:t>"teacher distribution policy"</w:t>
            </w:r>
            <w:r w:rsidRPr="00B63E23">
              <w:rPr>
                <w:rFonts w:ascii="Arial" w:hAnsi="Arial" w:cs="Arial"/>
                <w:lang w:val="id-ID"/>
              </w:rPr>
              <w:t xml:space="preserve">; </w:t>
            </w:r>
            <w:r w:rsidRPr="00B63E23">
              <w:rPr>
                <w:rFonts w:ascii="Arial" w:hAnsi="Arial" w:cs="Arial"/>
              </w:rPr>
              <w:t>"rural teacher retention"</w:t>
            </w:r>
            <w:r w:rsidRPr="00B63E23">
              <w:rPr>
                <w:rFonts w:ascii="Arial" w:hAnsi="Arial" w:cs="Arial"/>
                <w:lang w:val="id-ID"/>
              </w:rPr>
              <w:t xml:space="preserve">; </w:t>
            </w:r>
            <w:r w:rsidRPr="00B63E23">
              <w:rPr>
                <w:rFonts w:ascii="Arial" w:hAnsi="Arial" w:cs="Arial"/>
              </w:rPr>
              <w:t xml:space="preserve"> "educational policy analysis"</w:t>
            </w:r>
          </w:p>
        </w:tc>
      </w:tr>
    </w:tbl>
    <w:p w14:paraId="7262073A" w14:textId="77777777" w:rsidR="009F0CAD" w:rsidRPr="00B63E23" w:rsidRDefault="009F0CAD" w:rsidP="009F0CAD">
      <w:pPr>
        <w:pStyle w:val="IsiParagarf"/>
        <w:ind w:firstLine="0"/>
        <w:rPr>
          <w:rFonts w:ascii="Arial" w:hAnsi="Arial" w:cs="Arial"/>
          <w:b/>
          <w:bCs/>
        </w:rPr>
      </w:pPr>
      <w:r w:rsidRPr="00B63E23">
        <w:rPr>
          <w:rFonts w:ascii="Arial" w:hAnsi="Arial" w:cs="Arial"/>
          <w:b/>
          <w:bCs/>
        </w:rPr>
        <w:t>3. Publication Timeframe</w:t>
      </w:r>
    </w:p>
    <w:p w14:paraId="35BC3E26" w14:textId="77777777" w:rsidR="009F0CAD" w:rsidRPr="00B63E23" w:rsidRDefault="009F0CAD" w:rsidP="009F0CAD">
      <w:pPr>
        <w:pStyle w:val="IsiParagarf"/>
        <w:rPr>
          <w:rFonts w:ascii="Arial" w:hAnsi="Arial" w:cs="Arial"/>
        </w:rPr>
      </w:pPr>
      <w:r w:rsidRPr="00B63E23">
        <w:rPr>
          <w:rFonts w:ascii="Arial" w:hAnsi="Arial" w:cs="Arial"/>
        </w:rPr>
        <w:t>To ensure relevance to current education policy, the literature considered was limited to publications within the last 10 years, namely from 2015 to 2025.</w:t>
      </w:r>
    </w:p>
    <w:p w14:paraId="1CB6B613" w14:textId="77777777" w:rsidR="009F0CAD" w:rsidRPr="00B63E23" w:rsidRDefault="009F0CAD" w:rsidP="009F0CAD">
      <w:pPr>
        <w:pStyle w:val="IsiParagarf"/>
        <w:ind w:firstLine="0"/>
        <w:rPr>
          <w:rFonts w:ascii="Arial" w:hAnsi="Arial" w:cs="Arial"/>
          <w:b/>
          <w:bCs/>
        </w:rPr>
      </w:pPr>
      <w:r w:rsidRPr="00B63E23">
        <w:rPr>
          <w:rFonts w:ascii="Arial" w:hAnsi="Arial" w:cs="Arial"/>
          <w:b/>
          <w:bCs/>
        </w:rPr>
        <w:t>C. Selection Criteria and Article Selection Procedure</w:t>
      </w:r>
    </w:p>
    <w:p w14:paraId="2873B279" w14:textId="77777777" w:rsidR="009F0CAD" w:rsidRPr="00B63E23" w:rsidRDefault="009F0CAD" w:rsidP="009F0CAD">
      <w:pPr>
        <w:pStyle w:val="IsiParagarf"/>
        <w:rPr>
          <w:rFonts w:ascii="Arial" w:hAnsi="Arial" w:cs="Arial"/>
        </w:rPr>
      </w:pPr>
      <w:r w:rsidRPr="00B63E23">
        <w:rPr>
          <w:rFonts w:ascii="Arial" w:hAnsi="Arial" w:cs="Arial"/>
        </w:rPr>
        <w:t>The literature selection procedure adopted a modified PRISMA (Preferred Reporting Items for Systematic Reviews and Meta-Analyses) framework. The selection criteria are grouped into inclusion criteria (included studies) and exclusion criteria (excluded studies).</w:t>
      </w:r>
    </w:p>
    <w:p w14:paraId="79928EF1" w14:textId="77777777" w:rsidR="009F0CAD" w:rsidRPr="00B63E23" w:rsidRDefault="009F0CAD" w:rsidP="009F0CAD">
      <w:pPr>
        <w:pStyle w:val="IsiParagarf"/>
        <w:ind w:firstLine="0"/>
        <w:rPr>
          <w:rFonts w:ascii="Arial" w:hAnsi="Arial" w:cs="Arial"/>
          <w:b/>
          <w:bCs/>
        </w:rPr>
      </w:pPr>
      <w:r w:rsidRPr="00B63E23">
        <w:rPr>
          <w:rFonts w:ascii="Arial" w:hAnsi="Arial" w:cs="Arial"/>
          <w:b/>
          <w:bCs/>
        </w:rPr>
        <w:t>1. Inclusion Criteria</w:t>
      </w:r>
    </w:p>
    <w:p w14:paraId="06829C3B" w14:textId="77777777" w:rsidR="009F0CAD" w:rsidRPr="00B63E23" w:rsidRDefault="009F0CAD" w:rsidP="009F0CAD">
      <w:pPr>
        <w:pStyle w:val="IsiParagarf"/>
        <w:rPr>
          <w:rFonts w:ascii="Arial" w:hAnsi="Arial" w:cs="Arial"/>
        </w:rPr>
      </w:pPr>
      <w:r w:rsidRPr="00B63E23">
        <w:rPr>
          <w:rFonts w:ascii="Arial" w:hAnsi="Arial" w:cs="Arial"/>
        </w:rPr>
        <w:t>Selected literature must meet the following criteria:</w:t>
      </w:r>
    </w:p>
    <w:p w14:paraId="5BB02D78" w14:textId="77777777" w:rsidR="009F0CAD" w:rsidRPr="00B63E23" w:rsidRDefault="009F0CAD" w:rsidP="009F0CAD">
      <w:pPr>
        <w:pStyle w:val="IsiParagarf"/>
        <w:ind w:leftChars="257" w:left="827" w:hanging="313"/>
        <w:rPr>
          <w:rFonts w:ascii="Arial" w:hAnsi="Arial" w:cs="Arial"/>
        </w:rPr>
      </w:pPr>
      <w:r w:rsidRPr="00B63E23">
        <w:rPr>
          <w:rFonts w:ascii="Arial" w:hAnsi="Arial" w:cs="Arial"/>
        </w:rPr>
        <w:t>1) Be in the form of a scientific journal article (including proceedings), a thesis, a dissertation, or an official government policy report that has undergone peer-review or institutional validation.</w:t>
      </w:r>
    </w:p>
    <w:p w14:paraId="10CD2A9D" w14:textId="77777777" w:rsidR="009F0CAD" w:rsidRPr="00B63E23" w:rsidRDefault="009F0CAD" w:rsidP="009F0CAD">
      <w:pPr>
        <w:pStyle w:val="IsiParagarf"/>
        <w:ind w:leftChars="257" w:left="827" w:hanging="313"/>
        <w:rPr>
          <w:rFonts w:ascii="Arial" w:hAnsi="Arial" w:cs="Arial"/>
        </w:rPr>
      </w:pPr>
      <w:r w:rsidRPr="00B63E23">
        <w:rPr>
          <w:rFonts w:ascii="Arial" w:hAnsi="Arial" w:cs="Arial"/>
        </w:rPr>
        <w:t>2) The study's primary focus is on policy analysis, implementation, impact, or challenges related to teacher allocation, placement, or distribution.</w:t>
      </w:r>
    </w:p>
    <w:p w14:paraId="29E89098" w14:textId="77777777" w:rsidR="009F0CAD" w:rsidRPr="00B63E23" w:rsidRDefault="009F0CAD" w:rsidP="009F0CAD">
      <w:pPr>
        <w:pStyle w:val="IsiParagarf"/>
        <w:ind w:leftChars="257" w:left="827" w:hanging="313"/>
        <w:rPr>
          <w:rFonts w:ascii="Arial" w:hAnsi="Arial" w:cs="Arial"/>
        </w:rPr>
      </w:pPr>
      <w:r w:rsidRPr="00B63E23">
        <w:rPr>
          <w:rFonts w:ascii="Arial" w:hAnsi="Arial" w:cs="Arial"/>
        </w:rPr>
        <w:t>3) The research context is set in remote, rural, or 3T (Disadvantaged, Frontier, and Outermost) areas.</w:t>
      </w:r>
    </w:p>
    <w:p w14:paraId="59FFDC9A" w14:textId="77777777" w:rsidR="009F0CAD" w:rsidRPr="00B63E23" w:rsidRDefault="009F0CAD" w:rsidP="009F0CAD">
      <w:pPr>
        <w:pStyle w:val="IsiParagarf"/>
        <w:ind w:leftChars="257" w:left="827" w:hanging="313"/>
        <w:rPr>
          <w:rFonts w:ascii="Arial" w:hAnsi="Arial" w:cs="Arial"/>
        </w:rPr>
      </w:pPr>
      <w:r w:rsidRPr="00B63E23">
        <w:rPr>
          <w:rFonts w:ascii="Arial" w:hAnsi="Arial" w:cs="Arial"/>
        </w:rPr>
        <w:t>4) Be published within the specified timeframe (2015-2025).</w:t>
      </w:r>
    </w:p>
    <w:p w14:paraId="47BEE16D" w14:textId="77777777" w:rsidR="009F0CAD" w:rsidRPr="00B63E23" w:rsidRDefault="009F0CAD" w:rsidP="009F0CAD">
      <w:pPr>
        <w:pStyle w:val="IsiParagarf"/>
        <w:ind w:firstLine="0"/>
        <w:rPr>
          <w:rFonts w:ascii="Arial" w:hAnsi="Arial" w:cs="Arial"/>
          <w:b/>
          <w:bCs/>
        </w:rPr>
      </w:pPr>
      <w:r w:rsidRPr="00B63E23">
        <w:rPr>
          <w:rFonts w:ascii="Arial" w:hAnsi="Arial" w:cs="Arial"/>
          <w:b/>
          <w:bCs/>
        </w:rPr>
        <w:t>2. Exclusion Criteria</w:t>
      </w:r>
    </w:p>
    <w:p w14:paraId="00DAF881" w14:textId="77777777" w:rsidR="009F0CAD" w:rsidRPr="00B63E23" w:rsidRDefault="009F0CAD" w:rsidP="009F0CAD">
      <w:pPr>
        <w:pStyle w:val="IsiParagarf"/>
        <w:ind w:leftChars="300" w:left="820" w:hanging="220"/>
        <w:rPr>
          <w:rFonts w:ascii="Arial" w:hAnsi="Arial" w:cs="Arial"/>
        </w:rPr>
      </w:pPr>
      <w:r w:rsidRPr="00B63E23">
        <w:rPr>
          <w:rFonts w:ascii="Arial" w:hAnsi="Arial" w:cs="Arial"/>
        </w:rPr>
        <w:t>1) Literature was excluded if it met the following criteria:</w:t>
      </w:r>
    </w:p>
    <w:p w14:paraId="6B7C2189" w14:textId="77777777" w:rsidR="009F0CAD" w:rsidRPr="00B63E23" w:rsidRDefault="009F0CAD" w:rsidP="009F0CAD">
      <w:pPr>
        <w:pStyle w:val="IsiParagarf"/>
        <w:ind w:leftChars="300" w:left="820" w:hanging="220"/>
        <w:rPr>
          <w:rFonts w:ascii="Arial" w:hAnsi="Arial" w:cs="Arial"/>
        </w:rPr>
      </w:pPr>
      <w:r w:rsidRPr="00B63E23">
        <w:rPr>
          <w:rFonts w:ascii="Arial" w:hAnsi="Arial" w:cs="Arial"/>
        </w:rPr>
        <w:t>2) Non-scientific articles (opinions, editorials, book reviews) that do not present empirical data or in-depth policy analysis.</w:t>
      </w:r>
    </w:p>
    <w:p w14:paraId="141F7936" w14:textId="77777777" w:rsidR="009F0CAD" w:rsidRPr="00B63E23" w:rsidRDefault="009F0CAD" w:rsidP="009F0CAD">
      <w:pPr>
        <w:pStyle w:val="IsiParagarf"/>
        <w:ind w:leftChars="300" w:left="820" w:hanging="220"/>
        <w:rPr>
          <w:rFonts w:ascii="Arial" w:hAnsi="Arial" w:cs="Arial"/>
        </w:rPr>
      </w:pPr>
      <w:r w:rsidRPr="00B63E23">
        <w:rPr>
          <w:rFonts w:ascii="Arial" w:hAnsi="Arial" w:cs="Arial"/>
        </w:rPr>
        <w:t>3) The research focuses solely on technical aspects of teaching or teacher quality without linking them to the teacher allocation policy framework.</w:t>
      </w:r>
    </w:p>
    <w:p w14:paraId="1679D5FA" w14:textId="77777777" w:rsidR="009F0CAD" w:rsidRPr="00B63E23" w:rsidRDefault="009F0CAD" w:rsidP="009F0CAD">
      <w:pPr>
        <w:pStyle w:val="IsiParagarf"/>
        <w:ind w:leftChars="300" w:left="820" w:hanging="220"/>
        <w:rPr>
          <w:rFonts w:ascii="Arial" w:hAnsi="Arial" w:cs="Arial"/>
        </w:rPr>
      </w:pPr>
      <w:r w:rsidRPr="00B63E23">
        <w:rPr>
          <w:rFonts w:ascii="Arial" w:hAnsi="Arial" w:cs="Arial"/>
        </w:rPr>
        <w:t>4) Studies that focus exclusively on urban or non-remote areas.</w:t>
      </w:r>
    </w:p>
    <w:p w14:paraId="5B1284A0" w14:textId="77777777" w:rsidR="009F0CAD" w:rsidRPr="00B63E23" w:rsidRDefault="009F0CAD" w:rsidP="009F0CAD">
      <w:pPr>
        <w:pStyle w:val="IsiParagarf"/>
        <w:ind w:firstLine="0"/>
        <w:rPr>
          <w:rFonts w:ascii="Arial" w:hAnsi="Arial" w:cs="Arial"/>
          <w:b/>
          <w:bCs/>
        </w:rPr>
      </w:pPr>
      <w:r w:rsidRPr="00B63E23">
        <w:rPr>
          <w:rFonts w:ascii="Arial" w:hAnsi="Arial" w:cs="Arial"/>
          <w:b/>
          <w:bCs/>
          <w:lang w:val="id-ID"/>
        </w:rPr>
        <w:t>3</w:t>
      </w:r>
      <w:r w:rsidRPr="00B63E23">
        <w:rPr>
          <w:rFonts w:ascii="Arial" w:hAnsi="Arial" w:cs="Arial"/>
          <w:b/>
          <w:bCs/>
        </w:rPr>
        <w:t>. Selection Procedure (Modified PRISMA Stages)</w:t>
      </w:r>
    </w:p>
    <w:p w14:paraId="7076DFCA" w14:textId="77777777" w:rsidR="009F0CAD" w:rsidRPr="00B63E23" w:rsidRDefault="009F0CAD" w:rsidP="009F0CAD">
      <w:pPr>
        <w:pStyle w:val="IsiParagarf"/>
        <w:rPr>
          <w:rFonts w:ascii="Arial" w:hAnsi="Arial" w:cs="Arial"/>
        </w:rPr>
      </w:pPr>
      <w:r w:rsidRPr="00B63E23">
        <w:rPr>
          <w:rFonts w:ascii="Arial" w:hAnsi="Arial" w:cs="Arial"/>
        </w:rPr>
        <w:t xml:space="preserve">The selection procedure is carried out according to the stages in Table </w:t>
      </w:r>
      <w:r w:rsidRPr="00B63E23">
        <w:rPr>
          <w:rFonts w:ascii="Arial" w:hAnsi="Arial" w:cs="Arial"/>
          <w:lang w:val="id-ID"/>
        </w:rPr>
        <w:t>2</w:t>
      </w:r>
      <w:r w:rsidRPr="00B63E23">
        <w:rPr>
          <w:rFonts w:ascii="Arial" w:hAnsi="Arial" w:cs="Arial"/>
        </w:rPr>
        <w:t>.</w:t>
      </w:r>
    </w:p>
    <w:p w14:paraId="1B743747" w14:textId="77777777" w:rsidR="009F0CAD" w:rsidRPr="00B63E23" w:rsidRDefault="009F0CAD" w:rsidP="009F0CAD">
      <w:pPr>
        <w:pStyle w:val="IsiParagarf"/>
        <w:ind w:firstLine="0"/>
        <w:rPr>
          <w:rFonts w:ascii="Arial" w:hAnsi="Arial" w:cs="Arial"/>
        </w:rPr>
      </w:pPr>
      <w:r w:rsidRPr="00B63E23">
        <w:rPr>
          <w:rFonts w:ascii="Arial" w:hAnsi="Arial" w:cs="Arial"/>
          <w:lang w:val="id-ID"/>
        </w:rPr>
        <w:t xml:space="preserve">Table 2. </w:t>
      </w:r>
      <w:r w:rsidRPr="00B63E23">
        <w:rPr>
          <w:rFonts w:ascii="Arial" w:hAnsi="Arial" w:cs="Arial"/>
        </w:rPr>
        <w:t>Selection Procedure (Modified PRISMA Stages)</w:t>
      </w:r>
    </w:p>
    <w:tbl>
      <w:tblPr>
        <w:tblStyle w:val="KisiTabel"/>
        <w:tblW w:w="0" w:type="auto"/>
        <w:tblInd w:w="11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52"/>
        <w:gridCol w:w="6644"/>
      </w:tblGrid>
      <w:tr w:rsidR="009F0CAD" w:rsidRPr="00B63E23" w14:paraId="19ED77B2" w14:textId="77777777" w:rsidTr="00BC57F0">
        <w:tc>
          <w:tcPr>
            <w:tcW w:w="1164" w:type="dxa"/>
          </w:tcPr>
          <w:p w14:paraId="5479720A" w14:textId="77777777" w:rsidR="009F0CAD" w:rsidRPr="00B63E23" w:rsidRDefault="009F0CAD" w:rsidP="00BC57F0">
            <w:pPr>
              <w:pStyle w:val="IsiParagarf"/>
              <w:ind w:firstLine="0"/>
              <w:rPr>
                <w:rFonts w:ascii="Arial" w:hAnsi="Arial" w:cs="Arial"/>
                <w:b/>
                <w:bCs/>
                <w:lang w:val="id-ID"/>
              </w:rPr>
            </w:pPr>
            <w:r w:rsidRPr="00B63E23">
              <w:rPr>
                <w:rFonts w:ascii="Arial" w:hAnsi="Arial" w:cs="Arial"/>
                <w:b/>
                <w:bCs/>
                <w:lang w:val="id-ID"/>
              </w:rPr>
              <w:t>Procedure</w:t>
            </w:r>
          </w:p>
        </w:tc>
        <w:tc>
          <w:tcPr>
            <w:tcW w:w="6932" w:type="dxa"/>
          </w:tcPr>
          <w:p w14:paraId="5218BBE7" w14:textId="77777777" w:rsidR="009F0CAD" w:rsidRPr="00B63E23" w:rsidRDefault="009F0CAD" w:rsidP="007277FD">
            <w:pPr>
              <w:pStyle w:val="IsiParagarf"/>
              <w:ind w:firstLine="0"/>
              <w:jc w:val="center"/>
              <w:rPr>
                <w:rFonts w:ascii="Arial" w:hAnsi="Arial" w:cs="Arial"/>
                <w:b/>
                <w:bCs/>
                <w:lang w:val="id-ID"/>
              </w:rPr>
            </w:pPr>
            <w:r w:rsidRPr="00B63E23">
              <w:rPr>
                <w:rFonts w:ascii="Arial" w:hAnsi="Arial" w:cs="Arial"/>
                <w:b/>
                <w:bCs/>
                <w:lang w:val="id-ID"/>
              </w:rPr>
              <w:t>Activity</w:t>
            </w:r>
          </w:p>
        </w:tc>
      </w:tr>
      <w:tr w:rsidR="009F0CAD" w:rsidRPr="00B63E23" w14:paraId="035C9B38" w14:textId="77777777" w:rsidTr="00BC57F0">
        <w:tc>
          <w:tcPr>
            <w:tcW w:w="1164" w:type="dxa"/>
          </w:tcPr>
          <w:p w14:paraId="461594EC" w14:textId="77777777" w:rsidR="009F0CAD" w:rsidRPr="00B63E23" w:rsidRDefault="009F0CAD" w:rsidP="007277FD">
            <w:pPr>
              <w:pStyle w:val="IsiParagarf"/>
              <w:ind w:firstLine="0"/>
              <w:rPr>
                <w:rFonts w:ascii="Arial" w:hAnsi="Arial" w:cs="Arial"/>
                <w:lang w:val="id-ID"/>
              </w:rPr>
            </w:pPr>
            <w:r w:rsidRPr="00B63E23">
              <w:rPr>
                <w:rFonts w:ascii="Arial" w:hAnsi="Arial" w:cs="Arial"/>
              </w:rPr>
              <w:t>Identification</w:t>
            </w:r>
          </w:p>
        </w:tc>
        <w:tc>
          <w:tcPr>
            <w:tcW w:w="6932" w:type="dxa"/>
          </w:tcPr>
          <w:p w14:paraId="44FEF07C" w14:textId="77777777" w:rsidR="009F0CAD" w:rsidRPr="00B63E23" w:rsidRDefault="009F0CAD" w:rsidP="007277FD">
            <w:pPr>
              <w:pStyle w:val="IsiParagarf"/>
              <w:ind w:firstLine="0"/>
              <w:rPr>
                <w:rFonts w:ascii="Arial" w:hAnsi="Arial" w:cs="Arial"/>
                <w:lang w:val="id-ID"/>
              </w:rPr>
            </w:pPr>
            <w:r w:rsidRPr="00B63E23">
              <w:rPr>
                <w:rFonts w:ascii="Arial" w:hAnsi="Arial" w:cs="Arial"/>
              </w:rPr>
              <w:t>Initial collection of all articles generated from keyword searches across various databases.</w:t>
            </w:r>
          </w:p>
        </w:tc>
      </w:tr>
      <w:tr w:rsidR="009F0CAD" w:rsidRPr="00B63E23" w14:paraId="3A9B5419" w14:textId="77777777" w:rsidTr="00BC57F0">
        <w:tc>
          <w:tcPr>
            <w:tcW w:w="1164" w:type="dxa"/>
          </w:tcPr>
          <w:p w14:paraId="12BB627A" w14:textId="77777777" w:rsidR="009F0CAD" w:rsidRPr="00B63E23" w:rsidRDefault="009F0CAD" w:rsidP="007277FD">
            <w:pPr>
              <w:pStyle w:val="IsiParagarf"/>
              <w:ind w:firstLine="0"/>
              <w:rPr>
                <w:rFonts w:ascii="Arial" w:hAnsi="Arial" w:cs="Arial"/>
                <w:lang w:val="id-ID"/>
              </w:rPr>
            </w:pPr>
            <w:r w:rsidRPr="00B63E23">
              <w:rPr>
                <w:rFonts w:ascii="Arial" w:hAnsi="Arial" w:cs="Arial"/>
              </w:rPr>
              <w:t>Screening</w:t>
            </w:r>
          </w:p>
        </w:tc>
        <w:tc>
          <w:tcPr>
            <w:tcW w:w="6932" w:type="dxa"/>
          </w:tcPr>
          <w:p w14:paraId="39BD9F76" w14:textId="77777777" w:rsidR="009F0CAD" w:rsidRPr="00B63E23" w:rsidRDefault="009F0CAD" w:rsidP="007277FD">
            <w:pPr>
              <w:pStyle w:val="IsiParagarf"/>
              <w:ind w:firstLine="0"/>
              <w:rPr>
                <w:rFonts w:ascii="Arial" w:hAnsi="Arial" w:cs="Arial"/>
                <w:lang w:val="id-ID"/>
              </w:rPr>
            </w:pPr>
            <w:r w:rsidRPr="00B63E23">
              <w:rPr>
                <w:rFonts w:ascii="Arial" w:hAnsi="Arial" w:cs="Arial"/>
              </w:rPr>
              <w:t>Elimination of duplicate articles. Next, titles and abstracts are screened to ensure they meet the established inclusion and exclusion criteria.</w:t>
            </w:r>
          </w:p>
        </w:tc>
      </w:tr>
      <w:tr w:rsidR="009F0CAD" w:rsidRPr="00B63E23" w14:paraId="21ED34EC" w14:textId="77777777" w:rsidTr="00BC57F0">
        <w:tc>
          <w:tcPr>
            <w:tcW w:w="1164" w:type="dxa"/>
          </w:tcPr>
          <w:p w14:paraId="73F621F0" w14:textId="77777777" w:rsidR="009F0CAD" w:rsidRPr="00B63E23" w:rsidRDefault="009F0CAD" w:rsidP="007277FD">
            <w:pPr>
              <w:pStyle w:val="IsiParagarf"/>
              <w:ind w:firstLine="0"/>
              <w:rPr>
                <w:rFonts w:ascii="Arial" w:hAnsi="Arial" w:cs="Arial"/>
                <w:lang w:val="id-ID"/>
              </w:rPr>
            </w:pPr>
            <w:r w:rsidRPr="00B63E23">
              <w:rPr>
                <w:rFonts w:ascii="Arial" w:hAnsi="Arial" w:cs="Arial"/>
              </w:rPr>
              <w:t>Eligibility</w:t>
            </w:r>
          </w:p>
        </w:tc>
        <w:tc>
          <w:tcPr>
            <w:tcW w:w="6932" w:type="dxa"/>
          </w:tcPr>
          <w:p w14:paraId="4480F2BE" w14:textId="77777777" w:rsidR="009F0CAD" w:rsidRPr="00B63E23" w:rsidRDefault="009F0CAD" w:rsidP="007277FD">
            <w:pPr>
              <w:pStyle w:val="IsiParagarf"/>
              <w:ind w:firstLine="0"/>
              <w:rPr>
                <w:rFonts w:ascii="Arial" w:hAnsi="Arial" w:cs="Arial"/>
                <w:lang w:val="id-ID"/>
              </w:rPr>
            </w:pPr>
            <w:r w:rsidRPr="00B63E23">
              <w:rPr>
                <w:rFonts w:ascii="Arial" w:hAnsi="Arial" w:cs="Arial"/>
              </w:rPr>
              <w:t>Full-text reading of articles that pass the screening stage to verify the in-depth relevance and methodological quality of the studies to the topic of teacher allocation policy analysis in remote sub-districts.</w:t>
            </w:r>
          </w:p>
        </w:tc>
      </w:tr>
      <w:tr w:rsidR="009F0CAD" w:rsidRPr="00B63E23" w14:paraId="7FE9DE6B" w14:textId="77777777" w:rsidTr="00BC57F0">
        <w:tc>
          <w:tcPr>
            <w:tcW w:w="1164" w:type="dxa"/>
          </w:tcPr>
          <w:p w14:paraId="241409AB" w14:textId="77777777" w:rsidR="009F0CAD" w:rsidRPr="00B63E23" w:rsidRDefault="009F0CAD" w:rsidP="007277FD">
            <w:pPr>
              <w:pStyle w:val="IsiParagarf"/>
              <w:ind w:firstLine="0"/>
              <w:rPr>
                <w:rFonts w:ascii="Arial" w:hAnsi="Arial" w:cs="Arial"/>
                <w:lang w:val="id-ID"/>
              </w:rPr>
            </w:pPr>
            <w:r w:rsidRPr="00B63E23">
              <w:rPr>
                <w:rFonts w:ascii="Arial" w:hAnsi="Arial" w:cs="Arial"/>
              </w:rPr>
              <w:lastRenderedPageBreak/>
              <w:t>Inclusion</w:t>
            </w:r>
          </w:p>
        </w:tc>
        <w:tc>
          <w:tcPr>
            <w:tcW w:w="6932" w:type="dxa"/>
          </w:tcPr>
          <w:p w14:paraId="2FC3A6FC" w14:textId="77777777" w:rsidR="009F0CAD" w:rsidRPr="00B63E23" w:rsidRDefault="009F0CAD" w:rsidP="007277FD">
            <w:pPr>
              <w:pStyle w:val="IsiParagarf"/>
              <w:ind w:firstLine="0"/>
              <w:rPr>
                <w:rFonts w:ascii="Arial" w:hAnsi="Arial" w:cs="Arial"/>
                <w:lang w:val="id-ID"/>
              </w:rPr>
            </w:pPr>
            <w:r w:rsidRPr="00B63E23">
              <w:rPr>
                <w:rFonts w:ascii="Arial" w:hAnsi="Arial" w:cs="Arial"/>
              </w:rPr>
              <w:t>Determining the final set of relevant and high-quality articles to be included in the data synthesis and analysis process.</w:t>
            </w:r>
          </w:p>
        </w:tc>
      </w:tr>
    </w:tbl>
    <w:p w14:paraId="4A06BD03" w14:textId="77777777" w:rsidR="009F0CAD" w:rsidRPr="00B63E23" w:rsidRDefault="009F0CAD" w:rsidP="009F0CAD">
      <w:pPr>
        <w:pStyle w:val="IsiParagarf"/>
        <w:ind w:firstLine="0"/>
        <w:rPr>
          <w:rFonts w:ascii="Arial" w:hAnsi="Arial" w:cs="Arial"/>
          <w:lang w:val="id-ID"/>
        </w:rPr>
      </w:pPr>
    </w:p>
    <w:p w14:paraId="7F8DE597" w14:textId="77777777" w:rsidR="009F0CAD" w:rsidRPr="00B63E23" w:rsidRDefault="009F0CAD" w:rsidP="009F0CAD">
      <w:pPr>
        <w:pStyle w:val="IsiParagarf"/>
        <w:ind w:firstLine="0"/>
        <w:rPr>
          <w:rFonts w:ascii="Arial" w:hAnsi="Arial" w:cs="Arial"/>
          <w:b/>
          <w:bCs/>
        </w:rPr>
      </w:pPr>
      <w:r w:rsidRPr="00B63E23">
        <w:rPr>
          <w:rFonts w:ascii="Arial" w:hAnsi="Arial" w:cs="Arial"/>
          <w:b/>
          <w:bCs/>
        </w:rPr>
        <w:t>D. Data Analysis Techniques</w:t>
      </w:r>
    </w:p>
    <w:p w14:paraId="01ADD954" w14:textId="77777777" w:rsidR="009F0CAD" w:rsidRPr="00B63E23" w:rsidRDefault="009F0CAD" w:rsidP="009F0CAD">
      <w:pPr>
        <w:pStyle w:val="IsiParagarf"/>
        <w:ind w:firstLine="720"/>
        <w:rPr>
          <w:rFonts w:ascii="Arial" w:hAnsi="Arial" w:cs="Arial"/>
        </w:rPr>
      </w:pPr>
      <w:r w:rsidRPr="00B63E23">
        <w:rPr>
          <w:rFonts w:ascii="Arial" w:hAnsi="Arial" w:cs="Arial"/>
        </w:rPr>
        <w:t>Data from the selected articles were analyzed through the following stages:</w:t>
      </w:r>
    </w:p>
    <w:p w14:paraId="05772E95" w14:textId="26C8D6A2" w:rsidR="009F0CAD" w:rsidRPr="00B63E23" w:rsidRDefault="009F0CAD" w:rsidP="00EC6B41">
      <w:pPr>
        <w:pStyle w:val="IsiParagarf"/>
        <w:numPr>
          <w:ilvl w:val="0"/>
          <w:numId w:val="40"/>
        </w:numPr>
        <w:ind w:left="426" w:hanging="426"/>
        <w:rPr>
          <w:rFonts w:ascii="Arial" w:hAnsi="Arial" w:cs="Arial"/>
          <w:b/>
          <w:bCs/>
        </w:rPr>
      </w:pPr>
      <w:r w:rsidRPr="00B63E23">
        <w:rPr>
          <w:rFonts w:ascii="Arial" w:hAnsi="Arial" w:cs="Arial"/>
          <w:b/>
          <w:bCs/>
        </w:rPr>
        <w:t>Data Extraction</w:t>
      </w:r>
    </w:p>
    <w:p w14:paraId="4842AD0C" w14:textId="77777777" w:rsidR="009F0CAD" w:rsidRPr="00B63E23" w:rsidRDefault="009F0CAD" w:rsidP="009F0CAD">
      <w:pPr>
        <w:pStyle w:val="IsiParagarf"/>
        <w:rPr>
          <w:rFonts w:ascii="Arial" w:hAnsi="Arial" w:cs="Arial"/>
        </w:rPr>
      </w:pPr>
      <w:r w:rsidRPr="00B63E23">
        <w:rPr>
          <w:rFonts w:ascii="Arial" w:hAnsi="Arial" w:cs="Arial"/>
        </w:rPr>
        <w:t>Key data were extracted from each article into a matrix or table that included the following information: Author, Year of Publication, Title, Research Objective, Research Methods Used in the Original Study (if relevant), Key Findings Related to Allocation Policy, and Proposed Policy Implications/Recommendations.</w:t>
      </w:r>
    </w:p>
    <w:p w14:paraId="40F5888E" w14:textId="124FF356" w:rsidR="009F0CAD" w:rsidRPr="00B63E23" w:rsidRDefault="009F0CAD" w:rsidP="00EC6B41">
      <w:pPr>
        <w:pStyle w:val="IsiParagarf"/>
        <w:numPr>
          <w:ilvl w:val="0"/>
          <w:numId w:val="40"/>
        </w:numPr>
        <w:ind w:left="426" w:hanging="426"/>
        <w:rPr>
          <w:rFonts w:ascii="Arial" w:hAnsi="Arial" w:cs="Arial"/>
          <w:b/>
          <w:bCs/>
        </w:rPr>
      </w:pPr>
      <w:r w:rsidRPr="00B63E23">
        <w:rPr>
          <w:rFonts w:ascii="Arial" w:hAnsi="Arial" w:cs="Arial"/>
          <w:b/>
          <w:bCs/>
        </w:rPr>
        <w:t>Thematic Analysis</w:t>
      </w:r>
    </w:p>
    <w:p w14:paraId="26848D06" w14:textId="77777777" w:rsidR="009F0CAD" w:rsidRPr="00B63E23" w:rsidRDefault="009F0CAD" w:rsidP="009F0CAD">
      <w:pPr>
        <w:pStyle w:val="IsiParagarf"/>
        <w:rPr>
          <w:rFonts w:ascii="Arial" w:hAnsi="Arial" w:cs="Arial"/>
        </w:rPr>
      </w:pPr>
      <w:r w:rsidRPr="00B63E23">
        <w:rPr>
          <w:rFonts w:ascii="Arial" w:hAnsi="Arial" w:cs="Arial"/>
        </w:rPr>
        <w:t>The extracted data were then processed using Thematic Analysis. This technique involves grouping findings from various studies into interrelated main categories (themes). These themes will then become subsections of the discussion in this review article, allowing for comparison and contrast between findings.</w:t>
      </w:r>
      <w:r w:rsidRPr="00B63E23">
        <w:rPr>
          <w:rFonts w:ascii="Arial" w:hAnsi="Arial" w:cs="Arial"/>
          <w:lang w:val="id-ID"/>
        </w:rPr>
        <w:t xml:space="preserve"> </w:t>
      </w:r>
      <w:r w:rsidRPr="00B63E23">
        <w:rPr>
          <w:rFonts w:ascii="Arial" w:hAnsi="Arial" w:cs="Arial"/>
        </w:rPr>
        <w:t>Policy Impact (Positive/Negative), Challenges to Policy Implementation in the Field, Teacher Retention Strategies (Incentives and Career Development), and the Role of Government Intervention (Central vs. Regional).</w:t>
      </w:r>
    </w:p>
    <w:p w14:paraId="4622E610" w14:textId="0F302ECC" w:rsidR="009F0CAD" w:rsidRPr="00B63E23" w:rsidRDefault="009F0CAD" w:rsidP="00EC6B41">
      <w:pPr>
        <w:pStyle w:val="IsiParagarf"/>
        <w:numPr>
          <w:ilvl w:val="0"/>
          <w:numId w:val="40"/>
        </w:numPr>
        <w:ind w:left="426" w:hanging="426"/>
        <w:rPr>
          <w:rFonts w:ascii="Arial" w:hAnsi="Arial" w:cs="Arial"/>
          <w:b/>
          <w:bCs/>
        </w:rPr>
      </w:pPr>
      <w:r w:rsidRPr="00B63E23">
        <w:rPr>
          <w:rFonts w:ascii="Arial" w:hAnsi="Arial" w:cs="Arial"/>
          <w:b/>
          <w:bCs/>
        </w:rPr>
        <w:t>Synthesis and Evaluation</w:t>
      </w:r>
    </w:p>
    <w:p w14:paraId="43E0C735" w14:textId="77777777" w:rsidR="009F0CAD" w:rsidRDefault="009F0CAD" w:rsidP="009F0CAD">
      <w:pPr>
        <w:pStyle w:val="IsiParagarf"/>
        <w:rPr>
          <w:rFonts w:ascii="Arial" w:hAnsi="Arial" w:cs="Arial"/>
        </w:rPr>
      </w:pPr>
      <w:r w:rsidRPr="00B63E23">
        <w:rPr>
          <w:rFonts w:ascii="Arial" w:hAnsi="Arial" w:cs="Arial"/>
        </w:rPr>
        <w:t>The final stage involved narrative synthesis, where findings from each theme were integrated to draw comprehensive conclusions. A critical evaluation of consistencies, differences, and gaps in the literature is conducted to provide strong policy recommendations and identify future research directions.</w:t>
      </w:r>
    </w:p>
    <w:p w14:paraId="38875336" w14:textId="77777777" w:rsidR="00862457" w:rsidRPr="00862457" w:rsidRDefault="00862457" w:rsidP="00862457">
      <w:pPr>
        <w:pStyle w:val="IsiParagarf"/>
        <w:ind w:firstLine="720"/>
        <w:rPr>
          <w:rFonts w:ascii="Arial" w:hAnsi="Arial" w:cs="Arial"/>
          <w:highlight w:val="yellow"/>
        </w:rPr>
      </w:pPr>
      <w:r w:rsidRPr="00862457">
        <w:rPr>
          <w:rFonts w:ascii="Arial" w:hAnsi="Arial" w:cs="Arial"/>
          <w:highlight w:val="yellow"/>
        </w:rPr>
        <w:t>The study followed the Preferred Reporting Items for Systematic Reviews and Meta-Analyses (PRISMA) guidelines. To ensure methodological rigor, the 22 included studies underwent a basic Quality Appraisal based on three criteria: (1) Methodological Clarity, (2) Relevance to Remote Area Policy, and (3) Data Robustness. Studies were rated as ‘High’, ‘Medium’, or ‘Low’ (Table 3). Only studies rated Medium and High were utilized for the final thematic synthesis to ensure analytical robustness.</w:t>
      </w:r>
    </w:p>
    <w:p w14:paraId="229E9358" w14:textId="3A9019F5" w:rsidR="00862457" w:rsidRPr="00B63E23" w:rsidRDefault="00862457" w:rsidP="00862457">
      <w:pPr>
        <w:pStyle w:val="IsiParagarf"/>
        <w:rPr>
          <w:rFonts w:ascii="Arial" w:hAnsi="Arial" w:cs="Arial"/>
        </w:rPr>
      </w:pPr>
      <w:r w:rsidRPr="00862457">
        <w:rPr>
          <w:rFonts w:ascii="Arial" w:hAnsi="Arial" w:cs="Arial"/>
          <w:highlight w:val="yellow"/>
        </w:rPr>
        <w:t>The thematic synthesis followed an iterative, theory-driven coding process. Initial codes were derived from the research questions (e.g., "incentives," "distribution mechanisms"). In the second cycle, axial coding was used to group these into broader themes using the lenses of Spatial Justice and Hybrid Governance. This iterative process ensured that the synthesis moved beyond a simple summary of literature toward a conceptualized understanding of policy failure and success in remote contexts.</w:t>
      </w:r>
    </w:p>
    <w:p w14:paraId="6181C4D6" w14:textId="77777777" w:rsidR="00790ADA" w:rsidRPr="00FB3A86" w:rsidRDefault="00790ADA" w:rsidP="00441B6F">
      <w:pPr>
        <w:pStyle w:val="Body"/>
        <w:spacing w:after="0"/>
        <w:rPr>
          <w:rFonts w:ascii="Arial" w:hAnsi="Arial" w:cs="Arial"/>
        </w:rPr>
      </w:pPr>
    </w:p>
    <w:p w14:paraId="4A691E4F" w14:textId="77777777" w:rsidR="00902823" w:rsidRPr="00BC57F0" w:rsidRDefault="00000F8F" w:rsidP="00441B6F">
      <w:pPr>
        <w:pStyle w:val="Head1"/>
        <w:spacing w:after="0"/>
        <w:jc w:val="both"/>
        <w:rPr>
          <w:rFonts w:ascii="Arial" w:hAnsi="Arial" w:cs="Arial"/>
          <w:szCs w:val="22"/>
        </w:rPr>
      </w:pPr>
      <w:r w:rsidRPr="00BC57F0">
        <w:rPr>
          <w:rFonts w:ascii="Arial" w:hAnsi="Arial" w:cs="Arial"/>
          <w:szCs w:val="22"/>
        </w:rPr>
        <w:t>3</w:t>
      </w:r>
      <w:r w:rsidR="00902823" w:rsidRPr="00BC57F0">
        <w:rPr>
          <w:rFonts w:ascii="Arial" w:hAnsi="Arial" w:cs="Arial"/>
          <w:szCs w:val="22"/>
        </w:rPr>
        <w:t xml:space="preserve">. </w:t>
      </w:r>
      <w:r w:rsidRPr="00BC57F0">
        <w:rPr>
          <w:rFonts w:ascii="Arial" w:hAnsi="Arial" w:cs="Arial"/>
          <w:szCs w:val="22"/>
        </w:rPr>
        <w:t>results and discussion</w:t>
      </w:r>
    </w:p>
    <w:p w14:paraId="3DBC8B00" w14:textId="77777777" w:rsidR="00790ADA" w:rsidRPr="00BC57F0" w:rsidRDefault="00790ADA" w:rsidP="00441B6F">
      <w:pPr>
        <w:pStyle w:val="Head1"/>
        <w:spacing w:after="0"/>
        <w:jc w:val="both"/>
        <w:rPr>
          <w:rFonts w:ascii="Arial" w:hAnsi="Arial" w:cs="Arial"/>
          <w:szCs w:val="22"/>
        </w:rPr>
      </w:pPr>
    </w:p>
    <w:p w14:paraId="6586E4B2" w14:textId="77777777" w:rsidR="009F0CAD" w:rsidRPr="00862457" w:rsidRDefault="009F0CAD" w:rsidP="009F0CAD">
      <w:pPr>
        <w:numPr>
          <w:ilvl w:val="0"/>
          <w:numId w:val="31"/>
        </w:numPr>
        <w:spacing w:line="276" w:lineRule="auto"/>
        <w:jc w:val="both"/>
        <w:rPr>
          <w:rFonts w:ascii="Arial" w:hAnsi="Arial" w:cs="Arial"/>
          <w:bCs/>
          <w:sz w:val="22"/>
          <w:szCs w:val="22"/>
          <w:lang w:val="id-ID"/>
        </w:rPr>
      </w:pPr>
      <w:bookmarkStart w:id="0" w:name="_Hlk152151044"/>
      <w:r w:rsidRPr="00BC57F0">
        <w:rPr>
          <w:rFonts w:ascii="Arial" w:hAnsi="Arial" w:cs="Arial"/>
          <w:b/>
          <w:sz w:val="22"/>
          <w:szCs w:val="22"/>
          <w:lang w:val="id-ID"/>
        </w:rPr>
        <w:t>RESULT</w:t>
      </w:r>
    </w:p>
    <w:p w14:paraId="03007794" w14:textId="23A06D64" w:rsidR="009F0CAD" w:rsidRPr="00BC57F0" w:rsidRDefault="00862457" w:rsidP="00862457">
      <w:pPr>
        <w:pStyle w:val="IsiParagarf"/>
        <w:ind w:firstLine="720"/>
        <w:rPr>
          <w:rFonts w:ascii="Arial" w:hAnsi="Arial" w:cs="Arial"/>
        </w:rPr>
      </w:pPr>
      <w:r w:rsidRPr="00862457">
        <w:rPr>
          <w:rFonts w:ascii="Arial" w:hAnsi="Arial" w:cs="Arial"/>
          <w:bCs/>
          <w:highlight w:val="yellow"/>
        </w:rPr>
        <w:t xml:space="preserve">The initial database search (Scopus, Google Scholar, and Garuda) yielded a total of 412 records. After removing 156 duplicates, 256 records were screened by </w:t>
      </w:r>
      <w:r w:rsidRPr="00862457">
        <w:rPr>
          <w:rFonts w:ascii="Arial" w:hAnsi="Arial" w:cs="Arial"/>
          <w:bCs/>
          <w:highlight w:val="yellow"/>
        </w:rPr>
        <w:lastRenderedPageBreak/>
        <w:t>title and abstract. 182 records were excluded for lack of relevance to teacher allocation or remote sub-districts. Of the 74 full-text articles assessed for eligibility, 51 were excluded with reasons: 22 lacked empirical data, 18 focused on urban contexts, and 11 were non-peer-reviewed reports without clear methodologies. Consequently, 23 relevant studies were included for synthesis</w:t>
      </w:r>
      <w:r w:rsidRPr="00862457">
        <w:rPr>
          <w:rFonts w:ascii="Arial" w:hAnsi="Arial" w:cs="Arial"/>
          <w:bCs/>
        </w:rPr>
        <w:t xml:space="preserve"> </w:t>
      </w:r>
      <w:r w:rsidRPr="00862457">
        <w:rPr>
          <w:rFonts w:ascii="Arial" w:hAnsi="Arial" w:cs="Arial"/>
        </w:rPr>
        <w:t>Table 3</w:t>
      </w:r>
      <w:r>
        <w:rPr>
          <w:rFonts w:ascii="Arial" w:hAnsi="Arial" w:cs="Arial"/>
        </w:rPr>
        <w:t>.</w:t>
      </w:r>
    </w:p>
    <w:p w14:paraId="43F8265B" w14:textId="77777777" w:rsidR="009F0CAD" w:rsidRPr="00BC57F0" w:rsidRDefault="009F0CAD" w:rsidP="009F0CAD">
      <w:pPr>
        <w:pStyle w:val="IsiParagarf"/>
        <w:ind w:firstLine="0"/>
        <w:rPr>
          <w:rFonts w:ascii="Arial" w:hAnsi="Arial" w:cs="Arial"/>
          <w:lang w:val="id-ID"/>
        </w:rPr>
      </w:pPr>
      <w:r w:rsidRPr="00BC57F0">
        <w:rPr>
          <w:rFonts w:ascii="Arial" w:hAnsi="Arial" w:cs="Arial"/>
          <w:lang w:val="id-ID"/>
        </w:rPr>
        <w:t>Table 3. Review Results</w:t>
      </w:r>
    </w:p>
    <w:tbl>
      <w:tblPr>
        <w:tblStyle w:val="KisiTabel"/>
        <w:tblW w:w="852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44"/>
        <w:gridCol w:w="1299"/>
        <w:gridCol w:w="2410"/>
        <w:gridCol w:w="4269"/>
      </w:tblGrid>
      <w:tr w:rsidR="009F0CAD" w:rsidRPr="00412E7C" w14:paraId="1161191A" w14:textId="77777777" w:rsidTr="001C201D">
        <w:tc>
          <w:tcPr>
            <w:tcW w:w="544" w:type="dxa"/>
            <w:vAlign w:val="center"/>
          </w:tcPr>
          <w:p w14:paraId="21E456BE" w14:textId="77777777" w:rsidR="009F0CAD" w:rsidRPr="00BF303C" w:rsidRDefault="009F0CAD" w:rsidP="001C201D">
            <w:pPr>
              <w:jc w:val="center"/>
              <w:rPr>
                <w:rFonts w:ascii="Arial" w:eastAsiaTheme="minorEastAsia" w:hAnsi="Arial" w:cs="Arial"/>
                <w:b/>
                <w:bCs/>
                <w:sz w:val="20"/>
                <w:szCs w:val="20"/>
                <w:lang w:val="id-ID" w:eastAsia="zh-CN"/>
              </w:rPr>
            </w:pPr>
            <w:r w:rsidRPr="00BF303C">
              <w:rPr>
                <w:rFonts w:ascii="Arial" w:eastAsia="SimSun" w:hAnsi="Arial" w:cs="Arial"/>
                <w:b/>
                <w:bCs/>
                <w:sz w:val="20"/>
                <w:szCs w:val="20"/>
                <w:lang w:eastAsia="zh-CN" w:bidi="ar"/>
              </w:rPr>
              <w:t>No</w:t>
            </w:r>
          </w:p>
        </w:tc>
        <w:tc>
          <w:tcPr>
            <w:tcW w:w="1299" w:type="dxa"/>
            <w:vAlign w:val="center"/>
          </w:tcPr>
          <w:p w14:paraId="4FE06DCC" w14:textId="77777777" w:rsidR="009F0CAD" w:rsidRPr="00BF303C" w:rsidRDefault="009F0CAD" w:rsidP="001C201D">
            <w:pPr>
              <w:jc w:val="center"/>
              <w:rPr>
                <w:rFonts w:ascii="Arial" w:eastAsiaTheme="minorEastAsia" w:hAnsi="Arial" w:cs="Arial"/>
                <w:b/>
                <w:bCs/>
                <w:sz w:val="20"/>
                <w:szCs w:val="20"/>
                <w:lang w:val="id-ID" w:eastAsia="zh-CN"/>
              </w:rPr>
            </w:pPr>
            <w:r w:rsidRPr="00BF303C">
              <w:rPr>
                <w:rFonts w:ascii="Arial" w:eastAsia="SimSun" w:hAnsi="Arial" w:cs="Arial"/>
                <w:b/>
                <w:bCs/>
                <w:sz w:val="20"/>
                <w:szCs w:val="20"/>
                <w:lang w:eastAsia="zh-CN" w:bidi="ar"/>
              </w:rPr>
              <w:t>Reference</w:t>
            </w:r>
          </w:p>
        </w:tc>
        <w:tc>
          <w:tcPr>
            <w:tcW w:w="2410" w:type="dxa"/>
            <w:vAlign w:val="center"/>
          </w:tcPr>
          <w:p w14:paraId="6FE0FC7B" w14:textId="77777777" w:rsidR="009F0CAD" w:rsidRPr="00BF303C" w:rsidRDefault="009F0CAD" w:rsidP="00B63E23">
            <w:pPr>
              <w:jc w:val="center"/>
              <w:rPr>
                <w:rFonts w:ascii="Arial" w:eastAsiaTheme="minorEastAsia" w:hAnsi="Arial" w:cs="Arial"/>
                <w:b/>
                <w:bCs/>
                <w:sz w:val="20"/>
                <w:szCs w:val="20"/>
                <w:lang w:val="id-ID" w:eastAsia="zh-CN"/>
              </w:rPr>
            </w:pPr>
            <w:r w:rsidRPr="00BF303C">
              <w:rPr>
                <w:rFonts w:ascii="Arial" w:eastAsia="SimSun" w:hAnsi="Arial" w:cs="Arial"/>
                <w:b/>
                <w:bCs/>
                <w:sz w:val="20"/>
                <w:szCs w:val="20"/>
                <w:lang w:eastAsia="zh-CN" w:bidi="ar"/>
              </w:rPr>
              <w:t>Focus of Discussion</w:t>
            </w:r>
          </w:p>
        </w:tc>
        <w:tc>
          <w:tcPr>
            <w:tcW w:w="4269" w:type="dxa"/>
            <w:vAlign w:val="center"/>
          </w:tcPr>
          <w:p w14:paraId="02814BEC" w14:textId="77777777" w:rsidR="00B63E23" w:rsidRPr="00BF303C" w:rsidRDefault="009F0CAD" w:rsidP="00B63E23">
            <w:pPr>
              <w:jc w:val="center"/>
              <w:rPr>
                <w:rFonts w:ascii="Arial" w:eastAsia="SimSun" w:hAnsi="Arial" w:cs="Arial"/>
                <w:b/>
                <w:bCs/>
                <w:sz w:val="20"/>
                <w:szCs w:val="20"/>
                <w:lang w:eastAsia="zh-CN" w:bidi="ar"/>
              </w:rPr>
            </w:pPr>
            <w:r w:rsidRPr="00BF303C">
              <w:rPr>
                <w:rFonts w:ascii="Arial" w:eastAsia="SimSun" w:hAnsi="Arial" w:cs="Arial"/>
                <w:b/>
                <w:bCs/>
                <w:sz w:val="20"/>
                <w:szCs w:val="20"/>
                <w:lang w:eastAsia="zh-CN" w:bidi="ar"/>
              </w:rPr>
              <w:t xml:space="preserve">Review Summary </w:t>
            </w:r>
          </w:p>
          <w:p w14:paraId="2542DE91" w14:textId="6FBB60E6" w:rsidR="009F0CAD" w:rsidRPr="00BF303C" w:rsidRDefault="009F0CAD" w:rsidP="00B63E23">
            <w:pPr>
              <w:jc w:val="center"/>
              <w:rPr>
                <w:rFonts w:ascii="Arial" w:eastAsiaTheme="minorEastAsia" w:hAnsi="Arial" w:cs="Arial"/>
                <w:b/>
                <w:bCs/>
                <w:sz w:val="20"/>
                <w:szCs w:val="20"/>
                <w:lang w:val="id-ID" w:eastAsia="zh-CN"/>
              </w:rPr>
            </w:pPr>
            <w:r w:rsidRPr="00BF303C">
              <w:rPr>
                <w:rFonts w:ascii="Arial" w:eastAsia="SimSun" w:hAnsi="Arial" w:cs="Arial"/>
                <w:b/>
                <w:bCs/>
                <w:sz w:val="20"/>
                <w:szCs w:val="20"/>
                <w:lang w:eastAsia="zh-CN" w:bidi="ar"/>
              </w:rPr>
              <w:t>(brief, policy implications)</w:t>
            </w:r>
          </w:p>
        </w:tc>
      </w:tr>
      <w:tr w:rsidR="009F0CAD" w:rsidRPr="00412E7C" w14:paraId="02E780F0" w14:textId="77777777" w:rsidTr="001C201D">
        <w:tc>
          <w:tcPr>
            <w:tcW w:w="544" w:type="dxa"/>
            <w:vAlign w:val="center"/>
          </w:tcPr>
          <w:p w14:paraId="550CA54E"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w:t>
            </w:r>
          </w:p>
        </w:tc>
        <w:tc>
          <w:tcPr>
            <w:tcW w:w="1299" w:type="dxa"/>
            <w:vAlign w:val="center"/>
          </w:tcPr>
          <w:p w14:paraId="612E7747" w14:textId="1D38CDDB"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Sutomo,</w:t>
            </w:r>
            <w:r w:rsidR="00B63E23"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2022</w:t>
            </w:r>
          </w:p>
        </w:tc>
        <w:tc>
          <w:tcPr>
            <w:tcW w:w="2410" w:type="dxa"/>
            <w:vAlign w:val="center"/>
          </w:tcPr>
          <w:p w14:paraId="4EA2C5BE"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Role of philanthropic organizations in teacher professional development in remote areas.</w:t>
            </w:r>
          </w:p>
        </w:tc>
        <w:tc>
          <w:tcPr>
            <w:tcW w:w="4269" w:type="dxa"/>
            <w:vAlign w:val="center"/>
          </w:tcPr>
          <w:p w14:paraId="5588F9E4"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Philanthropic organizations can enhance teacher capacity through continuous facilitation and service-learning models; however, donor dependence creates sustainability issues if not integrated into local plans. Recommendation: transition model from donor support to regional funding schemes.</w:t>
            </w:r>
          </w:p>
        </w:tc>
      </w:tr>
      <w:tr w:rsidR="009F0CAD" w:rsidRPr="00412E7C" w14:paraId="47A1A17C" w14:textId="77777777" w:rsidTr="001C201D">
        <w:tc>
          <w:tcPr>
            <w:tcW w:w="544" w:type="dxa"/>
            <w:vAlign w:val="center"/>
          </w:tcPr>
          <w:p w14:paraId="064A3A41"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2</w:t>
            </w:r>
          </w:p>
        </w:tc>
        <w:tc>
          <w:tcPr>
            <w:tcW w:w="1299" w:type="dxa"/>
            <w:vAlign w:val="center"/>
          </w:tcPr>
          <w:p w14:paraId="68A97288" w14:textId="3EA4177B" w:rsidR="009F0CAD" w:rsidRPr="00BF303C" w:rsidRDefault="009F0CAD" w:rsidP="001C201D">
            <w:pPr>
              <w:ind w:right="-108"/>
              <w:rPr>
                <w:rFonts w:ascii="Arial" w:eastAsiaTheme="minorEastAsia" w:hAnsi="Arial" w:cs="Arial"/>
                <w:sz w:val="20"/>
                <w:szCs w:val="20"/>
                <w:lang w:val="id-ID" w:eastAsia="zh-CN"/>
              </w:rPr>
            </w:pPr>
            <w:r w:rsidRPr="00BF303C">
              <w:rPr>
                <w:rFonts w:ascii="Arial" w:eastAsia="SimSun" w:hAnsi="Arial" w:cs="Arial"/>
                <w:sz w:val="20"/>
                <w:szCs w:val="20"/>
                <w:lang w:eastAsia="zh-CN" w:bidi="ar"/>
              </w:rPr>
              <w:t>Raspatiningrum, 2025</w:t>
            </w:r>
          </w:p>
        </w:tc>
        <w:tc>
          <w:tcPr>
            <w:tcW w:w="2410" w:type="dxa"/>
            <w:vAlign w:val="center"/>
          </w:tcPr>
          <w:p w14:paraId="479BAE9A"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Career experiences and decisions of teachers to stay or leave in remote schools.</w:t>
            </w:r>
          </w:p>
        </w:tc>
        <w:tc>
          <w:tcPr>
            <w:tcW w:w="4269" w:type="dxa"/>
            <w:vAlign w:val="center"/>
          </w:tcPr>
          <w:p w14:paraId="3A862762"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Findings highlight that career uncertainty, social isolation, and lack of professional development pathways are main triggers for attrition; interventions should target psychosocial dimensions in addition to financial incentives.</w:t>
            </w:r>
          </w:p>
        </w:tc>
      </w:tr>
      <w:tr w:rsidR="009F0CAD" w:rsidRPr="00412E7C" w14:paraId="3750DE4A" w14:textId="77777777" w:rsidTr="001C201D">
        <w:trPr>
          <w:trHeight w:val="2184"/>
        </w:trPr>
        <w:tc>
          <w:tcPr>
            <w:tcW w:w="544" w:type="dxa"/>
            <w:vAlign w:val="center"/>
          </w:tcPr>
          <w:p w14:paraId="1EBCE572"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3</w:t>
            </w:r>
          </w:p>
        </w:tc>
        <w:tc>
          <w:tcPr>
            <w:tcW w:w="1299" w:type="dxa"/>
            <w:vAlign w:val="center"/>
          </w:tcPr>
          <w:p w14:paraId="4FBB0042" w14:textId="39A027E2" w:rsidR="009F0CAD" w:rsidRPr="00BF303C" w:rsidRDefault="00F55253" w:rsidP="001C201D">
            <w:pPr>
              <w:rPr>
                <w:rFonts w:ascii="Arial" w:eastAsiaTheme="minorEastAsia" w:hAnsi="Arial" w:cs="Arial"/>
                <w:sz w:val="20"/>
                <w:szCs w:val="20"/>
                <w:lang w:val="id-ID" w:eastAsia="zh-CN"/>
              </w:rPr>
            </w:pPr>
            <w:r w:rsidRPr="00F55253">
              <w:rPr>
                <w:rFonts w:ascii="Arial" w:eastAsia="SimSun" w:hAnsi="Arial" w:cs="Arial"/>
                <w:sz w:val="20"/>
                <w:szCs w:val="20"/>
                <w:lang w:eastAsia="zh-CN" w:bidi="ar"/>
              </w:rPr>
              <w:t>Maher &amp; Prescott, 2017</w:t>
            </w:r>
          </w:p>
        </w:tc>
        <w:tc>
          <w:tcPr>
            <w:tcW w:w="2410" w:type="dxa"/>
            <w:vAlign w:val="center"/>
          </w:tcPr>
          <w:p w14:paraId="5405C682" w14:textId="77777777" w:rsidR="009F0CAD" w:rsidRPr="00BF303C" w:rsidRDefault="009F0CAD" w:rsidP="00B63E23">
            <w:pPr>
              <w:tabs>
                <w:tab w:val="left" w:pos="1320"/>
              </w:tabs>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Practices and challenges of teacher professional development in remote schools.</w:t>
            </w:r>
          </w:p>
        </w:tc>
        <w:tc>
          <w:tcPr>
            <w:tcW w:w="4269" w:type="dxa"/>
            <w:vAlign w:val="center"/>
          </w:tcPr>
          <w:p w14:paraId="7C9D3D98"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Contextualized (local) group-based PD improves teaching practice; distance learning is promising but requires infrastructure. Regions need to invest in infrastructure and local facilitator training.</w:t>
            </w:r>
          </w:p>
        </w:tc>
      </w:tr>
      <w:tr w:rsidR="009F0CAD" w:rsidRPr="00412E7C" w14:paraId="6F3770FF" w14:textId="77777777" w:rsidTr="001C201D">
        <w:tc>
          <w:tcPr>
            <w:tcW w:w="544" w:type="dxa"/>
            <w:vAlign w:val="center"/>
          </w:tcPr>
          <w:p w14:paraId="346C9047"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4</w:t>
            </w:r>
          </w:p>
        </w:tc>
        <w:tc>
          <w:tcPr>
            <w:tcW w:w="1299" w:type="dxa"/>
            <w:vAlign w:val="center"/>
          </w:tcPr>
          <w:p w14:paraId="43E7D400" w14:textId="1BFB2FE5"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Gaduh</w:t>
            </w:r>
            <w:r w:rsidR="00B63E23" w:rsidRPr="00BF303C">
              <w:rPr>
                <w:rFonts w:ascii="Arial" w:eastAsia="SimSun" w:hAnsi="Arial" w:cs="Arial"/>
                <w:sz w:val="20"/>
                <w:szCs w:val="20"/>
                <w:lang w:eastAsia="zh-CN" w:bidi="ar"/>
              </w:rPr>
              <w:t xml:space="preserve"> et al.</w:t>
            </w:r>
            <w:r w:rsidRPr="00BF303C">
              <w:rPr>
                <w:rFonts w:ascii="Arial" w:eastAsia="SimSun" w:hAnsi="Arial" w:cs="Arial"/>
                <w:sz w:val="20"/>
                <w:szCs w:val="20"/>
                <w:lang w:eastAsia="zh-CN" w:bidi="ar"/>
              </w:rPr>
              <w:t>, 2019</w:t>
            </w:r>
          </w:p>
        </w:tc>
        <w:tc>
          <w:tcPr>
            <w:tcW w:w="2410" w:type="dxa"/>
            <w:vAlign w:val="center"/>
          </w:tcPr>
          <w:p w14:paraId="2FBCE688"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Testing community monitoring + incentive interventions (TSA) for teachers in remote areas.</w:t>
            </w:r>
          </w:p>
        </w:tc>
        <w:tc>
          <w:tcPr>
            <w:tcW w:w="4269" w:type="dxa"/>
            <w:vAlign w:val="center"/>
          </w:tcPr>
          <w:p w14:paraId="7CE4C3C6"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Interventions combining community monitoring with incentive mechanisms significantly improve teacher attendance; sustainability depends on local policy adoption and reliable payment systems. Central policy should regulate verification mechanisms and community involvement.</w:t>
            </w:r>
          </w:p>
        </w:tc>
      </w:tr>
      <w:tr w:rsidR="009F0CAD" w:rsidRPr="00412E7C" w14:paraId="746B3BB1" w14:textId="77777777" w:rsidTr="001C201D">
        <w:tc>
          <w:tcPr>
            <w:tcW w:w="544" w:type="dxa"/>
            <w:vAlign w:val="center"/>
          </w:tcPr>
          <w:p w14:paraId="3CF6E065"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5</w:t>
            </w:r>
          </w:p>
        </w:tc>
        <w:tc>
          <w:tcPr>
            <w:tcW w:w="1299" w:type="dxa"/>
            <w:vAlign w:val="center"/>
          </w:tcPr>
          <w:p w14:paraId="660B62F9" w14:textId="33D5C8E9"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Gaduh</w:t>
            </w:r>
            <w:r w:rsidR="00B63E23"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et al. 2022</w:t>
            </w:r>
          </w:p>
        </w:tc>
        <w:tc>
          <w:tcPr>
            <w:tcW w:w="2410" w:type="dxa"/>
            <w:vAlign w:val="center"/>
          </w:tcPr>
          <w:p w14:paraId="5DE0D3F4"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Evaluation of performance pay mechanisms linked to social accountability in remote schools.</w:t>
            </w:r>
          </w:p>
        </w:tc>
        <w:tc>
          <w:tcPr>
            <w:tcW w:w="4269" w:type="dxa"/>
            <w:vAlign w:val="center"/>
          </w:tcPr>
          <w:p w14:paraId="15302E41"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Shows that performance components + evidence (e.g., camera, scorecards) can improve teacher behavior; poor design (penalty/reduction of allowance) risks resistance. Recommendation: combine incentives with capacity support.</w:t>
            </w:r>
          </w:p>
        </w:tc>
      </w:tr>
      <w:tr w:rsidR="009F0CAD" w:rsidRPr="00412E7C" w14:paraId="070C38C6" w14:textId="77777777" w:rsidTr="001C201D">
        <w:tc>
          <w:tcPr>
            <w:tcW w:w="544" w:type="dxa"/>
            <w:vAlign w:val="center"/>
          </w:tcPr>
          <w:p w14:paraId="50DDEB76"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6</w:t>
            </w:r>
          </w:p>
        </w:tc>
        <w:tc>
          <w:tcPr>
            <w:tcW w:w="1299" w:type="dxa"/>
            <w:vAlign w:val="center"/>
          </w:tcPr>
          <w:p w14:paraId="6C9EF8F0" w14:textId="3FF774C6"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World Bank</w:t>
            </w:r>
            <w:r w:rsidR="00B63E23"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 xml:space="preserve"> 2019</w:t>
            </w:r>
          </w:p>
        </w:tc>
        <w:tc>
          <w:tcPr>
            <w:tcW w:w="2410" w:type="dxa"/>
            <w:vAlign w:val="center"/>
          </w:tcPr>
          <w:p w14:paraId="29C0FEAF"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Overview of school, teacher, and education service characteristics in remote areas.</w:t>
            </w:r>
          </w:p>
        </w:tc>
        <w:tc>
          <w:tcPr>
            <w:tcW w:w="4269" w:type="dxa"/>
            <w:vAlign w:val="center"/>
          </w:tcPr>
          <w:p w14:paraId="6BF73DD6" w14:textId="5436ACB2"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Provides strong empirical data: remote schools face problematic teacher ratios, poor infrastructure, high supervision costs; tactical recommendations include spatial targeting and transportation/</w:t>
            </w:r>
            <w:r w:rsidR="001E2D27"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accommodation subsidies.</w:t>
            </w:r>
          </w:p>
        </w:tc>
      </w:tr>
      <w:tr w:rsidR="009F0CAD" w:rsidRPr="00412E7C" w14:paraId="17AD2D6E" w14:textId="77777777" w:rsidTr="001C201D">
        <w:tc>
          <w:tcPr>
            <w:tcW w:w="544" w:type="dxa"/>
            <w:vAlign w:val="center"/>
          </w:tcPr>
          <w:p w14:paraId="7AEACB7C"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7</w:t>
            </w:r>
          </w:p>
        </w:tc>
        <w:tc>
          <w:tcPr>
            <w:tcW w:w="1299" w:type="dxa"/>
            <w:vAlign w:val="center"/>
          </w:tcPr>
          <w:p w14:paraId="1C8D3FCC" w14:textId="499B24EF" w:rsidR="009F0CAD" w:rsidRPr="00BF303C" w:rsidRDefault="001E2D27" w:rsidP="001C201D">
            <w:pPr>
              <w:rPr>
                <w:rFonts w:ascii="Arial" w:eastAsiaTheme="minorEastAsia" w:hAnsi="Arial" w:cs="Arial"/>
                <w:sz w:val="20"/>
                <w:szCs w:val="20"/>
                <w:lang w:val="id-ID" w:eastAsia="zh-CN"/>
              </w:rPr>
            </w:pPr>
            <w:r w:rsidRPr="00BF303C">
              <w:rPr>
                <w:rFonts w:ascii="Arial" w:eastAsiaTheme="minorEastAsia" w:hAnsi="Arial" w:cs="Arial"/>
                <w:sz w:val="20"/>
                <w:szCs w:val="20"/>
                <w:lang w:val="id-ID" w:eastAsia="zh-CN"/>
              </w:rPr>
              <w:t>Novita et al., 2020</w:t>
            </w:r>
          </w:p>
        </w:tc>
        <w:tc>
          <w:tcPr>
            <w:tcW w:w="2410" w:type="dxa"/>
            <w:vAlign w:val="center"/>
          </w:tcPr>
          <w:p w14:paraId="71D53060" w14:textId="19DB01A1" w:rsidR="009F0CAD" w:rsidRPr="00BF303C" w:rsidRDefault="001E2D27" w:rsidP="001E2D27">
            <w:pPr>
              <w:ind w:right="-111"/>
              <w:rPr>
                <w:rFonts w:ascii="Arial" w:eastAsiaTheme="minorEastAsia" w:hAnsi="Arial" w:cs="Arial"/>
                <w:sz w:val="20"/>
                <w:szCs w:val="20"/>
                <w:lang w:val="id-ID" w:eastAsia="zh-CN"/>
              </w:rPr>
            </w:pPr>
            <w:r w:rsidRPr="00BF303C">
              <w:rPr>
                <w:rFonts w:ascii="Arial" w:eastAsiaTheme="minorEastAsia" w:hAnsi="Arial" w:cs="Arial"/>
                <w:sz w:val="20"/>
                <w:szCs w:val="20"/>
                <w:lang w:eastAsia="zh-CN"/>
              </w:rPr>
              <w:t xml:space="preserve">Analysis of the implementation of </w:t>
            </w:r>
            <w:r w:rsidRPr="00BF303C">
              <w:rPr>
                <w:rFonts w:ascii="Arial" w:eastAsiaTheme="minorEastAsia" w:hAnsi="Arial" w:cs="Arial"/>
                <w:sz w:val="20"/>
                <w:szCs w:val="20"/>
                <w:lang w:eastAsia="zh-CN"/>
              </w:rPr>
              <w:lastRenderedPageBreak/>
              <w:t>Indonesian teacher istribution policies at the regional level.</w:t>
            </w:r>
          </w:p>
        </w:tc>
        <w:tc>
          <w:tcPr>
            <w:tcW w:w="4269" w:type="dxa"/>
            <w:vAlign w:val="center"/>
          </w:tcPr>
          <w:p w14:paraId="1AADC6B7" w14:textId="01B760E6" w:rsidR="009F0CAD" w:rsidRPr="00BF303C" w:rsidRDefault="001E2D27" w:rsidP="001E2D27">
            <w:pPr>
              <w:ind w:right="-111"/>
              <w:jc w:val="both"/>
              <w:rPr>
                <w:rFonts w:ascii="Arial" w:eastAsiaTheme="minorEastAsia" w:hAnsi="Arial" w:cs="Arial"/>
                <w:sz w:val="20"/>
                <w:szCs w:val="20"/>
                <w:lang w:val="id-ID" w:eastAsia="zh-CN"/>
              </w:rPr>
            </w:pPr>
            <w:r w:rsidRPr="00BF303C">
              <w:rPr>
                <w:rFonts w:ascii="Arial" w:eastAsiaTheme="minorEastAsia" w:hAnsi="Arial" w:cs="Arial"/>
                <w:sz w:val="20"/>
                <w:szCs w:val="20"/>
                <w:lang w:eastAsia="zh-CN"/>
              </w:rPr>
              <w:lastRenderedPageBreak/>
              <w:t xml:space="preserve">Highlighting issues arising (e.g., unequal placement, teacher shortages in remote areas) </w:t>
            </w:r>
            <w:r w:rsidRPr="00BF303C">
              <w:rPr>
                <w:rFonts w:ascii="Arial" w:eastAsiaTheme="minorEastAsia" w:hAnsi="Arial" w:cs="Arial"/>
                <w:sz w:val="20"/>
                <w:szCs w:val="20"/>
                <w:lang w:eastAsia="zh-CN"/>
              </w:rPr>
              <w:lastRenderedPageBreak/>
              <w:t xml:space="preserve">due to the implementation of the policy. </w:t>
            </w:r>
            <w:r w:rsidR="001C201D" w:rsidRPr="00BF303C">
              <w:rPr>
                <w:rFonts w:ascii="Arial" w:eastAsiaTheme="minorEastAsia" w:hAnsi="Arial" w:cs="Arial"/>
                <w:sz w:val="20"/>
                <w:szCs w:val="20"/>
                <w:lang w:eastAsia="zh-CN"/>
              </w:rPr>
              <w:t>R</w:t>
            </w:r>
            <w:r w:rsidRPr="001E2D27">
              <w:rPr>
                <w:rFonts w:ascii="Arial" w:eastAsiaTheme="minorEastAsia" w:hAnsi="Arial" w:cs="Arial"/>
                <w:sz w:val="20"/>
                <w:szCs w:val="20"/>
                <w:lang w:val="id-ID" w:eastAsia="zh-CN"/>
              </w:rPr>
              <w:t>esearchers recommendations on how teacher distribution policies should be improved or adjusted at the regional level.</w:t>
            </w:r>
          </w:p>
        </w:tc>
      </w:tr>
      <w:tr w:rsidR="009F0CAD" w:rsidRPr="00412E7C" w14:paraId="581D9186" w14:textId="77777777" w:rsidTr="001C201D">
        <w:tc>
          <w:tcPr>
            <w:tcW w:w="544" w:type="dxa"/>
            <w:vAlign w:val="center"/>
          </w:tcPr>
          <w:p w14:paraId="69B48B5B"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lastRenderedPageBreak/>
              <w:t>8</w:t>
            </w:r>
          </w:p>
        </w:tc>
        <w:tc>
          <w:tcPr>
            <w:tcW w:w="1299" w:type="dxa"/>
            <w:vAlign w:val="center"/>
          </w:tcPr>
          <w:p w14:paraId="4E531D51" w14:textId="420C9347" w:rsidR="009F0CAD" w:rsidRPr="00BF303C" w:rsidRDefault="00B615AF" w:rsidP="001C201D">
            <w:pPr>
              <w:ind w:right="-103"/>
              <w:rPr>
                <w:rFonts w:ascii="Arial" w:eastAsiaTheme="minorEastAsia" w:hAnsi="Arial" w:cs="Arial"/>
                <w:sz w:val="20"/>
                <w:szCs w:val="20"/>
                <w:lang w:val="id-ID" w:eastAsia="zh-CN"/>
              </w:rPr>
            </w:pPr>
            <w:r w:rsidRPr="00B615AF">
              <w:rPr>
                <w:rFonts w:ascii="Arial" w:eastAsia="SimSun" w:hAnsi="Arial" w:cs="Arial"/>
                <w:sz w:val="20"/>
                <w:szCs w:val="20"/>
                <w:lang w:eastAsia="zh-CN" w:bidi="ar"/>
              </w:rPr>
              <w:t>González-Pérez &amp; Ramírez-Montoya, 2022</w:t>
            </w:r>
          </w:p>
        </w:tc>
        <w:tc>
          <w:tcPr>
            <w:tcW w:w="2410" w:type="dxa"/>
            <w:vAlign w:val="center"/>
          </w:tcPr>
          <w:p w14:paraId="65987E8C"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Learning quality and 21st-century skills in remote schools.</w:t>
            </w:r>
          </w:p>
        </w:tc>
        <w:tc>
          <w:tcPr>
            <w:tcW w:w="4269" w:type="dxa"/>
            <w:vAlign w:val="center"/>
          </w:tcPr>
          <w:p w14:paraId="263B9DB3"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Shows link between teacher quality (competence, attendance) and student outcomes; interventions should target teacher PD and community support for pedagogical issues.</w:t>
            </w:r>
          </w:p>
        </w:tc>
      </w:tr>
      <w:tr w:rsidR="009F0CAD" w:rsidRPr="00412E7C" w14:paraId="154CD605" w14:textId="77777777" w:rsidTr="001C201D">
        <w:tc>
          <w:tcPr>
            <w:tcW w:w="544" w:type="dxa"/>
            <w:vAlign w:val="center"/>
          </w:tcPr>
          <w:p w14:paraId="0164B60C"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9</w:t>
            </w:r>
          </w:p>
        </w:tc>
        <w:tc>
          <w:tcPr>
            <w:tcW w:w="1299" w:type="dxa"/>
            <w:vAlign w:val="center"/>
          </w:tcPr>
          <w:p w14:paraId="0FA8A136" w14:textId="3B4B60D1" w:rsidR="009F0CAD" w:rsidRPr="00BF303C" w:rsidRDefault="001E2D27"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Werang et al., 2019</w:t>
            </w:r>
          </w:p>
        </w:tc>
        <w:tc>
          <w:tcPr>
            <w:tcW w:w="2410" w:type="dxa"/>
            <w:vAlign w:val="center"/>
          </w:tcPr>
          <w:p w14:paraId="533D4698" w14:textId="65563F14" w:rsidR="009F0CAD" w:rsidRPr="00BF303C" w:rsidRDefault="001C201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S</w:t>
            </w:r>
            <w:r w:rsidR="009F0CAD" w:rsidRPr="00BF303C">
              <w:rPr>
                <w:rFonts w:ascii="Arial" w:eastAsia="SimSun" w:hAnsi="Arial" w:cs="Arial"/>
                <w:sz w:val="20"/>
                <w:szCs w:val="20"/>
                <w:lang w:eastAsia="zh-CN" w:bidi="ar"/>
              </w:rPr>
              <w:t>tudy on teacher retention in remote districts in West Papua.</w:t>
            </w:r>
          </w:p>
        </w:tc>
        <w:tc>
          <w:tcPr>
            <w:tcW w:w="4269" w:type="dxa"/>
            <w:vAlign w:val="center"/>
          </w:tcPr>
          <w:p w14:paraId="70CA207A" w14:textId="02519E7C" w:rsidR="009F0CAD" w:rsidRPr="00BF303C" w:rsidRDefault="001E2D27"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w:t>
            </w:r>
            <w:r w:rsidR="009F0CAD" w:rsidRPr="00BF303C">
              <w:rPr>
                <w:rFonts w:ascii="Arial" w:eastAsia="SimSun" w:hAnsi="Arial" w:cs="Arial"/>
                <w:sz w:val="20"/>
                <w:szCs w:val="20"/>
                <w:lang w:eastAsia="zh-CN" w:bidi="ar"/>
              </w:rPr>
              <w:t>ersonal motivation and career aspirations affect retention; orientation programs and local mentors help early teacher adaptation.</w:t>
            </w:r>
          </w:p>
        </w:tc>
      </w:tr>
      <w:tr w:rsidR="009F0CAD" w:rsidRPr="00412E7C" w14:paraId="46BB132B" w14:textId="77777777" w:rsidTr="001C201D">
        <w:tc>
          <w:tcPr>
            <w:tcW w:w="544" w:type="dxa"/>
            <w:vAlign w:val="center"/>
          </w:tcPr>
          <w:p w14:paraId="3FBB2E4C"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10</w:t>
            </w:r>
          </w:p>
        </w:tc>
        <w:tc>
          <w:tcPr>
            <w:tcW w:w="1299" w:type="dxa"/>
            <w:vAlign w:val="center"/>
          </w:tcPr>
          <w:p w14:paraId="0AEBE118" w14:textId="2BCEBC67"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Sapiah, 202</w:t>
            </w:r>
            <w:r w:rsidR="001C201D" w:rsidRPr="00BF303C">
              <w:rPr>
                <w:rFonts w:ascii="Arial" w:eastAsia="SimSun" w:hAnsi="Arial" w:cs="Arial"/>
                <w:sz w:val="20"/>
                <w:szCs w:val="20"/>
                <w:lang w:eastAsia="zh-CN" w:bidi="ar"/>
              </w:rPr>
              <w:t>5</w:t>
            </w:r>
          </w:p>
        </w:tc>
        <w:tc>
          <w:tcPr>
            <w:tcW w:w="2410" w:type="dxa"/>
            <w:vAlign w:val="center"/>
          </w:tcPr>
          <w:p w14:paraId="16271423" w14:textId="77777777" w:rsidR="009F0CAD" w:rsidRPr="00BF303C" w:rsidRDefault="009F0CAD" w:rsidP="001C201D">
            <w:pPr>
              <w:ind w:right="-103"/>
              <w:rPr>
                <w:rFonts w:ascii="Arial" w:eastAsiaTheme="minorEastAsia" w:hAnsi="Arial" w:cs="Arial"/>
                <w:sz w:val="20"/>
                <w:szCs w:val="20"/>
                <w:lang w:val="id-ID" w:eastAsia="zh-CN"/>
              </w:rPr>
            </w:pPr>
            <w:r w:rsidRPr="00BF303C">
              <w:rPr>
                <w:rFonts w:ascii="Arial" w:eastAsia="SimSun" w:hAnsi="Arial" w:cs="Arial"/>
                <w:sz w:val="20"/>
                <w:szCs w:val="20"/>
                <w:lang w:eastAsia="zh-CN" w:bidi="ar"/>
              </w:rPr>
              <w:t>Collaborative model for implementing smart/digital education in remote areas.</w:t>
            </w:r>
          </w:p>
        </w:tc>
        <w:tc>
          <w:tcPr>
            <w:tcW w:w="4269" w:type="dxa"/>
            <w:vAlign w:val="center"/>
          </w:tcPr>
          <w:p w14:paraId="743C41F4"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Digital infrastructure, teacher digital literacy, and multi-stakeholder partnerships (government, private, NGOs) are prerequisites; spatial data use for teacher allocation is important.</w:t>
            </w:r>
          </w:p>
        </w:tc>
      </w:tr>
      <w:tr w:rsidR="009F0CAD" w:rsidRPr="00412E7C" w14:paraId="278BD2A7" w14:textId="77777777" w:rsidTr="001C201D">
        <w:tc>
          <w:tcPr>
            <w:tcW w:w="544" w:type="dxa"/>
            <w:vAlign w:val="center"/>
          </w:tcPr>
          <w:p w14:paraId="11DB3742"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11</w:t>
            </w:r>
          </w:p>
        </w:tc>
        <w:tc>
          <w:tcPr>
            <w:tcW w:w="1299" w:type="dxa"/>
            <w:vAlign w:val="center"/>
          </w:tcPr>
          <w:p w14:paraId="21E3A244" w14:textId="69B160D6"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Amin, 2024</w:t>
            </w:r>
            <w:r w:rsidR="007B3AAF">
              <w:rPr>
                <w:rFonts w:ascii="Arial" w:eastAsia="SimSun" w:hAnsi="Arial" w:cs="Arial"/>
                <w:sz w:val="20"/>
                <w:szCs w:val="20"/>
                <w:lang w:eastAsia="zh-CN" w:bidi="ar"/>
              </w:rPr>
              <w:t xml:space="preserve"> </w:t>
            </w:r>
          </w:p>
        </w:tc>
        <w:tc>
          <w:tcPr>
            <w:tcW w:w="2410" w:type="dxa"/>
            <w:vAlign w:val="center"/>
          </w:tcPr>
          <w:p w14:paraId="425F3AC8" w14:textId="77777777" w:rsidR="001C201D" w:rsidRPr="00BF303C" w:rsidRDefault="009F0CAD" w:rsidP="001C201D">
            <w:pPr>
              <w:ind w:right="-103"/>
              <w:rPr>
                <w:rFonts w:ascii="Arial" w:eastAsia="SimSun" w:hAnsi="Arial" w:cs="Arial"/>
                <w:sz w:val="20"/>
                <w:szCs w:val="20"/>
                <w:lang w:eastAsia="zh-CN" w:bidi="ar"/>
              </w:rPr>
            </w:pPr>
            <w:r w:rsidRPr="00BF303C">
              <w:rPr>
                <w:rFonts w:ascii="Arial" w:eastAsia="SimSun" w:hAnsi="Arial" w:cs="Arial"/>
                <w:sz w:val="20"/>
                <w:szCs w:val="20"/>
                <w:lang w:eastAsia="zh-CN" w:bidi="ar"/>
              </w:rPr>
              <w:t xml:space="preserve">Innovative </w:t>
            </w:r>
          </w:p>
          <w:p w14:paraId="34D4C287" w14:textId="666EC3ED" w:rsidR="009F0CAD" w:rsidRPr="00BF303C" w:rsidRDefault="009F0CAD" w:rsidP="001C201D">
            <w:pPr>
              <w:ind w:right="-103"/>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policies and practices to address educational inequities, including remote areas.</w:t>
            </w:r>
          </w:p>
        </w:tc>
        <w:tc>
          <w:tcPr>
            <w:tcW w:w="4269" w:type="dxa"/>
            <w:vAlign w:val="center"/>
          </w:tcPr>
          <w:p w14:paraId="613774E1" w14:textId="7F098731"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Recommendation: integrated policy package  is more effective than single policies; evidence shows improvement with multisectoral approaches.</w:t>
            </w:r>
          </w:p>
        </w:tc>
      </w:tr>
      <w:tr w:rsidR="009F0CAD" w:rsidRPr="00412E7C" w14:paraId="4CA126B8" w14:textId="77777777" w:rsidTr="001C201D">
        <w:tc>
          <w:tcPr>
            <w:tcW w:w="544" w:type="dxa"/>
            <w:vAlign w:val="center"/>
          </w:tcPr>
          <w:p w14:paraId="3A1D0E42"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12</w:t>
            </w:r>
          </w:p>
        </w:tc>
        <w:tc>
          <w:tcPr>
            <w:tcW w:w="1299" w:type="dxa"/>
            <w:vAlign w:val="center"/>
          </w:tcPr>
          <w:p w14:paraId="07B8DFA8" w14:textId="596703E0" w:rsidR="009F0CAD" w:rsidRPr="00BF303C" w:rsidRDefault="00412E7C" w:rsidP="001C201D">
            <w:pPr>
              <w:rPr>
                <w:rFonts w:ascii="Arial" w:eastAsiaTheme="minorEastAsia" w:hAnsi="Arial" w:cs="Arial"/>
                <w:sz w:val="20"/>
                <w:szCs w:val="20"/>
                <w:lang w:val="id-ID" w:eastAsia="zh-CN"/>
              </w:rPr>
            </w:pPr>
            <w:r w:rsidRPr="00BF303C">
              <w:rPr>
                <w:rFonts w:ascii="Arial" w:eastAsiaTheme="minorEastAsia" w:hAnsi="Arial" w:cs="Arial"/>
                <w:sz w:val="20"/>
                <w:szCs w:val="20"/>
                <w:lang w:val="id-ID" w:eastAsia="zh-CN"/>
              </w:rPr>
              <w:t>Tj</w:t>
            </w:r>
            <w:r w:rsidR="009522DD">
              <w:rPr>
                <w:rFonts w:ascii="Arial" w:eastAsiaTheme="minorEastAsia" w:hAnsi="Arial" w:cs="Arial"/>
                <w:sz w:val="20"/>
                <w:szCs w:val="20"/>
                <w:lang w:val="id-ID" w:eastAsia="zh-CN"/>
              </w:rPr>
              <w:t>a</w:t>
            </w:r>
            <w:r w:rsidRPr="00BF303C">
              <w:rPr>
                <w:rFonts w:ascii="Arial" w:eastAsiaTheme="minorEastAsia" w:hAnsi="Arial" w:cs="Arial"/>
                <w:sz w:val="20"/>
                <w:szCs w:val="20"/>
                <w:lang w:val="id-ID" w:eastAsia="zh-CN"/>
              </w:rPr>
              <w:t>bolo, 2020</w:t>
            </w:r>
          </w:p>
        </w:tc>
        <w:tc>
          <w:tcPr>
            <w:tcW w:w="2410" w:type="dxa"/>
            <w:vAlign w:val="center"/>
          </w:tcPr>
          <w:p w14:paraId="5A68F62A"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Evaluation of teacher certification policy on teacher distribution and quality.</w:t>
            </w:r>
          </w:p>
        </w:tc>
        <w:tc>
          <w:tcPr>
            <w:tcW w:w="4269" w:type="dxa"/>
            <w:vAlign w:val="center"/>
          </w:tcPr>
          <w:p w14:paraId="07B883B3"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Certification increases professional recognition and income, but does not automatically resolve spatial distribution issues; should be combined with placement and local incentive policies.</w:t>
            </w:r>
          </w:p>
        </w:tc>
      </w:tr>
      <w:tr w:rsidR="009F0CAD" w:rsidRPr="00412E7C" w14:paraId="380206CB" w14:textId="77777777" w:rsidTr="001C201D">
        <w:tc>
          <w:tcPr>
            <w:tcW w:w="544" w:type="dxa"/>
            <w:vAlign w:val="center"/>
          </w:tcPr>
          <w:p w14:paraId="5D573FA0"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13</w:t>
            </w:r>
          </w:p>
        </w:tc>
        <w:tc>
          <w:tcPr>
            <w:tcW w:w="1299" w:type="dxa"/>
            <w:vAlign w:val="center"/>
          </w:tcPr>
          <w:p w14:paraId="7730D4B5" w14:textId="0585E673"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Toyamah</w:t>
            </w:r>
            <w:r w:rsidR="00412E7C"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et al</w:t>
            </w:r>
            <w:r w:rsidR="00412E7C"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2010</w:t>
            </w:r>
          </w:p>
        </w:tc>
        <w:tc>
          <w:tcPr>
            <w:tcW w:w="2410" w:type="dxa"/>
            <w:vAlign w:val="center"/>
          </w:tcPr>
          <w:p w14:paraId="275D2010"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Baseline study on teacher absenteeism and remote area allowance.</w:t>
            </w:r>
          </w:p>
        </w:tc>
        <w:tc>
          <w:tcPr>
            <w:tcW w:w="4269" w:type="dxa"/>
            <w:vAlign w:val="center"/>
          </w:tcPr>
          <w:p w14:paraId="3AA3C67A"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Findings: allowances do not always reduce absenteeism—supervision, sanctions, and local culture affect effectiveness; implication: incentive design must include accountability mechanisms.</w:t>
            </w:r>
          </w:p>
        </w:tc>
      </w:tr>
      <w:tr w:rsidR="009F0CAD" w:rsidRPr="00412E7C" w14:paraId="46125BA8" w14:textId="77777777" w:rsidTr="001C201D">
        <w:tc>
          <w:tcPr>
            <w:tcW w:w="544" w:type="dxa"/>
            <w:vAlign w:val="center"/>
          </w:tcPr>
          <w:p w14:paraId="40CB76BB"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14</w:t>
            </w:r>
          </w:p>
        </w:tc>
        <w:tc>
          <w:tcPr>
            <w:tcW w:w="1299" w:type="dxa"/>
            <w:vAlign w:val="center"/>
          </w:tcPr>
          <w:p w14:paraId="5896CDBB" w14:textId="49EE720A"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World Bank ICR</w:t>
            </w:r>
            <w:r w:rsidR="00412E7C"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2019</w:t>
            </w:r>
          </w:p>
        </w:tc>
        <w:tc>
          <w:tcPr>
            <w:tcW w:w="2410" w:type="dxa"/>
            <w:vAlign w:val="center"/>
          </w:tcPr>
          <w:p w14:paraId="2C5F6B0F"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Evaluation of teacher performance improvement program (KIAT Guru) and social accountability engagement.</w:t>
            </w:r>
          </w:p>
        </w:tc>
        <w:tc>
          <w:tcPr>
            <w:tcW w:w="4269" w:type="dxa"/>
            <w:vAlign w:val="center"/>
          </w:tcPr>
          <w:p w14:paraId="639AD60B"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Program shows positive results on attendance and accountability indicators; key success factors: community engagement and verification systems for allowance payments. Broader adoption requires regional capacity strengthening.</w:t>
            </w:r>
          </w:p>
        </w:tc>
      </w:tr>
      <w:tr w:rsidR="009F0CAD" w:rsidRPr="00412E7C" w14:paraId="0E1860E3" w14:textId="77777777" w:rsidTr="001C201D">
        <w:tc>
          <w:tcPr>
            <w:tcW w:w="544" w:type="dxa"/>
            <w:vAlign w:val="center"/>
          </w:tcPr>
          <w:p w14:paraId="495318F1"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15</w:t>
            </w:r>
          </w:p>
        </w:tc>
        <w:tc>
          <w:tcPr>
            <w:tcW w:w="1299" w:type="dxa"/>
            <w:vAlign w:val="center"/>
          </w:tcPr>
          <w:p w14:paraId="13F0B862" w14:textId="013118CF"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Gaduh et al.</w:t>
            </w:r>
            <w:r w:rsidR="00412E7C" w:rsidRPr="00BF303C">
              <w:rPr>
                <w:rFonts w:ascii="Arial" w:eastAsia="SimSun" w:hAnsi="Arial" w:cs="Arial"/>
                <w:sz w:val="20"/>
                <w:szCs w:val="20"/>
                <w:lang w:eastAsia="zh-CN" w:bidi="ar"/>
              </w:rPr>
              <w:t>, 2021</w:t>
            </w:r>
          </w:p>
        </w:tc>
        <w:tc>
          <w:tcPr>
            <w:tcW w:w="2410" w:type="dxa"/>
            <w:vAlign w:val="center"/>
          </w:tcPr>
          <w:p w14:paraId="14DE517C" w14:textId="15A50F11" w:rsidR="009F0CAD" w:rsidRPr="00BF303C" w:rsidRDefault="00412E7C" w:rsidP="00B63E23">
            <w:pPr>
              <w:rPr>
                <w:rFonts w:ascii="Arial" w:eastAsiaTheme="minorEastAsia" w:hAnsi="Arial" w:cs="Arial"/>
                <w:sz w:val="20"/>
                <w:szCs w:val="20"/>
                <w:lang w:val="id-ID" w:eastAsia="zh-CN"/>
              </w:rPr>
            </w:pPr>
            <w:r w:rsidRPr="00BF303C">
              <w:rPr>
                <w:rFonts w:ascii="Arial" w:eastAsiaTheme="minorEastAsia" w:hAnsi="Arial" w:cs="Arial"/>
                <w:sz w:val="20"/>
                <w:szCs w:val="20"/>
                <w:lang w:val="id-ID" w:eastAsia="zh-CN"/>
              </w:rPr>
              <w:t xml:space="preserve">evaluating the impact of performance-based teacher incentive programs in remote areas, especially those that integrate social accountability in their design. </w:t>
            </w:r>
          </w:p>
        </w:tc>
        <w:tc>
          <w:tcPr>
            <w:tcW w:w="4269" w:type="dxa"/>
            <w:vAlign w:val="center"/>
          </w:tcPr>
          <w:p w14:paraId="2FE8B945" w14:textId="40958CBE" w:rsidR="009F0CAD" w:rsidRPr="00BF303C" w:rsidRDefault="00412E7C" w:rsidP="00B63E23">
            <w:pPr>
              <w:jc w:val="both"/>
              <w:rPr>
                <w:rFonts w:ascii="Arial" w:eastAsiaTheme="minorEastAsia" w:hAnsi="Arial" w:cs="Arial"/>
                <w:sz w:val="20"/>
                <w:szCs w:val="20"/>
                <w:lang w:val="id-ID" w:eastAsia="zh-CN"/>
              </w:rPr>
            </w:pPr>
            <w:r w:rsidRPr="00BF303C">
              <w:rPr>
                <w:rFonts w:ascii="Arial" w:eastAsiaTheme="minorEastAsia" w:hAnsi="Arial" w:cs="Arial"/>
                <w:sz w:val="20"/>
                <w:szCs w:val="20"/>
                <w:lang w:val="id-ID" w:eastAsia="zh-CN"/>
              </w:rPr>
              <w:t>Performance Incentives (Performance Pay) linked to monitoring can significantly improve teacher attendance and performance. Social Accountability (the involvement of the community, school principals, or parents in supervision) acts as a complementary mechanism that strengthens the positive impact of incentives, particularly in reducing misconduct in remote areas.</w:t>
            </w:r>
          </w:p>
        </w:tc>
      </w:tr>
      <w:tr w:rsidR="009F0CAD" w:rsidRPr="00412E7C" w14:paraId="0DB52A0F" w14:textId="77777777" w:rsidTr="001C201D">
        <w:tc>
          <w:tcPr>
            <w:tcW w:w="544" w:type="dxa"/>
            <w:vAlign w:val="center"/>
          </w:tcPr>
          <w:p w14:paraId="5849AF9E"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16</w:t>
            </w:r>
          </w:p>
        </w:tc>
        <w:tc>
          <w:tcPr>
            <w:tcW w:w="1299" w:type="dxa"/>
            <w:vAlign w:val="center"/>
          </w:tcPr>
          <w:p w14:paraId="1DE3215C" w14:textId="2C6F3F2A" w:rsidR="009F0CAD" w:rsidRPr="00BF303C" w:rsidRDefault="008055C2" w:rsidP="001C201D">
            <w:pPr>
              <w:rPr>
                <w:rFonts w:ascii="Arial" w:hAnsi="Arial" w:cs="Arial"/>
                <w:sz w:val="20"/>
                <w:szCs w:val="20"/>
                <w:lang w:val="id-ID"/>
              </w:rPr>
            </w:pPr>
            <w:r>
              <w:rPr>
                <w:rFonts w:ascii="Arial" w:hAnsi="Arial" w:cs="Arial"/>
                <w:sz w:val="20"/>
                <w:szCs w:val="20"/>
                <w:lang w:val="id-ID"/>
              </w:rPr>
              <w:t xml:space="preserve">Adipa </w:t>
            </w:r>
            <w:r w:rsidRPr="008055C2">
              <w:rPr>
                <w:rFonts w:ascii="Arial" w:hAnsi="Arial" w:cs="Arial"/>
                <w:sz w:val="20"/>
                <w:szCs w:val="20"/>
                <w:lang w:val="id-ID"/>
              </w:rPr>
              <w:t>&amp; Jimmy</w:t>
            </w:r>
            <w:r>
              <w:rPr>
                <w:rFonts w:ascii="Arial" w:hAnsi="Arial" w:cs="Arial"/>
                <w:sz w:val="20"/>
                <w:szCs w:val="20"/>
                <w:lang w:val="id-ID"/>
              </w:rPr>
              <w:t xml:space="preserve">, </w:t>
            </w:r>
            <w:r w:rsidRPr="008055C2">
              <w:rPr>
                <w:rFonts w:ascii="Arial" w:hAnsi="Arial" w:cs="Arial"/>
                <w:sz w:val="20"/>
                <w:szCs w:val="20"/>
                <w:lang w:val="id-ID"/>
              </w:rPr>
              <w:t>2025</w:t>
            </w:r>
          </w:p>
        </w:tc>
        <w:tc>
          <w:tcPr>
            <w:tcW w:w="2410" w:type="dxa"/>
            <w:vAlign w:val="center"/>
          </w:tcPr>
          <w:p w14:paraId="2D837B8C" w14:textId="493F7528" w:rsidR="009F0CAD" w:rsidRPr="00BF303C" w:rsidRDefault="009F0CAD" w:rsidP="00B63E23">
            <w:pPr>
              <w:rPr>
                <w:rFonts w:ascii="Arial" w:hAnsi="Arial" w:cs="Arial"/>
                <w:sz w:val="20"/>
                <w:szCs w:val="20"/>
                <w:lang w:val="id-ID"/>
              </w:rPr>
            </w:pPr>
            <w:r w:rsidRPr="00BF303C">
              <w:rPr>
                <w:rFonts w:ascii="Arial" w:eastAsia="SimSun" w:hAnsi="Arial" w:cs="Arial"/>
                <w:sz w:val="20"/>
                <w:szCs w:val="20"/>
                <w:lang w:eastAsia="zh-CN" w:bidi="ar"/>
              </w:rPr>
              <w:t xml:space="preserve">Comparison of </w:t>
            </w:r>
            <w:r w:rsidR="00412E7C" w:rsidRPr="00BF303C">
              <w:rPr>
                <w:rFonts w:ascii="Arial" w:hAnsi="Arial" w:cs="Arial"/>
                <w:bCs/>
                <w:color w:val="000000" w:themeColor="text1"/>
                <w:sz w:val="20"/>
                <w:szCs w:val="20"/>
              </w:rPr>
              <w:t xml:space="preserve">Civil Servant </w:t>
            </w:r>
            <w:r w:rsidRPr="00BF303C">
              <w:rPr>
                <w:rFonts w:ascii="Arial" w:eastAsia="SimSun" w:hAnsi="Arial" w:cs="Arial"/>
                <w:sz w:val="20"/>
                <w:szCs w:val="20"/>
                <w:lang w:eastAsia="zh-CN" w:bidi="ar"/>
              </w:rPr>
              <w:t>and no</w:t>
            </w:r>
            <w:r w:rsidR="00412E7C" w:rsidRPr="00BF303C">
              <w:rPr>
                <w:rFonts w:ascii="Arial" w:eastAsia="SimSun" w:hAnsi="Arial" w:cs="Arial"/>
                <w:sz w:val="20"/>
                <w:szCs w:val="20"/>
                <w:lang w:eastAsia="zh-CN" w:bidi="ar"/>
              </w:rPr>
              <w:t xml:space="preserve">t </w:t>
            </w:r>
            <w:r w:rsidR="00412E7C" w:rsidRPr="00BF303C">
              <w:rPr>
                <w:rFonts w:ascii="Arial" w:hAnsi="Arial" w:cs="Arial"/>
                <w:bCs/>
                <w:color w:val="000000" w:themeColor="text1"/>
                <w:sz w:val="20"/>
                <w:szCs w:val="20"/>
              </w:rPr>
              <w:t>Civil Servant</w:t>
            </w:r>
            <w:r w:rsidRPr="00BF303C">
              <w:rPr>
                <w:rFonts w:ascii="Arial" w:eastAsia="SimSun" w:hAnsi="Arial" w:cs="Arial"/>
                <w:sz w:val="20"/>
                <w:szCs w:val="20"/>
                <w:lang w:eastAsia="zh-CN" w:bidi="ar"/>
              </w:rPr>
              <w:t xml:space="preserve"> teacher distribution in remote areas.</w:t>
            </w:r>
          </w:p>
        </w:tc>
        <w:tc>
          <w:tcPr>
            <w:tcW w:w="4269" w:type="dxa"/>
            <w:vAlign w:val="center"/>
          </w:tcPr>
          <w:p w14:paraId="28277B62" w14:textId="16F156A9"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Results show significant imbalance, with non-</w:t>
            </w:r>
            <w:r w:rsidR="00BF303C" w:rsidRPr="00BF303C">
              <w:rPr>
                <w:rFonts w:ascii="Arial" w:hAnsi="Arial" w:cs="Arial"/>
                <w:bCs/>
                <w:color w:val="000000" w:themeColor="text1"/>
                <w:sz w:val="20"/>
                <w:szCs w:val="20"/>
              </w:rPr>
              <w:t xml:space="preserve"> Civil Servant</w:t>
            </w:r>
            <w:r w:rsidRPr="00BF303C">
              <w:rPr>
                <w:rFonts w:ascii="Arial" w:eastAsia="SimSun" w:hAnsi="Arial" w:cs="Arial"/>
                <w:sz w:val="20"/>
                <w:szCs w:val="20"/>
                <w:lang w:eastAsia="zh-CN" w:bidi="ar"/>
              </w:rPr>
              <w:t xml:space="preserve"> teachers dominating remote schools. Affirmative programs are still ineffective because </w:t>
            </w:r>
            <w:r w:rsidR="00BF303C" w:rsidRPr="00BF303C">
              <w:rPr>
                <w:rFonts w:ascii="Arial" w:hAnsi="Arial" w:cs="Arial"/>
                <w:bCs/>
                <w:color w:val="000000" w:themeColor="text1"/>
                <w:sz w:val="20"/>
                <w:szCs w:val="20"/>
              </w:rPr>
              <w:t xml:space="preserve">Civil Servant </w:t>
            </w:r>
            <w:r w:rsidRPr="00BF303C">
              <w:rPr>
                <w:rFonts w:ascii="Arial" w:eastAsia="SimSun" w:hAnsi="Arial" w:cs="Arial"/>
                <w:sz w:val="20"/>
                <w:szCs w:val="20"/>
                <w:lang w:eastAsia="zh-CN" w:bidi="ar"/>
              </w:rPr>
              <w:t>based placement does not consider geographic and social aspects.</w:t>
            </w:r>
          </w:p>
        </w:tc>
      </w:tr>
      <w:tr w:rsidR="009F0CAD" w:rsidRPr="00412E7C" w14:paraId="52F67BD9" w14:textId="77777777" w:rsidTr="001C201D">
        <w:tc>
          <w:tcPr>
            <w:tcW w:w="544" w:type="dxa"/>
            <w:vAlign w:val="center"/>
          </w:tcPr>
          <w:p w14:paraId="7A1B318D"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lastRenderedPageBreak/>
              <w:t>17</w:t>
            </w:r>
          </w:p>
        </w:tc>
        <w:tc>
          <w:tcPr>
            <w:tcW w:w="1299" w:type="dxa"/>
            <w:vAlign w:val="center"/>
          </w:tcPr>
          <w:p w14:paraId="0048DF98" w14:textId="30A50CF9" w:rsidR="009F0CAD" w:rsidRPr="00BF303C" w:rsidRDefault="00E150B0" w:rsidP="001C201D">
            <w:pPr>
              <w:rPr>
                <w:rFonts w:ascii="Arial" w:hAnsi="Arial" w:cs="Arial"/>
                <w:sz w:val="20"/>
                <w:szCs w:val="20"/>
                <w:lang w:val="id-ID"/>
              </w:rPr>
            </w:pPr>
            <w:r w:rsidRPr="00E150B0">
              <w:rPr>
                <w:rFonts w:ascii="Arial" w:hAnsi="Arial" w:cs="Arial"/>
                <w:sz w:val="20"/>
                <w:szCs w:val="20"/>
              </w:rPr>
              <w:t>Arifyani</w:t>
            </w:r>
            <w:r>
              <w:rPr>
                <w:rFonts w:ascii="Arial" w:hAnsi="Arial" w:cs="Arial"/>
                <w:sz w:val="20"/>
                <w:szCs w:val="20"/>
              </w:rPr>
              <w:t xml:space="preserve"> </w:t>
            </w:r>
            <w:r w:rsidRPr="00E150B0">
              <w:rPr>
                <w:rFonts w:ascii="Arial" w:hAnsi="Arial" w:cs="Arial"/>
                <w:sz w:val="20"/>
                <w:szCs w:val="20"/>
              </w:rPr>
              <w:t>&amp; Khoirunurrofik, 2021</w:t>
            </w:r>
          </w:p>
        </w:tc>
        <w:tc>
          <w:tcPr>
            <w:tcW w:w="2410" w:type="dxa"/>
            <w:vAlign w:val="center"/>
          </w:tcPr>
          <w:p w14:paraId="06B676F4" w14:textId="77777777" w:rsidR="009F0CAD" w:rsidRPr="00BF303C" w:rsidRDefault="009F0CAD" w:rsidP="00B63E23">
            <w:pPr>
              <w:rPr>
                <w:rFonts w:ascii="Arial" w:hAnsi="Arial" w:cs="Arial"/>
                <w:sz w:val="20"/>
                <w:szCs w:val="20"/>
                <w:lang w:val="id-ID"/>
              </w:rPr>
            </w:pPr>
            <w:r w:rsidRPr="00BF303C">
              <w:rPr>
                <w:rFonts w:ascii="Arial" w:eastAsia="SimSun" w:hAnsi="Arial" w:cs="Arial"/>
                <w:sz w:val="20"/>
                <w:szCs w:val="20"/>
                <w:lang w:eastAsia="zh-CN" w:bidi="ar"/>
              </w:rPr>
              <w:t>Impact of GGD program on education quality in 3T areas.</w:t>
            </w:r>
          </w:p>
        </w:tc>
        <w:tc>
          <w:tcPr>
            <w:tcW w:w="4269" w:type="dxa"/>
            <w:vAlign w:val="center"/>
          </w:tcPr>
          <w:p w14:paraId="20FE32FB"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GGD fills teacher gaps, but many participants request transfers after service. Policy recommendation: long-term career incentives and enhanced social support for teachers in the field.</w:t>
            </w:r>
          </w:p>
        </w:tc>
      </w:tr>
      <w:tr w:rsidR="009F0CAD" w:rsidRPr="00412E7C" w14:paraId="754F48C5" w14:textId="77777777" w:rsidTr="001C201D">
        <w:tc>
          <w:tcPr>
            <w:tcW w:w="544" w:type="dxa"/>
            <w:vAlign w:val="center"/>
          </w:tcPr>
          <w:p w14:paraId="54FA1906"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18</w:t>
            </w:r>
          </w:p>
        </w:tc>
        <w:tc>
          <w:tcPr>
            <w:tcW w:w="1299" w:type="dxa"/>
            <w:vAlign w:val="center"/>
          </w:tcPr>
          <w:p w14:paraId="199ECD9A" w14:textId="1A9EAE8E" w:rsidR="009F0CAD" w:rsidRPr="00BF303C" w:rsidRDefault="00B615AF" w:rsidP="001C201D">
            <w:pPr>
              <w:rPr>
                <w:rFonts w:ascii="Arial" w:hAnsi="Arial" w:cs="Arial"/>
                <w:sz w:val="20"/>
                <w:szCs w:val="20"/>
                <w:lang w:val="id-ID"/>
              </w:rPr>
            </w:pPr>
            <w:r w:rsidRPr="00B615AF">
              <w:rPr>
                <w:rFonts w:ascii="Arial" w:hAnsi="Arial" w:cs="Arial"/>
                <w:sz w:val="20"/>
                <w:szCs w:val="20"/>
              </w:rPr>
              <w:t>Chu-Chang</w:t>
            </w:r>
            <w:r>
              <w:rPr>
                <w:rFonts w:ascii="Arial" w:hAnsi="Arial" w:cs="Arial"/>
                <w:sz w:val="20"/>
                <w:szCs w:val="20"/>
              </w:rPr>
              <w:t xml:space="preserve"> et al., </w:t>
            </w:r>
            <w:r w:rsidRPr="00B615AF">
              <w:rPr>
                <w:rFonts w:ascii="Arial" w:hAnsi="Arial" w:cs="Arial"/>
                <w:sz w:val="20"/>
                <w:szCs w:val="20"/>
              </w:rPr>
              <w:t>2013</w:t>
            </w:r>
          </w:p>
        </w:tc>
        <w:tc>
          <w:tcPr>
            <w:tcW w:w="2410" w:type="dxa"/>
            <w:vAlign w:val="center"/>
          </w:tcPr>
          <w:p w14:paraId="7C425F4A" w14:textId="77777777" w:rsidR="009F0CAD" w:rsidRPr="00BF303C" w:rsidRDefault="009F0CAD" w:rsidP="00B63E23">
            <w:pPr>
              <w:rPr>
                <w:rFonts w:ascii="Arial" w:hAnsi="Arial" w:cs="Arial"/>
                <w:sz w:val="20"/>
                <w:szCs w:val="20"/>
                <w:lang w:val="id-ID"/>
              </w:rPr>
            </w:pPr>
            <w:r w:rsidRPr="00BF303C">
              <w:rPr>
                <w:rFonts w:ascii="Arial" w:eastAsia="SimSun" w:hAnsi="Arial" w:cs="Arial"/>
                <w:sz w:val="20"/>
                <w:szCs w:val="20"/>
                <w:lang w:eastAsia="zh-CN" w:bidi="ar"/>
              </w:rPr>
              <w:t>Impact of incentive policy on teacher retention.</w:t>
            </w:r>
          </w:p>
        </w:tc>
        <w:tc>
          <w:tcPr>
            <w:tcW w:w="4269" w:type="dxa"/>
            <w:vAlign w:val="center"/>
          </w:tcPr>
          <w:p w14:paraId="194E8BA0"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Study shows remote area allowances positively affect retention but are insufficient without facilities, housing, and children's education access.</w:t>
            </w:r>
          </w:p>
        </w:tc>
      </w:tr>
      <w:tr w:rsidR="009F0CAD" w:rsidRPr="00412E7C" w14:paraId="5226A6B1" w14:textId="77777777" w:rsidTr="001C201D">
        <w:tc>
          <w:tcPr>
            <w:tcW w:w="544" w:type="dxa"/>
            <w:vAlign w:val="center"/>
          </w:tcPr>
          <w:p w14:paraId="7DA7B0FD"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19</w:t>
            </w:r>
          </w:p>
        </w:tc>
        <w:tc>
          <w:tcPr>
            <w:tcW w:w="1299" w:type="dxa"/>
            <w:vAlign w:val="center"/>
          </w:tcPr>
          <w:p w14:paraId="253DCAD4" w14:textId="5A3872D8" w:rsidR="009F0CAD" w:rsidRPr="00BF303C" w:rsidRDefault="00AA79C2" w:rsidP="001C201D">
            <w:pPr>
              <w:rPr>
                <w:rFonts w:ascii="Arial" w:hAnsi="Arial" w:cs="Arial"/>
                <w:sz w:val="20"/>
                <w:szCs w:val="20"/>
                <w:lang w:val="id-ID"/>
              </w:rPr>
            </w:pPr>
            <w:r w:rsidRPr="00AA79C2">
              <w:rPr>
                <w:rFonts w:ascii="Arial" w:eastAsia="SimSun" w:hAnsi="Arial" w:cs="Arial"/>
                <w:sz w:val="20"/>
                <w:szCs w:val="20"/>
                <w:lang w:eastAsia="zh-CN" w:bidi="ar"/>
              </w:rPr>
              <w:t>Mubarok &amp; Samran,</w:t>
            </w:r>
            <w:r>
              <w:rPr>
                <w:rFonts w:ascii="Arial" w:eastAsia="SimSun" w:hAnsi="Arial" w:cs="Arial"/>
                <w:sz w:val="20"/>
                <w:szCs w:val="20"/>
                <w:lang w:eastAsia="zh-CN" w:bidi="ar"/>
              </w:rPr>
              <w:t xml:space="preserve"> </w:t>
            </w:r>
            <w:r w:rsidRPr="00AA79C2">
              <w:rPr>
                <w:rFonts w:ascii="Arial" w:eastAsia="SimSun" w:hAnsi="Arial" w:cs="Arial"/>
                <w:sz w:val="20"/>
                <w:szCs w:val="20"/>
                <w:lang w:eastAsia="zh-CN" w:bidi="ar"/>
              </w:rPr>
              <w:t>2025</w:t>
            </w:r>
          </w:p>
        </w:tc>
        <w:tc>
          <w:tcPr>
            <w:tcW w:w="2410" w:type="dxa"/>
            <w:vAlign w:val="center"/>
          </w:tcPr>
          <w:p w14:paraId="4E9AF6AA"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Use of Dapodik data for teacher allocation policy.</w:t>
            </w:r>
          </w:p>
        </w:tc>
        <w:tc>
          <w:tcPr>
            <w:tcW w:w="4269" w:type="dxa"/>
            <w:vAlign w:val="center"/>
          </w:tcPr>
          <w:p w14:paraId="29F5B4D2"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Dapodik is potentially a strong policy basis but often suffers from delayed updates. Real-time integration and central-regional coordination are needed.</w:t>
            </w:r>
          </w:p>
        </w:tc>
      </w:tr>
      <w:tr w:rsidR="009F0CAD" w:rsidRPr="00412E7C" w14:paraId="4216F6D4" w14:textId="77777777" w:rsidTr="001C201D">
        <w:tc>
          <w:tcPr>
            <w:tcW w:w="544" w:type="dxa"/>
            <w:vAlign w:val="center"/>
          </w:tcPr>
          <w:p w14:paraId="2FD5BC4D"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20</w:t>
            </w:r>
          </w:p>
        </w:tc>
        <w:tc>
          <w:tcPr>
            <w:tcW w:w="1299" w:type="dxa"/>
            <w:vAlign w:val="center"/>
          </w:tcPr>
          <w:p w14:paraId="35A5B44F" w14:textId="54DDAAA7" w:rsidR="009F0CAD" w:rsidRPr="00BF303C" w:rsidRDefault="009F0CAD" w:rsidP="00BF303C">
            <w:pPr>
              <w:ind w:right="-103"/>
              <w:rPr>
                <w:rFonts w:ascii="Arial" w:hAnsi="Arial" w:cs="Arial"/>
                <w:sz w:val="20"/>
                <w:szCs w:val="20"/>
                <w:lang w:val="id-ID"/>
              </w:rPr>
            </w:pPr>
            <w:r w:rsidRPr="00BF303C">
              <w:rPr>
                <w:rFonts w:ascii="Arial" w:eastAsia="SimSun" w:hAnsi="Arial" w:cs="Arial"/>
                <w:sz w:val="20"/>
                <w:szCs w:val="20"/>
                <w:lang w:eastAsia="zh-CN" w:bidi="ar"/>
              </w:rPr>
              <w:t>Simanjuntak, 2024</w:t>
            </w:r>
          </w:p>
        </w:tc>
        <w:tc>
          <w:tcPr>
            <w:tcW w:w="2410" w:type="dxa"/>
            <w:vAlign w:val="center"/>
          </w:tcPr>
          <w:p w14:paraId="3103087A"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Implementation of teacher redistribution policy at district/city level.</w:t>
            </w:r>
          </w:p>
        </w:tc>
        <w:tc>
          <w:tcPr>
            <w:tcW w:w="4269" w:type="dxa"/>
            <w:vAlign w:val="center"/>
          </w:tcPr>
          <w:p w14:paraId="5C68F8A0"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Local government plays an important role but faces teacher resistance and local political pressure. Suggested solution: participatory approach and limited recruitment autonomy.</w:t>
            </w:r>
          </w:p>
        </w:tc>
      </w:tr>
      <w:tr w:rsidR="009F0CAD" w:rsidRPr="00412E7C" w14:paraId="7CAE920C" w14:textId="77777777" w:rsidTr="001C201D">
        <w:tc>
          <w:tcPr>
            <w:tcW w:w="544" w:type="dxa"/>
            <w:vAlign w:val="center"/>
          </w:tcPr>
          <w:p w14:paraId="060801A7"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21</w:t>
            </w:r>
          </w:p>
        </w:tc>
        <w:tc>
          <w:tcPr>
            <w:tcW w:w="1299" w:type="dxa"/>
            <w:vAlign w:val="center"/>
          </w:tcPr>
          <w:p w14:paraId="7C3426F3" w14:textId="28AFFDAF" w:rsidR="009F0CAD" w:rsidRPr="00BF303C" w:rsidRDefault="009F0CAD" w:rsidP="001C201D">
            <w:pPr>
              <w:rPr>
                <w:rFonts w:ascii="Arial" w:hAnsi="Arial" w:cs="Arial"/>
                <w:sz w:val="20"/>
                <w:szCs w:val="20"/>
                <w:lang w:val="id-ID"/>
              </w:rPr>
            </w:pPr>
            <w:r w:rsidRPr="00BF303C">
              <w:rPr>
                <w:rFonts w:ascii="Arial" w:eastAsia="SimSun" w:hAnsi="Arial" w:cs="Arial"/>
                <w:sz w:val="20"/>
                <w:szCs w:val="20"/>
                <w:lang w:eastAsia="zh-CN" w:bidi="ar"/>
              </w:rPr>
              <w:t>Susanto</w:t>
            </w:r>
            <w:r w:rsidR="00BF303C"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&amp; Aminah, 2024</w:t>
            </w:r>
          </w:p>
        </w:tc>
        <w:tc>
          <w:tcPr>
            <w:tcW w:w="2410" w:type="dxa"/>
            <w:vAlign w:val="center"/>
          </w:tcPr>
          <w:p w14:paraId="77C73CD3" w14:textId="4C9225E6"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 xml:space="preserve">Placement of </w:t>
            </w:r>
            <w:r w:rsidR="00BF303C" w:rsidRPr="00BF303C">
              <w:rPr>
                <w:rFonts w:ascii="Arial" w:eastAsia="SimSun" w:hAnsi="Arial" w:cs="Arial"/>
                <w:sz w:val="20"/>
                <w:szCs w:val="20"/>
                <w:lang w:eastAsia="zh-CN" w:bidi="ar"/>
              </w:rPr>
              <w:t xml:space="preserve">Civil Servant teachers and Government Contract Employee </w:t>
            </w:r>
            <w:r w:rsidRPr="00BF303C">
              <w:rPr>
                <w:rFonts w:ascii="Arial" w:eastAsia="SimSun" w:hAnsi="Arial" w:cs="Arial"/>
                <w:sz w:val="20"/>
                <w:szCs w:val="20"/>
                <w:lang w:eastAsia="zh-CN" w:bidi="ar"/>
              </w:rPr>
              <w:t>teachers in border areas.</w:t>
            </w:r>
          </w:p>
        </w:tc>
        <w:tc>
          <w:tcPr>
            <w:tcW w:w="4269" w:type="dxa"/>
            <w:vAlign w:val="center"/>
          </w:tcPr>
          <w:p w14:paraId="317550EE" w14:textId="0980F8B4"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Research finds a gap between formal allocation and real needs in the field. Coordination between</w:t>
            </w:r>
            <w:r w:rsidR="00BF303C">
              <w:t xml:space="preserve"> </w:t>
            </w:r>
            <w:r w:rsidR="00BF303C" w:rsidRPr="00BF303C">
              <w:rPr>
                <w:rFonts w:ascii="Arial" w:eastAsia="SimSun" w:hAnsi="Arial" w:cs="Arial"/>
                <w:sz w:val="20"/>
                <w:szCs w:val="20"/>
                <w:lang w:eastAsia="zh-CN" w:bidi="ar"/>
              </w:rPr>
              <w:t>Ministry of Administrative and Bureaucratic Reform</w:t>
            </w:r>
            <w:r w:rsidR="00BF303C">
              <w:rPr>
                <w:rFonts w:ascii="Arial" w:eastAsia="SimSun" w:hAnsi="Arial" w:cs="Arial"/>
                <w:sz w:val="20"/>
                <w:szCs w:val="20"/>
                <w:lang w:eastAsia="zh-CN" w:bidi="ar"/>
              </w:rPr>
              <w:t xml:space="preserve">, </w:t>
            </w:r>
            <w:r w:rsidR="00BF303C" w:rsidRPr="00BF303C">
              <w:rPr>
                <w:rFonts w:ascii="Arial" w:eastAsia="SimSun" w:hAnsi="Arial" w:cs="Arial"/>
                <w:sz w:val="20"/>
                <w:szCs w:val="20"/>
                <w:lang w:eastAsia="zh-CN" w:bidi="ar"/>
              </w:rPr>
              <w:t>Ministry of Education, Culture, Research, and Technology</w:t>
            </w:r>
            <w:r w:rsidRPr="00BF303C">
              <w:rPr>
                <w:rFonts w:ascii="Arial" w:eastAsia="SimSun" w:hAnsi="Arial" w:cs="Arial"/>
                <w:sz w:val="20"/>
                <w:szCs w:val="20"/>
                <w:lang w:eastAsia="zh-CN" w:bidi="ar"/>
              </w:rPr>
              <w:t>, and local governments is required.</w:t>
            </w:r>
          </w:p>
        </w:tc>
      </w:tr>
      <w:tr w:rsidR="009F0CAD" w:rsidRPr="00412E7C" w14:paraId="5D3DF518" w14:textId="77777777" w:rsidTr="001C201D">
        <w:tc>
          <w:tcPr>
            <w:tcW w:w="544" w:type="dxa"/>
            <w:vAlign w:val="center"/>
          </w:tcPr>
          <w:p w14:paraId="5025E386"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22</w:t>
            </w:r>
          </w:p>
        </w:tc>
        <w:tc>
          <w:tcPr>
            <w:tcW w:w="1299" w:type="dxa"/>
            <w:vAlign w:val="center"/>
          </w:tcPr>
          <w:p w14:paraId="58966D9C" w14:textId="13F44352" w:rsidR="009F0CAD" w:rsidRPr="00BF303C" w:rsidRDefault="009F0CAD" w:rsidP="001C201D">
            <w:pPr>
              <w:rPr>
                <w:rFonts w:ascii="Arial" w:hAnsi="Arial" w:cs="Arial"/>
                <w:sz w:val="20"/>
                <w:szCs w:val="20"/>
                <w:lang w:val="id-ID"/>
              </w:rPr>
            </w:pPr>
            <w:r w:rsidRPr="00BF303C">
              <w:rPr>
                <w:rFonts w:ascii="Arial" w:eastAsia="SimSun" w:hAnsi="Arial" w:cs="Arial"/>
                <w:sz w:val="20"/>
                <w:szCs w:val="20"/>
                <w:lang w:eastAsia="zh-CN" w:bidi="ar"/>
              </w:rPr>
              <w:t>Hidayat, 20</w:t>
            </w:r>
            <w:r w:rsidR="00BF07A4">
              <w:rPr>
                <w:rFonts w:ascii="Arial" w:eastAsia="SimSun" w:hAnsi="Arial" w:cs="Arial"/>
                <w:sz w:val="20"/>
                <w:szCs w:val="20"/>
                <w:lang w:eastAsia="zh-CN" w:bidi="ar"/>
              </w:rPr>
              <w:t>17</w:t>
            </w:r>
          </w:p>
        </w:tc>
        <w:tc>
          <w:tcPr>
            <w:tcW w:w="2410" w:type="dxa"/>
            <w:vAlign w:val="center"/>
          </w:tcPr>
          <w:p w14:paraId="1DF7E306" w14:textId="56583908"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 xml:space="preserve">Comparison of </w:t>
            </w:r>
            <w:r w:rsidR="00BF303C" w:rsidRPr="00BF303C">
              <w:rPr>
                <w:rFonts w:ascii="Arial" w:hAnsi="Arial" w:cs="Arial"/>
                <w:bCs/>
                <w:color w:val="000000" w:themeColor="text1"/>
                <w:sz w:val="20"/>
                <w:szCs w:val="20"/>
              </w:rPr>
              <w:t xml:space="preserve">Civil Servant </w:t>
            </w:r>
            <w:r w:rsidRPr="00BF303C">
              <w:rPr>
                <w:rFonts w:ascii="Arial" w:eastAsia="SimSun" w:hAnsi="Arial" w:cs="Arial"/>
                <w:sz w:val="20"/>
                <w:szCs w:val="20"/>
                <w:lang w:eastAsia="zh-CN" w:bidi="ar"/>
              </w:rPr>
              <w:t>and no</w:t>
            </w:r>
            <w:r w:rsidR="00BF303C" w:rsidRPr="00BF303C">
              <w:rPr>
                <w:rFonts w:ascii="Arial" w:eastAsia="SimSun" w:hAnsi="Arial" w:cs="Arial"/>
                <w:sz w:val="20"/>
                <w:szCs w:val="20"/>
                <w:lang w:eastAsia="zh-CN" w:bidi="ar"/>
              </w:rPr>
              <w:t xml:space="preserve">t </w:t>
            </w:r>
            <w:r w:rsidR="00BF303C" w:rsidRPr="00BF303C">
              <w:rPr>
                <w:rFonts w:ascii="Arial" w:hAnsi="Arial" w:cs="Arial"/>
                <w:bCs/>
                <w:color w:val="000000" w:themeColor="text1"/>
                <w:sz w:val="20"/>
                <w:szCs w:val="20"/>
              </w:rPr>
              <w:t xml:space="preserve">Civil Servant </w:t>
            </w:r>
            <w:r w:rsidRPr="00BF303C">
              <w:rPr>
                <w:rFonts w:ascii="Arial" w:eastAsia="SimSun" w:hAnsi="Arial" w:cs="Arial"/>
                <w:sz w:val="20"/>
                <w:szCs w:val="20"/>
                <w:lang w:eastAsia="zh-CN" w:bidi="ar"/>
              </w:rPr>
              <w:t>teacher distribution in remote areas.</w:t>
            </w:r>
          </w:p>
        </w:tc>
        <w:tc>
          <w:tcPr>
            <w:tcW w:w="4269" w:type="dxa"/>
            <w:vAlign w:val="center"/>
          </w:tcPr>
          <w:p w14:paraId="49CD1F7E" w14:textId="009AA8FB"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Results show significant imbalance, with non-</w:t>
            </w:r>
            <w:r w:rsidR="00BF303C" w:rsidRPr="00BF303C">
              <w:rPr>
                <w:rFonts w:ascii="Arial" w:hAnsi="Arial" w:cs="Arial"/>
                <w:bCs/>
                <w:color w:val="000000" w:themeColor="text1"/>
                <w:sz w:val="20"/>
                <w:szCs w:val="20"/>
              </w:rPr>
              <w:t xml:space="preserve"> </w:t>
            </w:r>
            <w:r w:rsidR="00BF303C">
              <w:rPr>
                <w:rFonts w:ascii="Arial" w:hAnsi="Arial" w:cs="Arial"/>
                <w:bCs/>
                <w:color w:val="000000" w:themeColor="text1"/>
                <w:sz w:val="20"/>
                <w:szCs w:val="20"/>
              </w:rPr>
              <w:t>Civil servant</w:t>
            </w:r>
            <w:r w:rsidRPr="00BF303C">
              <w:rPr>
                <w:rFonts w:ascii="Arial" w:eastAsia="SimSun" w:hAnsi="Arial" w:cs="Arial"/>
                <w:sz w:val="20"/>
                <w:szCs w:val="20"/>
                <w:lang w:eastAsia="zh-CN" w:bidi="ar"/>
              </w:rPr>
              <w:t xml:space="preserve"> teachers dominating remote schools. Affirmative programs remain ineffective as </w:t>
            </w:r>
            <w:r w:rsidR="00BF303C">
              <w:rPr>
                <w:rFonts w:ascii="Arial" w:eastAsia="SimSun" w:hAnsi="Arial" w:cs="Arial"/>
                <w:sz w:val="20"/>
                <w:szCs w:val="20"/>
                <w:lang w:eastAsia="zh-CN" w:bidi="ar"/>
              </w:rPr>
              <w:t>CIVIL SERVANT</w:t>
            </w:r>
            <w:r w:rsidRPr="00BF303C">
              <w:rPr>
                <w:rFonts w:ascii="Arial" w:eastAsia="SimSun" w:hAnsi="Arial" w:cs="Arial"/>
                <w:sz w:val="20"/>
                <w:szCs w:val="20"/>
                <w:lang w:eastAsia="zh-CN" w:bidi="ar"/>
              </w:rPr>
              <w:t>-based placement does not consider geographic and social aspects.</w:t>
            </w:r>
          </w:p>
        </w:tc>
      </w:tr>
      <w:tr w:rsidR="00B615AF" w:rsidRPr="00412E7C" w14:paraId="17BBB456" w14:textId="77777777" w:rsidTr="001C201D">
        <w:tc>
          <w:tcPr>
            <w:tcW w:w="544" w:type="dxa"/>
            <w:vAlign w:val="center"/>
          </w:tcPr>
          <w:p w14:paraId="11668669" w14:textId="53D66594" w:rsidR="00B615AF" w:rsidRPr="00BF303C" w:rsidRDefault="00B615AF" w:rsidP="001C201D">
            <w:pPr>
              <w:jc w:val="center"/>
              <w:rPr>
                <w:rFonts w:ascii="Arial" w:eastAsia="SimSun" w:hAnsi="Arial" w:cs="Arial"/>
                <w:lang w:eastAsia="zh-CN" w:bidi="ar"/>
              </w:rPr>
            </w:pPr>
            <w:r>
              <w:rPr>
                <w:rFonts w:ascii="Arial" w:eastAsia="SimSun" w:hAnsi="Arial" w:cs="Arial"/>
                <w:lang w:eastAsia="zh-CN" w:bidi="ar"/>
              </w:rPr>
              <w:t>23</w:t>
            </w:r>
          </w:p>
        </w:tc>
        <w:tc>
          <w:tcPr>
            <w:tcW w:w="1299" w:type="dxa"/>
            <w:vAlign w:val="center"/>
          </w:tcPr>
          <w:p w14:paraId="253F3407" w14:textId="00EE9A34" w:rsidR="00B615AF" w:rsidRPr="00BF303C" w:rsidRDefault="00B615AF" w:rsidP="001C201D">
            <w:pPr>
              <w:rPr>
                <w:rFonts w:ascii="Arial" w:eastAsia="SimSun" w:hAnsi="Arial" w:cs="Arial"/>
                <w:lang w:eastAsia="zh-CN" w:bidi="ar"/>
              </w:rPr>
            </w:pPr>
            <w:r w:rsidRPr="00BC57F0">
              <w:rPr>
                <w:rFonts w:ascii="Arial" w:hAnsi="Arial" w:cs="Arial"/>
              </w:rPr>
              <w:t>Indrawat</w:t>
            </w:r>
            <w:r>
              <w:rPr>
                <w:rFonts w:ascii="Arial" w:hAnsi="Arial" w:cs="Arial"/>
              </w:rPr>
              <w:t>i &amp; Murniarti, 2024</w:t>
            </w:r>
          </w:p>
        </w:tc>
        <w:tc>
          <w:tcPr>
            <w:tcW w:w="2410" w:type="dxa"/>
            <w:vAlign w:val="center"/>
          </w:tcPr>
          <w:p w14:paraId="04BBA7C5" w14:textId="7EF21545" w:rsidR="00B615AF" w:rsidRPr="005822DC" w:rsidRDefault="005822DC" w:rsidP="005822DC">
            <w:pPr>
              <w:jc w:val="both"/>
              <w:rPr>
                <w:rFonts w:ascii="Arial" w:eastAsia="SimSun" w:hAnsi="Arial" w:cs="Arial"/>
                <w:sz w:val="20"/>
                <w:szCs w:val="20"/>
                <w:lang w:val="id-ID" w:eastAsia="zh-CN" w:bidi="ar"/>
              </w:rPr>
            </w:pPr>
            <w:r w:rsidRPr="005822DC">
              <w:rPr>
                <w:rFonts w:ascii="Arial" w:eastAsia="SimSun" w:hAnsi="Arial" w:cs="Arial"/>
                <w:sz w:val="20"/>
                <w:szCs w:val="20"/>
                <w:lang w:val="id-ID" w:eastAsia="zh-CN" w:bidi="ar"/>
              </w:rPr>
              <w:t>The study provides an in-depth analysis of three crucial aspects of educational operational grant management</w:t>
            </w:r>
          </w:p>
        </w:tc>
        <w:tc>
          <w:tcPr>
            <w:tcW w:w="4269" w:type="dxa"/>
            <w:vAlign w:val="center"/>
          </w:tcPr>
          <w:p w14:paraId="2E1FDF06" w14:textId="0472D56F" w:rsidR="00B615AF" w:rsidRPr="00BF303C" w:rsidRDefault="005822DC" w:rsidP="005822DC">
            <w:pPr>
              <w:jc w:val="both"/>
              <w:rPr>
                <w:rFonts w:ascii="Arial" w:eastAsia="SimSun" w:hAnsi="Arial" w:cs="Arial"/>
                <w:lang w:eastAsia="zh-CN" w:bidi="ar"/>
              </w:rPr>
            </w:pPr>
            <w:r w:rsidRPr="005822DC">
              <w:rPr>
                <w:rFonts w:ascii="Arial" w:eastAsia="SimSun" w:hAnsi="Arial" w:cs="Arial"/>
                <w:sz w:val="20"/>
                <w:szCs w:val="20"/>
                <w:lang w:val="id-ID" w:eastAsia="zh-CN" w:bidi="ar"/>
              </w:rPr>
              <w:t>The effectiveness of these grants is still hindered by excessively lengthy administrative procedures and uneven banking infrastructure in remote areas, as well as a gap between technical guidelines and field realities due to weak inter-agency coordination. Consequently, strategic measures are required, including bureaucratic simplification, the expansion of financial service access in remote regions, and the refinement of regulations to ensure that fund distribution is carried out more transparently, timely, and accountably in accordance with the mandate of national educational development.</w:t>
            </w:r>
          </w:p>
        </w:tc>
      </w:tr>
      <w:bookmarkEnd w:id="0"/>
    </w:tbl>
    <w:p w14:paraId="2CF08F22" w14:textId="77777777" w:rsidR="009F0CAD" w:rsidRPr="00BC57F0" w:rsidRDefault="009F0CAD" w:rsidP="009F0CAD">
      <w:pPr>
        <w:spacing w:line="276" w:lineRule="auto"/>
        <w:rPr>
          <w:rFonts w:ascii="Arial" w:hAnsi="Arial" w:cs="Arial"/>
          <w:color w:val="000000"/>
          <w:sz w:val="22"/>
          <w:szCs w:val="22"/>
        </w:rPr>
      </w:pPr>
    </w:p>
    <w:p w14:paraId="23AFD708" w14:textId="77777777" w:rsidR="009F0CAD" w:rsidRPr="00BC57F0" w:rsidRDefault="009F0CAD" w:rsidP="009F0CAD">
      <w:pPr>
        <w:spacing w:line="276" w:lineRule="auto"/>
        <w:rPr>
          <w:rFonts w:ascii="Arial" w:hAnsi="Arial" w:cs="Arial"/>
          <w:b/>
          <w:bCs/>
          <w:color w:val="000000"/>
          <w:sz w:val="22"/>
          <w:szCs w:val="22"/>
        </w:rPr>
      </w:pPr>
      <w:r w:rsidRPr="00BC57F0">
        <w:rPr>
          <w:rFonts w:ascii="Arial" w:hAnsi="Arial" w:cs="Arial"/>
          <w:b/>
          <w:bCs/>
          <w:color w:val="000000"/>
          <w:sz w:val="22"/>
          <w:szCs w:val="22"/>
        </w:rPr>
        <w:t>B. DISCUSSION</w:t>
      </w:r>
    </w:p>
    <w:p w14:paraId="2BD912EB" w14:textId="1BFFEB06" w:rsidR="009F0CAD" w:rsidRPr="005822DC" w:rsidRDefault="009F0CAD" w:rsidP="005822DC">
      <w:pPr>
        <w:pStyle w:val="DaftarParagraf"/>
        <w:numPr>
          <w:ilvl w:val="0"/>
          <w:numId w:val="38"/>
        </w:numPr>
        <w:spacing w:line="276" w:lineRule="auto"/>
        <w:ind w:left="426" w:hanging="426"/>
        <w:rPr>
          <w:rFonts w:ascii="Arial" w:hAnsi="Arial" w:cs="Arial"/>
          <w:b/>
          <w:bCs/>
          <w:color w:val="000000"/>
          <w:sz w:val="22"/>
          <w:szCs w:val="22"/>
        </w:rPr>
      </w:pPr>
      <w:r w:rsidRPr="005822DC">
        <w:rPr>
          <w:rFonts w:ascii="Arial" w:hAnsi="Arial" w:cs="Arial"/>
          <w:b/>
          <w:bCs/>
          <w:color w:val="000000"/>
          <w:sz w:val="22"/>
          <w:szCs w:val="22"/>
        </w:rPr>
        <w:t>Teacher Distribution Inequality and Spatial Gaps</w:t>
      </w:r>
    </w:p>
    <w:p w14:paraId="41B78003" w14:textId="4514ACF6"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Teacher distribution inequality in remote sub-districts remains a structural issue within Indonesia’s education system. Findings from various studies indicate that </w:t>
      </w:r>
      <w:r w:rsidR="00BF303C">
        <w:rPr>
          <w:rFonts w:ascii="Arial" w:hAnsi="Arial" w:cs="Arial"/>
          <w:color w:val="000000"/>
          <w:sz w:val="22"/>
          <w:szCs w:val="22"/>
        </w:rPr>
        <w:t>civil servant</w:t>
      </w:r>
      <w:r w:rsidRPr="00BC57F0">
        <w:rPr>
          <w:rFonts w:ascii="Arial" w:hAnsi="Arial" w:cs="Arial"/>
          <w:color w:val="000000"/>
          <w:sz w:val="22"/>
          <w:szCs w:val="22"/>
        </w:rPr>
        <w:t xml:space="preserve"> teachers (</w:t>
      </w:r>
      <w:r w:rsidR="00BF303C">
        <w:rPr>
          <w:rFonts w:ascii="Arial" w:hAnsi="Arial" w:cs="Arial"/>
          <w:color w:val="000000"/>
          <w:sz w:val="22"/>
          <w:szCs w:val="22"/>
        </w:rPr>
        <w:t>civil servant</w:t>
      </w:r>
      <w:r w:rsidRPr="00BC57F0">
        <w:rPr>
          <w:rFonts w:ascii="Arial" w:hAnsi="Arial" w:cs="Arial"/>
          <w:color w:val="000000"/>
          <w:sz w:val="22"/>
          <w:szCs w:val="22"/>
        </w:rPr>
        <w:t xml:space="preserve">) tend to concentrate in urban areas or districts with good transportation access, whereas schools in remote sub-districts are dominated </w:t>
      </w:r>
      <w:r w:rsidRPr="00BC57F0">
        <w:rPr>
          <w:rFonts w:ascii="Arial" w:hAnsi="Arial" w:cs="Arial"/>
          <w:color w:val="000000"/>
          <w:sz w:val="22"/>
          <w:szCs w:val="22"/>
        </w:rPr>
        <w:lastRenderedPageBreak/>
        <w:t>by honorary or no</w:t>
      </w:r>
      <w:r w:rsidR="00BF303C">
        <w:rPr>
          <w:rFonts w:ascii="Arial" w:hAnsi="Arial" w:cs="Arial"/>
          <w:color w:val="000000"/>
          <w:sz w:val="22"/>
          <w:szCs w:val="22"/>
        </w:rPr>
        <w:t>t civil servant</w:t>
      </w:r>
      <w:r w:rsidRPr="00BC57F0">
        <w:rPr>
          <w:rFonts w:ascii="Arial" w:hAnsi="Arial" w:cs="Arial"/>
          <w:color w:val="000000"/>
          <w:sz w:val="22"/>
          <w:szCs w:val="22"/>
        </w:rPr>
        <w:t xml:space="preserve"> teachers (Suryadi &amp; Wulandari, 2024; Simanjuntak, 2024). This condition weakens the continuity of educational services, especially since no</w:t>
      </w:r>
      <w:r w:rsidR="00BF303C">
        <w:rPr>
          <w:rFonts w:ascii="Arial" w:hAnsi="Arial" w:cs="Arial"/>
          <w:color w:val="000000"/>
          <w:sz w:val="22"/>
          <w:szCs w:val="22"/>
        </w:rPr>
        <w:t>t civil servant</w:t>
      </w:r>
      <w:r w:rsidR="00BF303C" w:rsidRPr="00BC57F0">
        <w:rPr>
          <w:rFonts w:ascii="Arial" w:hAnsi="Arial" w:cs="Arial"/>
          <w:color w:val="000000"/>
          <w:sz w:val="22"/>
          <w:szCs w:val="22"/>
        </w:rPr>
        <w:t xml:space="preserve"> </w:t>
      </w:r>
      <w:r w:rsidRPr="00BC57F0">
        <w:rPr>
          <w:rFonts w:ascii="Arial" w:hAnsi="Arial" w:cs="Arial"/>
          <w:color w:val="000000"/>
          <w:sz w:val="22"/>
          <w:szCs w:val="22"/>
        </w:rPr>
        <w:t>teachers experience high turnover due to employment uncertainty (Rachmawati &amp; Syamsudin, 2024).</w:t>
      </w:r>
    </w:p>
    <w:p w14:paraId="37B6C73C" w14:textId="3E43C829"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Spatially, teacher distribution is imbalanced because the </w:t>
      </w:r>
      <w:r w:rsidR="00BF303C">
        <w:rPr>
          <w:rFonts w:ascii="Arial" w:hAnsi="Arial" w:cs="Arial"/>
          <w:color w:val="000000"/>
          <w:sz w:val="22"/>
          <w:szCs w:val="22"/>
        </w:rPr>
        <w:t>civil servant</w:t>
      </w:r>
      <w:r w:rsidR="00BF303C" w:rsidRPr="00BC57F0">
        <w:rPr>
          <w:rFonts w:ascii="Arial" w:hAnsi="Arial" w:cs="Arial"/>
          <w:color w:val="000000"/>
          <w:sz w:val="22"/>
          <w:szCs w:val="22"/>
        </w:rPr>
        <w:t xml:space="preserve"> </w:t>
      </w:r>
      <w:r w:rsidRPr="00BC57F0">
        <w:rPr>
          <w:rFonts w:ascii="Arial" w:hAnsi="Arial" w:cs="Arial"/>
          <w:color w:val="000000"/>
          <w:sz w:val="22"/>
          <w:szCs w:val="22"/>
        </w:rPr>
        <w:t>placement system does not proportionally consider geographical and socio-economic factors (Susanto &amp; Aminah, 2024). This indicates the failure of affirmative policies to implement spatial justice, which should be a core principle in achieving equitable education (Nawawi &amp; Syamsul, 2024). The World Bank (2019) and SMERU reports (Toyamah et al., 2010) reinforce these findings with empirical data showing that regions in Kalimantan and Nusa Tenggara still face shortages of core subject teachers of up to 40%.</w:t>
      </w:r>
    </w:p>
    <w:p w14:paraId="7A0621F5" w14:textId="5853B7C2"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This imbalance not only affects teacher-student ratios but also learning quality. Schools lacking </w:t>
      </w:r>
      <w:r w:rsidR="00BF303C">
        <w:rPr>
          <w:rFonts w:ascii="Arial" w:hAnsi="Arial" w:cs="Arial"/>
          <w:color w:val="000000"/>
          <w:sz w:val="22"/>
          <w:szCs w:val="22"/>
        </w:rPr>
        <w:t>civil servant</w:t>
      </w:r>
      <w:r w:rsidR="00BF303C" w:rsidRPr="00BC57F0">
        <w:rPr>
          <w:rFonts w:ascii="Arial" w:hAnsi="Arial" w:cs="Arial"/>
          <w:color w:val="000000"/>
          <w:sz w:val="22"/>
          <w:szCs w:val="22"/>
        </w:rPr>
        <w:t xml:space="preserve"> </w:t>
      </w:r>
      <w:r w:rsidRPr="00BC57F0">
        <w:rPr>
          <w:rFonts w:ascii="Arial" w:hAnsi="Arial" w:cs="Arial"/>
          <w:color w:val="000000"/>
          <w:sz w:val="22"/>
          <w:szCs w:val="22"/>
        </w:rPr>
        <w:t>teachers often rely on multi-subject teachers with limited qualifications (Improvement Journal, 2020), leading to excessive workload and reduced pedagogical effectiveness. This indicates the need for policy design based on spatially-targeted needs and real-time updates of the Dapodik database to support more accurate decision-making (Pratama &amp; Widodo, 2024).</w:t>
      </w:r>
    </w:p>
    <w:p w14:paraId="5851BA0D" w14:textId="77777777" w:rsidR="009F0CAD" w:rsidRPr="00BC57F0" w:rsidRDefault="009F0CAD" w:rsidP="00BF303C">
      <w:pPr>
        <w:spacing w:line="276" w:lineRule="auto"/>
        <w:jc w:val="both"/>
        <w:rPr>
          <w:rFonts w:ascii="Arial" w:hAnsi="Arial" w:cs="Arial"/>
          <w:b/>
          <w:bCs/>
          <w:color w:val="000000"/>
          <w:sz w:val="22"/>
          <w:szCs w:val="22"/>
        </w:rPr>
      </w:pPr>
    </w:p>
    <w:p w14:paraId="525B5CEA" w14:textId="1F98F063" w:rsidR="009F0CAD" w:rsidRPr="005822DC" w:rsidRDefault="009F0CAD" w:rsidP="005822DC">
      <w:pPr>
        <w:pStyle w:val="DaftarParagraf"/>
        <w:numPr>
          <w:ilvl w:val="0"/>
          <w:numId w:val="38"/>
        </w:numPr>
        <w:spacing w:line="276" w:lineRule="auto"/>
        <w:ind w:left="426" w:hanging="426"/>
        <w:rPr>
          <w:rFonts w:ascii="Arial" w:hAnsi="Arial" w:cs="Arial"/>
          <w:b/>
          <w:bCs/>
          <w:color w:val="000000"/>
          <w:sz w:val="22"/>
          <w:szCs w:val="22"/>
        </w:rPr>
      </w:pPr>
      <w:r w:rsidRPr="005822DC">
        <w:rPr>
          <w:rFonts w:ascii="Arial" w:hAnsi="Arial" w:cs="Arial"/>
          <w:b/>
          <w:bCs/>
          <w:color w:val="000000"/>
          <w:sz w:val="22"/>
          <w:szCs w:val="22"/>
        </w:rPr>
        <w:t>Challenges in Top-Down and Bottom-Up Policy Implementation</w:t>
      </w:r>
    </w:p>
    <w:p w14:paraId="16084ED5" w14:textId="6C07E5FF"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Weak coordination across government levels underlies the low effectiveness of teacher allocation policies. Studies by Simanjuntak (2024) and Widodo &amp; Prasetyo (2022) show that teacher redistribution policies are often top-down, where placement decisions are made by the central government without considering local social and geographic dynamics. Consequently, resistance from teachers and local governments often arises, especially when transfers occur without participatory consultation (</w:t>
      </w:r>
      <w:r w:rsidR="00D36697" w:rsidRPr="00D36697">
        <w:rPr>
          <w:rFonts w:ascii="Arial" w:hAnsi="Arial" w:cs="Arial"/>
          <w:color w:val="000000"/>
          <w:sz w:val="22"/>
          <w:szCs w:val="22"/>
        </w:rPr>
        <w:t xml:space="preserve">Thornberg, 2014). </w:t>
      </w:r>
    </w:p>
    <w:p w14:paraId="57C50257" w14:textId="77777777"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Conversely, bottom-up approaches emphasizing local adaptation have not been fully integrated into the education bureaucracy. Local governments have considerable potential to adjust teacher needs based on local data, but they are constrained by limited authority and technical capacity (Simanjuntak, 2024).</w:t>
      </w:r>
    </w:p>
    <w:p w14:paraId="51F22152" w14:textId="77777777" w:rsidR="00862457"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From a policy implementation theory perspective, a combination of both approaches</w:t>
      </w:r>
      <w:r w:rsidR="0010038A">
        <w:rPr>
          <w:rFonts w:ascii="Arial" w:hAnsi="Arial" w:cs="Arial"/>
          <w:color w:val="000000"/>
          <w:sz w:val="22"/>
          <w:szCs w:val="22"/>
        </w:rPr>
        <w:t xml:space="preserve"> </w:t>
      </w:r>
      <w:r w:rsidRPr="00BC57F0">
        <w:rPr>
          <w:rFonts w:ascii="Arial" w:hAnsi="Arial" w:cs="Arial"/>
          <w:color w:val="000000"/>
          <w:sz w:val="22"/>
          <w:szCs w:val="22"/>
        </w:rPr>
        <w:t>or hybrid governance</w:t>
      </w:r>
      <w:r w:rsidR="0010038A">
        <w:rPr>
          <w:rFonts w:ascii="Arial" w:hAnsi="Arial" w:cs="Arial"/>
          <w:color w:val="000000"/>
          <w:sz w:val="22"/>
          <w:szCs w:val="22"/>
        </w:rPr>
        <w:t xml:space="preserve"> </w:t>
      </w:r>
      <w:r w:rsidRPr="00BC57F0">
        <w:rPr>
          <w:rFonts w:ascii="Arial" w:hAnsi="Arial" w:cs="Arial"/>
          <w:color w:val="000000"/>
          <w:sz w:val="22"/>
          <w:szCs w:val="22"/>
        </w:rPr>
        <w:t>proves more effective (Wibowo &amp; Kusuma, 2024). For example, the Frontline Teacher (GGD) program, initially nationally designed, showed positive short-term results but was unsustainable due to a lack of local support for retention after assignment periods ended (Rachmawati &amp; Syamsudin, 2024). A shared governance model between central and local governments is needed to avoid “top-down” policies that are unresponsive to field realities.</w:t>
      </w:r>
      <w:r w:rsidR="00862457" w:rsidRPr="00862457">
        <w:rPr>
          <w:rFonts w:ascii="Arial" w:hAnsi="Arial" w:cs="Arial"/>
          <w:color w:val="000000"/>
          <w:sz w:val="22"/>
          <w:szCs w:val="22"/>
        </w:rPr>
        <w:t xml:space="preserve"> </w:t>
      </w:r>
    </w:p>
    <w:p w14:paraId="3BF7AFF4" w14:textId="411EB427" w:rsidR="009F0CAD" w:rsidRPr="00BC57F0" w:rsidRDefault="00862457" w:rsidP="00BF303C">
      <w:pPr>
        <w:spacing w:line="276" w:lineRule="auto"/>
        <w:ind w:firstLine="720"/>
        <w:jc w:val="both"/>
        <w:rPr>
          <w:rFonts w:ascii="Arial" w:hAnsi="Arial" w:cs="Arial"/>
          <w:color w:val="000000"/>
          <w:sz w:val="22"/>
          <w:szCs w:val="22"/>
        </w:rPr>
      </w:pPr>
      <w:r w:rsidRPr="00862457">
        <w:rPr>
          <w:rFonts w:ascii="Arial" w:hAnsi="Arial" w:cs="Arial"/>
          <w:color w:val="000000"/>
          <w:sz w:val="22"/>
          <w:szCs w:val="22"/>
          <w:highlight w:val="yellow"/>
        </w:rPr>
        <w:t xml:space="preserve">The comparative success of teacher policies in Indonesia is highly contingent on the governance environment. Under centralized (top-down) conditions, such as the initial placement of Civil Servant teachers (CPNS), policies succeed in filling quantitative gaps quickly but fail in long-term retention because they ignore the </w:t>
      </w:r>
      <w:r w:rsidRPr="00862457">
        <w:rPr>
          <w:rFonts w:ascii="Arial" w:hAnsi="Arial" w:cs="Arial"/>
          <w:color w:val="000000"/>
          <w:sz w:val="22"/>
          <w:szCs w:val="22"/>
          <w:highlight w:val="yellow"/>
        </w:rPr>
        <w:lastRenderedPageBreak/>
        <w:t>"geographic social capital" required for a teacher to thrive in 3T areas. Conversely, under decentralized (bottom-up) constraints, regional mechanisms often fail because of "local elite capture" and political pressure where teacher transfers are used as political tools rather than educational interventions. Therefore, a hybrid governance model succeeds only when central standards for minimum service are met with local autonomy in selecting teachers who have cultural proximity to the assignment area.</w:t>
      </w:r>
    </w:p>
    <w:p w14:paraId="2825F025" w14:textId="77777777" w:rsidR="009F0CAD" w:rsidRPr="00BC57F0" w:rsidRDefault="009F0CAD" w:rsidP="00BF303C">
      <w:pPr>
        <w:spacing w:line="276" w:lineRule="auto"/>
        <w:jc w:val="both"/>
        <w:rPr>
          <w:rFonts w:ascii="Arial" w:hAnsi="Arial" w:cs="Arial"/>
          <w:b/>
          <w:bCs/>
          <w:color w:val="000000"/>
          <w:sz w:val="22"/>
          <w:szCs w:val="22"/>
        </w:rPr>
      </w:pPr>
    </w:p>
    <w:p w14:paraId="527A8060" w14:textId="703DF1FC" w:rsidR="009F0CAD" w:rsidRPr="005822DC" w:rsidRDefault="009F0CAD" w:rsidP="005822DC">
      <w:pPr>
        <w:pStyle w:val="DaftarParagraf"/>
        <w:numPr>
          <w:ilvl w:val="0"/>
          <w:numId w:val="38"/>
        </w:numPr>
        <w:spacing w:line="276" w:lineRule="auto"/>
        <w:ind w:left="426" w:hanging="426"/>
        <w:jc w:val="both"/>
        <w:rPr>
          <w:rFonts w:ascii="Arial" w:hAnsi="Arial" w:cs="Arial"/>
          <w:b/>
          <w:bCs/>
          <w:color w:val="000000"/>
          <w:sz w:val="22"/>
          <w:szCs w:val="22"/>
        </w:rPr>
      </w:pPr>
      <w:r w:rsidRPr="005822DC">
        <w:rPr>
          <w:rFonts w:ascii="Arial" w:hAnsi="Arial" w:cs="Arial"/>
          <w:b/>
          <w:bCs/>
          <w:color w:val="000000"/>
          <w:sz w:val="22"/>
          <w:szCs w:val="22"/>
        </w:rPr>
        <w:t>Effectiveness of Incentive Schemes and Teacher Retention</w:t>
      </w:r>
    </w:p>
    <w:p w14:paraId="409BC0E9" w14:textId="77777777"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Incentive policies are a key strategy to attract and retain teachers in challenging areas. However, the review shows that their impact is partial and inconsistent. According to Hutagalung (2024) and Toyamah et al. (2010), remote area allowances do increase teacher retention in the short term but are insufficient to address non-financial factors such as social isolation, limited facilities, and access to children’s education.</w:t>
      </w:r>
    </w:p>
    <w:p w14:paraId="324482E9" w14:textId="29934174"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Gaduh et al. (2022) and the World Bank (2019) find that combining financial incentives with social accountability mechanisms</w:t>
      </w:r>
      <w:r w:rsidR="00BF303C">
        <w:rPr>
          <w:rFonts w:ascii="Arial" w:hAnsi="Arial" w:cs="Arial"/>
          <w:color w:val="000000"/>
          <w:sz w:val="22"/>
          <w:szCs w:val="22"/>
        </w:rPr>
        <w:t xml:space="preserve"> </w:t>
      </w:r>
      <w:r w:rsidRPr="00BC57F0">
        <w:rPr>
          <w:rFonts w:ascii="Arial" w:hAnsi="Arial" w:cs="Arial"/>
          <w:color w:val="000000"/>
          <w:sz w:val="22"/>
          <w:szCs w:val="22"/>
        </w:rPr>
        <w:t>such as community monitoring and performance pay</w:t>
      </w:r>
      <w:r w:rsidR="00BF303C">
        <w:rPr>
          <w:rFonts w:ascii="Arial" w:hAnsi="Arial" w:cs="Arial"/>
          <w:color w:val="000000"/>
          <w:sz w:val="22"/>
          <w:szCs w:val="22"/>
        </w:rPr>
        <w:t xml:space="preserve"> </w:t>
      </w:r>
      <w:r w:rsidRPr="00BC57F0">
        <w:rPr>
          <w:rFonts w:ascii="Arial" w:hAnsi="Arial" w:cs="Arial"/>
          <w:color w:val="000000"/>
          <w:sz w:val="22"/>
          <w:szCs w:val="22"/>
        </w:rPr>
        <w:t>is more effective in improving teacher attendance and performance in remote schools. However, performance-based incentives require transparent data verification and payment systems to avoid resistance (Gaduh et al., 202</w:t>
      </w:r>
      <w:r w:rsidR="0010038A">
        <w:rPr>
          <w:rFonts w:ascii="Arial" w:hAnsi="Arial" w:cs="Arial"/>
          <w:color w:val="000000"/>
          <w:sz w:val="22"/>
          <w:szCs w:val="22"/>
        </w:rPr>
        <w:t>1</w:t>
      </w:r>
      <w:r w:rsidRPr="00BC57F0">
        <w:rPr>
          <w:rFonts w:ascii="Arial" w:hAnsi="Arial" w:cs="Arial"/>
          <w:color w:val="000000"/>
          <w:sz w:val="22"/>
          <w:szCs w:val="22"/>
        </w:rPr>
        <w:t>).</w:t>
      </w:r>
    </w:p>
    <w:p w14:paraId="095EFD70" w14:textId="094FE365" w:rsidR="009F0CAD"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Beyond financial aspects, intrinsic motivation and psychosocial support are also crucial for teacher retention</w:t>
      </w:r>
      <w:r w:rsidR="007823B0">
        <w:rPr>
          <w:rFonts w:ascii="Arial" w:hAnsi="Arial" w:cs="Arial"/>
          <w:color w:val="000000"/>
          <w:sz w:val="22"/>
          <w:szCs w:val="22"/>
        </w:rPr>
        <w:t xml:space="preserve"> </w:t>
      </w:r>
      <w:r w:rsidRPr="00BC57F0">
        <w:rPr>
          <w:rFonts w:ascii="Arial" w:hAnsi="Arial" w:cs="Arial"/>
          <w:color w:val="000000"/>
          <w:sz w:val="22"/>
          <w:szCs w:val="22"/>
        </w:rPr>
        <w:t>(</w:t>
      </w:r>
      <w:r w:rsidR="007823B0" w:rsidRPr="007823B0">
        <w:rPr>
          <w:rFonts w:ascii="Arial" w:hAnsi="Arial" w:cs="Arial"/>
          <w:color w:val="000000"/>
          <w:sz w:val="22"/>
          <w:szCs w:val="22"/>
        </w:rPr>
        <w:t>Arthur &amp; Bradley, 2023).</w:t>
      </w:r>
      <w:r w:rsidRPr="00BC57F0">
        <w:rPr>
          <w:rFonts w:ascii="Arial" w:hAnsi="Arial" w:cs="Arial"/>
          <w:color w:val="000000"/>
          <w:sz w:val="22"/>
          <w:szCs w:val="22"/>
        </w:rPr>
        <w:t xml:space="preserve"> The IAFOR study emphasizes that the presence of local mentors and cultural orientation programs enhances adaptation and resilience for new teachers in remote areas</w:t>
      </w:r>
      <w:r w:rsidR="00F1792F">
        <w:rPr>
          <w:rFonts w:ascii="Arial" w:hAnsi="Arial" w:cs="Arial"/>
          <w:color w:val="000000"/>
          <w:sz w:val="22"/>
          <w:szCs w:val="22"/>
        </w:rPr>
        <w:t xml:space="preserve"> (</w:t>
      </w:r>
      <w:r w:rsidR="00F1792F" w:rsidRPr="00F1792F">
        <w:rPr>
          <w:rFonts w:ascii="Arial" w:hAnsi="Arial" w:cs="Arial"/>
          <w:color w:val="000000"/>
          <w:sz w:val="22"/>
          <w:szCs w:val="22"/>
        </w:rPr>
        <w:t>Ward</w:t>
      </w:r>
      <w:r w:rsidR="00F1792F">
        <w:rPr>
          <w:rFonts w:ascii="Arial" w:hAnsi="Arial" w:cs="Arial"/>
          <w:color w:val="000000"/>
          <w:sz w:val="22"/>
          <w:szCs w:val="22"/>
        </w:rPr>
        <w:t xml:space="preserve"> </w:t>
      </w:r>
      <w:r w:rsidR="00F1792F" w:rsidRPr="00F1792F">
        <w:rPr>
          <w:rFonts w:ascii="Arial" w:hAnsi="Arial" w:cs="Arial"/>
          <w:color w:val="000000"/>
          <w:sz w:val="22"/>
          <w:szCs w:val="22"/>
        </w:rPr>
        <w:t>&amp; Nagoya, 2021).</w:t>
      </w:r>
      <w:r w:rsidRPr="00BC57F0">
        <w:rPr>
          <w:rFonts w:ascii="Arial" w:hAnsi="Arial" w:cs="Arial"/>
          <w:color w:val="000000"/>
          <w:sz w:val="22"/>
          <w:szCs w:val="22"/>
        </w:rPr>
        <w:t xml:space="preserve"> Therefore, retention policies need to expand incentive dimensions toward teacher well-being and sustainable career development, not only economic allowances.</w:t>
      </w:r>
    </w:p>
    <w:p w14:paraId="682DC3EF" w14:textId="4A4551EC" w:rsidR="00862457" w:rsidRPr="00862457" w:rsidRDefault="00862457" w:rsidP="00BF303C">
      <w:pPr>
        <w:spacing w:line="276" w:lineRule="auto"/>
        <w:ind w:firstLine="720"/>
        <w:jc w:val="both"/>
        <w:rPr>
          <w:rFonts w:ascii="Arial" w:hAnsi="Arial" w:cs="Arial"/>
          <w:color w:val="000000"/>
          <w:sz w:val="22"/>
          <w:szCs w:val="22"/>
        </w:rPr>
      </w:pPr>
      <w:r w:rsidRPr="00862457">
        <w:rPr>
          <w:rFonts w:ascii="Arial" w:hAnsi="Arial" w:cs="Arial"/>
          <w:color w:val="000000"/>
          <w:sz w:val="22"/>
          <w:szCs w:val="22"/>
          <w:highlight w:val="yellow"/>
        </w:rPr>
        <w:t xml:space="preserve">Indonesia’s struggle with remote teacher allocation mirrors global debates. Similar to rural China, where the </w:t>
      </w:r>
      <w:r w:rsidRPr="00862457">
        <w:rPr>
          <w:rFonts w:ascii="Arial" w:hAnsi="Arial" w:cs="Arial"/>
          <w:i/>
          <w:iCs/>
          <w:color w:val="000000"/>
          <w:sz w:val="22"/>
          <w:szCs w:val="22"/>
          <w:highlight w:val="yellow"/>
        </w:rPr>
        <w:t>Special Post Teacher Program</w:t>
      </w:r>
      <w:r w:rsidRPr="00862457">
        <w:rPr>
          <w:rFonts w:ascii="Arial" w:hAnsi="Arial" w:cs="Arial"/>
          <w:color w:val="000000"/>
          <w:sz w:val="22"/>
          <w:szCs w:val="22"/>
          <w:highlight w:val="yellow"/>
        </w:rPr>
        <w:t xml:space="preserve"> utilizes tiered incentives, Indonesia’s remote area allowance (TKG) provides a financial "pull factor." However, insights from Sub-Saharan Africa suggest that financial incentives alone are "necessary but insufficient" (World Bank, 2019). Like the Zimbabwean context, Indonesia’s policy fails to address "opportunity costs" for teachers</w:t>
      </w:r>
      <w:r>
        <w:rPr>
          <w:rFonts w:ascii="Arial" w:hAnsi="Arial" w:cs="Arial"/>
          <w:color w:val="000000"/>
          <w:sz w:val="22"/>
          <w:szCs w:val="22"/>
          <w:highlight w:val="yellow"/>
        </w:rPr>
        <w:t xml:space="preserve"> </w:t>
      </w:r>
      <w:r w:rsidRPr="00862457">
        <w:rPr>
          <w:rFonts w:ascii="Arial" w:hAnsi="Arial" w:cs="Arial"/>
          <w:color w:val="000000"/>
          <w:sz w:val="22"/>
          <w:szCs w:val="22"/>
          <w:highlight w:val="yellow"/>
        </w:rPr>
        <w:t>such as the lack of career progression and professional isolation. Globally, the most resilient models (e.g., in rural Australia) are those that shift the focus from "compensation for hardship" to "incentivizing professional specialization" in rural pedagogy.</w:t>
      </w:r>
    </w:p>
    <w:p w14:paraId="414755E4" w14:textId="77777777" w:rsidR="00862457" w:rsidRPr="00BC57F0" w:rsidRDefault="00862457" w:rsidP="00BF303C">
      <w:pPr>
        <w:spacing w:line="276" w:lineRule="auto"/>
        <w:ind w:firstLine="720"/>
        <w:jc w:val="both"/>
        <w:rPr>
          <w:rFonts w:ascii="Arial" w:hAnsi="Arial" w:cs="Arial"/>
          <w:b/>
          <w:bCs/>
          <w:color w:val="000000"/>
          <w:sz w:val="22"/>
          <w:szCs w:val="22"/>
        </w:rPr>
      </w:pPr>
    </w:p>
    <w:p w14:paraId="1C2D6E88" w14:textId="73A56E48" w:rsidR="009F0CAD" w:rsidRPr="005822DC" w:rsidRDefault="009F0CAD" w:rsidP="005822DC">
      <w:pPr>
        <w:pStyle w:val="DaftarParagraf"/>
        <w:numPr>
          <w:ilvl w:val="0"/>
          <w:numId w:val="38"/>
        </w:numPr>
        <w:spacing w:line="276" w:lineRule="auto"/>
        <w:ind w:left="426" w:hanging="426"/>
        <w:jc w:val="both"/>
        <w:rPr>
          <w:rFonts w:ascii="Arial" w:hAnsi="Arial" w:cs="Arial"/>
          <w:b/>
          <w:bCs/>
          <w:color w:val="000000"/>
          <w:sz w:val="22"/>
          <w:szCs w:val="22"/>
        </w:rPr>
      </w:pPr>
      <w:r w:rsidRPr="005822DC">
        <w:rPr>
          <w:rFonts w:ascii="Arial" w:hAnsi="Arial" w:cs="Arial"/>
          <w:b/>
          <w:bCs/>
          <w:color w:val="000000"/>
          <w:sz w:val="22"/>
          <w:szCs w:val="22"/>
        </w:rPr>
        <w:t>Role of Data and Technology in Decision-Making</w:t>
      </w:r>
    </w:p>
    <w:p w14:paraId="15F61DC4" w14:textId="298C7144" w:rsidR="009F0CAD" w:rsidRPr="00BC57F0"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The era of smart governance requires data-driven and up</w:t>
      </w:r>
      <w:r w:rsidR="0010038A">
        <w:rPr>
          <w:rFonts w:ascii="Arial" w:hAnsi="Arial" w:cs="Arial"/>
          <w:color w:val="000000"/>
          <w:sz w:val="22"/>
          <w:szCs w:val="22"/>
        </w:rPr>
        <w:t xml:space="preserve"> </w:t>
      </w:r>
      <w:r w:rsidRPr="00BC57F0">
        <w:rPr>
          <w:rFonts w:ascii="Arial" w:hAnsi="Arial" w:cs="Arial"/>
          <w:color w:val="000000"/>
          <w:sz w:val="22"/>
          <w:szCs w:val="22"/>
        </w:rPr>
        <w:t>to</w:t>
      </w:r>
      <w:r w:rsidR="0010038A">
        <w:rPr>
          <w:rFonts w:ascii="Arial" w:hAnsi="Arial" w:cs="Arial"/>
          <w:color w:val="000000"/>
          <w:sz w:val="22"/>
          <w:szCs w:val="22"/>
        </w:rPr>
        <w:t xml:space="preserve"> </w:t>
      </w:r>
      <w:r w:rsidRPr="00BC57F0">
        <w:rPr>
          <w:rFonts w:ascii="Arial" w:hAnsi="Arial" w:cs="Arial"/>
          <w:color w:val="000000"/>
          <w:sz w:val="22"/>
          <w:szCs w:val="22"/>
        </w:rPr>
        <w:t>date policies. However, many studies show that Indonesia’s education data system remains fragmented and unsynchronized across levels (Pratama &amp; Widodo, 2024; Hidayat &amp; Arini, 2024). Dapodik, as the primary education data source, often suffers delayed updates and does not reflect actual needs in remote sub-districts.</w:t>
      </w:r>
    </w:p>
    <w:p w14:paraId="1DE0B130" w14:textId="77777777" w:rsidR="009F0CAD" w:rsidRPr="00BC57F0"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lastRenderedPageBreak/>
        <w:t>Digital innovations in teacher placement have been piloted through data-driven allocation and interactive spatial mapping (Sapiah, 2025). This strategy allows policymakers to visualize teacher shortages based on distance, transportation access, and student numbers. However, challenges arise regarding the digital literacy of local officials and infrastructure limitations in 3T regions (Amin, 2024).</w:t>
      </w:r>
    </w:p>
    <w:p w14:paraId="4FFA2EC4" w14:textId="77777777" w:rsidR="009F0CAD"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Thus, digitalization of teacher placement requires not only technology but also adaptive governance, cross-agency data interoperability (Kemendikbudristek, BKN, Bappenas), and evidence-based supervision systems (e-verification) to prevent manipulation of teacher needs data.</w:t>
      </w:r>
    </w:p>
    <w:p w14:paraId="50C71624" w14:textId="77777777" w:rsidR="003D5E93" w:rsidRPr="00BC57F0" w:rsidRDefault="003D5E93" w:rsidP="0010038A">
      <w:pPr>
        <w:spacing w:line="276" w:lineRule="auto"/>
        <w:ind w:firstLine="720"/>
        <w:jc w:val="both"/>
        <w:rPr>
          <w:rFonts w:ascii="Arial" w:hAnsi="Arial" w:cs="Arial"/>
          <w:color w:val="000000"/>
          <w:sz w:val="22"/>
          <w:szCs w:val="22"/>
        </w:rPr>
      </w:pPr>
    </w:p>
    <w:p w14:paraId="4BE0F51C" w14:textId="358E1919" w:rsidR="009F0CAD" w:rsidRPr="005822DC" w:rsidRDefault="009F0CAD" w:rsidP="005822DC">
      <w:pPr>
        <w:pStyle w:val="DaftarParagraf"/>
        <w:numPr>
          <w:ilvl w:val="0"/>
          <w:numId w:val="38"/>
        </w:numPr>
        <w:spacing w:line="276" w:lineRule="auto"/>
        <w:ind w:left="426" w:hanging="426"/>
        <w:jc w:val="both"/>
        <w:rPr>
          <w:rFonts w:ascii="Arial" w:hAnsi="Arial" w:cs="Arial"/>
          <w:b/>
          <w:bCs/>
          <w:color w:val="000000"/>
          <w:sz w:val="22"/>
          <w:szCs w:val="22"/>
        </w:rPr>
      </w:pPr>
      <w:r w:rsidRPr="005822DC">
        <w:rPr>
          <w:rFonts w:ascii="Arial" w:hAnsi="Arial" w:cs="Arial"/>
          <w:b/>
          <w:bCs/>
          <w:color w:val="000000"/>
          <w:sz w:val="22"/>
          <w:szCs w:val="22"/>
        </w:rPr>
        <w:t>Collaborative and Multi-Sectoral Approaches</w:t>
      </w:r>
    </w:p>
    <w:p w14:paraId="10282032" w14:textId="5F634B5F" w:rsidR="009F0CAD" w:rsidRPr="00BC57F0"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Empirical evidence shows that single policies based solely on financial incentives or training are insufficient to address the complexity of teacher distribution issues in remote areas (Amin, 2024). Collaborative approaches involving government, higher education institutions, civil society organizations, and the private sector are needed. For instance, partnerships facilitated by philanthropic organizations such as the Tanoto Foundation successfully enhanced teachers’ pedagogical competencies through service learning and continuous mentoring (</w:t>
      </w:r>
      <w:r w:rsidR="00077DA0" w:rsidRPr="00077DA0">
        <w:rPr>
          <w:rFonts w:ascii="Arial" w:hAnsi="Arial" w:cs="Arial"/>
          <w:sz w:val="22"/>
          <w:szCs w:val="22"/>
        </w:rPr>
        <w:t>Sutomo &amp; Siregar, 2022</w:t>
      </w:r>
      <w:r w:rsidRPr="00BC57F0">
        <w:rPr>
          <w:rFonts w:ascii="Arial" w:hAnsi="Arial" w:cs="Arial"/>
          <w:color w:val="000000"/>
          <w:sz w:val="22"/>
          <w:szCs w:val="22"/>
        </w:rPr>
        <w:t>). However, donor dependence poses sustainability challenges if not integrated into local policies (Sapiah, 2025).</w:t>
      </w:r>
    </w:p>
    <w:p w14:paraId="6E67DCA7" w14:textId="1DAF3DD4" w:rsidR="009F0CAD" w:rsidRPr="00BC57F0"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Hence, collaborative models should focus on local capacity building through training regional facilitators, providing education resource centers, and integrating cross-sector responsibilities (education, transportation, and social services). This approach also aligns with SDG 4 (Quality Education) and national policies to strengthen 3T regions (</w:t>
      </w:r>
      <w:r w:rsidR="00754DD1" w:rsidRPr="00754DD1">
        <w:rPr>
          <w:rFonts w:ascii="Arial" w:hAnsi="Arial" w:cs="Arial"/>
          <w:color w:val="000000"/>
          <w:sz w:val="22"/>
          <w:szCs w:val="22"/>
        </w:rPr>
        <w:t>Cholifihani</w:t>
      </w:r>
      <w:r w:rsidR="00754DD1">
        <w:rPr>
          <w:rFonts w:ascii="Arial" w:hAnsi="Arial" w:cs="Arial"/>
          <w:color w:val="000000"/>
          <w:sz w:val="22"/>
          <w:szCs w:val="22"/>
        </w:rPr>
        <w:t xml:space="preserve"> </w:t>
      </w:r>
      <w:r w:rsidR="00754DD1" w:rsidRPr="00754DD1">
        <w:rPr>
          <w:rFonts w:ascii="Arial" w:hAnsi="Arial" w:cs="Arial"/>
          <w:color w:val="000000"/>
          <w:sz w:val="22"/>
          <w:szCs w:val="22"/>
        </w:rPr>
        <w:t>&amp; Septiavin, 2025</w:t>
      </w:r>
      <w:r w:rsidRPr="00BC57F0">
        <w:rPr>
          <w:rFonts w:ascii="Arial" w:hAnsi="Arial" w:cs="Arial"/>
          <w:color w:val="000000"/>
          <w:sz w:val="22"/>
          <w:szCs w:val="22"/>
        </w:rPr>
        <w:t>).</w:t>
      </w:r>
    </w:p>
    <w:p w14:paraId="2188DF3E" w14:textId="77777777" w:rsidR="009F0CAD" w:rsidRPr="00BC57F0" w:rsidRDefault="009F0CAD" w:rsidP="009F0CAD">
      <w:pPr>
        <w:spacing w:line="276" w:lineRule="auto"/>
        <w:rPr>
          <w:rFonts w:ascii="Arial" w:hAnsi="Arial" w:cs="Arial"/>
          <w:b/>
          <w:bCs/>
          <w:color w:val="000000"/>
          <w:sz w:val="22"/>
          <w:szCs w:val="22"/>
        </w:rPr>
      </w:pPr>
    </w:p>
    <w:p w14:paraId="28FC4082" w14:textId="3D9134E3" w:rsidR="00EF7372" w:rsidRPr="00BC57F0" w:rsidRDefault="00EF7372" w:rsidP="00EF7372">
      <w:pPr>
        <w:spacing w:line="276" w:lineRule="auto"/>
        <w:rPr>
          <w:rFonts w:ascii="Arial" w:hAnsi="Arial" w:cs="Arial"/>
          <w:b/>
          <w:bCs/>
          <w:color w:val="000000"/>
          <w:sz w:val="22"/>
          <w:szCs w:val="22"/>
        </w:rPr>
      </w:pPr>
      <w:r w:rsidRPr="00BC57F0">
        <w:rPr>
          <w:rFonts w:ascii="Arial" w:hAnsi="Arial" w:cs="Arial"/>
          <w:b/>
          <w:bCs/>
          <w:color w:val="000000"/>
          <w:sz w:val="22"/>
          <w:szCs w:val="22"/>
        </w:rPr>
        <w:t>6</w:t>
      </w:r>
      <w:r w:rsidR="000D3EFF">
        <w:rPr>
          <w:rFonts w:ascii="Arial" w:hAnsi="Arial" w:cs="Arial"/>
          <w:b/>
          <w:bCs/>
          <w:color w:val="000000"/>
          <w:sz w:val="22"/>
          <w:szCs w:val="22"/>
        </w:rPr>
        <w:t xml:space="preserve">)   </w:t>
      </w:r>
      <w:r w:rsidRPr="00BC57F0">
        <w:rPr>
          <w:rFonts w:ascii="Arial" w:hAnsi="Arial" w:cs="Arial"/>
          <w:b/>
          <w:bCs/>
          <w:color w:val="000000"/>
          <w:sz w:val="22"/>
          <w:szCs w:val="22"/>
        </w:rPr>
        <w:t>Synthesis and Future Policy Directions</w:t>
      </w:r>
    </w:p>
    <w:p w14:paraId="70438A63" w14:textId="77777777" w:rsidR="00EF7372" w:rsidRPr="00BC57F0" w:rsidRDefault="00EF7372" w:rsidP="00EF7372">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In synthesis, the review shows that the success of teacher allocation policies in remote sub-districts depends on three main pillars:</w:t>
      </w:r>
    </w:p>
    <w:p w14:paraId="6A20E146" w14:textId="77777777" w:rsidR="00EF7372" w:rsidRPr="00BC57F0" w:rsidRDefault="00EF7372" w:rsidP="00EF7372">
      <w:pPr>
        <w:numPr>
          <w:ilvl w:val="0"/>
          <w:numId w:val="32"/>
        </w:numPr>
        <w:spacing w:line="276" w:lineRule="auto"/>
        <w:jc w:val="both"/>
        <w:rPr>
          <w:rFonts w:ascii="Arial" w:hAnsi="Arial" w:cs="Arial"/>
          <w:color w:val="000000"/>
          <w:sz w:val="22"/>
          <w:szCs w:val="22"/>
        </w:rPr>
      </w:pPr>
      <w:r w:rsidRPr="00BC57F0">
        <w:rPr>
          <w:rFonts w:ascii="Arial" w:hAnsi="Arial" w:cs="Arial"/>
          <w:color w:val="000000"/>
          <w:sz w:val="22"/>
          <w:szCs w:val="22"/>
        </w:rPr>
        <w:t>Spatial justice,</w:t>
      </w:r>
    </w:p>
    <w:p w14:paraId="0A6F32D8" w14:textId="77777777" w:rsidR="00EF7372" w:rsidRPr="00BC57F0" w:rsidRDefault="00EF7372" w:rsidP="00EF7372">
      <w:pPr>
        <w:numPr>
          <w:ilvl w:val="0"/>
          <w:numId w:val="32"/>
        </w:numPr>
        <w:spacing w:line="276" w:lineRule="auto"/>
        <w:jc w:val="both"/>
        <w:rPr>
          <w:rFonts w:ascii="Arial" w:hAnsi="Arial" w:cs="Arial"/>
          <w:color w:val="000000"/>
          <w:sz w:val="22"/>
          <w:szCs w:val="22"/>
        </w:rPr>
      </w:pPr>
      <w:r w:rsidRPr="00BC57F0">
        <w:rPr>
          <w:rFonts w:ascii="Arial" w:hAnsi="Arial" w:cs="Arial"/>
          <w:color w:val="000000"/>
          <w:sz w:val="22"/>
          <w:szCs w:val="22"/>
        </w:rPr>
        <w:t>Cross-level government coordination, and</w:t>
      </w:r>
    </w:p>
    <w:p w14:paraId="66FE37F9" w14:textId="77777777" w:rsidR="00EF7372" w:rsidRPr="00BC57F0" w:rsidRDefault="00EF7372" w:rsidP="00EF7372">
      <w:pPr>
        <w:numPr>
          <w:ilvl w:val="0"/>
          <w:numId w:val="32"/>
        </w:numPr>
        <w:spacing w:line="276" w:lineRule="auto"/>
        <w:jc w:val="both"/>
        <w:rPr>
          <w:rFonts w:ascii="Arial" w:hAnsi="Arial" w:cs="Arial"/>
          <w:color w:val="000000"/>
          <w:sz w:val="22"/>
          <w:szCs w:val="22"/>
        </w:rPr>
      </w:pPr>
      <w:r w:rsidRPr="00BC57F0">
        <w:rPr>
          <w:rFonts w:ascii="Arial" w:hAnsi="Arial" w:cs="Arial"/>
          <w:color w:val="000000"/>
          <w:sz w:val="22"/>
          <w:szCs w:val="22"/>
        </w:rPr>
        <w:t>Holistic teacher incentives focusing on well-being.</w:t>
      </w:r>
    </w:p>
    <w:p w14:paraId="41B62B71" w14:textId="77777777" w:rsidR="00EF7372" w:rsidRPr="00BC57F0" w:rsidRDefault="00EF7372" w:rsidP="00EF7372">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Effective policies combine central regulation with local adaptation (co-governance), leverage spatial data and digital technology, and prioritize social-emotional teacher welfare as part of affirmative policy. PPPK reform should be sensitive to geographic and social contexts, not merely meet national formation quotas (Susanto &amp; Aminah, 2024).</w:t>
      </w:r>
    </w:p>
    <w:p w14:paraId="04AD5BAE" w14:textId="77777777" w:rsidR="00EF7372" w:rsidRPr="00BC57F0" w:rsidRDefault="00EF7372" w:rsidP="00EF7372">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Future policy recommendations include:</w:t>
      </w:r>
    </w:p>
    <w:p w14:paraId="09A2DC95"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t>Implementing teacher allocation systems based on real needs mapping and integrating Dapodik–BKN data.</w:t>
      </w:r>
    </w:p>
    <w:p w14:paraId="47F506B6"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t>Designing layered incentives (monetary and non-monetary) aimed at long-term retention.</w:t>
      </w:r>
    </w:p>
    <w:p w14:paraId="1E0F5201"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lastRenderedPageBreak/>
        <w:t>Strengthening local government capacity in planning teacher needs.</w:t>
      </w:r>
    </w:p>
    <w:p w14:paraId="4CC9BAB1"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t>Applying community-based supervision and social accountability models.</w:t>
      </w:r>
    </w:p>
    <w:p w14:paraId="720BF955"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t>Integrating education policies with basic infrastructure development in remote areas.</w:t>
      </w:r>
    </w:p>
    <w:p w14:paraId="50691456" w14:textId="77777777" w:rsidR="00EF7372" w:rsidRPr="00BC57F0" w:rsidRDefault="00EF7372" w:rsidP="00EF7372">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Thus, effective teacher allocation policies are not merely administrative personnel matters but constitute a social development strategy oriented toward spatial justice and the sustainable development of Indonesia’s human education resources.</w:t>
      </w:r>
    </w:p>
    <w:p w14:paraId="6C4E1CB0" w14:textId="77777777" w:rsidR="00EF7372" w:rsidRPr="00BC57F0" w:rsidRDefault="00EF7372" w:rsidP="009F0CAD">
      <w:pPr>
        <w:pStyle w:val="IsiParagarf"/>
        <w:rPr>
          <w:rFonts w:ascii="Arial" w:hAnsi="Arial" w:cs="Arial"/>
        </w:rPr>
      </w:pPr>
    </w:p>
    <w:p w14:paraId="3B947C0D" w14:textId="77777777" w:rsidR="00862457" w:rsidRPr="00BC57F0" w:rsidRDefault="00862457" w:rsidP="00862457">
      <w:pPr>
        <w:pStyle w:val="Body"/>
        <w:spacing w:after="0"/>
        <w:rPr>
          <w:rFonts w:ascii="Arial" w:hAnsi="Arial" w:cs="Arial"/>
          <w:sz w:val="22"/>
          <w:szCs w:val="22"/>
        </w:rPr>
      </w:pPr>
    </w:p>
    <w:p w14:paraId="4A67D617" w14:textId="77777777" w:rsidR="00862457" w:rsidRPr="00BC57F0" w:rsidRDefault="00862457" w:rsidP="00862457">
      <w:pPr>
        <w:pStyle w:val="ConcHead"/>
        <w:spacing w:after="0"/>
        <w:jc w:val="both"/>
        <w:rPr>
          <w:rFonts w:ascii="Arial" w:hAnsi="Arial" w:cs="Arial"/>
          <w:szCs w:val="22"/>
        </w:rPr>
      </w:pPr>
      <w:r w:rsidRPr="00BC57F0">
        <w:rPr>
          <w:rFonts w:ascii="Arial" w:hAnsi="Arial" w:cs="Arial"/>
          <w:szCs w:val="22"/>
        </w:rPr>
        <w:t>4. Conclusion</w:t>
      </w:r>
    </w:p>
    <w:p w14:paraId="0C8D0241" w14:textId="77777777" w:rsidR="00862457" w:rsidRDefault="00862457" w:rsidP="00862457">
      <w:pPr>
        <w:pStyle w:val="IsiParagarf"/>
        <w:rPr>
          <w:rFonts w:ascii="Arial" w:hAnsi="Arial" w:cs="Arial"/>
        </w:rPr>
      </w:pPr>
      <w:r w:rsidRPr="00BC57F0">
        <w:rPr>
          <w:rFonts w:ascii="Arial" w:hAnsi="Arial" w:cs="Arial"/>
        </w:rPr>
        <w:t xml:space="preserve">A review of 22 studies shows that teacher allocation in remote Indonesian sub-districts faces structural, institutional, and social challenges. Most policies are top-down, causing imbalanced teacher-student ratios, low retention in 3T areas, and weak coordination across government levels. While financial incentives like remote allowances or </w:t>
      </w:r>
      <w:r w:rsidRPr="00BC57F0">
        <w:rPr>
          <w:rFonts w:ascii="Arial" w:hAnsi="Arial" w:cs="Arial"/>
          <w:bCs/>
          <w:color w:val="000000" w:themeColor="text1"/>
        </w:rPr>
        <w:t>Government Contract Employee</w:t>
      </w:r>
      <w:r w:rsidRPr="00BC57F0">
        <w:rPr>
          <w:rFonts w:ascii="Arial" w:hAnsi="Arial" w:cs="Arial"/>
        </w:rPr>
        <w:t xml:space="preserve"> schemes can attract teachers, they are insufficient for long-term career sustainability and sociopsychological well</w:t>
      </w:r>
      <w:r>
        <w:rPr>
          <w:rFonts w:ascii="Arial" w:hAnsi="Arial" w:cs="Arial"/>
        </w:rPr>
        <w:t xml:space="preserve"> </w:t>
      </w:r>
      <w:r w:rsidRPr="00BC57F0">
        <w:rPr>
          <w:rFonts w:ascii="Arial" w:hAnsi="Arial" w:cs="Arial"/>
        </w:rPr>
        <w:t>being. Non</w:t>
      </w:r>
      <w:r>
        <w:rPr>
          <w:rFonts w:ascii="Arial" w:hAnsi="Arial" w:cs="Arial"/>
        </w:rPr>
        <w:t xml:space="preserve"> </w:t>
      </w:r>
      <w:r w:rsidRPr="00BC57F0">
        <w:rPr>
          <w:rFonts w:ascii="Arial" w:hAnsi="Arial" w:cs="Arial"/>
        </w:rPr>
        <w:t>financial factors</w:t>
      </w:r>
      <w:r>
        <w:rPr>
          <w:rFonts w:ascii="Arial" w:hAnsi="Arial" w:cs="Arial"/>
        </w:rPr>
        <w:t xml:space="preserve"> </w:t>
      </w:r>
      <w:r w:rsidRPr="00BC57F0">
        <w:rPr>
          <w:rFonts w:ascii="Arial" w:hAnsi="Arial" w:cs="Arial"/>
        </w:rPr>
        <w:t>community support, social environment, and family facilities</w:t>
      </w:r>
      <w:r>
        <w:rPr>
          <w:rFonts w:ascii="Arial" w:hAnsi="Arial" w:cs="Arial"/>
        </w:rPr>
        <w:t xml:space="preserve"> </w:t>
      </w:r>
      <w:r w:rsidRPr="00BC57F0">
        <w:rPr>
          <w:rFonts w:ascii="Arial" w:hAnsi="Arial" w:cs="Arial"/>
        </w:rPr>
        <w:t>are equally important. Fragmented and outdated education data further hinder evidence</w:t>
      </w:r>
      <w:r>
        <w:rPr>
          <w:rFonts w:ascii="Arial" w:hAnsi="Arial" w:cs="Arial"/>
        </w:rPr>
        <w:t xml:space="preserve"> </w:t>
      </w:r>
      <w:r w:rsidRPr="00BC57F0">
        <w:rPr>
          <w:rFonts w:ascii="Arial" w:hAnsi="Arial" w:cs="Arial"/>
        </w:rPr>
        <w:t>based decisions. Effective policies require spatially informed, sustainable affirmative approaches and strong collaboration between central and local governments to ensure equitable and inclusive education.</w:t>
      </w:r>
    </w:p>
    <w:p w14:paraId="333E49DC" w14:textId="77777777" w:rsidR="00790ADA" w:rsidRPr="00BC57F0" w:rsidRDefault="00790ADA" w:rsidP="00441B6F">
      <w:pPr>
        <w:pStyle w:val="Body"/>
        <w:spacing w:after="0"/>
        <w:rPr>
          <w:rFonts w:ascii="Arial" w:hAnsi="Arial" w:cs="Arial"/>
          <w:sz w:val="22"/>
          <w:szCs w:val="22"/>
        </w:rPr>
      </w:pPr>
    </w:p>
    <w:p w14:paraId="22A8273F" w14:textId="77777777" w:rsidR="00F1792F" w:rsidRPr="00F1792F" w:rsidRDefault="00F1792F" w:rsidP="00F1792F">
      <w:pPr>
        <w:pStyle w:val="AcknHead"/>
        <w:jc w:val="both"/>
        <w:rPr>
          <w:rFonts w:ascii="Arial" w:hAnsi="Arial" w:cs="Arial"/>
          <w:szCs w:val="22"/>
          <w:lang w:val="id-ID"/>
        </w:rPr>
      </w:pPr>
      <w:r w:rsidRPr="00F1792F">
        <w:rPr>
          <w:rFonts w:ascii="Arial" w:hAnsi="Arial" w:cs="Arial"/>
          <w:bCs/>
          <w:szCs w:val="22"/>
          <w:lang w:val="id-ID"/>
        </w:rPr>
        <w:t xml:space="preserve">DISCLAIMER (ARTIFICIAL INTELLIGENCE) </w:t>
      </w:r>
    </w:p>
    <w:p w14:paraId="7B70C32E" w14:textId="7DA6E100" w:rsidR="00F1792F" w:rsidRPr="00FA790F" w:rsidRDefault="00F1792F" w:rsidP="00FA790F">
      <w:pPr>
        <w:pStyle w:val="AcknHead"/>
        <w:jc w:val="both"/>
        <w:rPr>
          <w:rFonts w:ascii="Arial" w:hAnsi="Arial" w:cs="Arial"/>
          <w:b w:val="0"/>
          <w:bCs/>
          <w:caps w:val="0"/>
          <w:szCs w:val="22"/>
          <w:lang w:val="id-ID"/>
        </w:rPr>
      </w:pPr>
      <w:r>
        <w:rPr>
          <w:rFonts w:ascii="Arial" w:hAnsi="Arial" w:cs="Arial"/>
          <w:b w:val="0"/>
          <w:bCs/>
          <w:caps w:val="0"/>
          <w:szCs w:val="22"/>
          <w:lang w:val="id-ID"/>
        </w:rPr>
        <w:t>A</w:t>
      </w:r>
      <w:r w:rsidRPr="00F1792F">
        <w:rPr>
          <w:rFonts w:ascii="Arial" w:hAnsi="Arial" w:cs="Arial"/>
          <w:b w:val="0"/>
          <w:bCs/>
          <w:caps w:val="0"/>
          <w:szCs w:val="22"/>
          <w:lang w:val="id-ID"/>
        </w:rPr>
        <w:t>author(s) hereby declare that</w:t>
      </w:r>
      <w:r>
        <w:rPr>
          <w:rFonts w:ascii="Arial" w:hAnsi="Arial" w:cs="Arial"/>
          <w:b w:val="0"/>
          <w:bCs/>
          <w:caps w:val="0"/>
          <w:szCs w:val="22"/>
          <w:lang w:val="id-ID"/>
        </w:rPr>
        <w:t xml:space="preserve"> </w:t>
      </w:r>
      <w:r w:rsidR="00FA790F">
        <w:rPr>
          <w:rFonts w:ascii="Arial" w:hAnsi="Arial" w:cs="Arial"/>
          <w:b w:val="0"/>
          <w:bCs/>
          <w:caps w:val="0"/>
          <w:szCs w:val="22"/>
          <w:lang w:val="id-ID"/>
        </w:rPr>
        <w:t>t</w:t>
      </w:r>
      <w:r w:rsidR="00FA790F" w:rsidRPr="00FA790F">
        <w:rPr>
          <w:rFonts w:ascii="Arial" w:hAnsi="Arial" w:cs="Arial"/>
          <w:b w:val="0"/>
          <w:bCs/>
          <w:caps w:val="0"/>
          <w:szCs w:val="22"/>
        </w:rPr>
        <w:t>he initial manuscript was composed in Indonesian by the authors without the use of Artificial Intelligence. The English version was generated via Google Translate and subsequently polished for grammar and linguistic quality using Grammarly.</w:t>
      </w:r>
      <w:r w:rsidR="00FA790F" w:rsidRPr="00FA790F">
        <w:rPr>
          <w:rFonts w:ascii="Arial" w:hAnsi="Arial" w:cs="Arial"/>
          <w:bCs/>
          <w:caps w:val="0"/>
          <w:szCs w:val="22"/>
          <w:lang w:val="id-ID"/>
        </w:rPr>
        <w:t xml:space="preserve"> </w:t>
      </w:r>
    </w:p>
    <w:p w14:paraId="6F9B9094" w14:textId="77777777" w:rsidR="00315186" w:rsidRPr="00BC57F0" w:rsidRDefault="00315186" w:rsidP="00441B6F">
      <w:pPr>
        <w:rPr>
          <w:rFonts w:ascii="Arial" w:hAnsi="Arial" w:cs="Arial"/>
          <w:sz w:val="22"/>
          <w:szCs w:val="22"/>
        </w:rPr>
      </w:pPr>
    </w:p>
    <w:p w14:paraId="5D197D0F" w14:textId="77777777" w:rsidR="00860000" w:rsidRPr="00BC57F0" w:rsidRDefault="00860000" w:rsidP="00441B6F">
      <w:pPr>
        <w:pStyle w:val="ReferHead"/>
        <w:spacing w:after="0"/>
        <w:jc w:val="both"/>
        <w:rPr>
          <w:rFonts w:ascii="Arial" w:hAnsi="Arial" w:cs="Arial"/>
          <w:bCs/>
          <w:szCs w:val="22"/>
        </w:rPr>
      </w:pPr>
      <w:r w:rsidRPr="00BC57F0">
        <w:rPr>
          <w:rFonts w:ascii="Arial" w:hAnsi="Arial" w:cs="Arial"/>
          <w:bCs/>
          <w:szCs w:val="22"/>
        </w:rPr>
        <w:t>Competing interests</w:t>
      </w:r>
    </w:p>
    <w:p w14:paraId="35DF855C" w14:textId="77777777" w:rsidR="00860000" w:rsidRPr="00BC57F0" w:rsidRDefault="00860000" w:rsidP="00441B6F">
      <w:pPr>
        <w:pStyle w:val="ReferHead"/>
        <w:spacing w:after="0"/>
        <w:jc w:val="both"/>
        <w:rPr>
          <w:rFonts w:ascii="Arial" w:hAnsi="Arial" w:cs="Arial"/>
          <w:szCs w:val="22"/>
        </w:rPr>
      </w:pPr>
    </w:p>
    <w:p w14:paraId="5B0BFD40" w14:textId="038F789E" w:rsidR="00860000" w:rsidRDefault="00F1792F" w:rsidP="00F1792F">
      <w:pPr>
        <w:pStyle w:val="ReferHead"/>
        <w:jc w:val="both"/>
        <w:rPr>
          <w:rFonts w:ascii="Arial" w:hAnsi="Arial" w:cs="Arial"/>
          <w:b w:val="0"/>
          <w:caps w:val="0"/>
          <w:szCs w:val="22"/>
        </w:rPr>
      </w:pPr>
      <w:r w:rsidRPr="00F1792F">
        <w:rPr>
          <w:rFonts w:ascii="Arial" w:hAnsi="Arial" w:cs="Arial"/>
          <w:b w:val="0"/>
          <w:caps w:val="0"/>
          <w:szCs w:val="22"/>
        </w:rPr>
        <w:t>Authors have declared that no competing interests exist.</w:t>
      </w:r>
    </w:p>
    <w:p w14:paraId="72BCD1A0" w14:textId="77777777" w:rsidR="00EE4EAC" w:rsidRDefault="00EE4EAC" w:rsidP="00F1792F">
      <w:pPr>
        <w:pStyle w:val="ReferHead"/>
        <w:jc w:val="both"/>
        <w:rPr>
          <w:rFonts w:ascii="Arial" w:hAnsi="Arial" w:cs="Arial"/>
          <w:b w:val="0"/>
          <w:caps w:val="0"/>
          <w:szCs w:val="22"/>
        </w:rPr>
      </w:pPr>
    </w:p>
    <w:p w14:paraId="0F3FA624" w14:textId="77777777" w:rsidR="00B01FCD" w:rsidRPr="00BC57F0" w:rsidRDefault="00B01FCD" w:rsidP="00441B6F">
      <w:pPr>
        <w:pStyle w:val="ReferHead"/>
        <w:spacing w:after="0"/>
        <w:jc w:val="both"/>
        <w:rPr>
          <w:rFonts w:ascii="Arial" w:hAnsi="Arial" w:cs="Arial"/>
          <w:szCs w:val="22"/>
        </w:rPr>
      </w:pPr>
      <w:r w:rsidRPr="00BC57F0">
        <w:rPr>
          <w:rFonts w:ascii="Arial" w:hAnsi="Arial" w:cs="Arial"/>
          <w:szCs w:val="22"/>
        </w:rPr>
        <w:t>References</w:t>
      </w:r>
    </w:p>
    <w:p w14:paraId="17D55F10" w14:textId="77777777" w:rsidR="00790ADA" w:rsidRPr="00BC57F0" w:rsidRDefault="00790ADA" w:rsidP="00441B6F">
      <w:pPr>
        <w:pStyle w:val="ReferHead"/>
        <w:spacing w:after="0"/>
        <w:jc w:val="both"/>
        <w:rPr>
          <w:rFonts w:ascii="Arial" w:hAnsi="Arial" w:cs="Arial"/>
          <w:szCs w:val="22"/>
        </w:rPr>
      </w:pPr>
    </w:p>
    <w:p w14:paraId="3D4853C3" w14:textId="55F5842B" w:rsidR="00C27834" w:rsidRPr="00295473" w:rsidRDefault="004F149E" w:rsidP="00C27834">
      <w:pPr>
        <w:pStyle w:val="NormalWeb"/>
        <w:spacing w:beforeAutospacing="0" w:afterAutospacing="0" w:line="360" w:lineRule="auto"/>
        <w:ind w:left="365" w:hangingChars="166" w:hanging="365"/>
        <w:jc w:val="both"/>
        <w:rPr>
          <w:rFonts w:ascii="Arial" w:hAnsi="Arial" w:cs="Arial"/>
          <w:sz w:val="22"/>
          <w:szCs w:val="22"/>
        </w:rPr>
      </w:pPr>
      <w:r w:rsidRPr="004F149E">
        <w:rPr>
          <w:rFonts w:ascii="Arial" w:hAnsi="Arial" w:cs="Arial"/>
          <w:sz w:val="22"/>
          <w:szCs w:val="22"/>
        </w:rPr>
        <w:t>Adipa, S. M., &amp; Jimmy, A. (2025). Equal Distribution of Catholic Religious Education Teachers in 3T Regions: The Strategic Role of Catholic Religious Institutions in Central Kalimantan. Sepakat</w:t>
      </w:r>
      <w:r w:rsidRPr="001B6E99">
        <w:rPr>
          <w:rFonts w:ascii="Arial" w:hAnsi="Arial" w:cs="Arial"/>
          <w:i/>
          <w:iCs/>
          <w:sz w:val="22"/>
          <w:szCs w:val="22"/>
        </w:rPr>
        <w:t>: Journal of Pastoral Catechetics</w:t>
      </w:r>
      <w:r w:rsidRPr="004F149E">
        <w:rPr>
          <w:rFonts w:ascii="Arial" w:hAnsi="Arial" w:cs="Arial"/>
          <w:sz w:val="22"/>
          <w:szCs w:val="22"/>
        </w:rPr>
        <w:t>, 11(2), 116-137.</w:t>
      </w:r>
      <w:r w:rsidR="00C27834" w:rsidRPr="00295473">
        <w:rPr>
          <w:rFonts w:ascii="Arial" w:hAnsi="Arial" w:cs="Arial"/>
          <w:sz w:val="22"/>
          <w:szCs w:val="22"/>
        </w:rPr>
        <w:t xml:space="preserve">: </w:t>
      </w:r>
      <w:hyperlink r:id="rId14" w:history="1">
        <w:r w:rsidR="00C27834" w:rsidRPr="00295473">
          <w:rPr>
            <w:rStyle w:val="Hyperlink"/>
            <w:rFonts w:ascii="Arial" w:hAnsi="Arial" w:cs="Arial"/>
            <w:color w:val="002060"/>
            <w:sz w:val="22"/>
            <w:szCs w:val="22"/>
          </w:rPr>
          <w:t>https://10.58374/sep</w:t>
        </w:r>
        <w:r w:rsidR="00C27834" w:rsidRPr="00295473">
          <w:rPr>
            <w:rStyle w:val="Hyperlink"/>
            <w:rFonts w:ascii="Arial" w:hAnsi="Arial" w:cs="Arial"/>
            <w:color w:val="002060"/>
            <w:sz w:val="22"/>
            <w:szCs w:val="22"/>
          </w:rPr>
          <w:t>a</w:t>
        </w:r>
        <w:r w:rsidR="00C27834" w:rsidRPr="00295473">
          <w:rPr>
            <w:rStyle w:val="Hyperlink"/>
            <w:rFonts w:ascii="Arial" w:hAnsi="Arial" w:cs="Arial"/>
            <w:color w:val="002060"/>
            <w:sz w:val="22"/>
            <w:szCs w:val="22"/>
          </w:rPr>
          <w:t>kat.v11i2.445</w:t>
        </w:r>
      </w:hyperlink>
    </w:p>
    <w:p w14:paraId="74EF9042" w14:textId="257E2040" w:rsidR="0076214E" w:rsidRPr="0076214E" w:rsidRDefault="00C27834" w:rsidP="0076214E">
      <w:pPr>
        <w:pStyle w:val="NormalWeb"/>
        <w:spacing w:beforeAutospacing="0" w:afterAutospacing="0" w:line="360" w:lineRule="auto"/>
        <w:ind w:left="365" w:hangingChars="166" w:hanging="365"/>
        <w:jc w:val="both"/>
      </w:pPr>
      <w:r w:rsidRPr="00295473">
        <w:rPr>
          <w:rFonts w:ascii="Arial" w:hAnsi="Arial" w:cs="Arial"/>
          <w:sz w:val="22"/>
          <w:szCs w:val="22"/>
        </w:rPr>
        <w:lastRenderedPageBreak/>
        <w:t>Aisyah, S. N., &amp; Yuswono, I. (2025). Job Satisfaction of Private Teachers: The Role of Compensation, Work Environment, and Motivation from a Two-Factor Theory Perspective. </w:t>
      </w:r>
      <w:r w:rsidRPr="00295473">
        <w:rPr>
          <w:rFonts w:ascii="Arial" w:hAnsi="Arial" w:cs="Arial"/>
          <w:i/>
          <w:iCs/>
          <w:sz w:val="22"/>
          <w:szCs w:val="22"/>
        </w:rPr>
        <w:t>Maneggio</w:t>
      </w:r>
      <w:r w:rsidRPr="00295473">
        <w:rPr>
          <w:rFonts w:ascii="Arial" w:hAnsi="Arial" w:cs="Arial"/>
          <w:sz w:val="22"/>
          <w:szCs w:val="22"/>
        </w:rPr>
        <w:t>, </w:t>
      </w:r>
      <w:r w:rsidRPr="00295473">
        <w:rPr>
          <w:rFonts w:ascii="Arial" w:hAnsi="Arial" w:cs="Arial"/>
          <w:i/>
          <w:iCs/>
          <w:sz w:val="22"/>
          <w:szCs w:val="22"/>
        </w:rPr>
        <w:t>2</w:t>
      </w:r>
      <w:r w:rsidRPr="00295473">
        <w:rPr>
          <w:rFonts w:ascii="Arial" w:hAnsi="Arial" w:cs="Arial"/>
          <w:sz w:val="22"/>
          <w:szCs w:val="22"/>
        </w:rPr>
        <w:t>(5), 43-56.</w:t>
      </w:r>
      <w:r w:rsidRPr="00DB51AA">
        <w:rPr>
          <w:rFonts w:ascii="Arial" w:hAnsi="Arial" w:cs="Arial"/>
          <w:color w:val="002060"/>
          <w:sz w:val="22"/>
          <w:szCs w:val="22"/>
        </w:rPr>
        <w:t xml:space="preserve"> </w:t>
      </w:r>
      <w:hyperlink r:id="rId15" w:history="1">
        <w:r w:rsidRPr="00DB51AA">
          <w:rPr>
            <w:rStyle w:val="Hyperlink"/>
            <w:rFonts w:ascii="Arial" w:hAnsi="Arial" w:cs="Arial"/>
            <w:color w:val="002060"/>
            <w:sz w:val="22"/>
            <w:szCs w:val="22"/>
          </w:rPr>
          <w:t>https://doi.org/10.62872/6wf</w:t>
        </w:r>
        <w:r w:rsidRPr="00DB51AA">
          <w:rPr>
            <w:rStyle w:val="Hyperlink"/>
            <w:rFonts w:ascii="Arial" w:hAnsi="Arial" w:cs="Arial"/>
            <w:color w:val="002060"/>
            <w:sz w:val="22"/>
            <w:szCs w:val="22"/>
          </w:rPr>
          <w:t>5</w:t>
        </w:r>
        <w:r w:rsidRPr="00DB51AA">
          <w:rPr>
            <w:rStyle w:val="Hyperlink"/>
            <w:rFonts w:ascii="Arial" w:hAnsi="Arial" w:cs="Arial"/>
            <w:color w:val="002060"/>
            <w:sz w:val="22"/>
            <w:szCs w:val="22"/>
          </w:rPr>
          <w:t>h908</w:t>
        </w:r>
      </w:hyperlink>
    </w:p>
    <w:p w14:paraId="263D3021" w14:textId="54C78786"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r w:rsidRPr="00295473">
        <w:rPr>
          <w:rFonts w:ascii="Arial" w:hAnsi="Arial" w:cs="Arial"/>
          <w:sz w:val="22"/>
          <w:szCs w:val="22"/>
        </w:rPr>
        <w:t>Amin, F. (2024). Innovative approaches to addressing educational inequities lessons from Indonesia's remote learning programs. </w:t>
      </w:r>
      <w:r w:rsidRPr="00295473">
        <w:rPr>
          <w:rFonts w:ascii="Arial" w:hAnsi="Arial" w:cs="Arial"/>
          <w:i/>
          <w:iCs/>
          <w:sz w:val="22"/>
          <w:szCs w:val="22"/>
        </w:rPr>
        <w:t>Indonesian Journal of Studies on Humanities, Social Sciences and Education</w:t>
      </w:r>
      <w:r w:rsidRPr="00295473">
        <w:rPr>
          <w:rFonts w:ascii="Arial" w:hAnsi="Arial" w:cs="Arial"/>
          <w:sz w:val="22"/>
          <w:szCs w:val="22"/>
        </w:rPr>
        <w:t>, </w:t>
      </w:r>
      <w:r w:rsidRPr="00295473">
        <w:rPr>
          <w:rFonts w:ascii="Arial" w:hAnsi="Arial" w:cs="Arial"/>
          <w:i/>
          <w:iCs/>
          <w:sz w:val="22"/>
          <w:szCs w:val="22"/>
        </w:rPr>
        <w:t>1</w:t>
      </w:r>
      <w:r w:rsidRPr="00295473">
        <w:rPr>
          <w:rFonts w:ascii="Arial" w:hAnsi="Arial" w:cs="Arial"/>
          <w:sz w:val="22"/>
          <w:szCs w:val="22"/>
        </w:rPr>
        <w:t>(2), 93-109.</w:t>
      </w:r>
      <w:r>
        <w:rPr>
          <w:rFonts w:ascii="Arial" w:hAnsi="Arial" w:cs="Arial"/>
          <w:sz w:val="22"/>
          <w:szCs w:val="22"/>
        </w:rPr>
        <w:t xml:space="preserve"> </w:t>
      </w:r>
      <w:hyperlink r:id="rId16" w:history="1">
        <w:r w:rsidR="0076214E" w:rsidRPr="00DA3A25">
          <w:rPr>
            <w:rStyle w:val="Hyperlink"/>
            <w:rFonts w:ascii="Arial" w:hAnsi="Arial" w:cs="Arial"/>
            <w:sz w:val="22"/>
            <w:szCs w:val="22"/>
          </w:rPr>
          <w:t>https://doi.org/10.54783/k9rk</w:t>
        </w:r>
        <w:r w:rsidR="0076214E" w:rsidRPr="00DA3A25">
          <w:rPr>
            <w:rStyle w:val="Hyperlink"/>
            <w:rFonts w:ascii="Arial" w:hAnsi="Arial" w:cs="Arial"/>
            <w:sz w:val="22"/>
            <w:szCs w:val="22"/>
          </w:rPr>
          <w:t>z</w:t>
        </w:r>
        <w:r w:rsidR="0076214E" w:rsidRPr="00DA3A25">
          <w:rPr>
            <w:rStyle w:val="Hyperlink"/>
            <w:rFonts w:ascii="Arial" w:hAnsi="Arial" w:cs="Arial"/>
            <w:sz w:val="22"/>
            <w:szCs w:val="22"/>
          </w:rPr>
          <w:t>045</w:t>
        </w:r>
      </w:hyperlink>
    </w:p>
    <w:p w14:paraId="146C274D"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Arifyani, D., &amp; Khoirunurrofik, K. (2021). Education Sector Performance in the Frontier, Outermost and Least Developed (3T) and Non-3T Regions: The Role of the Specific Allocation Fund (DAK) in the Education Sector. </w:t>
      </w:r>
      <w:r w:rsidRPr="00295473">
        <w:rPr>
          <w:rFonts w:ascii="Arial" w:hAnsi="Arial" w:cs="Arial"/>
          <w:i/>
          <w:iCs/>
          <w:sz w:val="22"/>
          <w:szCs w:val="22"/>
        </w:rPr>
        <w:t>Kajian Ekonomi dan Keuangan</w:t>
      </w:r>
      <w:r w:rsidRPr="00295473">
        <w:rPr>
          <w:rFonts w:ascii="Arial" w:hAnsi="Arial" w:cs="Arial"/>
          <w:sz w:val="22"/>
          <w:szCs w:val="22"/>
        </w:rPr>
        <w:t>, </w:t>
      </w:r>
      <w:r w:rsidRPr="00295473">
        <w:rPr>
          <w:rFonts w:ascii="Arial" w:hAnsi="Arial" w:cs="Arial"/>
          <w:i/>
          <w:iCs/>
          <w:sz w:val="22"/>
          <w:szCs w:val="22"/>
        </w:rPr>
        <w:t>5</w:t>
      </w:r>
      <w:r w:rsidRPr="00295473">
        <w:rPr>
          <w:rFonts w:ascii="Arial" w:hAnsi="Arial" w:cs="Arial"/>
          <w:sz w:val="22"/>
          <w:szCs w:val="22"/>
        </w:rPr>
        <w:t>(3), 246-256.</w:t>
      </w:r>
      <w:r>
        <w:rPr>
          <w:rFonts w:ascii="Arial" w:hAnsi="Arial" w:cs="Arial"/>
          <w:sz w:val="22"/>
          <w:szCs w:val="22"/>
        </w:rPr>
        <w:t xml:space="preserve"> </w:t>
      </w:r>
      <w:hyperlink r:id="rId17" w:history="1">
        <w:r w:rsidRPr="00DB51AA">
          <w:rPr>
            <w:rStyle w:val="Hyperlink"/>
            <w:rFonts w:ascii="Arial" w:hAnsi="Arial" w:cs="Arial"/>
            <w:color w:val="002060"/>
            <w:sz w:val="22"/>
            <w:szCs w:val="22"/>
          </w:rPr>
          <w:t>http</w:t>
        </w:r>
        <w:r w:rsidRPr="00DB51AA">
          <w:rPr>
            <w:rStyle w:val="Hyperlink"/>
            <w:rFonts w:ascii="Arial" w:hAnsi="Arial" w:cs="Arial"/>
            <w:color w:val="002060"/>
            <w:sz w:val="22"/>
            <w:szCs w:val="22"/>
          </w:rPr>
          <w:t>s</w:t>
        </w:r>
        <w:r w:rsidRPr="00DB51AA">
          <w:rPr>
            <w:rStyle w:val="Hyperlink"/>
            <w:rFonts w:ascii="Arial" w:hAnsi="Arial" w:cs="Arial"/>
            <w:color w:val="002060"/>
            <w:sz w:val="22"/>
            <w:szCs w:val="22"/>
          </w:rPr>
          <w:t>://doi.org/10.31685/kpxsfs85</w:t>
        </w:r>
      </w:hyperlink>
    </w:p>
    <w:p w14:paraId="142C6920" w14:textId="77777777" w:rsidR="00C27834" w:rsidRPr="00DB51AA"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i/>
          <w:iCs/>
          <w:sz w:val="22"/>
          <w:szCs w:val="22"/>
        </w:rPr>
        <w:t>Arthur, L., &amp; Bradley, S. (2023). Teacher retention in challenging schools: Please don’t say goodbye!. Teachers and Teaching, 29(7-8), 753-771.</w:t>
      </w:r>
      <w:r>
        <w:rPr>
          <w:rFonts w:ascii="Arial" w:hAnsi="Arial" w:cs="Arial"/>
          <w:i/>
          <w:iCs/>
          <w:sz w:val="22"/>
          <w:szCs w:val="22"/>
        </w:rPr>
        <w:t xml:space="preserve"> </w:t>
      </w:r>
      <w:hyperlink r:id="rId18" w:history="1">
        <w:r w:rsidRPr="00DB51AA">
          <w:rPr>
            <w:rStyle w:val="Hyperlink"/>
            <w:rFonts w:ascii="Arial" w:hAnsi="Arial" w:cs="Arial"/>
            <w:color w:val="002060"/>
            <w:sz w:val="22"/>
            <w:szCs w:val="22"/>
            <w:lang w:val="id-ID"/>
          </w:rPr>
          <w:t>https://doi.org/10.1080/1</w:t>
        </w:r>
        <w:r w:rsidRPr="00DB51AA">
          <w:rPr>
            <w:rStyle w:val="Hyperlink"/>
            <w:rFonts w:ascii="Arial" w:hAnsi="Arial" w:cs="Arial"/>
            <w:color w:val="002060"/>
            <w:sz w:val="22"/>
            <w:szCs w:val="22"/>
            <w:lang w:val="id-ID"/>
          </w:rPr>
          <w:t>3</w:t>
        </w:r>
        <w:r w:rsidRPr="00DB51AA">
          <w:rPr>
            <w:rStyle w:val="Hyperlink"/>
            <w:rFonts w:ascii="Arial" w:hAnsi="Arial" w:cs="Arial"/>
            <w:color w:val="002060"/>
            <w:sz w:val="22"/>
            <w:szCs w:val="22"/>
            <w:lang w:val="id-ID"/>
          </w:rPr>
          <w:t>540602.2023.2201423</w:t>
        </w:r>
      </w:hyperlink>
    </w:p>
    <w:p w14:paraId="06C9B44A"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Asim, S., Chimombo, J. P., Chugunov, D., &amp; Gera, R. M. C. (2017). Moving teachers to Malawi's remote communities: a data-driven approach to teacher deployment. </w:t>
      </w:r>
      <w:r w:rsidRPr="00295473">
        <w:rPr>
          <w:rFonts w:ascii="Arial" w:hAnsi="Arial" w:cs="Arial"/>
          <w:i/>
          <w:iCs/>
          <w:sz w:val="22"/>
          <w:szCs w:val="22"/>
        </w:rPr>
        <w:t>World Bank Policy Research Working Paper</w:t>
      </w:r>
      <w:r w:rsidRPr="00295473">
        <w:rPr>
          <w:rFonts w:ascii="Arial" w:hAnsi="Arial" w:cs="Arial"/>
          <w:sz w:val="22"/>
          <w:szCs w:val="22"/>
        </w:rPr>
        <w:t xml:space="preserve">, (8253). </w:t>
      </w:r>
      <w:hyperlink r:id="rId19" w:history="1">
        <w:r w:rsidRPr="00DB51AA">
          <w:rPr>
            <w:rStyle w:val="Hyperlink"/>
            <w:rFonts w:ascii="Arial" w:hAnsi="Arial" w:cs="Arial"/>
            <w:color w:val="002060"/>
            <w:sz w:val="22"/>
            <w:szCs w:val="22"/>
          </w:rPr>
          <w:t>https://doi.org/10.1596/1813-94</w:t>
        </w:r>
        <w:r w:rsidRPr="00DB51AA">
          <w:rPr>
            <w:rStyle w:val="Hyperlink"/>
            <w:rFonts w:ascii="Arial" w:hAnsi="Arial" w:cs="Arial"/>
            <w:color w:val="002060"/>
            <w:sz w:val="22"/>
            <w:szCs w:val="22"/>
          </w:rPr>
          <w:t>5</w:t>
        </w:r>
        <w:r w:rsidRPr="00DB51AA">
          <w:rPr>
            <w:rStyle w:val="Hyperlink"/>
            <w:rFonts w:ascii="Arial" w:hAnsi="Arial" w:cs="Arial"/>
            <w:color w:val="002060"/>
            <w:sz w:val="22"/>
            <w:szCs w:val="22"/>
          </w:rPr>
          <w:t>0-8253</w:t>
        </w:r>
      </w:hyperlink>
    </w:p>
    <w:p w14:paraId="03162F30" w14:textId="04FD3CBD"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r w:rsidRPr="00295473">
        <w:rPr>
          <w:rFonts w:ascii="Arial" w:hAnsi="Arial" w:cs="Arial"/>
          <w:sz w:val="22"/>
          <w:szCs w:val="22"/>
        </w:rPr>
        <w:t>Bano, M., &amp; Dyonisius, D. (2023). Community-responsive education policies and the question of optimality: Decentralisation and district-level variation in policy adoption and implementation in Indonesia.</w:t>
      </w:r>
      <w:r w:rsidRPr="00DB51AA">
        <w:rPr>
          <w:rFonts w:ascii="Arial" w:hAnsi="Arial" w:cs="Arial"/>
          <w:color w:val="002060"/>
          <w:sz w:val="22"/>
          <w:szCs w:val="22"/>
        </w:rPr>
        <w:t> </w:t>
      </w:r>
      <w:hyperlink r:id="rId20" w:history="1">
        <w:r w:rsidR="0076214E" w:rsidRPr="00DA3A25">
          <w:rPr>
            <w:rStyle w:val="Hyperlink"/>
            <w:rFonts w:ascii="Arial" w:hAnsi="Arial" w:cs="Arial"/>
            <w:sz w:val="22"/>
            <w:szCs w:val="22"/>
          </w:rPr>
          <w:t>https://doi.org/10.35489/BSG-RISE-WP_2022/1</w:t>
        </w:r>
        <w:r w:rsidR="0076214E" w:rsidRPr="00DA3A25">
          <w:rPr>
            <w:rStyle w:val="Hyperlink"/>
            <w:rFonts w:ascii="Arial" w:hAnsi="Arial" w:cs="Arial"/>
            <w:sz w:val="22"/>
            <w:szCs w:val="22"/>
          </w:rPr>
          <w:t>0</w:t>
        </w:r>
        <w:r w:rsidR="0076214E" w:rsidRPr="00DA3A25">
          <w:rPr>
            <w:rStyle w:val="Hyperlink"/>
            <w:rFonts w:ascii="Arial" w:hAnsi="Arial" w:cs="Arial"/>
            <w:sz w:val="22"/>
            <w:szCs w:val="22"/>
          </w:rPr>
          <w:t>8</w:t>
        </w:r>
      </w:hyperlink>
    </w:p>
    <w:p w14:paraId="051CEFAD"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Brewis, L. E. J. (2019). </w:t>
      </w:r>
      <w:r w:rsidRPr="00295473">
        <w:rPr>
          <w:rFonts w:ascii="Arial" w:hAnsi="Arial" w:cs="Arial"/>
          <w:i/>
          <w:iCs/>
          <w:sz w:val="22"/>
          <w:szCs w:val="22"/>
        </w:rPr>
        <w:t>Accountability of quality and fair access in Indonesian higher education: policymaker and practitioner perspectives</w:t>
      </w:r>
      <w:r w:rsidRPr="00295473">
        <w:rPr>
          <w:rFonts w:ascii="Arial" w:hAnsi="Arial" w:cs="Arial"/>
          <w:sz w:val="22"/>
          <w:szCs w:val="22"/>
        </w:rPr>
        <w:t xml:space="preserve"> ((Doctoral dissertation, UCL (University College London)). </w:t>
      </w:r>
    </w:p>
    <w:p w14:paraId="34DAB06E" w14:textId="44AF3AF0" w:rsidR="0076214E" w:rsidRPr="00951549" w:rsidRDefault="00C27834" w:rsidP="0076214E">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Brooks, C., &amp; Perryman, J. (2024). Teacher recruitment policies: Accelerating issues of spatial justice in England. </w:t>
      </w:r>
      <w:r w:rsidRPr="00295473">
        <w:rPr>
          <w:rFonts w:ascii="Arial" w:hAnsi="Arial" w:cs="Arial"/>
          <w:i/>
          <w:iCs/>
          <w:sz w:val="22"/>
          <w:szCs w:val="22"/>
        </w:rPr>
        <w:t>Asia-Pacific Journal of Teacher Education</w:t>
      </w:r>
      <w:r w:rsidRPr="00295473">
        <w:rPr>
          <w:rFonts w:ascii="Arial" w:hAnsi="Arial" w:cs="Arial"/>
          <w:sz w:val="22"/>
          <w:szCs w:val="22"/>
        </w:rPr>
        <w:t>, </w:t>
      </w:r>
      <w:r w:rsidRPr="00295473">
        <w:rPr>
          <w:rFonts w:ascii="Arial" w:hAnsi="Arial" w:cs="Arial"/>
          <w:i/>
          <w:iCs/>
          <w:sz w:val="22"/>
          <w:szCs w:val="22"/>
        </w:rPr>
        <w:t>52</w:t>
      </w:r>
      <w:r w:rsidRPr="00295473">
        <w:rPr>
          <w:rFonts w:ascii="Arial" w:hAnsi="Arial" w:cs="Arial"/>
          <w:sz w:val="22"/>
          <w:szCs w:val="22"/>
        </w:rPr>
        <w:t xml:space="preserve">(3), 301-315. </w:t>
      </w:r>
      <w:hyperlink r:id="rId21" w:history="1">
        <w:r w:rsidRPr="00951549">
          <w:rPr>
            <w:rStyle w:val="Hyperlink"/>
            <w:rFonts w:ascii="Arial" w:hAnsi="Arial" w:cs="Arial"/>
            <w:color w:val="002060"/>
            <w:sz w:val="22"/>
            <w:szCs w:val="22"/>
            <w:lang w:val="id-ID"/>
          </w:rPr>
          <w:t>https://doi.org/10.1080/1359866X.2024.2324</w:t>
        </w:r>
        <w:r w:rsidRPr="00951549">
          <w:rPr>
            <w:rStyle w:val="Hyperlink"/>
            <w:rFonts w:ascii="Arial" w:hAnsi="Arial" w:cs="Arial"/>
            <w:color w:val="002060"/>
            <w:sz w:val="22"/>
            <w:szCs w:val="22"/>
            <w:lang w:val="id-ID"/>
          </w:rPr>
          <w:t>3</w:t>
        </w:r>
        <w:r w:rsidRPr="00951549">
          <w:rPr>
            <w:rStyle w:val="Hyperlink"/>
            <w:rFonts w:ascii="Arial" w:hAnsi="Arial" w:cs="Arial"/>
            <w:color w:val="002060"/>
            <w:sz w:val="22"/>
            <w:szCs w:val="22"/>
            <w:lang w:val="id-ID"/>
          </w:rPr>
          <w:t>52</w:t>
        </w:r>
      </w:hyperlink>
    </w:p>
    <w:p w14:paraId="63EF8C9F" w14:textId="78DAA834"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Castro, A. J. (2023). Managing competing demands in a teacher shortage context: The impact of teacher shortages on principal leadership practices. </w:t>
      </w:r>
      <w:r w:rsidRPr="00295473">
        <w:rPr>
          <w:rFonts w:ascii="Arial" w:hAnsi="Arial" w:cs="Arial"/>
          <w:i/>
          <w:iCs/>
          <w:sz w:val="22"/>
          <w:szCs w:val="22"/>
        </w:rPr>
        <w:t>Educational Administration Quarterly</w:t>
      </w:r>
      <w:r w:rsidRPr="00295473">
        <w:rPr>
          <w:rFonts w:ascii="Arial" w:hAnsi="Arial" w:cs="Arial"/>
          <w:sz w:val="22"/>
          <w:szCs w:val="22"/>
        </w:rPr>
        <w:t>, </w:t>
      </w:r>
      <w:r w:rsidRPr="00295473">
        <w:rPr>
          <w:rFonts w:ascii="Arial" w:hAnsi="Arial" w:cs="Arial"/>
          <w:i/>
          <w:iCs/>
          <w:sz w:val="22"/>
          <w:szCs w:val="22"/>
        </w:rPr>
        <w:t>59</w:t>
      </w:r>
      <w:r w:rsidRPr="00295473">
        <w:rPr>
          <w:rFonts w:ascii="Arial" w:hAnsi="Arial" w:cs="Arial"/>
          <w:sz w:val="22"/>
          <w:szCs w:val="22"/>
        </w:rPr>
        <w:t xml:space="preserve">(1), 218-250. </w:t>
      </w:r>
      <w:hyperlink r:id="rId22" w:history="1">
        <w:r w:rsidR="0076214E" w:rsidRPr="0076214E">
          <w:rPr>
            <w:rStyle w:val="Hyperlink"/>
            <w:rFonts w:ascii="Arial" w:hAnsi="Arial" w:cs="Arial"/>
            <w:sz w:val="22"/>
            <w:szCs w:val="22"/>
            <w:highlight w:val="yellow"/>
          </w:rPr>
          <w:t>https://doi.org/</w:t>
        </w:r>
        <w:r w:rsidR="0076214E" w:rsidRPr="00DA3A25">
          <w:rPr>
            <w:rStyle w:val="Hyperlink"/>
            <w:rFonts w:ascii="Arial" w:hAnsi="Arial" w:cs="Arial"/>
            <w:sz w:val="22"/>
            <w:szCs w:val="22"/>
          </w:rPr>
          <w:t>10.1177/0013161X221140849</w:t>
        </w:r>
      </w:hyperlink>
    </w:p>
    <w:p w14:paraId="77F28926" w14:textId="150DFE1E"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lastRenderedPageBreak/>
        <w:t>Crescenzi, R., &amp; Rodríguez-Pose, A. (2011). Reconciling top-down and bottom-up development policies. </w:t>
      </w:r>
      <w:r w:rsidRPr="00295473">
        <w:rPr>
          <w:rFonts w:ascii="Arial" w:hAnsi="Arial" w:cs="Arial"/>
          <w:i/>
          <w:iCs/>
          <w:sz w:val="22"/>
          <w:szCs w:val="22"/>
        </w:rPr>
        <w:t>Environment and planning A</w:t>
      </w:r>
      <w:r w:rsidRPr="00295473">
        <w:rPr>
          <w:rFonts w:ascii="Arial" w:hAnsi="Arial" w:cs="Arial"/>
          <w:sz w:val="22"/>
          <w:szCs w:val="22"/>
        </w:rPr>
        <w:t>, </w:t>
      </w:r>
      <w:r w:rsidRPr="00295473">
        <w:rPr>
          <w:rFonts w:ascii="Arial" w:hAnsi="Arial" w:cs="Arial"/>
          <w:i/>
          <w:iCs/>
          <w:sz w:val="22"/>
          <w:szCs w:val="22"/>
        </w:rPr>
        <w:t>43</w:t>
      </w:r>
      <w:r w:rsidRPr="00295473">
        <w:rPr>
          <w:rFonts w:ascii="Arial" w:hAnsi="Arial" w:cs="Arial"/>
          <w:sz w:val="22"/>
          <w:szCs w:val="22"/>
        </w:rPr>
        <w:t>(4), 773-780.</w:t>
      </w:r>
      <w:r>
        <w:rPr>
          <w:rFonts w:ascii="Arial" w:hAnsi="Arial" w:cs="Arial"/>
          <w:sz w:val="22"/>
          <w:szCs w:val="22"/>
        </w:rPr>
        <w:t xml:space="preserve"> </w:t>
      </w:r>
      <w:hyperlink r:id="rId23" w:history="1">
        <w:r w:rsidR="0066595C" w:rsidRPr="0066595C">
          <w:rPr>
            <w:rStyle w:val="Hyperlink"/>
            <w:rFonts w:ascii="Arial" w:hAnsi="Arial" w:cs="Arial"/>
            <w:sz w:val="22"/>
            <w:szCs w:val="22"/>
            <w:highlight w:val="yellow"/>
          </w:rPr>
          <w:t>https://doi.org/</w:t>
        </w:r>
        <w:r w:rsidR="0066595C" w:rsidRPr="00DA3A25">
          <w:rPr>
            <w:rStyle w:val="Hyperlink"/>
            <w:rFonts w:ascii="Arial" w:hAnsi="Arial" w:cs="Arial"/>
            <w:sz w:val="22"/>
            <w:szCs w:val="22"/>
          </w:rPr>
          <w:t>10.1068/a4</w:t>
        </w:r>
        <w:r w:rsidR="0066595C" w:rsidRPr="00DA3A25">
          <w:rPr>
            <w:rStyle w:val="Hyperlink"/>
            <w:rFonts w:ascii="Arial" w:hAnsi="Arial" w:cs="Arial"/>
            <w:sz w:val="22"/>
            <w:szCs w:val="22"/>
          </w:rPr>
          <w:t>3</w:t>
        </w:r>
        <w:r w:rsidR="0066595C" w:rsidRPr="00DA3A25">
          <w:rPr>
            <w:rStyle w:val="Hyperlink"/>
            <w:rFonts w:ascii="Arial" w:hAnsi="Arial" w:cs="Arial"/>
            <w:sz w:val="22"/>
            <w:szCs w:val="22"/>
          </w:rPr>
          <w:t>492</w:t>
        </w:r>
      </w:hyperlink>
    </w:p>
    <w:p w14:paraId="2E846B65"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Cholifihani, M., &amp; Septiavin, Q. A. (2025). Implementation of Population Policy Towards Indonesia’s Golden Vision 2045: Strengths and Future Challenges. </w:t>
      </w:r>
      <w:r w:rsidRPr="00295473">
        <w:rPr>
          <w:rFonts w:ascii="Arial" w:hAnsi="Arial" w:cs="Arial"/>
          <w:i/>
          <w:iCs/>
          <w:sz w:val="22"/>
          <w:szCs w:val="22"/>
        </w:rPr>
        <w:t>Neo Journal of economy and social humanities</w:t>
      </w:r>
      <w:r w:rsidRPr="00295473">
        <w:rPr>
          <w:rFonts w:ascii="Arial" w:hAnsi="Arial" w:cs="Arial"/>
          <w:sz w:val="22"/>
          <w:szCs w:val="22"/>
        </w:rPr>
        <w:t>, </w:t>
      </w:r>
      <w:r w:rsidRPr="00295473">
        <w:rPr>
          <w:rFonts w:ascii="Arial" w:hAnsi="Arial" w:cs="Arial"/>
          <w:i/>
          <w:iCs/>
          <w:sz w:val="22"/>
          <w:szCs w:val="22"/>
        </w:rPr>
        <w:t>4</w:t>
      </w:r>
      <w:r w:rsidRPr="00295473">
        <w:rPr>
          <w:rFonts w:ascii="Arial" w:hAnsi="Arial" w:cs="Arial"/>
          <w:sz w:val="22"/>
          <w:szCs w:val="22"/>
        </w:rPr>
        <w:t xml:space="preserve">(4), 671-682. </w:t>
      </w:r>
      <w:hyperlink r:id="rId24" w:history="1">
        <w:r w:rsidRPr="003B26F5">
          <w:rPr>
            <w:rStyle w:val="Hyperlink"/>
            <w:rFonts w:ascii="Arial" w:hAnsi="Arial" w:cs="Arial"/>
            <w:color w:val="002060"/>
            <w:sz w:val="22"/>
            <w:szCs w:val="22"/>
          </w:rPr>
          <w:t>https://doi.org/10.56403/neje</w:t>
        </w:r>
        <w:r w:rsidRPr="003B26F5">
          <w:rPr>
            <w:rStyle w:val="Hyperlink"/>
            <w:rFonts w:ascii="Arial" w:hAnsi="Arial" w:cs="Arial"/>
            <w:color w:val="002060"/>
            <w:sz w:val="22"/>
            <w:szCs w:val="22"/>
          </w:rPr>
          <w:t>s</w:t>
        </w:r>
        <w:r w:rsidRPr="003B26F5">
          <w:rPr>
            <w:rStyle w:val="Hyperlink"/>
            <w:rFonts w:ascii="Arial" w:hAnsi="Arial" w:cs="Arial"/>
            <w:color w:val="002060"/>
            <w:sz w:val="22"/>
            <w:szCs w:val="22"/>
          </w:rPr>
          <w:t>h.v4i4.352</w:t>
        </w:r>
      </w:hyperlink>
    </w:p>
    <w:p w14:paraId="2918CD72"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Chu-Chang, M., Al-Samarrai, S., Shaeffer, S., Ragatz, A. B., De Ree, J., &amp; Stevenson, R. (2013). </w:t>
      </w:r>
      <w:r w:rsidRPr="00295473">
        <w:rPr>
          <w:rFonts w:ascii="Arial" w:hAnsi="Arial" w:cs="Arial"/>
          <w:i/>
          <w:iCs/>
          <w:sz w:val="22"/>
          <w:szCs w:val="22"/>
        </w:rPr>
        <w:t>Teacher reform in Indonesia: The role of politics and evidence in policy making</w:t>
      </w:r>
      <w:r w:rsidRPr="00295473">
        <w:rPr>
          <w:rFonts w:ascii="Arial" w:hAnsi="Arial" w:cs="Arial"/>
          <w:sz w:val="22"/>
          <w:szCs w:val="22"/>
        </w:rPr>
        <w:t>. World Bank Publications.</w:t>
      </w:r>
    </w:p>
    <w:p w14:paraId="378E5A64" w14:textId="57D84FAE"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r w:rsidRPr="00295473">
        <w:rPr>
          <w:rFonts w:ascii="Arial" w:hAnsi="Arial" w:cs="Arial"/>
          <w:sz w:val="22"/>
          <w:szCs w:val="22"/>
        </w:rPr>
        <w:t>Dafflon, B. (2015). The assignment of functions to decentralized government: from theory to practice. In </w:t>
      </w:r>
      <w:r w:rsidRPr="00295473">
        <w:rPr>
          <w:rFonts w:ascii="Arial" w:hAnsi="Arial" w:cs="Arial"/>
          <w:i/>
          <w:iCs/>
          <w:sz w:val="22"/>
          <w:szCs w:val="22"/>
        </w:rPr>
        <w:t>Handbook of multilevel finance</w:t>
      </w:r>
      <w:r w:rsidRPr="00295473">
        <w:rPr>
          <w:rFonts w:ascii="Arial" w:hAnsi="Arial" w:cs="Arial"/>
          <w:sz w:val="22"/>
          <w:szCs w:val="22"/>
        </w:rPr>
        <w:t> (pp. 163-199). Edward Elgar Publishing.</w:t>
      </w:r>
      <w:r w:rsidRPr="00550D8E">
        <w:rPr>
          <w:rFonts w:ascii="Arial" w:hAnsi="Arial" w:cs="Arial"/>
          <w:color w:val="002060"/>
          <w:sz w:val="22"/>
          <w:szCs w:val="22"/>
        </w:rPr>
        <w:t xml:space="preserve"> </w:t>
      </w:r>
      <w:hyperlink r:id="rId25" w:history="1">
        <w:r w:rsidR="0066595C" w:rsidRPr="0066595C">
          <w:rPr>
            <w:rStyle w:val="Hyperlink"/>
            <w:rFonts w:ascii="Arial" w:hAnsi="Arial" w:cs="Arial"/>
            <w:sz w:val="22"/>
            <w:szCs w:val="22"/>
            <w:highlight w:val="yellow"/>
          </w:rPr>
          <w:t>https://doi.org/</w:t>
        </w:r>
        <w:r w:rsidR="0066595C" w:rsidRPr="00DA3A25">
          <w:rPr>
            <w:rStyle w:val="Hyperlink"/>
            <w:rFonts w:ascii="Arial" w:hAnsi="Arial" w:cs="Arial"/>
            <w:sz w:val="22"/>
            <w:szCs w:val="22"/>
          </w:rPr>
          <w:t>10.4337/978085793</w:t>
        </w:r>
        <w:r w:rsidR="0066595C" w:rsidRPr="00DA3A25">
          <w:rPr>
            <w:rStyle w:val="Hyperlink"/>
            <w:rFonts w:ascii="Arial" w:hAnsi="Arial" w:cs="Arial"/>
            <w:sz w:val="22"/>
            <w:szCs w:val="22"/>
          </w:rPr>
          <w:t>2</w:t>
        </w:r>
        <w:r w:rsidR="0066595C" w:rsidRPr="00DA3A25">
          <w:rPr>
            <w:rStyle w:val="Hyperlink"/>
            <w:rFonts w:ascii="Arial" w:hAnsi="Arial" w:cs="Arial"/>
            <w:sz w:val="22"/>
            <w:szCs w:val="22"/>
          </w:rPr>
          <w:t>297.00015</w:t>
        </w:r>
      </w:hyperlink>
    </w:p>
    <w:p w14:paraId="3F557FAC" w14:textId="77777777" w:rsidR="001B6E99" w:rsidRDefault="001B6E99" w:rsidP="00C27834">
      <w:pPr>
        <w:pStyle w:val="NormalWeb"/>
        <w:spacing w:beforeAutospacing="0" w:afterAutospacing="0" w:line="360" w:lineRule="auto"/>
        <w:ind w:left="365" w:hangingChars="166" w:hanging="365"/>
        <w:jc w:val="both"/>
        <w:rPr>
          <w:rFonts w:ascii="Arial" w:hAnsi="Arial" w:cs="Arial"/>
          <w:sz w:val="22"/>
          <w:szCs w:val="22"/>
        </w:rPr>
      </w:pPr>
      <w:r w:rsidRPr="001B6E99">
        <w:rPr>
          <w:rFonts w:ascii="Arial" w:hAnsi="Arial" w:cs="Arial"/>
          <w:sz w:val="22"/>
          <w:szCs w:val="22"/>
        </w:rPr>
        <w:t xml:space="preserve">Darmawan, S., &amp; Hadi, M. (2023). Study of teacher allocation policy from the perspective of implementers at the sub-district level. </w:t>
      </w:r>
      <w:r w:rsidRPr="001B6E99">
        <w:rPr>
          <w:rFonts w:ascii="Arial" w:hAnsi="Arial" w:cs="Arial"/>
          <w:i/>
          <w:iCs/>
          <w:sz w:val="22"/>
          <w:szCs w:val="22"/>
        </w:rPr>
        <w:t>Journal of Education and Culture</w:t>
      </w:r>
      <w:r w:rsidRPr="001B6E99">
        <w:rPr>
          <w:rFonts w:ascii="Arial" w:hAnsi="Arial" w:cs="Arial"/>
          <w:sz w:val="22"/>
          <w:szCs w:val="22"/>
        </w:rPr>
        <w:t>, 29(4), 512–525.</w:t>
      </w:r>
    </w:p>
    <w:p w14:paraId="7438DF22" w14:textId="00866822"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Edwards Jr, D. B. (2017). </w:t>
      </w:r>
      <w:r w:rsidRPr="00295473">
        <w:rPr>
          <w:rFonts w:ascii="Arial" w:hAnsi="Arial" w:cs="Arial"/>
          <w:i/>
          <w:iCs/>
          <w:sz w:val="22"/>
          <w:szCs w:val="22"/>
        </w:rPr>
        <w:t>The trajectory of global education policy: Community-based management in El Salvador and the global reform agenda</w:t>
      </w:r>
      <w:r w:rsidRPr="00295473">
        <w:rPr>
          <w:rFonts w:ascii="Arial" w:hAnsi="Arial" w:cs="Arial"/>
          <w:sz w:val="22"/>
          <w:szCs w:val="22"/>
        </w:rPr>
        <w:t xml:space="preserve">. Springer. </w:t>
      </w:r>
    </w:p>
    <w:p w14:paraId="44D5175C" w14:textId="6F75C778"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Fathuloh, F., Junaedi, D., Sa’diyah, T., Zumaillah, E., Zaqiah, Q. Y., &amp; Sopian, S. (2023). Innovation in The Field of Education Personnel: Impact of Government Appointment Policies with Work Agreement (PPPK) on Employee Performance Case Study at MAN 1 Bekasi. </w:t>
      </w:r>
      <w:r w:rsidRPr="00295473">
        <w:rPr>
          <w:rFonts w:ascii="Arial" w:hAnsi="Arial" w:cs="Arial"/>
          <w:i/>
          <w:iCs/>
          <w:sz w:val="22"/>
          <w:szCs w:val="22"/>
        </w:rPr>
        <w:t>Ta dib Jurnal Pendidikan Islam</w:t>
      </w:r>
      <w:r w:rsidRPr="00295473">
        <w:rPr>
          <w:rFonts w:ascii="Arial" w:hAnsi="Arial" w:cs="Arial"/>
          <w:sz w:val="22"/>
          <w:szCs w:val="22"/>
        </w:rPr>
        <w:t>, </w:t>
      </w:r>
      <w:r w:rsidRPr="00295473">
        <w:rPr>
          <w:rFonts w:ascii="Arial" w:hAnsi="Arial" w:cs="Arial"/>
          <w:i/>
          <w:iCs/>
          <w:sz w:val="22"/>
          <w:szCs w:val="22"/>
        </w:rPr>
        <w:t>12</w:t>
      </w:r>
      <w:r w:rsidRPr="00295473">
        <w:rPr>
          <w:rFonts w:ascii="Arial" w:hAnsi="Arial" w:cs="Arial"/>
          <w:sz w:val="22"/>
          <w:szCs w:val="22"/>
        </w:rPr>
        <w:t xml:space="preserve">(2), 555-562. </w:t>
      </w:r>
      <w:hyperlink r:id="rId26" w:history="1">
        <w:r w:rsidR="0066595C" w:rsidRPr="0066595C">
          <w:rPr>
            <w:rStyle w:val="Hyperlink"/>
            <w:rFonts w:ascii="Arial" w:hAnsi="Arial" w:cs="Arial"/>
            <w:sz w:val="22"/>
            <w:szCs w:val="22"/>
          </w:rPr>
          <w:t>https://doi.o</w:t>
        </w:r>
        <w:r w:rsidR="0066595C" w:rsidRPr="0066595C">
          <w:rPr>
            <w:rStyle w:val="Hyperlink"/>
            <w:rFonts w:ascii="Arial" w:hAnsi="Arial" w:cs="Arial"/>
            <w:sz w:val="22"/>
            <w:szCs w:val="22"/>
          </w:rPr>
          <w:t>r</w:t>
        </w:r>
        <w:r w:rsidR="0066595C" w:rsidRPr="0066595C">
          <w:rPr>
            <w:rStyle w:val="Hyperlink"/>
            <w:rFonts w:ascii="Arial" w:hAnsi="Arial" w:cs="Arial"/>
            <w:sz w:val="22"/>
            <w:szCs w:val="22"/>
          </w:rPr>
          <w:t>g/10.29313/tjpi.v12i2.12290</w:t>
        </w:r>
      </w:hyperlink>
    </w:p>
    <w:p w14:paraId="3DEDEF93"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Ferdina, K. F., Isnaini, M. H., &amp; Arnoldi, M. D. T. (2024). The Future of Indonesian Education: A Case Analysis on the Supply of High-Quality Teachers in Indonesia. </w:t>
      </w:r>
      <w:r w:rsidRPr="00295473">
        <w:rPr>
          <w:rFonts w:ascii="Arial" w:hAnsi="Arial" w:cs="Arial"/>
          <w:i/>
          <w:iCs/>
          <w:sz w:val="22"/>
          <w:szCs w:val="22"/>
        </w:rPr>
        <w:t>STAIRS: English Language Education Journal</w:t>
      </w:r>
      <w:r w:rsidRPr="00295473">
        <w:rPr>
          <w:rFonts w:ascii="Arial" w:hAnsi="Arial" w:cs="Arial"/>
          <w:sz w:val="22"/>
          <w:szCs w:val="22"/>
        </w:rPr>
        <w:t>, </w:t>
      </w:r>
      <w:r w:rsidRPr="00295473">
        <w:rPr>
          <w:rFonts w:ascii="Arial" w:hAnsi="Arial" w:cs="Arial"/>
          <w:i/>
          <w:iCs/>
          <w:sz w:val="22"/>
          <w:szCs w:val="22"/>
        </w:rPr>
        <w:t>5</w:t>
      </w:r>
      <w:r w:rsidRPr="00295473">
        <w:rPr>
          <w:rFonts w:ascii="Arial" w:hAnsi="Arial" w:cs="Arial"/>
          <w:sz w:val="22"/>
          <w:szCs w:val="22"/>
        </w:rPr>
        <w:t>(2), 133-142.</w:t>
      </w:r>
    </w:p>
    <w:p w14:paraId="6C0CBB5B"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Gaddefors, J., Korsgaard, S., &amp; Ingstrup, M. B. (2020). Regional development through entrepreneurial exaptation: Epistemological displacement, affordances, and collective agency in rural regions. </w:t>
      </w:r>
      <w:r w:rsidRPr="00295473">
        <w:rPr>
          <w:rFonts w:ascii="Arial" w:hAnsi="Arial" w:cs="Arial"/>
          <w:i/>
          <w:iCs/>
          <w:sz w:val="22"/>
          <w:szCs w:val="22"/>
        </w:rPr>
        <w:t>Journal of Rural Studies</w:t>
      </w:r>
      <w:r w:rsidRPr="00295473">
        <w:rPr>
          <w:rFonts w:ascii="Arial" w:hAnsi="Arial" w:cs="Arial"/>
          <w:sz w:val="22"/>
          <w:szCs w:val="22"/>
        </w:rPr>
        <w:t>, </w:t>
      </w:r>
      <w:r w:rsidRPr="00295473">
        <w:rPr>
          <w:rFonts w:ascii="Arial" w:hAnsi="Arial" w:cs="Arial"/>
          <w:i/>
          <w:iCs/>
          <w:sz w:val="22"/>
          <w:szCs w:val="22"/>
        </w:rPr>
        <w:t>74</w:t>
      </w:r>
      <w:r w:rsidRPr="00295473">
        <w:rPr>
          <w:rFonts w:ascii="Arial" w:hAnsi="Arial" w:cs="Arial"/>
          <w:sz w:val="22"/>
          <w:szCs w:val="22"/>
        </w:rPr>
        <w:t xml:space="preserve">, 244-256. </w:t>
      </w:r>
      <w:hyperlink r:id="rId27" w:tgtFrame="_blank" w:history="1">
        <w:r w:rsidRPr="00CB0533">
          <w:rPr>
            <w:rStyle w:val="Hyperlink"/>
            <w:rFonts w:ascii="Arial" w:hAnsi="Arial" w:cs="Arial"/>
            <w:color w:val="002060"/>
            <w:sz w:val="22"/>
            <w:szCs w:val="22"/>
          </w:rPr>
          <w:t>10.1016/j.jrurstud.2019.10.010</w:t>
        </w:r>
      </w:hyperlink>
    </w:p>
    <w:p w14:paraId="3F7C93E9" w14:textId="71E9F101"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Gadsden, T., Jan, S., Sujarwoto, S., Kusumo, B. E., &amp; Palagyi, A. (2021). Assessing the feasibility and acceptability of a financial versus behavioural incentive-based </w:t>
      </w:r>
      <w:r w:rsidRPr="00295473">
        <w:rPr>
          <w:rFonts w:ascii="Arial" w:hAnsi="Arial" w:cs="Arial"/>
          <w:sz w:val="22"/>
          <w:szCs w:val="22"/>
        </w:rPr>
        <w:lastRenderedPageBreak/>
        <w:t>intervention for community health workers in rural Indonesia. </w:t>
      </w:r>
      <w:r w:rsidRPr="00295473">
        <w:rPr>
          <w:rFonts w:ascii="Arial" w:hAnsi="Arial" w:cs="Arial"/>
          <w:i/>
          <w:iCs/>
          <w:sz w:val="22"/>
          <w:szCs w:val="22"/>
        </w:rPr>
        <w:t>Pilot and feasibility studies</w:t>
      </w:r>
      <w:r w:rsidRPr="00295473">
        <w:rPr>
          <w:rFonts w:ascii="Arial" w:hAnsi="Arial" w:cs="Arial"/>
          <w:sz w:val="22"/>
          <w:szCs w:val="22"/>
        </w:rPr>
        <w:t>, </w:t>
      </w:r>
      <w:r w:rsidRPr="00295473">
        <w:rPr>
          <w:rFonts w:ascii="Arial" w:hAnsi="Arial" w:cs="Arial"/>
          <w:i/>
          <w:iCs/>
          <w:sz w:val="22"/>
          <w:szCs w:val="22"/>
        </w:rPr>
        <w:t>7</w:t>
      </w:r>
      <w:r w:rsidRPr="00295473">
        <w:rPr>
          <w:rFonts w:ascii="Arial" w:hAnsi="Arial" w:cs="Arial"/>
          <w:sz w:val="22"/>
          <w:szCs w:val="22"/>
        </w:rPr>
        <w:t xml:space="preserve">(1), 132. </w:t>
      </w:r>
      <w:hyperlink r:id="rId28" w:history="1">
        <w:r w:rsidR="0066595C" w:rsidRPr="0066595C">
          <w:rPr>
            <w:rStyle w:val="Hyperlink"/>
            <w:rFonts w:ascii="Arial" w:hAnsi="Arial" w:cs="Arial"/>
            <w:sz w:val="22"/>
            <w:szCs w:val="22"/>
            <w:highlight w:val="yellow"/>
          </w:rPr>
          <w:t>https://doi.org/</w:t>
        </w:r>
        <w:r w:rsidR="0066595C" w:rsidRPr="00DA3A25">
          <w:rPr>
            <w:rStyle w:val="Hyperlink"/>
            <w:rFonts w:ascii="Arial" w:hAnsi="Arial" w:cs="Arial"/>
            <w:sz w:val="22"/>
            <w:szCs w:val="22"/>
          </w:rPr>
          <w:t>10.1186/s40814-021-00871-7</w:t>
        </w:r>
      </w:hyperlink>
    </w:p>
    <w:p w14:paraId="2943233E"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Gaduh, A. B., Pradhan, M. P., Priebe, J., &amp; Susanti, D. (2021). </w:t>
      </w:r>
      <w:r w:rsidRPr="00295473">
        <w:rPr>
          <w:rFonts w:ascii="Arial" w:hAnsi="Arial" w:cs="Arial"/>
          <w:i/>
          <w:iCs/>
          <w:sz w:val="22"/>
          <w:szCs w:val="22"/>
        </w:rPr>
        <w:t>Scores, Camera, Action: Social Accountability and Teacher Incentives in Remote Areas</w:t>
      </w:r>
      <w:r w:rsidRPr="00295473">
        <w:rPr>
          <w:rFonts w:ascii="Arial" w:hAnsi="Arial" w:cs="Arial"/>
          <w:sz w:val="22"/>
          <w:szCs w:val="22"/>
        </w:rPr>
        <w:t xml:space="preserve"> (No. 9748). The World Bank. </w:t>
      </w:r>
      <w:hyperlink r:id="rId29" w:history="1">
        <w:r w:rsidRPr="007C3BCA">
          <w:rPr>
            <w:rStyle w:val="Hyperlink"/>
            <w:rFonts w:ascii="Arial" w:hAnsi="Arial" w:cs="Arial"/>
            <w:color w:val="002060"/>
            <w:sz w:val="22"/>
            <w:szCs w:val="22"/>
          </w:rPr>
          <w:t>https://doi.org/10.15</w:t>
        </w:r>
        <w:r w:rsidRPr="007C3BCA">
          <w:rPr>
            <w:rStyle w:val="Hyperlink"/>
            <w:rFonts w:ascii="Arial" w:hAnsi="Arial" w:cs="Arial"/>
            <w:color w:val="002060"/>
            <w:sz w:val="22"/>
            <w:szCs w:val="22"/>
          </w:rPr>
          <w:t>9</w:t>
        </w:r>
        <w:r w:rsidRPr="007C3BCA">
          <w:rPr>
            <w:rStyle w:val="Hyperlink"/>
            <w:rFonts w:ascii="Arial" w:hAnsi="Arial" w:cs="Arial"/>
            <w:color w:val="002060"/>
            <w:sz w:val="22"/>
            <w:szCs w:val="22"/>
          </w:rPr>
          <w:t>6/1813-9450-9748</w:t>
        </w:r>
      </w:hyperlink>
    </w:p>
    <w:p w14:paraId="0FABD3F3"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Gaduh, A., Pradhan, M., Priebe, J., &amp; Susanti, D. (2022). </w:t>
      </w:r>
      <w:r w:rsidRPr="00295473">
        <w:rPr>
          <w:rFonts w:ascii="Arial" w:hAnsi="Arial" w:cs="Arial"/>
          <w:i/>
          <w:iCs/>
          <w:sz w:val="22"/>
          <w:szCs w:val="22"/>
        </w:rPr>
        <w:t>Does Performance Pay Enhance Social Accountability? Evidence from Remote Schools in Indonesia</w:t>
      </w:r>
      <w:r w:rsidRPr="00295473">
        <w:rPr>
          <w:rFonts w:ascii="Arial" w:hAnsi="Arial" w:cs="Arial"/>
          <w:sz w:val="22"/>
          <w:szCs w:val="22"/>
        </w:rPr>
        <w:t xml:space="preserve"> (No. w30758). National Bureau of Economic Research. </w:t>
      </w:r>
      <w:r>
        <w:rPr>
          <w:rFonts w:ascii="Arial" w:hAnsi="Arial" w:cs="Arial"/>
          <w:sz w:val="22"/>
          <w:szCs w:val="22"/>
        </w:rPr>
        <w:t xml:space="preserve"> </w:t>
      </w:r>
      <w:hyperlink r:id="rId30" w:history="1">
        <w:r w:rsidRPr="007C3BCA">
          <w:rPr>
            <w:rStyle w:val="Hyperlink"/>
            <w:rFonts w:ascii="Arial" w:hAnsi="Arial" w:cs="Arial"/>
            <w:color w:val="002060"/>
            <w:sz w:val="22"/>
            <w:szCs w:val="22"/>
          </w:rPr>
          <w:t>http://www.nber.org/papers</w:t>
        </w:r>
        <w:r w:rsidRPr="007C3BCA">
          <w:rPr>
            <w:rStyle w:val="Hyperlink"/>
            <w:rFonts w:ascii="Arial" w:hAnsi="Arial" w:cs="Arial"/>
            <w:color w:val="002060"/>
            <w:sz w:val="22"/>
            <w:szCs w:val="22"/>
          </w:rPr>
          <w:t>/</w:t>
        </w:r>
        <w:r w:rsidRPr="007C3BCA">
          <w:rPr>
            <w:rStyle w:val="Hyperlink"/>
            <w:rFonts w:ascii="Arial" w:hAnsi="Arial" w:cs="Arial"/>
            <w:color w:val="002060"/>
            <w:sz w:val="22"/>
            <w:szCs w:val="22"/>
          </w:rPr>
          <w:t>w30758</w:t>
        </w:r>
      </w:hyperlink>
    </w:p>
    <w:p w14:paraId="4DEEBD42"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González-Pérez, L. I., &amp; Ramírez-Montoya, M. S. (2022). Components of Education 4.0 in 21st century skills frameworks: systematic review. </w:t>
      </w:r>
      <w:r w:rsidRPr="00295473">
        <w:rPr>
          <w:rFonts w:ascii="Arial" w:hAnsi="Arial" w:cs="Arial"/>
          <w:i/>
          <w:iCs/>
          <w:sz w:val="22"/>
          <w:szCs w:val="22"/>
        </w:rPr>
        <w:t>Sustainability</w:t>
      </w:r>
      <w:r w:rsidRPr="00295473">
        <w:rPr>
          <w:rFonts w:ascii="Arial" w:hAnsi="Arial" w:cs="Arial"/>
          <w:sz w:val="22"/>
          <w:szCs w:val="22"/>
        </w:rPr>
        <w:t>, </w:t>
      </w:r>
      <w:r w:rsidRPr="00295473">
        <w:rPr>
          <w:rFonts w:ascii="Arial" w:hAnsi="Arial" w:cs="Arial"/>
          <w:i/>
          <w:iCs/>
          <w:sz w:val="22"/>
          <w:szCs w:val="22"/>
        </w:rPr>
        <w:t>14</w:t>
      </w:r>
      <w:r w:rsidRPr="00295473">
        <w:rPr>
          <w:rFonts w:ascii="Arial" w:hAnsi="Arial" w:cs="Arial"/>
          <w:sz w:val="22"/>
          <w:szCs w:val="22"/>
        </w:rPr>
        <w:t xml:space="preserve">(3), 1493. </w:t>
      </w:r>
      <w:hyperlink r:id="rId31" w:history="1">
        <w:r w:rsidRPr="007C3BCA">
          <w:rPr>
            <w:rStyle w:val="Hyperlink"/>
            <w:rFonts w:ascii="Arial" w:hAnsi="Arial" w:cs="Arial"/>
            <w:color w:val="002060"/>
            <w:sz w:val="22"/>
            <w:szCs w:val="22"/>
          </w:rPr>
          <w:t>https://doi</w:t>
        </w:r>
        <w:r w:rsidRPr="007C3BCA">
          <w:rPr>
            <w:rStyle w:val="Hyperlink"/>
            <w:rFonts w:ascii="Arial" w:hAnsi="Arial" w:cs="Arial"/>
            <w:color w:val="002060"/>
            <w:sz w:val="22"/>
            <w:szCs w:val="22"/>
          </w:rPr>
          <w:t>.</w:t>
        </w:r>
        <w:r w:rsidRPr="007C3BCA">
          <w:rPr>
            <w:rStyle w:val="Hyperlink"/>
            <w:rFonts w:ascii="Arial" w:hAnsi="Arial" w:cs="Arial"/>
            <w:color w:val="002060"/>
            <w:sz w:val="22"/>
            <w:szCs w:val="22"/>
          </w:rPr>
          <w:t>org/10.3390/su14031493</w:t>
        </w:r>
      </w:hyperlink>
    </w:p>
    <w:p w14:paraId="5ADF7EB7" w14:textId="0C1A412B"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Hanum, N., &amp; Iskandar, I. (2023).</w:t>
      </w:r>
      <w:r w:rsidR="001B6E99" w:rsidRPr="001B6E99">
        <w:t xml:space="preserve"> </w:t>
      </w:r>
      <w:r w:rsidR="001B6E99" w:rsidRPr="001B6E99">
        <w:rPr>
          <w:rFonts w:ascii="Arial" w:hAnsi="Arial" w:cs="Arial"/>
          <w:sz w:val="22"/>
          <w:szCs w:val="22"/>
        </w:rPr>
        <w:t>Teacher allocation models in developing countries: Lessons from international practice.</w:t>
      </w:r>
      <w:r w:rsidR="001B6E99" w:rsidRPr="001B6E99">
        <w:rPr>
          <w:rFonts w:ascii="Arial" w:hAnsi="Arial" w:cs="Arial"/>
          <w:i/>
          <w:iCs/>
          <w:sz w:val="22"/>
          <w:szCs w:val="22"/>
        </w:rPr>
        <w:t xml:space="preserve"> Journal of Educational Research</w:t>
      </w:r>
      <w:r w:rsidRPr="00295473">
        <w:rPr>
          <w:rStyle w:val="Penekanan"/>
          <w:rFonts w:ascii="Arial" w:hAnsi="Arial" w:cs="Arial"/>
          <w:sz w:val="22"/>
          <w:szCs w:val="22"/>
        </w:rPr>
        <w:t>, 23</w:t>
      </w:r>
      <w:r w:rsidRPr="00295473">
        <w:rPr>
          <w:rFonts w:ascii="Arial" w:hAnsi="Arial" w:cs="Arial"/>
          <w:sz w:val="22"/>
          <w:szCs w:val="22"/>
        </w:rPr>
        <w:t>(3), 320–335.</w:t>
      </w:r>
    </w:p>
    <w:p w14:paraId="4B0D2858"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Hasegawa, T. (2013). </w:t>
      </w:r>
      <w:r w:rsidRPr="00295473">
        <w:rPr>
          <w:rFonts w:ascii="Arial" w:hAnsi="Arial" w:cs="Arial"/>
          <w:i/>
          <w:iCs/>
          <w:sz w:val="22"/>
          <w:szCs w:val="22"/>
        </w:rPr>
        <w:t>Local Government Responsiveness in Indonesia after Decentralization: Examining Elite Initiatives and Citizen Participation</w:t>
      </w:r>
      <w:r w:rsidRPr="00295473">
        <w:rPr>
          <w:rFonts w:ascii="Arial" w:hAnsi="Arial" w:cs="Arial"/>
          <w:sz w:val="22"/>
          <w:szCs w:val="22"/>
        </w:rPr>
        <w:t xml:space="preserve"> (Doctoral dissertation, University of Tsukuba). </w:t>
      </w:r>
    </w:p>
    <w:p w14:paraId="52D18718"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Herman, K. (2023). What We Know Now: Urban Teacher Residency Models, Teacher Shortages, and Equity. </w:t>
      </w:r>
      <w:r w:rsidRPr="00295473">
        <w:rPr>
          <w:rFonts w:ascii="Arial" w:hAnsi="Arial" w:cs="Arial"/>
          <w:i/>
          <w:iCs/>
          <w:sz w:val="22"/>
          <w:szCs w:val="22"/>
        </w:rPr>
        <w:t>Issues in Teacher Education</w:t>
      </w:r>
      <w:r w:rsidRPr="00295473">
        <w:rPr>
          <w:rFonts w:ascii="Arial" w:hAnsi="Arial" w:cs="Arial"/>
          <w:sz w:val="22"/>
          <w:szCs w:val="22"/>
        </w:rPr>
        <w:t>, </w:t>
      </w:r>
      <w:r w:rsidRPr="00295473">
        <w:rPr>
          <w:rFonts w:ascii="Arial" w:hAnsi="Arial" w:cs="Arial"/>
          <w:i/>
          <w:iCs/>
          <w:sz w:val="22"/>
          <w:szCs w:val="22"/>
        </w:rPr>
        <w:t>32</w:t>
      </w:r>
      <w:r w:rsidRPr="00295473">
        <w:rPr>
          <w:rFonts w:ascii="Arial" w:hAnsi="Arial" w:cs="Arial"/>
          <w:sz w:val="22"/>
          <w:szCs w:val="22"/>
        </w:rPr>
        <w:t xml:space="preserve">(1), 56-73. </w:t>
      </w:r>
    </w:p>
    <w:p w14:paraId="4B38765D"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Hidayat, R. (2017). </w:t>
      </w:r>
      <w:r w:rsidRPr="00295473">
        <w:rPr>
          <w:rFonts w:ascii="Arial" w:hAnsi="Arial" w:cs="Arial"/>
          <w:i/>
          <w:iCs/>
          <w:sz w:val="22"/>
          <w:szCs w:val="22"/>
        </w:rPr>
        <w:t>The Government of Allocating Resources for the Health and Education Sectors in a Decentralized Mode of Government: A Case Study on Two Indonesian Local Governments</w:t>
      </w:r>
      <w:r w:rsidRPr="00295473">
        <w:rPr>
          <w:rFonts w:ascii="Arial" w:hAnsi="Arial" w:cs="Arial"/>
          <w:sz w:val="22"/>
          <w:szCs w:val="22"/>
        </w:rPr>
        <w:t>. Charles Darwin University (Australia).</w:t>
      </w:r>
      <w:r>
        <w:rPr>
          <w:rFonts w:ascii="Arial" w:hAnsi="Arial" w:cs="Arial"/>
          <w:sz w:val="22"/>
          <w:szCs w:val="22"/>
        </w:rPr>
        <w:t xml:space="preserve"> </w:t>
      </w:r>
      <w:hyperlink r:id="rId32" w:history="1">
        <w:r w:rsidRPr="0001029A">
          <w:rPr>
            <w:rStyle w:val="Hyperlink"/>
            <w:rFonts w:ascii="Arial" w:hAnsi="Arial" w:cs="Arial"/>
            <w:color w:val="002060"/>
            <w:sz w:val="22"/>
            <w:szCs w:val="22"/>
          </w:rPr>
          <w:t>https://doi.org/10.11</w:t>
        </w:r>
        <w:r w:rsidRPr="0001029A">
          <w:rPr>
            <w:rStyle w:val="Hyperlink"/>
            <w:rFonts w:ascii="Arial" w:hAnsi="Arial" w:cs="Arial"/>
            <w:color w:val="002060"/>
            <w:sz w:val="22"/>
            <w:szCs w:val="22"/>
          </w:rPr>
          <w:t>7</w:t>
        </w:r>
        <w:r w:rsidRPr="0001029A">
          <w:rPr>
            <w:rStyle w:val="Hyperlink"/>
            <w:rFonts w:ascii="Arial" w:hAnsi="Arial" w:cs="Arial"/>
            <w:color w:val="002060"/>
            <w:sz w:val="22"/>
            <w:szCs w:val="22"/>
          </w:rPr>
          <w:t>7/2158244016686812</w:t>
        </w:r>
      </w:hyperlink>
    </w:p>
    <w:p w14:paraId="5021B509"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Homsy, G. C., Liu, Z., &amp; Warner, M. E. (2019). Multilevel governance: Framing the integration of top-down and bottom-up policymaking. </w:t>
      </w:r>
      <w:r w:rsidRPr="00295473">
        <w:rPr>
          <w:rFonts w:ascii="Arial" w:hAnsi="Arial" w:cs="Arial"/>
          <w:i/>
          <w:iCs/>
          <w:sz w:val="22"/>
          <w:szCs w:val="22"/>
        </w:rPr>
        <w:t>International Journal of Public Administration</w:t>
      </w:r>
      <w:r w:rsidRPr="00295473">
        <w:rPr>
          <w:rFonts w:ascii="Arial" w:hAnsi="Arial" w:cs="Arial"/>
          <w:sz w:val="22"/>
          <w:szCs w:val="22"/>
        </w:rPr>
        <w:t>, </w:t>
      </w:r>
      <w:r w:rsidRPr="00295473">
        <w:rPr>
          <w:rFonts w:ascii="Arial" w:hAnsi="Arial" w:cs="Arial"/>
          <w:i/>
          <w:iCs/>
          <w:sz w:val="22"/>
          <w:szCs w:val="22"/>
        </w:rPr>
        <w:t>42</w:t>
      </w:r>
      <w:r w:rsidRPr="00295473">
        <w:rPr>
          <w:rFonts w:ascii="Arial" w:hAnsi="Arial" w:cs="Arial"/>
          <w:sz w:val="22"/>
          <w:szCs w:val="22"/>
        </w:rPr>
        <w:t xml:space="preserve">(7), 572-582. </w:t>
      </w:r>
      <w:hyperlink r:id="rId33" w:history="1">
        <w:r w:rsidRPr="005D0E0F">
          <w:rPr>
            <w:rStyle w:val="Hyperlink"/>
            <w:rFonts w:ascii="Arial" w:hAnsi="Arial" w:cs="Arial"/>
            <w:color w:val="002060"/>
            <w:sz w:val="22"/>
            <w:szCs w:val="22"/>
          </w:rPr>
          <w:t>https://doi.org/10.1</w:t>
        </w:r>
        <w:r w:rsidRPr="005D0E0F">
          <w:rPr>
            <w:rStyle w:val="Hyperlink"/>
            <w:rFonts w:ascii="Arial" w:hAnsi="Arial" w:cs="Arial"/>
            <w:color w:val="002060"/>
            <w:sz w:val="22"/>
            <w:szCs w:val="22"/>
          </w:rPr>
          <w:t>0</w:t>
        </w:r>
        <w:r w:rsidRPr="005D0E0F">
          <w:rPr>
            <w:rStyle w:val="Hyperlink"/>
            <w:rFonts w:ascii="Arial" w:hAnsi="Arial" w:cs="Arial"/>
            <w:color w:val="002060"/>
            <w:sz w:val="22"/>
            <w:szCs w:val="22"/>
          </w:rPr>
          <w:t>80/01900692.2018.1491597</w:t>
        </w:r>
      </w:hyperlink>
    </w:p>
    <w:p w14:paraId="382AFFA6"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Huang, A. R., &amp; Fillaili, R. (2022). The struggle to recruit good teachers in indonesia: institutional and social dysfunctions. </w:t>
      </w:r>
      <w:hyperlink r:id="rId34" w:history="1">
        <w:r w:rsidRPr="00C8362A">
          <w:rPr>
            <w:rStyle w:val="Hyperlink"/>
            <w:rFonts w:ascii="Arial" w:hAnsi="Arial" w:cs="Arial"/>
            <w:color w:val="002060"/>
            <w:sz w:val="22"/>
            <w:szCs w:val="22"/>
          </w:rPr>
          <w:t>https://doi.org/10</w:t>
        </w:r>
        <w:r w:rsidRPr="00C8362A">
          <w:rPr>
            <w:rStyle w:val="Hyperlink"/>
            <w:rFonts w:ascii="Arial" w:hAnsi="Arial" w:cs="Arial"/>
            <w:color w:val="002060"/>
            <w:sz w:val="22"/>
            <w:szCs w:val="22"/>
          </w:rPr>
          <w:t>.</w:t>
        </w:r>
        <w:r w:rsidRPr="00C8362A">
          <w:rPr>
            <w:rStyle w:val="Hyperlink"/>
            <w:rFonts w:ascii="Arial" w:hAnsi="Arial" w:cs="Arial"/>
            <w:color w:val="002060"/>
            <w:sz w:val="22"/>
            <w:szCs w:val="22"/>
          </w:rPr>
          <w:t>35489/BSG-RISE-WP_2020/041</w:t>
        </w:r>
      </w:hyperlink>
    </w:p>
    <w:p w14:paraId="649E53ED" w14:textId="5354B532"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lastRenderedPageBreak/>
        <w:t xml:space="preserve">Indrawati, Y., &amp; Murniarti, E. (2024). </w:t>
      </w:r>
      <w:r w:rsidR="001B6E99" w:rsidRPr="001B6E99">
        <w:rPr>
          <w:rFonts w:ascii="Arial" w:hAnsi="Arial" w:cs="Arial"/>
          <w:sz w:val="22"/>
          <w:szCs w:val="22"/>
        </w:rPr>
        <w:t>Analysis of the process of disbursing operational assistance funds for the provision of early childhood education.</w:t>
      </w:r>
      <w:r w:rsidR="001B6E99">
        <w:rPr>
          <w:rFonts w:ascii="Arial" w:hAnsi="Arial" w:cs="Arial"/>
          <w:sz w:val="22"/>
          <w:szCs w:val="22"/>
        </w:rPr>
        <w:t xml:space="preserve"> </w:t>
      </w:r>
      <w:r w:rsidRPr="00295473">
        <w:rPr>
          <w:rStyle w:val="Penekanan"/>
          <w:rFonts w:ascii="Arial" w:hAnsi="Arial" w:cs="Arial"/>
          <w:sz w:val="22"/>
          <w:szCs w:val="22"/>
        </w:rPr>
        <w:t>Innovative: Journal of Social Science Research, 4</w:t>
      </w:r>
      <w:r w:rsidRPr="00295473">
        <w:rPr>
          <w:rFonts w:ascii="Arial" w:hAnsi="Arial" w:cs="Arial"/>
          <w:sz w:val="22"/>
          <w:szCs w:val="22"/>
        </w:rPr>
        <w:t>(4), 70–80.</w:t>
      </w:r>
      <w:r>
        <w:rPr>
          <w:rFonts w:ascii="Arial" w:hAnsi="Arial" w:cs="Arial"/>
          <w:sz w:val="22"/>
          <w:szCs w:val="22"/>
        </w:rPr>
        <w:t xml:space="preserve"> </w:t>
      </w:r>
      <w:hyperlink r:id="rId35" w:history="1">
        <w:r w:rsidR="0066595C" w:rsidRPr="00DA3A25">
          <w:rPr>
            <w:rStyle w:val="Hyperlink"/>
            <w:rFonts w:ascii="Arial" w:hAnsi="Arial" w:cs="Arial"/>
            <w:sz w:val="22"/>
            <w:szCs w:val="22"/>
          </w:rPr>
          <w:t>https://doi.or</w:t>
        </w:r>
        <w:r w:rsidR="0066595C" w:rsidRPr="00DA3A25">
          <w:rPr>
            <w:rStyle w:val="Hyperlink"/>
            <w:rFonts w:ascii="Arial" w:hAnsi="Arial" w:cs="Arial"/>
            <w:sz w:val="22"/>
            <w:szCs w:val="22"/>
          </w:rPr>
          <w:t>g</w:t>
        </w:r>
        <w:r w:rsidR="0066595C" w:rsidRPr="00DA3A25">
          <w:rPr>
            <w:rStyle w:val="Hyperlink"/>
            <w:rFonts w:ascii="Arial" w:hAnsi="Arial" w:cs="Arial"/>
            <w:sz w:val="22"/>
            <w:szCs w:val="22"/>
          </w:rPr>
          <w:t>/10.31004/innovative.v4i4.12557</w:t>
        </w:r>
      </w:hyperlink>
    </w:p>
    <w:p w14:paraId="29069606"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Jameaba, M. S. (2013). How Has Decentralized Democracy Impacted on the Socioeconomic Well-Being of Workers and the General Public in Indonesia. </w:t>
      </w:r>
      <w:r w:rsidRPr="00295473">
        <w:rPr>
          <w:rFonts w:ascii="Arial" w:hAnsi="Arial" w:cs="Arial"/>
          <w:i/>
          <w:iCs/>
          <w:sz w:val="22"/>
          <w:szCs w:val="22"/>
        </w:rPr>
        <w:t>Available at SSRN 2329099</w:t>
      </w:r>
      <w:r w:rsidRPr="00295473">
        <w:rPr>
          <w:rFonts w:ascii="Arial" w:hAnsi="Arial" w:cs="Arial"/>
          <w:sz w:val="22"/>
          <w:szCs w:val="22"/>
        </w:rPr>
        <w:t>.</w:t>
      </w:r>
      <w:r w:rsidRPr="000D29F1">
        <w:rPr>
          <w:rFonts w:ascii="Arial" w:hAnsi="Arial" w:cs="Arial"/>
          <w:color w:val="002060"/>
          <w:sz w:val="22"/>
          <w:szCs w:val="22"/>
        </w:rPr>
        <w:t> </w:t>
      </w:r>
      <w:hyperlink r:id="rId36" w:tgtFrame="_blank" w:history="1">
        <w:r w:rsidRPr="000D29F1">
          <w:rPr>
            <w:rStyle w:val="Hyperlink"/>
            <w:rFonts w:ascii="Arial" w:hAnsi="Arial" w:cs="Arial"/>
            <w:color w:val="002060"/>
            <w:sz w:val="22"/>
            <w:szCs w:val="22"/>
          </w:rPr>
          <w:t>ht</w:t>
        </w:r>
        <w:r w:rsidRPr="000D29F1">
          <w:rPr>
            <w:rStyle w:val="Hyperlink"/>
            <w:rFonts w:ascii="Arial" w:hAnsi="Arial" w:cs="Arial"/>
            <w:color w:val="002060"/>
            <w:sz w:val="22"/>
            <w:szCs w:val="22"/>
          </w:rPr>
          <w:t>t</w:t>
        </w:r>
        <w:r w:rsidRPr="000D29F1">
          <w:rPr>
            <w:rStyle w:val="Hyperlink"/>
            <w:rFonts w:ascii="Arial" w:hAnsi="Arial" w:cs="Arial"/>
            <w:color w:val="002060"/>
            <w:sz w:val="22"/>
            <w:szCs w:val="22"/>
          </w:rPr>
          <w:t>p://dx.doi.org/10.2139</w:t>
        </w:r>
        <w:r w:rsidRPr="000D29F1">
          <w:rPr>
            <w:rStyle w:val="Hyperlink"/>
            <w:rFonts w:ascii="Arial" w:hAnsi="Arial" w:cs="Arial"/>
            <w:color w:val="002060"/>
            <w:sz w:val="22"/>
            <w:szCs w:val="22"/>
          </w:rPr>
          <w:t>/</w:t>
        </w:r>
        <w:r w:rsidRPr="000D29F1">
          <w:rPr>
            <w:rStyle w:val="Hyperlink"/>
            <w:rFonts w:ascii="Arial" w:hAnsi="Arial" w:cs="Arial"/>
            <w:color w:val="002060"/>
            <w:sz w:val="22"/>
            <w:szCs w:val="22"/>
          </w:rPr>
          <w:t>ssrn.2329099</w:t>
        </w:r>
      </w:hyperlink>
    </w:p>
    <w:p w14:paraId="7CB61F5F"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Kempa, R. (2019). Evaluating equitable distribution of teacher in Southwest Maluku regency, Indonesia. </w:t>
      </w:r>
      <w:r w:rsidRPr="00295473">
        <w:rPr>
          <w:rFonts w:ascii="Arial" w:hAnsi="Arial" w:cs="Arial"/>
          <w:i/>
          <w:iCs/>
          <w:sz w:val="22"/>
          <w:szCs w:val="22"/>
        </w:rPr>
        <w:t>Journal for the Education of Gifted Young Scientists</w:t>
      </w:r>
      <w:r w:rsidRPr="00295473">
        <w:rPr>
          <w:rFonts w:ascii="Arial" w:hAnsi="Arial" w:cs="Arial"/>
          <w:sz w:val="22"/>
          <w:szCs w:val="22"/>
        </w:rPr>
        <w:t>, </w:t>
      </w:r>
      <w:r w:rsidRPr="00295473">
        <w:rPr>
          <w:rFonts w:ascii="Arial" w:hAnsi="Arial" w:cs="Arial"/>
          <w:i/>
          <w:iCs/>
          <w:sz w:val="22"/>
          <w:szCs w:val="22"/>
        </w:rPr>
        <w:t>7</w:t>
      </w:r>
      <w:r w:rsidRPr="00295473">
        <w:rPr>
          <w:rFonts w:ascii="Arial" w:hAnsi="Arial" w:cs="Arial"/>
          <w:sz w:val="22"/>
          <w:szCs w:val="22"/>
        </w:rPr>
        <w:t xml:space="preserve">(4), 1195-1224. </w:t>
      </w:r>
      <w:hyperlink r:id="rId37" w:history="1">
        <w:r w:rsidRPr="000A03E7">
          <w:rPr>
            <w:rStyle w:val="Hyperlink"/>
            <w:rFonts w:ascii="Arial" w:hAnsi="Arial" w:cs="Arial"/>
            <w:color w:val="002060"/>
            <w:sz w:val="22"/>
            <w:szCs w:val="22"/>
          </w:rPr>
          <w:t>https://doi.org/10.17478/jegys.57</w:t>
        </w:r>
        <w:r w:rsidRPr="000A03E7">
          <w:rPr>
            <w:rStyle w:val="Hyperlink"/>
            <w:rFonts w:ascii="Arial" w:hAnsi="Arial" w:cs="Arial"/>
            <w:color w:val="002060"/>
            <w:sz w:val="22"/>
            <w:szCs w:val="22"/>
          </w:rPr>
          <w:t>3</w:t>
        </w:r>
        <w:r w:rsidRPr="000A03E7">
          <w:rPr>
            <w:rStyle w:val="Hyperlink"/>
            <w:rFonts w:ascii="Arial" w:hAnsi="Arial" w:cs="Arial"/>
            <w:color w:val="002060"/>
            <w:sz w:val="22"/>
            <w:szCs w:val="22"/>
          </w:rPr>
          <w:t>546</w:t>
        </w:r>
      </w:hyperlink>
    </w:p>
    <w:p w14:paraId="7B5071D5" w14:textId="378F8139" w:rsidR="00285855"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Maher, D., &amp; Prescott, A. (2017). Professional development for rural and remote teachers using video conferencing. </w:t>
      </w:r>
      <w:r w:rsidRPr="00295473">
        <w:rPr>
          <w:rFonts w:ascii="Arial" w:hAnsi="Arial" w:cs="Arial"/>
          <w:i/>
          <w:iCs/>
          <w:sz w:val="22"/>
          <w:szCs w:val="22"/>
        </w:rPr>
        <w:t>Asia-Pacific Journal of Teacher Education</w:t>
      </w:r>
      <w:r w:rsidRPr="00295473">
        <w:rPr>
          <w:rFonts w:ascii="Arial" w:hAnsi="Arial" w:cs="Arial"/>
          <w:sz w:val="22"/>
          <w:szCs w:val="22"/>
        </w:rPr>
        <w:t>, </w:t>
      </w:r>
      <w:r w:rsidRPr="00295473">
        <w:rPr>
          <w:rFonts w:ascii="Arial" w:hAnsi="Arial" w:cs="Arial"/>
          <w:i/>
          <w:iCs/>
          <w:sz w:val="22"/>
          <w:szCs w:val="22"/>
        </w:rPr>
        <w:t>45</w:t>
      </w:r>
      <w:r w:rsidRPr="00295473">
        <w:rPr>
          <w:rFonts w:ascii="Arial" w:hAnsi="Arial" w:cs="Arial"/>
          <w:sz w:val="22"/>
          <w:szCs w:val="22"/>
        </w:rPr>
        <w:t>(5), 520-538.</w:t>
      </w:r>
      <w:r w:rsidR="00285855">
        <w:rPr>
          <w:rFonts w:ascii="Arial" w:hAnsi="Arial" w:cs="Arial"/>
          <w:sz w:val="22"/>
          <w:szCs w:val="22"/>
        </w:rPr>
        <w:t xml:space="preserve"> </w:t>
      </w:r>
      <w:hyperlink r:id="rId38" w:history="1">
        <w:r w:rsidR="00285855" w:rsidRPr="00DA3A25">
          <w:rPr>
            <w:rStyle w:val="Hyperlink"/>
            <w:rFonts w:ascii="Arial" w:hAnsi="Arial" w:cs="Arial"/>
            <w:sz w:val="22"/>
            <w:szCs w:val="22"/>
          </w:rPr>
          <w:t>https://doi.org/10.1080/1359866X.2017.12</w:t>
        </w:r>
        <w:r w:rsidR="00285855" w:rsidRPr="00DA3A25">
          <w:rPr>
            <w:rStyle w:val="Hyperlink"/>
            <w:rFonts w:ascii="Arial" w:hAnsi="Arial" w:cs="Arial"/>
            <w:sz w:val="22"/>
            <w:szCs w:val="22"/>
          </w:rPr>
          <w:t>9</w:t>
        </w:r>
        <w:r w:rsidR="00285855" w:rsidRPr="00DA3A25">
          <w:rPr>
            <w:rStyle w:val="Hyperlink"/>
            <w:rFonts w:ascii="Arial" w:hAnsi="Arial" w:cs="Arial"/>
            <w:sz w:val="22"/>
            <w:szCs w:val="22"/>
          </w:rPr>
          <w:t>6930</w:t>
        </w:r>
      </w:hyperlink>
    </w:p>
    <w:p w14:paraId="7CF0C297"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Moyle, K., Rampal, A., Rochsantiningsih, D., &amp; Kristiandi, K. (2017). Rapid review of curriculum 2013 and textbooks.</w:t>
      </w:r>
      <w:r w:rsidRPr="000A03E7">
        <w:rPr>
          <w:rFonts w:ascii="Roboto" w:eastAsia="Times New Roman" w:hAnsi="Roboto"/>
          <w:color w:val="000000"/>
          <w:sz w:val="17"/>
          <w:szCs w:val="17"/>
          <w:shd w:val="clear" w:color="auto" w:fill="FFFFFF"/>
          <w:lang w:eastAsia="en-US"/>
        </w:rPr>
        <w:t xml:space="preserve"> </w:t>
      </w:r>
      <w:r w:rsidRPr="000A03E7">
        <w:rPr>
          <w:rFonts w:ascii="Arial" w:hAnsi="Arial" w:cs="Arial"/>
          <w:color w:val="002060"/>
          <w:sz w:val="22"/>
          <w:szCs w:val="22"/>
        </w:rPr>
        <w:t>https://research.acer.edu.au/curriculumdevelopment/3</w:t>
      </w:r>
    </w:p>
    <w:p w14:paraId="3B6616B6" w14:textId="0BC0AF41"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Mubarok, R., &amp; Samran, M. (2025). Implementation of Application Based Management of Basic Education Data (DAPODIK) in Elementary Schools. </w:t>
      </w:r>
      <w:r w:rsidRPr="00295473">
        <w:rPr>
          <w:rFonts w:ascii="Arial" w:hAnsi="Arial" w:cs="Arial"/>
          <w:i/>
          <w:iCs/>
          <w:sz w:val="22"/>
          <w:szCs w:val="22"/>
        </w:rPr>
        <w:t>Journal of Elementary Education Research and Practice</w:t>
      </w:r>
      <w:r w:rsidRPr="00295473">
        <w:rPr>
          <w:rFonts w:ascii="Arial" w:hAnsi="Arial" w:cs="Arial"/>
          <w:sz w:val="22"/>
          <w:szCs w:val="22"/>
        </w:rPr>
        <w:t>, </w:t>
      </w:r>
      <w:r w:rsidRPr="00295473">
        <w:rPr>
          <w:rFonts w:ascii="Arial" w:hAnsi="Arial" w:cs="Arial"/>
          <w:i/>
          <w:iCs/>
          <w:sz w:val="22"/>
          <w:szCs w:val="22"/>
        </w:rPr>
        <w:t>1</w:t>
      </w:r>
      <w:r w:rsidRPr="00295473">
        <w:rPr>
          <w:rFonts w:ascii="Arial" w:hAnsi="Arial" w:cs="Arial"/>
          <w:sz w:val="22"/>
          <w:szCs w:val="22"/>
        </w:rPr>
        <w:t>(1), 35-48.</w:t>
      </w:r>
      <w:r>
        <w:rPr>
          <w:rFonts w:ascii="Arial" w:hAnsi="Arial" w:cs="Arial"/>
          <w:sz w:val="22"/>
          <w:szCs w:val="22"/>
        </w:rPr>
        <w:t xml:space="preserve"> </w:t>
      </w:r>
      <w:hyperlink r:id="rId39" w:history="1">
        <w:r w:rsidR="00285855" w:rsidRPr="00DA3A25">
          <w:rPr>
            <w:rStyle w:val="Hyperlink"/>
            <w:rFonts w:ascii="Arial" w:hAnsi="Arial" w:cs="Arial"/>
            <w:sz w:val="22"/>
            <w:szCs w:val="22"/>
          </w:rPr>
          <w:t>https://doi.org/10.70376/2r</w:t>
        </w:r>
        <w:r w:rsidR="00285855" w:rsidRPr="00DA3A25">
          <w:rPr>
            <w:rStyle w:val="Hyperlink"/>
            <w:rFonts w:ascii="Arial" w:hAnsi="Arial" w:cs="Arial"/>
            <w:sz w:val="22"/>
            <w:szCs w:val="22"/>
          </w:rPr>
          <w:t>k</w:t>
        </w:r>
        <w:r w:rsidR="00285855" w:rsidRPr="00DA3A25">
          <w:rPr>
            <w:rStyle w:val="Hyperlink"/>
            <w:rFonts w:ascii="Arial" w:hAnsi="Arial" w:cs="Arial"/>
            <w:sz w:val="22"/>
            <w:szCs w:val="22"/>
          </w:rPr>
          <w:t>ayj30</w:t>
        </w:r>
      </w:hyperlink>
    </w:p>
    <w:p w14:paraId="568227B2"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Muhaimin, A. A., Gamal, A., Setianto, M. A., &amp; Larasati, W. L. (2022). The spatial justice of school distribution in Jakarta. </w:t>
      </w:r>
      <w:r w:rsidRPr="00295473">
        <w:rPr>
          <w:rFonts w:ascii="Arial" w:hAnsi="Arial" w:cs="Arial"/>
          <w:i/>
          <w:iCs/>
          <w:sz w:val="22"/>
          <w:szCs w:val="22"/>
        </w:rPr>
        <w:t>Heliyon</w:t>
      </w:r>
      <w:r w:rsidRPr="00295473">
        <w:rPr>
          <w:rFonts w:ascii="Arial" w:hAnsi="Arial" w:cs="Arial"/>
          <w:sz w:val="22"/>
          <w:szCs w:val="22"/>
        </w:rPr>
        <w:t>, </w:t>
      </w:r>
      <w:r w:rsidRPr="00295473">
        <w:rPr>
          <w:rFonts w:ascii="Arial" w:hAnsi="Arial" w:cs="Arial"/>
          <w:i/>
          <w:iCs/>
          <w:sz w:val="22"/>
          <w:szCs w:val="22"/>
        </w:rPr>
        <w:t>8</w:t>
      </w:r>
      <w:r w:rsidRPr="00295473">
        <w:rPr>
          <w:rFonts w:ascii="Arial" w:hAnsi="Arial" w:cs="Arial"/>
          <w:sz w:val="22"/>
          <w:szCs w:val="22"/>
        </w:rPr>
        <w:t xml:space="preserve">(11). </w:t>
      </w:r>
      <w:hyperlink r:id="rId40" w:tgtFrame="_blank" w:history="1">
        <w:r w:rsidRPr="00F81B05">
          <w:rPr>
            <w:rStyle w:val="Hyperlink"/>
            <w:rFonts w:ascii="Arial" w:hAnsi="Arial" w:cs="Arial"/>
            <w:color w:val="002060"/>
            <w:sz w:val="22"/>
            <w:szCs w:val="22"/>
          </w:rPr>
          <w:t>10.1016/j.heliyon.20</w:t>
        </w:r>
        <w:r w:rsidRPr="00F81B05">
          <w:rPr>
            <w:rStyle w:val="Hyperlink"/>
            <w:rFonts w:ascii="Arial" w:hAnsi="Arial" w:cs="Arial"/>
            <w:color w:val="002060"/>
            <w:sz w:val="22"/>
            <w:szCs w:val="22"/>
          </w:rPr>
          <w:t>2</w:t>
        </w:r>
        <w:r w:rsidRPr="00F81B05">
          <w:rPr>
            <w:rStyle w:val="Hyperlink"/>
            <w:rFonts w:ascii="Arial" w:hAnsi="Arial" w:cs="Arial"/>
            <w:color w:val="002060"/>
            <w:sz w:val="22"/>
            <w:szCs w:val="22"/>
          </w:rPr>
          <w:t>2.e11369</w:t>
        </w:r>
      </w:hyperlink>
    </w:p>
    <w:p w14:paraId="5A39C0DD" w14:textId="65172182"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Murniarti, E. (2015). </w:t>
      </w:r>
      <w:r w:rsidR="001B6E99" w:rsidRPr="001B6E99">
        <w:rPr>
          <w:rFonts w:ascii="Arial" w:hAnsi="Arial" w:cs="Arial"/>
          <w:sz w:val="22"/>
          <w:szCs w:val="22"/>
        </w:rPr>
        <w:t>Module on commitment, integrity, and educational ethics. Christian University of Indonesia.</w:t>
      </w:r>
    </w:p>
    <w:p w14:paraId="74A8B905"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lang w:val="id-ID"/>
        </w:rPr>
      </w:pPr>
      <w:r w:rsidRPr="00295473">
        <w:rPr>
          <w:rFonts w:ascii="Arial" w:hAnsi="Arial" w:cs="Arial"/>
          <w:sz w:val="22"/>
          <w:szCs w:val="22"/>
        </w:rPr>
        <w:t xml:space="preserve">Murniarti, E., Sihotang, H., &amp; Rangka, I. B. (2020). Life satisfaction and self-development initiatives among honorary teachers in primary schools. </w:t>
      </w:r>
      <w:r w:rsidRPr="00295473">
        <w:rPr>
          <w:rStyle w:val="Penekanan"/>
          <w:rFonts w:ascii="Arial" w:hAnsi="Arial" w:cs="Arial"/>
          <w:sz w:val="22"/>
          <w:szCs w:val="22"/>
        </w:rPr>
        <w:t>Elementary Education Online, 19</w:t>
      </w:r>
      <w:r w:rsidRPr="00295473">
        <w:rPr>
          <w:rFonts w:ascii="Arial" w:hAnsi="Arial" w:cs="Arial"/>
          <w:sz w:val="22"/>
          <w:szCs w:val="22"/>
        </w:rPr>
        <w:t>(4), 2571–2586</w:t>
      </w:r>
      <w:r w:rsidRPr="00295473">
        <w:rPr>
          <w:rFonts w:ascii="Arial" w:hAnsi="Arial" w:cs="Arial"/>
          <w:sz w:val="22"/>
          <w:szCs w:val="22"/>
          <w:lang w:val="id-ID"/>
        </w:rPr>
        <w:t>.</w:t>
      </w:r>
    </w:p>
    <w:p w14:paraId="07CEF3C0" w14:textId="22729F5D"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lang w:val="id-ID"/>
        </w:rPr>
      </w:pPr>
      <w:r w:rsidRPr="00295473">
        <w:rPr>
          <w:rFonts w:ascii="Arial" w:hAnsi="Arial" w:cs="Arial"/>
          <w:sz w:val="22"/>
          <w:szCs w:val="22"/>
          <w:lang w:val="id-ID"/>
        </w:rPr>
        <w:t>Nawawi, N., &amp; Syamsul, A. (2024).</w:t>
      </w:r>
      <w:r w:rsidR="001B6E99" w:rsidRPr="001B6E99">
        <w:t xml:space="preserve"> </w:t>
      </w:r>
      <w:r w:rsidR="001B6E99" w:rsidRPr="001B6E99">
        <w:rPr>
          <w:rFonts w:ascii="Arial" w:hAnsi="Arial" w:cs="Arial"/>
          <w:sz w:val="22"/>
          <w:szCs w:val="22"/>
          <w:lang w:val="id-ID"/>
        </w:rPr>
        <w:t>Spatial equity and teacher distribution in Indonesia: A policy study. Proceedings of the National Seminar on Teacher Professional Education.</w:t>
      </w:r>
      <w:r w:rsidRPr="00295473">
        <w:rPr>
          <w:rFonts w:ascii="Arial" w:hAnsi="Arial" w:cs="Arial"/>
          <w:sz w:val="22"/>
          <w:szCs w:val="22"/>
          <w:lang w:val="id-ID"/>
        </w:rPr>
        <w:t xml:space="preserve"> </w:t>
      </w:r>
      <w:hyperlink r:id="rId41" w:history="1">
        <w:r w:rsidR="00285855" w:rsidRPr="00DA3A25">
          <w:rPr>
            <w:rStyle w:val="Hyperlink"/>
            <w:rFonts w:ascii="Arial" w:hAnsi="Arial" w:cs="Arial"/>
            <w:sz w:val="22"/>
            <w:szCs w:val="22"/>
            <w:lang w:val="id-ID"/>
          </w:rPr>
          <w:t>https://repository.uinjkt.ac.id/id/eprint/700</w:t>
        </w:r>
        <w:r w:rsidR="00285855" w:rsidRPr="00DA3A25">
          <w:rPr>
            <w:rStyle w:val="Hyperlink"/>
            <w:rFonts w:ascii="Arial" w:hAnsi="Arial" w:cs="Arial"/>
            <w:sz w:val="22"/>
            <w:szCs w:val="22"/>
            <w:lang w:val="id-ID"/>
          </w:rPr>
          <w:t>0</w:t>
        </w:r>
        <w:r w:rsidR="00285855" w:rsidRPr="00DA3A25">
          <w:rPr>
            <w:rStyle w:val="Hyperlink"/>
            <w:rFonts w:ascii="Arial" w:hAnsi="Arial" w:cs="Arial"/>
            <w:sz w:val="22"/>
            <w:szCs w:val="22"/>
            <w:lang w:val="id-ID"/>
          </w:rPr>
          <w:t>0/</w:t>
        </w:r>
      </w:hyperlink>
    </w:p>
    <w:p w14:paraId="2969B4D7" w14:textId="46D94A68"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r w:rsidRPr="00295473">
        <w:rPr>
          <w:rFonts w:ascii="Arial" w:hAnsi="Arial" w:cs="Arial"/>
          <w:sz w:val="22"/>
          <w:szCs w:val="22"/>
        </w:rPr>
        <w:lastRenderedPageBreak/>
        <w:t>Novita, M., Wijaya, C., &amp; Atmoko, A. W. (2020). Dynamic of Indonesian Teacher Distribution Policies Implementation at Regional Level. </w:t>
      </w:r>
      <w:r w:rsidRPr="00295473">
        <w:rPr>
          <w:rFonts w:ascii="Arial" w:hAnsi="Arial" w:cs="Arial"/>
          <w:i/>
          <w:iCs/>
          <w:sz w:val="22"/>
          <w:szCs w:val="22"/>
        </w:rPr>
        <w:t>Journal of Education &amp; Social Policy</w:t>
      </w:r>
      <w:r w:rsidRPr="00295473">
        <w:rPr>
          <w:rFonts w:ascii="Arial" w:hAnsi="Arial" w:cs="Arial"/>
          <w:sz w:val="22"/>
          <w:szCs w:val="22"/>
        </w:rPr>
        <w:t>, </w:t>
      </w:r>
      <w:r w:rsidRPr="00295473">
        <w:rPr>
          <w:rFonts w:ascii="Arial" w:hAnsi="Arial" w:cs="Arial"/>
          <w:i/>
          <w:iCs/>
          <w:sz w:val="22"/>
          <w:szCs w:val="22"/>
        </w:rPr>
        <w:t>7</w:t>
      </w:r>
      <w:r w:rsidRPr="00295473">
        <w:rPr>
          <w:rFonts w:ascii="Arial" w:hAnsi="Arial" w:cs="Arial"/>
          <w:sz w:val="22"/>
          <w:szCs w:val="22"/>
        </w:rPr>
        <w:t>(1), 130-139.</w:t>
      </w:r>
      <w:r w:rsidRPr="00F81B05">
        <w:rPr>
          <w:rFonts w:ascii="Arial" w:hAnsi="Arial" w:cs="Arial"/>
          <w:color w:val="002060"/>
          <w:sz w:val="22"/>
          <w:szCs w:val="22"/>
        </w:rPr>
        <w:t xml:space="preserve"> </w:t>
      </w:r>
      <w:hyperlink r:id="rId42" w:history="1">
        <w:r w:rsidRPr="00DA3A25">
          <w:rPr>
            <w:rStyle w:val="Hyperlink"/>
            <w:rFonts w:ascii="Arial" w:hAnsi="Arial" w:cs="Arial"/>
            <w:sz w:val="22"/>
            <w:szCs w:val="22"/>
          </w:rPr>
          <w:t>http://doi.org/</w:t>
        </w:r>
        <w:r w:rsidRPr="00DA3A25">
          <w:rPr>
            <w:rStyle w:val="Hyperlink"/>
            <w:rFonts w:ascii="Arial" w:hAnsi="Arial" w:cs="Arial"/>
            <w:sz w:val="22"/>
            <w:szCs w:val="22"/>
          </w:rPr>
          <w:t>doi:10.30845/jesp.v7</w:t>
        </w:r>
        <w:r w:rsidRPr="00DA3A25">
          <w:rPr>
            <w:rStyle w:val="Hyperlink"/>
            <w:rFonts w:ascii="Arial" w:hAnsi="Arial" w:cs="Arial"/>
            <w:sz w:val="22"/>
            <w:szCs w:val="22"/>
          </w:rPr>
          <w:t>n</w:t>
        </w:r>
        <w:r w:rsidRPr="00DA3A25">
          <w:rPr>
            <w:rStyle w:val="Hyperlink"/>
            <w:rFonts w:ascii="Arial" w:hAnsi="Arial" w:cs="Arial"/>
            <w:sz w:val="22"/>
            <w:szCs w:val="22"/>
          </w:rPr>
          <w:t>1p15</w:t>
        </w:r>
      </w:hyperlink>
    </w:p>
    <w:p w14:paraId="574B5666"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OECD. (2022). </w:t>
      </w:r>
      <w:r w:rsidRPr="00295473">
        <w:rPr>
          <w:rStyle w:val="Penekanan"/>
          <w:rFonts w:ascii="Arial" w:hAnsi="Arial" w:cs="Arial"/>
          <w:sz w:val="22"/>
          <w:szCs w:val="22"/>
        </w:rPr>
        <w:t>Education at a glance 2022: OECD indicators.</w:t>
      </w:r>
      <w:r w:rsidRPr="00295473">
        <w:rPr>
          <w:rFonts w:ascii="Arial" w:hAnsi="Arial" w:cs="Arial"/>
          <w:sz w:val="22"/>
          <w:szCs w:val="22"/>
        </w:rPr>
        <w:t xml:space="preserve"> OECD Publishing.</w:t>
      </w:r>
    </w:p>
    <w:p w14:paraId="003E6D09"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Parasti, N., &amp; Murwaningsih, T. (2025). Elementary School Teachers' Understanding of Differentiated Instruction: Challenges and Opportunities. </w:t>
      </w:r>
      <w:r w:rsidRPr="00295473">
        <w:rPr>
          <w:rFonts w:ascii="Arial" w:hAnsi="Arial" w:cs="Arial"/>
          <w:i/>
          <w:iCs/>
          <w:sz w:val="22"/>
          <w:szCs w:val="22"/>
        </w:rPr>
        <w:t>PrimaryEdu: Journal of Primary Education</w:t>
      </w:r>
      <w:r w:rsidRPr="00295473">
        <w:rPr>
          <w:rFonts w:ascii="Arial" w:hAnsi="Arial" w:cs="Arial"/>
          <w:sz w:val="22"/>
          <w:szCs w:val="22"/>
        </w:rPr>
        <w:t>, </w:t>
      </w:r>
      <w:r w:rsidRPr="00295473">
        <w:rPr>
          <w:rFonts w:ascii="Arial" w:hAnsi="Arial" w:cs="Arial"/>
          <w:i/>
          <w:iCs/>
          <w:sz w:val="22"/>
          <w:szCs w:val="22"/>
        </w:rPr>
        <w:t>9</w:t>
      </w:r>
      <w:r w:rsidRPr="00295473">
        <w:rPr>
          <w:rFonts w:ascii="Arial" w:hAnsi="Arial" w:cs="Arial"/>
          <w:sz w:val="22"/>
          <w:szCs w:val="22"/>
        </w:rPr>
        <w:t>(2), 42-57.</w:t>
      </w:r>
      <w:r>
        <w:rPr>
          <w:rFonts w:ascii="Arial" w:hAnsi="Arial" w:cs="Arial"/>
          <w:sz w:val="22"/>
          <w:szCs w:val="22"/>
        </w:rPr>
        <w:t xml:space="preserve"> </w:t>
      </w:r>
    </w:p>
    <w:p w14:paraId="75E9ADE9"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Pramono, R. W. D. (2016). Capability Approach for well-being Evaluation in Regional Development Planning: Case Study in Magelang Regency. Central Java, Indonesia.</w:t>
      </w:r>
    </w:p>
    <w:p w14:paraId="20C1B3F7" w14:textId="727D0ED6"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Pratiwi, E. Y. R. (2022).</w:t>
      </w:r>
      <w:r w:rsidR="001B6E99" w:rsidRPr="001B6E99">
        <w:t xml:space="preserve"> </w:t>
      </w:r>
      <w:r w:rsidR="001B6E99" w:rsidRPr="001B6E99">
        <w:rPr>
          <w:rFonts w:ascii="Arial" w:hAnsi="Arial" w:cs="Arial"/>
          <w:sz w:val="22"/>
          <w:szCs w:val="22"/>
        </w:rPr>
        <w:t>Evaluation of the Vanguard Teacher Program on the Quality of Elementary School Teachers in the 3T Region. Cakrawala Pendas Journal</w:t>
      </w:r>
      <w:r w:rsidRPr="00295473">
        <w:rPr>
          <w:rFonts w:ascii="Arial" w:hAnsi="Arial" w:cs="Arial"/>
          <w:sz w:val="22"/>
          <w:szCs w:val="22"/>
        </w:rPr>
        <w:t>, </w:t>
      </w:r>
      <w:r w:rsidRPr="00295473">
        <w:rPr>
          <w:rFonts w:ascii="Arial" w:hAnsi="Arial" w:cs="Arial"/>
          <w:i/>
          <w:iCs/>
          <w:sz w:val="22"/>
          <w:szCs w:val="22"/>
        </w:rPr>
        <w:t>8</w:t>
      </w:r>
      <w:r w:rsidRPr="00295473">
        <w:rPr>
          <w:rFonts w:ascii="Arial" w:hAnsi="Arial" w:cs="Arial"/>
          <w:sz w:val="22"/>
          <w:szCs w:val="22"/>
        </w:rPr>
        <w:t xml:space="preserve">(3), 810-818. </w:t>
      </w:r>
      <w:hyperlink r:id="rId43" w:history="1">
        <w:r w:rsidRPr="00DA3A25">
          <w:rPr>
            <w:rStyle w:val="Hyperlink"/>
            <w:rFonts w:ascii="Arial" w:hAnsi="Arial" w:cs="Arial"/>
            <w:sz w:val="22"/>
            <w:szCs w:val="22"/>
          </w:rPr>
          <w:t>https://doi.org/10.31949/jcp.v8i3.2615</w:t>
        </w:r>
      </w:hyperlink>
    </w:p>
    <w:p w14:paraId="4221D762"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Purwanto, N. A., &amp; Yuliana, L. (2025). Data-Driven Evaluation of Leadership Competency Development for Elementary School Principals: A Systems Engineering Approach. </w:t>
      </w:r>
      <w:r w:rsidRPr="00295473">
        <w:rPr>
          <w:rFonts w:ascii="Arial" w:hAnsi="Arial" w:cs="Arial"/>
          <w:i/>
          <w:iCs/>
          <w:sz w:val="22"/>
          <w:szCs w:val="22"/>
        </w:rPr>
        <w:t>ASEAN Journal of Science and Engineering</w:t>
      </w:r>
      <w:r w:rsidRPr="00295473">
        <w:rPr>
          <w:rFonts w:ascii="Arial" w:hAnsi="Arial" w:cs="Arial"/>
          <w:sz w:val="22"/>
          <w:szCs w:val="22"/>
        </w:rPr>
        <w:t>, </w:t>
      </w:r>
      <w:r w:rsidRPr="00295473">
        <w:rPr>
          <w:rFonts w:ascii="Arial" w:hAnsi="Arial" w:cs="Arial"/>
          <w:i/>
          <w:iCs/>
          <w:sz w:val="22"/>
          <w:szCs w:val="22"/>
        </w:rPr>
        <w:t>5</w:t>
      </w:r>
      <w:r w:rsidRPr="00295473">
        <w:rPr>
          <w:rFonts w:ascii="Arial" w:hAnsi="Arial" w:cs="Arial"/>
          <w:sz w:val="22"/>
          <w:szCs w:val="22"/>
        </w:rPr>
        <w:t>(2), 447-464.</w:t>
      </w:r>
      <w:r w:rsidRPr="00504022">
        <w:rPr>
          <w:rFonts w:ascii="Arial" w:hAnsi="Arial" w:cs="Arial"/>
          <w:color w:val="002060"/>
          <w:sz w:val="22"/>
          <w:szCs w:val="22"/>
        </w:rPr>
        <w:t xml:space="preserve"> </w:t>
      </w:r>
      <w:hyperlink r:id="rId44" w:history="1">
        <w:r w:rsidRPr="00504022">
          <w:rPr>
            <w:rStyle w:val="Hyperlink"/>
            <w:rFonts w:ascii="Arial" w:hAnsi="Arial" w:cs="Arial"/>
            <w:color w:val="002060"/>
            <w:sz w:val="22"/>
            <w:szCs w:val="22"/>
          </w:rPr>
          <w:t>https://doi.org/10.175</w:t>
        </w:r>
        <w:r w:rsidRPr="00504022">
          <w:rPr>
            <w:rStyle w:val="Hyperlink"/>
            <w:rFonts w:ascii="Arial" w:hAnsi="Arial" w:cs="Arial"/>
            <w:color w:val="002060"/>
            <w:sz w:val="22"/>
            <w:szCs w:val="22"/>
          </w:rPr>
          <w:t>0</w:t>
        </w:r>
        <w:r w:rsidRPr="00504022">
          <w:rPr>
            <w:rStyle w:val="Hyperlink"/>
            <w:rFonts w:ascii="Arial" w:hAnsi="Arial" w:cs="Arial"/>
            <w:color w:val="002060"/>
            <w:sz w:val="22"/>
            <w:szCs w:val="22"/>
          </w:rPr>
          <w:t>9/ajse.v5i2.88663</w:t>
        </w:r>
      </w:hyperlink>
    </w:p>
    <w:p w14:paraId="27509D79"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Rahmadi, A., Istiqamah, I., &amp; Adriyanto, M. (2010). Education in Remote Areas from Teacher’s Perspectives: a case study of East Kalimantan, INDONESIA. </w:t>
      </w:r>
      <w:r w:rsidRPr="00295473">
        <w:rPr>
          <w:rFonts w:ascii="Arial" w:hAnsi="Arial" w:cs="Arial"/>
          <w:i/>
          <w:iCs/>
          <w:sz w:val="22"/>
          <w:szCs w:val="22"/>
        </w:rPr>
        <w:t>Education Counts, no</w:t>
      </w:r>
      <w:r w:rsidRPr="00295473">
        <w:rPr>
          <w:rFonts w:ascii="Arial" w:hAnsi="Arial" w:cs="Arial"/>
          <w:sz w:val="22"/>
          <w:szCs w:val="22"/>
        </w:rPr>
        <w:t>, 1-25.</w:t>
      </w:r>
    </w:p>
    <w:p w14:paraId="5AB600C0" w14:textId="3D6AB30B"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Samhaji, S., &amp; Anggara, F. D. (2025). </w:t>
      </w:r>
      <w:r w:rsidR="001B6E99" w:rsidRPr="001B6E99">
        <w:rPr>
          <w:rFonts w:ascii="Arial" w:hAnsi="Arial" w:cs="Arial"/>
          <w:sz w:val="22"/>
          <w:szCs w:val="22"/>
        </w:rPr>
        <w:t>Analysis of the Implementation of the Policy on Equal Access to Education in Underdeveloped Regions of Indonesia.</w:t>
      </w:r>
      <w:r w:rsidR="001B6E99">
        <w:rPr>
          <w:rFonts w:ascii="Arial" w:hAnsi="Arial" w:cs="Arial"/>
          <w:sz w:val="22"/>
          <w:szCs w:val="22"/>
        </w:rPr>
        <w:t xml:space="preserve"> </w:t>
      </w:r>
      <w:r w:rsidRPr="00295473">
        <w:rPr>
          <w:rFonts w:ascii="Arial" w:hAnsi="Arial" w:cs="Arial"/>
          <w:i/>
          <w:iCs/>
          <w:sz w:val="22"/>
          <w:szCs w:val="22"/>
        </w:rPr>
        <w:t>Journal of Governance and Policy Innovation</w:t>
      </w:r>
      <w:r w:rsidRPr="00295473">
        <w:rPr>
          <w:rFonts w:ascii="Arial" w:hAnsi="Arial" w:cs="Arial"/>
          <w:sz w:val="22"/>
          <w:szCs w:val="22"/>
        </w:rPr>
        <w:t>, </w:t>
      </w:r>
      <w:r w:rsidRPr="00295473">
        <w:rPr>
          <w:rFonts w:ascii="Arial" w:hAnsi="Arial" w:cs="Arial"/>
          <w:i/>
          <w:iCs/>
          <w:sz w:val="22"/>
          <w:szCs w:val="22"/>
        </w:rPr>
        <w:t>5</w:t>
      </w:r>
      <w:r w:rsidRPr="00295473">
        <w:rPr>
          <w:rFonts w:ascii="Arial" w:hAnsi="Arial" w:cs="Arial"/>
          <w:sz w:val="22"/>
          <w:szCs w:val="22"/>
        </w:rPr>
        <w:t xml:space="preserve">(2), 99-112. </w:t>
      </w:r>
      <w:hyperlink r:id="rId45" w:history="1">
        <w:r w:rsidRPr="004B1197">
          <w:rPr>
            <w:rStyle w:val="Hyperlink"/>
            <w:rFonts w:ascii="Arial" w:hAnsi="Arial" w:cs="Arial"/>
            <w:color w:val="002060"/>
            <w:sz w:val="22"/>
            <w:szCs w:val="22"/>
          </w:rPr>
          <w:t>https://doi.org/10.51577/j</w:t>
        </w:r>
        <w:r w:rsidRPr="004B1197">
          <w:rPr>
            <w:rStyle w:val="Hyperlink"/>
            <w:rFonts w:ascii="Arial" w:hAnsi="Arial" w:cs="Arial"/>
            <w:color w:val="002060"/>
            <w:sz w:val="22"/>
            <w:szCs w:val="22"/>
          </w:rPr>
          <w:t>g</w:t>
        </w:r>
        <w:r w:rsidRPr="004B1197">
          <w:rPr>
            <w:rStyle w:val="Hyperlink"/>
            <w:rFonts w:ascii="Arial" w:hAnsi="Arial" w:cs="Arial"/>
            <w:color w:val="002060"/>
            <w:sz w:val="22"/>
            <w:szCs w:val="22"/>
          </w:rPr>
          <w:t>pi.v5i2.839</w:t>
        </w:r>
      </w:hyperlink>
    </w:p>
    <w:p w14:paraId="417880C3" w14:textId="0FEC0B3F"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Saultz, A., White, R. S., Mceachin, A., Fusarelli, L. D., &amp; Fusarelli, B. C. (2017). Teacher quality, distribution, and equity in ESSA. </w:t>
      </w:r>
      <w:r w:rsidRPr="00295473">
        <w:rPr>
          <w:rFonts w:ascii="Arial" w:hAnsi="Arial" w:cs="Arial"/>
          <w:i/>
          <w:iCs/>
          <w:sz w:val="22"/>
          <w:szCs w:val="22"/>
        </w:rPr>
        <w:t>Journal of School Leadership</w:t>
      </w:r>
      <w:r w:rsidRPr="00295473">
        <w:rPr>
          <w:rFonts w:ascii="Arial" w:hAnsi="Arial" w:cs="Arial"/>
          <w:sz w:val="22"/>
          <w:szCs w:val="22"/>
        </w:rPr>
        <w:t>, </w:t>
      </w:r>
      <w:r w:rsidRPr="00295473">
        <w:rPr>
          <w:rFonts w:ascii="Arial" w:hAnsi="Arial" w:cs="Arial"/>
          <w:i/>
          <w:iCs/>
          <w:sz w:val="22"/>
          <w:szCs w:val="22"/>
        </w:rPr>
        <w:t>27</w:t>
      </w:r>
      <w:r w:rsidRPr="00295473">
        <w:rPr>
          <w:rFonts w:ascii="Arial" w:hAnsi="Arial" w:cs="Arial"/>
          <w:sz w:val="22"/>
          <w:szCs w:val="22"/>
        </w:rPr>
        <w:t xml:space="preserve">(5), 652-674. </w:t>
      </w:r>
      <w:hyperlink r:id="rId46" w:history="1">
        <w:r w:rsidRPr="00DA3A25">
          <w:rPr>
            <w:rStyle w:val="Hyperlink"/>
            <w:rFonts w:ascii="Arial" w:hAnsi="Arial" w:cs="Arial"/>
            <w:sz w:val="22"/>
            <w:szCs w:val="22"/>
          </w:rPr>
          <w:t>https://doi.org/10.1177/1052684617027</w:t>
        </w:r>
        <w:r w:rsidRPr="00DA3A25">
          <w:rPr>
            <w:rStyle w:val="Hyperlink"/>
            <w:rFonts w:ascii="Arial" w:hAnsi="Arial" w:cs="Arial"/>
            <w:sz w:val="22"/>
            <w:szCs w:val="22"/>
          </w:rPr>
          <w:t>0</w:t>
        </w:r>
        <w:r w:rsidRPr="00DA3A25">
          <w:rPr>
            <w:rStyle w:val="Hyperlink"/>
            <w:rFonts w:ascii="Arial" w:hAnsi="Arial" w:cs="Arial"/>
            <w:sz w:val="22"/>
            <w:szCs w:val="22"/>
          </w:rPr>
          <w:t>0503</w:t>
        </w:r>
      </w:hyperlink>
    </w:p>
    <w:p w14:paraId="3DA296F3" w14:textId="4A7092C4"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Sihaloho, W., Tanjung, D. R., Harahap, S. A., Barus, A., Ningsih, S. P., &amp; Rohali, A. (2023).</w:t>
      </w:r>
      <w:r w:rsidR="001B6E99" w:rsidRPr="001B6E99">
        <w:t xml:space="preserve"> </w:t>
      </w:r>
      <w:r w:rsidR="001B6E99" w:rsidRPr="001B6E99">
        <w:rPr>
          <w:rFonts w:ascii="Arial" w:hAnsi="Arial" w:cs="Arial"/>
          <w:sz w:val="22"/>
          <w:szCs w:val="22"/>
        </w:rPr>
        <w:t>Education and Social Change</w:t>
      </w:r>
      <w:r w:rsidRPr="00295473">
        <w:rPr>
          <w:rFonts w:ascii="Arial" w:hAnsi="Arial" w:cs="Arial"/>
          <w:sz w:val="22"/>
          <w:szCs w:val="22"/>
        </w:rPr>
        <w:t>. </w:t>
      </w:r>
      <w:r w:rsidRPr="00295473">
        <w:rPr>
          <w:rFonts w:ascii="Arial" w:hAnsi="Arial" w:cs="Arial"/>
          <w:i/>
          <w:iCs/>
          <w:sz w:val="22"/>
          <w:szCs w:val="22"/>
        </w:rPr>
        <w:t>Jurnal Dirosah Islamiyah</w:t>
      </w:r>
      <w:r w:rsidRPr="00295473">
        <w:rPr>
          <w:rFonts w:ascii="Arial" w:hAnsi="Arial" w:cs="Arial"/>
          <w:sz w:val="22"/>
          <w:szCs w:val="22"/>
        </w:rPr>
        <w:t>, </w:t>
      </w:r>
      <w:r w:rsidRPr="00295473">
        <w:rPr>
          <w:rFonts w:ascii="Arial" w:hAnsi="Arial" w:cs="Arial"/>
          <w:i/>
          <w:iCs/>
          <w:sz w:val="22"/>
          <w:szCs w:val="22"/>
        </w:rPr>
        <w:t>5</w:t>
      </w:r>
      <w:r w:rsidRPr="00295473">
        <w:rPr>
          <w:rFonts w:ascii="Arial" w:hAnsi="Arial" w:cs="Arial"/>
          <w:sz w:val="22"/>
          <w:szCs w:val="22"/>
        </w:rPr>
        <w:t>(3), 829-841</w:t>
      </w:r>
      <w:r>
        <w:rPr>
          <w:rFonts w:ascii="Arial" w:hAnsi="Arial" w:cs="Arial"/>
          <w:sz w:val="22"/>
          <w:szCs w:val="22"/>
        </w:rPr>
        <w:t xml:space="preserve">. </w:t>
      </w:r>
      <w:hyperlink r:id="rId47" w:history="1">
        <w:r w:rsidRPr="00C27834">
          <w:rPr>
            <w:rStyle w:val="Hyperlink"/>
            <w:rFonts w:ascii="Arial" w:hAnsi="Arial" w:cs="Arial"/>
            <w:sz w:val="22"/>
            <w:szCs w:val="22"/>
          </w:rPr>
          <w:t>https://doi.org/10.47467/jdi.v5i3.42</w:t>
        </w:r>
        <w:r w:rsidRPr="00C27834">
          <w:rPr>
            <w:rStyle w:val="Hyperlink"/>
            <w:rFonts w:ascii="Arial" w:hAnsi="Arial" w:cs="Arial"/>
            <w:sz w:val="22"/>
            <w:szCs w:val="22"/>
          </w:rPr>
          <w:t>7</w:t>
        </w:r>
        <w:r w:rsidRPr="00C27834">
          <w:rPr>
            <w:rStyle w:val="Hyperlink"/>
            <w:rFonts w:ascii="Arial" w:hAnsi="Arial" w:cs="Arial"/>
            <w:sz w:val="22"/>
            <w:szCs w:val="22"/>
          </w:rPr>
          <w:t>0</w:t>
        </w:r>
      </w:hyperlink>
    </w:p>
    <w:p w14:paraId="2185C8A3"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lastRenderedPageBreak/>
        <w:t>Song, J. (2023). The impact of economic development on inadequate education resources in rural China. </w:t>
      </w:r>
      <w:r w:rsidRPr="00295473">
        <w:rPr>
          <w:rFonts w:ascii="Arial" w:hAnsi="Arial" w:cs="Arial"/>
          <w:i/>
          <w:iCs/>
          <w:sz w:val="22"/>
          <w:szCs w:val="22"/>
        </w:rPr>
        <w:t>J. Educ. Humanit. Social Sci.</w:t>
      </w:r>
      <w:r w:rsidRPr="00295473">
        <w:rPr>
          <w:rFonts w:ascii="Arial" w:hAnsi="Arial" w:cs="Arial"/>
          <w:sz w:val="22"/>
          <w:szCs w:val="22"/>
        </w:rPr>
        <w:t>, </w:t>
      </w:r>
      <w:r w:rsidRPr="00295473">
        <w:rPr>
          <w:rFonts w:ascii="Arial" w:hAnsi="Arial" w:cs="Arial"/>
          <w:i/>
          <w:iCs/>
          <w:sz w:val="22"/>
          <w:szCs w:val="22"/>
        </w:rPr>
        <w:t>23</w:t>
      </w:r>
      <w:r w:rsidRPr="00295473">
        <w:rPr>
          <w:rFonts w:ascii="Arial" w:hAnsi="Arial" w:cs="Arial"/>
          <w:sz w:val="22"/>
          <w:szCs w:val="22"/>
        </w:rPr>
        <w:t>, 285-290.</w:t>
      </w:r>
      <w:r>
        <w:rPr>
          <w:rFonts w:ascii="Arial" w:hAnsi="Arial" w:cs="Arial"/>
          <w:sz w:val="22"/>
          <w:szCs w:val="22"/>
        </w:rPr>
        <w:t xml:space="preserve"> </w:t>
      </w:r>
      <w:hyperlink r:id="rId48" w:history="1">
        <w:r w:rsidRPr="00913734">
          <w:rPr>
            <w:rStyle w:val="Hyperlink"/>
            <w:rFonts w:ascii="Arial" w:hAnsi="Arial" w:cs="Arial"/>
            <w:color w:val="002060"/>
            <w:sz w:val="22"/>
            <w:szCs w:val="22"/>
          </w:rPr>
          <w:t>https://doi.org/10.54097/ehss.v23</w:t>
        </w:r>
        <w:r w:rsidRPr="00913734">
          <w:rPr>
            <w:rStyle w:val="Hyperlink"/>
            <w:rFonts w:ascii="Arial" w:hAnsi="Arial" w:cs="Arial"/>
            <w:color w:val="002060"/>
            <w:sz w:val="22"/>
            <w:szCs w:val="22"/>
          </w:rPr>
          <w:t>i</w:t>
        </w:r>
        <w:r w:rsidRPr="00913734">
          <w:rPr>
            <w:rStyle w:val="Hyperlink"/>
            <w:rFonts w:ascii="Arial" w:hAnsi="Arial" w:cs="Arial"/>
            <w:color w:val="002060"/>
            <w:sz w:val="22"/>
            <w:szCs w:val="22"/>
          </w:rPr>
          <w:t>.12898</w:t>
        </w:r>
      </w:hyperlink>
    </w:p>
    <w:p w14:paraId="246EDF52" w14:textId="6BED608D"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Subair, A. (2024).</w:t>
      </w:r>
      <w:r w:rsidR="001B6E99" w:rsidRPr="001B6E99">
        <w:t xml:space="preserve"> </w:t>
      </w:r>
      <w:r w:rsidR="001B6E99" w:rsidRPr="001B6E99">
        <w:rPr>
          <w:rFonts w:ascii="Arial" w:hAnsi="Arial" w:cs="Arial"/>
          <w:sz w:val="22"/>
          <w:szCs w:val="22"/>
        </w:rPr>
        <w:t>History of Indonesian Education: A Reflection</w:t>
      </w:r>
      <w:r w:rsidR="001B6E99" w:rsidRPr="001B6E99">
        <w:rPr>
          <w:rFonts w:ascii="Arial" w:hAnsi="Arial" w:cs="Arial"/>
          <w:i/>
          <w:iCs/>
          <w:sz w:val="22"/>
          <w:szCs w:val="22"/>
        </w:rPr>
        <w:t>. Indonesian Journal of Intellectuals and Scholars</w:t>
      </w:r>
      <w:r w:rsidRPr="00295473">
        <w:rPr>
          <w:rFonts w:ascii="Arial" w:hAnsi="Arial" w:cs="Arial"/>
          <w:sz w:val="22"/>
          <w:szCs w:val="22"/>
        </w:rPr>
        <w:t>, </w:t>
      </w:r>
      <w:r w:rsidRPr="00295473">
        <w:rPr>
          <w:rFonts w:ascii="Arial" w:hAnsi="Arial" w:cs="Arial"/>
          <w:i/>
          <w:iCs/>
          <w:sz w:val="22"/>
          <w:szCs w:val="22"/>
        </w:rPr>
        <w:t>1</w:t>
      </w:r>
      <w:r w:rsidRPr="00295473">
        <w:rPr>
          <w:rFonts w:ascii="Arial" w:hAnsi="Arial" w:cs="Arial"/>
          <w:sz w:val="22"/>
          <w:szCs w:val="22"/>
        </w:rPr>
        <w:t>(5), 6395-6404.</w:t>
      </w:r>
    </w:p>
    <w:p w14:paraId="4C7A18EA" w14:textId="29C03BF4"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r w:rsidRPr="00295473">
        <w:rPr>
          <w:rFonts w:ascii="Arial" w:hAnsi="Arial" w:cs="Arial"/>
          <w:sz w:val="22"/>
          <w:szCs w:val="22"/>
        </w:rPr>
        <w:t>Sulisworo, D., Nasir, R., &amp; Maryani, I. (2017). Identification of teachers’ problems in Indonesia on facing global community. </w:t>
      </w:r>
      <w:r w:rsidRPr="00295473">
        <w:rPr>
          <w:rFonts w:ascii="Arial" w:hAnsi="Arial" w:cs="Arial"/>
          <w:i/>
          <w:iCs/>
          <w:sz w:val="22"/>
          <w:szCs w:val="22"/>
        </w:rPr>
        <w:t>International Journal of Research Studies in Education</w:t>
      </w:r>
      <w:r w:rsidRPr="00295473">
        <w:rPr>
          <w:rFonts w:ascii="Arial" w:hAnsi="Arial" w:cs="Arial"/>
          <w:sz w:val="22"/>
          <w:szCs w:val="22"/>
        </w:rPr>
        <w:t>, </w:t>
      </w:r>
      <w:r w:rsidRPr="00295473">
        <w:rPr>
          <w:rFonts w:ascii="Arial" w:hAnsi="Arial" w:cs="Arial"/>
          <w:i/>
          <w:iCs/>
          <w:sz w:val="22"/>
          <w:szCs w:val="22"/>
        </w:rPr>
        <w:t>6</w:t>
      </w:r>
      <w:r w:rsidRPr="00295473">
        <w:rPr>
          <w:rFonts w:ascii="Arial" w:hAnsi="Arial" w:cs="Arial"/>
          <w:sz w:val="22"/>
          <w:szCs w:val="22"/>
        </w:rPr>
        <w:t>(2), 81-90.</w:t>
      </w:r>
      <w:r w:rsidRPr="00077DA0">
        <w:rPr>
          <w:rFonts w:ascii="Arial" w:hAnsi="Arial" w:cs="Arial"/>
          <w:color w:val="002060"/>
          <w:sz w:val="22"/>
          <w:szCs w:val="22"/>
        </w:rPr>
        <w:t xml:space="preserve"> </w:t>
      </w:r>
      <w:hyperlink r:id="rId49" w:history="1">
        <w:r w:rsidRPr="00DA3A25">
          <w:rPr>
            <w:rStyle w:val="Hyperlink"/>
            <w:rFonts w:ascii="Arial" w:hAnsi="Arial" w:cs="Arial"/>
            <w:sz w:val="22"/>
            <w:szCs w:val="22"/>
          </w:rPr>
          <w:t>https://doi.org/10.</w:t>
        </w:r>
        <w:r w:rsidRPr="00DA3A25">
          <w:rPr>
            <w:rStyle w:val="Hyperlink"/>
            <w:rFonts w:ascii="Arial" w:hAnsi="Arial" w:cs="Arial"/>
            <w:sz w:val="22"/>
            <w:szCs w:val="22"/>
          </w:rPr>
          <w:t>5</w:t>
        </w:r>
        <w:r w:rsidRPr="00DA3A25">
          <w:rPr>
            <w:rStyle w:val="Hyperlink"/>
            <w:rFonts w:ascii="Arial" w:hAnsi="Arial" w:cs="Arial"/>
            <w:sz w:val="22"/>
            <w:szCs w:val="22"/>
          </w:rPr>
          <w:t>861/ijrse.2016.1519</w:t>
        </w:r>
      </w:hyperlink>
    </w:p>
    <w:p w14:paraId="031AB7D5"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Sutcher, L., Darling-Hammond, L., &amp; Carver-Thomas, D. (2016). A coming crisis in teaching? Teacher supply, demand, and shortages in the US. </w:t>
      </w:r>
      <w:r w:rsidRPr="00295473">
        <w:rPr>
          <w:rFonts w:ascii="Arial" w:hAnsi="Arial" w:cs="Arial"/>
          <w:i/>
          <w:iCs/>
          <w:sz w:val="22"/>
          <w:szCs w:val="22"/>
        </w:rPr>
        <w:t>Learning Policy Institute</w:t>
      </w:r>
      <w:r w:rsidRPr="00295473">
        <w:rPr>
          <w:rFonts w:ascii="Arial" w:hAnsi="Arial" w:cs="Arial"/>
          <w:sz w:val="22"/>
          <w:szCs w:val="22"/>
        </w:rPr>
        <w:t>.</w:t>
      </w:r>
    </w:p>
    <w:p w14:paraId="330B0C4B" w14:textId="7E6FE166"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r w:rsidRPr="00077DA0">
        <w:rPr>
          <w:rFonts w:ascii="Arial" w:hAnsi="Arial" w:cs="Arial"/>
          <w:sz w:val="22"/>
          <w:szCs w:val="22"/>
        </w:rPr>
        <w:t>Sutomo, M., &amp; Siregar, E. S. (2022). Teacher professional development in Indonesia’s remote areas with driven educational philanthropic institutions. </w:t>
      </w:r>
      <w:r w:rsidRPr="00077DA0">
        <w:rPr>
          <w:rFonts w:ascii="Arial" w:hAnsi="Arial" w:cs="Arial"/>
          <w:i/>
          <w:iCs/>
          <w:sz w:val="22"/>
          <w:szCs w:val="22"/>
        </w:rPr>
        <w:t xml:space="preserve">Jurnal Penelitian Dan Pengembangan Pendidikan, 6(3), </w:t>
      </w:r>
      <w:r w:rsidRPr="00077DA0">
        <w:rPr>
          <w:rFonts w:ascii="Arial" w:hAnsi="Arial" w:cs="Arial"/>
          <w:sz w:val="22"/>
          <w:szCs w:val="22"/>
        </w:rPr>
        <w:t>500-509</w:t>
      </w:r>
      <w:r w:rsidRPr="00077DA0">
        <w:rPr>
          <w:rFonts w:ascii="Arial" w:hAnsi="Arial" w:cs="Arial"/>
          <w:i/>
          <w:iCs/>
          <w:sz w:val="22"/>
          <w:szCs w:val="22"/>
        </w:rPr>
        <w:t>.</w:t>
      </w:r>
      <w:r w:rsidRPr="00295473">
        <w:rPr>
          <w:rFonts w:ascii="Arial" w:hAnsi="Arial" w:cs="Arial"/>
          <w:sz w:val="22"/>
          <w:szCs w:val="22"/>
        </w:rPr>
        <w:t xml:space="preserve"> </w:t>
      </w:r>
      <w:hyperlink r:id="rId50" w:history="1">
        <w:bookmarkStart w:id="1" w:name="_Hlk218719151"/>
        <w:r w:rsidRPr="00DA3A25">
          <w:rPr>
            <w:rStyle w:val="Hyperlink"/>
            <w:rFonts w:ascii="Arial" w:hAnsi="Arial" w:cs="Arial"/>
            <w:sz w:val="22"/>
            <w:szCs w:val="22"/>
          </w:rPr>
          <w:t>https://doi.org/</w:t>
        </w:r>
        <w:bookmarkEnd w:id="1"/>
        <w:r w:rsidRPr="00DA3A25">
          <w:rPr>
            <w:rStyle w:val="Hyperlink"/>
            <w:rFonts w:ascii="Arial" w:hAnsi="Arial" w:cs="Arial"/>
            <w:sz w:val="22"/>
            <w:szCs w:val="22"/>
          </w:rPr>
          <w:t>10.23887/jppp.v6i3.5</w:t>
        </w:r>
        <w:r w:rsidRPr="00DA3A25">
          <w:rPr>
            <w:rStyle w:val="Hyperlink"/>
            <w:rFonts w:ascii="Arial" w:hAnsi="Arial" w:cs="Arial"/>
            <w:sz w:val="22"/>
            <w:szCs w:val="22"/>
          </w:rPr>
          <w:t>5</w:t>
        </w:r>
        <w:r w:rsidRPr="00DA3A25">
          <w:rPr>
            <w:rStyle w:val="Hyperlink"/>
            <w:rFonts w:ascii="Arial" w:hAnsi="Arial" w:cs="Arial"/>
            <w:sz w:val="22"/>
            <w:szCs w:val="22"/>
          </w:rPr>
          <w:t>742</w:t>
        </w:r>
      </w:hyperlink>
    </w:p>
    <w:p w14:paraId="49E36FA4"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Syahputra, I., &amp; Budi Hartono, I. Implementation of PANRB regulation policy No. 20 of 2022 in the arrangement and distribution of elementary School PPPK teachers in Langsa City. </w:t>
      </w:r>
    </w:p>
    <w:p w14:paraId="353EC19E" w14:textId="3215F1EC"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Tambunsaribu, G., Murniati, E., Gunawan, R., Sormin, E., &amp; Siahaan, G. (2025).</w:t>
      </w:r>
      <w:r w:rsidR="001B6E99" w:rsidRPr="001B6E99">
        <w:t xml:space="preserve"> </w:t>
      </w:r>
      <w:r w:rsidR="001B6E99" w:rsidRPr="001B6E99">
        <w:rPr>
          <w:rFonts w:ascii="Arial" w:hAnsi="Arial" w:cs="Arial"/>
          <w:sz w:val="22"/>
          <w:szCs w:val="22"/>
        </w:rPr>
        <w:t>Teacher and student training in an effort to improve the quality of basic education in Kademangan Village, Cianjur through the PKM Smart Village program.</w:t>
      </w:r>
      <w:r w:rsidRPr="00295473">
        <w:rPr>
          <w:rFonts w:ascii="Arial" w:hAnsi="Arial" w:cs="Arial"/>
          <w:sz w:val="22"/>
          <w:szCs w:val="22"/>
        </w:rPr>
        <w:t xml:space="preserve"> </w:t>
      </w:r>
      <w:r w:rsidRPr="00295473">
        <w:rPr>
          <w:rStyle w:val="Penekanan"/>
          <w:rFonts w:ascii="Arial" w:hAnsi="Arial" w:cs="Arial"/>
          <w:sz w:val="22"/>
          <w:szCs w:val="22"/>
        </w:rPr>
        <w:t>Abdi Insani</w:t>
      </w:r>
      <w:r w:rsidR="001B6E99">
        <w:rPr>
          <w:rStyle w:val="Penekanan"/>
          <w:rFonts w:ascii="Arial" w:hAnsi="Arial" w:cs="Arial"/>
          <w:sz w:val="22"/>
          <w:szCs w:val="22"/>
        </w:rPr>
        <w:t xml:space="preserve"> Journal</w:t>
      </w:r>
      <w:r w:rsidRPr="00295473">
        <w:rPr>
          <w:rStyle w:val="Penekanan"/>
          <w:rFonts w:ascii="Arial" w:hAnsi="Arial" w:cs="Arial"/>
          <w:sz w:val="22"/>
          <w:szCs w:val="22"/>
        </w:rPr>
        <w:t>, 12</w:t>
      </w:r>
      <w:r w:rsidRPr="00295473">
        <w:rPr>
          <w:rFonts w:ascii="Arial" w:hAnsi="Arial" w:cs="Arial"/>
          <w:sz w:val="22"/>
          <w:szCs w:val="22"/>
        </w:rPr>
        <w:t>(5), 2042–2055.</w:t>
      </w:r>
      <w:r>
        <w:rPr>
          <w:rFonts w:ascii="Arial" w:hAnsi="Arial" w:cs="Arial"/>
          <w:sz w:val="22"/>
          <w:szCs w:val="22"/>
        </w:rPr>
        <w:t xml:space="preserve"> </w:t>
      </w:r>
      <w:hyperlink r:id="rId51" w:history="1">
        <w:r w:rsidRPr="00DA3A25">
          <w:rPr>
            <w:rStyle w:val="Hyperlink"/>
            <w:rFonts w:ascii="Arial" w:hAnsi="Arial" w:cs="Arial"/>
            <w:sz w:val="22"/>
            <w:szCs w:val="22"/>
          </w:rPr>
          <w:t>https://doi.org/10.29303/abdiinsani.v12i5.24</w:t>
        </w:r>
        <w:r w:rsidRPr="00DA3A25">
          <w:rPr>
            <w:rStyle w:val="Hyperlink"/>
            <w:rFonts w:ascii="Arial" w:hAnsi="Arial" w:cs="Arial"/>
            <w:sz w:val="22"/>
            <w:szCs w:val="22"/>
          </w:rPr>
          <w:t>7</w:t>
        </w:r>
        <w:r w:rsidRPr="00DA3A25">
          <w:rPr>
            <w:rStyle w:val="Hyperlink"/>
            <w:rFonts w:ascii="Arial" w:hAnsi="Arial" w:cs="Arial"/>
            <w:sz w:val="22"/>
            <w:szCs w:val="22"/>
          </w:rPr>
          <w:t>2</w:t>
        </w:r>
      </w:hyperlink>
    </w:p>
    <w:p w14:paraId="43969879"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Taniredja, T., &amp; Farid, M. (2022). Tingkat turnover guru non-PNS dan dampaknya pada stabilitas pendidikan di daerah terpencil. </w:t>
      </w:r>
      <w:r w:rsidRPr="00295473">
        <w:rPr>
          <w:rStyle w:val="Penekanan"/>
          <w:rFonts w:ascii="Arial" w:hAnsi="Arial" w:cs="Arial"/>
          <w:sz w:val="22"/>
          <w:szCs w:val="22"/>
        </w:rPr>
        <w:t>Jurnal Penelitian Pendidikan, 22</w:t>
      </w:r>
      <w:r w:rsidRPr="00295473">
        <w:rPr>
          <w:rFonts w:ascii="Arial" w:hAnsi="Arial" w:cs="Arial"/>
          <w:sz w:val="22"/>
          <w:szCs w:val="22"/>
        </w:rPr>
        <w:t>(2), 150–165.</w:t>
      </w:r>
    </w:p>
    <w:p w14:paraId="03643E24" w14:textId="77777777" w:rsidR="00C27834" w:rsidRPr="005822DC"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Thornberg, R. (2014). Consultation barriers between teachers and external consultants: A grounded theory of change resistance in school consultation. </w:t>
      </w:r>
      <w:r w:rsidRPr="00295473">
        <w:rPr>
          <w:rFonts w:ascii="Arial" w:hAnsi="Arial" w:cs="Arial"/>
          <w:i/>
          <w:iCs/>
          <w:sz w:val="22"/>
          <w:szCs w:val="22"/>
        </w:rPr>
        <w:t>Journal of educational and psychological consultation</w:t>
      </w:r>
      <w:r w:rsidRPr="00295473">
        <w:rPr>
          <w:rFonts w:ascii="Arial" w:hAnsi="Arial" w:cs="Arial"/>
          <w:sz w:val="22"/>
          <w:szCs w:val="22"/>
        </w:rPr>
        <w:t>, </w:t>
      </w:r>
      <w:r w:rsidRPr="00295473">
        <w:rPr>
          <w:rFonts w:ascii="Arial" w:hAnsi="Arial" w:cs="Arial"/>
          <w:i/>
          <w:iCs/>
          <w:sz w:val="22"/>
          <w:szCs w:val="22"/>
        </w:rPr>
        <w:t>24</w:t>
      </w:r>
      <w:r w:rsidRPr="00295473">
        <w:rPr>
          <w:rFonts w:ascii="Arial" w:hAnsi="Arial" w:cs="Arial"/>
          <w:sz w:val="22"/>
          <w:szCs w:val="22"/>
        </w:rPr>
        <w:t xml:space="preserve">(3), 183-210. </w:t>
      </w:r>
      <w:hyperlink r:id="rId52" w:history="1">
        <w:r w:rsidRPr="00A758D9">
          <w:rPr>
            <w:rStyle w:val="Hyperlink"/>
            <w:rFonts w:ascii="Arial" w:hAnsi="Arial" w:cs="Arial"/>
            <w:color w:val="002060"/>
            <w:sz w:val="22"/>
            <w:szCs w:val="22"/>
            <w:lang w:val="id-ID"/>
          </w:rPr>
          <w:t>https://doi.org/10.1080/1047</w:t>
        </w:r>
        <w:r w:rsidRPr="00A758D9">
          <w:rPr>
            <w:rStyle w:val="Hyperlink"/>
            <w:rFonts w:ascii="Arial" w:hAnsi="Arial" w:cs="Arial"/>
            <w:color w:val="002060"/>
            <w:sz w:val="22"/>
            <w:szCs w:val="22"/>
            <w:lang w:val="id-ID"/>
          </w:rPr>
          <w:t>4</w:t>
        </w:r>
        <w:r w:rsidRPr="00A758D9">
          <w:rPr>
            <w:rStyle w:val="Hyperlink"/>
            <w:rFonts w:ascii="Arial" w:hAnsi="Arial" w:cs="Arial"/>
            <w:color w:val="002060"/>
            <w:sz w:val="22"/>
            <w:szCs w:val="22"/>
            <w:lang w:val="id-ID"/>
          </w:rPr>
          <w:t>412.2013.846188</w:t>
        </w:r>
      </w:hyperlink>
    </w:p>
    <w:p w14:paraId="37B098EF"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Tjabolo, S. A. (2020). The Influence of Teacher Certification on the Performance of Elementary School Teachers in Gorontalo Province, Indonesia. </w:t>
      </w:r>
      <w:r w:rsidRPr="00295473">
        <w:rPr>
          <w:rFonts w:ascii="Arial" w:hAnsi="Arial" w:cs="Arial"/>
          <w:i/>
          <w:iCs/>
          <w:sz w:val="22"/>
          <w:szCs w:val="22"/>
        </w:rPr>
        <w:t>International Journal of Instruction</w:t>
      </w:r>
      <w:r w:rsidRPr="00295473">
        <w:rPr>
          <w:rFonts w:ascii="Arial" w:hAnsi="Arial" w:cs="Arial"/>
          <w:sz w:val="22"/>
          <w:szCs w:val="22"/>
        </w:rPr>
        <w:t>, </w:t>
      </w:r>
      <w:r w:rsidRPr="00295473">
        <w:rPr>
          <w:rFonts w:ascii="Arial" w:hAnsi="Arial" w:cs="Arial"/>
          <w:i/>
          <w:iCs/>
          <w:sz w:val="22"/>
          <w:szCs w:val="22"/>
        </w:rPr>
        <w:t>13</w:t>
      </w:r>
      <w:r w:rsidRPr="00295473">
        <w:rPr>
          <w:rFonts w:ascii="Arial" w:hAnsi="Arial" w:cs="Arial"/>
          <w:sz w:val="22"/>
          <w:szCs w:val="22"/>
        </w:rPr>
        <w:t xml:space="preserve">(4), 347-360. </w:t>
      </w:r>
      <w:hyperlink r:id="rId53" w:history="1">
        <w:r w:rsidRPr="00295473">
          <w:rPr>
            <w:rStyle w:val="Hyperlink"/>
            <w:rFonts w:ascii="Arial" w:hAnsi="Arial" w:cs="Arial"/>
            <w:color w:val="002060"/>
            <w:sz w:val="22"/>
            <w:szCs w:val="22"/>
          </w:rPr>
          <w:t>https://doi.org/10.29333/iji.</w:t>
        </w:r>
        <w:r w:rsidRPr="00295473">
          <w:rPr>
            <w:rStyle w:val="Hyperlink"/>
            <w:rFonts w:ascii="Arial" w:hAnsi="Arial" w:cs="Arial"/>
            <w:color w:val="002060"/>
            <w:sz w:val="22"/>
            <w:szCs w:val="22"/>
          </w:rPr>
          <w:t>2</w:t>
        </w:r>
        <w:r w:rsidRPr="00295473">
          <w:rPr>
            <w:rStyle w:val="Hyperlink"/>
            <w:rFonts w:ascii="Arial" w:hAnsi="Arial" w:cs="Arial"/>
            <w:color w:val="002060"/>
            <w:sz w:val="22"/>
            <w:szCs w:val="22"/>
          </w:rPr>
          <w:t>020.13422a</w:t>
        </w:r>
      </w:hyperlink>
    </w:p>
    <w:p w14:paraId="0CE7E8F6" w14:textId="77777777" w:rsidR="00C27834"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lastRenderedPageBreak/>
        <w:t xml:space="preserve">Ward, N., &amp; Nagoya, A. (2021). The European Conference on Arts &amp; Humanities 2021. </w:t>
      </w:r>
    </w:p>
    <w:p w14:paraId="37E0DA91" w14:textId="77777777" w:rsidR="00C27834" w:rsidRDefault="00C27834" w:rsidP="00C27834">
      <w:pPr>
        <w:pStyle w:val="NormalWeb"/>
        <w:spacing w:beforeAutospacing="0" w:afterAutospacing="0" w:line="360" w:lineRule="auto"/>
        <w:ind w:left="365" w:hangingChars="166" w:hanging="365"/>
        <w:jc w:val="both"/>
        <w:rPr>
          <w:rFonts w:ascii="Arial" w:hAnsi="Arial" w:cs="Arial"/>
          <w:color w:val="002060"/>
          <w:sz w:val="22"/>
          <w:szCs w:val="22"/>
        </w:rPr>
      </w:pPr>
      <w:r w:rsidRPr="00295473">
        <w:rPr>
          <w:rFonts w:ascii="Arial" w:hAnsi="Arial" w:cs="Arial"/>
          <w:sz w:val="22"/>
          <w:szCs w:val="22"/>
        </w:rPr>
        <w:t>Waza, A. M., &amp; Ekambaker, P. K. (2024). Analysis of the Impact of Justice Theory in Public Administration. </w:t>
      </w:r>
      <w:r w:rsidRPr="00295473">
        <w:rPr>
          <w:rFonts w:ascii="Arial" w:hAnsi="Arial" w:cs="Arial"/>
          <w:i/>
          <w:iCs/>
          <w:sz w:val="22"/>
          <w:szCs w:val="22"/>
        </w:rPr>
        <w:t>International Journal of Integrative Research</w:t>
      </w:r>
      <w:r w:rsidRPr="00295473">
        <w:rPr>
          <w:rFonts w:ascii="Arial" w:hAnsi="Arial" w:cs="Arial"/>
          <w:sz w:val="22"/>
          <w:szCs w:val="22"/>
        </w:rPr>
        <w:t>, </w:t>
      </w:r>
      <w:r w:rsidRPr="00295473">
        <w:rPr>
          <w:rFonts w:ascii="Arial" w:hAnsi="Arial" w:cs="Arial"/>
          <w:i/>
          <w:iCs/>
          <w:sz w:val="22"/>
          <w:szCs w:val="22"/>
        </w:rPr>
        <w:t>2</w:t>
      </w:r>
      <w:r w:rsidRPr="00295473">
        <w:rPr>
          <w:rFonts w:ascii="Arial" w:hAnsi="Arial" w:cs="Arial"/>
          <w:sz w:val="22"/>
          <w:szCs w:val="22"/>
        </w:rPr>
        <w:t xml:space="preserve">(2), 145-156. </w:t>
      </w:r>
      <w:hyperlink r:id="rId54" w:history="1">
        <w:r w:rsidRPr="00D77537">
          <w:rPr>
            <w:rStyle w:val="Hyperlink"/>
            <w:rFonts w:ascii="Arial" w:hAnsi="Arial" w:cs="Arial"/>
            <w:color w:val="002060"/>
            <w:sz w:val="22"/>
            <w:szCs w:val="22"/>
          </w:rPr>
          <w:t>https://doi.or</w:t>
        </w:r>
        <w:r w:rsidRPr="00D77537">
          <w:rPr>
            <w:rStyle w:val="Hyperlink"/>
            <w:rFonts w:ascii="Arial" w:hAnsi="Arial" w:cs="Arial"/>
            <w:color w:val="002060"/>
            <w:sz w:val="22"/>
            <w:szCs w:val="22"/>
          </w:rPr>
          <w:t>g</w:t>
        </w:r>
        <w:r w:rsidRPr="00D77537">
          <w:rPr>
            <w:rStyle w:val="Hyperlink"/>
            <w:rFonts w:ascii="Arial" w:hAnsi="Arial" w:cs="Arial"/>
            <w:color w:val="002060"/>
            <w:sz w:val="22"/>
            <w:szCs w:val="22"/>
          </w:rPr>
          <w:t>/10.59890/ijir.v2i2.1363</w:t>
        </w:r>
      </w:hyperlink>
    </w:p>
    <w:p w14:paraId="482DC52A"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Werang, B. R., Agung, A. A. G., &amp; Hurit, A. A. (2019). Increasing teacher attendance in Indonesia: A longitudinal study in the remote elementary schools of Southern Papua. </w:t>
      </w:r>
      <w:r w:rsidRPr="00295473">
        <w:rPr>
          <w:rFonts w:ascii="Arial" w:hAnsi="Arial" w:cs="Arial"/>
          <w:i/>
          <w:iCs/>
          <w:sz w:val="22"/>
          <w:szCs w:val="22"/>
        </w:rPr>
        <w:t>International Journal of Management in Education</w:t>
      </w:r>
      <w:r w:rsidRPr="00295473">
        <w:rPr>
          <w:rFonts w:ascii="Arial" w:hAnsi="Arial" w:cs="Arial"/>
          <w:sz w:val="22"/>
          <w:szCs w:val="22"/>
        </w:rPr>
        <w:t>, </w:t>
      </w:r>
      <w:r w:rsidRPr="00295473">
        <w:rPr>
          <w:rFonts w:ascii="Arial" w:hAnsi="Arial" w:cs="Arial"/>
          <w:i/>
          <w:iCs/>
          <w:sz w:val="22"/>
          <w:szCs w:val="22"/>
        </w:rPr>
        <w:t>13</w:t>
      </w:r>
      <w:r w:rsidRPr="00295473">
        <w:rPr>
          <w:rFonts w:ascii="Arial" w:hAnsi="Arial" w:cs="Arial"/>
          <w:sz w:val="22"/>
          <w:szCs w:val="22"/>
        </w:rPr>
        <w:t>(2), 133-155.</w:t>
      </w:r>
      <w:r>
        <w:rPr>
          <w:rFonts w:ascii="Arial" w:hAnsi="Arial" w:cs="Arial"/>
          <w:sz w:val="22"/>
          <w:szCs w:val="22"/>
        </w:rPr>
        <w:t xml:space="preserve"> </w:t>
      </w:r>
      <w:hyperlink r:id="rId55" w:tgtFrame="_blank" w:history="1">
        <w:r w:rsidRPr="002455C2">
          <w:rPr>
            <w:rStyle w:val="Hyperlink"/>
            <w:rFonts w:ascii="Arial" w:hAnsi="Arial" w:cs="Arial"/>
            <w:color w:val="002060"/>
            <w:sz w:val="22"/>
            <w:szCs w:val="22"/>
          </w:rPr>
          <w:t>10.1504/IJMIE.20</w:t>
        </w:r>
        <w:r w:rsidRPr="002455C2">
          <w:rPr>
            <w:rStyle w:val="Hyperlink"/>
            <w:rFonts w:ascii="Arial" w:hAnsi="Arial" w:cs="Arial"/>
            <w:color w:val="002060"/>
            <w:sz w:val="22"/>
            <w:szCs w:val="22"/>
          </w:rPr>
          <w:t>1</w:t>
        </w:r>
        <w:r w:rsidRPr="002455C2">
          <w:rPr>
            <w:rStyle w:val="Hyperlink"/>
            <w:rFonts w:ascii="Arial" w:hAnsi="Arial" w:cs="Arial"/>
            <w:color w:val="002060"/>
            <w:sz w:val="22"/>
            <w:szCs w:val="22"/>
          </w:rPr>
          <w:t>9.098188</w:t>
        </w:r>
      </w:hyperlink>
    </w:p>
    <w:p w14:paraId="1EF1C9F5"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Widhiasthini, N. W., Utami, M. S. M., &amp; Subawa, N. S. (2024). Reform and Reformulation of Public Policy in Indonesia: What is required?. </w:t>
      </w:r>
      <w:r w:rsidRPr="00295473">
        <w:rPr>
          <w:rFonts w:ascii="Arial" w:hAnsi="Arial" w:cs="Arial"/>
          <w:i/>
          <w:iCs/>
          <w:sz w:val="22"/>
          <w:szCs w:val="22"/>
        </w:rPr>
        <w:t>Journal of Government and Civil Society</w:t>
      </w:r>
      <w:r w:rsidRPr="00295473">
        <w:rPr>
          <w:rFonts w:ascii="Arial" w:hAnsi="Arial" w:cs="Arial"/>
          <w:sz w:val="22"/>
          <w:szCs w:val="22"/>
        </w:rPr>
        <w:t>, </w:t>
      </w:r>
      <w:r w:rsidRPr="00295473">
        <w:rPr>
          <w:rFonts w:ascii="Arial" w:hAnsi="Arial" w:cs="Arial"/>
          <w:i/>
          <w:iCs/>
          <w:sz w:val="22"/>
          <w:szCs w:val="22"/>
        </w:rPr>
        <w:t>8</w:t>
      </w:r>
      <w:r w:rsidRPr="00295473">
        <w:rPr>
          <w:rFonts w:ascii="Arial" w:hAnsi="Arial" w:cs="Arial"/>
          <w:sz w:val="22"/>
          <w:szCs w:val="22"/>
        </w:rPr>
        <w:t xml:space="preserve">(2), 289-311. </w:t>
      </w:r>
      <w:hyperlink r:id="rId56" w:history="1">
        <w:r w:rsidRPr="002455C2">
          <w:rPr>
            <w:rStyle w:val="Hyperlink"/>
            <w:rFonts w:ascii="Arial" w:hAnsi="Arial" w:cs="Arial"/>
            <w:color w:val="002060"/>
            <w:sz w:val="22"/>
            <w:szCs w:val="22"/>
          </w:rPr>
          <w:t>http://dx.doi.org/1</w:t>
        </w:r>
        <w:r w:rsidRPr="002455C2">
          <w:rPr>
            <w:rStyle w:val="Hyperlink"/>
            <w:rFonts w:ascii="Arial" w:hAnsi="Arial" w:cs="Arial"/>
            <w:color w:val="002060"/>
            <w:sz w:val="22"/>
            <w:szCs w:val="22"/>
          </w:rPr>
          <w:t>0</w:t>
        </w:r>
        <w:r w:rsidRPr="002455C2">
          <w:rPr>
            <w:rStyle w:val="Hyperlink"/>
            <w:rFonts w:ascii="Arial" w:hAnsi="Arial" w:cs="Arial"/>
            <w:color w:val="002060"/>
            <w:sz w:val="22"/>
            <w:szCs w:val="22"/>
          </w:rPr>
          <w:t>.31000/jgcs.v8i2.12361</w:t>
        </w:r>
      </w:hyperlink>
    </w:p>
    <w:p w14:paraId="3CDD6C7C"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Wijaya, Y. A., &amp; Ishihara, K. (2018). Study of village autonomy and the rural-urban linkages framework for equitable regional development under village law 6/2014: a case study of Indragiri Hulu Regency, Riau Province, Indonesia. </w:t>
      </w:r>
      <w:r w:rsidRPr="00295473">
        <w:rPr>
          <w:rFonts w:ascii="Arial" w:hAnsi="Arial" w:cs="Arial"/>
          <w:i/>
          <w:iCs/>
          <w:sz w:val="22"/>
          <w:szCs w:val="22"/>
        </w:rPr>
        <w:t>Policy Science, Policy Science Association Ritsumeikan University</w:t>
      </w:r>
      <w:r w:rsidRPr="00295473">
        <w:rPr>
          <w:rFonts w:ascii="Arial" w:hAnsi="Arial" w:cs="Arial"/>
          <w:sz w:val="22"/>
          <w:szCs w:val="22"/>
        </w:rPr>
        <w:t>, </w:t>
      </w:r>
      <w:r w:rsidRPr="00295473">
        <w:rPr>
          <w:rFonts w:ascii="Arial" w:hAnsi="Arial" w:cs="Arial"/>
          <w:i/>
          <w:iCs/>
          <w:sz w:val="22"/>
          <w:szCs w:val="22"/>
        </w:rPr>
        <w:t>26</w:t>
      </w:r>
      <w:r w:rsidRPr="00295473">
        <w:rPr>
          <w:rFonts w:ascii="Arial" w:hAnsi="Arial" w:cs="Arial"/>
          <w:sz w:val="22"/>
          <w:szCs w:val="22"/>
        </w:rPr>
        <w:t xml:space="preserve">(1), 93-122. </w:t>
      </w:r>
    </w:p>
    <w:p w14:paraId="15979888"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Wise, R. M., Butler, J. R. A., Suadnya, W., Puspadi, K., Suharto, I., &amp; Skewes, T. D. (2016). How climate compatible are livelihood adaptation strategies and development programs in rural Indonesia?. </w:t>
      </w:r>
      <w:r w:rsidRPr="00295473">
        <w:rPr>
          <w:rFonts w:ascii="Arial" w:hAnsi="Arial" w:cs="Arial"/>
          <w:i/>
          <w:iCs/>
          <w:sz w:val="22"/>
          <w:szCs w:val="22"/>
        </w:rPr>
        <w:t>Climate Risk Management</w:t>
      </w:r>
      <w:r w:rsidRPr="00295473">
        <w:rPr>
          <w:rFonts w:ascii="Arial" w:hAnsi="Arial" w:cs="Arial"/>
          <w:sz w:val="22"/>
          <w:szCs w:val="22"/>
        </w:rPr>
        <w:t>, </w:t>
      </w:r>
      <w:r w:rsidRPr="00295473">
        <w:rPr>
          <w:rFonts w:ascii="Arial" w:hAnsi="Arial" w:cs="Arial"/>
          <w:i/>
          <w:iCs/>
          <w:sz w:val="22"/>
          <w:szCs w:val="22"/>
        </w:rPr>
        <w:t>12</w:t>
      </w:r>
      <w:r w:rsidRPr="00295473">
        <w:rPr>
          <w:rFonts w:ascii="Arial" w:hAnsi="Arial" w:cs="Arial"/>
          <w:sz w:val="22"/>
          <w:szCs w:val="22"/>
        </w:rPr>
        <w:t>, 100-114.</w:t>
      </w:r>
      <w:r>
        <w:rPr>
          <w:rFonts w:ascii="Arial" w:hAnsi="Arial" w:cs="Arial"/>
          <w:sz w:val="22"/>
          <w:szCs w:val="22"/>
        </w:rPr>
        <w:t xml:space="preserve"> </w:t>
      </w:r>
      <w:hyperlink r:id="rId57" w:tgtFrame="_blank" w:tooltip="Persistent link using digital object identifier" w:history="1">
        <w:r w:rsidRPr="006553C5">
          <w:rPr>
            <w:rStyle w:val="Hyperlink"/>
            <w:rFonts w:ascii="Arial" w:hAnsi="Arial" w:cs="Arial"/>
            <w:color w:val="002060"/>
            <w:sz w:val="22"/>
            <w:szCs w:val="22"/>
          </w:rPr>
          <w:t>https://doi.org/1</w:t>
        </w:r>
        <w:r w:rsidRPr="006553C5">
          <w:rPr>
            <w:rStyle w:val="Hyperlink"/>
            <w:rFonts w:ascii="Arial" w:hAnsi="Arial" w:cs="Arial"/>
            <w:color w:val="002060"/>
            <w:sz w:val="22"/>
            <w:szCs w:val="22"/>
          </w:rPr>
          <w:t>0</w:t>
        </w:r>
        <w:r w:rsidRPr="006553C5">
          <w:rPr>
            <w:rStyle w:val="Hyperlink"/>
            <w:rFonts w:ascii="Arial" w:hAnsi="Arial" w:cs="Arial"/>
            <w:color w:val="002060"/>
            <w:sz w:val="22"/>
            <w:szCs w:val="22"/>
          </w:rPr>
          <w:t>.1016/j.crm.2015.11.001</w:t>
        </w:r>
      </w:hyperlink>
    </w:p>
    <w:p w14:paraId="73C357D2"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 xml:space="preserve">World Bank. (2021). </w:t>
      </w:r>
      <w:r w:rsidRPr="00295473">
        <w:rPr>
          <w:rStyle w:val="Penekanan"/>
          <w:rFonts w:ascii="Arial" w:hAnsi="Arial" w:cs="Arial"/>
          <w:sz w:val="22"/>
          <w:szCs w:val="22"/>
        </w:rPr>
        <w:t>World Development Report 2021: Data for Better Lives</w:t>
      </w:r>
      <w:r w:rsidRPr="00295473">
        <w:rPr>
          <w:rFonts w:ascii="Arial" w:hAnsi="Arial" w:cs="Arial"/>
          <w:sz w:val="22"/>
          <w:szCs w:val="22"/>
        </w:rPr>
        <w:t>. Washington, D.C.: World Bank.</w:t>
      </w:r>
    </w:p>
    <w:p w14:paraId="280CF8E5" w14:textId="77777777" w:rsidR="00C27834" w:rsidRPr="00295473" w:rsidRDefault="00C27834" w:rsidP="00C27834">
      <w:pPr>
        <w:pStyle w:val="NormalWeb"/>
        <w:spacing w:beforeAutospacing="0" w:afterAutospacing="0" w:line="360" w:lineRule="auto"/>
        <w:ind w:left="365" w:hangingChars="166" w:hanging="365"/>
        <w:jc w:val="both"/>
        <w:rPr>
          <w:rFonts w:ascii="Arial" w:hAnsi="Arial" w:cs="Arial"/>
          <w:sz w:val="22"/>
          <w:szCs w:val="22"/>
        </w:rPr>
      </w:pPr>
      <w:r w:rsidRPr="00295473">
        <w:rPr>
          <w:rFonts w:ascii="Arial" w:hAnsi="Arial" w:cs="Arial"/>
          <w:sz w:val="22"/>
          <w:szCs w:val="22"/>
        </w:rPr>
        <w:t>Yu, Y., Appiah, D., Zulu, B., &amp; Adu-Poku, K. A. (2024). Integrating rural development, education, and management: Challenges and strategies. </w:t>
      </w:r>
      <w:r w:rsidRPr="00295473">
        <w:rPr>
          <w:rFonts w:ascii="Arial" w:hAnsi="Arial" w:cs="Arial"/>
          <w:i/>
          <w:iCs/>
          <w:sz w:val="22"/>
          <w:szCs w:val="22"/>
        </w:rPr>
        <w:t>Sustainability</w:t>
      </w:r>
      <w:r w:rsidRPr="00295473">
        <w:rPr>
          <w:rFonts w:ascii="Arial" w:hAnsi="Arial" w:cs="Arial"/>
          <w:sz w:val="22"/>
          <w:szCs w:val="22"/>
        </w:rPr>
        <w:t>, </w:t>
      </w:r>
      <w:r w:rsidRPr="00295473">
        <w:rPr>
          <w:rFonts w:ascii="Arial" w:hAnsi="Arial" w:cs="Arial"/>
          <w:i/>
          <w:iCs/>
          <w:sz w:val="22"/>
          <w:szCs w:val="22"/>
        </w:rPr>
        <w:t>16</w:t>
      </w:r>
      <w:r w:rsidRPr="00295473">
        <w:rPr>
          <w:rFonts w:ascii="Arial" w:hAnsi="Arial" w:cs="Arial"/>
          <w:sz w:val="22"/>
          <w:szCs w:val="22"/>
        </w:rPr>
        <w:t xml:space="preserve">(15), 6474. </w:t>
      </w:r>
      <w:hyperlink r:id="rId58" w:history="1">
        <w:r w:rsidRPr="00D77537">
          <w:rPr>
            <w:rStyle w:val="Hyperlink"/>
            <w:rFonts w:ascii="Arial" w:hAnsi="Arial" w:cs="Arial"/>
            <w:color w:val="002060"/>
            <w:sz w:val="22"/>
            <w:szCs w:val="22"/>
          </w:rPr>
          <w:t>https://doi.org/10.339</w:t>
        </w:r>
        <w:r w:rsidRPr="00D77537">
          <w:rPr>
            <w:rStyle w:val="Hyperlink"/>
            <w:rFonts w:ascii="Arial" w:hAnsi="Arial" w:cs="Arial"/>
            <w:color w:val="002060"/>
            <w:sz w:val="22"/>
            <w:szCs w:val="22"/>
          </w:rPr>
          <w:t>0</w:t>
        </w:r>
        <w:r w:rsidRPr="00D77537">
          <w:rPr>
            <w:rStyle w:val="Hyperlink"/>
            <w:rFonts w:ascii="Arial" w:hAnsi="Arial" w:cs="Arial"/>
            <w:color w:val="002060"/>
            <w:sz w:val="22"/>
            <w:szCs w:val="22"/>
          </w:rPr>
          <w:t>/su16156474</w:t>
        </w:r>
      </w:hyperlink>
    </w:p>
    <w:p w14:paraId="5822E1FF" w14:textId="77777777" w:rsidR="0025066D" w:rsidRPr="00295473" w:rsidRDefault="0025066D" w:rsidP="0025066D">
      <w:pPr>
        <w:pStyle w:val="NormalWeb"/>
        <w:spacing w:beforeAutospacing="0" w:afterAutospacing="0" w:line="360" w:lineRule="auto"/>
        <w:ind w:left="365" w:hangingChars="166" w:hanging="365"/>
        <w:jc w:val="both"/>
        <w:rPr>
          <w:rFonts w:ascii="Arial" w:hAnsi="Arial" w:cs="Arial"/>
          <w:sz w:val="22"/>
          <w:szCs w:val="22"/>
        </w:rPr>
      </w:pPr>
    </w:p>
    <w:sectPr w:rsidR="0025066D" w:rsidRPr="00295473" w:rsidSect="00FA51A4">
      <w:headerReference w:type="even" r:id="rId59"/>
      <w:headerReference w:type="default" r:id="rId60"/>
      <w:footerReference w:type="default" r:id="rId61"/>
      <w:headerReference w:type="first" r:id="rId6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71F2F" w14:textId="77777777" w:rsidR="007A154C" w:rsidRDefault="007A154C" w:rsidP="00C37E61">
      <w:r>
        <w:separator/>
      </w:r>
    </w:p>
  </w:endnote>
  <w:endnote w:type="continuationSeparator" w:id="0">
    <w:p w14:paraId="74EC2EC9" w14:textId="77777777" w:rsidR="007A154C" w:rsidRDefault="007A15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E9B8" w14:textId="77777777" w:rsidR="00FA51A4" w:rsidRDefault="00FA5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4190" w14:textId="77777777" w:rsidR="00FA51A4" w:rsidRDefault="00FA5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E2D6" w14:textId="123B17F9" w:rsidR="00754C9A" w:rsidRPr="00687A28" w:rsidRDefault="00754C9A" w:rsidP="00687A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8D0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2DFA" w14:textId="77777777" w:rsidR="007A154C" w:rsidRDefault="007A154C" w:rsidP="00C37E61">
      <w:r>
        <w:separator/>
      </w:r>
    </w:p>
  </w:footnote>
  <w:footnote w:type="continuationSeparator" w:id="0">
    <w:p w14:paraId="53972BB1" w14:textId="77777777" w:rsidR="007A154C" w:rsidRDefault="007A15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7C60" w14:textId="751A7D6E" w:rsidR="00FA51A4" w:rsidRDefault="00000000">
    <w:pPr>
      <w:pStyle w:val="Header"/>
    </w:pPr>
    <w:r>
      <w:rPr>
        <w:noProof/>
      </w:rPr>
      <w:pict w14:anchorId="1C333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DF6E" w14:textId="4DB7CC67" w:rsidR="00FA51A4" w:rsidRDefault="00000000">
    <w:pPr>
      <w:pStyle w:val="Header"/>
    </w:pPr>
    <w:r>
      <w:rPr>
        <w:noProof/>
      </w:rPr>
      <w:pict w14:anchorId="78401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6439" w14:textId="1D5C080C" w:rsidR="00296529" w:rsidRPr="00296529" w:rsidRDefault="00000000" w:rsidP="00296529">
    <w:pPr>
      <w:ind w:left="2160"/>
      <w:jc w:val="center"/>
      <w:rPr>
        <w:rFonts w:ascii="Times New Roman" w:eastAsia="Calibri" w:hAnsi="Times New Roman"/>
        <w:i/>
        <w:sz w:val="18"/>
        <w:szCs w:val="22"/>
      </w:rPr>
    </w:pPr>
    <w:r>
      <w:rPr>
        <w:noProof/>
      </w:rPr>
      <w:pict w14:anchorId="30ADF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14B36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324D7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D2445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94985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A5408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A9961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94A1" w14:textId="10B4B75C" w:rsidR="00FA51A4" w:rsidRDefault="00000000">
    <w:pPr>
      <w:pStyle w:val="Header"/>
    </w:pPr>
    <w:r>
      <w:rPr>
        <w:noProof/>
      </w:rPr>
      <w:pict w14:anchorId="297BE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F7CF" w14:textId="775907D2" w:rsidR="00FA51A4" w:rsidRDefault="00000000">
    <w:pPr>
      <w:pStyle w:val="Header"/>
    </w:pPr>
    <w:r>
      <w:rPr>
        <w:noProof/>
      </w:rPr>
      <w:pict w14:anchorId="7A9D1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3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87DF" w14:textId="4EDCBB22" w:rsidR="00FA51A4" w:rsidRDefault="00000000">
    <w:pPr>
      <w:pStyle w:val="Header"/>
    </w:pPr>
    <w:r>
      <w:rPr>
        <w:noProof/>
      </w:rPr>
      <w:pict w14:anchorId="4CD2D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5DAD48"/>
    <w:multiLevelType w:val="singleLevel"/>
    <w:tmpl w:val="D15DAD48"/>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192FAA"/>
    <w:multiLevelType w:val="hybridMultilevel"/>
    <w:tmpl w:val="7144D7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BB3FD0"/>
    <w:multiLevelType w:val="multilevel"/>
    <w:tmpl w:val="9F50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2BD36"/>
    <w:multiLevelType w:val="singleLevel"/>
    <w:tmpl w:val="3BB2BD36"/>
    <w:lvl w:ilvl="0">
      <w:start w:val="1"/>
      <w:numFmt w:val="decimal"/>
      <w:lvlText w:val="%1)"/>
      <w:lvlJc w:val="left"/>
      <w:pPr>
        <w:tabs>
          <w:tab w:val="left" w:pos="425"/>
        </w:tabs>
        <w:ind w:left="425" w:hanging="425"/>
      </w:pPr>
      <w:rPr>
        <w:rFonts w:hint="default"/>
      </w:rPr>
    </w:lvl>
  </w:abstractNum>
  <w:abstractNum w:abstractNumId="19" w15:restartNumberingAfterBreak="0">
    <w:nsid w:val="49FD3000"/>
    <w:multiLevelType w:val="hybridMultilevel"/>
    <w:tmpl w:val="3D66C6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23374"/>
    <w:multiLevelType w:val="hybridMultilevel"/>
    <w:tmpl w:val="D6CAC2B2"/>
    <w:lvl w:ilvl="0" w:tplc="4B8A7A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7516D77"/>
    <w:multiLevelType w:val="singleLevel"/>
    <w:tmpl w:val="57516D77"/>
    <w:lvl w:ilvl="0">
      <w:start w:val="1"/>
      <w:numFmt w:val="upperLetter"/>
      <w:suff w:val="space"/>
      <w:lvlText w:val="%1."/>
      <w:lvlJc w:val="left"/>
    </w:lvl>
  </w:abstractNum>
  <w:abstractNum w:abstractNumId="24" w15:restartNumberingAfterBreak="0">
    <w:nsid w:val="59A971FD"/>
    <w:multiLevelType w:val="multilevel"/>
    <w:tmpl w:val="B448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3F91C2E"/>
    <w:multiLevelType w:val="multilevel"/>
    <w:tmpl w:val="AD6A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EA7D62"/>
    <w:multiLevelType w:val="multilevel"/>
    <w:tmpl w:val="D04A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9385076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1245441">
    <w:abstractNumId w:val="20"/>
  </w:num>
  <w:num w:numId="3" w16cid:durableId="1844474419">
    <w:abstractNumId w:val="33"/>
  </w:num>
  <w:num w:numId="4" w16cid:durableId="274484888">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63484891">
    <w:abstractNumId w:val="9"/>
  </w:num>
  <w:num w:numId="6" w16cid:durableId="1247232116">
    <w:abstractNumId w:val="7"/>
  </w:num>
  <w:num w:numId="7" w16cid:durableId="269551581">
    <w:abstractNumId w:val="2"/>
  </w:num>
  <w:num w:numId="8" w16cid:durableId="1821847970">
    <w:abstractNumId w:val="14"/>
  </w:num>
  <w:num w:numId="9" w16cid:durableId="966156267">
    <w:abstractNumId w:val="35"/>
  </w:num>
  <w:num w:numId="10" w16cid:durableId="1952206765">
    <w:abstractNumId w:val="3"/>
  </w:num>
  <w:num w:numId="11" w16cid:durableId="1419984582">
    <w:abstractNumId w:val="27"/>
  </w:num>
  <w:num w:numId="12" w16cid:durableId="1870101484">
    <w:abstractNumId w:val="4"/>
  </w:num>
  <w:num w:numId="13" w16cid:durableId="353968913">
    <w:abstractNumId w:val="25"/>
  </w:num>
  <w:num w:numId="14" w16cid:durableId="183178150">
    <w:abstractNumId w:val="10"/>
  </w:num>
  <w:num w:numId="15" w16cid:durableId="1298923653">
    <w:abstractNumId w:val="31"/>
  </w:num>
  <w:num w:numId="16" w16cid:durableId="298195052">
    <w:abstractNumId w:val="6"/>
  </w:num>
  <w:num w:numId="17" w16cid:durableId="29887958">
    <w:abstractNumId w:val="32"/>
  </w:num>
  <w:num w:numId="18" w16cid:durableId="971911576">
    <w:abstractNumId w:val="16"/>
  </w:num>
  <w:num w:numId="19" w16cid:durableId="305011095">
    <w:abstractNumId w:val="38"/>
  </w:num>
  <w:num w:numId="20" w16cid:durableId="197940723">
    <w:abstractNumId w:val="13"/>
  </w:num>
  <w:num w:numId="21" w16cid:durableId="267205951">
    <w:abstractNumId w:val="11"/>
  </w:num>
  <w:num w:numId="22" w16cid:durableId="1527057829">
    <w:abstractNumId w:val="15"/>
  </w:num>
  <w:num w:numId="23" w16cid:durableId="203257545">
    <w:abstractNumId w:val="29"/>
  </w:num>
  <w:num w:numId="24" w16cid:durableId="244268261">
    <w:abstractNumId w:val="36"/>
  </w:num>
  <w:num w:numId="25" w16cid:durableId="655036684">
    <w:abstractNumId w:val="5"/>
  </w:num>
  <w:num w:numId="26" w16cid:durableId="1633633234">
    <w:abstractNumId w:val="21"/>
  </w:num>
  <w:num w:numId="27" w16cid:durableId="1169826219">
    <w:abstractNumId w:val="30"/>
  </w:num>
  <w:num w:numId="28" w16cid:durableId="473110209">
    <w:abstractNumId w:val="37"/>
  </w:num>
  <w:num w:numId="29" w16cid:durableId="1103842837">
    <w:abstractNumId w:val="34"/>
  </w:num>
  <w:num w:numId="30" w16cid:durableId="1791893817">
    <w:abstractNumId w:val="12"/>
  </w:num>
  <w:num w:numId="31" w16cid:durableId="1630935377">
    <w:abstractNumId w:val="23"/>
  </w:num>
  <w:num w:numId="32" w16cid:durableId="865800433">
    <w:abstractNumId w:val="18"/>
  </w:num>
  <w:num w:numId="33" w16cid:durableId="2006664447">
    <w:abstractNumId w:val="0"/>
  </w:num>
  <w:num w:numId="34" w16cid:durableId="1999337898">
    <w:abstractNumId w:val="17"/>
  </w:num>
  <w:num w:numId="35" w16cid:durableId="555627408">
    <w:abstractNumId w:val="28"/>
  </w:num>
  <w:num w:numId="36" w16cid:durableId="581377567">
    <w:abstractNumId w:val="24"/>
  </w:num>
  <w:num w:numId="37" w16cid:durableId="142087955">
    <w:abstractNumId w:val="26"/>
  </w:num>
  <w:num w:numId="38" w16cid:durableId="949357037">
    <w:abstractNumId w:val="19"/>
  </w:num>
  <w:num w:numId="39" w16cid:durableId="661084427">
    <w:abstractNumId w:val="22"/>
  </w:num>
  <w:num w:numId="40" w16cid:durableId="324554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29A"/>
    <w:rsid w:val="00027BC9"/>
    <w:rsid w:val="00030174"/>
    <w:rsid w:val="00036027"/>
    <w:rsid w:val="0004579C"/>
    <w:rsid w:val="00077DA0"/>
    <w:rsid w:val="000A03E7"/>
    <w:rsid w:val="000A32CE"/>
    <w:rsid w:val="000A47FA"/>
    <w:rsid w:val="000A65D3"/>
    <w:rsid w:val="000B1E33"/>
    <w:rsid w:val="000C289E"/>
    <w:rsid w:val="000C3891"/>
    <w:rsid w:val="000D29F1"/>
    <w:rsid w:val="000D3EFF"/>
    <w:rsid w:val="000D689F"/>
    <w:rsid w:val="000E7B7B"/>
    <w:rsid w:val="000E7D62"/>
    <w:rsid w:val="000F63D3"/>
    <w:rsid w:val="0010038A"/>
    <w:rsid w:val="00102052"/>
    <w:rsid w:val="00103357"/>
    <w:rsid w:val="00110BCB"/>
    <w:rsid w:val="0012265F"/>
    <w:rsid w:val="00123C9F"/>
    <w:rsid w:val="00126190"/>
    <w:rsid w:val="00130F17"/>
    <w:rsid w:val="001320BF"/>
    <w:rsid w:val="00155F9B"/>
    <w:rsid w:val="00163BC4"/>
    <w:rsid w:val="0018433C"/>
    <w:rsid w:val="00185BE4"/>
    <w:rsid w:val="00191062"/>
    <w:rsid w:val="00192B72"/>
    <w:rsid w:val="001A29D8"/>
    <w:rsid w:val="001A5CAA"/>
    <w:rsid w:val="001B0427"/>
    <w:rsid w:val="001B6E99"/>
    <w:rsid w:val="001C201D"/>
    <w:rsid w:val="001D3A51"/>
    <w:rsid w:val="001E10D2"/>
    <w:rsid w:val="001E25B4"/>
    <w:rsid w:val="001E2D27"/>
    <w:rsid w:val="001E44FE"/>
    <w:rsid w:val="001E5D9B"/>
    <w:rsid w:val="00200595"/>
    <w:rsid w:val="00204835"/>
    <w:rsid w:val="00231920"/>
    <w:rsid w:val="0023195C"/>
    <w:rsid w:val="0024282C"/>
    <w:rsid w:val="002455C2"/>
    <w:rsid w:val="002460DC"/>
    <w:rsid w:val="0025066D"/>
    <w:rsid w:val="00250985"/>
    <w:rsid w:val="002556F6"/>
    <w:rsid w:val="00262527"/>
    <w:rsid w:val="00283105"/>
    <w:rsid w:val="00284C4C"/>
    <w:rsid w:val="00285855"/>
    <w:rsid w:val="00287CD8"/>
    <w:rsid w:val="00287E68"/>
    <w:rsid w:val="00291DF1"/>
    <w:rsid w:val="00295473"/>
    <w:rsid w:val="00296529"/>
    <w:rsid w:val="002A4C25"/>
    <w:rsid w:val="002B27FB"/>
    <w:rsid w:val="002B685A"/>
    <w:rsid w:val="002C57D2"/>
    <w:rsid w:val="002E0D56"/>
    <w:rsid w:val="00310038"/>
    <w:rsid w:val="00315186"/>
    <w:rsid w:val="0033343E"/>
    <w:rsid w:val="00342B6C"/>
    <w:rsid w:val="003512C2"/>
    <w:rsid w:val="0037192F"/>
    <w:rsid w:val="00371FB6"/>
    <w:rsid w:val="003763C1"/>
    <w:rsid w:val="00376BBE"/>
    <w:rsid w:val="00391246"/>
    <w:rsid w:val="003916AE"/>
    <w:rsid w:val="0039224F"/>
    <w:rsid w:val="003A43A4"/>
    <w:rsid w:val="003A7E18"/>
    <w:rsid w:val="003B26F5"/>
    <w:rsid w:val="003C4C86"/>
    <w:rsid w:val="003C6258"/>
    <w:rsid w:val="003D5E93"/>
    <w:rsid w:val="003E21AA"/>
    <w:rsid w:val="003E2904"/>
    <w:rsid w:val="00401927"/>
    <w:rsid w:val="0041027F"/>
    <w:rsid w:val="00412475"/>
    <w:rsid w:val="00412E7C"/>
    <w:rsid w:val="00423789"/>
    <w:rsid w:val="00437DA7"/>
    <w:rsid w:val="00440F43"/>
    <w:rsid w:val="00441B6F"/>
    <w:rsid w:val="00446221"/>
    <w:rsid w:val="00450E62"/>
    <w:rsid w:val="004539DB"/>
    <w:rsid w:val="00471A80"/>
    <w:rsid w:val="004925B2"/>
    <w:rsid w:val="00497979"/>
    <w:rsid w:val="004B0B1C"/>
    <w:rsid w:val="004B1197"/>
    <w:rsid w:val="004D305E"/>
    <w:rsid w:val="004D4277"/>
    <w:rsid w:val="004E5833"/>
    <w:rsid w:val="004E6F9A"/>
    <w:rsid w:val="004F149E"/>
    <w:rsid w:val="004F3292"/>
    <w:rsid w:val="004F52BA"/>
    <w:rsid w:val="004F589B"/>
    <w:rsid w:val="00502516"/>
    <w:rsid w:val="00504022"/>
    <w:rsid w:val="00505F06"/>
    <w:rsid w:val="00506828"/>
    <w:rsid w:val="0053056E"/>
    <w:rsid w:val="00534434"/>
    <w:rsid w:val="005447FD"/>
    <w:rsid w:val="00550D8E"/>
    <w:rsid w:val="00554FDA"/>
    <w:rsid w:val="00573F96"/>
    <w:rsid w:val="005822DC"/>
    <w:rsid w:val="005876E4"/>
    <w:rsid w:val="00590142"/>
    <w:rsid w:val="005A545C"/>
    <w:rsid w:val="005C784C"/>
    <w:rsid w:val="005D0E0F"/>
    <w:rsid w:val="005D17F6"/>
    <w:rsid w:val="005E1265"/>
    <w:rsid w:val="005E4900"/>
    <w:rsid w:val="005E5539"/>
    <w:rsid w:val="005F786F"/>
    <w:rsid w:val="006012E2"/>
    <w:rsid w:val="00602BF5"/>
    <w:rsid w:val="00617FDD"/>
    <w:rsid w:val="0062139C"/>
    <w:rsid w:val="00633614"/>
    <w:rsid w:val="00633F68"/>
    <w:rsid w:val="00636EB2"/>
    <w:rsid w:val="006375B8"/>
    <w:rsid w:val="00647A50"/>
    <w:rsid w:val="006553C5"/>
    <w:rsid w:val="0066510A"/>
    <w:rsid w:val="0066595C"/>
    <w:rsid w:val="00673F9F"/>
    <w:rsid w:val="00686953"/>
    <w:rsid w:val="0068770F"/>
    <w:rsid w:val="00687A28"/>
    <w:rsid w:val="00687DEA"/>
    <w:rsid w:val="00687E67"/>
    <w:rsid w:val="006967F7"/>
    <w:rsid w:val="006A250C"/>
    <w:rsid w:val="006A6E4D"/>
    <w:rsid w:val="006B21D3"/>
    <w:rsid w:val="006B57D0"/>
    <w:rsid w:val="006C51E6"/>
    <w:rsid w:val="006D30FF"/>
    <w:rsid w:val="006D6940"/>
    <w:rsid w:val="006E496D"/>
    <w:rsid w:val="006F11EC"/>
    <w:rsid w:val="006F3E11"/>
    <w:rsid w:val="006F7867"/>
    <w:rsid w:val="0070082C"/>
    <w:rsid w:val="00713E06"/>
    <w:rsid w:val="007369E6"/>
    <w:rsid w:val="00740801"/>
    <w:rsid w:val="00740C30"/>
    <w:rsid w:val="00746E59"/>
    <w:rsid w:val="00754C9A"/>
    <w:rsid w:val="00754DD1"/>
    <w:rsid w:val="0075599A"/>
    <w:rsid w:val="00761D52"/>
    <w:rsid w:val="0076214E"/>
    <w:rsid w:val="00771457"/>
    <w:rsid w:val="0077749E"/>
    <w:rsid w:val="007823B0"/>
    <w:rsid w:val="00790ADA"/>
    <w:rsid w:val="007910E7"/>
    <w:rsid w:val="007A1094"/>
    <w:rsid w:val="007A154C"/>
    <w:rsid w:val="007B3AAF"/>
    <w:rsid w:val="007C3BCA"/>
    <w:rsid w:val="007D2288"/>
    <w:rsid w:val="007E088F"/>
    <w:rsid w:val="007F7B32"/>
    <w:rsid w:val="00804BC2"/>
    <w:rsid w:val="008055C2"/>
    <w:rsid w:val="0081431A"/>
    <w:rsid w:val="0083128C"/>
    <w:rsid w:val="0083216F"/>
    <w:rsid w:val="00832F72"/>
    <w:rsid w:val="00860000"/>
    <w:rsid w:val="00862457"/>
    <w:rsid w:val="00863BD3"/>
    <w:rsid w:val="00864106"/>
    <w:rsid w:val="008641ED"/>
    <w:rsid w:val="00866D66"/>
    <w:rsid w:val="008671C6"/>
    <w:rsid w:val="00875803"/>
    <w:rsid w:val="008B459E"/>
    <w:rsid w:val="008E13AE"/>
    <w:rsid w:val="008E1506"/>
    <w:rsid w:val="008E710C"/>
    <w:rsid w:val="008F3066"/>
    <w:rsid w:val="008F3C31"/>
    <w:rsid w:val="008F4B1C"/>
    <w:rsid w:val="008F69D6"/>
    <w:rsid w:val="00902823"/>
    <w:rsid w:val="00913734"/>
    <w:rsid w:val="00914D13"/>
    <w:rsid w:val="00915CA6"/>
    <w:rsid w:val="00927834"/>
    <w:rsid w:val="009500A6"/>
    <w:rsid w:val="00951549"/>
    <w:rsid w:val="009522DD"/>
    <w:rsid w:val="00957C18"/>
    <w:rsid w:val="009659BA"/>
    <w:rsid w:val="00967CAE"/>
    <w:rsid w:val="00983040"/>
    <w:rsid w:val="009A30D9"/>
    <w:rsid w:val="009B3FB9"/>
    <w:rsid w:val="009C2465"/>
    <w:rsid w:val="009C5D62"/>
    <w:rsid w:val="009D35A0"/>
    <w:rsid w:val="009D7EB7"/>
    <w:rsid w:val="009E048A"/>
    <w:rsid w:val="009E08E9"/>
    <w:rsid w:val="009E1D67"/>
    <w:rsid w:val="009E3DB9"/>
    <w:rsid w:val="009E6E35"/>
    <w:rsid w:val="009E7BA0"/>
    <w:rsid w:val="009F0CAD"/>
    <w:rsid w:val="009F0EDA"/>
    <w:rsid w:val="00A03B96"/>
    <w:rsid w:val="00A05B19"/>
    <w:rsid w:val="00A1134E"/>
    <w:rsid w:val="00A23336"/>
    <w:rsid w:val="00A24E7E"/>
    <w:rsid w:val="00A258C3"/>
    <w:rsid w:val="00A347C0"/>
    <w:rsid w:val="00A51431"/>
    <w:rsid w:val="00A539AD"/>
    <w:rsid w:val="00A758D9"/>
    <w:rsid w:val="00A94063"/>
    <w:rsid w:val="00AA0DB8"/>
    <w:rsid w:val="00AA6219"/>
    <w:rsid w:val="00AA74E0"/>
    <w:rsid w:val="00AA79C2"/>
    <w:rsid w:val="00AB703F"/>
    <w:rsid w:val="00AC6BB8"/>
    <w:rsid w:val="00AE008F"/>
    <w:rsid w:val="00B01FCD"/>
    <w:rsid w:val="00B066D5"/>
    <w:rsid w:val="00B1776C"/>
    <w:rsid w:val="00B411CD"/>
    <w:rsid w:val="00B42757"/>
    <w:rsid w:val="00B52583"/>
    <w:rsid w:val="00B52896"/>
    <w:rsid w:val="00B615AF"/>
    <w:rsid w:val="00B63E23"/>
    <w:rsid w:val="00B67ACF"/>
    <w:rsid w:val="00B95236"/>
    <w:rsid w:val="00B96BD9"/>
    <w:rsid w:val="00BA1B01"/>
    <w:rsid w:val="00BA2641"/>
    <w:rsid w:val="00BA3EC0"/>
    <w:rsid w:val="00BA789F"/>
    <w:rsid w:val="00BB37AA"/>
    <w:rsid w:val="00BC53A0"/>
    <w:rsid w:val="00BC57F0"/>
    <w:rsid w:val="00BE62AD"/>
    <w:rsid w:val="00BF07A4"/>
    <w:rsid w:val="00BF121F"/>
    <w:rsid w:val="00BF1F80"/>
    <w:rsid w:val="00BF303C"/>
    <w:rsid w:val="00BF633F"/>
    <w:rsid w:val="00C166EF"/>
    <w:rsid w:val="00C17EB0"/>
    <w:rsid w:val="00C22B6C"/>
    <w:rsid w:val="00C27834"/>
    <w:rsid w:val="00C27F5F"/>
    <w:rsid w:val="00C30A0F"/>
    <w:rsid w:val="00C334F0"/>
    <w:rsid w:val="00C37E61"/>
    <w:rsid w:val="00C70F1B"/>
    <w:rsid w:val="00C711AE"/>
    <w:rsid w:val="00C71A47"/>
    <w:rsid w:val="00C7464C"/>
    <w:rsid w:val="00C8362A"/>
    <w:rsid w:val="00C85588"/>
    <w:rsid w:val="00CA50A4"/>
    <w:rsid w:val="00CB0533"/>
    <w:rsid w:val="00CC23F4"/>
    <w:rsid w:val="00CD6755"/>
    <w:rsid w:val="00CD6856"/>
    <w:rsid w:val="00CE0089"/>
    <w:rsid w:val="00CE793C"/>
    <w:rsid w:val="00CF193C"/>
    <w:rsid w:val="00CF4C17"/>
    <w:rsid w:val="00D03CC4"/>
    <w:rsid w:val="00D173F1"/>
    <w:rsid w:val="00D21B87"/>
    <w:rsid w:val="00D323E7"/>
    <w:rsid w:val="00D3489B"/>
    <w:rsid w:val="00D36697"/>
    <w:rsid w:val="00D564FB"/>
    <w:rsid w:val="00D74CB0"/>
    <w:rsid w:val="00D77537"/>
    <w:rsid w:val="00D8295D"/>
    <w:rsid w:val="00DB51AA"/>
    <w:rsid w:val="00DC2A65"/>
    <w:rsid w:val="00DE15F0"/>
    <w:rsid w:val="00DE5663"/>
    <w:rsid w:val="00DE78AA"/>
    <w:rsid w:val="00DF2D4D"/>
    <w:rsid w:val="00E053D0"/>
    <w:rsid w:val="00E05865"/>
    <w:rsid w:val="00E150B0"/>
    <w:rsid w:val="00E15994"/>
    <w:rsid w:val="00E20AAF"/>
    <w:rsid w:val="00E3114E"/>
    <w:rsid w:val="00E31A70"/>
    <w:rsid w:val="00E35B02"/>
    <w:rsid w:val="00E429DA"/>
    <w:rsid w:val="00E51252"/>
    <w:rsid w:val="00E578BE"/>
    <w:rsid w:val="00E66496"/>
    <w:rsid w:val="00E66B35"/>
    <w:rsid w:val="00E66E10"/>
    <w:rsid w:val="00E769F6"/>
    <w:rsid w:val="00E8407C"/>
    <w:rsid w:val="00E84F3C"/>
    <w:rsid w:val="00EA012C"/>
    <w:rsid w:val="00EA4555"/>
    <w:rsid w:val="00EB7302"/>
    <w:rsid w:val="00EC6A55"/>
    <w:rsid w:val="00EC6B41"/>
    <w:rsid w:val="00ED0288"/>
    <w:rsid w:val="00ED0428"/>
    <w:rsid w:val="00EE4EAC"/>
    <w:rsid w:val="00EE52CB"/>
    <w:rsid w:val="00EF581D"/>
    <w:rsid w:val="00EF7372"/>
    <w:rsid w:val="00EF7FD8"/>
    <w:rsid w:val="00F06F59"/>
    <w:rsid w:val="00F1792F"/>
    <w:rsid w:val="00F17988"/>
    <w:rsid w:val="00F469F0"/>
    <w:rsid w:val="00F53273"/>
    <w:rsid w:val="00F55253"/>
    <w:rsid w:val="00F755E4"/>
    <w:rsid w:val="00F77D02"/>
    <w:rsid w:val="00F81B05"/>
    <w:rsid w:val="00FA0EC9"/>
    <w:rsid w:val="00FA51A4"/>
    <w:rsid w:val="00FA790F"/>
    <w:rsid w:val="00FB2056"/>
    <w:rsid w:val="00FB3A86"/>
    <w:rsid w:val="00FD36C8"/>
    <w:rsid w:val="00FD7460"/>
    <w:rsid w:val="00FE7DF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2980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Judul1">
    <w:name w:val="heading 1"/>
    <w:basedOn w:val="Normal"/>
    <w:next w:val="Normal"/>
    <w:qFormat/>
    <w:rsid w:val="00423789"/>
    <w:pPr>
      <w:keepNext/>
      <w:spacing w:before="240" w:after="60"/>
      <w:outlineLvl w:val="0"/>
    </w:pPr>
    <w:rPr>
      <w:rFonts w:ascii="Arial" w:hAnsi="Arial"/>
      <w:b/>
      <w:kern w:val="28"/>
      <w:sz w:val="28"/>
    </w:rPr>
  </w:style>
  <w:style w:type="paragraph" w:styleId="Judul2">
    <w:name w:val="heading 2"/>
    <w:basedOn w:val="Normal"/>
    <w:next w:val="Normal"/>
    <w:link w:val="Judul2KAR"/>
    <w:semiHidden/>
    <w:unhideWhenUsed/>
    <w:qFormat/>
    <w:rsid w:val="00DB51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Judu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TandaTangan">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ParagrafDefaul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ParagrafDefault"/>
    <w:rsid w:val="00030174"/>
    <w:rPr>
      <w:color w:val="FF0080"/>
      <w:u w:val="single"/>
    </w:rPr>
  </w:style>
  <w:style w:type="character" w:styleId="HiperlinkyangDiikuti">
    <w:name w:val="FollowedHyperlink"/>
    <w:basedOn w:val="FontParagrafDefault"/>
    <w:rsid w:val="00FB3A86"/>
    <w:rPr>
      <w:color w:val="800080"/>
      <w:u w:val="single"/>
    </w:rPr>
  </w:style>
  <w:style w:type="table" w:styleId="KisiTabel">
    <w:name w:val="Table Grid"/>
    <w:basedOn w:val="Tabel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Isi2">
    <w:name w:val="Body Text 2"/>
    <w:basedOn w:val="Normal"/>
    <w:link w:val="TeksIsi2KAR"/>
    <w:rsid w:val="00EF7FD8"/>
    <w:pPr>
      <w:spacing w:after="120" w:line="480" w:lineRule="auto"/>
    </w:pPr>
  </w:style>
  <w:style w:type="character" w:customStyle="1" w:styleId="TeksIsi2KAR">
    <w:name w:val="Teks Isi 2 KAR"/>
    <w:basedOn w:val="FontParagrafDefault"/>
    <w:link w:val="TeksIsi2"/>
    <w:rsid w:val="00EF7FD8"/>
    <w:rPr>
      <w:rFonts w:ascii="Helvetica" w:hAnsi="Helvetica"/>
    </w:rPr>
  </w:style>
  <w:style w:type="character" w:styleId="ReferensiKomentar">
    <w:name w:val="annotation reference"/>
    <w:basedOn w:val="FontParagrafDefault"/>
    <w:uiPriority w:val="99"/>
    <w:unhideWhenUsed/>
    <w:rsid w:val="00746E59"/>
    <w:rPr>
      <w:sz w:val="16"/>
      <w:szCs w:val="16"/>
    </w:rPr>
  </w:style>
  <w:style w:type="paragraph" w:styleId="TeksKomentar">
    <w:name w:val="annotation text"/>
    <w:basedOn w:val="Normal"/>
    <w:link w:val="TeksKomentarKAR"/>
    <w:uiPriority w:val="99"/>
    <w:unhideWhenUsed/>
    <w:rsid w:val="00746E59"/>
    <w:rPr>
      <w:rFonts w:ascii="Times New Roman" w:hAnsi="Times New Roman"/>
      <w:lang w:val="nb-NO" w:eastAsia="nb-NO"/>
    </w:rPr>
  </w:style>
  <w:style w:type="character" w:customStyle="1" w:styleId="TeksKomentarKAR">
    <w:name w:val="Teks Komentar KAR"/>
    <w:basedOn w:val="FontParagrafDefault"/>
    <w:link w:val="TeksKomentar"/>
    <w:uiPriority w:val="99"/>
    <w:rsid w:val="00746E59"/>
    <w:rPr>
      <w:lang w:val="nb-NO" w:eastAsia="nb-NO"/>
    </w:rPr>
  </w:style>
  <w:style w:type="paragraph" w:styleId="TeksBalon">
    <w:name w:val="Balloon Text"/>
    <w:basedOn w:val="Normal"/>
    <w:link w:val="TeksBalonKAR"/>
    <w:rsid w:val="00746E59"/>
    <w:rPr>
      <w:rFonts w:ascii="Tahoma" w:hAnsi="Tahoma" w:cs="Tahoma"/>
      <w:sz w:val="16"/>
      <w:szCs w:val="16"/>
    </w:rPr>
  </w:style>
  <w:style w:type="character" w:customStyle="1" w:styleId="TeksBalonKAR">
    <w:name w:val="Teks Balon KAR"/>
    <w:basedOn w:val="FontParagrafDefault"/>
    <w:link w:val="TeksBalon"/>
    <w:rsid w:val="00746E59"/>
    <w:rPr>
      <w:rFonts w:ascii="Tahoma" w:hAnsi="Tahoma" w:cs="Tahoma"/>
      <w:sz w:val="16"/>
      <w:szCs w:val="16"/>
    </w:rPr>
  </w:style>
  <w:style w:type="paragraph" w:styleId="TeksIsi3">
    <w:name w:val="Body Text 3"/>
    <w:basedOn w:val="Normal"/>
    <w:link w:val="TeksIsi3KAR"/>
    <w:rsid w:val="00231920"/>
    <w:pPr>
      <w:spacing w:after="120"/>
    </w:pPr>
    <w:rPr>
      <w:sz w:val="16"/>
      <w:szCs w:val="16"/>
    </w:rPr>
  </w:style>
  <w:style w:type="character" w:customStyle="1" w:styleId="TeksIsi3KAR">
    <w:name w:val="Teks Isi 3 KAR"/>
    <w:basedOn w:val="FontParagrafDefault"/>
    <w:link w:val="TeksIsi3"/>
    <w:rsid w:val="00231920"/>
    <w:rPr>
      <w:rFonts w:ascii="Helvetica" w:hAnsi="Helvetica"/>
      <w:sz w:val="16"/>
      <w:szCs w:val="16"/>
    </w:rPr>
  </w:style>
  <w:style w:type="character" w:styleId="NomorBaris">
    <w:name w:val="line number"/>
    <w:basedOn w:val="FontParagrafDefault"/>
    <w:rsid w:val="00412475"/>
  </w:style>
  <w:style w:type="character" w:styleId="Penekanan">
    <w:name w:val="Emphasis"/>
    <w:basedOn w:val="FontParagrafDefault"/>
    <w:uiPriority w:val="20"/>
    <w:qFormat/>
    <w:rsid w:val="0024282C"/>
    <w:rPr>
      <w:i/>
      <w:iCs/>
    </w:rPr>
  </w:style>
  <w:style w:type="character" w:styleId="SebutanYangBelumTerselesaikan">
    <w:name w:val="Unresolved Mention"/>
    <w:basedOn w:val="FontParagrafDefault"/>
    <w:uiPriority w:val="99"/>
    <w:semiHidden/>
    <w:unhideWhenUsed/>
    <w:rsid w:val="00287E68"/>
    <w:rPr>
      <w:color w:val="605E5C"/>
      <w:shd w:val="clear" w:color="auto" w:fill="E1DFDD"/>
    </w:rPr>
  </w:style>
  <w:style w:type="paragraph" w:customStyle="1" w:styleId="IsiParagarf">
    <w:name w:val="Isi Paragarf"/>
    <w:basedOn w:val="Normal"/>
    <w:link w:val="IsiParagarfChar"/>
    <w:qFormat/>
    <w:rsid w:val="009F0CAD"/>
    <w:pPr>
      <w:spacing w:line="276" w:lineRule="auto"/>
      <w:ind w:firstLine="567"/>
      <w:jc w:val="both"/>
    </w:pPr>
    <w:rPr>
      <w:rFonts w:ascii="Cambria" w:eastAsiaTheme="minorHAnsi" w:hAnsi="Cambria" w:cstheme="minorBidi"/>
      <w:sz w:val="22"/>
      <w:szCs w:val="22"/>
    </w:rPr>
  </w:style>
  <w:style w:type="character" w:customStyle="1" w:styleId="IsiParagarfChar">
    <w:name w:val="Isi Paragarf Char"/>
    <w:basedOn w:val="FontParagrafDefault"/>
    <w:link w:val="IsiParagarf"/>
    <w:qFormat/>
    <w:rsid w:val="009F0CAD"/>
    <w:rPr>
      <w:rFonts w:ascii="Cambria" w:eastAsiaTheme="minorHAnsi" w:hAnsi="Cambria" w:cstheme="minorBidi"/>
      <w:sz w:val="22"/>
      <w:szCs w:val="22"/>
    </w:rPr>
  </w:style>
  <w:style w:type="paragraph" w:styleId="NormalWeb">
    <w:name w:val="Normal (Web)"/>
    <w:uiPriority w:val="99"/>
    <w:unhideWhenUsed/>
    <w:rsid w:val="00342B6C"/>
    <w:pPr>
      <w:spacing w:beforeAutospacing="1" w:afterAutospacing="1"/>
    </w:pPr>
    <w:rPr>
      <w:rFonts w:eastAsia="SimSun"/>
      <w:sz w:val="24"/>
      <w:szCs w:val="24"/>
      <w:lang w:eastAsia="zh-CN"/>
    </w:rPr>
  </w:style>
  <w:style w:type="character" w:customStyle="1" w:styleId="Judul2KAR">
    <w:name w:val="Judul 2 KAR"/>
    <w:basedOn w:val="FontParagrafDefault"/>
    <w:link w:val="Judul2"/>
    <w:semiHidden/>
    <w:rsid w:val="00DB51AA"/>
    <w:rPr>
      <w:rFonts w:asciiTheme="majorHAnsi" w:eastAsiaTheme="majorEastAsia" w:hAnsiTheme="majorHAnsi" w:cstheme="majorBidi"/>
      <w:color w:val="365F91" w:themeColor="accent1" w:themeShade="BF"/>
      <w:sz w:val="26"/>
      <w:szCs w:val="26"/>
    </w:rPr>
  </w:style>
  <w:style w:type="paragraph" w:styleId="DaftarParagraf">
    <w:name w:val="List Paragraph"/>
    <w:basedOn w:val="Normal"/>
    <w:uiPriority w:val="34"/>
    <w:qFormat/>
    <w:rsid w:val="00582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13540602.2023.2201423" TargetMode="External"/><Relationship Id="rId26" Type="http://schemas.openxmlformats.org/officeDocument/2006/relationships/hyperlink" Target="https://doi.org/10.29313/tjpi.v12i2.12290" TargetMode="External"/><Relationship Id="rId39" Type="http://schemas.openxmlformats.org/officeDocument/2006/relationships/hyperlink" Target="https://doi.org/10.70376/2rkayj30" TargetMode="External"/><Relationship Id="rId21" Type="http://schemas.openxmlformats.org/officeDocument/2006/relationships/hyperlink" Target="https://doi.org/10.1080/1359866X.2024.2324352" TargetMode="External"/><Relationship Id="rId34" Type="http://schemas.openxmlformats.org/officeDocument/2006/relationships/hyperlink" Target="https://doi.org/10.35489/BSG-RISE-WP_2020/041" TargetMode="External"/><Relationship Id="rId42" Type="http://schemas.openxmlformats.org/officeDocument/2006/relationships/hyperlink" Target="http://doi.org/doi:10.30845/jesp.v7n1p15" TargetMode="External"/><Relationship Id="rId47" Type="http://schemas.openxmlformats.org/officeDocument/2006/relationships/hyperlink" Target="https://doi.org/10.47467/jdi.v5i3.4270" TargetMode="External"/><Relationship Id="rId50" Type="http://schemas.openxmlformats.org/officeDocument/2006/relationships/hyperlink" Target="https://doi.org/10.23887/jppp.v6i3.55742" TargetMode="External"/><Relationship Id="rId55" Type="http://schemas.openxmlformats.org/officeDocument/2006/relationships/hyperlink" Target="https://doi.org/10.1504/IJMIE.2019.098188"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4783/k9rkz045" TargetMode="External"/><Relationship Id="rId29" Type="http://schemas.openxmlformats.org/officeDocument/2006/relationships/hyperlink" Target="https://doi.org/10.1596/1813-9450-9748" TargetMode="External"/><Relationship Id="rId11" Type="http://schemas.openxmlformats.org/officeDocument/2006/relationships/footer" Target="footer2.xml"/><Relationship Id="rId24" Type="http://schemas.openxmlformats.org/officeDocument/2006/relationships/hyperlink" Target="https://doi.org/10.56403/nejesh.v4i4.352" TargetMode="External"/><Relationship Id="rId32" Type="http://schemas.openxmlformats.org/officeDocument/2006/relationships/hyperlink" Target="https://doi.org/10.1177/2158244016686812" TargetMode="External"/><Relationship Id="rId37" Type="http://schemas.openxmlformats.org/officeDocument/2006/relationships/hyperlink" Target="https://doi.org/10.17478/jegys.573546" TargetMode="External"/><Relationship Id="rId40" Type="http://schemas.openxmlformats.org/officeDocument/2006/relationships/hyperlink" Target="https://doi.org/10.1016/j.heliyon.2022.e11369" TargetMode="External"/><Relationship Id="rId45" Type="http://schemas.openxmlformats.org/officeDocument/2006/relationships/hyperlink" Target="https://doi.org/10.51577/jgpi.v5i2.839" TargetMode="External"/><Relationship Id="rId53" Type="http://schemas.openxmlformats.org/officeDocument/2006/relationships/hyperlink" Target="https://doi.org/10.29333/iji.2020.13422a" TargetMode="External"/><Relationship Id="rId58" Type="http://schemas.openxmlformats.org/officeDocument/2006/relationships/hyperlink" Target="https://doi.org/10.3390/su16156474" TargetMode="Externa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hyperlink" Target="https://doi.org/10.1596/1813-9450-8253" TargetMode="External"/><Relationship Id="rId14" Type="http://schemas.openxmlformats.org/officeDocument/2006/relationships/hyperlink" Target="https://10.58374/sepakat.v11i2.445" TargetMode="External"/><Relationship Id="rId22" Type="http://schemas.openxmlformats.org/officeDocument/2006/relationships/hyperlink" Target="https://doi.org/10.1177/0013161X221140849" TargetMode="External"/><Relationship Id="rId27" Type="http://schemas.openxmlformats.org/officeDocument/2006/relationships/hyperlink" Target="https://doi.org/10.1016/j.jrurstud.2019.10.010" TargetMode="External"/><Relationship Id="rId30" Type="http://schemas.openxmlformats.org/officeDocument/2006/relationships/hyperlink" Target="http://www.nber.org/papers/w30758" TargetMode="External"/><Relationship Id="rId35" Type="http://schemas.openxmlformats.org/officeDocument/2006/relationships/hyperlink" Target="https://doi.org/10.31004/innovative.v4i4.12557" TargetMode="External"/><Relationship Id="rId43" Type="http://schemas.openxmlformats.org/officeDocument/2006/relationships/hyperlink" Target="https://doi.org/10.31949/jcp.v8i3.2615" TargetMode="External"/><Relationship Id="rId48" Type="http://schemas.openxmlformats.org/officeDocument/2006/relationships/hyperlink" Target="https://doi.org/10.54097/ehss.v23i.12898" TargetMode="External"/><Relationship Id="rId56" Type="http://schemas.openxmlformats.org/officeDocument/2006/relationships/hyperlink" Target="http://dx.doi.org/10.31000/jgcs.v8i2.12361"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29303/abdiinsani.v12i5.247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1685/kpxsfs85" TargetMode="External"/><Relationship Id="rId25" Type="http://schemas.openxmlformats.org/officeDocument/2006/relationships/hyperlink" Target="https://doi.org/10.4337/9780857932297.00015" TargetMode="External"/><Relationship Id="rId33" Type="http://schemas.openxmlformats.org/officeDocument/2006/relationships/hyperlink" Target="https://doi.org/10.1080/01900692.2018.1491597" TargetMode="External"/><Relationship Id="rId38" Type="http://schemas.openxmlformats.org/officeDocument/2006/relationships/hyperlink" Target="https://doi.org/10.1080/1359866X.2017.1296930" TargetMode="External"/><Relationship Id="rId46" Type="http://schemas.openxmlformats.org/officeDocument/2006/relationships/hyperlink" Target="https://doi.org/10.1177/105268461702700503" TargetMode="External"/><Relationship Id="rId59" Type="http://schemas.openxmlformats.org/officeDocument/2006/relationships/header" Target="header4.xml"/><Relationship Id="rId20" Type="http://schemas.openxmlformats.org/officeDocument/2006/relationships/hyperlink" Target="https://doi.org/10.35489/BSG-RISE-WP_2022/108" TargetMode="External"/><Relationship Id="rId41" Type="http://schemas.openxmlformats.org/officeDocument/2006/relationships/hyperlink" Target="https://repository.uinjkt.ac.id/id/eprint/70000/" TargetMode="External"/><Relationship Id="rId54" Type="http://schemas.openxmlformats.org/officeDocument/2006/relationships/hyperlink" Target="https://doi.org/10.59890/ijir.v2i2.1363"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62872/6wf5h908" TargetMode="External"/><Relationship Id="rId23" Type="http://schemas.openxmlformats.org/officeDocument/2006/relationships/hyperlink" Target="https://doi.org/10.1068/a43492" TargetMode="External"/><Relationship Id="rId28" Type="http://schemas.openxmlformats.org/officeDocument/2006/relationships/hyperlink" Target="https://doi.org/10.1186/s40814-021-00871-7" TargetMode="External"/><Relationship Id="rId36" Type="http://schemas.openxmlformats.org/officeDocument/2006/relationships/hyperlink" Target="https://dx.doi.org/10.2139/ssrn.2329099" TargetMode="External"/><Relationship Id="rId49" Type="http://schemas.openxmlformats.org/officeDocument/2006/relationships/hyperlink" Target="https://doi.org/10.5861/ijrse.2016.1519" TargetMode="External"/><Relationship Id="rId57" Type="http://schemas.openxmlformats.org/officeDocument/2006/relationships/hyperlink" Target="https://doi.org/10.1016/j.crm.2015.11.001" TargetMode="External"/><Relationship Id="rId10" Type="http://schemas.openxmlformats.org/officeDocument/2006/relationships/footer" Target="footer1.xml"/><Relationship Id="rId31" Type="http://schemas.openxmlformats.org/officeDocument/2006/relationships/hyperlink" Target="https://doi.org/10.3390/su14031493" TargetMode="External"/><Relationship Id="rId44" Type="http://schemas.openxmlformats.org/officeDocument/2006/relationships/hyperlink" Target="https://doi.org/10.17509/ajse.v5i2.88663" TargetMode="External"/><Relationship Id="rId52" Type="http://schemas.openxmlformats.org/officeDocument/2006/relationships/hyperlink" Target="https://doi.org/10.1080/10474412.2013.846188" TargetMode="External"/><Relationship Id="rId6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620C0-C008-4351-AA00-6D9E22D4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TotalTime>
  <Pages>20</Pages>
  <Words>8281</Words>
  <Characters>44639</Characters>
  <Application>Microsoft Office Word</Application>
  <DocSecurity>0</DocSecurity>
  <Lines>783</Lines>
  <Paragraphs>367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52553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Leony Sanga</cp:lastModifiedBy>
  <cp:revision>2</cp:revision>
  <cp:lastPrinted>1999-07-06T11:00:00Z</cp:lastPrinted>
  <dcterms:created xsi:type="dcterms:W3CDTF">2026-01-07T16:33:00Z</dcterms:created>
  <dcterms:modified xsi:type="dcterms:W3CDTF">2026-01-07T16:33:00Z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e99a1ad2-7cf9-4c54-8c0b-b9513b341578</vt:lpwstr>
  </property>
</Properties>
</file>