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4FC18" w14:textId="77777777" w:rsidR="00754C9A" w:rsidRPr="009547D6" w:rsidRDefault="00754C9A" w:rsidP="00441B6F">
      <w:pPr>
        <w:pStyle w:val="Title"/>
        <w:spacing w:after="0"/>
        <w:jc w:val="both"/>
        <w:rPr>
          <w:rFonts w:ascii="Arial" w:hAnsi="Arial" w:cs="Arial"/>
        </w:rPr>
      </w:pPr>
    </w:p>
    <w:p w14:paraId="55B7FFAE" w14:textId="11B7110D" w:rsidR="00163BC4" w:rsidRPr="009547D6" w:rsidRDefault="00F40BAF" w:rsidP="00441B6F">
      <w:pPr>
        <w:pStyle w:val="Author"/>
        <w:spacing w:line="240" w:lineRule="auto"/>
        <w:rPr>
          <w:rFonts w:ascii="Arial" w:hAnsi="Arial" w:cs="Arial"/>
          <w:bCs/>
          <w:kern w:val="28"/>
          <w:sz w:val="36"/>
        </w:rPr>
      </w:pPr>
      <w:r w:rsidRPr="009547D6">
        <w:rPr>
          <w:rFonts w:ascii="Arial" w:hAnsi="Arial" w:cs="Arial"/>
          <w:bCs/>
          <w:sz w:val="36"/>
          <w:szCs w:val="36"/>
        </w:rPr>
        <w:t xml:space="preserve">Shifting Agriculture in Northeast India: </w:t>
      </w:r>
      <w:r w:rsidR="000356EF" w:rsidRPr="009547D6">
        <w:rPr>
          <w:rFonts w:ascii="Arial" w:hAnsi="Arial" w:cs="Arial"/>
          <w:bCs/>
          <w:sz w:val="36"/>
          <w:szCs w:val="36"/>
        </w:rPr>
        <w:t>Ecological Functions and Livelihood Implications</w:t>
      </w:r>
      <w:r w:rsidR="00231920" w:rsidRPr="009547D6">
        <w:rPr>
          <w:rFonts w:ascii="Arial" w:hAnsi="Arial" w:cs="Arial"/>
          <w:bCs/>
          <w:kern w:val="28"/>
          <w:sz w:val="36"/>
        </w:rPr>
        <w:t xml:space="preserve"> </w:t>
      </w:r>
    </w:p>
    <w:p w14:paraId="0ED8A3AF" w14:textId="77777777" w:rsidR="00A258C3" w:rsidRPr="009547D6" w:rsidRDefault="00A258C3" w:rsidP="00441B6F">
      <w:pPr>
        <w:pStyle w:val="Author"/>
        <w:spacing w:line="240" w:lineRule="auto"/>
        <w:jc w:val="both"/>
        <w:rPr>
          <w:rFonts w:ascii="Arial" w:hAnsi="Arial" w:cs="Arial"/>
          <w:sz w:val="36"/>
        </w:rPr>
      </w:pPr>
    </w:p>
    <w:p w14:paraId="0483EE1B" w14:textId="77777777" w:rsidR="00092C2E" w:rsidRPr="009547D6" w:rsidRDefault="00092C2E" w:rsidP="00F40BAF">
      <w:pPr>
        <w:spacing w:before="240"/>
        <w:ind w:firstLine="720"/>
        <w:jc w:val="right"/>
        <w:rPr>
          <w:rFonts w:ascii="Arial" w:hAnsi="Arial" w:cs="Arial"/>
        </w:rPr>
      </w:pPr>
    </w:p>
    <w:p w14:paraId="5A4B9BCE" w14:textId="77777777" w:rsidR="002C57D2" w:rsidRPr="009547D6" w:rsidRDefault="002C57D2" w:rsidP="00441B6F">
      <w:pPr>
        <w:pStyle w:val="Affiliation"/>
        <w:spacing w:after="0" w:line="240" w:lineRule="auto"/>
        <w:jc w:val="both"/>
        <w:rPr>
          <w:rFonts w:ascii="Arial" w:hAnsi="Arial" w:cs="Arial"/>
        </w:rPr>
      </w:pPr>
    </w:p>
    <w:p w14:paraId="21A5123E" w14:textId="55C9C752" w:rsidR="00B01FCD" w:rsidRPr="009547D6" w:rsidRDefault="00DF2A88" w:rsidP="00B836E5">
      <w:pPr>
        <w:pStyle w:val="Copyright"/>
        <w:spacing w:before="240" w:after="0" w:line="240" w:lineRule="auto"/>
        <w:jc w:val="both"/>
        <w:rPr>
          <w:rFonts w:ascii="Arial" w:hAnsi="Arial" w:cs="Arial"/>
        </w:rPr>
        <w:sectPr w:rsidR="00B01FCD" w:rsidRPr="009547D6" w:rsidSect="008D01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EEEE6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4B99749" w14:textId="4411D126" w:rsidR="00B01FCD" w:rsidRPr="009547D6" w:rsidRDefault="00B01FCD" w:rsidP="00B836E5">
      <w:pPr>
        <w:pStyle w:val="AbstHead"/>
        <w:spacing w:before="240" w:after="0"/>
        <w:jc w:val="both"/>
        <w:rPr>
          <w:rFonts w:ascii="Arial" w:hAnsi="Arial" w:cs="Arial"/>
        </w:rPr>
      </w:pPr>
      <w:r w:rsidRPr="009547D6">
        <w:rPr>
          <w:rFonts w:ascii="Arial" w:hAnsi="Arial" w:cs="Arial"/>
        </w:rPr>
        <w:t>ABSTRACT</w:t>
      </w:r>
    </w:p>
    <w:p w14:paraId="6EED9F49" w14:textId="77777777" w:rsidR="00790ADA" w:rsidRPr="009547D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547D6" w14:paraId="7744B2AD" w14:textId="77777777" w:rsidTr="001E44FE">
        <w:tc>
          <w:tcPr>
            <w:tcW w:w="9576" w:type="dxa"/>
            <w:shd w:val="clear" w:color="auto" w:fill="F2F2F2"/>
          </w:tcPr>
          <w:p w14:paraId="7468E5CC" w14:textId="5C446522" w:rsidR="00505F06" w:rsidRPr="009547D6" w:rsidRDefault="00E43DEF" w:rsidP="00E43DEF">
            <w:pPr>
              <w:pStyle w:val="Body"/>
              <w:spacing w:after="0"/>
              <w:rPr>
                <w:rFonts w:ascii="Arial" w:hAnsi="Arial" w:cs="Arial"/>
              </w:rPr>
            </w:pPr>
            <w:r w:rsidRPr="009547D6">
              <w:rPr>
                <w:rFonts w:ascii="Arial" w:hAnsi="Arial" w:cs="Arial"/>
              </w:rPr>
              <w:t xml:space="preserve">Shifting agriculture, or jhum, is a long-standing farming practice among </w:t>
            </w:r>
            <w:r w:rsidR="003B7C39">
              <w:rPr>
                <w:rFonts w:ascii="Arial" w:hAnsi="Arial" w:cs="Arial"/>
              </w:rPr>
              <w:t>i</w:t>
            </w:r>
            <w:r w:rsidRPr="009547D6">
              <w:rPr>
                <w:rFonts w:ascii="Arial" w:hAnsi="Arial" w:cs="Arial"/>
              </w:rPr>
              <w:t xml:space="preserve">ndigenous communities in Northeast India. Traditionally, this system relied on fallow cycles of 10–20 years, which allowed the soil to recover and secondary forests to regenerate. In recent decades, increasing population and land pressure have reduced fallow periods to 2–5 </w:t>
            </w:r>
            <w:r w:rsidR="00F34214" w:rsidRPr="009547D6">
              <w:rPr>
                <w:rFonts w:ascii="Arial" w:hAnsi="Arial" w:cs="Arial"/>
              </w:rPr>
              <w:t>years, as reported across multiple empirical studies</w:t>
            </w:r>
            <w:r w:rsidR="003B7C39">
              <w:rPr>
                <w:rFonts w:ascii="Arial" w:hAnsi="Arial" w:cs="Arial"/>
              </w:rPr>
              <w:t xml:space="preserve"> which </w:t>
            </w:r>
            <w:r w:rsidRPr="009547D6">
              <w:rPr>
                <w:rFonts w:ascii="Arial" w:hAnsi="Arial" w:cs="Arial"/>
              </w:rPr>
              <w:t>has raised concerns about deforestation, soil loss, and declining biodiversity.</w:t>
            </w:r>
            <w:r w:rsidR="007E7680" w:rsidRPr="009547D6">
              <w:rPr>
                <w:rFonts w:ascii="Arial" w:hAnsi="Arial" w:cs="Arial"/>
              </w:rPr>
              <w:t xml:space="preserve"> Synthesized findings across </w:t>
            </w:r>
            <w:r w:rsidR="003B7C39">
              <w:rPr>
                <w:rFonts w:ascii="Arial" w:hAnsi="Arial" w:cs="Arial"/>
              </w:rPr>
              <w:t>different literature</w:t>
            </w:r>
            <w:r w:rsidR="007E7680" w:rsidRPr="009547D6">
              <w:rPr>
                <w:rFonts w:ascii="Arial" w:hAnsi="Arial" w:cs="Arial"/>
              </w:rPr>
              <w:t xml:space="preserve"> show that ecological outcomes are strongly contingent on fallow length, disturbance frequency, and landscape context, where recovery time is adequate, jhum can facilitate forest succession, maintain </w:t>
            </w:r>
            <w:proofErr w:type="spellStart"/>
            <w:r w:rsidR="007E7680" w:rsidRPr="009547D6">
              <w:rPr>
                <w:rFonts w:ascii="Arial" w:hAnsi="Arial" w:cs="Arial"/>
              </w:rPr>
              <w:t>agro</w:t>
            </w:r>
            <w:proofErr w:type="spellEnd"/>
            <w:r w:rsidR="007E7680" w:rsidRPr="009547D6">
              <w:rPr>
                <w:rFonts w:ascii="Arial" w:hAnsi="Arial" w:cs="Arial"/>
              </w:rPr>
              <w:t xml:space="preserve">-biodiversity, contribute to carbon storage, and sustain food and livelihood security. </w:t>
            </w:r>
            <w:r w:rsidRPr="009547D6">
              <w:rPr>
                <w:rFonts w:ascii="Arial" w:hAnsi="Arial" w:cs="Arial"/>
              </w:rPr>
              <w:t xml:space="preserve"> </w:t>
            </w:r>
            <w:r w:rsidR="007E7680" w:rsidRPr="009547D6">
              <w:rPr>
                <w:rFonts w:ascii="Arial" w:hAnsi="Arial" w:cs="Arial"/>
              </w:rPr>
              <w:t xml:space="preserve">Across sites, </w:t>
            </w:r>
            <w:r w:rsidR="003B7C39">
              <w:rPr>
                <w:rFonts w:ascii="Arial" w:hAnsi="Arial" w:cs="Arial"/>
              </w:rPr>
              <w:t>researchers</w:t>
            </w:r>
            <w:r w:rsidR="004E54AA" w:rsidRPr="009547D6">
              <w:rPr>
                <w:rFonts w:ascii="Arial" w:hAnsi="Arial" w:cs="Arial"/>
              </w:rPr>
              <w:t xml:space="preserve"> </w:t>
            </w:r>
            <w:r w:rsidR="007E7680" w:rsidRPr="009547D6">
              <w:rPr>
                <w:rFonts w:ascii="Arial" w:hAnsi="Arial" w:cs="Arial"/>
              </w:rPr>
              <w:t>reported</w:t>
            </w:r>
            <w:r w:rsidR="004E54AA" w:rsidRPr="009547D6">
              <w:rPr>
                <w:rFonts w:ascii="Arial" w:hAnsi="Arial" w:cs="Arial"/>
              </w:rPr>
              <w:t xml:space="preserve"> that f</w:t>
            </w:r>
            <w:r w:rsidRPr="009547D6">
              <w:rPr>
                <w:rFonts w:ascii="Arial" w:hAnsi="Arial" w:cs="Arial"/>
              </w:rPr>
              <w:t xml:space="preserve">armers </w:t>
            </w:r>
            <w:r w:rsidR="007E7680" w:rsidRPr="009547D6">
              <w:rPr>
                <w:rFonts w:ascii="Arial" w:hAnsi="Arial" w:cs="Arial"/>
              </w:rPr>
              <w:t>cultivated a wide variety</w:t>
            </w:r>
            <w:r w:rsidRPr="009547D6">
              <w:rPr>
                <w:rFonts w:ascii="Arial" w:hAnsi="Arial" w:cs="Arial"/>
              </w:rPr>
              <w:t xml:space="preserve"> of cereals, pulses, vegetables, and cash crops, while abandoned fields recover vegetation that stores carbon and supports wildlife. </w:t>
            </w:r>
            <w:r w:rsidR="007E7680" w:rsidRPr="009547D6">
              <w:rPr>
                <w:rFonts w:ascii="Arial" w:hAnsi="Arial" w:cs="Arial"/>
              </w:rPr>
              <w:t xml:space="preserve">The literature also documents rapid system adaptation, including shifts toward agroforestry, commercial crops, and climate-resilient species such as millets. This review </w:t>
            </w:r>
            <w:r w:rsidR="003B7C39">
              <w:rPr>
                <w:rFonts w:ascii="Arial" w:hAnsi="Arial" w:cs="Arial"/>
              </w:rPr>
              <w:t>integrates</w:t>
            </w:r>
            <w:r w:rsidR="007E7680" w:rsidRPr="009547D6">
              <w:rPr>
                <w:rFonts w:ascii="Arial" w:hAnsi="Arial" w:cs="Arial"/>
              </w:rPr>
              <w:t xml:space="preserve"> peer-reviewed studies and key policy reports from Northeast India to evaluate how fallow dynamics, land-use change, and policy interventions shape ecological recovery and livelihood resilience in jhum landscapes.</w:t>
            </w:r>
          </w:p>
        </w:tc>
      </w:tr>
    </w:tbl>
    <w:p w14:paraId="302748E9" w14:textId="7D640D84" w:rsidR="00790ADA" w:rsidRPr="009547D6" w:rsidRDefault="00A24E7E" w:rsidP="00013269">
      <w:pPr>
        <w:pStyle w:val="Body"/>
        <w:spacing w:before="240"/>
        <w:rPr>
          <w:rFonts w:ascii="Arial" w:hAnsi="Arial" w:cs="Arial"/>
          <w:i/>
          <w:iCs/>
        </w:rPr>
      </w:pPr>
      <w:r w:rsidRPr="009547D6">
        <w:rPr>
          <w:rFonts w:ascii="Arial" w:hAnsi="Arial" w:cs="Arial"/>
          <w:i/>
          <w:iCs/>
        </w:rPr>
        <w:t>Keywords:</w:t>
      </w:r>
      <w:r w:rsidR="00E43DEF" w:rsidRPr="009547D6">
        <w:rPr>
          <w:rFonts w:ascii="Arial" w:hAnsi="Arial" w:cs="Arial"/>
          <w:i/>
          <w:iCs/>
        </w:rPr>
        <w:t xml:space="preserve"> Shifting agriculture; Jhum; </w:t>
      </w:r>
      <w:proofErr w:type="spellStart"/>
      <w:r w:rsidR="00E43DEF" w:rsidRPr="009547D6">
        <w:rPr>
          <w:rFonts w:ascii="Arial" w:hAnsi="Arial" w:cs="Arial"/>
          <w:i/>
          <w:iCs/>
        </w:rPr>
        <w:t>Agro</w:t>
      </w:r>
      <w:proofErr w:type="spellEnd"/>
      <w:r w:rsidR="00E43DEF" w:rsidRPr="009547D6">
        <w:rPr>
          <w:rFonts w:ascii="Arial" w:hAnsi="Arial" w:cs="Arial"/>
          <w:i/>
          <w:iCs/>
        </w:rPr>
        <w:t>-biodiversity; Northeast</w:t>
      </w:r>
      <w:r w:rsidR="00243109" w:rsidRPr="009547D6">
        <w:rPr>
          <w:rFonts w:ascii="Arial" w:hAnsi="Arial" w:cs="Arial"/>
          <w:i/>
          <w:iCs/>
        </w:rPr>
        <w:t xml:space="preserve"> India</w:t>
      </w:r>
      <w:r w:rsidR="00E43DEF" w:rsidRPr="009547D6">
        <w:rPr>
          <w:rFonts w:ascii="Arial" w:hAnsi="Arial" w:cs="Arial"/>
          <w:i/>
          <w:iCs/>
        </w:rPr>
        <w:t xml:space="preserve">; </w:t>
      </w:r>
      <w:r w:rsidR="00EC41D4" w:rsidRPr="009547D6">
        <w:rPr>
          <w:rFonts w:ascii="Arial" w:hAnsi="Arial" w:cs="Arial"/>
          <w:i/>
          <w:iCs/>
        </w:rPr>
        <w:t>L</w:t>
      </w:r>
      <w:r w:rsidR="00E43DEF" w:rsidRPr="009547D6">
        <w:rPr>
          <w:rFonts w:ascii="Arial" w:hAnsi="Arial" w:cs="Arial"/>
          <w:i/>
          <w:iCs/>
        </w:rPr>
        <w:t>ivelihood resilience.</w:t>
      </w:r>
    </w:p>
    <w:p w14:paraId="5C3F3BF3" w14:textId="07C7C089" w:rsidR="00790ADA" w:rsidRPr="009547D6" w:rsidRDefault="00902823" w:rsidP="00441B6F">
      <w:pPr>
        <w:pStyle w:val="AbstHead"/>
        <w:spacing w:after="0"/>
        <w:jc w:val="both"/>
        <w:rPr>
          <w:rFonts w:ascii="Arial" w:hAnsi="Arial" w:cs="Arial"/>
        </w:rPr>
      </w:pPr>
      <w:r w:rsidRPr="009547D6">
        <w:rPr>
          <w:rFonts w:ascii="Arial" w:hAnsi="Arial" w:cs="Arial"/>
        </w:rPr>
        <w:t xml:space="preserve">1. </w:t>
      </w:r>
      <w:r w:rsidR="00B01FCD" w:rsidRPr="009547D6">
        <w:rPr>
          <w:rFonts w:ascii="Arial" w:hAnsi="Arial" w:cs="Arial"/>
        </w:rPr>
        <w:t>INTRODUCTION</w:t>
      </w:r>
    </w:p>
    <w:p w14:paraId="44E70B1D" w14:textId="7EC7EAC8" w:rsidR="002C4F63" w:rsidRPr="009547D6" w:rsidRDefault="002C4F63" w:rsidP="002204E6">
      <w:pPr>
        <w:pStyle w:val="BodyText"/>
        <w:spacing w:before="240"/>
        <w:jc w:val="both"/>
        <w:rPr>
          <w:rFonts w:ascii="Arial" w:hAnsi="Arial" w:cs="Arial"/>
          <w:lang w:val="en-IN"/>
        </w:rPr>
      </w:pPr>
      <w:r w:rsidRPr="009547D6">
        <w:rPr>
          <w:rFonts w:ascii="Arial" w:hAnsi="Arial" w:cs="Arial"/>
          <w:lang w:val="en-IN"/>
        </w:rPr>
        <w:t xml:space="preserve">Shifting agriculture is one of the oldest farming systems, characterized by the rotation of fields rather than crops, with short cropping cycles followed by fallow periods that allow natural regeneration (Pelzer, 1945). Globally, </w:t>
      </w:r>
      <w:r w:rsidR="00A65B42" w:rsidRPr="009547D6">
        <w:rPr>
          <w:rFonts w:ascii="Arial" w:hAnsi="Arial" w:cs="Arial"/>
          <w:lang w:val="en-IN"/>
        </w:rPr>
        <w:t xml:space="preserve">estimates suggest </w:t>
      </w:r>
      <w:r w:rsidRPr="009547D6">
        <w:rPr>
          <w:rFonts w:ascii="Arial" w:hAnsi="Arial" w:cs="Arial"/>
          <w:lang w:val="en-IN"/>
        </w:rPr>
        <w:t>it spans more than 280 million hectares and supports millions of rural households (</w:t>
      </w:r>
      <w:proofErr w:type="spellStart"/>
      <w:r w:rsidRPr="009547D6">
        <w:rPr>
          <w:rFonts w:ascii="Arial" w:hAnsi="Arial" w:cs="Arial"/>
          <w:lang w:val="en-IN"/>
        </w:rPr>
        <w:t>Heinimann</w:t>
      </w:r>
      <w:proofErr w:type="spellEnd"/>
      <w:r w:rsidRPr="009547D6">
        <w:rPr>
          <w:rFonts w:ascii="Arial" w:hAnsi="Arial" w:cs="Arial"/>
          <w:lang w:val="en-IN"/>
        </w:rPr>
        <w:t xml:space="preserve"> et al., 2017; Brady, 1996). The practice is ecologically significant because fallow vegetation restores soil fertility, regulates hydrology, and supports biodiversity. Yet, it has also been criticized for contributing to deforestation, carbon loss, and greenhouse gas emissions when fallow periods are shortened (</w:t>
      </w:r>
      <w:proofErr w:type="spellStart"/>
      <w:r w:rsidRPr="009547D6">
        <w:rPr>
          <w:rFonts w:ascii="Arial" w:hAnsi="Arial" w:cs="Arial"/>
          <w:lang w:val="en-IN"/>
        </w:rPr>
        <w:t>Fearnside</w:t>
      </w:r>
      <w:proofErr w:type="spellEnd"/>
      <w:r w:rsidRPr="009547D6">
        <w:rPr>
          <w:rFonts w:ascii="Arial" w:hAnsi="Arial" w:cs="Arial"/>
          <w:lang w:val="en-IN"/>
        </w:rPr>
        <w:t xml:space="preserve">, 2000; </w:t>
      </w:r>
      <w:proofErr w:type="spellStart"/>
      <w:r w:rsidRPr="009547D6">
        <w:rPr>
          <w:rFonts w:ascii="Arial" w:hAnsi="Arial" w:cs="Arial"/>
          <w:lang w:val="en-IN"/>
        </w:rPr>
        <w:t>Juo</w:t>
      </w:r>
      <w:proofErr w:type="spellEnd"/>
      <w:r w:rsidRPr="009547D6">
        <w:rPr>
          <w:rFonts w:ascii="Arial" w:hAnsi="Arial" w:cs="Arial"/>
          <w:lang w:val="en-IN"/>
        </w:rPr>
        <w:t xml:space="preserve"> &amp; Manu, 1996). The sustainability of this land-use system depends largely on the balance between cultivation and fallow phases. The longer fallows of 10–20 years permit forest succession and soil recovery, while shortened cycles of 2–5 years can degrade ecosystem services and reduce productivity (Nye &amp; Greenland, 1960; Kleinman et al., 1995; Silva-Forsberg &amp; </w:t>
      </w:r>
      <w:proofErr w:type="spellStart"/>
      <w:r w:rsidRPr="009547D6">
        <w:rPr>
          <w:rFonts w:ascii="Arial" w:hAnsi="Arial" w:cs="Arial"/>
          <w:lang w:val="en-IN"/>
        </w:rPr>
        <w:t>Fearnside</w:t>
      </w:r>
      <w:proofErr w:type="spellEnd"/>
      <w:r w:rsidRPr="009547D6">
        <w:rPr>
          <w:rFonts w:ascii="Arial" w:hAnsi="Arial" w:cs="Arial"/>
          <w:lang w:val="en-IN"/>
        </w:rPr>
        <w:t>, 1997; Thong et al., 2020). The extent and demographic dependence on shifting cultivation vary widely across countries and remain poorly quantified (Mertz et al., 2009).</w:t>
      </w:r>
    </w:p>
    <w:p w14:paraId="6EA22FA6" w14:textId="3C162577" w:rsidR="002C4F63" w:rsidRPr="009547D6" w:rsidRDefault="002C4F63" w:rsidP="002204E6">
      <w:pPr>
        <w:pStyle w:val="BodyText"/>
        <w:spacing w:before="240"/>
        <w:jc w:val="both"/>
        <w:rPr>
          <w:rFonts w:ascii="Arial" w:hAnsi="Arial" w:cs="Arial"/>
          <w:lang w:val="en-IN"/>
        </w:rPr>
      </w:pPr>
      <w:r w:rsidRPr="009547D6">
        <w:rPr>
          <w:rFonts w:ascii="Arial" w:hAnsi="Arial" w:cs="Arial"/>
          <w:lang w:val="en-IN"/>
        </w:rPr>
        <w:lastRenderedPageBreak/>
        <w:t xml:space="preserve">In Northeast India, shifting agriculture locally known as jhum remains a dominant farming practice for the Indigenous communities. The cropping phases usually last 1–2 years, with fallow durations ranging from 3 to 15 years depending on ecological and socio-cultural factors (Mertz, 2002; Thong et al., 2018; </w:t>
      </w:r>
      <w:proofErr w:type="spellStart"/>
      <w:r w:rsidRPr="009547D6">
        <w:rPr>
          <w:rFonts w:ascii="Arial" w:hAnsi="Arial" w:cs="Arial"/>
          <w:lang w:val="en-IN"/>
        </w:rPr>
        <w:t>Manjunatha</w:t>
      </w:r>
      <w:proofErr w:type="spellEnd"/>
      <w:r w:rsidRPr="009547D6">
        <w:rPr>
          <w:rFonts w:ascii="Arial" w:hAnsi="Arial" w:cs="Arial"/>
          <w:lang w:val="en-IN"/>
        </w:rPr>
        <w:t xml:space="preserve"> &amp; Singh, 2020). The system is deeply embedded in community life, shaping food security, cultural identity, and </w:t>
      </w:r>
      <w:r w:rsidR="0046269F" w:rsidRPr="009547D6">
        <w:rPr>
          <w:rFonts w:ascii="Arial" w:hAnsi="Arial" w:cs="Arial"/>
          <w:lang w:val="en-IN"/>
        </w:rPr>
        <w:t>landscape governance</w:t>
      </w:r>
      <w:r w:rsidRPr="009547D6">
        <w:rPr>
          <w:rFonts w:ascii="Arial" w:hAnsi="Arial" w:cs="Arial"/>
          <w:lang w:val="en-IN"/>
        </w:rPr>
        <w:t xml:space="preserve"> (Ramakrishnan &amp; Patnaik, 1992). The region’s landscapes are mosaics of old-growth forests, regenerating fallows, and active fields, with secondary forests performing important ecological functions such as carbon sequestration, watershed protection, and biodiversity conservation (</w:t>
      </w:r>
      <w:proofErr w:type="spellStart"/>
      <w:r w:rsidRPr="009547D6">
        <w:rPr>
          <w:rFonts w:ascii="Arial" w:hAnsi="Arial" w:cs="Arial"/>
          <w:lang w:val="en-IN"/>
        </w:rPr>
        <w:t>Heinimann</w:t>
      </w:r>
      <w:proofErr w:type="spellEnd"/>
      <w:r w:rsidRPr="009547D6">
        <w:rPr>
          <w:rFonts w:ascii="Arial" w:hAnsi="Arial" w:cs="Arial"/>
          <w:lang w:val="en-IN"/>
        </w:rPr>
        <w:t xml:space="preserve"> et al., 2017).</w:t>
      </w:r>
    </w:p>
    <w:p w14:paraId="629ED750" w14:textId="287B11BC" w:rsidR="002C4F63" w:rsidRPr="009547D6" w:rsidRDefault="002C4F63" w:rsidP="0061295B">
      <w:pPr>
        <w:pStyle w:val="BodyText"/>
        <w:spacing w:before="240"/>
        <w:jc w:val="both"/>
        <w:rPr>
          <w:rFonts w:ascii="Arial" w:hAnsi="Arial" w:cs="Arial"/>
        </w:rPr>
      </w:pPr>
      <w:r w:rsidRPr="009547D6">
        <w:rPr>
          <w:rFonts w:ascii="Arial" w:hAnsi="Arial" w:cs="Arial"/>
          <w:lang w:val="en-IN"/>
        </w:rPr>
        <w:t xml:space="preserve">Even with its long history and adaptive role, shifting cultivation is often portrayed in policy discourse as primitive and environmentally harmful. </w:t>
      </w:r>
      <w:r w:rsidR="00DE401B">
        <w:rPr>
          <w:rFonts w:ascii="Arial" w:hAnsi="Arial" w:cs="Arial"/>
          <w:lang w:val="en-IN"/>
        </w:rPr>
        <w:t xml:space="preserve">Indigenous land use systems are increasingly recognised as critical for biodiversity conservation and ecosystem services, but they remain underrepresented in policy narrative (IPBES, 2019). </w:t>
      </w:r>
      <w:r w:rsidRPr="009547D6">
        <w:rPr>
          <w:rFonts w:ascii="Arial" w:hAnsi="Arial" w:cs="Arial"/>
          <w:lang w:val="en-IN"/>
        </w:rPr>
        <w:t xml:space="preserve">This paper </w:t>
      </w:r>
      <w:r w:rsidR="00447267" w:rsidRPr="009547D6">
        <w:rPr>
          <w:rFonts w:ascii="Arial" w:hAnsi="Arial" w:cs="Arial"/>
          <w:lang w:val="en-IN"/>
        </w:rPr>
        <w:t>synthesis</w:t>
      </w:r>
      <w:r w:rsidRPr="009547D6">
        <w:rPr>
          <w:rFonts w:ascii="Arial" w:hAnsi="Arial" w:cs="Arial"/>
          <w:lang w:val="en-IN"/>
        </w:rPr>
        <w:t xml:space="preserve"> the ecological and socio-cultural dimensions of </w:t>
      </w:r>
      <w:r w:rsidR="00C137A3" w:rsidRPr="009547D6">
        <w:rPr>
          <w:rFonts w:ascii="Arial" w:hAnsi="Arial" w:cs="Arial"/>
          <w:lang w:val="en-IN"/>
        </w:rPr>
        <w:t>jhum</w:t>
      </w:r>
      <w:r w:rsidRPr="009547D6">
        <w:rPr>
          <w:rFonts w:ascii="Arial" w:hAnsi="Arial" w:cs="Arial"/>
          <w:lang w:val="en-IN"/>
        </w:rPr>
        <w:t xml:space="preserve"> in Northeast India, with a focus on resilience, ecosystem functions, and emerging challenges. </w:t>
      </w:r>
      <w:r w:rsidR="00BE73F6" w:rsidRPr="009547D6">
        <w:rPr>
          <w:rFonts w:ascii="Arial" w:hAnsi="Arial" w:cs="Arial"/>
        </w:rPr>
        <w:t>The review is guided by the following questions: (</w:t>
      </w:r>
      <w:proofErr w:type="spellStart"/>
      <w:r w:rsidR="00BE73F6" w:rsidRPr="009547D6">
        <w:rPr>
          <w:rFonts w:ascii="Arial" w:hAnsi="Arial" w:cs="Arial"/>
        </w:rPr>
        <w:t>i</w:t>
      </w:r>
      <w:proofErr w:type="spellEnd"/>
      <w:r w:rsidR="00BE73F6" w:rsidRPr="009547D6">
        <w:rPr>
          <w:rFonts w:ascii="Arial" w:hAnsi="Arial" w:cs="Arial"/>
        </w:rPr>
        <w:t xml:space="preserve">) how does fallow length influence ecological recovery including soil processes, vegetation succession, biodiversity, and carbon dynamics; (ii) what roles does jhum play in supporting </w:t>
      </w:r>
      <w:proofErr w:type="spellStart"/>
      <w:r w:rsidR="00BE73F6" w:rsidRPr="009547D6">
        <w:rPr>
          <w:rFonts w:ascii="Arial" w:hAnsi="Arial" w:cs="Arial"/>
        </w:rPr>
        <w:t>agro</w:t>
      </w:r>
      <w:proofErr w:type="spellEnd"/>
      <w:r w:rsidR="00BE73F6" w:rsidRPr="009547D6">
        <w:rPr>
          <w:rFonts w:ascii="Arial" w:hAnsi="Arial" w:cs="Arial"/>
        </w:rPr>
        <w:t>-biodiversity, food security, and livelihood outcomes; and (iii) how are shortened fallows, market integration, and climate variability reshaping jhum landscapes and sustainability trade-offs?</w:t>
      </w:r>
    </w:p>
    <w:p w14:paraId="308B05CA" w14:textId="2CE6226A" w:rsidR="009C7737" w:rsidRPr="009547D6" w:rsidRDefault="009C7737" w:rsidP="009C7737">
      <w:pPr>
        <w:spacing w:before="240"/>
        <w:jc w:val="both"/>
        <w:rPr>
          <w:rFonts w:ascii="Arial" w:hAnsi="Arial" w:cs="Arial"/>
          <w:b/>
          <w:bCs/>
          <w:sz w:val="22"/>
          <w:szCs w:val="22"/>
        </w:rPr>
      </w:pPr>
      <w:r w:rsidRPr="009547D6">
        <w:rPr>
          <w:rFonts w:ascii="Arial" w:hAnsi="Arial" w:cs="Arial"/>
          <w:b/>
          <w:bCs/>
          <w:sz w:val="22"/>
          <w:szCs w:val="22"/>
        </w:rPr>
        <w:t>2. METHODOLOGY</w:t>
      </w:r>
    </w:p>
    <w:p w14:paraId="046B9427" w14:textId="71C22B37" w:rsidR="009C7737" w:rsidRPr="009547D6" w:rsidRDefault="003F3C0D" w:rsidP="009C7737">
      <w:pPr>
        <w:spacing w:before="240"/>
        <w:jc w:val="both"/>
        <w:rPr>
          <w:rFonts w:ascii="Arial" w:hAnsi="Arial" w:cs="Arial"/>
          <w:bCs/>
        </w:rPr>
      </w:pPr>
      <w:r w:rsidRPr="009547D6">
        <w:rPr>
          <w:rFonts w:ascii="Arial" w:hAnsi="Arial" w:cs="Arial"/>
          <w:bCs/>
        </w:rPr>
        <w:t xml:space="preserve">Published peer-reviewed studies, institutional, and government </w:t>
      </w:r>
      <w:r w:rsidR="00D863ED">
        <w:rPr>
          <w:rFonts w:ascii="Arial" w:hAnsi="Arial" w:cs="Arial"/>
          <w:bCs/>
        </w:rPr>
        <w:t>reports</w:t>
      </w:r>
      <w:r w:rsidRPr="009547D6">
        <w:rPr>
          <w:rFonts w:ascii="Arial" w:hAnsi="Arial" w:cs="Arial"/>
          <w:bCs/>
        </w:rPr>
        <w:t xml:space="preserve"> on shifting agriculture in Northeast India were compiled and synthesized with emphasis on ecological recovery, biodiversity, and livelihood outcomes. Literature was identified using keyword combinations including jhum, shifting agriculture, Northeast India, fallow cycle, soil fertility, agroforestry, and livelihoods, covering the period 1945–2025 to capture both historical trends and recent transitions. Sources were included when they reported quantitative or qualitative evidence on soil health, biodiversity change, land-use transitions, or socio-economic impacts associated with jhum systems. For each eligible source, information was extracted on land-use type, fallow duration, soil nutrient status, crop diversity, livelihood outcomes, and relevant management or conservation practices. Findings were </w:t>
      </w:r>
      <w:r w:rsidR="003B7C39">
        <w:rPr>
          <w:rFonts w:ascii="Arial" w:hAnsi="Arial" w:cs="Arial"/>
          <w:bCs/>
        </w:rPr>
        <w:t>reviewed</w:t>
      </w:r>
      <w:r w:rsidRPr="009547D6">
        <w:rPr>
          <w:rFonts w:ascii="Arial" w:hAnsi="Arial" w:cs="Arial"/>
          <w:bCs/>
        </w:rPr>
        <w:t xml:space="preserve"> to compare traditional long-fallow systems, shortened fallow regimes, and alternative land-use options, highlighting key trade-offs between livelihood benefits and ecological sustainability</w:t>
      </w:r>
      <w:r w:rsidR="00D863ED">
        <w:rPr>
          <w:rFonts w:ascii="Arial" w:hAnsi="Arial" w:cs="Arial"/>
          <w:bCs/>
        </w:rPr>
        <w:t>.</w:t>
      </w:r>
    </w:p>
    <w:p w14:paraId="25FD9624" w14:textId="5A1DDB37" w:rsidR="0054119A" w:rsidRPr="009547D6" w:rsidRDefault="003B7C39" w:rsidP="009C7737">
      <w:pPr>
        <w:pStyle w:val="AbstHead"/>
        <w:spacing w:before="240" w:after="0"/>
        <w:jc w:val="both"/>
        <w:rPr>
          <w:rFonts w:ascii="Arial" w:hAnsi="Arial" w:cs="Arial"/>
        </w:rPr>
      </w:pPr>
      <w:r>
        <w:rPr>
          <w:rFonts w:ascii="Arial" w:hAnsi="Arial" w:cs="Arial"/>
        </w:rPr>
        <w:t>3</w:t>
      </w:r>
      <w:r w:rsidR="00902823" w:rsidRPr="009547D6">
        <w:rPr>
          <w:rFonts w:ascii="Arial" w:hAnsi="Arial" w:cs="Arial"/>
        </w:rPr>
        <w:t xml:space="preserve">. </w:t>
      </w:r>
      <w:r w:rsidR="0054119A" w:rsidRPr="009547D6">
        <w:rPr>
          <w:rFonts w:ascii="Arial" w:hAnsi="Arial" w:cs="Arial"/>
          <w:szCs w:val="22"/>
        </w:rPr>
        <w:t>EXTENT AND ECOLOGICAL CONTEXT OF SHIFTING AGRICULTURE IN NORTHEAST INDIA</w:t>
      </w:r>
    </w:p>
    <w:p w14:paraId="34D3CCCD" w14:textId="72F8693C" w:rsidR="006864C9" w:rsidRPr="009547D6" w:rsidRDefault="006864C9" w:rsidP="002204E6">
      <w:pPr>
        <w:pStyle w:val="BodyText"/>
        <w:spacing w:before="240"/>
        <w:jc w:val="both"/>
        <w:rPr>
          <w:rFonts w:ascii="Arial" w:hAnsi="Arial" w:cs="Arial"/>
        </w:rPr>
      </w:pPr>
      <w:r w:rsidRPr="009547D6">
        <w:rPr>
          <w:rFonts w:ascii="Arial" w:hAnsi="Arial" w:cs="Arial"/>
        </w:rPr>
        <w:t>Northeast India comprises eight states (Fig</w:t>
      </w:r>
      <w:r w:rsidR="002204E6" w:rsidRPr="009547D6">
        <w:rPr>
          <w:rFonts w:ascii="Arial" w:hAnsi="Arial" w:cs="Arial"/>
        </w:rPr>
        <w:t>.</w:t>
      </w:r>
      <w:r w:rsidRPr="009547D6">
        <w:rPr>
          <w:rFonts w:ascii="Arial" w:hAnsi="Arial" w:cs="Arial"/>
        </w:rPr>
        <w:t xml:space="preserve"> 1</w:t>
      </w:r>
      <w:r w:rsidR="002204E6" w:rsidRPr="009547D6">
        <w:rPr>
          <w:rFonts w:ascii="Arial" w:hAnsi="Arial" w:cs="Arial"/>
        </w:rPr>
        <w:t>.</w:t>
      </w:r>
      <w:r w:rsidRPr="009547D6">
        <w:rPr>
          <w:rFonts w:ascii="Arial" w:hAnsi="Arial" w:cs="Arial"/>
        </w:rPr>
        <w:t>), Arunachal Pradesh, Assam, Manipur, Meghalaya, Mizoram, Nagaland, Tripura, and Sikkim, covering 7.9% of India’s geographical area and nearly one-fifth of the country’s forest cover (</w:t>
      </w:r>
      <w:r w:rsidR="000C12DE" w:rsidRPr="009547D6">
        <w:rPr>
          <w:rStyle w:val="A2"/>
          <w:rFonts w:ascii="Arial" w:hAnsi="Arial" w:cs="Arial"/>
          <w:color w:val="auto"/>
          <w:sz w:val="20"/>
          <w:szCs w:val="20"/>
        </w:rPr>
        <w:t>Forest Survey of India</w:t>
      </w:r>
      <w:r w:rsidRPr="009547D6">
        <w:rPr>
          <w:rFonts w:ascii="Arial" w:hAnsi="Arial" w:cs="Arial"/>
        </w:rPr>
        <w:t xml:space="preserve">, 2023). Shifting cultivation, locally called </w:t>
      </w:r>
      <w:r w:rsidRPr="003B7C39">
        <w:rPr>
          <w:rFonts w:ascii="Arial" w:hAnsi="Arial" w:cs="Arial"/>
          <w:i/>
          <w:iCs/>
        </w:rPr>
        <w:t>jhum</w:t>
      </w:r>
      <w:r w:rsidRPr="009547D6">
        <w:rPr>
          <w:rFonts w:ascii="Arial" w:hAnsi="Arial" w:cs="Arial"/>
        </w:rPr>
        <w:t xml:space="preserve">, is widely practiced across the region, especially among Indigenous groups such as the Adi, </w:t>
      </w:r>
      <w:proofErr w:type="spellStart"/>
      <w:r w:rsidRPr="009547D6">
        <w:rPr>
          <w:rFonts w:ascii="Arial" w:hAnsi="Arial" w:cs="Arial"/>
        </w:rPr>
        <w:t>Nyishi</w:t>
      </w:r>
      <w:proofErr w:type="spellEnd"/>
      <w:r w:rsidRPr="009547D6">
        <w:rPr>
          <w:rFonts w:ascii="Arial" w:hAnsi="Arial" w:cs="Arial"/>
        </w:rPr>
        <w:t xml:space="preserve">, Naga, Kuki, Khasi, Garo, </w:t>
      </w:r>
      <w:proofErr w:type="spellStart"/>
      <w:r w:rsidRPr="009547D6">
        <w:rPr>
          <w:rFonts w:ascii="Arial" w:hAnsi="Arial" w:cs="Arial"/>
        </w:rPr>
        <w:t>Karbi</w:t>
      </w:r>
      <w:proofErr w:type="spellEnd"/>
      <w:r w:rsidRPr="009547D6">
        <w:rPr>
          <w:rFonts w:ascii="Arial" w:hAnsi="Arial" w:cs="Arial"/>
        </w:rPr>
        <w:t>, and Tripuri communities. Rooted in traditional ecological knowledge, jhum has shaped both livelihoods and landscapes for centuries (Tripathi &amp; Barik, 2003).</w:t>
      </w:r>
    </w:p>
    <w:p w14:paraId="3C649656" w14:textId="77777777" w:rsidR="006864C9" w:rsidRPr="009547D6" w:rsidRDefault="006864C9" w:rsidP="002204E6">
      <w:pPr>
        <w:pStyle w:val="BodyText"/>
        <w:spacing w:before="240"/>
        <w:jc w:val="center"/>
        <w:rPr>
          <w:rFonts w:ascii="Arial" w:hAnsi="Arial" w:cs="Arial"/>
          <w:spacing w:val="1"/>
        </w:rPr>
      </w:pPr>
      <w:r w:rsidRPr="009547D6">
        <w:rPr>
          <w:rFonts w:ascii="Arial" w:hAnsi="Arial" w:cs="Arial"/>
          <w:noProof/>
          <w:spacing w:val="1"/>
        </w:rPr>
        <w:lastRenderedPageBreak/>
        <w:drawing>
          <wp:inline distT="0" distB="0" distL="0" distR="0" wp14:anchorId="7AC253BF" wp14:editId="6090CFCA">
            <wp:extent cx="4472387" cy="2578585"/>
            <wp:effectExtent l="0" t="0" r="0" b="0"/>
            <wp:docPr id="183814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3201" cy="2590585"/>
                    </a:xfrm>
                    <a:prstGeom prst="rect">
                      <a:avLst/>
                    </a:prstGeom>
                  </pic:spPr>
                </pic:pic>
              </a:graphicData>
            </a:graphic>
          </wp:inline>
        </w:drawing>
      </w:r>
    </w:p>
    <w:p w14:paraId="79E82E1E" w14:textId="518217CC" w:rsidR="006864C9" w:rsidRPr="009547D6" w:rsidRDefault="006864C9" w:rsidP="002204E6">
      <w:pPr>
        <w:pStyle w:val="BodyText"/>
        <w:spacing w:before="240"/>
        <w:ind w:firstLine="720"/>
        <w:jc w:val="center"/>
        <w:rPr>
          <w:rFonts w:ascii="Arial" w:hAnsi="Arial" w:cs="Arial"/>
          <w:spacing w:val="1"/>
        </w:rPr>
      </w:pPr>
      <w:r w:rsidRPr="009547D6">
        <w:rPr>
          <w:rFonts w:ascii="Arial" w:hAnsi="Arial" w:cs="Arial"/>
          <w:b/>
          <w:bCs/>
          <w:spacing w:val="1"/>
        </w:rPr>
        <w:t>Fig</w:t>
      </w:r>
      <w:r w:rsidR="002204E6" w:rsidRPr="009547D6">
        <w:rPr>
          <w:rFonts w:ascii="Arial" w:hAnsi="Arial" w:cs="Arial"/>
          <w:b/>
          <w:bCs/>
          <w:spacing w:val="1"/>
        </w:rPr>
        <w:t xml:space="preserve">. 1. </w:t>
      </w:r>
      <w:r w:rsidRPr="009547D6">
        <w:rPr>
          <w:rFonts w:ascii="Arial" w:hAnsi="Arial" w:cs="Arial"/>
          <w:spacing w:val="1"/>
        </w:rPr>
        <w:t xml:space="preserve"> Maps showing the eight states of Northeast India</w:t>
      </w:r>
      <w:r w:rsidR="0046269F" w:rsidRPr="009547D6">
        <w:rPr>
          <w:rFonts w:ascii="Arial" w:hAnsi="Arial" w:cs="Arial"/>
          <w:spacing w:val="1"/>
        </w:rPr>
        <w:t xml:space="preserve"> (</w:t>
      </w:r>
      <w:r w:rsidR="0046269F" w:rsidRPr="009133AF">
        <w:rPr>
          <w:rFonts w:ascii="Arial" w:hAnsi="Arial" w:cs="Arial"/>
          <w:i/>
          <w:iCs/>
          <w:spacing w:val="1"/>
        </w:rPr>
        <w:t>Source: Prepared by Authors</w:t>
      </w:r>
      <w:r w:rsidR="0080742B" w:rsidRPr="009133AF">
        <w:rPr>
          <w:rFonts w:ascii="Arial" w:hAnsi="Arial" w:cs="Arial"/>
          <w:i/>
          <w:iCs/>
          <w:spacing w:val="1"/>
        </w:rPr>
        <w:t xml:space="preserve"> using administrative boundaries from Survey of India</w:t>
      </w:r>
      <w:r w:rsidR="0046269F" w:rsidRPr="009547D6">
        <w:rPr>
          <w:rFonts w:ascii="Arial" w:hAnsi="Arial" w:cs="Arial"/>
          <w:spacing w:val="1"/>
        </w:rPr>
        <w:t>)</w:t>
      </w:r>
    </w:p>
    <w:p w14:paraId="5B3E1CAC" w14:textId="04A2626C" w:rsidR="006864C9" w:rsidRPr="009547D6" w:rsidRDefault="00F729AD" w:rsidP="002204E6">
      <w:pPr>
        <w:spacing w:before="240" w:after="120"/>
        <w:jc w:val="both"/>
        <w:rPr>
          <w:rFonts w:ascii="Arial" w:hAnsi="Arial" w:cs="Arial"/>
        </w:rPr>
      </w:pPr>
      <w:r w:rsidRPr="009547D6">
        <w:rPr>
          <w:rFonts w:ascii="Arial" w:hAnsi="Arial" w:cs="Arial"/>
          <w:lang w:eastAsia="en-IN"/>
        </w:rPr>
        <w:t xml:space="preserve">Across India, </w:t>
      </w:r>
      <w:r w:rsidR="006864C9" w:rsidRPr="009547D6">
        <w:rPr>
          <w:rFonts w:ascii="Arial" w:hAnsi="Arial" w:cs="Arial"/>
          <w:lang w:eastAsia="en-IN"/>
        </w:rPr>
        <w:t>0.9 million hectares are estimated to be covered by shifting agriculture, comprising both abandon</w:t>
      </w:r>
      <w:r w:rsidR="00F06DAE" w:rsidRPr="009547D6">
        <w:rPr>
          <w:rFonts w:ascii="Arial" w:hAnsi="Arial" w:cs="Arial"/>
          <w:lang w:eastAsia="en-IN"/>
        </w:rPr>
        <w:t>ed</w:t>
      </w:r>
      <w:r w:rsidR="006864C9" w:rsidRPr="009547D6">
        <w:rPr>
          <w:rFonts w:ascii="Arial" w:hAnsi="Arial" w:cs="Arial"/>
          <w:lang w:eastAsia="en-IN"/>
        </w:rPr>
        <w:t xml:space="preserve"> </w:t>
      </w:r>
      <w:r w:rsidR="00F06DAE" w:rsidRPr="009547D6">
        <w:rPr>
          <w:rFonts w:ascii="Arial" w:hAnsi="Arial" w:cs="Arial"/>
          <w:lang w:eastAsia="en-IN"/>
        </w:rPr>
        <w:t>j</w:t>
      </w:r>
      <w:r w:rsidR="006864C9" w:rsidRPr="009547D6">
        <w:rPr>
          <w:rFonts w:ascii="Arial" w:hAnsi="Arial" w:cs="Arial"/>
          <w:lang w:eastAsia="en-IN"/>
        </w:rPr>
        <w:t xml:space="preserve">hum (47%) and existing </w:t>
      </w:r>
      <w:r w:rsidR="00F06DAE" w:rsidRPr="009547D6">
        <w:rPr>
          <w:rFonts w:ascii="Arial" w:hAnsi="Arial" w:cs="Arial"/>
          <w:lang w:eastAsia="en-IN"/>
        </w:rPr>
        <w:t>j</w:t>
      </w:r>
      <w:r w:rsidR="006864C9" w:rsidRPr="009547D6">
        <w:rPr>
          <w:rFonts w:ascii="Arial" w:hAnsi="Arial" w:cs="Arial"/>
          <w:lang w:eastAsia="en-IN"/>
        </w:rPr>
        <w:t xml:space="preserve">hum (53%) areas </w:t>
      </w:r>
      <w:r w:rsidR="006864C9" w:rsidRPr="009547D6">
        <w:rPr>
          <w:rFonts w:ascii="Arial" w:hAnsi="Arial" w:cs="Arial"/>
        </w:rPr>
        <w:t>(Singh et al., 2017). Community land ownership plays a significant role in the management of</w:t>
      </w:r>
      <w:r w:rsidR="006864C9" w:rsidRPr="009547D6">
        <w:rPr>
          <w:rFonts w:ascii="Arial" w:hAnsi="Arial" w:cs="Arial"/>
          <w:spacing w:val="1"/>
        </w:rPr>
        <w:t xml:space="preserve"> </w:t>
      </w:r>
      <w:r w:rsidR="006864C9" w:rsidRPr="009547D6">
        <w:rPr>
          <w:rFonts w:ascii="Arial" w:hAnsi="Arial" w:cs="Arial"/>
        </w:rPr>
        <w:t>forest in the Northeastern states of India. Table 1 shows the total coverage of jhum in different Northeast states of India.</w:t>
      </w:r>
    </w:p>
    <w:p w14:paraId="78DEE259" w14:textId="67768BC7" w:rsidR="006864C9" w:rsidRPr="009547D6" w:rsidRDefault="006864C9" w:rsidP="002204E6">
      <w:pPr>
        <w:pStyle w:val="BodyText"/>
        <w:spacing w:before="240"/>
        <w:jc w:val="both"/>
        <w:rPr>
          <w:rFonts w:ascii="Arial" w:hAnsi="Arial" w:cs="Arial"/>
        </w:rPr>
      </w:pPr>
      <w:r w:rsidRPr="009547D6">
        <w:rPr>
          <w:rFonts w:ascii="Arial" w:hAnsi="Arial" w:cs="Arial"/>
          <w:b/>
        </w:rPr>
        <w:t>Table 1</w:t>
      </w:r>
      <w:r w:rsidR="002204E6" w:rsidRPr="009547D6">
        <w:rPr>
          <w:rFonts w:ascii="Arial" w:hAnsi="Arial" w:cs="Arial"/>
          <w:b/>
        </w:rPr>
        <w:t>.</w:t>
      </w:r>
      <w:r w:rsidRPr="009547D6">
        <w:rPr>
          <w:rFonts w:ascii="Arial" w:hAnsi="Arial" w:cs="Arial"/>
        </w:rPr>
        <w:t xml:space="preserve"> Pattern of Distribution of Jhum area in Northeast India </w:t>
      </w:r>
    </w:p>
    <w:tbl>
      <w:tblPr>
        <w:tblStyle w:val="TableGrid"/>
        <w:tblW w:w="8224" w:type="dxa"/>
        <w:jc w:val="center"/>
        <w:tblLook w:val="04A0" w:firstRow="1" w:lastRow="0" w:firstColumn="1" w:lastColumn="0" w:noHBand="0" w:noVBand="1"/>
      </w:tblPr>
      <w:tblGrid>
        <w:gridCol w:w="1673"/>
        <w:gridCol w:w="1800"/>
        <w:gridCol w:w="2200"/>
        <w:gridCol w:w="2551"/>
      </w:tblGrid>
      <w:tr w:rsidR="006864C9" w:rsidRPr="009547D6" w14:paraId="345DC517" w14:textId="77777777" w:rsidTr="003B7C39">
        <w:trPr>
          <w:jc w:val="center"/>
        </w:trPr>
        <w:tc>
          <w:tcPr>
            <w:tcW w:w="1673" w:type="dxa"/>
          </w:tcPr>
          <w:p w14:paraId="199E77CE" w14:textId="77777777" w:rsidR="006864C9" w:rsidRPr="009547D6" w:rsidRDefault="006864C9" w:rsidP="00883C3F">
            <w:pPr>
              <w:pStyle w:val="BodyText"/>
              <w:spacing w:after="0"/>
              <w:jc w:val="center"/>
              <w:rPr>
                <w:rFonts w:ascii="Arial" w:hAnsi="Arial" w:cs="Arial"/>
                <w:b/>
                <w:sz w:val="20"/>
                <w:szCs w:val="20"/>
              </w:rPr>
            </w:pPr>
            <w:r w:rsidRPr="009547D6">
              <w:rPr>
                <w:rFonts w:ascii="Arial" w:hAnsi="Arial" w:cs="Arial"/>
                <w:b/>
                <w:sz w:val="20"/>
                <w:szCs w:val="20"/>
              </w:rPr>
              <w:t>State</w:t>
            </w:r>
          </w:p>
        </w:tc>
        <w:tc>
          <w:tcPr>
            <w:tcW w:w="1800" w:type="dxa"/>
          </w:tcPr>
          <w:p w14:paraId="6F66DCE5" w14:textId="77777777" w:rsidR="006864C9" w:rsidRPr="009547D6" w:rsidRDefault="006864C9" w:rsidP="00883C3F">
            <w:pPr>
              <w:pStyle w:val="BodyText"/>
              <w:spacing w:after="0"/>
              <w:jc w:val="center"/>
              <w:rPr>
                <w:rFonts w:ascii="Arial" w:hAnsi="Arial" w:cs="Arial"/>
                <w:b/>
                <w:sz w:val="20"/>
                <w:szCs w:val="20"/>
              </w:rPr>
            </w:pPr>
            <w:r w:rsidRPr="009547D6">
              <w:rPr>
                <w:rFonts w:ascii="Arial" w:hAnsi="Arial" w:cs="Arial"/>
                <w:b/>
                <w:sz w:val="20"/>
                <w:szCs w:val="20"/>
              </w:rPr>
              <w:t xml:space="preserve">Geographical Area (in </w:t>
            </w:r>
            <w:proofErr w:type="spellStart"/>
            <w:r w:rsidRPr="009547D6">
              <w:rPr>
                <w:rFonts w:ascii="Arial" w:hAnsi="Arial" w:cs="Arial"/>
                <w:b/>
                <w:sz w:val="20"/>
                <w:szCs w:val="20"/>
              </w:rPr>
              <w:t>sq</w:t>
            </w:r>
            <w:proofErr w:type="spellEnd"/>
            <w:r w:rsidRPr="009547D6">
              <w:rPr>
                <w:rFonts w:ascii="Arial" w:hAnsi="Arial" w:cs="Arial"/>
                <w:b/>
                <w:sz w:val="20"/>
                <w:szCs w:val="20"/>
              </w:rPr>
              <w:t xml:space="preserve"> km)</w:t>
            </w:r>
          </w:p>
        </w:tc>
        <w:tc>
          <w:tcPr>
            <w:tcW w:w="2200" w:type="dxa"/>
          </w:tcPr>
          <w:p w14:paraId="58352CD5" w14:textId="77777777" w:rsidR="006864C9" w:rsidRPr="009547D6" w:rsidRDefault="006864C9" w:rsidP="00883C3F">
            <w:pPr>
              <w:pStyle w:val="BodyText"/>
              <w:spacing w:after="0"/>
              <w:jc w:val="center"/>
              <w:rPr>
                <w:rFonts w:ascii="Arial" w:hAnsi="Arial" w:cs="Arial"/>
                <w:b/>
                <w:sz w:val="20"/>
                <w:szCs w:val="20"/>
              </w:rPr>
            </w:pPr>
            <w:r w:rsidRPr="009547D6">
              <w:rPr>
                <w:rFonts w:ascii="Arial" w:hAnsi="Arial" w:cs="Arial"/>
                <w:b/>
                <w:sz w:val="20"/>
                <w:szCs w:val="20"/>
              </w:rPr>
              <w:t>Area under Jhum (current)</w:t>
            </w:r>
          </w:p>
          <w:p w14:paraId="0B05DA19" w14:textId="77777777" w:rsidR="006864C9" w:rsidRPr="009547D6" w:rsidRDefault="006864C9" w:rsidP="00883C3F">
            <w:pPr>
              <w:pStyle w:val="BodyText"/>
              <w:spacing w:after="0"/>
              <w:jc w:val="center"/>
              <w:rPr>
                <w:rFonts w:ascii="Arial" w:hAnsi="Arial" w:cs="Arial"/>
                <w:b/>
                <w:sz w:val="20"/>
                <w:szCs w:val="20"/>
              </w:rPr>
            </w:pPr>
            <w:r w:rsidRPr="009547D6">
              <w:rPr>
                <w:rFonts w:ascii="Arial" w:hAnsi="Arial" w:cs="Arial"/>
                <w:b/>
                <w:sz w:val="20"/>
                <w:szCs w:val="20"/>
              </w:rPr>
              <w:t xml:space="preserve">2015-16 (in </w:t>
            </w:r>
            <w:proofErr w:type="spellStart"/>
            <w:r w:rsidRPr="009547D6">
              <w:rPr>
                <w:rFonts w:ascii="Arial" w:hAnsi="Arial" w:cs="Arial"/>
                <w:b/>
                <w:sz w:val="20"/>
                <w:szCs w:val="20"/>
              </w:rPr>
              <w:t>sq</w:t>
            </w:r>
            <w:proofErr w:type="spellEnd"/>
            <w:r w:rsidRPr="009547D6">
              <w:rPr>
                <w:rFonts w:ascii="Arial" w:hAnsi="Arial" w:cs="Arial"/>
                <w:b/>
                <w:sz w:val="20"/>
                <w:szCs w:val="20"/>
              </w:rPr>
              <w:t xml:space="preserve"> km)</w:t>
            </w:r>
          </w:p>
        </w:tc>
        <w:tc>
          <w:tcPr>
            <w:tcW w:w="2551" w:type="dxa"/>
          </w:tcPr>
          <w:p w14:paraId="7A8CA813" w14:textId="77777777" w:rsidR="006864C9" w:rsidRPr="009547D6" w:rsidRDefault="006864C9" w:rsidP="00883C3F">
            <w:pPr>
              <w:pStyle w:val="BodyText"/>
              <w:spacing w:after="0"/>
              <w:jc w:val="center"/>
              <w:rPr>
                <w:rFonts w:ascii="Arial" w:hAnsi="Arial" w:cs="Arial"/>
                <w:b/>
                <w:sz w:val="20"/>
                <w:szCs w:val="20"/>
              </w:rPr>
            </w:pPr>
            <w:r w:rsidRPr="009547D6">
              <w:rPr>
                <w:rFonts w:ascii="Arial" w:hAnsi="Arial" w:cs="Arial"/>
                <w:b/>
                <w:sz w:val="20"/>
                <w:szCs w:val="20"/>
              </w:rPr>
              <w:t xml:space="preserve">Percentage of area under Jhum (current) </w:t>
            </w:r>
          </w:p>
          <w:p w14:paraId="0118ED8C" w14:textId="77777777" w:rsidR="006864C9" w:rsidRPr="009547D6" w:rsidRDefault="006864C9" w:rsidP="00883C3F">
            <w:pPr>
              <w:pStyle w:val="BodyText"/>
              <w:spacing w:after="0"/>
              <w:jc w:val="center"/>
              <w:rPr>
                <w:rFonts w:ascii="Arial" w:hAnsi="Arial" w:cs="Arial"/>
                <w:b/>
                <w:sz w:val="20"/>
                <w:szCs w:val="20"/>
              </w:rPr>
            </w:pPr>
            <w:r w:rsidRPr="009547D6">
              <w:rPr>
                <w:rFonts w:ascii="Arial" w:hAnsi="Arial" w:cs="Arial"/>
                <w:b/>
                <w:sz w:val="20"/>
                <w:szCs w:val="20"/>
              </w:rPr>
              <w:t>2015-16</w:t>
            </w:r>
          </w:p>
        </w:tc>
      </w:tr>
      <w:tr w:rsidR="006864C9" w:rsidRPr="009547D6" w14:paraId="474AE78E" w14:textId="77777777" w:rsidTr="003B7C39">
        <w:trPr>
          <w:jc w:val="center"/>
        </w:trPr>
        <w:tc>
          <w:tcPr>
            <w:tcW w:w="1673" w:type="dxa"/>
          </w:tcPr>
          <w:p w14:paraId="0C5EC3CC"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Arunachal Pradesh</w:t>
            </w:r>
          </w:p>
        </w:tc>
        <w:tc>
          <w:tcPr>
            <w:tcW w:w="1800" w:type="dxa"/>
          </w:tcPr>
          <w:p w14:paraId="2A8A302E"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83,743</w:t>
            </w:r>
          </w:p>
        </w:tc>
        <w:tc>
          <w:tcPr>
            <w:tcW w:w="2200" w:type="dxa"/>
          </w:tcPr>
          <w:p w14:paraId="12672659"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509.11</w:t>
            </w:r>
          </w:p>
        </w:tc>
        <w:tc>
          <w:tcPr>
            <w:tcW w:w="2551" w:type="dxa"/>
          </w:tcPr>
          <w:p w14:paraId="1A36E70F"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16.96</w:t>
            </w:r>
          </w:p>
        </w:tc>
      </w:tr>
      <w:tr w:rsidR="006864C9" w:rsidRPr="009547D6" w14:paraId="75B632FE" w14:textId="77777777" w:rsidTr="003B7C39">
        <w:trPr>
          <w:jc w:val="center"/>
        </w:trPr>
        <w:tc>
          <w:tcPr>
            <w:tcW w:w="1673" w:type="dxa"/>
          </w:tcPr>
          <w:p w14:paraId="1FA1FE27"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Assam</w:t>
            </w:r>
          </w:p>
        </w:tc>
        <w:tc>
          <w:tcPr>
            <w:tcW w:w="1800" w:type="dxa"/>
          </w:tcPr>
          <w:p w14:paraId="249FEBF2"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78,438</w:t>
            </w:r>
          </w:p>
        </w:tc>
        <w:tc>
          <w:tcPr>
            <w:tcW w:w="2200" w:type="dxa"/>
          </w:tcPr>
          <w:p w14:paraId="262B6B39"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52.60</w:t>
            </w:r>
          </w:p>
        </w:tc>
        <w:tc>
          <w:tcPr>
            <w:tcW w:w="2551" w:type="dxa"/>
          </w:tcPr>
          <w:p w14:paraId="6ABD280C"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1.75</w:t>
            </w:r>
          </w:p>
        </w:tc>
      </w:tr>
      <w:tr w:rsidR="006864C9" w:rsidRPr="009547D6" w14:paraId="1AC588A4" w14:textId="77777777" w:rsidTr="003B7C39">
        <w:trPr>
          <w:jc w:val="center"/>
        </w:trPr>
        <w:tc>
          <w:tcPr>
            <w:tcW w:w="1673" w:type="dxa"/>
          </w:tcPr>
          <w:p w14:paraId="69CF23EC"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Manipur</w:t>
            </w:r>
          </w:p>
        </w:tc>
        <w:tc>
          <w:tcPr>
            <w:tcW w:w="1800" w:type="dxa"/>
          </w:tcPr>
          <w:p w14:paraId="4AA1F312"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22,327</w:t>
            </w:r>
          </w:p>
        </w:tc>
        <w:tc>
          <w:tcPr>
            <w:tcW w:w="2200" w:type="dxa"/>
          </w:tcPr>
          <w:p w14:paraId="41F6C751"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499.96</w:t>
            </w:r>
          </w:p>
        </w:tc>
        <w:tc>
          <w:tcPr>
            <w:tcW w:w="2551" w:type="dxa"/>
          </w:tcPr>
          <w:p w14:paraId="334936BC"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16.66</w:t>
            </w:r>
          </w:p>
        </w:tc>
      </w:tr>
      <w:tr w:rsidR="006864C9" w:rsidRPr="009547D6" w14:paraId="730EB2BE" w14:textId="77777777" w:rsidTr="003B7C39">
        <w:trPr>
          <w:jc w:val="center"/>
        </w:trPr>
        <w:tc>
          <w:tcPr>
            <w:tcW w:w="1673" w:type="dxa"/>
          </w:tcPr>
          <w:p w14:paraId="2717B3DA"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Meghalaya</w:t>
            </w:r>
          </w:p>
        </w:tc>
        <w:tc>
          <w:tcPr>
            <w:tcW w:w="1800" w:type="dxa"/>
          </w:tcPr>
          <w:p w14:paraId="535B757B"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22,429</w:t>
            </w:r>
          </w:p>
        </w:tc>
        <w:tc>
          <w:tcPr>
            <w:tcW w:w="2200" w:type="dxa"/>
          </w:tcPr>
          <w:p w14:paraId="76B6CDDE"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237.87</w:t>
            </w:r>
          </w:p>
        </w:tc>
        <w:tc>
          <w:tcPr>
            <w:tcW w:w="2551" w:type="dxa"/>
          </w:tcPr>
          <w:p w14:paraId="5E04A3D9"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7.93</w:t>
            </w:r>
          </w:p>
        </w:tc>
      </w:tr>
      <w:tr w:rsidR="006864C9" w:rsidRPr="009547D6" w14:paraId="4044DD58" w14:textId="77777777" w:rsidTr="003B7C39">
        <w:trPr>
          <w:jc w:val="center"/>
        </w:trPr>
        <w:tc>
          <w:tcPr>
            <w:tcW w:w="1673" w:type="dxa"/>
          </w:tcPr>
          <w:p w14:paraId="15EC06FB"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Mizoram</w:t>
            </w:r>
          </w:p>
        </w:tc>
        <w:tc>
          <w:tcPr>
            <w:tcW w:w="1800" w:type="dxa"/>
          </w:tcPr>
          <w:p w14:paraId="1AD48AA7"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21,081</w:t>
            </w:r>
          </w:p>
        </w:tc>
        <w:tc>
          <w:tcPr>
            <w:tcW w:w="2200" w:type="dxa"/>
          </w:tcPr>
          <w:p w14:paraId="66D7D65F"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691.55</w:t>
            </w:r>
          </w:p>
        </w:tc>
        <w:tc>
          <w:tcPr>
            <w:tcW w:w="2551" w:type="dxa"/>
          </w:tcPr>
          <w:p w14:paraId="0147F313"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23.04</w:t>
            </w:r>
          </w:p>
        </w:tc>
      </w:tr>
      <w:tr w:rsidR="006864C9" w:rsidRPr="009547D6" w14:paraId="4AF99ED9" w14:textId="77777777" w:rsidTr="003B7C39">
        <w:trPr>
          <w:jc w:val="center"/>
        </w:trPr>
        <w:tc>
          <w:tcPr>
            <w:tcW w:w="1673" w:type="dxa"/>
          </w:tcPr>
          <w:p w14:paraId="2CEC50B6"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Nagaland</w:t>
            </w:r>
          </w:p>
        </w:tc>
        <w:tc>
          <w:tcPr>
            <w:tcW w:w="1800" w:type="dxa"/>
          </w:tcPr>
          <w:p w14:paraId="00E12FF6"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16,579</w:t>
            </w:r>
          </w:p>
        </w:tc>
        <w:tc>
          <w:tcPr>
            <w:tcW w:w="2200" w:type="dxa"/>
          </w:tcPr>
          <w:p w14:paraId="59F99BAD"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979.33</w:t>
            </w:r>
          </w:p>
        </w:tc>
        <w:tc>
          <w:tcPr>
            <w:tcW w:w="2551" w:type="dxa"/>
          </w:tcPr>
          <w:p w14:paraId="57D6153D"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32.63</w:t>
            </w:r>
          </w:p>
        </w:tc>
      </w:tr>
      <w:tr w:rsidR="006864C9" w:rsidRPr="009547D6" w14:paraId="186BA232" w14:textId="77777777" w:rsidTr="003B7C39">
        <w:trPr>
          <w:jc w:val="center"/>
        </w:trPr>
        <w:tc>
          <w:tcPr>
            <w:tcW w:w="1673" w:type="dxa"/>
          </w:tcPr>
          <w:p w14:paraId="654FD4EE"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Tripura</w:t>
            </w:r>
          </w:p>
        </w:tc>
        <w:tc>
          <w:tcPr>
            <w:tcW w:w="1800" w:type="dxa"/>
          </w:tcPr>
          <w:p w14:paraId="42A89018"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10,486</w:t>
            </w:r>
          </w:p>
        </w:tc>
        <w:tc>
          <w:tcPr>
            <w:tcW w:w="2200" w:type="dxa"/>
          </w:tcPr>
          <w:p w14:paraId="57ACB632"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30.62</w:t>
            </w:r>
          </w:p>
        </w:tc>
        <w:tc>
          <w:tcPr>
            <w:tcW w:w="2551" w:type="dxa"/>
          </w:tcPr>
          <w:p w14:paraId="17D66EF6"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1.02</w:t>
            </w:r>
          </w:p>
        </w:tc>
      </w:tr>
      <w:tr w:rsidR="006864C9" w:rsidRPr="009547D6" w14:paraId="051B837B" w14:textId="77777777" w:rsidTr="003B7C39">
        <w:trPr>
          <w:jc w:val="center"/>
        </w:trPr>
        <w:tc>
          <w:tcPr>
            <w:tcW w:w="1673" w:type="dxa"/>
          </w:tcPr>
          <w:p w14:paraId="743A0EEF" w14:textId="77777777" w:rsidR="006864C9" w:rsidRPr="009547D6" w:rsidRDefault="006864C9" w:rsidP="00883C3F">
            <w:pPr>
              <w:pStyle w:val="BodyText"/>
              <w:spacing w:after="0"/>
              <w:ind w:right="214"/>
              <w:jc w:val="both"/>
              <w:rPr>
                <w:rFonts w:ascii="Arial" w:hAnsi="Arial" w:cs="Arial"/>
                <w:sz w:val="20"/>
                <w:szCs w:val="20"/>
              </w:rPr>
            </w:pPr>
            <w:r w:rsidRPr="009547D6">
              <w:rPr>
                <w:rFonts w:ascii="Arial" w:hAnsi="Arial" w:cs="Arial"/>
                <w:sz w:val="20"/>
                <w:szCs w:val="20"/>
              </w:rPr>
              <w:t>Sikkim</w:t>
            </w:r>
          </w:p>
        </w:tc>
        <w:tc>
          <w:tcPr>
            <w:tcW w:w="1800" w:type="dxa"/>
          </w:tcPr>
          <w:p w14:paraId="725BDE8F"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7,096</w:t>
            </w:r>
          </w:p>
        </w:tc>
        <w:tc>
          <w:tcPr>
            <w:tcW w:w="2200" w:type="dxa"/>
          </w:tcPr>
          <w:p w14:paraId="4975F7FA"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w:t>
            </w:r>
          </w:p>
        </w:tc>
        <w:tc>
          <w:tcPr>
            <w:tcW w:w="2551" w:type="dxa"/>
          </w:tcPr>
          <w:p w14:paraId="4DB71E8A" w14:textId="77777777" w:rsidR="006864C9" w:rsidRPr="009547D6" w:rsidRDefault="006864C9" w:rsidP="00883C3F">
            <w:pPr>
              <w:pStyle w:val="BodyText"/>
              <w:spacing w:after="0"/>
              <w:jc w:val="center"/>
              <w:rPr>
                <w:rFonts w:ascii="Arial" w:hAnsi="Arial" w:cs="Arial"/>
                <w:sz w:val="20"/>
                <w:szCs w:val="20"/>
              </w:rPr>
            </w:pPr>
            <w:r w:rsidRPr="009547D6">
              <w:rPr>
                <w:rFonts w:ascii="Arial" w:hAnsi="Arial" w:cs="Arial"/>
                <w:sz w:val="20"/>
                <w:szCs w:val="20"/>
              </w:rPr>
              <w:t>-</w:t>
            </w:r>
          </w:p>
        </w:tc>
      </w:tr>
    </w:tbl>
    <w:p w14:paraId="0B8FB604" w14:textId="77777777" w:rsidR="006864C9" w:rsidRPr="009547D6" w:rsidRDefault="006864C9" w:rsidP="00883C3F">
      <w:pPr>
        <w:pStyle w:val="BodyText"/>
        <w:jc w:val="both"/>
        <w:rPr>
          <w:rFonts w:ascii="Arial" w:hAnsi="Arial" w:cs="Arial"/>
        </w:rPr>
      </w:pPr>
      <w:r w:rsidRPr="009547D6">
        <w:rPr>
          <w:rFonts w:ascii="Arial" w:hAnsi="Arial" w:cs="Arial"/>
        </w:rPr>
        <w:t>(</w:t>
      </w:r>
      <w:r w:rsidRPr="008509C1">
        <w:rPr>
          <w:rFonts w:ascii="Arial" w:hAnsi="Arial" w:cs="Arial"/>
          <w:i/>
          <w:iCs/>
        </w:rPr>
        <w:t xml:space="preserve">Source: </w:t>
      </w:r>
      <w:proofErr w:type="spellStart"/>
      <w:r w:rsidRPr="008509C1">
        <w:rPr>
          <w:rFonts w:ascii="Arial" w:hAnsi="Arial" w:cs="Arial"/>
          <w:i/>
          <w:iCs/>
        </w:rPr>
        <w:t>Buragohain</w:t>
      </w:r>
      <w:proofErr w:type="spellEnd"/>
      <w:r w:rsidRPr="008509C1">
        <w:rPr>
          <w:rFonts w:ascii="Arial" w:hAnsi="Arial" w:cs="Arial"/>
          <w:i/>
          <w:iCs/>
        </w:rPr>
        <w:t xml:space="preserve"> (2022)</w:t>
      </w:r>
      <w:r w:rsidRPr="009547D6">
        <w:rPr>
          <w:rFonts w:ascii="Arial" w:hAnsi="Arial" w:cs="Arial"/>
        </w:rPr>
        <w:t>)</w:t>
      </w:r>
    </w:p>
    <w:p w14:paraId="23467100" w14:textId="2A67554E" w:rsidR="006864C9" w:rsidRPr="009547D6" w:rsidRDefault="006864C9" w:rsidP="002204E6">
      <w:pPr>
        <w:pStyle w:val="BodyText"/>
        <w:spacing w:before="240"/>
        <w:jc w:val="both"/>
        <w:rPr>
          <w:rFonts w:ascii="Arial" w:hAnsi="Arial" w:cs="Arial"/>
        </w:rPr>
      </w:pPr>
      <w:r w:rsidRPr="009547D6">
        <w:rPr>
          <w:rFonts w:ascii="Arial" w:hAnsi="Arial" w:cs="Arial"/>
        </w:rPr>
        <w:t xml:space="preserve">It has been reported that in Northeast India, the fallow period differs from community to community. The cropping duration last 1–2 years with a fallow period varying from 2–15 years (Table 2). </w:t>
      </w:r>
      <w:r w:rsidR="0063271A" w:rsidRPr="009547D6">
        <w:rPr>
          <w:rFonts w:ascii="Arial" w:hAnsi="Arial" w:cs="Arial"/>
        </w:rPr>
        <w:t xml:space="preserve">This variation reflects differences in land availability, cultivation intensity, and local tenure and management practices across states and communities. Importantly, fallow length is a key ecological control because it determines the time available for soil nutrient replenishment and secondary forest regeneration, shaping whether the system remains regenerative or trends toward degradation under repeated disturbance. </w:t>
      </w:r>
      <w:r w:rsidRPr="009547D6">
        <w:rPr>
          <w:rFonts w:ascii="Arial" w:hAnsi="Arial" w:cs="Arial"/>
        </w:rPr>
        <w:t>The abandoned lands are eventually restored to secondary forest as a result of the natural ecological recovery process</w:t>
      </w:r>
      <w:r w:rsidR="00C54F9A">
        <w:rPr>
          <w:rFonts w:ascii="Arial" w:hAnsi="Arial" w:cs="Arial"/>
        </w:rPr>
        <w:t xml:space="preserve"> (Thong et al., 2020; </w:t>
      </w:r>
      <w:proofErr w:type="spellStart"/>
      <w:r w:rsidR="00C54F9A">
        <w:rPr>
          <w:rFonts w:ascii="Arial" w:hAnsi="Arial" w:cs="Arial"/>
        </w:rPr>
        <w:t>Gogoi</w:t>
      </w:r>
      <w:proofErr w:type="spellEnd"/>
      <w:r w:rsidR="00C54F9A">
        <w:rPr>
          <w:rFonts w:ascii="Arial" w:hAnsi="Arial" w:cs="Arial"/>
        </w:rPr>
        <w:t xml:space="preserve"> et al., 2020)</w:t>
      </w:r>
      <w:r w:rsidRPr="009547D6">
        <w:rPr>
          <w:rFonts w:ascii="Arial" w:hAnsi="Arial" w:cs="Arial"/>
        </w:rPr>
        <w:t>. Shifting agriculture in the Northeast states today can be divided into - (</w:t>
      </w:r>
      <w:proofErr w:type="spellStart"/>
      <w:r w:rsidRPr="009547D6">
        <w:rPr>
          <w:rFonts w:ascii="Arial" w:hAnsi="Arial" w:cs="Arial"/>
        </w:rPr>
        <w:t>i</w:t>
      </w:r>
      <w:proofErr w:type="spellEnd"/>
      <w:r w:rsidRPr="009547D6">
        <w:rPr>
          <w:rFonts w:ascii="Arial" w:hAnsi="Arial" w:cs="Arial"/>
        </w:rPr>
        <w:t xml:space="preserve">) Traditional shifting cultivation, (ii) </w:t>
      </w:r>
      <w:r w:rsidRPr="009547D6">
        <w:rPr>
          <w:rFonts w:ascii="Arial" w:hAnsi="Arial" w:cs="Arial"/>
        </w:rPr>
        <w:lastRenderedPageBreak/>
        <w:t xml:space="preserve">Distorted shifting cultivation, (iii) Innovative shifting cultivation, and (iv) Modified shifting cultivation (Tiwari, 2014; </w:t>
      </w:r>
      <w:proofErr w:type="spellStart"/>
      <w:r w:rsidRPr="009547D6">
        <w:rPr>
          <w:rFonts w:ascii="Arial" w:hAnsi="Arial" w:cs="Arial"/>
        </w:rPr>
        <w:t>Bhuyan</w:t>
      </w:r>
      <w:proofErr w:type="spellEnd"/>
      <w:r w:rsidRPr="009547D6">
        <w:rPr>
          <w:rFonts w:ascii="Arial" w:hAnsi="Arial" w:cs="Arial"/>
        </w:rPr>
        <w:t xml:space="preserve">, 2019). </w:t>
      </w:r>
    </w:p>
    <w:p w14:paraId="6069D3A8" w14:textId="51EC7B6E" w:rsidR="006864C9" w:rsidRPr="009547D6" w:rsidRDefault="006864C9" w:rsidP="002204E6">
      <w:pPr>
        <w:pStyle w:val="BodyText"/>
        <w:spacing w:before="240"/>
        <w:ind w:right="214"/>
        <w:jc w:val="both"/>
        <w:rPr>
          <w:rFonts w:ascii="Arial" w:hAnsi="Arial" w:cs="Arial"/>
        </w:rPr>
      </w:pPr>
      <w:r w:rsidRPr="009547D6">
        <w:rPr>
          <w:rFonts w:ascii="Arial" w:hAnsi="Arial" w:cs="Arial"/>
          <w:b/>
        </w:rPr>
        <w:t>Table 2</w:t>
      </w:r>
      <w:r w:rsidR="00883C3F" w:rsidRPr="009547D6">
        <w:rPr>
          <w:rFonts w:ascii="Arial" w:hAnsi="Arial" w:cs="Arial"/>
          <w:b/>
        </w:rPr>
        <w:t>.</w:t>
      </w:r>
      <w:r w:rsidRPr="009547D6">
        <w:rPr>
          <w:rFonts w:ascii="Arial" w:hAnsi="Arial" w:cs="Arial"/>
        </w:rPr>
        <w:t xml:space="preserve"> Status of fallow period in the Northeastern states of India</w:t>
      </w:r>
    </w:p>
    <w:tbl>
      <w:tblPr>
        <w:tblStyle w:val="TableGrid"/>
        <w:tblW w:w="0" w:type="auto"/>
        <w:tblInd w:w="250" w:type="dxa"/>
        <w:tblLook w:val="04A0" w:firstRow="1" w:lastRow="0" w:firstColumn="1" w:lastColumn="0" w:noHBand="0" w:noVBand="1"/>
      </w:tblPr>
      <w:tblGrid>
        <w:gridCol w:w="2080"/>
        <w:gridCol w:w="2314"/>
        <w:gridCol w:w="3402"/>
      </w:tblGrid>
      <w:tr w:rsidR="006864C9" w:rsidRPr="009547D6" w14:paraId="4032E6C3" w14:textId="77777777" w:rsidTr="002204E6">
        <w:tc>
          <w:tcPr>
            <w:tcW w:w="2080" w:type="dxa"/>
          </w:tcPr>
          <w:p w14:paraId="56E9B8E2" w14:textId="77777777" w:rsidR="006864C9" w:rsidRPr="009547D6" w:rsidRDefault="006864C9" w:rsidP="002204E6">
            <w:pPr>
              <w:pStyle w:val="BodyText"/>
              <w:spacing w:after="0"/>
              <w:ind w:right="214"/>
              <w:jc w:val="center"/>
              <w:rPr>
                <w:rFonts w:ascii="Arial" w:hAnsi="Arial" w:cs="Arial"/>
                <w:b/>
                <w:sz w:val="20"/>
                <w:szCs w:val="20"/>
              </w:rPr>
            </w:pPr>
            <w:r w:rsidRPr="009547D6">
              <w:rPr>
                <w:rFonts w:ascii="Arial" w:hAnsi="Arial" w:cs="Arial"/>
                <w:b/>
                <w:sz w:val="20"/>
                <w:szCs w:val="20"/>
              </w:rPr>
              <w:t>State</w:t>
            </w:r>
          </w:p>
        </w:tc>
        <w:tc>
          <w:tcPr>
            <w:tcW w:w="2314" w:type="dxa"/>
          </w:tcPr>
          <w:p w14:paraId="5F66A2AC" w14:textId="77777777" w:rsidR="006864C9" w:rsidRPr="009547D6" w:rsidRDefault="006864C9" w:rsidP="002204E6">
            <w:pPr>
              <w:pStyle w:val="BodyText"/>
              <w:spacing w:after="0"/>
              <w:ind w:right="214"/>
              <w:jc w:val="center"/>
              <w:rPr>
                <w:rFonts w:ascii="Arial" w:hAnsi="Arial" w:cs="Arial"/>
                <w:b/>
                <w:sz w:val="20"/>
                <w:szCs w:val="20"/>
              </w:rPr>
            </w:pPr>
            <w:r w:rsidRPr="009547D6">
              <w:rPr>
                <w:rFonts w:ascii="Arial" w:hAnsi="Arial" w:cs="Arial"/>
                <w:b/>
                <w:sz w:val="20"/>
                <w:szCs w:val="20"/>
              </w:rPr>
              <w:t>Fallow Period (Years)</w:t>
            </w:r>
          </w:p>
        </w:tc>
        <w:tc>
          <w:tcPr>
            <w:tcW w:w="3402" w:type="dxa"/>
          </w:tcPr>
          <w:p w14:paraId="7F7B81E3" w14:textId="77777777" w:rsidR="006864C9" w:rsidRPr="009547D6" w:rsidRDefault="006864C9" w:rsidP="002204E6">
            <w:pPr>
              <w:pStyle w:val="BodyText"/>
              <w:spacing w:after="0"/>
              <w:ind w:right="214"/>
              <w:jc w:val="center"/>
              <w:rPr>
                <w:rFonts w:ascii="Arial" w:hAnsi="Arial" w:cs="Arial"/>
                <w:b/>
                <w:sz w:val="20"/>
                <w:szCs w:val="20"/>
              </w:rPr>
            </w:pPr>
            <w:r w:rsidRPr="009547D6">
              <w:rPr>
                <w:rFonts w:ascii="Arial" w:hAnsi="Arial" w:cs="Arial"/>
                <w:b/>
                <w:sz w:val="20"/>
                <w:szCs w:val="20"/>
              </w:rPr>
              <w:t>Source</w:t>
            </w:r>
          </w:p>
        </w:tc>
      </w:tr>
      <w:tr w:rsidR="006864C9" w:rsidRPr="009547D6" w14:paraId="5B959D56" w14:textId="77777777" w:rsidTr="002204E6">
        <w:tc>
          <w:tcPr>
            <w:tcW w:w="2080" w:type="dxa"/>
          </w:tcPr>
          <w:p w14:paraId="7BCBA612"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Arunachal Pradesh</w:t>
            </w:r>
          </w:p>
        </w:tc>
        <w:tc>
          <w:tcPr>
            <w:tcW w:w="2314" w:type="dxa"/>
          </w:tcPr>
          <w:p w14:paraId="4EAEFB92"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3 -10</w:t>
            </w:r>
          </w:p>
        </w:tc>
        <w:tc>
          <w:tcPr>
            <w:tcW w:w="3402" w:type="dxa"/>
          </w:tcPr>
          <w:p w14:paraId="29F5F3C5" w14:textId="77777777" w:rsidR="006864C9" w:rsidRPr="009547D6" w:rsidRDefault="006864C9" w:rsidP="002204E6">
            <w:pPr>
              <w:pStyle w:val="BodyText"/>
              <w:spacing w:after="0"/>
              <w:ind w:right="214"/>
              <w:jc w:val="both"/>
              <w:rPr>
                <w:rFonts w:ascii="Arial" w:hAnsi="Arial" w:cs="Arial"/>
                <w:sz w:val="20"/>
                <w:szCs w:val="20"/>
              </w:rPr>
            </w:pPr>
            <w:proofErr w:type="spellStart"/>
            <w:r w:rsidRPr="009547D6">
              <w:rPr>
                <w:rFonts w:ascii="Arial" w:hAnsi="Arial" w:cs="Arial"/>
                <w:sz w:val="20"/>
                <w:szCs w:val="20"/>
              </w:rPr>
              <w:t>Teegalapalli</w:t>
            </w:r>
            <w:proofErr w:type="spellEnd"/>
            <w:r w:rsidRPr="009547D6">
              <w:rPr>
                <w:rFonts w:ascii="Arial" w:hAnsi="Arial" w:cs="Arial"/>
                <w:sz w:val="20"/>
                <w:szCs w:val="20"/>
              </w:rPr>
              <w:t xml:space="preserve"> &amp; Datta, 2016; </w:t>
            </w:r>
            <w:proofErr w:type="spellStart"/>
            <w:r w:rsidRPr="009547D6">
              <w:rPr>
                <w:rFonts w:ascii="Arial" w:hAnsi="Arial" w:cs="Arial"/>
                <w:sz w:val="20"/>
                <w:szCs w:val="20"/>
              </w:rPr>
              <w:t>Shimrah</w:t>
            </w:r>
            <w:proofErr w:type="spellEnd"/>
            <w:r w:rsidRPr="009547D6">
              <w:rPr>
                <w:rFonts w:ascii="Arial" w:hAnsi="Arial" w:cs="Arial"/>
                <w:sz w:val="20"/>
                <w:szCs w:val="20"/>
              </w:rPr>
              <w:t xml:space="preserve"> et al., 2015</w:t>
            </w:r>
          </w:p>
        </w:tc>
      </w:tr>
      <w:tr w:rsidR="006864C9" w:rsidRPr="009547D6" w14:paraId="3A6F35F5" w14:textId="77777777" w:rsidTr="002204E6">
        <w:tc>
          <w:tcPr>
            <w:tcW w:w="2080" w:type="dxa"/>
          </w:tcPr>
          <w:p w14:paraId="15C1E51B"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Assam</w:t>
            </w:r>
          </w:p>
        </w:tc>
        <w:tc>
          <w:tcPr>
            <w:tcW w:w="2314" w:type="dxa"/>
          </w:tcPr>
          <w:p w14:paraId="4A7EEFC2"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2 - 10</w:t>
            </w:r>
          </w:p>
        </w:tc>
        <w:tc>
          <w:tcPr>
            <w:tcW w:w="3402" w:type="dxa"/>
          </w:tcPr>
          <w:p w14:paraId="02C0D31A"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Yadav, 2013</w:t>
            </w:r>
          </w:p>
        </w:tc>
      </w:tr>
      <w:tr w:rsidR="006864C9" w:rsidRPr="009547D6" w14:paraId="78408AB9" w14:textId="77777777" w:rsidTr="002204E6">
        <w:tc>
          <w:tcPr>
            <w:tcW w:w="2080" w:type="dxa"/>
          </w:tcPr>
          <w:p w14:paraId="5775C39C"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Manipur</w:t>
            </w:r>
          </w:p>
        </w:tc>
        <w:tc>
          <w:tcPr>
            <w:tcW w:w="2314" w:type="dxa"/>
          </w:tcPr>
          <w:p w14:paraId="5BDE0CB7"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7 - 12</w:t>
            </w:r>
          </w:p>
        </w:tc>
        <w:tc>
          <w:tcPr>
            <w:tcW w:w="3402" w:type="dxa"/>
          </w:tcPr>
          <w:p w14:paraId="709AA889"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Thong et al., 2019</w:t>
            </w:r>
          </w:p>
        </w:tc>
      </w:tr>
      <w:tr w:rsidR="006864C9" w:rsidRPr="009547D6" w14:paraId="3C2EDE3F" w14:textId="77777777" w:rsidTr="002204E6">
        <w:tc>
          <w:tcPr>
            <w:tcW w:w="2080" w:type="dxa"/>
          </w:tcPr>
          <w:p w14:paraId="5F16DE41"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Meghalaya</w:t>
            </w:r>
          </w:p>
        </w:tc>
        <w:tc>
          <w:tcPr>
            <w:tcW w:w="2314" w:type="dxa"/>
          </w:tcPr>
          <w:p w14:paraId="0B5957FB"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3 - 15</w:t>
            </w:r>
          </w:p>
        </w:tc>
        <w:tc>
          <w:tcPr>
            <w:tcW w:w="3402" w:type="dxa"/>
          </w:tcPr>
          <w:p w14:paraId="7D90EF07" w14:textId="77777777" w:rsidR="006864C9" w:rsidRPr="009547D6" w:rsidRDefault="006864C9" w:rsidP="002204E6">
            <w:pPr>
              <w:pStyle w:val="BodyText"/>
              <w:spacing w:after="0"/>
              <w:ind w:right="214"/>
              <w:jc w:val="both"/>
              <w:rPr>
                <w:rFonts w:ascii="Arial" w:hAnsi="Arial" w:cs="Arial"/>
                <w:sz w:val="20"/>
                <w:szCs w:val="20"/>
              </w:rPr>
            </w:pPr>
            <w:proofErr w:type="spellStart"/>
            <w:r w:rsidRPr="009547D6">
              <w:rPr>
                <w:rFonts w:ascii="Arial" w:hAnsi="Arial" w:cs="Arial"/>
                <w:sz w:val="20"/>
                <w:szCs w:val="20"/>
              </w:rPr>
              <w:t>Manjunatha</w:t>
            </w:r>
            <w:proofErr w:type="spellEnd"/>
            <w:r w:rsidRPr="009547D6">
              <w:rPr>
                <w:rFonts w:ascii="Arial" w:hAnsi="Arial" w:cs="Arial"/>
                <w:sz w:val="20"/>
                <w:szCs w:val="20"/>
              </w:rPr>
              <w:t xml:space="preserve"> &amp; Singh, 2020</w:t>
            </w:r>
          </w:p>
        </w:tc>
      </w:tr>
      <w:tr w:rsidR="006864C9" w:rsidRPr="009547D6" w14:paraId="5CC00F32" w14:textId="77777777" w:rsidTr="002204E6">
        <w:tc>
          <w:tcPr>
            <w:tcW w:w="2080" w:type="dxa"/>
          </w:tcPr>
          <w:p w14:paraId="6D10F6B8"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Mizoram</w:t>
            </w:r>
          </w:p>
        </w:tc>
        <w:tc>
          <w:tcPr>
            <w:tcW w:w="2314" w:type="dxa"/>
          </w:tcPr>
          <w:p w14:paraId="3ED5D6E6"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3 – 5</w:t>
            </w:r>
          </w:p>
        </w:tc>
        <w:tc>
          <w:tcPr>
            <w:tcW w:w="3402" w:type="dxa"/>
          </w:tcPr>
          <w:p w14:paraId="2CA1F851" w14:textId="77777777" w:rsidR="006864C9" w:rsidRPr="009547D6" w:rsidRDefault="006864C9" w:rsidP="002204E6">
            <w:pPr>
              <w:pStyle w:val="BodyText"/>
              <w:tabs>
                <w:tab w:val="right" w:pos="2317"/>
              </w:tabs>
              <w:spacing w:after="0"/>
              <w:ind w:right="214"/>
              <w:jc w:val="both"/>
              <w:rPr>
                <w:rFonts w:ascii="Arial" w:hAnsi="Arial" w:cs="Arial"/>
                <w:sz w:val="20"/>
                <w:szCs w:val="20"/>
              </w:rPr>
            </w:pPr>
            <w:r w:rsidRPr="009547D6">
              <w:rPr>
                <w:rFonts w:ascii="Arial" w:hAnsi="Arial" w:cs="Arial"/>
                <w:sz w:val="20"/>
                <w:szCs w:val="20"/>
              </w:rPr>
              <w:t>Ghosh, 2019</w:t>
            </w:r>
          </w:p>
        </w:tc>
      </w:tr>
      <w:tr w:rsidR="006864C9" w:rsidRPr="009547D6" w14:paraId="334FE253" w14:textId="77777777" w:rsidTr="002204E6">
        <w:tc>
          <w:tcPr>
            <w:tcW w:w="2080" w:type="dxa"/>
          </w:tcPr>
          <w:p w14:paraId="4F13CDDA"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Nagaland</w:t>
            </w:r>
          </w:p>
        </w:tc>
        <w:tc>
          <w:tcPr>
            <w:tcW w:w="2314" w:type="dxa"/>
          </w:tcPr>
          <w:p w14:paraId="45CCF21F"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3 – 12</w:t>
            </w:r>
          </w:p>
        </w:tc>
        <w:tc>
          <w:tcPr>
            <w:tcW w:w="3402" w:type="dxa"/>
          </w:tcPr>
          <w:p w14:paraId="62716581" w14:textId="77777777" w:rsidR="006864C9" w:rsidRPr="009547D6" w:rsidRDefault="006864C9" w:rsidP="002204E6">
            <w:pPr>
              <w:pStyle w:val="BodyText"/>
              <w:spacing w:after="0"/>
              <w:ind w:right="214"/>
              <w:jc w:val="both"/>
              <w:rPr>
                <w:rFonts w:ascii="Arial" w:hAnsi="Arial" w:cs="Arial"/>
                <w:sz w:val="20"/>
                <w:szCs w:val="20"/>
              </w:rPr>
            </w:pPr>
            <w:proofErr w:type="spellStart"/>
            <w:r w:rsidRPr="009547D6">
              <w:rPr>
                <w:rFonts w:ascii="Arial" w:hAnsi="Arial" w:cs="Arial"/>
                <w:sz w:val="20"/>
                <w:szCs w:val="20"/>
              </w:rPr>
              <w:t>Temjen</w:t>
            </w:r>
            <w:proofErr w:type="spellEnd"/>
            <w:r w:rsidRPr="009547D6">
              <w:rPr>
                <w:rFonts w:ascii="Arial" w:hAnsi="Arial" w:cs="Arial"/>
                <w:sz w:val="20"/>
                <w:szCs w:val="20"/>
              </w:rPr>
              <w:t xml:space="preserve"> et al., 2022</w:t>
            </w:r>
          </w:p>
        </w:tc>
      </w:tr>
      <w:tr w:rsidR="006864C9" w:rsidRPr="009547D6" w14:paraId="4008CE91" w14:textId="77777777" w:rsidTr="002204E6">
        <w:tc>
          <w:tcPr>
            <w:tcW w:w="2080" w:type="dxa"/>
          </w:tcPr>
          <w:p w14:paraId="1AAA698A"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Tripura</w:t>
            </w:r>
          </w:p>
        </w:tc>
        <w:tc>
          <w:tcPr>
            <w:tcW w:w="2314" w:type="dxa"/>
          </w:tcPr>
          <w:p w14:paraId="169F8F61" w14:textId="77777777" w:rsidR="006864C9" w:rsidRPr="009547D6" w:rsidRDefault="006864C9" w:rsidP="002204E6">
            <w:pPr>
              <w:pStyle w:val="BodyText"/>
              <w:spacing w:after="0"/>
              <w:ind w:right="214"/>
              <w:jc w:val="center"/>
              <w:rPr>
                <w:rFonts w:ascii="Arial" w:hAnsi="Arial" w:cs="Arial"/>
                <w:sz w:val="20"/>
                <w:szCs w:val="20"/>
              </w:rPr>
            </w:pPr>
            <w:r w:rsidRPr="009547D6">
              <w:rPr>
                <w:rFonts w:ascii="Arial" w:hAnsi="Arial" w:cs="Arial"/>
                <w:sz w:val="20"/>
                <w:szCs w:val="20"/>
              </w:rPr>
              <w:t>5 - 9</w:t>
            </w:r>
          </w:p>
        </w:tc>
        <w:tc>
          <w:tcPr>
            <w:tcW w:w="3402" w:type="dxa"/>
          </w:tcPr>
          <w:p w14:paraId="024C3137" w14:textId="77777777" w:rsidR="006864C9" w:rsidRPr="009547D6" w:rsidRDefault="006864C9" w:rsidP="002204E6">
            <w:pPr>
              <w:pStyle w:val="BodyText"/>
              <w:spacing w:after="0"/>
              <w:ind w:right="214"/>
              <w:jc w:val="both"/>
              <w:rPr>
                <w:rFonts w:ascii="Arial" w:hAnsi="Arial" w:cs="Arial"/>
                <w:sz w:val="20"/>
                <w:szCs w:val="20"/>
              </w:rPr>
            </w:pPr>
            <w:r w:rsidRPr="009547D6">
              <w:rPr>
                <w:rFonts w:ascii="Arial" w:hAnsi="Arial" w:cs="Arial"/>
                <w:sz w:val="20"/>
                <w:szCs w:val="20"/>
              </w:rPr>
              <w:t>Das &amp; Das, 2014</w:t>
            </w:r>
          </w:p>
        </w:tc>
      </w:tr>
    </w:tbl>
    <w:p w14:paraId="2CE96460" w14:textId="739665B9" w:rsidR="006864C9" w:rsidRPr="009547D6" w:rsidRDefault="006864C9" w:rsidP="002204E6">
      <w:pPr>
        <w:pStyle w:val="BodyText"/>
        <w:spacing w:before="240"/>
        <w:jc w:val="both"/>
        <w:rPr>
          <w:rFonts w:ascii="Arial" w:hAnsi="Arial" w:cs="Arial"/>
        </w:rPr>
      </w:pPr>
      <w:r w:rsidRPr="009547D6">
        <w:rPr>
          <w:rFonts w:ascii="Arial" w:hAnsi="Arial" w:cs="Arial"/>
        </w:rPr>
        <w:t xml:space="preserve">There are different stages of shifting agriculture </w:t>
      </w:r>
      <w:r w:rsidRPr="009547D6">
        <w:rPr>
          <w:rFonts w:ascii="Arial" w:hAnsi="Arial" w:cs="Arial"/>
          <w:shd w:val="clear" w:color="auto" w:fill="FFFFFF"/>
        </w:rPr>
        <w:t xml:space="preserve">which includes slashing, burning, cropping and fallowing. </w:t>
      </w:r>
      <w:r w:rsidRPr="009547D6">
        <w:rPr>
          <w:rFonts w:ascii="Arial" w:hAnsi="Arial" w:cs="Arial"/>
        </w:rPr>
        <w:t xml:space="preserve">The sighting, slashing and burning of vegetation for cultivation is mostly carried out between January-March, these months are considered as dry season by the locals with little to no rain, which makes it easier for them to slash and burn. Labors are also available as most activities are on halt. The slashed vegetation is then burnt and the hill is cleaned for sowing seeds during April-May. Some of the important </w:t>
      </w:r>
      <w:r w:rsidR="00957825" w:rsidRPr="009547D6">
        <w:rPr>
          <w:rFonts w:ascii="Arial" w:hAnsi="Arial" w:cs="Arial"/>
        </w:rPr>
        <w:t>j</w:t>
      </w:r>
      <w:r w:rsidRPr="009547D6">
        <w:rPr>
          <w:rFonts w:ascii="Arial" w:hAnsi="Arial" w:cs="Arial"/>
        </w:rPr>
        <w:t>hum crops grown by the communities are rice, maize, tapioca, sweet potato, ginger, barley, brinjal, turmeric, chili, sesame, cucumber, arum, sweet-gourd, finger millet, cowpea, taro, cotton, pumpkin, mustard, garlic, coriander, okra, sesame, common beans, and tobacco (</w:t>
      </w:r>
      <w:proofErr w:type="spellStart"/>
      <w:r w:rsidRPr="009547D6">
        <w:rPr>
          <w:rFonts w:ascii="Arial" w:hAnsi="Arial" w:cs="Arial"/>
        </w:rPr>
        <w:t>Shimrah</w:t>
      </w:r>
      <w:proofErr w:type="spellEnd"/>
      <w:r w:rsidRPr="009547D6">
        <w:rPr>
          <w:rFonts w:ascii="Arial" w:hAnsi="Arial" w:cs="Arial"/>
        </w:rPr>
        <w:t xml:space="preserve"> et al., 2015; Das et al., 2017; Panda et al., 2017; </w:t>
      </w:r>
      <w:r w:rsidRPr="009547D6">
        <w:rPr>
          <w:rFonts w:ascii="Arial" w:hAnsi="Arial" w:cs="Arial"/>
          <w:shd w:val="clear" w:color="auto" w:fill="FFFFFF"/>
        </w:rPr>
        <w:t>Chaudhury &amp; Sarkar, 2020</w:t>
      </w:r>
      <w:r w:rsidRPr="009547D6">
        <w:rPr>
          <w:rFonts w:ascii="Arial" w:hAnsi="Arial" w:cs="Arial"/>
        </w:rPr>
        <w:t>).</w:t>
      </w:r>
      <w:r w:rsidR="005E09A6" w:rsidRPr="009547D6">
        <w:rPr>
          <w:rFonts w:ascii="Arial" w:hAnsi="Arial" w:cs="Arial"/>
        </w:rPr>
        <w:t xml:space="preserve"> To illustrate regional variation in jhum practices, the agricultural calendars for the </w:t>
      </w:r>
      <w:proofErr w:type="spellStart"/>
      <w:r w:rsidR="005E09A6" w:rsidRPr="009547D6">
        <w:rPr>
          <w:rFonts w:ascii="Arial" w:hAnsi="Arial" w:cs="Arial"/>
        </w:rPr>
        <w:t>Tangkhul</w:t>
      </w:r>
      <w:proofErr w:type="spellEnd"/>
      <w:r w:rsidR="005E09A6" w:rsidRPr="009547D6">
        <w:rPr>
          <w:rFonts w:ascii="Arial" w:hAnsi="Arial" w:cs="Arial"/>
        </w:rPr>
        <w:t xml:space="preserve"> (Manipur) and </w:t>
      </w:r>
      <w:proofErr w:type="spellStart"/>
      <w:r w:rsidR="005E09A6" w:rsidRPr="009547D6">
        <w:rPr>
          <w:rFonts w:ascii="Arial" w:hAnsi="Arial" w:cs="Arial"/>
        </w:rPr>
        <w:t>Karbi</w:t>
      </w:r>
      <w:proofErr w:type="spellEnd"/>
      <w:r w:rsidR="005E09A6" w:rsidRPr="009547D6">
        <w:rPr>
          <w:rFonts w:ascii="Arial" w:hAnsi="Arial" w:cs="Arial"/>
        </w:rPr>
        <w:t xml:space="preserve"> (Assam) communities </w:t>
      </w:r>
      <w:r w:rsidR="00A950F0" w:rsidRPr="009547D6">
        <w:rPr>
          <w:rFonts w:ascii="Arial" w:hAnsi="Arial" w:cs="Arial"/>
        </w:rPr>
        <w:t>are</w:t>
      </w:r>
      <w:r w:rsidR="005E09A6" w:rsidRPr="009547D6">
        <w:rPr>
          <w:rFonts w:ascii="Arial" w:hAnsi="Arial" w:cs="Arial"/>
        </w:rPr>
        <w:t xml:space="preserve"> presented in Table 3.</w:t>
      </w:r>
    </w:p>
    <w:p w14:paraId="6C84F1AC" w14:textId="77777777" w:rsidR="005E09A6" w:rsidRPr="009547D6" w:rsidRDefault="005E09A6" w:rsidP="005E09A6">
      <w:pPr>
        <w:pStyle w:val="BodyText"/>
        <w:spacing w:before="240"/>
        <w:jc w:val="both"/>
        <w:rPr>
          <w:rFonts w:ascii="Arial" w:hAnsi="Arial" w:cs="Arial"/>
        </w:rPr>
      </w:pPr>
      <w:r w:rsidRPr="009547D6">
        <w:rPr>
          <w:rFonts w:ascii="Arial" w:hAnsi="Arial" w:cs="Arial"/>
          <w:b/>
          <w:bCs/>
        </w:rPr>
        <w:t xml:space="preserve">Table 3. </w:t>
      </w:r>
      <w:r w:rsidRPr="009547D6">
        <w:rPr>
          <w:rFonts w:ascii="Arial" w:hAnsi="Arial" w:cs="Arial"/>
        </w:rPr>
        <w:t xml:space="preserve">Agricultural calendar of the </w:t>
      </w:r>
      <w:proofErr w:type="spellStart"/>
      <w:r w:rsidRPr="009547D6">
        <w:rPr>
          <w:rFonts w:ascii="Arial" w:hAnsi="Arial" w:cs="Arial"/>
        </w:rPr>
        <w:t>Tangkhul</w:t>
      </w:r>
      <w:proofErr w:type="spellEnd"/>
      <w:r w:rsidRPr="009547D6">
        <w:rPr>
          <w:rFonts w:ascii="Arial" w:hAnsi="Arial" w:cs="Arial"/>
        </w:rPr>
        <w:t xml:space="preserve"> Tribe of Manipur and </w:t>
      </w:r>
      <w:proofErr w:type="spellStart"/>
      <w:r w:rsidRPr="009547D6">
        <w:rPr>
          <w:rFonts w:ascii="Arial" w:hAnsi="Arial" w:cs="Arial"/>
        </w:rPr>
        <w:t>Karbi</w:t>
      </w:r>
      <w:proofErr w:type="spellEnd"/>
      <w:r w:rsidRPr="009547D6">
        <w:rPr>
          <w:rFonts w:ascii="Arial" w:hAnsi="Arial" w:cs="Arial"/>
        </w:rPr>
        <w:t xml:space="preserve"> Tribe of Assam</w:t>
      </w:r>
    </w:p>
    <w:tbl>
      <w:tblPr>
        <w:tblStyle w:val="TableGrid"/>
        <w:tblW w:w="0" w:type="auto"/>
        <w:jc w:val="center"/>
        <w:tblLook w:val="04A0" w:firstRow="1" w:lastRow="0" w:firstColumn="1" w:lastColumn="0" w:noHBand="0" w:noVBand="1"/>
      </w:tblPr>
      <w:tblGrid>
        <w:gridCol w:w="1195"/>
        <w:gridCol w:w="3498"/>
        <w:gridCol w:w="3731"/>
      </w:tblGrid>
      <w:tr w:rsidR="005E09A6" w:rsidRPr="009547D6" w14:paraId="40216ED3" w14:textId="77777777" w:rsidTr="00C54F9A">
        <w:trPr>
          <w:jc w:val="center"/>
        </w:trPr>
        <w:tc>
          <w:tcPr>
            <w:tcW w:w="1164" w:type="dxa"/>
          </w:tcPr>
          <w:p w14:paraId="4338563C" w14:textId="77777777" w:rsidR="005E09A6" w:rsidRPr="009547D6" w:rsidRDefault="005E09A6" w:rsidP="00E46281">
            <w:pPr>
              <w:pStyle w:val="BodyText"/>
              <w:spacing w:after="0"/>
              <w:jc w:val="center"/>
              <w:rPr>
                <w:rFonts w:ascii="Arial" w:hAnsi="Arial" w:cs="Arial"/>
                <w:b/>
                <w:bCs/>
                <w:sz w:val="20"/>
                <w:szCs w:val="20"/>
              </w:rPr>
            </w:pPr>
            <w:r w:rsidRPr="009547D6">
              <w:rPr>
                <w:rFonts w:ascii="Arial" w:hAnsi="Arial" w:cs="Arial"/>
                <w:b/>
                <w:bCs/>
                <w:sz w:val="20"/>
                <w:szCs w:val="20"/>
              </w:rPr>
              <w:t>Month</w:t>
            </w:r>
          </w:p>
        </w:tc>
        <w:tc>
          <w:tcPr>
            <w:tcW w:w="3793" w:type="dxa"/>
          </w:tcPr>
          <w:p w14:paraId="63511449" w14:textId="77777777" w:rsidR="005E09A6" w:rsidRPr="009547D6" w:rsidRDefault="005E09A6" w:rsidP="00E46281">
            <w:pPr>
              <w:pStyle w:val="BodyText"/>
              <w:spacing w:after="0"/>
              <w:jc w:val="center"/>
              <w:rPr>
                <w:rFonts w:ascii="Arial" w:hAnsi="Arial" w:cs="Arial"/>
                <w:b/>
                <w:bCs/>
                <w:sz w:val="20"/>
                <w:szCs w:val="20"/>
              </w:rPr>
            </w:pPr>
            <w:r w:rsidRPr="009547D6">
              <w:rPr>
                <w:rFonts w:ascii="Arial" w:hAnsi="Arial" w:cs="Arial"/>
                <w:b/>
                <w:bCs/>
                <w:sz w:val="20"/>
                <w:szCs w:val="20"/>
              </w:rPr>
              <w:t>Nature of operation (</w:t>
            </w:r>
            <w:proofErr w:type="spellStart"/>
            <w:r w:rsidRPr="009547D6">
              <w:rPr>
                <w:rFonts w:ascii="Arial" w:hAnsi="Arial" w:cs="Arial"/>
                <w:b/>
                <w:bCs/>
                <w:sz w:val="20"/>
                <w:szCs w:val="20"/>
              </w:rPr>
              <w:t>Tangkhul</w:t>
            </w:r>
            <w:proofErr w:type="spellEnd"/>
            <w:r w:rsidRPr="009547D6">
              <w:rPr>
                <w:rFonts w:ascii="Arial" w:hAnsi="Arial" w:cs="Arial"/>
                <w:b/>
                <w:bCs/>
                <w:sz w:val="20"/>
                <w:szCs w:val="20"/>
              </w:rPr>
              <w:t>)</w:t>
            </w:r>
          </w:p>
        </w:tc>
        <w:tc>
          <w:tcPr>
            <w:tcW w:w="4059" w:type="dxa"/>
          </w:tcPr>
          <w:p w14:paraId="38842237" w14:textId="77777777" w:rsidR="005E09A6" w:rsidRPr="009547D6" w:rsidRDefault="005E09A6" w:rsidP="00E46281">
            <w:pPr>
              <w:pStyle w:val="BodyText"/>
              <w:spacing w:after="0"/>
              <w:jc w:val="center"/>
              <w:rPr>
                <w:rFonts w:ascii="Arial" w:hAnsi="Arial" w:cs="Arial"/>
                <w:b/>
                <w:bCs/>
                <w:sz w:val="20"/>
                <w:szCs w:val="20"/>
              </w:rPr>
            </w:pPr>
            <w:r w:rsidRPr="009547D6">
              <w:rPr>
                <w:rFonts w:ascii="Arial" w:hAnsi="Arial" w:cs="Arial"/>
                <w:b/>
                <w:bCs/>
                <w:sz w:val="20"/>
                <w:szCs w:val="20"/>
              </w:rPr>
              <w:t>Nature of Operation (</w:t>
            </w:r>
            <w:proofErr w:type="spellStart"/>
            <w:r w:rsidRPr="009547D6">
              <w:rPr>
                <w:rFonts w:ascii="Arial" w:hAnsi="Arial" w:cs="Arial"/>
                <w:b/>
                <w:bCs/>
                <w:sz w:val="20"/>
                <w:szCs w:val="20"/>
              </w:rPr>
              <w:t>Karbi</w:t>
            </w:r>
            <w:proofErr w:type="spellEnd"/>
            <w:r w:rsidRPr="009547D6">
              <w:rPr>
                <w:rFonts w:ascii="Arial" w:hAnsi="Arial" w:cs="Arial"/>
                <w:b/>
                <w:bCs/>
                <w:sz w:val="20"/>
                <w:szCs w:val="20"/>
              </w:rPr>
              <w:t>)</w:t>
            </w:r>
          </w:p>
        </w:tc>
      </w:tr>
      <w:tr w:rsidR="005E09A6" w:rsidRPr="009547D6" w14:paraId="3A8C1262" w14:textId="77777777" w:rsidTr="00C54F9A">
        <w:trPr>
          <w:jc w:val="center"/>
        </w:trPr>
        <w:tc>
          <w:tcPr>
            <w:tcW w:w="1164" w:type="dxa"/>
          </w:tcPr>
          <w:p w14:paraId="5DA55C22"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January</w:t>
            </w:r>
          </w:p>
        </w:tc>
        <w:tc>
          <w:tcPr>
            <w:tcW w:w="3793" w:type="dxa"/>
          </w:tcPr>
          <w:p w14:paraId="2BCC6922"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Site surveying plots for carrying our shifting agriculture</w:t>
            </w:r>
          </w:p>
        </w:tc>
        <w:tc>
          <w:tcPr>
            <w:tcW w:w="4059" w:type="dxa"/>
          </w:tcPr>
          <w:p w14:paraId="5BE9FC97"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The paddy is brought back home from the field</w:t>
            </w:r>
          </w:p>
        </w:tc>
      </w:tr>
      <w:tr w:rsidR="005E09A6" w:rsidRPr="009547D6" w14:paraId="2C9AA195" w14:textId="77777777" w:rsidTr="00C54F9A">
        <w:trPr>
          <w:jc w:val="center"/>
        </w:trPr>
        <w:tc>
          <w:tcPr>
            <w:tcW w:w="1164" w:type="dxa"/>
          </w:tcPr>
          <w:p w14:paraId="2AAA182A"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February</w:t>
            </w:r>
          </w:p>
        </w:tc>
        <w:tc>
          <w:tcPr>
            <w:tcW w:w="3793" w:type="dxa"/>
          </w:tcPr>
          <w:p w14:paraId="5A6DBF93"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Slashing started</w:t>
            </w:r>
          </w:p>
        </w:tc>
        <w:tc>
          <w:tcPr>
            <w:tcW w:w="4059" w:type="dxa"/>
          </w:tcPr>
          <w:p w14:paraId="3F5B4CB5"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Jhum fields selected</w:t>
            </w:r>
          </w:p>
        </w:tc>
      </w:tr>
      <w:tr w:rsidR="005E09A6" w:rsidRPr="009547D6" w14:paraId="203F32D5" w14:textId="77777777" w:rsidTr="00C54F9A">
        <w:trPr>
          <w:jc w:val="center"/>
        </w:trPr>
        <w:tc>
          <w:tcPr>
            <w:tcW w:w="1164" w:type="dxa"/>
          </w:tcPr>
          <w:p w14:paraId="4335A533"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March</w:t>
            </w:r>
          </w:p>
        </w:tc>
        <w:tc>
          <w:tcPr>
            <w:tcW w:w="3793" w:type="dxa"/>
          </w:tcPr>
          <w:p w14:paraId="7C0F67B8"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Slashed and burnt completed</w:t>
            </w:r>
          </w:p>
        </w:tc>
        <w:tc>
          <w:tcPr>
            <w:tcW w:w="4059" w:type="dxa"/>
          </w:tcPr>
          <w:p w14:paraId="760B0802"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Selected areas are burnt</w:t>
            </w:r>
          </w:p>
        </w:tc>
      </w:tr>
      <w:tr w:rsidR="005E09A6" w:rsidRPr="009547D6" w14:paraId="10AF08E0" w14:textId="77777777" w:rsidTr="00C54F9A">
        <w:trPr>
          <w:jc w:val="center"/>
        </w:trPr>
        <w:tc>
          <w:tcPr>
            <w:tcW w:w="1164" w:type="dxa"/>
          </w:tcPr>
          <w:p w14:paraId="338DE3D4"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April</w:t>
            </w:r>
          </w:p>
        </w:tc>
        <w:tc>
          <w:tcPr>
            <w:tcW w:w="3793" w:type="dxa"/>
          </w:tcPr>
          <w:p w14:paraId="656A1CAC"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Land preparation for sowing involving ploughing, clearing of debris</w:t>
            </w:r>
          </w:p>
        </w:tc>
        <w:tc>
          <w:tcPr>
            <w:tcW w:w="4059" w:type="dxa"/>
          </w:tcPr>
          <w:p w14:paraId="32DAD877"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Weeding is carried out</w:t>
            </w:r>
          </w:p>
        </w:tc>
      </w:tr>
      <w:tr w:rsidR="005E09A6" w:rsidRPr="009547D6" w14:paraId="641868B0" w14:textId="77777777" w:rsidTr="00C54F9A">
        <w:trPr>
          <w:jc w:val="center"/>
        </w:trPr>
        <w:tc>
          <w:tcPr>
            <w:tcW w:w="1164" w:type="dxa"/>
          </w:tcPr>
          <w:p w14:paraId="25F44355"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May</w:t>
            </w:r>
          </w:p>
        </w:tc>
        <w:tc>
          <w:tcPr>
            <w:tcW w:w="3793" w:type="dxa"/>
          </w:tcPr>
          <w:p w14:paraId="26C7D212"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Seeds are sown for the new season (rice, maize, potato)</w:t>
            </w:r>
          </w:p>
        </w:tc>
        <w:tc>
          <w:tcPr>
            <w:tcW w:w="4059" w:type="dxa"/>
          </w:tcPr>
          <w:p w14:paraId="5AD2CD3C"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Seeds are sown</w:t>
            </w:r>
          </w:p>
        </w:tc>
      </w:tr>
      <w:tr w:rsidR="005E09A6" w:rsidRPr="009547D6" w14:paraId="1E2DC64C" w14:textId="77777777" w:rsidTr="00C54F9A">
        <w:trPr>
          <w:jc w:val="center"/>
        </w:trPr>
        <w:tc>
          <w:tcPr>
            <w:tcW w:w="1164" w:type="dxa"/>
          </w:tcPr>
          <w:p w14:paraId="17750560"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June</w:t>
            </w:r>
          </w:p>
        </w:tc>
        <w:tc>
          <w:tcPr>
            <w:tcW w:w="3793" w:type="dxa"/>
          </w:tcPr>
          <w:p w14:paraId="7F5BFAC1"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Planting ginger, yam, beans, chili, sweet potato</w:t>
            </w:r>
          </w:p>
        </w:tc>
        <w:tc>
          <w:tcPr>
            <w:tcW w:w="4059" w:type="dxa"/>
          </w:tcPr>
          <w:p w14:paraId="06AFB7E0"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Wild tubers are bamboo shoots are gathered from the forest</w:t>
            </w:r>
          </w:p>
        </w:tc>
      </w:tr>
      <w:tr w:rsidR="005E09A6" w:rsidRPr="009547D6" w14:paraId="3E26FF69" w14:textId="77777777" w:rsidTr="00C54F9A">
        <w:trPr>
          <w:jc w:val="center"/>
        </w:trPr>
        <w:tc>
          <w:tcPr>
            <w:tcW w:w="1164" w:type="dxa"/>
          </w:tcPr>
          <w:p w14:paraId="5D1D14BE"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July</w:t>
            </w:r>
          </w:p>
        </w:tc>
        <w:tc>
          <w:tcPr>
            <w:tcW w:w="3793" w:type="dxa"/>
          </w:tcPr>
          <w:p w14:paraId="3FB1B3A3"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 xml:space="preserve">Weeding, collection of Wild </w:t>
            </w:r>
            <w:proofErr w:type="gramStart"/>
            <w:r w:rsidRPr="009547D6">
              <w:rPr>
                <w:rFonts w:ascii="Arial" w:hAnsi="Arial" w:cs="Arial"/>
                <w:sz w:val="20"/>
                <w:szCs w:val="20"/>
              </w:rPr>
              <w:t>non cultivated</w:t>
            </w:r>
            <w:proofErr w:type="gramEnd"/>
            <w:r w:rsidRPr="009547D6">
              <w:rPr>
                <w:rFonts w:ascii="Arial" w:hAnsi="Arial" w:cs="Arial"/>
                <w:sz w:val="20"/>
                <w:szCs w:val="20"/>
              </w:rPr>
              <w:t xml:space="preserve"> edible plants</w:t>
            </w:r>
          </w:p>
        </w:tc>
        <w:tc>
          <w:tcPr>
            <w:tcW w:w="4059" w:type="dxa"/>
          </w:tcPr>
          <w:p w14:paraId="1F453C4C"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Wild tubers are bamboo shoots are gathered from the forest</w:t>
            </w:r>
          </w:p>
        </w:tc>
      </w:tr>
      <w:tr w:rsidR="005E09A6" w:rsidRPr="009547D6" w14:paraId="4AB26F02" w14:textId="77777777" w:rsidTr="00C54F9A">
        <w:trPr>
          <w:jc w:val="center"/>
        </w:trPr>
        <w:tc>
          <w:tcPr>
            <w:tcW w:w="1164" w:type="dxa"/>
          </w:tcPr>
          <w:p w14:paraId="792123C7"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August</w:t>
            </w:r>
          </w:p>
        </w:tc>
        <w:tc>
          <w:tcPr>
            <w:tcW w:w="3793" w:type="dxa"/>
          </w:tcPr>
          <w:p w14:paraId="076671D2"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 xml:space="preserve">Weeding, harvesting of mushrooms, beans </w:t>
            </w:r>
          </w:p>
        </w:tc>
        <w:tc>
          <w:tcPr>
            <w:tcW w:w="4059" w:type="dxa"/>
          </w:tcPr>
          <w:p w14:paraId="002947C1"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Paddy is cut and kept in the jungle rest house</w:t>
            </w:r>
          </w:p>
        </w:tc>
      </w:tr>
      <w:tr w:rsidR="005E09A6" w:rsidRPr="009547D6" w14:paraId="672122C0" w14:textId="77777777" w:rsidTr="00C54F9A">
        <w:trPr>
          <w:jc w:val="center"/>
        </w:trPr>
        <w:tc>
          <w:tcPr>
            <w:tcW w:w="1164" w:type="dxa"/>
          </w:tcPr>
          <w:p w14:paraId="3A598CE6"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September</w:t>
            </w:r>
          </w:p>
        </w:tc>
        <w:tc>
          <w:tcPr>
            <w:tcW w:w="3793" w:type="dxa"/>
          </w:tcPr>
          <w:p w14:paraId="187F2E5F"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 xml:space="preserve">Planting of cabbage </w:t>
            </w:r>
          </w:p>
        </w:tc>
        <w:tc>
          <w:tcPr>
            <w:tcW w:w="4059" w:type="dxa"/>
          </w:tcPr>
          <w:p w14:paraId="6222ABAE"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Wild tubers are bamboo shoots are gathered from the forest</w:t>
            </w:r>
          </w:p>
        </w:tc>
      </w:tr>
      <w:tr w:rsidR="005E09A6" w:rsidRPr="009547D6" w14:paraId="36A74931" w14:textId="77777777" w:rsidTr="00C54F9A">
        <w:trPr>
          <w:jc w:val="center"/>
        </w:trPr>
        <w:tc>
          <w:tcPr>
            <w:tcW w:w="1164" w:type="dxa"/>
          </w:tcPr>
          <w:p w14:paraId="7D3F1935"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October</w:t>
            </w:r>
          </w:p>
        </w:tc>
        <w:tc>
          <w:tcPr>
            <w:tcW w:w="3793" w:type="dxa"/>
          </w:tcPr>
          <w:p w14:paraId="78B6F0F3"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Harvesting of paddy</w:t>
            </w:r>
          </w:p>
        </w:tc>
        <w:tc>
          <w:tcPr>
            <w:tcW w:w="4059" w:type="dxa"/>
          </w:tcPr>
          <w:p w14:paraId="1D468D4B"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Harvesting of paddy</w:t>
            </w:r>
          </w:p>
        </w:tc>
      </w:tr>
      <w:tr w:rsidR="005E09A6" w:rsidRPr="009547D6" w14:paraId="4C1824B6" w14:textId="77777777" w:rsidTr="00C54F9A">
        <w:trPr>
          <w:jc w:val="center"/>
        </w:trPr>
        <w:tc>
          <w:tcPr>
            <w:tcW w:w="1164" w:type="dxa"/>
          </w:tcPr>
          <w:p w14:paraId="4AAFB990" w14:textId="77777777" w:rsidR="005E09A6" w:rsidRPr="009547D6" w:rsidRDefault="005E09A6" w:rsidP="00E46281">
            <w:pPr>
              <w:pStyle w:val="BodyText"/>
              <w:spacing w:after="0"/>
              <w:rPr>
                <w:rFonts w:ascii="Arial" w:hAnsi="Arial" w:cs="Arial"/>
                <w:b/>
                <w:bCs/>
                <w:sz w:val="20"/>
                <w:szCs w:val="20"/>
              </w:rPr>
            </w:pPr>
            <w:r w:rsidRPr="009547D6">
              <w:rPr>
                <w:rFonts w:ascii="Arial" w:hAnsi="Arial" w:cs="Arial"/>
                <w:sz w:val="20"/>
                <w:szCs w:val="20"/>
              </w:rPr>
              <w:t>November</w:t>
            </w:r>
          </w:p>
        </w:tc>
        <w:tc>
          <w:tcPr>
            <w:tcW w:w="3793" w:type="dxa"/>
          </w:tcPr>
          <w:p w14:paraId="526E9E35" w14:textId="77777777" w:rsidR="005E09A6" w:rsidRPr="009547D6" w:rsidRDefault="005E09A6" w:rsidP="00E46281">
            <w:pPr>
              <w:pStyle w:val="BodyText"/>
              <w:spacing w:after="0"/>
              <w:jc w:val="both"/>
              <w:rPr>
                <w:rFonts w:ascii="Arial" w:hAnsi="Arial" w:cs="Arial"/>
                <w:b/>
                <w:bCs/>
                <w:sz w:val="20"/>
                <w:szCs w:val="20"/>
              </w:rPr>
            </w:pPr>
            <w:r w:rsidRPr="009547D6">
              <w:rPr>
                <w:rFonts w:ascii="Arial" w:hAnsi="Arial" w:cs="Arial"/>
                <w:sz w:val="20"/>
                <w:szCs w:val="20"/>
              </w:rPr>
              <w:t>Paddy stored</w:t>
            </w:r>
          </w:p>
        </w:tc>
        <w:tc>
          <w:tcPr>
            <w:tcW w:w="4059" w:type="dxa"/>
          </w:tcPr>
          <w:p w14:paraId="78B8295F"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Paddy stored</w:t>
            </w:r>
          </w:p>
        </w:tc>
      </w:tr>
      <w:tr w:rsidR="005E09A6" w:rsidRPr="009547D6" w14:paraId="3C666D10" w14:textId="77777777" w:rsidTr="00C54F9A">
        <w:trPr>
          <w:jc w:val="center"/>
        </w:trPr>
        <w:tc>
          <w:tcPr>
            <w:tcW w:w="1164" w:type="dxa"/>
          </w:tcPr>
          <w:p w14:paraId="5545360E" w14:textId="77777777" w:rsidR="005E09A6" w:rsidRPr="009547D6" w:rsidRDefault="005E09A6" w:rsidP="00E46281">
            <w:pPr>
              <w:pStyle w:val="BodyText"/>
              <w:spacing w:after="0"/>
              <w:rPr>
                <w:rFonts w:ascii="Arial" w:hAnsi="Arial" w:cs="Arial"/>
                <w:sz w:val="20"/>
                <w:szCs w:val="20"/>
              </w:rPr>
            </w:pPr>
            <w:r w:rsidRPr="009547D6">
              <w:rPr>
                <w:rFonts w:ascii="Arial" w:hAnsi="Arial" w:cs="Arial"/>
                <w:sz w:val="20"/>
                <w:szCs w:val="20"/>
              </w:rPr>
              <w:t>December</w:t>
            </w:r>
          </w:p>
        </w:tc>
        <w:tc>
          <w:tcPr>
            <w:tcW w:w="3793" w:type="dxa"/>
          </w:tcPr>
          <w:p w14:paraId="5B378C0E"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Wedding and festive season</w:t>
            </w:r>
          </w:p>
        </w:tc>
        <w:tc>
          <w:tcPr>
            <w:tcW w:w="4059" w:type="dxa"/>
          </w:tcPr>
          <w:p w14:paraId="7D04CE2C" w14:textId="77777777" w:rsidR="005E09A6" w:rsidRPr="009547D6" w:rsidRDefault="005E09A6" w:rsidP="00E46281">
            <w:pPr>
              <w:pStyle w:val="BodyText"/>
              <w:spacing w:after="0"/>
              <w:jc w:val="both"/>
              <w:rPr>
                <w:rFonts w:ascii="Arial" w:hAnsi="Arial" w:cs="Arial"/>
                <w:sz w:val="20"/>
                <w:szCs w:val="20"/>
              </w:rPr>
            </w:pPr>
            <w:r w:rsidRPr="009547D6">
              <w:rPr>
                <w:rFonts w:ascii="Arial" w:hAnsi="Arial" w:cs="Arial"/>
                <w:sz w:val="20"/>
                <w:szCs w:val="20"/>
              </w:rPr>
              <w:t>Assessment of quantity of the harvested paddy</w:t>
            </w:r>
          </w:p>
        </w:tc>
      </w:tr>
    </w:tbl>
    <w:p w14:paraId="4072DB0D" w14:textId="4BE9DE6C" w:rsidR="005E09A6" w:rsidRPr="009547D6" w:rsidRDefault="005E09A6" w:rsidP="005E09A6">
      <w:pPr>
        <w:spacing w:after="120"/>
        <w:jc w:val="both"/>
        <w:rPr>
          <w:rFonts w:ascii="Arial" w:hAnsi="Arial" w:cs="Arial"/>
        </w:rPr>
      </w:pPr>
      <w:r w:rsidRPr="009547D6">
        <w:rPr>
          <w:rFonts w:ascii="Arial" w:hAnsi="Arial" w:cs="Arial"/>
        </w:rPr>
        <w:lastRenderedPageBreak/>
        <w:t>(</w:t>
      </w:r>
      <w:r w:rsidRPr="008509C1">
        <w:rPr>
          <w:rFonts w:ascii="Arial" w:hAnsi="Arial" w:cs="Arial"/>
          <w:i/>
          <w:iCs/>
        </w:rPr>
        <w:t>Source: Authors</w:t>
      </w:r>
      <w:r w:rsidR="00A950F0" w:rsidRPr="008509C1">
        <w:rPr>
          <w:rFonts w:ascii="Arial" w:hAnsi="Arial" w:cs="Arial"/>
          <w:i/>
          <w:iCs/>
        </w:rPr>
        <w:t xml:space="preserve">’ </w:t>
      </w:r>
      <w:r w:rsidRPr="008509C1">
        <w:rPr>
          <w:rFonts w:ascii="Arial" w:hAnsi="Arial" w:cs="Arial"/>
          <w:i/>
          <w:iCs/>
        </w:rPr>
        <w:t>compilation</w:t>
      </w:r>
      <w:r w:rsidR="00A950F0" w:rsidRPr="008509C1">
        <w:rPr>
          <w:rFonts w:ascii="Arial" w:hAnsi="Arial" w:cs="Arial"/>
          <w:i/>
          <w:iCs/>
        </w:rPr>
        <w:t xml:space="preserve"> (</w:t>
      </w:r>
      <w:proofErr w:type="spellStart"/>
      <w:r w:rsidR="00A950F0" w:rsidRPr="008509C1">
        <w:rPr>
          <w:rFonts w:ascii="Arial" w:hAnsi="Arial" w:cs="Arial"/>
          <w:i/>
          <w:iCs/>
        </w:rPr>
        <w:t>Tangkhul</w:t>
      </w:r>
      <w:proofErr w:type="spellEnd"/>
      <w:r w:rsidR="00A950F0" w:rsidRPr="008509C1">
        <w:rPr>
          <w:rFonts w:ascii="Arial" w:hAnsi="Arial" w:cs="Arial"/>
          <w:i/>
          <w:iCs/>
        </w:rPr>
        <w:t>)</w:t>
      </w:r>
      <w:r w:rsidRPr="008509C1">
        <w:rPr>
          <w:rFonts w:ascii="Arial" w:hAnsi="Arial" w:cs="Arial"/>
          <w:i/>
          <w:iCs/>
        </w:rPr>
        <w:t>; Michael (2022)</w:t>
      </w:r>
      <w:r w:rsidR="00A950F0" w:rsidRPr="008509C1">
        <w:rPr>
          <w:rFonts w:ascii="Arial" w:hAnsi="Arial" w:cs="Arial"/>
          <w:i/>
          <w:iCs/>
        </w:rPr>
        <w:t xml:space="preserve"> (</w:t>
      </w:r>
      <w:proofErr w:type="spellStart"/>
      <w:r w:rsidR="00A950F0" w:rsidRPr="008509C1">
        <w:rPr>
          <w:rFonts w:ascii="Arial" w:hAnsi="Arial" w:cs="Arial"/>
          <w:i/>
          <w:iCs/>
        </w:rPr>
        <w:t>Karbi</w:t>
      </w:r>
      <w:proofErr w:type="spellEnd"/>
      <w:r w:rsidR="00A950F0" w:rsidRPr="008509C1">
        <w:rPr>
          <w:rFonts w:ascii="Arial" w:hAnsi="Arial" w:cs="Arial"/>
          <w:i/>
          <w:iCs/>
        </w:rPr>
        <w:t>)</w:t>
      </w:r>
      <w:r w:rsidRPr="009547D6">
        <w:rPr>
          <w:rFonts w:ascii="Arial" w:hAnsi="Arial" w:cs="Arial"/>
        </w:rPr>
        <w:t>)</w:t>
      </w:r>
    </w:p>
    <w:p w14:paraId="030553E4" w14:textId="6F429B01" w:rsidR="00477771" w:rsidRPr="009547D6" w:rsidRDefault="00477771" w:rsidP="00477771">
      <w:pPr>
        <w:spacing w:before="240" w:after="120"/>
        <w:jc w:val="both"/>
        <w:rPr>
          <w:rFonts w:ascii="Arial" w:hAnsi="Arial" w:cs="Arial"/>
        </w:rPr>
      </w:pPr>
      <w:r w:rsidRPr="009547D6">
        <w:rPr>
          <w:rFonts w:ascii="Arial" w:hAnsi="Arial" w:cs="Arial"/>
        </w:rPr>
        <w:t>Shifting agriculture represents a complex relationship between ecology, society and economy (</w:t>
      </w:r>
      <w:proofErr w:type="spellStart"/>
      <w:r w:rsidRPr="009547D6">
        <w:rPr>
          <w:rFonts w:ascii="Arial" w:hAnsi="Arial" w:cs="Arial"/>
        </w:rPr>
        <w:t>Kerkhoff</w:t>
      </w:r>
      <w:proofErr w:type="spellEnd"/>
      <w:r w:rsidR="005649DE" w:rsidRPr="009547D6">
        <w:rPr>
          <w:rFonts w:ascii="Arial" w:hAnsi="Arial" w:cs="Arial"/>
        </w:rPr>
        <w:t xml:space="preserve"> &amp; Sharma</w:t>
      </w:r>
      <w:r w:rsidRPr="009547D6">
        <w:rPr>
          <w:rFonts w:ascii="Arial" w:hAnsi="Arial" w:cs="Arial"/>
        </w:rPr>
        <w:t xml:space="preserve">, 2006). The hill people of Northeast India are agriculturist whose life begins and ends with cultivating the soil. </w:t>
      </w:r>
      <w:proofErr w:type="spellStart"/>
      <w:r w:rsidRPr="009547D6">
        <w:rPr>
          <w:rFonts w:ascii="Arial" w:hAnsi="Arial" w:cs="Arial"/>
        </w:rPr>
        <w:t>Bhuyan</w:t>
      </w:r>
      <w:proofErr w:type="spellEnd"/>
      <w:r w:rsidRPr="009547D6">
        <w:rPr>
          <w:rFonts w:ascii="Arial" w:hAnsi="Arial" w:cs="Arial"/>
        </w:rPr>
        <w:t xml:space="preserve"> (2019) in his study for shifting cultivation in Northeast India, stated that shifting agriculture areas which are surrounded by forest and nature provides two sources of livelihoods to the communities practicing this farming system; if the jhum crops fail due to external vulnerabilities like landslides, and fire, the surrounding forest resources support the cultivators by providing them with additional their food supplies. For the people of Northeast India, the economy of jhum revolves around self</w:t>
      </w:r>
      <w:r w:rsidR="00B806EA" w:rsidRPr="009547D6">
        <w:rPr>
          <w:rFonts w:ascii="Arial" w:hAnsi="Arial" w:cs="Arial"/>
        </w:rPr>
        <w:t>-</w:t>
      </w:r>
      <w:r w:rsidRPr="009547D6">
        <w:rPr>
          <w:rFonts w:ascii="Arial" w:hAnsi="Arial" w:cs="Arial"/>
        </w:rPr>
        <w:t>sufficiency (</w:t>
      </w:r>
      <w:proofErr w:type="spellStart"/>
      <w:r w:rsidRPr="009547D6">
        <w:rPr>
          <w:rFonts w:ascii="Arial" w:hAnsi="Arial" w:cs="Arial"/>
        </w:rPr>
        <w:t>Changsan</w:t>
      </w:r>
      <w:proofErr w:type="spellEnd"/>
      <w:r w:rsidRPr="009547D6">
        <w:rPr>
          <w:rFonts w:ascii="Arial" w:hAnsi="Arial" w:cs="Arial"/>
        </w:rPr>
        <w:t>, 2020).</w:t>
      </w:r>
    </w:p>
    <w:p w14:paraId="14FC644F" w14:textId="5684326B" w:rsidR="00B62EEA" w:rsidRPr="009547D6" w:rsidRDefault="00600917" w:rsidP="00DF4F3B">
      <w:pPr>
        <w:pStyle w:val="AbstHead"/>
        <w:spacing w:before="240" w:after="0"/>
        <w:jc w:val="both"/>
        <w:rPr>
          <w:rFonts w:ascii="Arial" w:hAnsi="Arial" w:cs="Arial"/>
        </w:rPr>
      </w:pPr>
      <w:r>
        <w:rPr>
          <w:rFonts w:ascii="Arial" w:hAnsi="Arial" w:cs="Arial"/>
        </w:rPr>
        <w:t>4</w:t>
      </w:r>
      <w:r w:rsidR="00B62EEA" w:rsidRPr="009547D6">
        <w:rPr>
          <w:rFonts w:ascii="Arial" w:hAnsi="Arial" w:cs="Arial"/>
        </w:rPr>
        <w:t xml:space="preserve">. </w:t>
      </w:r>
      <w:r w:rsidR="00B62EEA" w:rsidRPr="009547D6">
        <w:rPr>
          <w:rFonts w:ascii="Arial" w:hAnsi="Arial" w:cs="Arial"/>
          <w:szCs w:val="22"/>
        </w:rPr>
        <w:t>ECOLOGICAL FUNCTIONS AND LIVELIHOOD CONTRIBUTIONS OF SHIFTING AGRICULTURE</w:t>
      </w:r>
    </w:p>
    <w:p w14:paraId="4A53CF72" w14:textId="38078B5E" w:rsidR="008D14E2" w:rsidRPr="009547D6" w:rsidRDefault="00F10E69" w:rsidP="00F10E69">
      <w:pPr>
        <w:spacing w:before="240" w:after="240"/>
        <w:jc w:val="both"/>
        <w:rPr>
          <w:rFonts w:ascii="Arial" w:hAnsi="Arial" w:cs="Arial"/>
        </w:rPr>
      </w:pPr>
      <w:r w:rsidRPr="009547D6">
        <w:rPr>
          <w:rFonts w:ascii="Arial" w:hAnsi="Arial" w:cs="Arial"/>
          <w:lang w:eastAsia="en-IN"/>
        </w:rPr>
        <w:t xml:space="preserve">The indigenous groups living in the mountainous Northeastern region of India have been able to manage the landscape relatively sustainable for multiple generations through changes in crop composition, methods, and policies </w:t>
      </w:r>
      <w:r w:rsidRPr="009547D6">
        <w:rPr>
          <w:rFonts w:ascii="Arial" w:hAnsi="Arial" w:cs="Arial"/>
        </w:rPr>
        <w:t>(</w:t>
      </w:r>
      <w:proofErr w:type="spellStart"/>
      <w:r w:rsidRPr="009547D6">
        <w:rPr>
          <w:rFonts w:ascii="Arial" w:hAnsi="Arial" w:cs="Arial"/>
        </w:rPr>
        <w:t>Shimrah</w:t>
      </w:r>
      <w:proofErr w:type="spellEnd"/>
      <w:r w:rsidRPr="009547D6">
        <w:rPr>
          <w:rFonts w:ascii="Arial" w:hAnsi="Arial" w:cs="Arial"/>
        </w:rPr>
        <w:t>, 2017). This farming method clearly illustrates the relationship between genetic diversity conservation, food security, and farmers’ livelihood (</w:t>
      </w:r>
      <w:proofErr w:type="spellStart"/>
      <w:r w:rsidRPr="009547D6">
        <w:rPr>
          <w:rFonts w:ascii="Arial" w:hAnsi="Arial" w:cs="Arial"/>
        </w:rPr>
        <w:t>Bhuyan</w:t>
      </w:r>
      <w:proofErr w:type="spellEnd"/>
      <w:r w:rsidRPr="009547D6">
        <w:rPr>
          <w:rFonts w:ascii="Arial" w:hAnsi="Arial" w:cs="Arial"/>
        </w:rPr>
        <w:t xml:space="preserve">, 2019; Datta-Roy &amp; </w:t>
      </w:r>
      <w:proofErr w:type="spellStart"/>
      <w:r w:rsidRPr="009547D6">
        <w:rPr>
          <w:rFonts w:ascii="Arial" w:hAnsi="Arial" w:cs="Arial"/>
        </w:rPr>
        <w:t>Teegalapalli</w:t>
      </w:r>
      <w:proofErr w:type="spellEnd"/>
      <w:r w:rsidRPr="009547D6">
        <w:rPr>
          <w:rFonts w:ascii="Arial" w:hAnsi="Arial" w:cs="Arial"/>
        </w:rPr>
        <w:t xml:space="preserve">, 2022). </w:t>
      </w:r>
      <w:r w:rsidR="008D14E2" w:rsidRPr="009547D6">
        <w:rPr>
          <w:rFonts w:ascii="Arial" w:hAnsi="Arial" w:cs="Arial"/>
        </w:rPr>
        <w:t>These interlinked dimensions make jhum a classic example of a social-ecological system.</w:t>
      </w:r>
    </w:p>
    <w:p w14:paraId="185E62E6" w14:textId="7FE33421" w:rsidR="00F10E69" w:rsidRPr="009547D6" w:rsidRDefault="00F10E69" w:rsidP="00F10E69">
      <w:pPr>
        <w:spacing w:before="240" w:after="240"/>
        <w:jc w:val="both"/>
        <w:rPr>
          <w:rFonts w:ascii="Arial" w:hAnsi="Arial" w:cs="Arial"/>
          <w:lang w:eastAsia="en-IN"/>
        </w:rPr>
      </w:pPr>
      <w:r w:rsidRPr="009547D6">
        <w:rPr>
          <w:rFonts w:ascii="Arial" w:hAnsi="Arial" w:cs="Arial"/>
        </w:rPr>
        <w:t xml:space="preserve">Three to eighteen different crops can be grown in a jhum field at any given time, these crops include a variety of vegetable crops with variable maturities, certain traditional cash crops, and grains including maize, millet and rice; the </w:t>
      </w:r>
      <w:r w:rsidRPr="009547D6">
        <w:rPr>
          <w:rFonts w:ascii="Arial" w:hAnsi="Arial" w:cs="Arial"/>
          <w:lang w:eastAsia="en-IN"/>
        </w:rPr>
        <w:t xml:space="preserve">percentage of crops might differ significantly between fields, villages, and farmers </w:t>
      </w:r>
      <w:r w:rsidRPr="009547D6">
        <w:rPr>
          <w:rFonts w:ascii="Arial" w:hAnsi="Arial" w:cs="Arial"/>
        </w:rPr>
        <w:t>(</w:t>
      </w:r>
      <w:proofErr w:type="spellStart"/>
      <w:r w:rsidRPr="009547D6">
        <w:rPr>
          <w:rFonts w:ascii="Arial" w:hAnsi="Arial" w:cs="Arial"/>
        </w:rPr>
        <w:t>Shimrah</w:t>
      </w:r>
      <w:proofErr w:type="spellEnd"/>
      <w:r w:rsidRPr="009547D6">
        <w:rPr>
          <w:rFonts w:ascii="Arial" w:hAnsi="Arial" w:cs="Arial"/>
        </w:rPr>
        <w:t xml:space="preserve">, 2017; </w:t>
      </w:r>
      <w:proofErr w:type="spellStart"/>
      <w:r w:rsidRPr="009547D6">
        <w:rPr>
          <w:rFonts w:ascii="Arial" w:hAnsi="Arial" w:cs="Arial"/>
        </w:rPr>
        <w:t>Sarma</w:t>
      </w:r>
      <w:proofErr w:type="spellEnd"/>
      <w:r w:rsidRPr="009547D6">
        <w:rPr>
          <w:rFonts w:ascii="Arial" w:hAnsi="Arial" w:cs="Arial"/>
        </w:rPr>
        <w:t>, 2022).</w:t>
      </w:r>
      <w:r w:rsidRPr="009547D6">
        <w:rPr>
          <w:rFonts w:ascii="Arial" w:eastAsia="Graphik-Regular" w:hAnsi="Arial" w:cs="Arial"/>
        </w:rPr>
        <w:t xml:space="preserve"> This allows the farmer to harvest various crops for subsistence, sequentially, at varying intervals. (Dikshit </w:t>
      </w:r>
      <w:r w:rsidR="003F41A6" w:rsidRPr="009547D6">
        <w:rPr>
          <w:rFonts w:ascii="Arial" w:eastAsia="Graphik-Regular" w:hAnsi="Arial" w:cs="Arial"/>
        </w:rPr>
        <w:t>&amp;</w:t>
      </w:r>
      <w:r w:rsidRPr="009547D6">
        <w:rPr>
          <w:rFonts w:ascii="Arial" w:eastAsia="Graphik-Regular" w:hAnsi="Arial" w:cs="Arial"/>
        </w:rPr>
        <w:t xml:space="preserve"> Dikshit, 2014).</w:t>
      </w:r>
      <w:r w:rsidRPr="009547D6">
        <w:rPr>
          <w:rFonts w:ascii="Arial" w:hAnsi="Arial" w:cs="Arial"/>
        </w:rPr>
        <w:t xml:space="preserve"> Rich </w:t>
      </w:r>
      <w:proofErr w:type="spellStart"/>
      <w:r w:rsidRPr="009547D6">
        <w:rPr>
          <w:rFonts w:ascii="Arial" w:hAnsi="Arial" w:cs="Arial"/>
        </w:rPr>
        <w:t>agro</w:t>
      </w:r>
      <w:proofErr w:type="spellEnd"/>
      <w:r w:rsidRPr="009547D6">
        <w:rPr>
          <w:rFonts w:ascii="Arial" w:hAnsi="Arial" w:cs="Arial"/>
        </w:rPr>
        <w:t xml:space="preserve"> biodiversity has been </w:t>
      </w:r>
      <w:r w:rsidR="00AC05D5" w:rsidRPr="009547D6">
        <w:rPr>
          <w:rFonts w:ascii="Arial" w:hAnsi="Arial" w:cs="Arial"/>
        </w:rPr>
        <w:t xml:space="preserve">documented </w:t>
      </w:r>
      <w:r w:rsidR="00C0630F" w:rsidRPr="009547D6">
        <w:rPr>
          <w:rFonts w:ascii="Arial" w:hAnsi="Arial" w:cs="Arial"/>
        </w:rPr>
        <w:t>by the National Bureau of Plant Genetic Research (NBPGR)</w:t>
      </w:r>
      <w:r w:rsidRPr="009547D6">
        <w:rPr>
          <w:rFonts w:ascii="Arial" w:hAnsi="Arial" w:cs="Arial"/>
        </w:rPr>
        <w:t xml:space="preserve"> </w:t>
      </w:r>
      <w:r w:rsidR="00C0630F" w:rsidRPr="009547D6">
        <w:rPr>
          <w:rFonts w:ascii="Arial" w:hAnsi="Arial" w:cs="Arial"/>
        </w:rPr>
        <w:t xml:space="preserve">where the </w:t>
      </w:r>
      <w:r w:rsidRPr="009547D6">
        <w:rPr>
          <w:rFonts w:ascii="Arial" w:hAnsi="Arial" w:cs="Arial"/>
        </w:rPr>
        <w:t xml:space="preserve">study </w:t>
      </w:r>
      <w:r w:rsidR="00C0630F" w:rsidRPr="009547D6">
        <w:rPr>
          <w:rFonts w:ascii="Arial" w:hAnsi="Arial" w:cs="Arial"/>
        </w:rPr>
        <w:t xml:space="preserve">was </w:t>
      </w:r>
      <w:r w:rsidRPr="009547D6">
        <w:rPr>
          <w:rFonts w:ascii="Arial" w:hAnsi="Arial" w:cs="Arial"/>
        </w:rPr>
        <w:t xml:space="preserve">conducted in shifting agricultural areas in Northeast India which </w:t>
      </w:r>
      <w:r w:rsidR="00AC05D5" w:rsidRPr="009547D6">
        <w:rPr>
          <w:rFonts w:ascii="Arial" w:hAnsi="Arial" w:cs="Arial"/>
        </w:rPr>
        <w:t>recorded</w:t>
      </w:r>
      <w:r w:rsidRPr="009547D6">
        <w:rPr>
          <w:rFonts w:ascii="Arial" w:hAnsi="Arial" w:cs="Arial"/>
        </w:rPr>
        <w:t xml:space="preserve"> 674 varieties of maize, 298 varieties of upland rice, 200 varieties of grain legumes, 37 varieties of eggplant, 60 varieties of ginger, 250 varieties of taro, and 242 varieties of yam (</w:t>
      </w:r>
      <w:proofErr w:type="spellStart"/>
      <w:r w:rsidRPr="009547D6">
        <w:rPr>
          <w:rFonts w:ascii="Arial" w:hAnsi="Arial" w:cs="Arial"/>
        </w:rPr>
        <w:t>Pradheep</w:t>
      </w:r>
      <w:proofErr w:type="spellEnd"/>
      <w:r w:rsidRPr="009547D6">
        <w:rPr>
          <w:rFonts w:ascii="Arial" w:hAnsi="Arial" w:cs="Arial"/>
        </w:rPr>
        <w:t xml:space="preserve"> et al., 2017</w:t>
      </w:r>
      <w:r w:rsidR="00AC05D5" w:rsidRPr="009547D6">
        <w:rPr>
          <w:rFonts w:ascii="Arial" w:hAnsi="Arial" w:cs="Arial"/>
        </w:rPr>
        <w:t xml:space="preserve">; </w:t>
      </w:r>
      <w:proofErr w:type="spellStart"/>
      <w:r w:rsidR="008B7953" w:rsidRPr="009547D6">
        <w:rPr>
          <w:rFonts w:ascii="Arial" w:hAnsi="Arial" w:cs="Arial"/>
        </w:rPr>
        <w:t>Edake</w:t>
      </w:r>
      <w:proofErr w:type="spellEnd"/>
      <w:r w:rsidR="008B7953" w:rsidRPr="009547D6">
        <w:rPr>
          <w:rFonts w:ascii="Arial" w:hAnsi="Arial" w:cs="Arial"/>
        </w:rPr>
        <w:t xml:space="preserve"> et al., 2022</w:t>
      </w:r>
      <w:r w:rsidRPr="009547D6">
        <w:rPr>
          <w:rFonts w:ascii="Arial" w:hAnsi="Arial" w:cs="Arial"/>
        </w:rPr>
        <w:t xml:space="preserve">). It would be feasible to achieve high productivity with high crop diversity by keeping the system's overall organic biomass content high (Hazarika, 2017). Shifting agriculture has helped preserve native crops and traditional cultivars, many of which plays a significant role in supporting food and nutrition security, especially in the face of climate change </w:t>
      </w:r>
      <w:r w:rsidRPr="009547D6">
        <w:rPr>
          <w:rFonts w:ascii="Arial" w:hAnsi="Arial" w:cs="Arial"/>
          <w:lang w:eastAsia="en-IN"/>
        </w:rPr>
        <w:t>(Paul et al., 2022).</w:t>
      </w:r>
    </w:p>
    <w:p w14:paraId="7804C28E" w14:textId="5BE3B197" w:rsidR="00F10E69" w:rsidRPr="009547D6" w:rsidRDefault="00F10E69" w:rsidP="00F10E69">
      <w:pPr>
        <w:spacing w:before="240" w:after="240"/>
        <w:jc w:val="both"/>
        <w:rPr>
          <w:rFonts w:ascii="Arial" w:hAnsi="Arial" w:cs="Arial"/>
          <w:lang w:eastAsia="en-IN"/>
        </w:rPr>
      </w:pPr>
      <w:r w:rsidRPr="009547D6">
        <w:rPr>
          <w:rFonts w:ascii="Arial" w:hAnsi="Arial" w:cs="Arial"/>
          <w:lang w:eastAsia="en-IN"/>
        </w:rPr>
        <w:t xml:space="preserve">Several studies </w:t>
      </w:r>
      <w:r w:rsidR="003630E8" w:rsidRPr="009547D6">
        <w:rPr>
          <w:rFonts w:ascii="Arial" w:hAnsi="Arial" w:cs="Arial"/>
          <w:lang w:eastAsia="en-IN"/>
        </w:rPr>
        <w:t xml:space="preserve">from Northeast India </w:t>
      </w:r>
      <w:r w:rsidRPr="009547D6">
        <w:rPr>
          <w:rFonts w:ascii="Arial" w:hAnsi="Arial" w:cs="Arial"/>
          <w:lang w:eastAsia="en-IN"/>
        </w:rPr>
        <w:t xml:space="preserve">have documented notable ecosystem recovery in tree species following shifting cultivation, with recovery rates ranging from 35 to 62 percent (Mukul et al., 2016; Thong et al., 2020; </w:t>
      </w:r>
      <w:proofErr w:type="spellStart"/>
      <w:r w:rsidRPr="009547D6">
        <w:rPr>
          <w:rFonts w:ascii="Arial" w:hAnsi="Arial" w:cs="Arial"/>
          <w:lang w:eastAsia="en-IN"/>
        </w:rPr>
        <w:t>Gogoi</w:t>
      </w:r>
      <w:proofErr w:type="spellEnd"/>
      <w:r w:rsidRPr="009547D6">
        <w:rPr>
          <w:rFonts w:ascii="Arial" w:hAnsi="Arial" w:cs="Arial"/>
          <w:lang w:eastAsia="en-IN"/>
        </w:rPr>
        <w:t xml:space="preserve"> et al., 2020). </w:t>
      </w:r>
      <w:r w:rsidR="00BC54DF" w:rsidRPr="009547D6">
        <w:rPr>
          <w:rFonts w:ascii="Arial" w:hAnsi="Arial" w:cs="Arial"/>
          <w:lang w:eastAsia="en-IN"/>
        </w:rPr>
        <w:t xml:space="preserve">Recovery rates differ across sites because regeneration is shaped by both management and landscape context. Cross-study comparisons suggest that faster recovery is generally associated with longer fallow duration, lower disturbance frequency, and proximity to intact forest patches that maintain seed sources and disperser activity. In contrast, slower recovery is commonly linked to shortened fallows, repeated burning, higher cropping intensity, steeper slopes and erosion-prone soils, and increasing market-driven land-use pressure that reduces the time available for secondary forest succession. These interacting factors explain why similar jhum systems can show divergent recovery outcomes across Northeast India, reinforcing the need for site-specific assessments rather than uniform sustainability assumptions (van Vliet et al., 2012; Dressler et al., 2016). </w:t>
      </w:r>
      <w:r w:rsidRPr="009547D6">
        <w:rPr>
          <w:rFonts w:ascii="Arial" w:hAnsi="Arial" w:cs="Arial"/>
          <w:lang w:eastAsia="en-IN"/>
        </w:rPr>
        <w:t xml:space="preserve">Figure 2 illustrates the trend of vegetation recovery beginning after the first year of fallow. The successional process is often driven by fast-growing species that exhibit higher rates of accumulation and regeneration compared to those observed in other abandoned agroforestry systems or human-modified landscapes (Ferguson et al., 2001). In </w:t>
      </w:r>
      <w:r w:rsidRPr="009547D6">
        <w:rPr>
          <w:rFonts w:ascii="Arial" w:hAnsi="Arial" w:cs="Arial"/>
          <w:lang w:eastAsia="en-IN"/>
        </w:rPr>
        <w:lastRenderedPageBreak/>
        <w:t>tropical regions, the diversity of woody species tends to increase progressively with the length of the fallow period (Thong et al., 2016). Understanding patterns of species recovery, particularly among woody vegetation not only contributes to the development of effective restoration strategies for shifting cultivation landscapes, but also plays a crucial role in supporting carbon-based payment schemes for ecosystem services, such as reducing emissions from deforestation and forest degradation (Thong et al., 2020).</w:t>
      </w:r>
    </w:p>
    <w:p w14:paraId="69A8B9D8" w14:textId="77777777" w:rsidR="00F10E69" w:rsidRPr="009547D6" w:rsidRDefault="00F10E69" w:rsidP="00F10E69">
      <w:pPr>
        <w:pStyle w:val="BodyText"/>
        <w:spacing w:before="240" w:after="240"/>
        <w:jc w:val="center"/>
        <w:rPr>
          <w:rFonts w:ascii="Arial" w:hAnsi="Arial" w:cs="Arial"/>
          <w:b/>
          <w:bCs/>
          <w:spacing w:val="1"/>
        </w:rPr>
      </w:pPr>
      <w:r w:rsidRPr="009547D6">
        <w:rPr>
          <w:rFonts w:ascii="Arial" w:hAnsi="Arial" w:cs="Arial"/>
          <w:b/>
          <w:bCs/>
          <w:noProof/>
          <w:spacing w:val="1"/>
        </w:rPr>
        <w:drawing>
          <wp:inline distT="0" distB="0" distL="0" distR="0" wp14:anchorId="1C05EDB4" wp14:editId="2A7CD84D">
            <wp:extent cx="4813007" cy="2700866"/>
            <wp:effectExtent l="0" t="0" r="0" b="0"/>
            <wp:docPr id="929018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2066" cy="2705949"/>
                    </a:xfrm>
                    <a:prstGeom prst="rect">
                      <a:avLst/>
                    </a:prstGeom>
                    <a:noFill/>
                    <a:ln>
                      <a:noFill/>
                    </a:ln>
                  </pic:spPr>
                </pic:pic>
              </a:graphicData>
            </a:graphic>
          </wp:inline>
        </w:drawing>
      </w:r>
    </w:p>
    <w:p w14:paraId="08EE81D8" w14:textId="0F37C362" w:rsidR="00F10E69" w:rsidRPr="009547D6" w:rsidRDefault="00F10E69" w:rsidP="00F10E69">
      <w:pPr>
        <w:pStyle w:val="BodyText"/>
        <w:spacing w:after="240"/>
        <w:jc w:val="center"/>
        <w:rPr>
          <w:rFonts w:ascii="Arial" w:hAnsi="Arial" w:cs="Arial"/>
          <w:spacing w:val="1"/>
        </w:rPr>
      </w:pPr>
      <w:r w:rsidRPr="009547D6">
        <w:rPr>
          <w:rFonts w:ascii="Arial" w:hAnsi="Arial" w:cs="Arial"/>
          <w:b/>
          <w:bCs/>
          <w:spacing w:val="1"/>
        </w:rPr>
        <w:t>Fig</w:t>
      </w:r>
      <w:r w:rsidR="00EE2DF9" w:rsidRPr="009547D6">
        <w:rPr>
          <w:rFonts w:ascii="Arial" w:hAnsi="Arial" w:cs="Arial"/>
          <w:b/>
          <w:bCs/>
          <w:spacing w:val="1"/>
        </w:rPr>
        <w:t xml:space="preserve">. </w:t>
      </w:r>
      <w:r w:rsidRPr="009547D6">
        <w:rPr>
          <w:rFonts w:ascii="Arial" w:hAnsi="Arial" w:cs="Arial"/>
          <w:b/>
          <w:bCs/>
          <w:spacing w:val="1"/>
        </w:rPr>
        <w:t>2</w:t>
      </w:r>
      <w:r w:rsidR="00EE2DF9" w:rsidRPr="009547D6">
        <w:rPr>
          <w:rFonts w:ascii="Arial" w:hAnsi="Arial" w:cs="Arial"/>
          <w:b/>
          <w:bCs/>
          <w:spacing w:val="1"/>
        </w:rPr>
        <w:t>.</w:t>
      </w:r>
      <w:r w:rsidRPr="009547D6">
        <w:rPr>
          <w:rFonts w:ascii="Arial" w:hAnsi="Arial" w:cs="Arial"/>
          <w:spacing w:val="1"/>
        </w:rPr>
        <w:t xml:space="preserve"> A one-year-old fallow site following shifting agriculture in </w:t>
      </w:r>
      <w:proofErr w:type="spellStart"/>
      <w:r w:rsidRPr="009547D6">
        <w:rPr>
          <w:rFonts w:ascii="Arial" w:hAnsi="Arial" w:cs="Arial"/>
          <w:spacing w:val="1"/>
        </w:rPr>
        <w:t>Kamjong</w:t>
      </w:r>
      <w:proofErr w:type="spellEnd"/>
      <w:r w:rsidRPr="009547D6">
        <w:rPr>
          <w:rFonts w:ascii="Arial" w:hAnsi="Arial" w:cs="Arial"/>
          <w:spacing w:val="1"/>
        </w:rPr>
        <w:t xml:space="preserve"> District, Manipur</w:t>
      </w:r>
      <w:r w:rsidR="00EB4899">
        <w:rPr>
          <w:rFonts w:ascii="Arial" w:hAnsi="Arial" w:cs="Arial"/>
          <w:spacing w:val="1"/>
        </w:rPr>
        <w:t xml:space="preserve"> (</w:t>
      </w:r>
      <w:r w:rsidR="00EB4899" w:rsidRPr="00EB4899">
        <w:rPr>
          <w:rFonts w:ascii="Arial" w:hAnsi="Arial" w:cs="Arial"/>
          <w:i/>
          <w:iCs/>
          <w:spacing w:val="1"/>
        </w:rPr>
        <w:t>Source: Author’s photograph, January 2023</w:t>
      </w:r>
      <w:r w:rsidR="00EB4899">
        <w:rPr>
          <w:rFonts w:ascii="Arial" w:hAnsi="Arial" w:cs="Arial"/>
          <w:spacing w:val="1"/>
        </w:rPr>
        <w:t>)</w:t>
      </w:r>
    </w:p>
    <w:p w14:paraId="40F7DDF0" w14:textId="080F2637" w:rsidR="00F10E69" w:rsidRPr="009547D6" w:rsidRDefault="00F10E69" w:rsidP="00F10E69">
      <w:pPr>
        <w:spacing w:before="240" w:after="240"/>
        <w:jc w:val="both"/>
        <w:rPr>
          <w:rFonts w:ascii="Arial" w:hAnsi="Arial" w:cs="Arial"/>
          <w:lang w:eastAsia="en-IN"/>
        </w:rPr>
      </w:pPr>
      <w:r w:rsidRPr="009547D6">
        <w:rPr>
          <w:rFonts w:ascii="Arial" w:hAnsi="Arial" w:cs="Arial"/>
          <w:lang w:eastAsia="en-IN"/>
        </w:rPr>
        <w:t xml:space="preserve">Borah et al. (2022) found that during the summer season, bird species richness in secondary forests regenerating on fallowed land was comparable to that of old-growth forests, while in winter, secondary forests exhibited even greater richness. </w:t>
      </w:r>
      <w:r w:rsidR="003630E8" w:rsidRPr="009547D6">
        <w:rPr>
          <w:rFonts w:ascii="Arial" w:hAnsi="Arial" w:cs="Arial"/>
          <w:lang w:eastAsia="en-IN"/>
        </w:rPr>
        <w:t>Some studies suggest that younger secondary forests can exhibit higher rates of carbon accumulation than mature forest due to rapid biomass growth</w:t>
      </w:r>
      <w:r w:rsidRPr="009547D6">
        <w:rPr>
          <w:rFonts w:ascii="Arial" w:hAnsi="Arial" w:cs="Arial"/>
          <w:lang w:eastAsia="en-IN"/>
        </w:rPr>
        <w:t xml:space="preserve"> (Mishra, 2022). According to Pandey et al. (2020), shifting cultivation represents far more than an alternative agricultural method; it embodies a form of landscape management rooted in generations of indigenous knowledge and cultural practice. For many communities, it continues to provide a sustainable pathway to food security and livelihood.</w:t>
      </w:r>
    </w:p>
    <w:p w14:paraId="1DCF4C12" w14:textId="0F1A0F7F" w:rsidR="00AA74E0" w:rsidRPr="009547D6" w:rsidRDefault="00600917" w:rsidP="00441B6F">
      <w:pPr>
        <w:pStyle w:val="Body"/>
        <w:spacing w:after="0"/>
        <w:rPr>
          <w:rFonts w:ascii="Arial" w:hAnsi="Arial" w:cs="Arial"/>
          <w:b/>
          <w:bCs/>
          <w:sz w:val="22"/>
          <w:szCs w:val="22"/>
        </w:rPr>
      </w:pPr>
      <w:r>
        <w:rPr>
          <w:rFonts w:ascii="Arial" w:hAnsi="Arial" w:cs="Arial"/>
          <w:b/>
          <w:bCs/>
          <w:sz w:val="22"/>
          <w:szCs w:val="22"/>
        </w:rPr>
        <w:t>5</w:t>
      </w:r>
      <w:r w:rsidR="00045DCC" w:rsidRPr="009547D6">
        <w:rPr>
          <w:rFonts w:ascii="Arial" w:hAnsi="Arial" w:cs="Arial"/>
          <w:b/>
          <w:bCs/>
          <w:sz w:val="22"/>
          <w:szCs w:val="22"/>
        </w:rPr>
        <w:t>.</w:t>
      </w:r>
      <w:r w:rsidR="00045DCC" w:rsidRPr="009547D6">
        <w:rPr>
          <w:rFonts w:ascii="Arial" w:hAnsi="Arial" w:cs="Arial"/>
        </w:rPr>
        <w:t xml:space="preserve"> </w:t>
      </w:r>
      <w:r w:rsidR="00045DCC" w:rsidRPr="009547D6">
        <w:rPr>
          <w:rFonts w:ascii="Arial" w:hAnsi="Arial" w:cs="Arial"/>
          <w:b/>
          <w:bCs/>
          <w:sz w:val="22"/>
          <w:szCs w:val="22"/>
        </w:rPr>
        <w:t>RECENT TRANSITIONS AND EMERGING CHALLENGES IN SHIFTING AGRICULTURE</w:t>
      </w:r>
    </w:p>
    <w:p w14:paraId="2CD9CB40" w14:textId="7BFE868E" w:rsidR="00E30AD9" w:rsidRPr="009547D6" w:rsidRDefault="00E30AD9" w:rsidP="00E30AD9">
      <w:pPr>
        <w:spacing w:before="240"/>
        <w:jc w:val="both"/>
        <w:rPr>
          <w:rFonts w:ascii="Arial" w:hAnsi="Arial" w:cs="Arial"/>
          <w:lang w:val="en-IN"/>
        </w:rPr>
      </w:pPr>
      <w:r w:rsidRPr="009547D6">
        <w:rPr>
          <w:rFonts w:ascii="Arial" w:hAnsi="Arial" w:cs="Arial"/>
          <w:lang w:val="en-IN"/>
        </w:rPr>
        <w:t xml:space="preserve">Shifting agriculture in Northeast India is undergoing rapid transformation under demographic, economic, and policy pressures. Population growth and declining land availability have shortened fallow cycles and encouraged shifts toward more sedentary farming systems. </w:t>
      </w:r>
      <w:r w:rsidR="00B31DDB" w:rsidRPr="009547D6">
        <w:rPr>
          <w:rFonts w:ascii="Arial" w:hAnsi="Arial" w:cs="Arial"/>
          <w:lang w:val="en-IN"/>
        </w:rPr>
        <w:t xml:space="preserve">These ecological impacts are increasingly pushing communities towards more sedentary farming systems (Jagannath et al, 2025). </w:t>
      </w:r>
      <w:r w:rsidRPr="009547D6">
        <w:rPr>
          <w:rFonts w:ascii="Arial" w:hAnsi="Arial" w:cs="Arial"/>
          <w:lang w:val="en-IN"/>
        </w:rPr>
        <w:t>As a result, traditional jhum landscapes are increasingly fragmented, with consequences for biodiversity and ecosystem recovery (</w:t>
      </w:r>
      <w:proofErr w:type="spellStart"/>
      <w:r w:rsidRPr="009547D6">
        <w:rPr>
          <w:rFonts w:ascii="Arial" w:hAnsi="Arial" w:cs="Arial"/>
          <w:lang w:val="en-IN"/>
        </w:rPr>
        <w:t>Sarma</w:t>
      </w:r>
      <w:proofErr w:type="spellEnd"/>
      <w:r w:rsidRPr="009547D6">
        <w:rPr>
          <w:rFonts w:ascii="Arial" w:hAnsi="Arial" w:cs="Arial"/>
          <w:lang w:val="en-IN"/>
        </w:rPr>
        <w:t xml:space="preserve">, 2022). </w:t>
      </w:r>
      <w:r w:rsidR="000D2CBA" w:rsidRPr="009547D6">
        <w:rPr>
          <w:rFonts w:ascii="Arial" w:hAnsi="Arial" w:cs="Arial"/>
          <w:lang w:val="en-IN"/>
        </w:rPr>
        <w:t>Studies also document diversification of land use as household responds to both subsistence needs and market opportunities.</w:t>
      </w:r>
      <w:r w:rsidRPr="009547D6">
        <w:rPr>
          <w:rFonts w:ascii="Arial" w:hAnsi="Arial" w:cs="Arial"/>
          <w:lang w:val="en-IN"/>
        </w:rPr>
        <w:t xml:space="preserve"> Cash crops such as turmeric, chilli, and ginger are now cultivated alongside traditional staples, while fruit cultivation in homesteads (papaya, pineapple, mango, litchi) has become common (Panda et al., 2017). These </w:t>
      </w:r>
      <w:r w:rsidRPr="009547D6">
        <w:rPr>
          <w:rFonts w:ascii="Arial" w:hAnsi="Arial" w:cs="Arial"/>
          <w:lang w:val="en-IN"/>
        </w:rPr>
        <w:lastRenderedPageBreak/>
        <w:t>changes have improved household incomes in some cases but also increased vulnerability to market fluctuations.</w:t>
      </w:r>
      <w:r w:rsidR="00D80297" w:rsidRPr="009547D6">
        <w:rPr>
          <w:rFonts w:ascii="Arial" w:hAnsi="Arial" w:cs="Arial"/>
          <w:lang w:val="en-IN"/>
        </w:rPr>
        <w:t xml:space="preserve"> This creates a trade-off between income diversification and subsistence food security.</w:t>
      </w:r>
    </w:p>
    <w:p w14:paraId="3A571BB6" w14:textId="2EF17D75" w:rsidR="00E30AD9" w:rsidRPr="009547D6" w:rsidRDefault="00E30AD9" w:rsidP="00E30AD9">
      <w:pPr>
        <w:spacing w:before="240"/>
        <w:jc w:val="both"/>
        <w:rPr>
          <w:rFonts w:ascii="Arial" w:hAnsi="Arial" w:cs="Arial"/>
          <w:lang w:val="en-IN"/>
        </w:rPr>
      </w:pPr>
      <w:r w:rsidRPr="009547D6">
        <w:rPr>
          <w:rFonts w:ascii="Arial" w:hAnsi="Arial" w:cs="Arial"/>
          <w:lang w:val="en-IN"/>
        </w:rPr>
        <w:t xml:space="preserve">Agroforestry practices are being promoted as alternatives to jhum. </w:t>
      </w:r>
      <w:r w:rsidR="000D2CBA" w:rsidRPr="009547D6">
        <w:rPr>
          <w:rFonts w:ascii="Arial" w:hAnsi="Arial" w:cs="Arial"/>
          <w:lang w:val="en-IN"/>
        </w:rPr>
        <w:t>It has also been reported that b</w:t>
      </w:r>
      <w:r w:rsidRPr="009547D6">
        <w:rPr>
          <w:rFonts w:ascii="Arial" w:hAnsi="Arial" w:cs="Arial"/>
          <w:lang w:val="en-IN"/>
        </w:rPr>
        <w:t>y integrating trees with crops and livestock, these systems enhance soil conservation, diversify production, and improve resilience to climate change (Mathur &amp; Bhattacharya, 2022</w:t>
      </w:r>
      <w:r w:rsidR="000D7FCF" w:rsidRPr="009547D6">
        <w:rPr>
          <w:rFonts w:ascii="Arial" w:hAnsi="Arial" w:cs="Arial"/>
          <w:lang w:val="en-IN"/>
        </w:rPr>
        <w:t>; Hazarika et al., 2024</w:t>
      </w:r>
      <w:r w:rsidRPr="009547D6">
        <w:rPr>
          <w:rFonts w:ascii="Arial" w:hAnsi="Arial" w:cs="Arial"/>
          <w:lang w:val="en-IN"/>
        </w:rPr>
        <w:t xml:space="preserve">). However, adoption remains uneven, often constrained by tenure arrangements and resource access. Climate </w:t>
      </w:r>
      <w:r w:rsidR="000D2CBA" w:rsidRPr="009547D6">
        <w:rPr>
          <w:rFonts w:ascii="Arial" w:hAnsi="Arial" w:cs="Arial"/>
          <w:lang w:val="en-IN"/>
        </w:rPr>
        <w:t>change is also emerging as a major driver, with changing rainfall patterns and temperature</w:t>
      </w:r>
      <w:r w:rsidRPr="009547D6">
        <w:rPr>
          <w:rFonts w:ascii="Arial" w:hAnsi="Arial" w:cs="Arial"/>
          <w:lang w:val="en-IN"/>
        </w:rPr>
        <w:t xml:space="preserve"> affect</w:t>
      </w:r>
      <w:r w:rsidR="000D2CBA" w:rsidRPr="009547D6">
        <w:rPr>
          <w:rFonts w:ascii="Arial" w:hAnsi="Arial" w:cs="Arial"/>
          <w:lang w:val="en-IN"/>
        </w:rPr>
        <w:t>ing</w:t>
      </w:r>
      <w:r w:rsidRPr="009547D6">
        <w:rPr>
          <w:rFonts w:ascii="Arial" w:hAnsi="Arial" w:cs="Arial"/>
          <w:lang w:val="en-IN"/>
        </w:rPr>
        <w:t xml:space="preserve"> crop performance</w:t>
      </w:r>
      <w:r w:rsidR="008C11F0" w:rsidRPr="009547D6">
        <w:rPr>
          <w:rFonts w:ascii="Arial" w:hAnsi="Arial" w:cs="Arial"/>
          <w:lang w:val="en-IN"/>
        </w:rPr>
        <w:t xml:space="preserve"> (Hazarika et al.,2024</w:t>
      </w:r>
      <w:r w:rsidR="00D9109E" w:rsidRPr="009547D6">
        <w:rPr>
          <w:rFonts w:ascii="Arial" w:hAnsi="Arial" w:cs="Arial"/>
          <w:lang w:val="en-IN"/>
        </w:rPr>
        <w:t xml:space="preserve">; </w:t>
      </w:r>
      <w:proofErr w:type="spellStart"/>
      <w:r w:rsidR="00D9109E" w:rsidRPr="009547D6">
        <w:rPr>
          <w:rFonts w:ascii="Arial" w:hAnsi="Arial" w:cs="Arial"/>
          <w:shd w:val="clear" w:color="auto" w:fill="FFFFFF"/>
        </w:rPr>
        <w:t>Schröder</w:t>
      </w:r>
      <w:proofErr w:type="spellEnd"/>
      <w:r w:rsidR="00D9109E" w:rsidRPr="009547D6">
        <w:rPr>
          <w:rFonts w:ascii="Arial" w:hAnsi="Arial" w:cs="Arial"/>
          <w:shd w:val="clear" w:color="auto" w:fill="FFFFFF"/>
        </w:rPr>
        <w:t xml:space="preserve"> et al., 2024</w:t>
      </w:r>
      <w:r w:rsidR="008C11F0" w:rsidRPr="009547D6">
        <w:rPr>
          <w:rFonts w:ascii="Arial" w:hAnsi="Arial" w:cs="Arial"/>
          <w:lang w:val="en-IN"/>
        </w:rPr>
        <w:t>)</w:t>
      </w:r>
      <w:r w:rsidRPr="009547D6">
        <w:rPr>
          <w:rFonts w:ascii="Arial" w:hAnsi="Arial" w:cs="Arial"/>
          <w:lang w:val="en-IN"/>
        </w:rPr>
        <w:t>. Community elders in Nagaland identified millets as a climate-resilient crop, underscoring their role in food, livelihood, and ecological security (Trivedi, 2022). Reviving such traditional staples could strengthen adaptation strategies in jhum-based communities.</w:t>
      </w:r>
    </w:p>
    <w:p w14:paraId="3ACED734" w14:textId="35BFF9F4" w:rsidR="00E30AD9" w:rsidRPr="009547D6" w:rsidRDefault="00E30AD9" w:rsidP="00E30AD9">
      <w:pPr>
        <w:spacing w:before="240"/>
        <w:jc w:val="both"/>
        <w:rPr>
          <w:rFonts w:ascii="Arial" w:hAnsi="Arial" w:cs="Arial"/>
          <w:lang w:val="en-IN"/>
        </w:rPr>
      </w:pPr>
      <w:r w:rsidRPr="009547D6">
        <w:rPr>
          <w:rFonts w:ascii="Arial" w:hAnsi="Arial" w:cs="Arial"/>
          <w:lang w:val="en-IN"/>
        </w:rPr>
        <w:t>Governments and NGOs have introduced multiple interventions, subsidies, development projects, and technologies, to increase land productivity and reduce reliance on shifting cultivation (</w:t>
      </w:r>
      <w:proofErr w:type="spellStart"/>
      <w:r w:rsidRPr="009547D6">
        <w:rPr>
          <w:rFonts w:ascii="Arial" w:hAnsi="Arial" w:cs="Arial"/>
          <w:lang w:val="en-IN"/>
        </w:rPr>
        <w:t>Bhuyan</w:t>
      </w:r>
      <w:proofErr w:type="spellEnd"/>
      <w:r w:rsidRPr="009547D6">
        <w:rPr>
          <w:rFonts w:ascii="Arial" w:hAnsi="Arial" w:cs="Arial"/>
          <w:lang w:val="en-IN"/>
        </w:rPr>
        <w:t>, 2019). But there is still little data on the long-term ecological and socioeconomic effects of these initiatives</w:t>
      </w:r>
      <w:r w:rsidR="00D80297" w:rsidRPr="009547D6">
        <w:rPr>
          <w:rFonts w:ascii="Arial" w:hAnsi="Arial" w:cs="Arial"/>
          <w:lang w:val="en-IN"/>
        </w:rPr>
        <w:t>, such a soil trajectories and livelihood stability</w:t>
      </w:r>
      <w:r w:rsidRPr="009547D6">
        <w:rPr>
          <w:rFonts w:ascii="Arial" w:hAnsi="Arial" w:cs="Arial"/>
          <w:lang w:val="en-IN"/>
        </w:rPr>
        <w:t xml:space="preserve">. </w:t>
      </w:r>
      <w:r w:rsidR="004317CB" w:rsidRPr="009547D6">
        <w:rPr>
          <w:rFonts w:ascii="Arial" w:hAnsi="Arial" w:cs="Arial"/>
          <w:lang w:val="en-IN"/>
        </w:rPr>
        <w:t>These documented transitions</w:t>
      </w:r>
      <w:r w:rsidR="000D2CBA" w:rsidRPr="009547D6">
        <w:rPr>
          <w:rFonts w:ascii="Arial" w:hAnsi="Arial" w:cs="Arial"/>
          <w:lang w:val="en-IN"/>
        </w:rPr>
        <w:t xml:space="preserve"> suggest that</w:t>
      </w:r>
      <w:r w:rsidRPr="009547D6">
        <w:rPr>
          <w:rFonts w:ascii="Arial" w:hAnsi="Arial" w:cs="Arial"/>
          <w:lang w:val="en-IN"/>
        </w:rPr>
        <w:t>, Northeast India's shifting agriculture is changing from a primarily subsistence, community-regulated system to one that is more driven by markets and policies. While these changes create opportunities for income diversification and ecological restoration through agroforestry, they also raise concerns about shortened fallows, biodiversity loss, and livelihood vulnerability. Continued monitoring and research are essential to assess how these transformations affect sustainability and to design interventions that balance ecological resilience with rural development.</w:t>
      </w:r>
      <w:r w:rsidR="00F50F61" w:rsidRPr="009547D6">
        <w:rPr>
          <w:rFonts w:ascii="Arial" w:hAnsi="Arial" w:cs="Arial"/>
          <w:lang w:val="en-IN"/>
        </w:rPr>
        <w:t xml:space="preserve"> These interacting </w:t>
      </w:r>
      <w:r w:rsidR="003E0928" w:rsidRPr="009547D6">
        <w:rPr>
          <w:rFonts w:ascii="Arial" w:hAnsi="Arial" w:cs="Arial"/>
          <w:lang w:val="en-IN"/>
        </w:rPr>
        <w:t>pressures suggest</w:t>
      </w:r>
      <w:r w:rsidR="00F50F61" w:rsidRPr="009547D6">
        <w:rPr>
          <w:rFonts w:ascii="Arial" w:hAnsi="Arial" w:cs="Arial"/>
          <w:lang w:val="en-IN"/>
        </w:rPr>
        <w:t xml:space="preserve"> that jhum is neither inherently unsustainable nor fully resilient; its future depends on governance, tenure security, and ecological safeguards.</w:t>
      </w:r>
    </w:p>
    <w:p w14:paraId="2C22C7AC" w14:textId="661DCCEE" w:rsidR="00E30AD9" w:rsidRPr="009547D6" w:rsidRDefault="003C4B6A" w:rsidP="00E30AD9">
      <w:pPr>
        <w:spacing w:before="240"/>
        <w:jc w:val="both"/>
        <w:rPr>
          <w:rFonts w:ascii="Arial" w:hAnsi="Arial" w:cs="Arial"/>
          <w:b/>
          <w:sz w:val="22"/>
          <w:szCs w:val="22"/>
        </w:rPr>
      </w:pPr>
      <w:r>
        <w:rPr>
          <w:rFonts w:ascii="Arial" w:hAnsi="Arial" w:cs="Arial"/>
          <w:b/>
          <w:sz w:val="22"/>
          <w:szCs w:val="22"/>
        </w:rPr>
        <w:t>6</w:t>
      </w:r>
      <w:r w:rsidR="006334BD" w:rsidRPr="009547D6">
        <w:rPr>
          <w:rFonts w:ascii="Arial" w:hAnsi="Arial" w:cs="Arial"/>
          <w:b/>
          <w:sz w:val="22"/>
          <w:szCs w:val="22"/>
        </w:rPr>
        <w:t>. CONCLUSION</w:t>
      </w:r>
    </w:p>
    <w:p w14:paraId="37A68918" w14:textId="76A873D0" w:rsidR="00BC7FDA" w:rsidRPr="009547D6" w:rsidRDefault="00E30AD9" w:rsidP="00E30AD9">
      <w:pPr>
        <w:spacing w:before="240"/>
        <w:jc w:val="both"/>
        <w:rPr>
          <w:rFonts w:ascii="Arial" w:hAnsi="Arial" w:cs="Arial"/>
          <w:lang w:val="en-IN"/>
        </w:rPr>
      </w:pPr>
      <w:r w:rsidRPr="009547D6">
        <w:rPr>
          <w:rFonts w:ascii="Arial" w:hAnsi="Arial" w:cs="Arial"/>
          <w:lang w:val="en-IN"/>
        </w:rPr>
        <w:t xml:space="preserve">Shifting </w:t>
      </w:r>
      <w:r w:rsidR="001C5018" w:rsidRPr="009547D6">
        <w:rPr>
          <w:rFonts w:ascii="Arial" w:hAnsi="Arial" w:cs="Arial"/>
          <w:lang w:val="en-IN"/>
        </w:rPr>
        <w:t>agriculture</w:t>
      </w:r>
      <w:r w:rsidRPr="009547D6">
        <w:rPr>
          <w:rFonts w:ascii="Arial" w:hAnsi="Arial" w:cs="Arial"/>
          <w:lang w:val="en-IN"/>
        </w:rPr>
        <w:t xml:space="preserve"> continues to shape both livelihoods and landscapes in Northeast India. Despite its frequent portrayal in policy as </w:t>
      </w:r>
      <w:r w:rsidR="006558E2">
        <w:rPr>
          <w:rFonts w:ascii="Arial" w:hAnsi="Arial" w:cs="Arial"/>
          <w:lang w:val="en-IN"/>
        </w:rPr>
        <w:t>harmful</w:t>
      </w:r>
      <w:r w:rsidRPr="009547D6">
        <w:rPr>
          <w:rFonts w:ascii="Arial" w:hAnsi="Arial" w:cs="Arial"/>
          <w:lang w:val="en-IN"/>
        </w:rPr>
        <w:t xml:space="preserve"> or backward, the practice has shown that it can regenerate forests, maintain </w:t>
      </w:r>
      <w:proofErr w:type="spellStart"/>
      <w:r w:rsidRPr="009547D6">
        <w:rPr>
          <w:rFonts w:ascii="Arial" w:hAnsi="Arial" w:cs="Arial"/>
          <w:lang w:val="en-IN"/>
        </w:rPr>
        <w:t>agro</w:t>
      </w:r>
      <w:proofErr w:type="spellEnd"/>
      <w:r w:rsidRPr="009547D6">
        <w:rPr>
          <w:rFonts w:ascii="Arial" w:hAnsi="Arial" w:cs="Arial"/>
          <w:lang w:val="en-IN"/>
        </w:rPr>
        <w:t xml:space="preserve">-biodiversity, and sustain rural households when fallow cycles are adequate. The communities still depend on jhum not only for food, but also for the knowledge and cultural identity attached to the practice. The system is, however, under </w:t>
      </w:r>
      <w:r w:rsidR="00D928BB" w:rsidRPr="009547D6">
        <w:rPr>
          <w:rFonts w:ascii="Arial" w:hAnsi="Arial" w:cs="Arial"/>
          <w:lang w:val="en-IN"/>
        </w:rPr>
        <w:t xml:space="preserve">growing </w:t>
      </w:r>
      <w:r w:rsidRPr="009547D6">
        <w:rPr>
          <w:rFonts w:ascii="Arial" w:hAnsi="Arial" w:cs="Arial"/>
          <w:lang w:val="en-IN"/>
        </w:rPr>
        <w:t>pressure</w:t>
      </w:r>
      <w:r w:rsidR="001C5018" w:rsidRPr="009547D6">
        <w:rPr>
          <w:rFonts w:ascii="Arial" w:hAnsi="Arial" w:cs="Arial"/>
          <w:lang w:val="en-IN"/>
        </w:rPr>
        <w:t xml:space="preserve">; </w:t>
      </w:r>
      <w:r w:rsidRPr="009547D6">
        <w:rPr>
          <w:rFonts w:ascii="Arial" w:hAnsi="Arial" w:cs="Arial"/>
          <w:lang w:val="en-IN"/>
        </w:rPr>
        <w:t>shorter fallows, market demand for cash crops, and changing rainfall patterns have altered how jhum is practiced and what it produces. Recognising jhum as a</w:t>
      </w:r>
      <w:r w:rsidR="003E0928" w:rsidRPr="009547D6">
        <w:rPr>
          <w:rFonts w:ascii="Arial" w:hAnsi="Arial" w:cs="Arial"/>
          <w:lang w:val="en-IN"/>
        </w:rPr>
        <w:t xml:space="preserve"> dynamic social-ecological system, rather than a relic of the past, is essential for evidence-based policy. </w:t>
      </w:r>
    </w:p>
    <w:p w14:paraId="3BA0C9A0" w14:textId="1B88703F" w:rsidR="00BC7FDA" w:rsidRPr="00A80674" w:rsidRDefault="00BC7FDA" w:rsidP="00E30AD9">
      <w:pPr>
        <w:spacing w:before="240"/>
        <w:jc w:val="both"/>
        <w:rPr>
          <w:rFonts w:ascii="Arial" w:hAnsi="Arial" w:cs="Arial"/>
          <w:b/>
          <w:lang w:val="en-IN"/>
        </w:rPr>
      </w:pPr>
      <w:r w:rsidRPr="00A80674">
        <w:rPr>
          <w:rFonts w:ascii="Arial" w:hAnsi="Arial" w:cs="Arial"/>
          <w:b/>
          <w:lang w:val="en-IN"/>
        </w:rPr>
        <w:t>Policy and recommendation:</w:t>
      </w:r>
    </w:p>
    <w:p w14:paraId="19095017" w14:textId="42CE7430" w:rsidR="00BC7FDA" w:rsidRPr="009547D6" w:rsidRDefault="00BC7FDA" w:rsidP="00BC7FDA">
      <w:pPr>
        <w:pStyle w:val="ListParagraph"/>
        <w:numPr>
          <w:ilvl w:val="0"/>
          <w:numId w:val="31"/>
        </w:numPr>
        <w:spacing w:before="240"/>
        <w:jc w:val="both"/>
        <w:rPr>
          <w:rFonts w:ascii="Arial" w:hAnsi="Arial" w:cs="Arial"/>
          <w:lang w:val="en-IN"/>
        </w:rPr>
      </w:pPr>
      <w:r w:rsidRPr="009547D6">
        <w:rPr>
          <w:rFonts w:ascii="Arial" w:hAnsi="Arial" w:cs="Arial"/>
          <w:lang w:val="en-IN"/>
        </w:rPr>
        <w:t>Land use planning should protect enough recovery time and reduce disturbance in heavily used areas.</w:t>
      </w:r>
    </w:p>
    <w:p w14:paraId="54BBFF9D" w14:textId="59E8E3C8" w:rsidR="00BC7FDA" w:rsidRPr="009547D6" w:rsidRDefault="00BC7FDA" w:rsidP="00BC7FDA">
      <w:pPr>
        <w:pStyle w:val="ListParagraph"/>
        <w:numPr>
          <w:ilvl w:val="0"/>
          <w:numId w:val="31"/>
        </w:numPr>
        <w:spacing w:before="240"/>
        <w:jc w:val="both"/>
        <w:rPr>
          <w:rFonts w:ascii="Arial" w:hAnsi="Arial" w:cs="Arial"/>
          <w:lang w:val="en-IN"/>
        </w:rPr>
      </w:pPr>
      <w:r w:rsidRPr="009547D6">
        <w:rPr>
          <w:rFonts w:ascii="Arial" w:hAnsi="Arial" w:cs="Arial"/>
          <w:lang w:val="en-IN"/>
        </w:rPr>
        <w:t>Strengthen tenure security and local institutions so communities can manage jhum cycle sustainably.</w:t>
      </w:r>
    </w:p>
    <w:p w14:paraId="2DD1A47F" w14:textId="65C83DF2" w:rsidR="00BC7FDA" w:rsidRPr="009547D6" w:rsidRDefault="00BC7FDA" w:rsidP="00BC7FDA">
      <w:pPr>
        <w:pStyle w:val="ListParagraph"/>
        <w:numPr>
          <w:ilvl w:val="0"/>
          <w:numId w:val="31"/>
        </w:numPr>
        <w:spacing w:before="240"/>
        <w:jc w:val="both"/>
        <w:rPr>
          <w:rFonts w:ascii="Arial" w:hAnsi="Arial" w:cs="Arial"/>
          <w:lang w:val="en-IN"/>
        </w:rPr>
      </w:pPr>
      <w:r w:rsidRPr="009547D6">
        <w:rPr>
          <w:rFonts w:ascii="Arial" w:hAnsi="Arial" w:cs="Arial"/>
          <w:lang w:val="en-IN"/>
        </w:rPr>
        <w:t>Encourage agroforestry and improve fallow practices where communities can realistically adopt them.</w:t>
      </w:r>
    </w:p>
    <w:p w14:paraId="2A05BA11" w14:textId="403B6BC1" w:rsidR="00BC7FDA" w:rsidRPr="009547D6" w:rsidRDefault="00BC7FDA" w:rsidP="00BC7FDA">
      <w:pPr>
        <w:pStyle w:val="ListParagraph"/>
        <w:numPr>
          <w:ilvl w:val="0"/>
          <w:numId w:val="31"/>
        </w:numPr>
        <w:spacing w:before="240"/>
        <w:jc w:val="both"/>
        <w:rPr>
          <w:rFonts w:ascii="Arial" w:hAnsi="Arial" w:cs="Arial"/>
          <w:lang w:val="en-IN"/>
        </w:rPr>
      </w:pPr>
      <w:r w:rsidRPr="009547D6">
        <w:rPr>
          <w:rFonts w:ascii="Arial" w:hAnsi="Arial" w:cs="Arial"/>
        </w:rPr>
        <w:t>Assess the long-term ecological and livelihood outcomes of government/NGO programs before scaling up.</w:t>
      </w:r>
      <w:r w:rsidRPr="009547D6">
        <w:rPr>
          <w:rFonts w:ascii="Arial" w:hAnsi="Arial" w:cs="Arial"/>
          <w:lang w:val="en-IN"/>
        </w:rPr>
        <w:t xml:space="preserve"> </w:t>
      </w:r>
    </w:p>
    <w:p w14:paraId="4D52ECE5" w14:textId="305B3FAC" w:rsidR="00E30AD9" w:rsidRPr="009547D6" w:rsidRDefault="00E30AD9" w:rsidP="00E30AD9">
      <w:pPr>
        <w:spacing w:before="240"/>
        <w:jc w:val="both"/>
        <w:rPr>
          <w:rFonts w:ascii="Arial" w:hAnsi="Arial" w:cs="Arial"/>
          <w:lang w:val="en-IN"/>
        </w:rPr>
      </w:pPr>
      <w:r w:rsidRPr="009547D6">
        <w:rPr>
          <w:rFonts w:ascii="Arial" w:hAnsi="Arial" w:cs="Arial"/>
          <w:lang w:val="en-IN"/>
        </w:rPr>
        <w:lastRenderedPageBreak/>
        <w:t>Policies that strengthen local management, value traditional knowledge, and support ecological recovery will be key to making shifting cultivation part of a sustainable future in the region.</w:t>
      </w:r>
      <w:r w:rsidR="003E0928" w:rsidRPr="009547D6">
        <w:rPr>
          <w:rFonts w:ascii="Arial" w:hAnsi="Arial" w:cs="Arial"/>
          <w:lang w:val="en-IN"/>
        </w:rPr>
        <w:t xml:space="preserve"> Future research should integrate long-term ecological monitoring with participatory governance to design locally grounded land-use </w:t>
      </w:r>
      <w:r w:rsidR="0032021F" w:rsidRPr="009547D6">
        <w:rPr>
          <w:rFonts w:ascii="Arial" w:hAnsi="Arial" w:cs="Arial"/>
          <w:lang w:val="en-IN"/>
        </w:rPr>
        <w:t>transitions</w:t>
      </w:r>
      <w:r w:rsidR="003E0928" w:rsidRPr="009547D6">
        <w:rPr>
          <w:rFonts w:ascii="Arial" w:hAnsi="Arial" w:cs="Arial"/>
          <w:lang w:val="en-IN"/>
        </w:rPr>
        <w:t>.</w:t>
      </w:r>
    </w:p>
    <w:p w14:paraId="07688AAD" w14:textId="77777777" w:rsidR="000E0E3E" w:rsidRPr="009547D6" w:rsidRDefault="000E0E3E" w:rsidP="00E30AD9">
      <w:pPr>
        <w:spacing w:before="240"/>
        <w:jc w:val="both"/>
        <w:rPr>
          <w:rFonts w:ascii="Arial" w:hAnsi="Arial" w:cs="Arial"/>
          <w:lang w:val="en-IN"/>
        </w:rPr>
      </w:pPr>
    </w:p>
    <w:p w14:paraId="6689B9A8" w14:textId="77777777" w:rsidR="00FB5652" w:rsidRPr="00A80674" w:rsidRDefault="00FB5652" w:rsidP="00FB5652">
      <w:pPr>
        <w:pStyle w:val="NoSpacing"/>
        <w:rPr>
          <w:rFonts w:ascii="Arial" w:hAnsi="Arial" w:cs="Arial"/>
          <w:b/>
        </w:rPr>
      </w:pPr>
      <w:bookmarkStart w:id="0" w:name="_Hlk198031404"/>
      <w:r w:rsidRPr="00A80674">
        <w:rPr>
          <w:rFonts w:ascii="Arial" w:hAnsi="Arial" w:cs="Arial"/>
          <w:b/>
        </w:rPr>
        <w:t>Disclaimer (Artificial intelligence)</w:t>
      </w:r>
    </w:p>
    <w:p w14:paraId="4CA44D2E" w14:textId="77777777" w:rsidR="00FB5652" w:rsidRPr="009547D6" w:rsidRDefault="00FB5652" w:rsidP="00FB5652">
      <w:pPr>
        <w:pStyle w:val="NoSpacing"/>
        <w:rPr>
          <w:rFonts w:ascii="Arial" w:hAnsi="Arial" w:cs="Arial"/>
        </w:rPr>
      </w:pPr>
      <w:bookmarkStart w:id="1" w:name="_GoBack"/>
      <w:bookmarkEnd w:id="1"/>
    </w:p>
    <w:p w14:paraId="5631ADCF" w14:textId="2E106873" w:rsidR="00FB5652" w:rsidRPr="009547D6" w:rsidRDefault="00FB5652" w:rsidP="009C1423">
      <w:pPr>
        <w:pStyle w:val="NoSpacing"/>
        <w:jc w:val="both"/>
        <w:rPr>
          <w:rFonts w:ascii="Arial" w:hAnsi="Arial" w:cs="Arial"/>
        </w:rPr>
      </w:pPr>
      <w:r w:rsidRPr="009547D6">
        <w:rPr>
          <w:rFonts w:ascii="Arial" w:hAnsi="Arial" w:cs="Arial"/>
        </w:rPr>
        <w:t>Autho</w:t>
      </w:r>
      <w:r w:rsidR="009C1423">
        <w:rPr>
          <w:rFonts w:ascii="Arial" w:hAnsi="Arial" w:cs="Arial"/>
        </w:rPr>
        <w:t xml:space="preserve">rs </w:t>
      </w:r>
      <w:r w:rsidRPr="009547D6">
        <w:rPr>
          <w:rFonts w:ascii="Arial" w:hAnsi="Arial" w:cs="Arial"/>
        </w:rPr>
        <w:t xml:space="preserve">hereby declare that </w:t>
      </w:r>
      <w:r w:rsidR="009C1423">
        <w:rPr>
          <w:rFonts w:ascii="Arial" w:hAnsi="Arial" w:cs="Arial"/>
        </w:rPr>
        <w:t>no</w:t>
      </w:r>
      <w:r w:rsidRPr="009547D6">
        <w:rPr>
          <w:rFonts w:ascii="Arial" w:hAnsi="Arial" w:cs="Arial"/>
        </w:rPr>
        <w:t xml:space="preserve"> generative AI technologies such as Large Language Models (</w:t>
      </w:r>
      <w:proofErr w:type="spellStart"/>
      <w:r w:rsidRPr="009547D6">
        <w:rPr>
          <w:rFonts w:ascii="Arial" w:hAnsi="Arial" w:cs="Arial"/>
        </w:rPr>
        <w:t>ChatGPT</w:t>
      </w:r>
      <w:proofErr w:type="spellEnd"/>
      <w:r w:rsidRPr="009547D6">
        <w:rPr>
          <w:rFonts w:ascii="Arial" w:hAnsi="Arial" w:cs="Arial"/>
        </w:rPr>
        <w:t xml:space="preserve">, COPILOT, etc.) and text-to-image generators have been used during the writing or editing of this manuscript. </w:t>
      </w:r>
    </w:p>
    <w:bookmarkEnd w:id="0"/>
    <w:p w14:paraId="3D9FEE8B" w14:textId="7433C5D8" w:rsidR="00790ADA" w:rsidRPr="009547D6" w:rsidRDefault="00B01FCD" w:rsidP="00DE16F4">
      <w:pPr>
        <w:pStyle w:val="ReferHead"/>
        <w:spacing w:before="240" w:after="0"/>
        <w:jc w:val="both"/>
        <w:rPr>
          <w:rFonts w:ascii="Arial" w:hAnsi="Arial" w:cs="Arial"/>
        </w:rPr>
      </w:pPr>
      <w:r w:rsidRPr="009547D6">
        <w:rPr>
          <w:rFonts w:ascii="Arial" w:hAnsi="Arial" w:cs="Arial"/>
        </w:rPr>
        <w:t>Reference</w:t>
      </w:r>
    </w:p>
    <w:p w14:paraId="3991F2CA"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Bhuyan</w:t>
      </w:r>
      <w:proofErr w:type="spellEnd"/>
      <w:r w:rsidRPr="009547D6">
        <w:rPr>
          <w:rFonts w:ascii="Arial" w:hAnsi="Arial" w:cs="Arial"/>
          <w:shd w:val="clear" w:color="auto" w:fill="FFFFFF"/>
        </w:rPr>
        <w:t>, R. (2019). Review note on shifting cultivation in Northeast India amidst changing perceptions. Dhaulagiri Journal of Sociology and Anthropology, 13, 90-95. https://doi.org/10.3126/dsaj.v13i0.24252</w:t>
      </w:r>
    </w:p>
    <w:p w14:paraId="2F1C0567"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Borah, J. R., Gilroy, J. J., Evans, K. L., &amp; Edwards, D. P. (2022). The value of shifting cultivation for biodiversity in Northeast India. Diversity and Distributions, 28(9), 1979-1992. </w:t>
      </w:r>
      <w:hyperlink r:id="rId16" w:history="1">
        <w:r w:rsidRPr="009547D6">
          <w:rPr>
            <w:rStyle w:val="Hyperlink"/>
            <w:rFonts w:ascii="Arial" w:hAnsi="Arial" w:cs="Arial"/>
            <w:color w:val="auto"/>
            <w:u w:val="none"/>
            <w:shd w:val="clear" w:color="auto" w:fill="FFFFFF"/>
          </w:rPr>
          <w:t>https://doi.org/10.1111/ddi.13605</w:t>
        </w:r>
      </w:hyperlink>
    </w:p>
    <w:p w14:paraId="610807F9"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Brady, N. C. (1996). Alternatives to slash-and-burn: a global imperative. Agriculture, Ecosystems &amp; Environment, 58(1), 3-11. https://doi.org/10.1016/0167-8809(96)00650-0</w:t>
      </w:r>
    </w:p>
    <w:p w14:paraId="0C26C735"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Buragohain</w:t>
      </w:r>
      <w:proofErr w:type="spellEnd"/>
      <w:r w:rsidRPr="009547D6">
        <w:rPr>
          <w:rFonts w:ascii="Arial" w:hAnsi="Arial" w:cs="Arial"/>
          <w:shd w:val="clear" w:color="auto" w:fill="FFFFFF"/>
        </w:rPr>
        <w:t xml:space="preserve">, T. (2022). Crop diversification and economy of Jhum cultivation in Northeast India. In A. K. Shaw, Y. Natori, &amp; S. </w:t>
      </w: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(Eds.), A Tradition in Transition: Understanding the Role of Shifting Cultivation for Sustainable Development of Northeast India (pp. 78-105). New Delhi: TERI Press.</w:t>
      </w:r>
    </w:p>
    <w:p w14:paraId="46B4F75F" w14:textId="77777777" w:rsidR="003F41A6" w:rsidRPr="009547D6" w:rsidRDefault="003F41A6" w:rsidP="003F41A6">
      <w:pPr>
        <w:autoSpaceDE w:val="0"/>
        <w:autoSpaceDN w:val="0"/>
        <w:adjustRightInd w:val="0"/>
        <w:spacing w:before="240"/>
        <w:jc w:val="both"/>
        <w:rPr>
          <w:rFonts w:ascii="Arial" w:hAnsi="Arial" w:cs="Arial"/>
        </w:rPr>
      </w:pPr>
      <w:proofErr w:type="spellStart"/>
      <w:r w:rsidRPr="009547D6">
        <w:rPr>
          <w:rFonts w:ascii="Arial" w:hAnsi="Arial" w:cs="Arial"/>
          <w:shd w:val="clear" w:color="auto" w:fill="FFFFFF"/>
        </w:rPr>
        <w:t>Changsan</w:t>
      </w:r>
      <w:proofErr w:type="spellEnd"/>
      <w:r w:rsidRPr="009547D6">
        <w:rPr>
          <w:rFonts w:ascii="Arial" w:hAnsi="Arial" w:cs="Arial"/>
          <w:shd w:val="clear" w:color="auto" w:fill="FFFFFF"/>
        </w:rPr>
        <w:t>, I. (2020). </w:t>
      </w:r>
      <w:r w:rsidRPr="009547D6">
        <w:rPr>
          <w:rFonts w:ascii="Arial" w:hAnsi="Arial" w:cs="Arial"/>
          <w:bCs/>
          <w:shd w:val="clear" w:color="auto" w:fill="FFFFFF"/>
        </w:rPr>
        <w:t>Shifting cultivation in north-east India.</w:t>
      </w:r>
      <w:r w:rsidRPr="009547D6">
        <w:rPr>
          <w:rFonts w:ascii="Arial" w:hAnsi="Arial" w:cs="Arial"/>
          <w:shd w:val="clear" w:color="auto" w:fill="FFFFFF"/>
        </w:rPr>
        <w:t xml:space="preserve"> International Journal of Engineering Development and Research, 8(1), 385-387. </w:t>
      </w:r>
    </w:p>
    <w:p w14:paraId="2782DD6A"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Chaudhury, S. K., &amp; Sarkar, S. (2020).  Shifting Cultivation in North-Eastern India: A Comparative Analysis. Studies in Indian Place Names, 40(71), 2732-2740.</w:t>
      </w:r>
    </w:p>
    <w:p w14:paraId="6275068B"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Das, A., </w:t>
      </w:r>
      <w:proofErr w:type="spellStart"/>
      <w:r w:rsidRPr="009547D6">
        <w:rPr>
          <w:rFonts w:ascii="Arial" w:hAnsi="Arial" w:cs="Arial"/>
          <w:shd w:val="clear" w:color="auto" w:fill="FFFFFF"/>
        </w:rPr>
        <w:t>Layek</w:t>
      </w:r>
      <w:proofErr w:type="spellEnd"/>
      <w:r w:rsidRPr="009547D6">
        <w:rPr>
          <w:rFonts w:ascii="Arial" w:hAnsi="Arial" w:cs="Arial"/>
          <w:shd w:val="clear" w:color="auto" w:fill="FFFFFF"/>
        </w:rPr>
        <w:t xml:space="preserve">, J., Mohapatra, K. P., </w:t>
      </w:r>
      <w:proofErr w:type="spellStart"/>
      <w:r w:rsidRPr="009547D6">
        <w:rPr>
          <w:rFonts w:ascii="Arial" w:hAnsi="Arial" w:cs="Arial"/>
          <w:shd w:val="clear" w:color="auto" w:fill="FFFFFF"/>
        </w:rPr>
        <w:t>Babu</w:t>
      </w:r>
      <w:proofErr w:type="spellEnd"/>
      <w:r w:rsidRPr="009547D6">
        <w:rPr>
          <w:rFonts w:ascii="Arial" w:hAnsi="Arial" w:cs="Arial"/>
          <w:shd w:val="clear" w:color="auto" w:fill="FFFFFF"/>
        </w:rPr>
        <w:t xml:space="preserve">, S., Devi, M. T. T., Singh, G., &amp; Kumar, A. (2017). Shifting cultivation: some options for sustainable development in Meghalaya. In N. Prakash, S. S. Roy, M. A. Ansari, S. K. Sharma, P. </w:t>
      </w:r>
      <w:proofErr w:type="spellStart"/>
      <w:r w:rsidRPr="009547D6">
        <w:rPr>
          <w:rFonts w:ascii="Arial" w:hAnsi="Arial" w:cs="Arial"/>
          <w:shd w:val="clear" w:color="auto" w:fill="FFFFFF"/>
        </w:rPr>
        <w:t>Punitha</w:t>
      </w:r>
      <w:proofErr w:type="spellEnd"/>
      <w:r w:rsidRPr="009547D6">
        <w:rPr>
          <w:rFonts w:ascii="Arial" w:hAnsi="Arial" w:cs="Arial"/>
          <w:shd w:val="clear" w:color="auto" w:fill="FFFFFF"/>
        </w:rPr>
        <w:t xml:space="preserve">, B. </w:t>
      </w:r>
      <w:proofErr w:type="spellStart"/>
      <w:r w:rsidRPr="009547D6">
        <w:rPr>
          <w:rFonts w:ascii="Arial" w:hAnsi="Arial" w:cs="Arial"/>
          <w:shd w:val="clear" w:color="auto" w:fill="FFFFFF"/>
        </w:rPr>
        <w:t>Sailo</w:t>
      </w:r>
      <w:proofErr w:type="spellEnd"/>
      <w:r w:rsidRPr="009547D6">
        <w:rPr>
          <w:rFonts w:ascii="Arial" w:hAnsi="Arial" w:cs="Arial"/>
          <w:shd w:val="clear" w:color="auto" w:fill="FFFFFF"/>
        </w:rPr>
        <w:t xml:space="preserve">, &amp; I. M. Singh (Eds.), Jhum improvement for sustaining farm livelihood and natural resource conservation in North Eastern Hill Region: Vistas and frontiers (pp. 20-32). </w:t>
      </w:r>
      <w:proofErr w:type="spellStart"/>
      <w:r w:rsidRPr="009547D6">
        <w:rPr>
          <w:rFonts w:ascii="Arial" w:hAnsi="Arial" w:cs="Arial"/>
          <w:shd w:val="clear" w:color="auto" w:fill="FFFFFF"/>
        </w:rPr>
        <w:t>Umiam</w:t>
      </w:r>
      <w:proofErr w:type="spellEnd"/>
      <w:r w:rsidRPr="009547D6">
        <w:rPr>
          <w:rFonts w:ascii="Arial" w:hAnsi="Arial" w:cs="Arial"/>
          <w:shd w:val="clear" w:color="auto" w:fill="FFFFFF"/>
        </w:rPr>
        <w:t>, Meghalaya: ICAR Research Complex for NEH Region.</w:t>
      </w:r>
    </w:p>
    <w:p w14:paraId="3E88F6EF"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Das, S., &amp; Das, M. (2014). Shifting cultivation in Tripura–a critical analysis. Journal of Agriculture and Life Sciences. Vol, 1(1), 48-54.</w:t>
      </w:r>
    </w:p>
    <w:p w14:paraId="27761301"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Datta-Roy, A., &amp; </w:t>
      </w:r>
      <w:proofErr w:type="spellStart"/>
      <w:r w:rsidRPr="009547D6">
        <w:rPr>
          <w:rFonts w:ascii="Arial" w:hAnsi="Arial" w:cs="Arial"/>
          <w:shd w:val="clear" w:color="auto" w:fill="FFFFFF"/>
        </w:rPr>
        <w:t>Teegalapalli</w:t>
      </w:r>
      <w:proofErr w:type="spellEnd"/>
      <w:r w:rsidRPr="009547D6">
        <w:rPr>
          <w:rFonts w:ascii="Arial" w:hAnsi="Arial" w:cs="Arial"/>
          <w:shd w:val="clear" w:color="auto" w:fill="FFFFFF"/>
        </w:rPr>
        <w:t xml:space="preserve">, K. (2022). Resilience of a shifting cultivation farming community–A case study of </w:t>
      </w:r>
      <w:proofErr w:type="spellStart"/>
      <w:r w:rsidRPr="009547D6">
        <w:rPr>
          <w:rFonts w:ascii="Arial" w:hAnsi="Arial" w:cs="Arial"/>
          <w:shd w:val="clear" w:color="auto" w:fill="FFFFFF"/>
        </w:rPr>
        <w:t>Adis</w:t>
      </w:r>
      <w:proofErr w:type="spellEnd"/>
      <w:r w:rsidRPr="009547D6">
        <w:rPr>
          <w:rFonts w:ascii="Arial" w:hAnsi="Arial" w:cs="Arial"/>
          <w:shd w:val="clear" w:color="auto" w:fill="FFFFFF"/>
        </w:rPr>
        <w:t xml:space="preserve"> of Upper Siang, Arunachal Pradesh, India. A Tradition in Transition, 148-170.</w:t>
      </w:r>
    </w:p>
    <w:p w14:paraId="77C3E194"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Dikshit, K. R., &amp; Dikshit, J. K. (2014). North-east India: Land, people and economy. Dordrecht: Springer Netherlands.</w:t>
      </w:r>
    </w:p>
    <w:p w14:paraId="11A753F4" w14:textId="79EE3A5F" w:rsidR="00B3666E" w:rsidRPr="009547D6" w:rsidRDefault="00B3666E"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lastRenderedPageBreak/>
        <w:t xml:space="preserve">Dressler, W. H., Wilson, D., </w:t>
      </w:r>
      <w:proofErr w:type="spellStart"/>
      <w:r w:rsidRPr="009547D6">
        <w:rPr>
          <w:rFonts w:ascii="Arial" w:hAnsi="Arial" w:cs="Arial"/>
          <w:shd w:val="clear" w:color="auto" w:fill="FFFFFF"/>
        </w:rPr>
        <w:t>Clendenning</w:t>
      </w:r>
      <w:proofErr w:type="spellEnd"/>
      <w:r w:rsidRPr="009547D6">
        <w:rPr>
          <w:rFonts w:ascii="Arial" w:hAnsi="Arial" w:cs="Arial"/>
          <w:shd w:val="clear" w:color="auto" w:fill="FFFFFF"/>
        </w:rPr>
        <w:t xml:space="preserve">, J., </w:t>
      </w:r>
      <w:proofErr w:type="spellStart"/>
      <w:r w:rsidRPr="009547D6">
        <w:rPr>
          <w:rFonts w:ascii="Arial" w:hAnsi="Arial" w:cs="Arial"/>
          <w:shd w:val="clear" w:color="auto" w:fill="FFFFFF"/>
        </w:rPr>
        <w:t>Cramb</w:t>
      </w:r>
      <w:proofErr w:type="spellEnd"/>
      <w:r w:rsidRPr="009547D6">
        <w:rPr>
          <w:rFonts w:ascii="Arial" w:hAnsi="Arial" w:cs="Arial"/>
          <w:shd w:val="clear" w:color="auto" w:fill="FFFFFF"/>
        </w:rPr>
        <w:t xml:space="preserve">, R., Keenan, R., </w:t>
      </w:r>
      <w:proofErr w:type="spellStart"/>
      <w:r w:rsidRPr="009547D6">
        <w:rPr>
          <w:rFonts w:ascii="Arial" w:hAnsi="Arial" w:cs="Arial"/>
          <w:shd w:val="clear" w:color="auto" w:fill="FFFFFF"/>
        </w:rPr>
        <w:t>Mahanty</w:t>
      </w:r>
      <w:proofErr w:type="spellEnd"/>
      <w:r w:rsidRPr="009547D6">
        <w:rPr>
          <w:rFonts w:ascii="Arial" w:hAnsi="Arial" w:cs="Arial"/>
          <w:shd w:val="clear" w:color="auto" w:fill="FFFFFF"/>
        </w:rPr>
        <w:t xml:space="preserve">, S., </w:t>
      </w:r>
      <w:proofErr w:type="spellStart"/>
      <w:r w:rsidRPr="009547D6">
        <w:rPr>
          <w:rFonts w:ascii="Arial" w:hAnsi="Arial" w:cs="Arial"/>
          <w:shd w:val="clear" w:color="auto" w:fill="FFFFFF"/>
        </w:rPr>
        <w:t>Bruun</w:t>
      </w:r>
      <w:proofErr w:type="spellEnd"/>
      <w:r w:rsidRPr="009547D6">
        <w:rPr>
          <w:rFonts w:ascii="Arial" w:hAnsi="Arial" w:cs="Arial"/>
          <w:shd w:val="clear" w:color="auto" w:fill="FFFFFF"/>
        </w:rPr>
        <w:t xml:space="preserve">, T. B., Mertz, O., &amp; </w:t>
      </w:r>
      <w:proofErr w:type="spellStart"/>
      <w:r w:rsidRPr="009547D6">
        <w:rPr>
          <w:rFonts w:ascii="Arial" w:hAnsi="Arial" w:cs="Arial"/>
          <w:shd w:val="clear" w:color="auto" w:fill="FFFFFF"/>
        </w:rPr>
        <w:t>Lasco</w:t>
      </w:r>
      <w:proofErr w:type="spellEnd"/>
      <w:r w:rsidRPr="009547D6">
        <w:rPr>
          <w:rFonts w:ascii="Arial" w:hAnsi="Arial" w:cs="Arial"/>
          <w:shd w:val="clear" w:color="auto" w:fill="FFFFFF"/>
        </w:rPr>
        <w:t xml:space="preserve">, R. D. (2017). The impact of </w:t>
      </w:r>
      <w:proofErr w:type="spellStart"/>
      <w:r w:rsidRPr="009547D6">
        <w:rPr>
          <w:rFonts w:ascii="Arial" w:hAnsi="Arial" w:cs="Arial"/>
          <w:shd w:val="clear" w:color="auto" w:fill="FFFFFF"/>
        </w:rPr>
        <w:t>swidden</w:t>
      </w:r>
      <w:proofErr w:type="spellEnd"/>
      <w:r w:rsidRPr="009547D6">
        <w:rPr>
          <w:rFonts w:ascii="Arial" w:hAnsi="Arial" w:cs="Arial"/>
          <w:shd w:val="clear" w:color="auto" w:fill="FFFFFF"/>
        </w:rPr>
        <w:t xml:space="preserve"> decline on livelihoods and ecosystem services in Southeast Asia: A review of the evidence from 1990 to 2015. </w:t>
      </w:r>
      <w:proofErr w:type="spellStart"/>
      <w:r w:rsidRPr="009547D6">
        <w:rPr>
          <w:rFonts w:ascii="Arial" w:hAnsi="Arial" w:cs="Arial"/>
          <w:shd w:val="clear" w:color="auto" w:fill="FFFFFF"/>
        </w:rPr>
        <w:t>Ambio</w:t>
      </w:r>
      <w:proofErr w:type="spellEnd"/>
      <w:r w:rsidRPr="009547D6">
        <w:rPr>
          <w:rFonts w:ascii="Arial" w:hAnsi="Arial" w:cs="Arial"/>
          <w:shd w:val="clear" w:color="auto" w:fill="FFFFFF"/>
        </w:rPr>
        <w:t>, 46(3), 291-310. https://doi.org/10.1007/s13280-016-0836-z</w:t>
      </w:r>
    </w:p>
    <w:p w14:paraId="03E7E513" w14:textId="0E548AF1" w:rsidR="00903AAB" w:rsidRPr="009547D6" w:rsidRDefault="00903AAB"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S., Natori, Y., Shaw, A. K., Tiwari, B. K., Sahoo, U. K. &amp; Arunachalam, A. (2022). A synthesis of understanding the role of shifting cultivation for sustainable development in Northeast India. In A. K. Shaw, Y. Natori, &amp; S. </w:t>
      </w: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(Eds.), A Tradition in Transition: Understanding the Role of Shifting Cultivation for Sustainable Development of Northeast India (pp. 274-287). New Delhi: TERI Press.</w:t>
      </w:r>
    </w:p>
    <w:p w14:paraId="30B1F143" w14:textId="77777777" w:rsidR="003F41A6" w:rsidRPr="009547D6" w:rsidRDefault="003F41A6" w:rsidP="003F41A6">
      <w:pPr>
        <w:spacing w:before="240"/>
        <w:jc w:val="both"/>
        <w:rPr>
          <w:rFonts w:ascii="Arial" w:hAnsi="Arial" w:cs="Arial"/>
          <w:shd w:val="clear" w:color="auto" w:fill="FFFFFF"/>
        </w:rPr>
      </w:pPr>
      <w:proofErr w:type="spellStart"/>
      <w:r w:rsidRPr="009547D6">
        <w:rPr>
          <w:rFonts w:ascii="Arial" w:hAnsi="Arial" w:cs="Arial"/>
          <w:shd w:val="clear" w:color="auto" w:fill="FFFFFF"/>
        </w:rPr>
        <w:t>Fearnside</w:t>
      </w:r>
      <w:proofErr w:type="spellEnd"/>
      <w:r w:rsidRPr="009547D6">
        <w:rPr>
          <w:rFonts w:ascii="Arial" w:hAnsi="Arial" w:cs="Arial"/>
          <w:shd w:val="clear" w:color="auto" w:fill="FFFFFF"/>
        </w:rPr>
        <w:t>, P. M. (2000). Global warming and tropical land-</w:t>
      </w:r>
      <w:proofErr w:type="spellStart"/>
      <w:r w:rsidRPr="009547D6">
        <w:rPr>
          <w:rFonts w:ascii="Arial" w:hAnsi="Arial" w:cs="Arial"/>
          <w:shd w:val="clear" w:color="auto" w:fill="FFFFFF"/>
        </w:rPr>
        <w:t>usange</w:t>
      </w:r>
      <w:proofErr w:type="spellEnd"/>
      <w:r w:rsidRPr="009547D6">
        <w:rPr>
          <w:rFonts w:ascii="Arial" w:hAnsi="Arial" w:cs="Arial"/>
          <w:shd w:val="clear" w:color="auto" w:fill="FFFFFF"/>
        </w:rPr>
        <w:t>: greenhouse gas emissions from biomass burning, decomposition and soils in forest conversion, shifting cultivation and secondary vegetation. Climatic change, 46(1), 115-158. https://doi.org/10.1023/A:1005569915357</w:t>
      </w:r>
    </w:p>
    <w:p w14:paraId="358172FA"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Ferguson, B. G., </w:t>
      </w:r>
      <w:proofErr w:type="spellStart"/>
      <w:r w:rsidRPr="009547D6">
        <w:rPr>
          <w:rFonts w:ascii="Arial" w:hAnsi="Arial" w:cs="Arial"/>
          <w:shd w:val="clear" w:color="auto" w:fill="FFFFFF"/>
        </w:rPr>
        <w:t>Vandermeer</w:t>
      </w:r>
      <w:proofErr w:type="spellEnd"/>
      <w:r w:rsidRPr="009547D6">
        <w:rPr>
          <w:rFonts w:ascii="Arial" w:hAnsi="Arial" w:cs="Arial"/>
          <w:shd w:val="clear" w:color="auto" w:fill="FFFFFF"/>
        </w:rPr>
        <w:t>, J., Morales, H., &amp; Griffith, D. M. (2003). Post</w:t>
      </w:r>
      <w:r w:rsidRPr="009547D6">
        <w:rPr>
          <w:rFonts w:ascii="Cambria Math" w:hAnsi="Cambria Math" w:cs="Cambria Math"/>
          <w:shd w:val="clear" w:color="auto" w:fill="FFFFFF"/>
        </w:rPr>
        <w:t>‐</w:t>
      </w:r>
      <w:r w:rsidRPr="009547D6">
        <w:rPr>
          <w:rFonts w:ascii="Arial" w:hAnsi="Arial" w:cs="Arial"/>
          <w:shd w:val="clear" w:color="auto" w:fill="FFFFFF"/>
        </w:rPr>
        <w:t>agricultural succession in El Petén, Guatemala. Conservation Biology, 17(3), 818-828. https://doi.org/10.1046/j.1523-1739.2003.01265.x</w:t>
      </w:r>
    </w:p>
    <w:p w14:paraId="25BA71DE" w14:textId="2118A4AE" w:rsidR="00677E1E" w:rsidRPr="009547D6" w:rsidRDefault="00677E1E" w:rsidP="00677E1E">
      <w:pPr>
        <w:autoSpaceDE w:val="0"/>
        <w:autoSpaceDN w:val="0"/>
        <w:adjustRightInd w:val="0"/>
        <w:spacing w:before="240"/>
        <w:jc w:val="both"/>
        <w:rPr>
          <w:rFonts w:ascii="Arial" w:hAnsi="Arial" w:cs="Arial"/>
          <w:shd w:val="clear" w:color="auto" w:fill="FFFFFF"/>
        </w:rPr>
      </w:pPr>
      <w:r w:rsidRPr="009547D6">
        <w:rPr>
          <w:rStyle w:val="A2"/>
          <w:rFonts w:ascii="Arial" w:hAnsi="Arial" w:cs="Arial"/>
          <w:color w:val="auto"/>
          <w:sz w:val="20"/>
          <w:szCs w:val="20"/>
        </w:rPr>
        <w:t xml:space="preserve">Forest Survey of India (2023). India State of Forest Report 2023. Dehradun, India: Forest Survey of India, Ministry of Environment, Forest and Climate Change, Government of India. Available at </w:t>
      </w:r>
      <w:hyperlink r:id="rId17" w:history="1">
        <w:r w:rsidRPr="009547D6">
          <w:rPr>
            <w:rStyle w:val="Hyperlink"/>
            <w:rFonts w:ascii="Arial" w:hAnsi="Arial" w:cs="Arial"/>
            <w:color w:val="auto"/>
          </w:rPr>
          <w:t>Welcome | Forest Survey of India</w:t>
        </w:r>
      </w:hyperlink>
    </w:p>
    <w:p w14:paraId="4224C047" w14:textId="6E99DE8F" w:rsidR="003F41A6" w:rsidRPr="009547D6" w:rsidRDefault="003F41A6" w:rsidP="003F41A6">
      <w:pPr>
        <w:autoSpaceDE w:val="0"/>
        <w:autoSpaceDN w:val="0"/>
        <w:adjustRightInd w:val="0"/>
        <w:spacing w:before="240"/>
        <w:jc w:val="both"/>
        <w:rPr>
          <w:rFonts w:ascii="Arial" w:hAnsi="Arial" w:cs="Arial"/>
        </w:rPr>
      </w:pPr>
      <w:r w:rsidRPr="009547D6">
        <w:rPr>
          <w:rFonts w:ascii="Arial" w:hAnsi="Arial" w:cs="Arial"/>
        </w:rPr>
        <w:t xml:space="preserve">Ghosh, S. (2019). Crops under shifting cultivation hit in Mizoram villages: Study. </w:t>
      </w:r>
      <w:proofErr w:type="spellStart"/>
      <w:r w:rsidRPr="009547D6">
        <w:rPr>
          <w:rFonts w:ascii="Arial" w:hAnsi="Arial" w:cs="Arial"/>
        </w:rPr>
        <w:t>Mongabay</w:t>
      </w:r>
      <w:proofErr w:type="spellEnd"/>
      <w:r w:rsidRPr="009547D6">
        <w:rPr>
          <w:rFonts w:ascii="Arial" w:hAnsi="Arial" w:cs="Arial"/>
        </w:rPr>
        <w:t xml:space="preserve">. </w:t>
      </w:r>
      <w:hyperlink r:id="rId18" w:history="1">
        <w:r w:rsidRPr="009547D6">
          <w:rPr>
            <w:rStyle w:val="Hyperlink"/>
            <w:rFonts w:ascii="Arial" w:hAnsi="Arial" w:cs="Arial"/>
            <w:color w:val="auto"/>
            <w:u w:val="none"/>
          </w:rPr>
          <w:t>https://india.mongabay.com/2019/11/crops-under-shifting-cultivation-hit-in-mizoram-villages-study/</w:t>
        </w:r>
      </w:hyperlink>
    </w:p>
    <w:p w14:paraId="16F14D5F"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Gogoi</w:t>
      </w:r>
      <w:proofErr w:type="spellEnd"/>
      <w:r w:rsidRPr="009547D6">
        <w:rPr>
          <w:rFonts w:ascii="Arial" w:hAnsi="Arial" w:cs="Arial"/>
          <w:shd w:val="clear" w:color="auto" w:fill="FFFFFF"/>
        </w:rPr>
        <w:t xml:space="preserve">, A., Sahoo, U. K., &amp; </w:t>
      </w:r>
      <w:proofErr w:type="spellStart"/>
      <w:r w:rsidRPr="009547D6">
        <w:rPr>
          <w:rFonts w:ascii="Arial" w:hAnsi="Arial" w:cs="Arial"/>
          <w:shd w:val="clear" w:color="auto" w:fill="FFFFFF"/>
        </w:rPr>
        <w:t>Saikia</w:t>
      </w:r>
      <w:proofErr w:type="spellEnd"/>
      <w:r w:rsidRPr="009547D6">
        <w:rPr>
          <w:rFonts w:ascii="Arial" w:hAnsi="Arial" w:cs="Arial"/>
          <w:shd w:val="clear" w:color="auto" w:fill="FFFFFF"/>
        </w:rPr>
        <w:t>, H. (2020). Vegetation and ecosystem carbon recovery following shifting cultivation in Mizoram-Manipur-Kachin rainforest eco-region, Southern Asia. Ecological processes, 9(1), 1-13. https://doi.org/10.1186/s13717-020-00225-w</w:t>
      </w:r>
    </w:p>
    <w:p w14:paraId="0F5F681D"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Hazarika, S. (2017). Options for natural resource conservation for jhum improvement in </w:t>
      </w:r>
      <w:proofErr w:type="spellStart"/>
      <w:r w:rsidRPr="009547D6">
        <w:rPr>
          <w:rFonts w:ascii="Arial" w:hAnsi="Arial" w:cs="Arial"/>
          <w:shd w:val="clear" w:color="auto" w:fill="FFFFFF"/>
        </w:rPr>
        <w:t>Neh</w:t>
      </w:r>
      <w:proofErr w:type="spellEnd"/>
      <w:r w:rsidRPr="009547D6">
        <w:rPr>
          <w:rFonts w:ascii="Arial" w:hAnsi="Arial" w:cs="Arial"/>
          <w:shd w:val="clear" w:color="auto" w:fill="FFFFFF"/>
        </w:rPr>
        <w:t xml:space="preserve"> region. In N. Prakash, S. S. Roy, M. A. Ansari, S. K. Sharma, P. </w:t>
      </w:r>
      <w:proofErr w:type="spellStart"/>
      <w:r w:rsidRPr="009547D6">
        <w:rPr>
          <w:rFonts w:ascii="Arial" w:hAnsi="Arial" w:cs="Arial"/>
          <w:shd w:val="clear" w:color="auto" w:fill="FFFFFF"/>
        </w:rPr>
        <w:t>Punitha</w:t>
      </w:r>
      <w:proofErr w:type="spellEnd"/>
      <w:r w:rsidRPr="009547D6">
        <w:rPr>
          <w:rFonts w:ascii="Arial" w:hAnsi="Arial" w:cs="Arial"/>
          <w:shd w:val="clear" w:color="auto" w:fill="FFFFFF"/>
        </w:rPr>
        <w:t xml:space="preserve">, B. </w:t>
      </w:r>
      <w:proofErr w:type="spellStart"/>
      <w:r w:rsidRPr="009547D6">
        <w:rPr>
          <w:rFonts w:ascii="Arial" w:hAnsi="Arial" w:cs="Arial"/>
          <w:shd w:val="clear" w:color="auto" w:fill="FFFFFF"/>
        </w:rPr>
        <w:t>Sailo</w:t>
      </w:r>
      <w:proofErr w:type="spellEnd"/>
      <w:r w:rsidRPr="009547D6">
        <w:rPr>
          <w:rFonts w:ascii="Arial" w:hAnsi="Arial" w:cs="Arial"/>
          <w:shd w:val="clear" w:color="auto" w:fill="FFFFFF"/>
        </w:rPr>
        <w:t xml:space="preserve">, &amp; I. M. Singh (Eds.), Jhum improvement for sustaining farm livelihood and natural resource conservation in North Eastern Hill Region: Vistas and frontiers (pp. 103-109). </w:t>
      </w:r>
      <w:proofErr w:type="spellStart"/>
      <w:r w:rsidRPr="009547D6">
        <w:rPr>
          <w:rFonts w:ascii="Arial" w:hAnsi="Arial" w:cs="Arial"/>
          <w:shd w:val="clear" w:color="auto" w:fill="FFFFFF"/>
        </w:rPr>
        <w:t>Umiam</w:t>
      </w:r>
      <w:proofErr w:type="spellEnd"/>
      <w:r w:rsidRPr="009547D6">
        <w:rPr>
          <w:rFonts w:ascii="Arial" w:hAnsi="Arial" w:cs="Arial"/>
          <w:shd w:val="clear" w:color="auto" w:fill="FFFFFF"/>
        </w:rPr>
        <w:t>, Meghalaya: ICAR Research Complex for NEH Region.</w:t>
      </w:r>
    </w:p>
    <w:p w14:paraId="28050748" w14:textId="678B8E3E" w:rsidR="006F2EA3" w:rsidRPr="009547D6" w:rsidRDefault="006F2EA3" w:rsidP="003F41A6">
      <w:pPr>
        <w:spacing w:before="240"/>
        <w:jc w:val="both"/>
        <w:rPr>
          <w:rFonts w:ascii="Arial" w:hAnsi="Arial" w:cs="Arial"/>
          <w:shd w:val="clear" w:color="auto" w:fill="FFFFFF"/>
        </w:rPr>
      </w:pPr>
      <w:r w:rsidRPr="009547D6">
        <w:rPr>
          <w:rFonts w:ascii="Arial" w:hAnsi="Arial" w:cs="Arial"/>
          <w:shd w:val="clear" w:color="auto" w:fill="FFFFFF"/>
        </w:rPr>
        <w:t xml:space="preserve">Hazarika, A., Nath, A. J., </w:t>
      </w:r>
      <w:proofErr w:type="spellStart"/>
      <w:r w:rsidRPr="009547D6">
        <w:rPr>
          <w:rFonts w:ascii="Arial" w:hAnsi="Arial" w:cs="Arial"/>
          <w:shd w:val="clear" w:color="auto" w:fill="FFFFFF"/>
        </w:rPr>
        <w:t>Reang</w:t>
      </w:r>
      <w:proofErr w:type="spellEnd"/>
      <w:r w:rsidRPr="009547D6">
        <w:rPr>
          <w:rFonts w:ascii="Arial" w:hAnsi="Arial" w:cs="Arial"/>
          <w:shd w:val="clear" w:color="auto" w:fill="FFFFFF"/>
        </w:rPr>
        <w:t xml:space="preserve">, D., Pandey, R., </w:t>
      </w:r>
      <w:proofErr w:type="spellStart"/>
      <w:r w:rsidRPr="009547D6">
        <w:rPr>
          <w:rFonts w:ascii="Arial" w:hAnsi="Arial" w:cs="Arial"/>
          <w:shd w:val="clear" w:color="auto" w:fill="FFFFFF"/>
        </w:rPr>
        <w:t>Sileshi</w:t>
      </w:r>
      <w:proofErr w:type="spellEnd"/>
      <w:r w:rsidRPr="009547D6">
        <w:rPr>
          <w:rFonts w:ascii="Arial" w:hAnsi="Arial" w:cs="Arial"/>
          <w:shd w:val="clear" w:color="auto" w:fill="FFFFFF"/>
        </w:rPr>
        <w:t>, G. W., &amp; Das, A. K. (2024). Climate change vulnerability and adaptation among farmers practicing shifting agriculture in the Indian Himalayas. Environmental and Sustainability Indicators, 23, 100430. https://doi.org/10.1016/j.indic.2024.100430</w:t>
      </w:r>
    </w:p>
    <w:p w14:paraId="5A29CA58" w14:textId="77777777" w:rsidR="003F41A6" w:rsidRPr="009547D6" w:rsidRDefault="003F41A6" w:rsidP="003F41A6">
      <w:pPr>
        <w:spacing w:before="240"/>
        <w:jc w:val="both"/>
        <w:rPr>
          <w:rFonts w:ascii="Arial" w:hAnsi="Arial" w:cs="Arial"/>
          <w:shd w:val="clear" w:color="auto" w:fill="FFFFFF"/>
        </w:rPr>
      </w:pPr>
      <w:proofErr w:type="spellStart"/>
      <w:r w:rsidRPr="009547D6">
        <w:rPr>
          <w:rFonts w:ascii="Arial" w:hAnsi="Arial" w:cs="Arial"/>
          <w:shd w:val="clear" w:color="auto" w:fill="FFFFFF"/>
        </w:rPr>
        <w:t>Heinimann</w:t>
      </w:r>
      <w:proofErr w:type="spellEnd"/>
      <w:r w:rsidRPr="009547D6">
        <w:rPr>
          <w:rFonts w:ascii="Arial" w:hAnsi="Arial" w:cs="Arial"/>
          <w:shd w:val="clear" w:color="auto" w:fill="FFFFFF"/>
        </w:rPr>
        <w:t xml:space="preserve">, A., Mertz, O., </w:t>
      </w:r>
      <w:proofErr w:type="spellStart"/>
      <w:r w:rsidRPr="009547D6">
        <w:rPr>
          <w:rFonts w:ascii="Arial" w:hAnsi="Arial" w:cs="Arial"/>
          <w:shd w:val="clear" w:color="auto" w:fill="FFFFFF"/>
        </w:rPr>
        <w:t>Frolking</w:t>
      </w:r>
      <w:proofErr w:type="spellEnd"/>
      <w:r w:rsidRPr="009547D6">
        <w:rPr>
          <w:rFonts w:ascii="Arial" w:hAnsi="Arial" w:cs="Arial"/>
          <w:shd w:val="clear" w:color="auto" w:fill="FFFFFF"/>
        </w:rPr>
        <w:t xml:space="preserve">, S., </w:t>
      </w:r>
      <w:proofErr w:type="spellStart"/>
      <w:r w:rsidRPr="009547D6">
        <w:rPr>
          <w:rFonts w:ascii="Arial" w:hAnsi="Arial" w:cs="Arial"/>
          <w:shd w:val="clear" w:color="auto" w:fill="FFFFFF"/>
        </w:rPr>
        <w:t>Egelund</w:t>
      </w:r>
      <w:proofErr w:type="spellEnd"/>
      <w:r w:rsidRPr="009547D6">
        <w:rPr>
          <w:rFonts w:ascii="Arial" w:hAnsi="Arial" w:cs="Arial"/>
          <w:shd w:val="clear" w:color="auto" w:fill="FFFFFF"/>
        </w:rPr>
        <w:t xml:space="preserve"> Christensen, A., </w:t>
      </w:r>
      <w:proofErr w:type="spellStart"/>
      <w:r w:rsidRPr="009547D6">
        <w:rPr>
          <w:rFonts w:ascii="Arial" w:hAnsi="Arial" w:cs="Arial"/>
          <w:shd w:val="clear" w:color="auto" w:fill="FFFFFF"/>
        </w:rPr>
        <w:t>Hurni</w:t>
      </w:r>
      <w:proofErr w:type="spellEnd"/>
      <w:r w:rsidRPr="009547D6">
        <w:rPr>
          <w:rFonts w:ascii="Arial" w:hAnsi="Arial" w:cs="Arial"/>
          <w:shd w:val="clear" w:color="auto" w:fill="FFFFFF"/>
        </w:rPr>
        <w:t xml:space="preserve">, K., </w:t>
      </w:r>
      <w:proofErr w:type="spellStart"/>
      <w:r w:rsidRPr="009547D6">
        <w:rPr>
          <w:rFonts w:ascii="Arial" w:hAnsi="Arial" w:cs="Arial"/>
          <w:shd w:val="clear" w:color="auto" w:fill="FFFFFF"/>
        </w:rPr>
        <w:t>Sedano</w:t>
      </w:r>
      <w:proofErr w:type="spellEnd"/>
      <w:r w:rsidRPr="009547D6">
        <w:rPr>
          <w:rFonts w:ascii="Arial" w:hAnsi="Arial" w:cs="Arial"/>
          <w:shd w:val="clear" w:color="auto" w:fill="FFFFFF"/>
        </w:rPr>
        <w:t xml:space="preserve">, F., </w:t>
      </w:r>
      <w:proofErr w:type="spellStart"/>
      <w:r w:rsidRPr="009547D6">
        <w:rPr>
          <w:rFonts w:ascii="Arial" w:hAnsi="Arial" w:cs="Arial"/>
          <w:shd w:val="clear" w:color="auto" w:fill="FFFFFF"/>
        </w:rPr>
        <w:t>Chini</w:t>
      </w:r>
      <w:proofErr w:type="spellEnd"/>
      <w:r w:rsidRPr="009547D6">
        <w:rPr>
          <w:rFonts w:ascii="Arial" w:hAnsi="Arial" w:cs="Arial"/>
          <w:shd w:val="clear" w:color="auto" w:fill="FFFFFF"/>
        </w:rPr>
        <w:t xml:space="preserve">, L. P., </w:t>
      </w:r>
      <w:proofErr w:type="spellStart"/>
      <w:r w:rsidRPr="009547D6">
        <w:rPr>
          <w:rFonts w:ascii="Arial" w:hAnsi="Arial" w:cs="Arial"/>
          <w:shd w:val="clear" w:color="auto" w:fill="FFFFFF"/>
        </w:rPr>
        <w:t>Sahajpal</w:t>
      </w:r>
      <w:proofErr w:type="spellEnd"/>
      <w:r w:rsidRPr="009547D6">
        <w:rPr>
          <w:rFonts w:ascii="Arial" w:hAnsi="Arial" w:cs="Arial"/>
          <w:shd w:val="clear" w:color="auto" w:fill="FFFFFF"/>
        </w:rPr>
        <w:t>, R., Hansen, M., &amp; Hurtt, G. (2017). A global view of shifting cultivation: Recent, current, and future extent. </w:t>
      </w:r>
      <w:proofErr w:type="spellStart"/>
      <w:r w:rsidRPr="009547D6">
        <w:rPr>
          <w:rFonts w:ascii="Arial" w:hAnsi="Arial" w:cs="Arial"/>
          <w:shd w:val="clear" w:color="auto" w:fill="FFFFFF"/>
        </w:rPr>
        <w:t>PloS</w:t>
      </w:r>
      <w:proofErr w:type="spellEnd"/>
      <w:r w:rsidRPr="009547D6">
        <w:rPr>
          <w:rFonts w:ascii="Arial" w:hAnsi="Arial" w:cs="Arial"/>
          <w:shd w:val="clear" w:color="auto" w:fill="FFFFFF"/>
        </w:rPr>
        <w:t xml:space="preserve"> one, 12(9), e0184479. https://doi.org/10.1371/journal.pone.0184479</w:t>
      </w:r>
    </w:p>
    <w:p w14:paraId="6013B987" w14:textId="1103CA03" w:rsidR="00DE401B" w:rsidRDefault="00DE401B" w:rsidP="00367B3C">
      <w:pPr>
        <w:spacing w:before="240"/>
        <w:jc w:val="both"/>
        <w:rPr>
          <w:rFonts w:ascii="Arial" w:hAnsi="Arial" w:cs="Arial"/>
          <w:shd w:val="clear" w:color="auto" w:fill="FFFFFF"/>
        </w:rPr>
      </w:pPr>
      <w:r>
        <w:rPr>
          <w:rFonts w:ascii="Arial" w:hAnsi="Arial" w:cs="Arial"/>
          <w:shd w:val="clear" w:color="auto" w:fill="FFFFFF"/>
        </w:rPr>
        <w:t>I</w:t>
      </w:r>
      <w:r w:rsidRPr="00DE401B">
        <w:rPr>
          <w:rFonts w:ascii="Arial" w:hAnsi="Arial" w:cs="Arial"/>
          <w:shd w:val="clear" w:color="auto" w:fill="FFFFFF"/>
        </w:rPr>
        <w:t>PBES</w:t>
      </w:r>
      <w:r>
        <w:rPr>
          <w:rFonts w:ascii="Arial" w:hAnsi="Arial" w:cs="Arial"/>
          <w:shd w:val="clear" w:color="auto" w:fill="FFFFFF"/>
        </w:rPr>
        <w:t>.</w:t>
      </w:r>
      <w:r w:rsidRPr="00DE401B">
        <w:rPr>
          <w:rFonts w:ascii="Arial" w:hAnsi="Arial" w:cs="Arial"/>
          <w:shd w:val="clear" w:color="auto" w:fill="FFFFFF"/>
        </w:rPr>
        <w:t xml:space="preserve"> (2019)</w:t>
      </w:r>
      <w:r>
        <w:rPr>
          <w:rFonts w:ascii="Arial" w:hAnsi="Arial" w:cs="Arial"/>
          <w:shd w:val="clear" w:color="auto" w:fill="FFFFFF"/>
        </w:rPr>
        <w:t>.</w:t>
      </w:r>
      <w:r w:rsidRPr="00DE401B">
        <w:rPr>
          <w:rFonts w:ascii="Arial" w:hAnsi="Arial" w:cs="Arial"/>
          <w:shd w:val="clear" w:color="auto" w:fill="FFFFFF"/>
        </w:rPr>
        <w:t xml:space="preserve"> Global assessment report on biodiversity and ecosystem services of the Intergovernmental Science-Policy Platform on Biodiversity and Ecosystem Services. E. S. </w:t>
      </w:r>
      <w:proofErr w:type="spellStart"/>
      <w:r w:rsidRPr="00DE401B">
        <w:rPr>
          <w:rFonts w:ascii="Arial" w:hAnsi="Arial" w:cs="Arial"/>
          <w:shd w:val="clear" w:color="auto" w:fill="FFFFFF"/>
        </w:rPr>
        <w:t>Brondizio</w:t>
      </w:r>
      <w:proofErr w:type="spellEnd"/>
      <w:r w:rsidRPr="00DE401B">
        <w:rPr>
          <w:rFonts w:ascii="Arial" w:hAnsi="Arial" w:cs="Arial"/>
          <w:shd w:val="clear" w:color="auto" w:fill="FFFFFF"/>
        </w:rPr>
        <w:t xml:space="preserve">, J. </w:t>
      </w:r>
      <w:proofErr w:type="spellStart"/>
      <w:r w:rsidRPr="00DE401B">
        <w:rPr>
          <w:rFonts w:ascii="Arial" w:hAnsi="Arial" w:cs="Arial"/>
          <w:shd w:val="clear" w:color="auto" w:fill="FFFFFF"/>
        </w:rPr>
        <w:t>Settele</w:t>
      </w:r>
      <w:proofErr w:type="spellEnd"/>
      <w:r w:rsidRPr="00DE401B">
        <w:rPr>
          <w:rFonts w:ascii="Arial" w:hAnsi="Arial" w:cs="Arial"/>
          <w:shd w:val="clear" w:color="auto" w:fill="FFFFFF"/>
        </w:rPr>
        <w:t>, S. Díaz, and H. T. Ngo (</w:t>
      </w:r>
      <w:r>
        <w:rPr>
          <w:rFonts w:ascii="Arial" w:hAnsi="Arial" w:cs="Arial"/>
          <w:shd w:val="clear" w:color="auto" w:fill="FFFFFF"/>
        </w:rPr>
        <w:t>E</w:t>
      </w:r>
      <w:r w:rsidRPr="00DE401B">
        <w:rPr>
          <w:rFonts w:ascii="Arial" w:hAnsi="Arial" w:cs="Arial"/>
          <w:shd w:val="clear" w:color="auto" w:fill="FFFFFF"/>
        </w:rPr>
        <w:t>ds). IPBES secretariat, Bonn, Germany. 1148 pages. https://doi.org/10.5281/zenodo.383167</w:t>
      </w:r>
    </w:p>
    <w:p w14:paraId="0AFAD243" w14:textId="14641F5C" w:rsidR="00367B3C" w:rsidRPr="009547D6" w:rsidRDefault="00367B3C" w:rsidP="00367B3C">
      <w:pPr>
        <w:spacing w:before="240"/>
        <w:jc w:val="both"/>
        <w:rPr>
          <w:rFonts w:ascii="Arial" w:hAnsi="Arial" w:cs="Arial"/>
          <w:shd w:val="clear" w:color="auto" w:fill="FFFFFF"/>
        </w:rPr>
      </w:pPr>
      <w:r w:rsidRPr="009547D6">
        <w:rPr>
          <w:rFonts w:ascii="Arial" w:hAnsi="Arial" w:cs="Arial"/>
          <w:shd w:val="clear" w:color="auto" w:fill="FFFFFF"/>
        </w:rPr>
        <w:lastRenderedPageBreak/>
        <w:t>Jagannath, P., Dutta, S., Jamir, C., &amp; Chatterjee, S. (2025). Drivers of shifting cultivation in Nagaland: crop cycles, crop selection, and management. International Journal of Anthropology and Ethnology, 9(1), 9. https://doi.org/10.1186/s41257-025-00131-z</w:t>
      </w:r>
    </w:p>
    <w:p w14:paraId="2DF3DE56" w14:textId="47D59FF3" w:rsidR="003F41A6" w:rsidRPr="009547D6" w:rsidRDefault="003F41A6" w:rsidP="003F41A6">
      <w:pPr>
        <w:spacing w:before="240"/>
        <w:jc w:val="both"/>
        <w:rPr>
          <w:rFonts w:ascii="Arial" w:hAnsi="Arial" w:cs="Arial"/>
          <w:shd w:val="clear" w:color="auto" w:fill="FFFFFF"/>
        </w:rPr>
      </w:pPr>
      <w:proofErr w:type="spellStart"/>
      <w:r w:rsidRPr="009547D6">
        <w:rPr>
          <w:rFonts w:ascii="Arial" w:hAnsi="Arial" w:cs="Arial"/>
          <w:shd w:val="clear" w:color="auto" w:fill="FFFFFF"/>
        </w:rPr>
        <w:t>Juo</w:t>
      </w:r>
      <w:proofErr w:type="spellEnd"/>
      <w:r w:rsidRPr="009547D6">
        <w:rPr>
          <w:rFonts w:ascii="Arial" w:hAnsi="Arial" w:cs="Arial"/>
          <w:shd w:val="clear" w:color="auto" w:fill="FFFFFF"/>
        </w:rPr>
        <w:t>, A. S., &amp; Manu, A. (1996). Chemical dynamics in slash-and-burn agriculture. Agriculture, Ecosystems &amp; Environment, 58(1), 49-60. https://doi.org/10.1016/0167-8809(95)00656-7</w:t>
      </w:r>
    </w:p>
    <w:p w14:paraId="7FA54D80" w14:textId="46FB0E49" w:rsidR="003F41A6" w:rsidRPr="009547D6" w:rsidRDefault="003F41A6" w:rsidP="003F41A6">
      <w:pPr>
        <w:spacing w:before="240"/>
        <w:jc w:val="both"/>
        <w:rPr>
          <w:rFonts w:ascii="Arial" w:hAnsi="Arial" w:cs="Arial"/>
        </w:rPr>
      </w:pPr>
      <w:proofErr w:type="spellStart"/>
      <w:r w:rsidRPr="009547D6">
        <w:rPr>
          <w:rFonts w:ascii="Arial" w:hAnsi="Arial" w:cs="Arial"/>
          <w:shd w:val="clear" w:color="auto" w:fill="FFFFFF"/>
        </w:rPr>
        <w:t>Kerkhoff</w:t>
      </w:r>
      <w:proofErr w:type="spellEnd"/>
      <w:r w:rsidRPr="009547D6">
        <w:rPr>
          <w:rFonts w:ascii="Arial" w:hAnsi="Arial" w:cs="Arial"/>
          <w:shd w:val="clear" w:color="auto" w:fill="FFFFFF"/>
        </w:rPr>
        <w:t xml:space="preserve">, E., &amp; Sharma, E. (2006). Debating shifting cultivation in the Eastern Himalayas. Farmers’ Innovations as Lessons for Policy. Kathmandu: International Centre for Integrated Mountain Development (ICIMOD). </w:t>
      </w:r>
    </w:p>
    <w:p w14:paraId="039B138D"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Kleinman P.J.A., Pimentel D. &amp; Bryant R.B. (1995). The ecological sustainability of slash-and-burn agriculture. Agriculture, Ecosystems and Environment, 52, 235-249. https://doi.org/10.1016/0167-8809(94)00531-I</w:t>
      </w:r>
    </w:p>
    <w:p w14:paraId="6F49B900"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Manjunatha</w:t>
      </w:r>
      <w:proofErr w:type="spellEnd"/>
      <w:r w:rsidRPr="009547D6">
        <w:rPr>
          <w:rFonts w:ascii="Arial" w:hAnsi="Arial" w:cs="Arial"/>
          <w:shd w:val="clear" w:color="auto" w:fill="FFFFFF"/>
        </w:rPr>
        <w:t>, R. L., &amp; Singh, N. J. (2020). Effect of fallow age on soil properties of Jhum fields in West Garo Hills District, Meghalaya. Journal of Pharmacognosy and Phytochemistry, 9(2), 591-597.</w:t>
      </w:r>
    </w:p>
    <w:p w14:paraId="7A4B185A"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Mathur, I., &amp; Bhattacharya, P. (2022). Transition from shifting cultivation to agroforestry: A case study of regrouped villages in Tripura, India. Environmental Challenges, 7, 100471. </w:t>
      </w:r>
      <w:hyperlink r:id="rId19" w:history="1">
        <w:r w:rsidRPr="009547D6">
          <w:rPr>
            <w:rStyle w:val="Hyperlink"/>
            <w:rFonts w:ascii="Arial" w:hAnsi="Arial" w:cs="Arial"/>
            <w:color w:val="auto"/>
            <w:u w:val="none"/>
            <w:shd w:val="clear" w:color="auto" w:fill="FFFFFF"/>
          </w:rPr>
          <w:t>https://doi.org/10.1016/j.envc.2022.100471</w:t>
        </w:r>
      </w:hyperlink>
    </w:p>
    <w:p w14:paraId="2DF22F81"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Mertz, O. (2002). The relationship between length of fallow and crop yields in shifting cultivation: a rethinking. Agroforestry systems, 55(2), 149-159. https://doi.org/10.1023/A:1020507631848</w:t>
      </w:r>
    </w:p>
    <w:p w14:paraId="3F15369D"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Mertz, O., </w:t>
      </w:r>
      <w:proofErr w:type="spellStart"/>
      <w:r w:rsidRPr="009547D6">
        <w:rPr>
          <w:rFonts w:ascii="Arial" w:hAnsi="Arial" w:cs="Arial"/>
          <w:shd w:val="clear" w:color="auto" w:fill="FFFFFF"/>
        </w:rPr>
        <w:t>Padoch</w:t>
      </w:r>
      <w:proofErr w:type="spellEnd"/>
      <w:r w:rsidRPr="009547D6">
        <w:rPr>
          <w:rFonts w:ascii="Arial" w:hAnsi="Arial" w:cs="Arial"/>
          <w:shd w:val="clear" w:color="auto" w:fill="FFFFFF"/>
        </w:rPr>
        <w:t xml:space="preserve">, C., Fox, J., </w:t>
      </w:r>
      <w:proofErr w:type="spellStart"/>
      <w:r w:rsidRPr="009547D6">
        <w:rPr>
          <w:rFonts w:ascii="Arial" w:hAnsi="Arial" w:cs="Arial"/>
          <w:shd w:val="clear" w:color="auto" w:fill="FFFFFF"/>
        </w:rPr>
        <w:t>Cramb</w:t>
      </w:r>
      <w:proofErr w:type="spellEnd"/>
      <w:r w:rsidRPr="009547D6">
        <w:rPr>
          <w:rFonts w:ascii="Arial" w:hAnsi="Arial" w:cs="Arial"/>
          <w:shd w:val="clear" w:color="auto" w:fill="FFFFFF"/>
        </w:rPr>
        <w:t xml:space="preserve">, R. A., </w:t>
      </w:r>
      <w:proofErr w:type="spellStart"/>
      <w:r w:rsidRPr="009547D6">
        <w:rPr>
          <w:rFonts w:ascii="Arial" w:hAnsi="Arial" w:cs="Arial"/>
          <w:shd w:val="clear" w:color="auto" w:fill="FFFFFF"/>
        </w:rPr>
        <w:t>Leisz</w:t>
      </w:r>
      <w:proofErr w:type="spellEnd"/>
      <w:r w:rsidRPr="009547D6">
        <w:rPr>
          <w:rFonts w:ascii="Arial" w:hAnsi="Arial" w:cs="Arial"/>
          <w:shd w:val="clear" w:color="auto" w:fill="FFFFFF"/>
        </w:rPr>
        <w:t xml:space="preserve">, S. J., Lam, N. T., &amp; </w:t>
      </w:r>
      <w:proofErr w:type="spellStart"/>
      <w:r w:rsidRPr="009547D6">
        <w:rPr>
          <w:rFonts w:ascii="Arial" w:hAnsi="Arial" w:cs="Arial"/>
          <w:shd w:val="clear" w:color="auto" w:fill="FFFFFF"/>
        </w:rPr>
        <w:t>Vien</w:t>
      </w:r>
      <w:proofErr w:type="spellEnd"/>
      <w:r w:rsidRPr="009547D6">
        <w:rPr>
          <w:rFonts w:ascii="Arial" w:hAnsi="Arial" w:cs="Arial"/>
          <w:shd w:val="clear" w:color="auto" w:fill="FFFFFF"/>
        </w:rPr>
        <w:t xml:space="preserve">, T. D. (2009). </w:t>
      </w:r>
      <w:proofErr w:type="spellStart"/>
      <w:r w:rsidRPr="009547D6">
        <w:rPr>
          <w:rFonts w:ascii="Arial" w:hAnsi="Arial" w:cs="Arial"/>
          <w:shd w:val="clear" w:color="auto" w:fill="FFFFFF"/>
        </w:rPr>
        <w:t>Swidden</w:t>
      </w:r>
      <w:proofErr w:type="spellEnd"/>
      <w:r w:rsidRPr="009547D6">
        <w:rPr>
          <w:rFonts w:ascii="Arial" w:hAnsi="Arial" w:cs="Arial"/>
          <w:shd w:val="clear" w:color="auto" w:fill="FFFFFF"/>
        </w:rPr>
        <w:t xml:space="preserve"> change in Southeast Asia: understanding causes and consequences. Human Ecology, 37, 259-264. </w:t>
      </w:r>
      <w:hyperlink r:id="rId20" w:history="1">
        <w:r w:rsidRPr="009547D6">
          <w:rPr>
            <w:rStyle w:val="Hyperlink"/>
            <w:rFonts w:ascii="Arial" w:hAnsi="Arial" w:cs="Arial"/>
            <w:color w:val="auto"/>
            <w:u w:val="none"/>
            <w:shd w:val="clear" w:color="auto" w:fill="FFFFFF"/>
          </w:rPr>
          <w:t>https://doi.org/10.1007/s10745-009-9245-2</w:t>
        </w:r>
      </w:hyperlink>
    </w:p>
    <w:p w14:paraId="2BDCFB34" w14:textId="0F246168"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Michael, A. (2022). Shifting Cultivation in Northeast India: Exploring the Past and Questioning the Future. In A. K. Shaw, Y. Natori, &amp; S. </w:t>
      </w: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(Eds.), A Tradition in Transition: Understanding the Role of Shifting Cultivation for Sustainable Development of Northeast India (pp. 14-31</w:t>
      </w:r>
      <w:r w:rsidR="00903AAB" w:rsidRPr="009547D6">
        <w:rPr>
          <w:rFonts w:ascii="Arial" w:hAnsi="Arial" w:cs="Arial"/>
          <w:shd w:val="clear" w:color="auto" w:fill="FFFFFF"/>
        </w:rPr>
        <w:t>)</w:t>
      </w:r>
      <w:r w:rsidRPr="009547D6">
        <w:rPr>
          <w:rFonts w:ascii="Arial" w:hAnsi="Arial" w:cs="Arial"/>
          <w:shd w:val="clear" w:color="auto" w:fill="FFFFFF"/>
        </w:rPr>
        <w:t>. New Delhi: TERI Press.</w:t>
      </w:r>
    </w:p>
    <w:p w14:paraId="579DCF62"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Mishra, A. (2022). Shifting cultivation to sustainability-seeing beyond the smoke. Current Science, 122 (10), 1129-1134. https://doi.org/10.18520/cs/v122/i10/1129-1134</w:t>
      </w:r>
    </w:p>
    <w:p w14:paraId="5C29C61B"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Mukul, S. A., </w:t>
      </w:r>
      <w:proofErr w:type="spellStart"/>
      <w:r w:rsidRPr="009547D6">
        <w:rPr>
          <w:rFonts w:ascii="Arial" w:hAnsi="Arial" w:cs="Arial"/>
          <w:shd w:val="clear" w:color="auto" w:fill="FFFFFF"/>
        </w:rPr>
        <w:t>Herbohn</w:t>
      </w:r>
      <w:proofErr w:type="spellEnd"/>
      <w:r w:rsidRPr="009547D6">
        <w:rPr>
          <w:rFonts w:ascii="Arial" w:hAnsi="Arial" w:cs="Arial"/>
          <w:shd w:val="clear" w:color="auto" w:fill="FFFFFF"/>
        </w:rPr>
        <w:t xml:space="preserve">, J., &amp; </w:t>
      </w:r>
      <w:proofErr w:type="spellStart"/>
      <w:r w:rsidRPr="009547D6">
        <w:rPr>
          <w:rFonts w:ascii="Arial" w:hAnsi="Arial" w:cs="Arial"/>
          <w:shd w:val="clear" w:color="auto" w:fill="FFFFFF"/>
        </w:rPr>
        <w:t>Firn</w:t>
      </w:r>
      <w:proofErr w:type="spellEnd"/>
      <w:r w:rsidRPr="009547D6">
        <w:rPr>
          <w:rFonts w:ascii="Arial" w:hAnsi="Arial" w:cs="Arial"/>
          <w:shd w:val="clear" w:color="auto" w:fill="FFFFFF"/>
        </w:rPr>
        <w:t>, J. (2016). Tropical secondary forests regenerating after shifting cultivation in the Philippines uplands are important carbon sinks. Scientific Reports, 6(1), 22483. https://doi.org/10.1038/srep22483</w:t>
      </w:r>
    </w:p>
    <w:p w14:paraId="49A1DC0A" w14:textId="7A2DD704"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Nye, P. H., &amp; Greenland, D. J. (1960). The soil under shifting cultivation (Technical Communication no. 51). </w:t>
      </w:r>
      <w:proofErr w:type="spellStart"/>
      <w:r w:rsidRPr="009547D6">
        <w:rPr>
          <w:rFonts w:ascii="Arial" w:hAnsi="Arial" w:cs="Arial"/>
          <w:shd w:val="clear" w:color="auto" w:fill="FFFFFF"/>
        </w:rPr>
        <w:t>Harpenden</w:t>
      </w:r>
      <w:proofErr w:type="spellEnd"/>
      <w:r w:rsidRPr="009547D6">
        <w:rPr>
          <w:rFonts w:ascii="Arial" w:hAnsi="Arial" w:cs="Arial"/>
          <w:shd w:val="clear" w:color="auto" w:fill="FFFFFF"/>
        </w:rPr>
        <w:t xml:space="preserve">, England: Commonwealth Agricultural </w:t>
      </w:r>
      <w:proofErr w:type="spellStart"/>
      <w:r w:rsidRPr="009547D6">
        <w:rPr>
          <w:rFonts w:ascii="Arial" w:hAnsi="Arial" w:cs="Arial"/>
          <w:shd w:val="clear" w:color="auto" w:fill="FFFFFF"/>
        </w:rPr>
        <w:t>Bureaux</w:t>
      </w:r>
      <w:proofErr w:type="spellEnd"/>
      <w:r w:rsidRPr="009547D6">
        <w:rPr>
          <w:rFonts w:ascii="Arial" w:hAnsi="Arial" w:cs="Arial"/>
          <w:shd w:val="clear" w:color="auto" w:fill="FFFFFF"/>
        </w:rPr>
        <w:t xml:space="preserve">, </w:t>
      </w:r>
      <w:r w:rsidR="00B7039B" w:rsidRPr="009547D6">
        <w:rPr>
          <w:rFonts w:ascii="Arial" w:hAnsi="Arial" w:cs="Arial"/>
          <w:shd w:val="clear" w:color="auto" w:fill="FFFFFF"/>
        </w:rPr>
        <w:t>C</w:t>
      </w:r>
      <w:r w:rsidRPr="009547D6">
        <w:rPr>
          <w:rFonts w:ascii="Arial" w:hAnsi="Arial" w:cs="Arial"/>
          <w:shd w:val="clear" w:color="auto" w:fill="FFFFFF"/>
        </w:rPr>
        <w:t>ommonwealth Bureau of Soils.</w:t>
      </w:r>
    </w:p>
    <w:p w14:paraId="61834A7E"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Panda, B. K., Sarkar, S., &amp; </w:t>
      </w:r>
      <w:proofErr w:type="spellStart"/>
      <w:r w:rsidRPr="009547D6">
        <w:rPr>
          <w:rFonts w:ascii="Arial" w:hAnsi="Arial" w:cs="Arial"/>
          <w:shd w:val="clear" w:color="auto" w:fill="FFFFFF"/>
        </w:rPr>
        <w:t>Alam</w:t>
      </w:r>
      <w:proofErr w:type="spellEnd"/>
      <w:r w:rsidRPr="009547D6">
        <w:rPr>
          <w:rFonts w:ascii="Arial" w:hAnsi="Arial" w:cs="Arial"/>
          <w:shd w:val="clear" w:color="auto" w:fill="FFFFFF"/>
        </w:rPr>
        <w:t>, A. (2017). Shifting Cultivation in North-East India: Trend, Benefits and Challenges. IUT Journal of Advance Research and Development, 3(1), 69-102. https://doi.org/10.56405/dngcrj.2017.02.01.07</w:t>
      </w:r>
    </w:p>
    <w:p w14:paraId="04CD9BF8" w14:textId="77777777" w:rsidR="003F41A6" w:rsidRPr="009547D6" w:rsidRDefault="003F41A6" w:rsidP="003F41A6">
      <w:pPr>
        <w:spacing w:before="240"/>
        <w:jc w:val="both"/>
        <w:rPr>
          <w:rStyle w:val="anchor-text"/>
          <w:rFonts w:ascii="Arial" w:hAnsi="Arial" w:cs="Arial"/>
          <w:shd w:val="clear" w:color="auto" w:fill="FFFFFF"/>
        </w:rPr>
      </w:pPr>
      <w:r w:rsidRPr="009547D6">
        <w:rPr>
          <w:rFonts w:ascii="Arial" w:hAnsi="Arial" w:cs="Arial"/>
          <w:shd w:val="clear" w:color="auto" w:fill="FFFFFF"/>
        </w:rPr>
        <w:t xml:space="preserve">Pandey, D. K., De, H. K., Dubey, S. K., Kumar, B., </w:t>
      </w:r>
      <w:proofErr w:type="spellStart"/>
      <w:r w:rsidRPr="009547D6">
        <w:rPr>
          <w:rFonts w:ascii="Arial" w:hAnsi="Arial" w:cs="Arial"/>
          <w:shd w:val="clear" w:color="auto" w:fill="FFFFFF"/>
        </w:rPr>
        <w:t>Dobhal</w:t>
      </w:r>
      <w:proofErr w:type="spellEnd"/>
      <w:r w:rsidRPr="009547D6">
        <w:rPr>
          <w:rFonts w:ascii="Arial" w:hAnsi="Arial" w:cs="Arial"/>
          <w:shd w:val="clear" w:color="auto" w:fill="FFFFFF"/>
        </w:rPr>
        <w:t xml:space="preserve">, S., &amp; </w:t>
      </w:r>
      <w:proofErr w:type="spellStart"/>
      <w:r w:rsidRPr="009547D6">
        <w:rPr>
          <w:rFonts w:ascii="Arial" w:hAnsi="Arial" w:cs="Arial"/>
          <w:shd w:val="clear" w:color="auto" w:fill="FFFFFF"/>
        </w:rPr>
        <w:t>Adhiguru</w:t>
      </w:r>
      <w:proofErr w:type="spellEnd"/>
      <w:r w:rsidRPr="009547D6">
        <w:rPr>
          <w:rFonts w:ascii="Arial" w:hAnsi="Arial" w:cs="Arial"/>
          <w:shd w:val="clear" w:color="auto" w:fill="FFFFFF"/>
        </w:rPr>
        <w:t>, P. (2020). Indigenous people’s attachment to shifting cultivation in the Eastern Himalayas, India: Cross-</w:t>
      </w:r>
      <w:r w:rsidRPr="009547D6">
        <w:rPr>
          <w:rFonts w:ascii="Arial" w:hAnsi="Arial" w:cs="Arial"/>
          <w:shd w:val="clear" w:color="auto" w:fill="FFFFFF"/>
        </w:rPr>
        <w:lastRenderedPageBreak/>
        <w:t xml:space="preserve">sectional evidence. Forest Policy and Economics, 111, 102046. </w:t>
      </w:r>
      <w:hyperlink r:id="rId21" w:tgtFrame="_blank" w:tooltip="Persistent link using digital object identifier" w:history="1">
        <w:r w:rsidRPr="009547D6">
          <w:rPr>
            <w:rStyle w:val="anchor-text"/>
            <w:rFonts w:ascii="Arial" w:hAnsi="Arial" w:cs="Arial"/>
          </w:rPr>
          <w:t>https://doi.org/10.1016/j.forpol.2019.102046</w:t>
        </w:r>
      </w:hyperlink>
    </w:p>
    <w:p w14:paraId="5EE5248D"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Paul, D., Alfred, J. R. B., </w:t>
      </w:r>
      <w:proofErr w:type="spellStart"/>
      <w:r w:rsidRPr="009547D6">
        <w:rPr>
          <w:rFonts w:ascii="Arial" w:hAnsi="Arial" w:cs="Arial"/>
          <w:shd w:val="clear" w:color="auto" w:fill="FFFFFF"/>
        </w:rPr>
        <w:t>Darlong</w:t>
      </w:r>
      <w:proofErr w:type="spellEnd"/>
      <w:r w:rsidRPr="009547D6">
        <w:rPr>
          <w:rFonts w:ascii="Arial" w:hAnsi="Arial" w:cs="Arial"/>
          <w:shd w:val="clear" w:color="auto" w:fill="FFFFFF"/>
        </w:rPr>
        <w:t xml:space="preserve">, V. T., </w:t>
      </w:r>
      <w:proofErr w:type="spellStart"/>
      <w:r w:rsidRPr="009547D6">
        <w:rPr>
          <w:rFonts w:ascii="Arial" w:hAnsi="Arial" w:cs="Arial"/>
          <w:shd w:val="clear" w:color="auto" w:fill="FFFFFF"/>
        </w:rPr>
        <w:t>Vatsauliya</w:t>
      </w:r>
      <w:proofErr w:type="spellEnd"/>
      <w:r w:rsidRPr="009547D6">
        <w:rPr>
          <w:rFonts w:ascii="Arial" w:hAnsi="Arial" w:cs="Arial"/>
          <w:shd w:val="clear" w:color="auto" w:fill="FFFFFF"/>
        </w:rPr>
        <w:t xml:space="preserve">, P. K., &amp; </w:t>
      </w:r>
      <w:proofErr w:type="spellStart"/>
      <w:r w:rsidRPr="009547D6">
        <w:rPr>
          <w:rFonts w:ascii="Arial" w:hAnsi="Arial" w:cs="Arial"/>
          <w:shd w:val="clear" w:color="auto" w:fill="FFFFFF"/>
        </w:rPr>
        <w:t>Nongmaithem</w:t>
      </w:r>
      <w:proofErr w:type="spellEnd"/>
      <w:r w:rsidRPr="009547D6">
        <w:rPr>
          <w:rFonts w:ascii="Arial" w:hAnsi="Arial" w:cs="Arial"/>
          <w:shd w:val="clear" w:color="auto" w:fill="FFFFFF"/>
        </w:rPr>
        <w:t xml:space="preserve">, A. (2022). Diversity of Soil Mesofauna Under Traditional Jhum and Sedentary Agroecosystems in Meghalaya. In A. K. Shaw, Y. Natori, &amp; S. </w:t>
      </w: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(Eds.), A Tradition in Transition: Understanding the Role of Shifting Cultivation for Sustainable Development of Northeast India (pp. 198-218). New Delhi: TERI Press.</w:t>
      </w:r>
    </w:p>
    <w:p w14:paraId="17B81C8D" w14:textId="77777777" w:rsidR="003F41A6" w:rsidRPr="009547D6" w:rsidRDefault="003F41A6" w:rsidP="003F41A6">
      <w:pPr>
        <w:autoSpaceDE w:val="0"/>
        <w:autoSpaceDN w:val="0"/>
        <w:adjustRightInd w:val="0"/>
        <w:spacing w:before="240"/>
        <w:jc w:val="both"/>
        <w:rPr>
          <w:rFonts w:ascii="Arial" w:hAnsi="Arial" w:cs="Arial"/>
        </w:rPr>
      </w:pPr>
      <w:r w:rsidRPr="009547D6">
        <w:rPr>
          <w:rFonts w:ascii="Arial" w:hAnsi="Arial" w:cs="Arial"/>
        </w:rPr>
        <w:t>Pelzer, K. J. (1945). Pioneer settlement in Asiatic Tropics. New York: American Geographic Society.</w:t>
      </w:r>
    </w:p>
    <w:p w14:paraId="0D2C1336" w14:textId="77777777" w:rsidR="003F41A6" w:rsidRPr="009547D6" w:rsidRDefault="003F41A6" w:rsidP="003F41A6">
      <w:pPr>
        <w:spacing w:before="240"/>
        <w:jc w:val="both"/>
        <w:rPr>
          <w:rFonts w:ascii="Arial" w:hAnsi="Arial" w:cs="Arial"/>
          <w:shd w:val="clear" w:color="auto" w:fill="FFFFFF"/>
        </w:rPr>
      </w:pPr>
      <w:proofErr w:type="spellStart"/>
      <w:r w:rsidRPr="009547D6">
        <w:rPr>
          <w:rFonts w:ascii="Arial" w:hAnsi="Arial" w:cs="Arial"/>
          <w:shd w:val="clear" w:color="auto" w:fill="FFFFFF"/>
        </w:rPr>
        <w:t>Pradheep</w:t>
      </w:r>
      <w:proofErr w:type="spellEnd"/>
      <w:r w:rsidRPr="009547D6">
        <w:rPr>
          <w:rFonts w:ascii="Arial" w:hAnsi="Arial" w:cs="Arial"/>
          <w:shd w:val="clear" w:color="auto" w:fill="FFFFFF"/>
        </w:rPr>
        <w:t xml:space="preserve">, K., </w:t>
      </w:r>
      <w:proofErr w:type="spellStart"/>
      <w:r w:rsidRPr="009547D6">
        <w:rPr>
          <w:rFonts w:ascii="Arial" w:hAnsi="Arial" w:cs="Arial"/>
          <w:shd w:val="clear" w:color="auto" w:fill="FFFFFF"/>
        </w:rPr>
        <w:t>Ahlawat</w:t>
      </w:r>
      <w:proofErr w:type="spellEnd"/>
      <w:r w:rsidRPr="009547D6">
        <w:rPr>
          <w:rFonts w:ascii="Arial" w:hAnsi="Arial" w:cs="Arial"/>
          <w:shd w:val="clear" w:color="auto" w:fill="FFFFFF"/>
        </w:rPr>
        <w:t>, S. P., &amp; Bhandari, D. C. (2017). Report on special drive to North-Eastern India for the collection of Plant Genetic Resources (2011-16). ICAR-National Bureau of Plant Genetic Resources, New Delhi, 110, 012.</w:t>
      </w:r>
    </w:p>
    <w:p w14:paraId="14626B6A"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Ramakrishnan, P. S., &amp; Patnaik, S. (1992). Jhum: slash and burn cultivation. India International Centre Quarterly, 19(1/2), 215-220.</w:t>
      </w:r>
    </w:p>
    <w:p w14:paraId="1EBF792F"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Sarma</w:t>
      </w:r>
      <w:proofErr w:type="spellEnd"/>
      <w:r w:rsidRPr="009547D6">
        <w:rPr>
          <w:rFonts w:ascii="Arial" w:hAnsi="Arial" w:cs="Arial"/>
          <w:shd w:val="clear" w:color="auto" w:fill="FFFFFF"/>
        </w:rPr>
        <w:t xml:space="preserve">, A. (2022). Can shifting cultivation ensure local food </w:t>
      </w:r>
      <w:proofErr w:type="gramStart"/>
      <w:r w:rsidRPr="009547D6">
        <w:rPr>
          <w:rFonts w:ascii="Arial" w:hAnsi="Arial" w:cs="Arial"/>
          <w:shd w:val="clear" w:color="auto" w:fill="FFFFFF"/>
        </w:rPr>
        <w:t>sovereignty?.</w:t>
      </w:r>
      <w:proofErr w:type="gramEnd"/>
      <w:r w:rsidRPr="009547D6">
        <w:rPr>
          <w:rFonts w:ascii="Arial" w:hAnsi="Arial" w:cs="Arial"/>
          <w:shd w:val="clear" w:color="auto" w:fill="FFFFFF"/>
        </w:rPr>
        <w:t xml:space="preserve"> In A. K. Shaw, Y. Natori, &amp; S. </w:t>
      </w: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(Eds.), A Tradition in Transition: Understanding the Role of Shifting Cultivation for Sustainable Development of Northeast India (pp. 56-76). New Delhi: TERI Press.</w:t>
      </w:r>
    </w:p>
    <w:p w14:paraId="70690471" w14:textId="7650A73E" w:rsidR="00D9109E" w:rsidRPr="009547D6" w:rsidRDefault="00D9109E"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Schröder</w:t>
      </w:r>
      <w:proofErr w:type="spellEnd"/>
      <w:r w:rsidRPr="009547D6">
        <w:rPr>
          <w:rFonts w:ascii="Arial" w:hAnsi="Arial" w:cs="Arial"/>
          <w:shd w:val="clear" w:color="auto" w:fill="FFFFFF"/>
        </w:rPr>
        <w:t xml:space="preserve">, L. S., </w:t>
      </w:r>
      <w:proofErr w:type="spellStart"/>
      <w:r w:rsidRPr="009547D6">
        <w:rPr>
          <w:rFonts w:ascii="Arial" w:hAnsi="Arial" w:cs="Arial"/>
          <w:shd w:val="clear" w:color="auto" w:fill="FFFFFF"/>
        </w:rPr>
        <w:t>Rasche</w:t>
      </w:r>
      <w:proofErr w:type="spellEnd"/>
      <w:r w:rsidRPr="009547D6">
        <w:rPr>
          <w:rFonts w:ascii="Arial" w:hAnsi="Arial" w:cs="Arial"/>
          <w:shd w:val="clear" w:color="auto" w:fill="FFFFFF"/>
        </w:rPr>
        <w:t xml:space="preserve">, L., </w:t>
      </w:r>
      <w:proofErr w:type="spellStart"/>
      <w:r w:rsidRPr="009547D6">
        <w:rPr>
          <w:rFonts w:ascii="Arial" w:hAnsi="Arial" w:cs="Arial"/>
          <w:shd w:val="clear" w:color="auto" w:fill="FFFFFF"/>
        </w:rPr>
        <w:t>Jantke</w:t>
      </w:r>
      <w:proofErr w:type="spellEnd"/>
      <w:r w:rsidRPr="009547D6">
        <w:rPr>
          <w:rFonts w:ascii="Arial" w:hAnsi="Arial" w:cs="Arial"/>
          <w:shd w:val="clear" w:color="auto" w:fill="FFFFFF"/>
        </w:rPr>
        <w:t>, K., Mishra, G., Lange, S., Eschenbach, A., &amp; Schneider, U. A. (2024). Combined effects of climate change and agricultural intensification on soil erosion in uphill shifting cultivation in Northeast India. Land Degradation &amp; Development, 35(2), 670-686. https://doi.org/10.1002/ldr.4944</w:t>
      </w:r>
    </w:p>
    <w:p w14:paraId="3298B1FA" w14:textId="77777777" w:rsidR="003F41A6" w:rsidRPr="009547D6" w:rsidRDefault="003F41A6" w:rsidP="003F41A6">
      <w:pPr>
        <w:spacing w:before="240"/>
        <w:jc w:val="both"/>
        <w:rPr>
          <w:rFonts w:ascii="Arial" w:hAnsi="Arial" w:cs="Arial"/>
          <w:shd w:val="clear" w:color="auto" w:fill="FFFFFF"/>
        </w:rPr>
      </w:pPr>
      <w:proofErr w:type="spellStart"/>
      <w:r w:rsidRPr="009547D6">
        <w:rPr>
          <w:rFonts w:ascii="Arial" w:hAnsi="Arial" w:cs="Arial"/>
          <w:shd w:val="clear" w:color="auto" w:fill="FFFFFF"/>
        </w:rPr>
        <w:t>Shimrah</w:t>
      </w:r>
      <w:proofErr w:type="spellEnd"/>
      <w:r w:rsidRPr="009547D6">
        <w:rPr>
          <w:rFonts w:ascii="Arial" w:hAnsi="Arial" w:cs="Arial"/>
          <w:shd w:val="clear" w:color="auto" w:fill="FFFFFF"/>
        </w:rPr>
        <w:t>, T., Rao, K.S., &amp; Saxena, K.G. (2015). Soil property variations under different land use/cover types in traditional agricultural landscape in Northeast India. Journal of Chemistry, Environmental Sciences and its Applications, 2(1), 73-97.</w:t>
      </w:r>
    </w:p>
    <w:p w14:paraId="26F09C9D"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Shimrah</w:t>
      </w:r>
      <w:proofErr w:type="spellEnd"/>
      <w:r w:rsidRPr="009547D6">
        <w:rPr>
          <w:rFonts w:ascii="Arial" w:hAnsi="Arial" w:cs="Arial"/>
          <w:shd w:val="clear" w:color="auto" w:fill="FFFFFF"/>
        </w:rPr>
        <w:t>, T., Rao, K.S., &amp; Saxena, K.G. (2015). The shifting agricultural system (Jhum) and strategies for sustainable agroecosystems in Northeast India. Agroecology and Sustainable Food Systems, 39(10), 1154-1171.</w:t>
      </w:r>
    </w:p>
    <w:p w14:paraId="77B4EFE0"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t>Shimrah</w:t>
      </w:r>
      <w:proofErr w:type="spellEnd"/>
      <w:r w:rsidRPr="009547D6">
        <w:rPr>
          <w:rFonts w:ascii="Arial" w:hAnsi="Arial" w:cs="Arial"/>
          <w:shd w:val="clear" w:color="auto" w:fill="FFFFFF"/>
        </w:rPr>
        <w:t xml:space="preserve">, T. (2017). Forest, shifting agriculture and strategies for sustainable landscape management in traditional mountain communities of Northeast India. National Academy Science Letters, 40(5), 349-353. </w:t>
      </w:r>
      <w:hyperlink r:id="rId22" w:history="1">
        <w:r w:rsidRPr="009547D6">
          <w:rPr>
            <w:rStyle w:val="Hyperlink"/>
            <w:rFonts w:ascii="Arial" w:hAnsi="Arial" w:cs="Arial"/>
            <w:color w:val="auto"/>
            <w:u w:val="none"/>
            <w:shd w:val="clear" w:color="auto" w:fill="FFFFFF"/>
          </w:rPr>
          <w:t>https://doi.org/10.1007/s40009-017-0593-y</w:t>
        </w:r>
      </w:hyperlink>
    </w:p>
    <w:p w14:paraId="73635118"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Silva-Forsberg, M. C., &amp; </w:t>
      </w:r>
      <w:proofErr w:type="spellStart"/>
      <w:r w:rsidRPr="009547D6">
        <w:rPr>
          <w:rFonts w:ascii="Arial" w:hAnsi="Arial" w:cs="Arial"/>
          <w:shd w:val="clear" w:color="auto" w:fill="FFFFFF"/>
        </w:rPr>
        <w:t>Fearnside</w:t>
      </w:r>
      <w:proofErr w:type="spellEnd"/>
      <w:r w:rsidRPr="009547D6">
        <w:rPr>
          <w:rFonts w:ascii="Arial" w:hAnsi="Arial" w:cs="Arial"/>
          <w:shd w:val="clear" w:color="auto" w:fill="FFFFFF"/>
        </w:rPr>
        <w:t>, P. M. (1997). Brazilian Amazonian caboclo agriculture: effect of fallow period on maize yield. Forest Ecology and Management, 97(3), 283-291. https://doi.org/10.1016/S0378-1127(97)00070-4</w:t>
      </w:r>
    </w:p>
    <w:p w14:paraId="442AF523"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Singh, I. M., </w:t>
      </w:r>
      <w:proofErr w:type="spellStart"/>
      <w:r w:rsidRPr="009547D6">
        <w:rPr>
          <w:rFonts w:ascii="Arial" w:hAnsi="Arial" w:cs="Arial"/>
          <w:shd w:val="clear" w:color="auto" w:fill="FFFFFF"/>
        </w:rPr>
        <w:t>Punitha</w:t>
      </w:r>
      <w:proofErr w:type="spellEnd"/>
      <w:r w:rsidRPr="009547D6">
        <w:rPr>
          <w:rFonts w:ascii="Arial" w:hAnsi="Arial" w:cs="Arial"/>
          <w:shd w:val="clear" w:color="auto" w:fill="FFFFFF"/>
        </w:rPr>
        <w:t xml:space="preserve">, P., Ansari, M. A., Roy, S. S., Sharma, S. K., &amp; Prakash, N. (2017). Status of shifting cultivation in Manipur: an overview. In N. Prakash, S. S. Roy, M. A. Ansari, S. K. Sharma, P. </w:t>
      </w:r>
      <w:proofErr w:type="spellStart"/>
      <w:r w:rsidRPr="009547D6">
        <w:rPr>
          <w:rFonts w:ascii="Arial" w:hAnsi="Arial" w:cs="Arial"/>
          <w:shd w:val="clear" w:color="auto" w:fill="FFFFFF"/>
        </w:rPr>
        <w:t>Punitha</w:t>
      </w:r>
      <w:proofErr w:type="spellEnd"/>
      <w:r w:rsidRPr="009547D6">
        <w:rPr>
          <w:rFonts w:ascii="Arial" w:hAnsi="Arial" w:cs="Arial"/>
          <w:shd w:val="clear" w:color="auto" w:fill="FFFFFF"/>
        </w:rPr>
        <w:t xml:space="preserve">, B. </w:t>
      </w:r>
      <w:proofErr w:type="spellStart"/>
      <w:r w:rsidRPr="009547D6">
        <w:rPr>
          <w:rFonts w:ascii="Arial" w:hAnsi="Arial" w:cs="Arial"/>
          <w:shd w:val="clear" w:color="auto" w:fill="FFFFFF"/>
        </w:rPr>
        <w:t>Sailo</w:t>
      </w:r>
      <w:proofErr w:type="spellEnd"/>
      <w:r w:rsidRPr="009547D6">
        <w:rPr>
          <w:rFonts w:ascii="Arial" w:hAnsi="Arial" w:cs="Arial"/>
          <w:shd w:val="clear" w:color="auto" w:fill="FFFFFF"/>
        </w:rPr>
        <w:t xml:space="preserve">, &amp; I. M. Singh (Eds.), Jhum improvement for sustaining farm livelihood and natural resource conservation in North Eastern Hill Region: Vistas and frontiers (pp. 13-19). </w:t>
      </w:r>
      <w:proofErr w:type="spellStart"/>
      <w:r w:rsidRPr="009547D6">
        <w:rPr>
          <w:rFonts w:ascii="Arial" w:hAnsi="Arial" w:cs="Arial"/>
          <w:shd w:val="clear" w:color="auto" w:fill="FFFFFF"/>
        </w:rPr>
        <w:t>Umiam</w:t>
      </w:r>
      <w:proofErr w:type="spellEnd"/>
      <w:r w:rsidRPr="009547D6">
        <w:rPr>
          <w:rFonts w:ascii="Arial" w:hAnsi="Arial" w:cs="Arial"/>
          <w:shd w:val="clear" w:color="auto" w:fill="FFFFFF"/>
        </w:rPr>
        <w:t>, Meghalaya: ICAR Research Complex for NEH Region.</w:t>
      </w:r>
    </w:p>
    <w:p w14:paraId="3F0B1D73"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proofErr w:type="spellStart"/>
      <w:r w:rsidRPr="009547D6">
        <w:rPr>
          <w:rFonts w:ascii="Arial" w:hAnsi="Arial" w:cs="Arial"/>
          <w:shd w:val="clear" w:color="auto" w:fill="FFFFFF"/>
        </w:rPr>
        <w:lastRenderedPageBreak/>
        <w:t>Teegalapalli</w:t>
      </w:r>
      <w:proofErr w:type="spellEnd"/>
      <w:r w:rsidRPr="009547D6">
        <w:rPr>
          <w:rFonts w:ascii="Arial" w:hAnsi="Arial" w:cs="Arial"/>
          <w:shd w:val="clear" w:color="auto" w:fill="FFFFFF"/>
        </w:rPr>
        <w:t xml:space="preserve">, K., &amp; Datta, A. (2016). Shifting to settled cultivation: Changing practices among the </w:t>
      </w:r>
      <w:proofErr w:type="spellStart"/>
      <w:r w:rsidRPr="009547D6">
        <w:rPr>
          <w:rFonts w:ascii="Arial" w:hAnsi="Arial" w:cs="Arial"/>
          <w:shd w:val="clear" w:color="auto" w:fill="FFFFFF"/>
        </w:rPr>
        <w:t>Adis</w:t>
      </w:r>
      <w:proofErr w:type="spellEnd"/>
      <w:r w:rsidRPr="009547D6">
        <w:rPr>
          <w:rFonts w:ascii="Arial" w:hAnsi="Arial" w:cs="Arial"/>
          <w:shd w:val="clear" w:color="auto" w:fill="FFFFFF"/>
        </w:rPr>
        <w:t xml:space="preserve"> in Central Arunachal Pradesh, north-east India. </w:t>
      </w:r>
      <w:proofErr w:type="spellStart"/>
      <w:r w:rsidRPr="009547D6">
        <w:rPr>
          <w:rFonts w:ascii="Arial" w:hAnsi="Arial" w:cs="Arial"/>
          <w:shd w:val="clear" w:color="auto" w:fill="FFFFFF"/>
        </w:rPr>
        <w:t>Ambio</w:t>
      </w:r>
      <w:proofErr w:type="spellEnd"/>
      <w:r w:rsidRPr="009547D6">
        <w:rPr>
          <w:rFonts w:ascii="Arial" w:hAnsi="Arial" w:cs="Arial"/>
          <w:shd w:val="clear" w:color="auto" w:fill="FFFFFF"/>
        </w:rPr>
        <w:t>, 45(5), 602-612. https://doi.org/10.1007/s13280-016-0765-x</w:t>
      </w:r>
    </w:p>
    <w:p w14:paraId="2875A789" w14:textId="77777777" w:rsidR="003F41A6" w:rsidRPr="009547D6" w:rsidRDefault="003F41A6" w:rsidP="003F41A6">
      <w:pPr>
        <w:spacing w:before="240"/>
        <w:jc w:val="both"/>
        <w:rPr>
          <w:rFonts w:ascii="Arial" w:hAnsi="Arial" w:cs="Arial"/>
          <w:shd w:val="clear" w:color="auto" w:fill="FFFFFF"/>
        </w:rPr>
      </w:pPr>
      <w:proofErr w:type="spellStart"/>
      <w:r w:rsidRPr="009547D6">
        <w:rPr>
          <w:rFonts w:ascii="Arial" w:hAnsi="Arial" w:cs="Arial"/>
          <w:shd w:val="clear" w:color="auto" w:fill="FFFFFF"/>
        </w:rPr>
        <w:t>Temjen</w:t>
      </w:r>
      <w:proofErr w:type="spellEnd"/>
      <w:r w:rsidRPr="009547D6">
        <w:rPr>
          <w:rFonts w:ascii="Arial" w:hAnsi="Arial" w:cs="Arial"/>
          <w:shd w:val="clear" w:color="auto" w:fill="FFFFFF"/>
        </w:rPr>
        <w:t xml:space="preserve">, W., Singh, M. R., &amp; </w:t>
      </w:r>
      <w:proofErr w:type="spellStart"/>
      <w:r w:rsidRPr="009547D6">
        <w:rPr>
          <w:rFonts w:ascii="Arial" w:hAnsi="Arial" w:cs="Arial"/>
          <w:shd w:val="clear" w:color="auto" w:fill="FFFFFF"/>
        </w:rPr>
        <w:t>Ajungla</w:t>
      </w:r>
      <w:proofErr w:type="spellEnd"/>
      <w:r w:rsidRPr="009547D6">
        <w:rPr>
          <w:rFonts w:ascii="Arial" w:hAnsi="Arial" w:cs="Arial"/>
          <w:shd w:val="clear" w:color="auto" w:fill="FFFFFF"/>
        </w:rPr>
        <w:t xml:space="preserve">, T. (2022). Effect of shifting cultivation and fallow on soil quality index in </w:t>
      </w:r>
      <w:proofErr w:type="spellStart"/>
      <w:r w:rsidRPr="009547D6">
        <w:rPr>
          <w:rFonts w:ascii="Arial" w:hAnsi="Arial" w:cs="Arial"/>
          <w:shd w:val="clear" w:color="auto" w:fill="FFFFFF"/>
        </w:rPr>
        <w:t>Mokokchung</w:t>
      </w:r>
      <w:proofErr w:type="spellEnd"/>
      <w:r w:rsidRPr="009547D6">
        <w:rPr>
          <w:rFonts w:ascii="Arial" w:hAnsi="Arial" w:cs="Arial"/>
          <w:shd w:val="clear" w:color="auto" w:fill="FFFFFF"/>
        </w:rPr>
        <w:t xml:space="preserve"> district, Nagaland, India. Ecological Processes, 11(1), 1-16. https://doi.org/10.1186/s13717-022-00386-w</w:t>
      </w:r>
    </w:p>
    <w:p w14:paraId="44A8F5AE"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Thong, P., </w:t>
      </w:r>
      <w:proofErr w:type="spellStart"/>
      <w:r w:rsidRPr="009547D6">
        <w:rPr>
          <w:rFonts w:ascii="Arial" w:hAnsi="Arial" w:cs="Arial"/>
          <w:shd w:val="clear" w:color="auto" w:fill="FFFFFF"/>
        </w:rPr>
        <w:t>Pebam</w:t>
      </w:r>
      <w:proofErr w:type="spellEnd"/>
      <w:r w:rsidRPr="009547D6">
        <w:rPr>
          <w:rFonts w:ascii="Arial" w:hAnsi="Arial" w:cs="Arial"/>
          <w:shd w:val="clear" w:color="auto" w:fill="FFFFFF"/>
        </w:rPr>
        <w:t>, R., &amp; Sahoo, U. K. (2016). Recovery pattern of vegetation during succession following slash and burn agriculture in Mizoram, North-East India. Journal of Plant Biology and Soil Health, 3(2), 8-16.</w:t>
      </w:r>
    </w:p>
    <w:p w14:paraId="20E5F5EB"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Thong, P., </w:t>
      </w:r>
      <w:proofErr w:type="spellStart"/>
      <w:r w:rsidRPr="009547D6">
        <w:rPr>
          <w:rFonts w:ascii="Arial" w:hAnsi="Arial" w:cs="Arial"/>
          <w:shd w:val="clear" w:color="auto" w:fill="FFFFFF"/>
        </w:rPr>
        <w:t>Pebam</w:t>
      </w:r>
      <w:proofErr w:type="spellEnd"/>
      <w:r w:rsidRPr="009547D6">
        <w:rPr>
          <w:rFonts w:ascii="Arial" w:hAnsi="Arial" w:cs="Arial"/>
          <w:shd w:val="clear" w:color="auto" w:fill="FFFFFF"/>
        </w:rPr>
        <w:t xml:space="preserve">, R., &amp; Sahoo, U. K. (2018). A geospatial approach to understand the dynamics of shifting cultivation in </w:t>
      </w:r>
      <w:proofErr w:type="spellStart"/>
      <w:r w:rsidRPr="009547D6">
        <w:rPr>
          <w:rFonts w:ascii="Arial" w:hAnsi="Arial" w:cs="Arial"/>
          <w:shd w:val="clear" w:color="auto" w:fill="FFFFFF"/>
        </w:rPr>
        <w:t>Champhai</w:t>
      </w:r>
      <w:proofErr w:type="spellEnd"/>
      <w:r w:rsidRPr="009547D6">
        <w:rPr>
          <w:rFonts w:ascii="Arial" w:hAnsi="Arial" w:cs="Arial"/>
          <w:shd w:val="clear" w:color="auto" w:fill="FFFFFF"/>
        </w:rPr>
        <w:t xml:space="preserve"> district of Mizoram, North-East India. Journal of the Indian Society of Remote Sensing, 46(10), 1713-1723. https://doi.org/10.1007/s12524-018-0832-9</w:t>
      </w:r>
    </w:p>
    <w:p w14:paraId="31180CD1" w14:textId="77777777" w:rsidR="003F41A6" w:rsidRPr="009547D6" w:rsidRDefault="003F41A6" w:rsidP="003F41A6">
      <w:pPr>
        <w:autoSpaceDE w:val="0"/>
        <w:autoSpaceDN w:val="0"/>
        <w:adjustRightInd w:val="0"/>
        <w:spacing w:before="240"/>
        <w:jc w:val="both"/>
        <w:rPr>
          <w:rFonts w:ascii="Arial" w:hAnsi="Arial" w:cs="Arial"/>
        </w:rPr>
      </w:pPr>
      <w:r w:rsidRPr="009547D6">
        <w:rPr>
          <w:rFonts w:ascii="Arial" w:hAnsi="Arial" w:cs="Arial"/>
          <w:shd w:val="clear" w:color="auto" w:fill="FFFFFF"/>
        </w:rPr>
        <w:t xml:space="preserve">Thong, P., Sahoo, U. K., </w:t>
      </w:r>
      <w:proofErr w:type="spellStart"/>
      <w:r w:rsidRPr="009547D6">
        <w:rPr>
          <w:rFonts w:ascii="Arial" w:hAnsi="Arial" w:cs="Arial"/>
          <w:shd w:val="clear" w:color="auto" w:fill="FFFFFF"/>
        </w:rPr>
        <w:t>Pebam</w:t>
      </w:r>
      <w:proofErr w:type="spellEnd"/>
      <w:r w:rsidRPr="009547D6">
        <w:rPr>
          <w:rFonts w:ascii="Arial" w:hAnsi="Arial" w:cs="Arial"/>
          <w:shd w:val="clear" w:color="auto" w:fill="FFFFFF"/>
        </w:rPr>
        <w:t xml:space="preserve">, R., &amp; </w:t>
      </w:r>
      <w:proofErr w:type="spellStart"/>
      <w:r w:rsidRPr="009547D6">
        <w:rPr>
          <w:rFonts w:ascii="Arial" w:hAnsi="Arial" w:cs="Arial"/>
          <w:shd w:val="clear" w:color="auto" w:fill="FFFFFF"/>
        </w:rPr>
        <w:t>Thangjam</w:t>
      </w:r>
      <w:proofErr w:type="spellEnd"/>
      <w:r w:rsidRPr="009547D6">
        <w:rPr>
          <w:rFonts w:ascii="Arial" w:hAnsi="Arial" w:cs="Arial"/>
          <w:shd w:val="clear" w:color="auto" w:fill="FFFFFF"/>
        </w:rPr>
        <w:t xml:space="preserve">, U. (2019). Spatial and temporal dynamics of shifting cultivation in Manipur, Northeast India based on time-series satellite data. Remote Sensing Applications: Society and Environment, 14, 126-137. </w:t>
      </w:r>
      <w:hyperlink r:id="rId23" w:history="1">
        <w:r w:rsidRPr="009547D6">
          <w:rPr>
            <w:rStyle w:val="Hyperlink"/>
            <w:rFonts w:ascii="Arial" w:hAnsi="Arial" w:cs="Arial"/>
            <w:color w:val="auto"/>
            <w:u w:val="none"/>
            <w:shd w:val="clear" w:color="auto" w:fill="FFFFFF"/>
          </w:rPr>
          <w:t>https://doi.org/10.1016/j.rsase.2019.03.001</w:t>
        </w:r>
      </w:hyperlink>
    </w:p>
    <w:p w14:paraId="02B07C9B"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Thong, P., Sahoo, U. K., </w:t>
      </w:r>
      <w:proofErr w:type="spellStart"/>
      <w:r w:rsidRPr="009547D6">
        <w:rPr>
          <w:rFonts w:ascii="Arial" w:hAnsi="Arial" w:cs="Arial"/>
          <w:shd w:val="clear" w:color="auto" w:fill="FFFFFF"/>
        </w:rPr>
        <w:t>Thangjam</w:t>
      </w:r>
      <w:proofErr w:type="spellEnd"/>
      <w:r w:rsidRPr="009547D6">
        <w:rPr>
          <w:rFonts w:ascii="Arial" w:hAnsi="Arial" w:cs="Arial"/>
          <w:shd w:val="clear" w:color="auto" w:fill="FFFFFF"/>
        </w:rPr>
        <w:t xml:space="preserve">, U., &amp; </w:t>
      </w:r>
      <w:proofErr w:type="spellStart"/>
      <w:r w:rsidRPr="009547D6">
        <w:rPr>
          <w:rFonts w:ascii="Arial" w:hAnsi="Arial" w:cs="Arial"/>
          <w:shd w:val="clear" w:color="auto" w:fill="FFFFFF"/>
        </w:rPr>
        <w:t>Pebam</w:t>
      </w:r>
      <w:proofErr w:type="spellEnd"/>
      <w:r w:rsidRPr="009547D6">
        <w:rPr>
          <w:rFonts w:ascii="Arial" w:hAnsi="Arial" w:cs="Arial"/>
          <w:shd w:val="clear" w:color="auto" w:fill="FFFFFF"/>
        </w:rPr>
        <w:t>, R. (2020). Pattern of forest recovery and carbon stock following shifting cultivation in Manipur, North-East India. </w:t>
      </w:r>
      <w:proofErr w:type="spellStart"/>
      <w:r w:rsidRPr="009547D6">
        <w:rPr>
          <w:rFonts w:ascii="Arial" w:hAnsi="Arial" w:cs="Arial"/>
          <w:shd w:val="clear" w:color="auto" w:fill="FFFFFF"/>
        </w:rPr>
        <w:t>PloS</w:t>
      </w:r>
      <w:proofErr w:type="spellEnd"/>
      <w:r w:rsidRPr="009547D6">
        <w:rPr>
          <w:rFonts w:ascii="Arial" w:hAnsi="Arial" w:cs="Arial"/>
          <w:shd w:val="clear" w:color="auto" w:fill="FFFFFF"/>
        </w:rPr>
        <w:t xml:space="preserve"> one, 15(10), e0239906. </w:t>
      </w:r>
      <w:hyperlink r:id="rId24" w:history="1">
        <w:r w:rsidRPr="009547D6">
          <w:rPr>
            <w:rStyle w:val="Hyperlink"/>
            <w:rFonts w:ascii="Arial" w:hAnsi="Arial" w:cs="Arial"/>
            <w:color w:val="auto"/>
            <w:u w:val="none"/>
          </w:rPr>
          <w:t>https://doi.org/10.1371/journal.pone.0239906</w:t>
        </w:r>
      </w:hyperlink>
    </w:p>
    <w:p w14:paraId="47A8EF25" w14:textId="77777777" w:rsidR="003F41A6" w:rsidRPr="009547D6" w:rsidRDefault="003F41A6" w:rsidP="003F41A6">
      <w:pPr>
        <w:spacing w:before="240"/>
        <w:jc w:val="both"/>
        <w:rPr>
          <w:rFonts w:ascii="Arial" w:hAnsi="Arial" w:cs="Arial"/>
          <w:shd w:val="clear" w:color="auto" w:fill="FFFFFF"/>
        </w:rPr>
      </w:pPr>
      <w:r w:rsidRPr="009547D6">
        <w:rPr>
          <w:rFonts w:ascii="Arial" w:hAnsi="Arial" w:cs="Arial"/>
          <w:shd w:val="clear" w:color="auto" w:fill="FFFFFF"/>
        </w:rPr>
        <w:t xml:space="preserve">Tiwari, B. K. (2014). Policies and alternative options to Shifting cultivation in northeast India-a review 2004-2014. North-East University, </w:t>
      </w:r>
      <w:proofErr w:type="spellStart"/>
      <w:r w:rsidRPr="009547D6">
        <w:rPr>
          <w:rFonts w:ascii="Arial" w:hAnsi="Arial" w:cs="Arial"/>
          <w:shd w:val="clear" w:color="auto" w:fill="FFFFFF"/>
        </w:rPr>
        <w:t>Shillong</w:t>
      </w:r>
      <w:proofErr w:type="spellEnd"/>
      <w:r w:rsidRPr="009547D6">
        <w:rPr>
          <w:rFonts w:ascii="Arial" w:hAnsi="Arial" w:cs="Arial"/>
          <w:shd w:val="clear" w:color="auto" w:fill="FFFFFF"/>
        </w:rPr>
        <w:t xml:space="preserve">. </w:t>
      </w:r>
      <w:hyperlink r:id="rId25" w:history="1">
        <w:r w:rsidRPr="009547D6">
          <w:rPr>
            <w:rStyle w:val="Hyperlink"/>
            <w:rFonts w:ascii="Arial" w:hAnsi="Arial" w:cs="Arial"/>
            <w:color w:val="auto"/>
            <w:u w:val="none"/>
            <w:shd w:val="clear" w:color="auto" w:fill="FFFFFF"/>
          </w:rPr>
          <w:t>http://dx.doi.org/10.13140/RG.2.2.28006.83522</w:t>
        </w:r>
      </w:hyperlink>
    </w:p>
    <w:p w14:paraId="36EB380F" w14:textId="77777777" w:rsidR="003F41A6" w:rsidRPr="009547D6" w:rsidRDefault="003F41A6" w:rsidP="003F41A6">
      <w:pPr>
        <w:spacing w:before="240"/>
        <w:jc w:val="both"/>
        <w:rPr>
          <w:rFonts w:ascii="Arial" w:hAnsi="Arial" w:cs="Arial"/>
        </w:rPr>
      </w:pPr>
      <w:r w:rsidRPr="009547D6">
        <w:rPr>
          <w:rFonts w:ascii="Arial" w:hAnsi="Arial" w:cs="Arial"/>
        </w:rPr>
        <w:t xml:space="preserve">Tripathi, R. S. &amp; S. K. Barik. (2003). Shifting cultivation in north-east India. In: Proceedings: In B. P. Bhatt, K. M. </w:t>
      </w:r>
      <w:proofErr w:type="spellStart"/>
      <w:proofErr w:type="gramStart"/>
      <w:r w:rsidRPr="009547D6">
        <w:rPr>
          <w:rFonts w:ascii="Arial" w:hAnsi="Arial" w:cs="Arial"/>
        </w:rPr>
        <w:t>Bujarbaruah,Y</w:t>
      </w:r>
      <w:proofErr w:type="spellEnd"/>
      <w:r w:rsidRPr="009547D6">
        <w:rPr>
          <w:rFonts w:ascii="Arial" w:hAnsi="Arial" w:cs="Arial"/>
        </w:rPr>
        <w:t>.</w:t>
      </w:r>
      <w:proofErr w:type="gramEnd"/>
      <w:r w:rsidRPr="009547D6">
        <w:rPr>
          <w:rFonts w:ascii="Arial" w:hAnsi="Arial" w:cs="Arial"/>
        </w:rPr>
        <w:t xml:space="preserve"> P. Sharma, &amp; </w:t>
      </w:r>
      <w:proofErr w:type="spellStart"/>
      <w:r w:rsidRPr="009547D6">
        <w:rPr>
          <w:rFonts w:ascii="Arial" w:hAnsi="Arial" w:cs="Arial"/>
        </w:rPr>
        <w:t>Patiram</w:t>
      </w:r>
      <w:proofErr w:type="spellEnd"/>
      <w:r w:rsidRPr="009547D6">
        <w:rPr>
          <w:rFonts w:ascii="Arial" w:hAnsi="Arial" w:cs="Arial"/>
        </w:rPr>
        <w:t xml:space="preserve"> (Eds.), Approaches for increasing agricultural productivity in hill and Mountain ecosystem (pp. 317-322). Meghalaya: ICAR Research Complex for NEH Region.</w:t>
      </w:r>
    </w:p>
    <w:p w14:paraId="78D26B37" w14:textId="77777777" w:rsidR="003F41A6" w:rsidRPr="009547D6" w:rsidRDefault="003F41A6" w:rsidP="003F41A6">
      <w:pPr>
        <w:autoSpaceDE w:val="0"/>
        <w:autoSpaceDN w:val="0"/>
        <w:adjustRightInd w:val="0"/>
        <w:spacing w:before="240"/>
        <w:jc w:val="both"/>
        <w:rPr>
          <w:rFonts w:ascii="Arial" w:hAnsi="Arial" w:cs="Arial"/>
          <w:shd w:val="clear" w:color="auto" w:fill="FFFFFF"/>
        </w:rPr>
      </w:pPr>
      <w:r w:rsidRPr="009547D6">
        <w:rPr>
          <w:rFonts w:ascii="Arial" w:hAnsi="Arial" w:cs="Arial"/>
          <w:shd w:val="clear" w:color="auto" w:fill="FFFFFF"/>
        </w:rPr>
        <w:t xml:space="preserve">Trivedi, K. (2022). Indigenous Farming Revival by Women in Nagaland. In A. K. Shaw, Y. Natori, &amp; S. </w:t>
      </w:r>
      <w:proofErr w:type="spellStart"/>
      <w:r w:rsidRPr="009547D6">
        <w:rPr>
          <w:rFonts w:ascii="Arial" w:hAnsi="Arial" w:cs="Arial"/>
          <w:shd w:val="clear" w:color="auto" w:fill="FFFFFF"/>
        </w:rPr>
        <w:t>Edake</w:t>
      </w:r>
      <w:proofErr w:type="spellEnd"/>
      <w:r w:rsidRPr="009547D6">
        <w:rPr>
          <w:rFonts w:ascii="Arial" w:hAnsi="Arial" w:cs="Arial"/>
          <w:shd w:val="clear" w:color="auto" w:fill="FFFFFF"/>
        </w:rPr>
        <w:t xml:space="preserve"> (Eds.), A Tradition in Transition: Understanding the Role of Shifting Cultivation for Sustainable Development of Northeast India (pp. 171-196). New Delhi: TERI Press.</w:t>
      </w:r>
    </w:p>
    <w:p w14:paraId="73002BB3" w14:textId="6BCEAC8E" w:rsidR="00B57163" w:rsidRPr="009547D6" w:rsidRDefault="00B57163" w:rsidP="000A5F47">
      <w:pPr>
        <w:spacing w:before="240"/>
        <w:jc w:val="both"/>
        <w:rPr>
          <w:rFonts w:ascii="Arial" w:hAnsi="Arial" w:cs="Arial"/>
          <w:shd w:val="clear" w:color="auto" w:fill="FFFFFF"/>
        </w:rPr>
      </w:pPr>
      <w:r w:rsidRPr="009547D6">
        <w:rPr>
          <w:rFonts w:ascii="Arial" w:hAnsi="Arial" w:cs="Arial"/>
          <w:shd w:val="clear" w:color="auto" w:fill="FFFFFF"/>
        </w:rPr>
        <w:t xml:space="preserve">Van Vliet, N., Mertz, O., </w:t>
      </w:r>
      <w:proofErr w:type="spellStart"/>
      <w:r w:rsidRPr="009547D6">
        <w:rPr>
          <w:rFonts w:ascii="Arial" w:hAnsi="Arial" w:cs="Arial"/>
          <w:shd w:val="clear" w:color="auto" w:fill="FFFFFF"/>
        </w:rPr>
        <w:t>Heinimann</w:t>
      </w:r>
      <w:proofErr w:type="spellEnd"/>
      <w:r w:rsidRPr="009547D6">
        <w:rPr>
          <w:rFonts w:ascii="Arial" w:hAnsi="Arial" w:cs="Arial"/>
          <w:shd w:val="clear" w:color="auto" w:fill="FFFFFF"/>
        </w:rPr>
        <w:t xml:space="preserve">, A., </w:t>
      </w:r>
      <w:proofErr w:type="spellStart"/>
      <w:r w:rsidRPr="009547D6">
        <w:rPr>
          <w:rFonts w:ascii="Arial" w:hAnsi="Arial" w:cs="Arial"/>
          <w:shd w:val="clear" w:color="auto" w:fill="FFFFFF"/>
        </w:rPr>
        <w:t>Langanke</w:t>
      </w:r>
      <w:proofErr w:type="spellEnd"/>
      <w:r w:rsidRPr="009547D6">
        <w:rPr>
          <w:rFonts w:ascii="Arial" w:hAnsi="Arial" w:cs="Arial"/>
          <w:shd w:val="clear" w:color="auto" w:fill="FFFFFF"/>
        </w:rPr>
        <w:t xml:space="preserve">, T., Pascual, U., </w:t>
      </w:r>
      <w:proofErr w:type="spellStart"/>
      <w:r w:rsidRPr="009547D6">
        <w:rPr>
          <w:rFonts w:ascii="Arial" w:hAnsi="Arial" w:cs="Arial"/>
          <w:shd w:val="clear" w:color="auto" w:fill="FFFFFF"/>
        </w:rPr>
        <w:t>Schmook</w:t>
      </w:r>
      <w:proofErr w:type="spellEnd"/>
      <w:r w:rsidRPr="009547D6">
        <w:rPr>
          <w:rFonts w:ascii="Arial" w:hAnsi="Arial" w:cs="Arial"/>
          <w:shd w:val="clear" w:color="auto" w:fill="FFFFFF"/>
        </w:rPr>
        <w:t xml:space="preserve">, B., </w:t>
      </w:r>
      <w:r w:rsidRPr="009547D6">
        <w:rPr>
          <w:rFonts w:ascii="Arial" w:hAnsi="Arial" w:cs="Arial"/>
          <w:shd w:val="clear" w:color="auto" w:fill="FFFFFF"/>
        </w:rPr>
        <w:br/>
        <w:t>Adams, </w:t>
      </w:r>
      <w:bookmarkStart w:id="2" w:name="baep-author-id18-profile"/>
      <w:r w:rsidRPr="009547D6">
        <w:rPr>
          <w:rFonts w:ascii="Arial" w:hAnsi="Arial" w:cs="Arial"/>
          <w:shd w:val="clear" w:color="auto" w:fill="FFFFFF"/>
        </w:rPr>
        <w:t>C., Schmidt-Vogt</w:t>
      </w:r>
      <w:bookmarkEnd w:id="2"/>
      <w:r w:rsidRPr="009547D6">
        <w:rPr>
          <w:rFonts w:ascii="Arial" w:hAnsi="Arial" w:cs="Arial"/>
          <w:shd w:val="clear" w:color="auto" w:fill="FFFFFF"/>
        </w:rPr>
        <w:t>, </w:t>
      </w:r>
      <w:bookmarkStart w:id="3" w:name="baep-author-id19-profile"/>
      <w:r w:rsidRPr="009547D6">
        <w:rPr>
          <w:rFonts w:ascii="Arial" w:hAnsi="Arial" w:cs="Arial"/>
          <w:shd w:val="clear" w:color="auto" w:fill="FFFFFF"/>
        </w:rPr>
        <w:t>D., Messerli</w:t>
      </w:r>
      <w:bookmarkEnd w:id="3"/>
      <w:r w:rsidRPr="009547D6">
        <w:rPr>
          <w:rFonts w:ascii="Arial" w:hAnsi="Arial" w:cs="Arial"/>
          <w:shd w:val="clear" w:color="auto" w:fill="FFFFFF"/>
        </w:rPr>
        <w:t>,</w:t>
      </w:r>
      <w:bookmarkStart w:id="4" w:name="baep-author-id20-profile"/>
      <w:r w:rsidRPr="009547D6">
        <w:rPr>
          <w:rFonts w:ascii="Arial" w:hAnsi="Arial" w:cs="Arial"/>
          <w:shd w:val="clear" w:color="auto" w:fill="FFFFFF"/>
        </w:rPr>
        <w:t xml:space="preserve"> P., </w:t>
      </w:r>
      <w:proofErr w:type="spellStart"/>
      <w:r w:rsidRPr="009547D6">
        <w:rPr>
          <w:rFonts w:ascii="Arial" w:hAnsi="Arial" w:cs="Arial"/>
          <w:shd w:val="clear" w:color="auto" w:fill="FFFFFF"/>
        </w:rPr>
        <w:t>Leisz</w:t>
      </w:r>
      <w:bookmarkEnd w:id="4"/>
      <w:proofErr w:type="spellEnd"/>
      <w:r w:rsidRPr="009547D6">
        <w:rPr>
          <w:rFonts w:ascii="Arial" w:hAnsi="Arial" w:cs="Arial"/>
          <w:shd w:val="clear" w:color="auto" w:fill="FFFFFF"/>
        </w:rPr>
        <w:t>, </w:t>
      </w:r>
      <w:bookmarkStart w:id="5" w:name="baep-author-id21-profile"/>
      <w:r w:rsidRPr="009547D6">
        <w:rPr>
          <w:rFonts w:ascii="Arial" w:hAnsi="Arial" w:cs="Arial"/>
          <w:shd w:val="clear" w:color="auto" w:fill="FFFFFF"/>
        </w:rPr>
        <w:t>S., Castella</w:t>
      </w:r>
      <w:bookmarkEnd w:id="5"/>
      <w:r w:rsidRPr="009547D6">
        <w:rPr>
          <w:rFonts w:ascii="Arial" w:hAnsi="Arial" w:cs="Arial"/>
          <w:shd w:val="clear" w:color="auto" w:fill="FFFFFF"/>
        </w:rPr>
        <w:t xml:space="preserve">, J. C., </w:t>
      </w:r>
      <w:proofErr w:type="spellStart"/>
      <w:r w:rsidRPr="009547D6">
        <w:rPr>
          <w:rFonts w:ascii="Arial" w:hAnsi="Arial" w:cs="Arial"/>
          <w:shd w:val="clear" w:color="auto" w:fill="FFFFFF"/>
        </w:rPr>
        <w:t>Jørgensen</w:t>
      </w:r>
      <w:proofErr w:type="spellEnd"/>
      <w:r w:rsidRPr="009547D6">
        <w:rPr>
          <w:rFonts w:ascii="Arial" w:hAnsi="Arial" w:cs="Arial"/>
          <w:shd w:val="clear" w:color="auto" w:fill="FFFFFF"/>
        </w:rPr>
        <w:t xml:space="preserve">, L., Birch-Thomsen, T., </w:t>
      </w:r>
      <w:proofErr w:type="spellStart"/>
      <w:r w:rsidRPr="009547D6">
        <w:rPr>
          <w:rFonts w:ascii="Arial" w:hAnsi="Arial" w:cs="Arial"/>
          <w:shd w:val="clear" w:color="auto" w:fill="FFFFFF"/>
        </w:rPr>
        <w:t>Hett</w:t>
      </w:r>
      <w:proofErr w:type="spellEnd"/>
      <w:r w:rsidRPr="009547D6">
        <w:rPr>
          <w:rFonts w:ascii="Arial" w:hAnsi="Arial" w:cs="Arial"/>
          <w:shd w:val="clear" w:color="auto" w:fill="FFFFFF"/>
        </w:rPr>
        <w:t>, </w:t>
      </w:r>
      <w:bookmarkStart w:id="6" w:name="baep-author-id25-profile"/>
      <w:r w:rsidRPr="009547D6">
        <w:rPr>
          <w:rFonts w:ascii="Arial" w:hAnsi="Arial" w:cs="Arial"/>
          <w:shd w:val="clear" w:color="auto" w:fill="FFFFFF"/>
        </w:rPr>
        <w:t xml:space="preserve">C., </w:t>
      </w:r>
      <w:proofErr w:type="spellStart"/>
      <w:r w:rsidRPr="009547D6">
        <w:rPr>
          <w:rFonts w:ascii="Arial" w:hAnsi="Arial" w:cs="Arial"/>
          <w:shd w:val="clear" w:color="auto" w:fill="FFFFFF"/>
        </w:rPr>
        <w:t>Bech-Bruun</w:t>
      </w:r>
      <w:bookmarkEnd w:id="6"/>
      <w:proofErr w:type="spellEnd"/>
      <w:r w:rsidRPr="009547D6">
        <w:rPr>
          <w:rFonts w:ascii="Arial" w:hAnsi="Arial" w:cs="Arial"/>
          <w:shd w:val="clear" w:color="auto" w:fill="FFFFFF"/>
        </w:rPr>
        <w:t>,</w:t>
      </w:r>
      <w:bookmarkStart w:id="7" w:name="baep-author-id26-profile"/>
      <w:r w:rsidRPr="009547D6">
        <w:rPr>
          <w:rFonts w:ascii="Arial" w:hAnsi="Arial" w:cs="Arial"/>
          <w:shd w:val="clear" w:color="auto" w:fill="FFFFFF"/>
        </w:rPr>
        <w:t xml:space="preserve"> T., </w:t>
      </w:r>
      <w:proofErr w:type="spellStart"/>
      <w:r w:rsidRPr="009547D6">
        <w:rPr>
          <w:rFonts w:ascii="Arial" w:hAnsi="Arial" w:cs="Arial"/>
          <w:shd w:val="clear" w:color="auto" w:fill="FFFFFF"/>
        </w:rPr>
        <w:t>Ickowitz</w:t>
      </w:r>
      <w:bookmarkEnd w:id="7"/>
      <w:proofErr w:type="spellEnd"/>
      <w:r w:rsidRPr="009547D6">
        <w:rPr>
          <w:rFonts w:ascii="Arial" w:hAnsi="Arial" w:cs="Arial"/>
          <w:shd w:val="clear" w:color="auto" w:fill="FFFFFF"/>
        </w:rPr>
        <w:t xml:space="preserve">, A., Kim, C. V., </w:t>
      </w:r>
      <w:proofErr w:type="spellStart"/>
      <w:r w:rsidRPr="009547D6">
        <w:rPr>
          <w:rFonts w:ascii="Arial" w:hAnsi="Arial" w:cs="Arial"/>
          <w:shd w:val="clear" w:color="auto" w:fill="FFFFFF"/>
        </w:rPr>
        <w:t>Yasuyuki</w:t>
      </w:r>
      <w:bookmarkStart w:id="8" w:name="baep-author-id29-profile"/>
      <w:proofErr w:type="spellEnd"/>
      <w:r w:rsidRPr="009547D6">
        <w:rPr>
          <w:rFonts w:ascii="Arial" w:hAnsi="Arial" w:cs="Arial"/>
          <w:shd w:val="clear" w:color="auto" w:fill="FFFFFF"/>
        </w:rPr>
        <w:t>, K., Fox</w:t>
      </w:r>
      <w:bookmarkEnd w:id="8"/>
      <w:r w:rsidRPr="009547D6">
        <w:rPr>
          <w:rFonts w:ascii="Arial" w:hAnsi="Arial" w:cs="Arial"/>
          <w:shd w:val="clear" w:color="auto" w:fill="FFFFFF"/>
        </w:rPr>
        <w:t xml:space="preserve">, J., &amp; Ziegler, A. D. (2012). Trends, drivers and impacts of changes in </w:t>
      </w:r>
      <w:proofErr w:type="spellStart"/>
      <w:r w:rsidRPr="009547D6">
        <w:rPr>
          <w:rFonts w:ascii="Arial" w:hAnsi="Arial" w:cs="Arial"/>
          <w:shd w:val="clear" w:color="auto" w:fill="FFFFFF"/>
        </w:rPr>
        <w:t>swidden</w:t>
      </w:r>
      <w:proofErr w:type="spellEnd"/>
      <w:r w:rsidRPr="009547D6">
        <w:rPr>
          <w:rFonts w:ascii="Arial" w:hAnsi="Arial" w:cs="Arial"/>
          <w:shd w:val="clear" w:color="auto" w:fill="FFFFFF"/>
        </w:rPr>
        <w:t xml:space="preserve"> cultivation in tropical forest-agriculture frontiers: a global assessment. Global environmental change, 22(2), 418-429.</w:t>
      </w:r>
      <w:r w:rsidR="009A11A9" w:rsidRPr="009547D6">
        <w:rPr>
          <w:rFonts w:ascii="Arial" w:hAnsi="Arial" w:cs="Arial"/>
          <w:shd w:val="clear" w:color="auto" w:fill="FFFFFF"/>
        </w:rPr>
        <w:t xml:space="preserve"> https://doi.org/10.1016/j.gloenvcha.2011.10.009</w:t>
      </w:r>
    </w:p>
    <w:p w14:paraId="24408DA7" w14:textId="3D8A0575" w:rsidR="003F41A6" w:rsidRPr="009547D6" w:rsidRDefault="003F41A6" w:rsidP="000A5F47">
      <w:pPr>
        <w:spacing w:before="240"/>
        <w:jc w:val="both"/>
        <w:rPr>
          <w:rFonts w:ascii="Arial" w:hAnsi="Arial" w:cs="Arial"/>
        </w:rPr>
      </w:pPr>
      <w:r w:rsidRPr="009547D6">
        <w:rPr>
          <w:rFonts w:ascii="Arial" w:hAnsi="Arial" w:cs="Arial"/>
          <w:shd w:val="clear" w:color="auto" w:fill="FFFFFF"/>
        </w:rPr>
        <w:t>Yadav, P. K. (2013). Slash-and-burn agriculture in north-east India. Journal Expert Opinion Environmental Biology, 2, 2-5. http://dx.doi.org/10.4172/23259655.1000102</w:t>
      </w:r>
    </w:p>
    <w:sectPr w:rsidR="003F41A6" w:rsidRPr="009547D6" w:rsidSect="008D01A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19C9" w14:textId="77777777" w:rsidR="00DF2A88" w:rsidRDefault="00DF2A88" w:rsidP="00C37E61">
      <w:r>
        <w:separator/>
      </w:r>
    </w:p>
  </w:endnote>
  <w:endnote w:type="continuationSeparator" w:id="0">
    <w:p w14:paraId="116612A2" w14:textId="77777777" w:rsidR="00DF2A88" w:rsidRDefault="00DF2A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5365" w14:textId="77777777" w:rsidR="008D01A7" w:rsidRDefault="008D0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294D" w14:textId="77777777" w:rsidR="008D01A7" w:rsidRDefault="008D0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7A5" w14:textId="5BDB9265" w:rsidR="00754C9A" w:rsidRPr="008D01A7" w:rsidRDefault="00754C9A" w:rsidP="008D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BB711" w14:textId="77777777" w:rsidR="00DF2A88" w:rsidRDefault="00DF2A88" w:rsidP="00C37E61">
      <w:r>
        <w:separator/>
      </w:r>
    </w:p>
  </w:footnote>
  <w:footnote w:type="continuationSeparator" w:id="0">
    <w:p w14:paraId="2C956C86" w14:textId="77777777" w:rsidR="00DF2A88" w:rsidRDefault="00DF2A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2E21" w14:textId="1BCFFE75" w:rsidR="008D01A7" w:rsidRDefault="00DF2A88">
    <w:pPr>
      <w:pStyle w:val="Header"/>
    </w:pPr>
    <w:r>
      <w:rPr>
        <w:noProof/>
      </w:rPr>
      <w:pict w14:anchorId="3D951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1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6838" w14:textId="7A2440EC" w:rsidR="008D01A7" w:rsidRDefault="00DF2A88">
    <w:pPr>
      <w:pStyle w:val="Header"/>
    </w:pPr>
    <w:r>
      <w:rPr>
        <w:noProof/>
      </w:rPr>
      <w:pict w14:anchorId="435A4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1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668C" w14:textId="7990BEBF" w:rsidR="00296529" w:rsidRPr="00296529" w:rsidRDefault="00DF2A88" w:rsidP="00296529">
    <w:pPr>
      <w:ind w:left="2160"/>
      <w:jc w:val="center"/>
      <w:rPr>
        <w:rFonts w:ascii="Times New Roman" w:eastAsia="Calibri" w:hAnsi="Times New Roman"/>
        <w:i/>
        <w:sz w:val="18"/>
        <w:szCs w:val="22"/>
      </w:rPr>
    </w:pPr>
    <w:r>
      <w:rPr>
        <w:noProof/>
      </w:rPr>
      <w:pict w14:anchorId="0B73E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1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82CF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4EA0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353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466B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A8FD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04CF3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6006EA"/>
    <w:multiLevelType w:val="hybridMultilevel"/>
    <w:tmpl w:val="F7EE2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269"/>
    <w:rsid w:val="00030174"/>
    <w:rsid w:val="000326E5"/>
    <w:rsid w:val="000356EF"/>
    <w:rsid w:val="0004579C"/>
    <w:rsid w:val="00045DCC"/>
    <w:rsid w:val="00091E64"/>
    <w:rsid w:val="00092C2E"/>
    <w:rsid w:val="000A47FA"/>
    <w:rsid w:val="000A5F47"/>
    <w:rsid w:val="000A65D3"/>
    <w:rsid w:val="000B1E33"/>
    <w:rsid w:val="000B79FF"/>
    <w:rsid w:val="000C12DE"/>
    <w:rsid w:val="000C3CCD"/>
    <w:rsid w:val="000C7563"/>
    <w:rsid w:val="000D2CBA"/>
    <w:rsid w:val="000D689F"/>
    <w:rsid w:val="000D7FCF"/>
    <w:rsid w:val="000E0E3E"/>
    <w:rsid w:val="000E7B7B"/>
    <w:rsid w:val="000E7D62"/>
    <w:rsid w:val="00103357"/>
    <w:rsid w:val="00110ACF"/>
    <w:rsid w:val="00123C9F"/>
    <w:rsid w:val="00126190"/>
    <w:rsid w:val="00130F17"/>
    <w:rsid w:val="001320BF"/>
    <w:rsid w:val="0015096F"/>
    <w:rsid w:val="00150D08"/>
    <w:rsid w:val="00163BC4"/>
    <w:rsid w:val="00191062"/>
    <w:rsid w:val="00192B72"/>
    <w:rsid w:val="0019462D"/>
    <w:rsid w:val="001A29D8"/>
    <w:rsid w:val="001A5CAA"/>
    <w:rsid w:val="001B0427"/>
    <w:rsid w:val="001C5018"/>
    <w:rsid w:val="001D3A51"/>
    <w:rsid w:val="001E10D2"/>
    <w:rsid w:val="001E25B4"/>
    <w:rsid w:val="001E44FE"/>
    <w:rsid w:val="00200595"/>
    <w:rsid w:val="00204835"/>
    <w:rsid w:val="002204E6"/>
    <w:rsid w:val="00231920"/>
    <w:rsid w:val="0023195C"/>
    <w:rsid w:val="00234CE3"/>
    <w:rsid w:val="0024282C"/>
    <w:rsid w:val="00243109"/>
    <w:rsid w:val="00244492"/>
    <w:rsid w:val="002460DC"/>
    <w:rsid w:val="00250985"/>
    <w:rsid w:val="002556F6"/>
    <w:rsid w:val="00283105"/>
    <w:rsid w:val="00284C4C"/>
    <w:rsid w:val="00287E68"/>
    <w:rsid w:val="00296529"/>
    <w:rsid w:val="00297AA1"/>
    <w:rsid w:val="002B27FB"/>
    <w:rsid w:val="002B685A"/>
    <w:rsid w:val="002B76CF"/>
    <w:rsid w:val="002C4F63"/>
    <w:rsid w:val="002C57D2"/>
    <w:rsid w:val="002E0D56"/>
    <w:rsid w:val="002F6866"/>
    <w:rsid w:val="00315186"/>
    <w:rsid w:val="0032021F"/>
    <w:rsid w:val="0033343E"/>
    <w:rsid w:val="003512C2"/>
    <w:rsid w:val="003630E8"/>
    <w:rsid w:val="00367B3C"/>
    <w:rsid w:val="00371FB6"/>
    <w:rsid w:val="003763C1"/>
    <w:rsid w:val="00376BBE"/>
    <w:rsid w:val="0039224F"/>
    <w:rsid w:val="003A43A4"/>
    <w:rsid w:val="003A7E18"/>
    <w:rsid w:val="003B7C39"/>
    <w:rsid w:val="003C4B6A"/>
    <w:rsid w:val="003C4C86"/>
    <w:rsid w:val="003C56DF"/>
    <w:rsid w:val="003C6258"/>
    <w:rsid w:val="003E0928"/>
    <w:rsid w:val="003E2904"/>
    <w:rsid w:val="003F3C0D"/>
    <w:rsid w:val="003F41A6"/>
    <w:rsid w:val="00401927"/>
    <w:rsid w:val="004072FC"/>
    <w:rsid w:val="0041027F"/>
    <w:rsid w:val="00412475"/>
    <w:rsid w:val="00423789"/>
    <w:rsid w:val="004317CB"/>
    <w:rsid w:val="0043395C"/>
    <w:rsid w:val="00440F43"/>
    <w:rsid w:val="00441B6F"/>
    <w:rsid w:val="00446221"/>
    <w:rsid w:val="00447267"/>
    <w:rsid w:val="00450E62"/>
    <w:rsid w:val="004539DB"/>
    <w:rsid w:val="0046269F"/>
    <w:rsid w:val="00471A80"/>
    <w:rsid w:val="00477771"/>
    <w:rsid w:val="004D305E"/>
    <w:rsid w:val="004D4277"/>
    <w:rsid w:val="004E54AA"/>
    <w:rsid w:val="00502516"/>
    <w:rsid w:val="00505F06"/>
    <w:rsid w:val="00506828"/>
    <w:rsid w:val="0053056E"/>
    <w:rsid w:val="0054119A"/>
    <w:rsid w:val="005446FE"/>
    <w:rsid w:val="00554FDA"/>
    <w:rsid w:val="005649DE"/>
    <w:rsid w:val="005B2F73"/>
    <w:rsid w:val="005C784C"/>
    <w:rsid w:val="005D17F6"/>
    <w:rsid w:val="005E09A6"/>
    <w:rsid w:val="005E5539"/>
    <w:rsid w:val="005F435B"/>
    <w:rsid w:val="005F7A5C"/>
    <w:rsid w:val="00600917"/>
    <w:rsid w:val="00602BF5"/>
    <w:rsid w:val="0061295B"/>
    <w:rsid w:val="00617FDD"/>
    <w:rsid w:val="0063271A"/>
    <w:rsid w:val="006334BD"/>
    <w:rsid w:val="00633614"/>
    <w:rsid w:val="00633F68"/>
    <w:rsid w:val="006343C4"/>
    <w:rsid w:val="00636EB2"/>
    <w:rsid w:val="006375B8"/>
    <w:rsid w:val="006558E2"/>
    <w:rsid w:val="0066510A"/>
    <w:rsid w:val="00673F9F"/>
    <w:rsid w:val="00677E1E"/>
    <w:rsid w:val="006864C9"/>
    <w:rsid w:val="00686953"/>
    <w:rsid w:val="00687DEA"/>
    <w:rsid w:val="00687E67"/>
    <w:rsid w:val="006967F7"/>
    <w:rsid w:val="006A250C"/>
    <w:rsid w:val="006B21D3"/>
    <w:rsid w:val="006B57D0"/>
    <w:rsid w:val="006D30FF"/>
    <w:rsid w:val="006D6940"/>
    <w:rsid w:val="006F11EC"/>
    <w:rsid w:val="006F2EA3"/>
    <w:rsid w:val="0070082C"/>
    <w:rsid w:val="007369E6"/>
    <w:rsid w:val="00746E59"/>
    <w:rsid w:val="00754C9A"/>
    <w:rsid w:val="0075599A"/>
    <w:rsid w:val="00761D52"/>
    <w:rsid w:val="00776BEC"/>
    <w:rsid w:val="0077749E"/>
    <w:rsid w:val="00790ADA"/>
    <w:rsid w:val="007C35EE"/>
    <w:rsid w:val="007D2288"/>
    <w:rsid w:val="007D70EE"/>
    <w:rsid w:val="007D7812"/>
    <w:rsid w:val="007E088F"/>
    <w:rsid w:val="007E7680"/>
    <w:rsid w:val="007F69AA"/>
    <w:rsid w:val="007F7B32"/>
    <w:rsid w:val="00804BC2"/>
    <w:rsid w:val="0080742B"/>
    <w:rsid w:val="0081431A"/>
    <w:rsid w:val="0083216F"/>
    <w:rsid w:val="008509C1"/>
    <w:rsid w:val="008515F3"/>
    <w:rsid w:val="00860000"/>
    <w:rsid w:val="00863BD3"/>
    <w:rsid w:val="008641ED"/>
    <w:rsid w:val="00866D66"/>
    <w:rsid w:val="008671C6"/>
    <w:rsid w:val="00875803"/>
    <w:rsid w:val="00883C3F"/>
    <w:rsid w:val="008A33D5"/>
    <w:rsid w:val="008B0841"/>
    <w:rsid w:val="008B459E"/>
    <w:rsid w:val="008B7953"/>
    <w:rsid w:val="008C11F0"/>
    <w:rsid w:val="008D01A7"/>
    <w:rsid w:val="008D14E2"/>
    <w:rsid w:val="008E0007"/>
    <w:rsid w:val="008E13AE"/>
    <w:rsid w:val="008E1506"/>
    <w:rsid w:val="008E710C"/>
    <w:rsid w:val="008F69D6"/>
    <w:rsid w:val="00902823"/>
    <w:rsid w:val="00903AAB"/>
    <w:rsid w:val="00906151"/>
    <w:rsid w:val="009133AF"/>
    <w:rsid w:val="00915CA6"/>
    <w:rsid w:val="00926C27"/>
    <w:rsid w:val="00927834"/>
    <w:rsid w:val="009500A6"/>
    <w:rsid w:val="009547D6"/>
    <w:rsid w:val="00957825"/>
    <w:rsid w:val="00957C18"/>
    <w:rsid w:val="009659BA"/>
    <w:rsid w:val="00975410"/>
    <w:rsid w:val="00983040"/>
    <w:rsid w:val="00985C62"/>
    <w:rsid w:val="009A11A9"/>
    <w:rsid w:val="009B3FB9"/>
    <w:rsid w:val="009C1423"/>
    <w:rsid w:val="009C2465"/>
    <w:rsid w:val="009C7737"/>
    <w:rsid w:val="009D35A0"/>
    <w:rsid w:val="009D7EB7"/>
    <w:rsid w:val="009E048A"/>
    <w:rsid w:val="009E08E9"/>
    <w:rsid w:val="009E3DB9"/>
    <w:rsid w:val="009E6E35"/>
    <w:rsid w:val="009F0EDA"/>
    <w:rsid w:val="00A01114"/>
    <w:rsid w:val="00A03B96"/>
    <w:rsid w:val="00A05B19"/>
    <w:rsid w:val="00A1134E"/>
    <w:rsid w:val="00A16B41"/>
    <w:rsid w:val="00A24E7E"/>
    <w:rsid w:val="00A258C3"/>
    <w:rsid w:val="00A347C0"/>
    <w:rsid w:val="00A51431"/>
    <w:rsid w:val="00A539AD"/>
    <w:rsid w:val="00A65B42"/>
    <w:rsid w:val="00A80674"/>
    <w:rsid w:val="00A94063"/>
    <w:rsid w:val="00A950F0"/>
    <w:rsid w:val="00AA6219"/>
    <w:rsid w:val="00AA74E0"/>
    <w:rsid w:val="00AB703F"/>
    <w:rsid w:val="00AC05D5"/>
    <w:rsid w:val="00AC6BB8"/>
    <w:rsid w:val="00AD454F"/>
    <w:rsid w:val="00AE008F"/>
    <w:rsid w:val="00AF1FCE"/>
    <w:rsid w:val="00B01FCD"/>
    <w:rsid w:val="00B1776C"/>
    <w:rsid w:val="00B31816"/>
    <w:rsid w:val="00B31DDB"/>
    <w:rsid w:val="00B3666E"/>
    <w:rsid w:val="00B52583"/>
    <w:rsid w:val="00B52896"/>
    <w:rsid w:val="00B57163"/>
    <w:rsid w:val="00B62686"/>
    <w:rsid w:val="00B62EEA"/>
    <w:rsid w:val="00B646F6"/>
    <w:rsid w:val="00B7039B"/>
    <w:rsid w:val="00B806EA"/>
    <w:rsid w:val="00B836E5"/>
    <w:rsid w:val="00B95236"/>
    <w:rsid w:val="00B96BD9"/>
    <w:rsid w:val="00BA1B01"/>
    <w:rsid w:val="00BA2641"/>
    <w:rsid w:val="00BB37AA"/>
    <w:rsid w:val="00BC53A0"/>
    <w:rsid w:val="00BC54DF"/>
    <w:rsid w:val="00BC7121"/>
    <w:rsid w:val="00BC7FDA"/>
    <w:rsid w:val="00BE62AD"/>
    <w:rsid w:val="00BE73F6"/>
    <w:rsid w:val="00BF121F"/>
    <w:rsid w:val="00BF1F80"/>
    <w:rsid w:val="00C0630F"/>
    <w:rsid w:val="00C137A3"/>
    <w:rsid w:val="00C166EF"/>
    <w:rsid w:val="00C17EB0"/>
    <w:rsid w:val="00C27F5F"/>
    <w:rsid w:val="00C30A0F"/>
    <w:rsid w:val="00C37E61"/>
    <w:rsid w:val="00C54F9A"/>
    <w:rsid w:val="00C70F1B"/>
    <w:rsid w:val="00C719A0"/>
    <w:rsid w:val="00C71A47"/>
    <w:rsid w:val="00C7464C"/>
    <w:rsid w:val="00C83845"/>
    <w:rsid w:val="00C85588"/>
    <w:rsid w:val="00C96543"/>
    <w:rsid w:val="00CA3D2D"/>
    <w:rsid w:val="00CD6755"/>
    <w:rsid w:val="00CD6856"/>
    <w:rsid w:val="00CE0089"/>
    <w:rsid w:val="00CE793C"/>
    <w:rsid w:val="00CF193C"/>
    <w:rsid w:val="00D01C54"/>
    <w:rsid w:val="00D173F1"/>
    <w:rsid w:val="00D74CB0"/>
    <w:rsid w:val="00D80297"/>
    <w:rsid w:val="00D8295D"/>
    <w:rsid w:val="00D863ED"/>
    <w:rsid w:val="00D9109E"/>
    <w:rsid w:val="00D928BB"/>
    <w:rsid w:val="00DC2A65"/>
    <w:rsid w:val="00DC73C9"/>
    <w:rsid w:val="00DE15F0"/>
    <w:rsid w:val="00DE16F4"/>
    <w:rsid w:val="00DE401B"/>
    <w:rsid w:val="00DE5663"/>
    <w:rsid w:val="00DE78AA"/>
    <w:rsid w:val="00DF1413"/>
    <w:rsid w:val="00DF2A88"/>
    <w:rsid w:val="00DF4F3B"/>
    <w:rsid w:val="00E053D0"/>
    <w:rsid w:val="00E15994"/>
    <w:rsid w:val="00E26532"/>
    <w:rsid w:val="00E30AD9"/>
    <w:rsid w:val="00E3114E"/>
    <w:rsid w:val="00E31A70"/>
    <w:rsid w:val="00E35B02"/>
    <w:rsid w:val="00E43DEF"/>
    <w:rsid w:val="00E52032"/>
    <w:rsid w:val="00E66496"/>
    <w:rsid w:val="00E66B35"/>
    <w:rsid w:val="00E66E10"/>
    <w:rsid w:val="00E769F6"/>
    <w:rsid w:val="00E8407C"/>
    <w:rsid w:val="00E84F3C"/>
    <w:rsid w:val="00EA012C"/>
    <w:rsid w:val="00EB4899"/>
    <w:rsid w:val="00EB4D4B"/>
    <w:rsid w:val="00EC067B"/>
    <w:rsid w:val="00EC41D4"/>
    <w:rsid w:val="00EC6A55"/>
    <w:rsid w:val="00ED0288"/>
    <w:rsid w:val="00EE2DF9"/>
    <w:rsid w:val="00EE52CB"/>
    <w:rsid w:val="00EF581D"/>
    <w:rsid w:val="00EF7FD8"/>
    <w:rsid w:val="00F06DAE"/>
    <w:rsid w:val="00F06F59"/>
    <w:rsid w:val="00F076F5"/>
    <w:rsid w:val="00F10E69"/>
    <w:rsid w:val="00F17988"/>
    <w:rsid w:val="00F34214"/>
    <w:rsid w:val="00F40BAF"/>
    <w:rsid w:val="00F469F0"/>
    <w:rsid w:val="00F50F61"/>
    <w:rsid w:val="00F53273"/>
    <w:rsid w:val="00F53EC9"/>
    <w:rsid w:val="00F55341"/>
    <w:rsid w:val="00F729AD"/>
    <w:rsid w:val="00F755E4"/>
    <w:rsid w:val="00F77D02"/>
    <w:rsid w:val="00F853D0"/>
    <w:rsid w:val="00FB3A86"/>
    <w:rsid w:val="00FB5652"/>
    <w:rsid w:val="00FD36C8"/>
    <w:rsid w:val="00FE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B9AE6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2C4F63"/>
    <w:pPr>
      <w:spacing w:after="120"/>
    </w:pPr>
  </w:style>
  <w:style w:type="character" w:customStyle="1" w:styleId="BodyTextChar">
    <w:name w:val="Body Text Char"/>
    <w:basedOn w:val="DefaultParagraphFont"/>
    <w:link w:val="BodyText"/>
    <w:rsid w:val="002C4F63"/>
    <w:rPr>
      <w:rFonts w:ascii="Helvetica" w:hAnsi="Helvetica"/>
    </w:rPr>
  </w:style>
  <w:style w:type="table" w:styleId="PlainTable4">
    <w:name w:val="Plain Table 4"/>
    <w:basedOn w:val="TableNormal"/>
    <w:uiPriority w:val="44"/>
    <w:rsid w:val="00C838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838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838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2">
    <w:name w:val="A2"/>
    <w:uiPriority w:val="99"/>
    <w:rsid w:val="00150D08"/>
    <w:rPr>
      <w:color w:val="000000"/>
      <w:sz w:val="16"/>
      <w:szCs w:val="16"/>
    </w:rPr>
  </w:style>
  <w:style w:type="character" w:customStyle="1" w:styleId="anchor-text">
    <w:name w:val="anchor-text"/>
    <w:basedOn w:val="DefaultParagraphFont"/>
    <w:rsid w:val="00150D08"/>
  </w:style>
  <w:style w:type="paragraph" w:styleId="NoSpacing">
    <w:name w:val="No Spacing"/>
    <w:uiPriority w:val="1"/>
    <w:qFormat/>
    <w:rsid w:val="00FB5652"/>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BC7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dia.mongabay.com/2019/11/crops-under-shifting-cultivation-hit-in-mizoram-villages-stu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forpol.2019.10204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si.nic.in/forest-report-2023" TargetMode="External"/><Relationship Id="rId25" Type="http://schemas.openxmlformats.org/officeDocument/2006/relationships/hyperlink" Target="http://dx.doi.org/10.13140/RG.2.2.28006.83522" TargetMode="External"/><Relationship Id="rId2" Type="http://schemas.openxmlformats.org/officeDocument/2006/relationships/numbering" Target="numbering.xml"/><Relationship Id="rId16" Type="http://schemas.openxmlformats.org/officeDocument/2006/relationships/hyperlink" Target="https://doi.org/10.1111/ddi.13605" TargetMode="External"/><Relationship Id="rId20" Type="http://schemas.openxmlformats.org/officeDocument/2006/relationships/hyperlink" Target="https://doi.org/10.1007/s10745-009-92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239906"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rsase.2019.03.001" TargetMode="External"/><Relationship Id="rId10" Type="http://schemas.openxmlformats.org/officeDocument/2006/relationships/footer" Target="footer1.xml"/><Relationship Id="rId19" Type="http://schemas.openxmlformats.org/officeDocument/2006/relationships/hyperlink" Target="https://doi.org/10.1016/j.envc.2022.1004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40009-017-0593-y"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3B964-E525-435F-95B8-4EEDADC3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327</TotalTime>
  <Pages>12</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130</cp:revision>
  <cp:lastPrinted>1999-07-06T11:00:00Z</cp:lastPrinted>
  <dcterms:created xsi:type="dcterms:W3CDTF">2014-10-25T14:34:00Z</dcterms:created>
  <dcterms:modified xsi:type="dcterms:W3CDTF">2026-01-28T09:22:00Z</dcterms:modified>
</cp:coreProperties>
</file>