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AD53C" w14:textId="181B28C1" w:rsidR="00553B4E" w:rsidRPr="0005002D" w:rsidRDefault="009E4636" w:rsidP="00372ADB">
      <w:pPr>
        <w:spacing w:line="360" w:lineRule="auto"/>
        <w:jc w:val="center"/>
        <w:rPr>
          <w:rStyle w:val="Heading1Char"/>
          <w:rFonts w:asciiTheme="minorHAnsi" w:eastAsiaTheme="minorEastAsia" w:hAnsiTheme="minorHAnsi" w:cstheme="minorBidi"/>
          <w:color w:val="000000" w:themeColor="text1"/>
          <w:sz w:val="20"/>
          <w:szCs w:val="20"/>
        </w:rPr>
      </w:pPr>
      <w:bookmarkStart w:id="0" w:name="_Toc169787263"/>
      <w:r w:rsidRPr="0005002D">
        <w:rPr>
          <w:rFonts w:ascii="Times New Roman" w:eastAsia="SimSun" w:hAnsi="Times New Roman" w:cs="Times New Roman"/>
          <w:b/>
          <w:bCs/>
          <w:i/>
          <w:iCs/>
          <w:color w:val="000000" w:themeColor="text1"/>
          <w:lang w:bidi="ar"/>
        </w:rPr>
        <w:t>Antibiotic Resistance in Environmental Microbiomes: Molecular Mechanisms, Implications and Mitigation Strategies</w:t>
      </w:r>
    </w:p>
    <w:p w14:paraId="0FE22711" w14:textId="77777777" w:rsidR="009C73F7" w:rsidRDefault="009C73F7" w:rsidP="006F3A51">
      <w:pPr>
        <w:spacing w:line="360" w:lineRule="auto"/>
        <w:rPr>
          <w:rStyle w:val="Heading1Char"/>
          <w:rFonts w:ascii="Times New Roman" w:hAnsi="Times New Roman" w:cs="Times New Roman"/>
          <w:color w:val="auto"/>
          <w:sz w:val="20"/>
          <w:szCs w:val="20"/>
        </w:rPr>
      </w:pPr>
    </w:p>
    <w:bookmarkEnd w:id="0"/>
    <w:p w14:paraId="6D29AFDD" w14:textId="77777777" w:rsidR="00CA5D41" w:rsidRDefault="00CA5D41" w:rsidP="006F3A51">
      <w:pPr>
        <w:spacing w:line="360" w:lineRule="auto"/>
        <w:jc w:val="center"/>
        <w:rPr>
          <w:rFonts w:ascii="Times New Roman" w:hAnsi="Times New Roman"/>
          <w:b/>
          <w:bCs/>
        </w:rPr>
      </w:pPr>
    </w:p>
    <w:p w14:paraId="45BF634A" w14:textId="43ECC40B" w:rsidR="006B1624" w:rsidRPr="0012141A" w:rsidRDefault="009E4636" w:rsidP="006F3A51">
      <w:pPr>
        <w:spacing w:line="360" w:lineRule="auto"/>
        <w:jc w:val="center"/>
        <w:rPr>
          <w:rFonts w:ascii="Times New Roman" w:hAnsi="Times New Roman"/>
          <w:b/>
          <w:bCs/>
        </w:rPr>
      </w:pPr>
      <w:r w:rsidRPr="0012141A">
        <w:rPr>
          <w:rFonts w:ascii="Times New Roman" w:hAnsi="Times New Roman"/>
          <w:b/>
          <w:bCs/>
        </w:rPr>
        <w:t>ABSTRACT</w:t>
      </w:r>
    </w:p>
    <w:p w14:paraId="3D309245" w14:textId="1D7103FB" w:rsidR="00111211" w:rsidRPr="00111211" w:rsidRDefault="00C27346" w:rsidP="00960784">
      <w:pPr>
        <w:spacing w:line="360" w:lineRule="auto"/>
        <w:jc w:val="both"/>
        <w:rPr>
          <w:rFonts w:ascii="Times New Roman" w:hAnsi="Times New Roman"/>
        </w:rPr>
      </w:pPr>
      <w:r w:rsidRPr="00C27346">
        <w:rPr>
          <w:rFonts w:ascii="Times New Roman" w:hAnsi="Times New Roman"/>
        </w:rPr>
        <w:t xml:space="preserve">The ambient microbiome serves as a crucial reservoir for antibiotic resistance genes (ARGs), acting as a catalyst for their evolution and a pathway for global distribution. The discharge of antibiotic resistance genes (ARGs) from clinical and agricultural environments into ecosystems through wastewater, soil, and aquatic systems diminishes antimicrobial effectiveness and poses a significant One Health concern. This study consolidates existing knowledge about the emergence, persistence, and fate of antibiotic resistance genes in environmental compartments. It elucidates the molecular underpinnings of resistance, including horizontal gene transfer, efflux pumps, and enzymatic drug inactivation. It identifies significant ecological reservoirs, such as wastewater treatment facilities and manure-amended soils. The study assesses sophisticated molecular detection and surveillance technologies, ranging from droplet digital PCR to metagenomic sequencing, crucial for delineating the ambient </w:t>
      </w:r>
      <w:proofErr w:type="spellStart"/>
      <w:r w:rsidRPr="00C27346">
        <w:rPr>
          <w:rFonts w:ascii="Times New Roman" w:hAnsi="Times New Roman"/>
        </w:rPr>
        <w:t>resistome</w:t>
      </w:r>
      <w:proofErr w:type="spellEnd"/>
      <w:r w:rsidRPr="00C27346">
        <w:rPr>
          <w:rFonts w:ascii="Times New Roman" w:hAnsi="Times New Roman"/>
        </w:rPr>
        <w:t xml:space="preserve">. The connections between environmental ARGs and human health hazards are outlined, with emphasis on exposure pathways and the growing clinical burden. Moreover, the research evaluates a range of mitigation and remediation measures </w:t>
      </w:r>
      <w:r w:rsidR="00372ADB">
        <w:rPr>
          <w:rFonts w:ascii="Times New Roman" w:hAnsi="Times New Roman"/>
        </w:rPr>
        <w:t>designed to disrupt</w:t>
      </w:r>
      <w:r w:rsidRPr="00C27346">
        <w:rPr>
          <w:rFonts w:ascii="Times New Roman" w:hAnsi="Times New Roman"/>
        </w:rPr>
        <w:t xml:space="preserve"> the resistance cycle. This includes engineered wastewater and potable water treatments, soil bioremediation via </w:t>
      </w:r>
      <w:r w:rsidR="00372ADB" w:rsidRPr="00C27346">
        <w:rPr>
          <w:rFonts w:ascii="Times New Roman" w:hAnsi="Times New Roman"/>
        </w:rPr>
        <w:t>Verm remediation</w:t>
      </w:r>
      <w:r w:rsidRPr="00C27346">
        <w:rPr>
          <w:rFonts w:ascii="Times New Roman" w:hAnsi="Times New Roman"/>
        </w:rPr>
        <w:t xml:space="preserve">, and manure management, as well as innovative medicinal methods such as phage therapy, CRISPR-mediated gene editing, and fecal microbiota transplantation. This synthesis </w:t>
      </w:r>
      <w:r w:rsidR="00372ADB">
        <w:rPr>
          <w:rFonts w:ascii="Times New Roman" w:hAnsi="Times New Roman"/>
        </w:rPr>
        <w:t>underscores the critical need for coordinated surveillance and targeted interventions within a comprehensive One Health framework to prevent the environmental spread of antibiotic resistance and safeguard</w:t>
      </w:r>
      <w:r w:rsidRPr="00C27346">
        <w:rPr>
          <w:rFonts w:ascii="Times New Roman" w:hAnsi="Times New Roman"/>
        </w:rPr>
        <w:t xml:space="preserve"> public health.</w:t>
      </w:r>
    </w:p>
    <w:p w14:paraId="6A77F12A" w14:textId="77777777" w:rsidR="006B1624" w:rsidRPr="0012141A" w:rsidRDefault="006B1624" w:rsidP="006F3A51">
      <w:pPr>
        <w:spacing w:line="360" w:lineRule="auto"/>
        <w:rPr>
          <w:rFonts w:ascii="Times New Roman" w:hAnsi="Times New Roman"/>
          <w:b/>
          <w:bCs/>
        </w:rPr>
      </w:pPr>
    </w:p>
    <w:p w14:paraId="405F2F6E" w14:textId="3B57BA91" w:rsidR="006B1624" w:rsidRPr="0012141A" w:rsidRDefault="001A7AC6" w:rsidP="006F3A51">
      <w:pPr>
        <w:spacing w:line="360" w:lineRule="auto"/>
        <w:rPr>
          <w:rFonts w:ascii="Times New Roman" w:hAnsi="Times New Roman"/>
          <w:b/>
          <w:bCs/>
        </w:rPr>
      </w:pPr>
      <w:r w:rsidRPr="001A7AC6">
        <w:rPr>
          <w:rFonts w:ascii="Times New Roman" w:hAnsi="Times New Roman"/>
          <w:b/>
          <w:bCs/>
        </w:rPr>
        <w:t>Keywords: </w:t>
      </w:r>
      <w:r w:rsidRPr="001A7AC6">
        <w:rPr>
          <w:rFonts w:ascii="Times New Roman" w:hAnsi="Times New Roman"/>
        </w:rPr>
        <w:t xml:space="preserve">Antibiotic Resistance Genes (ARGs); Environmental </w:t>
      </w:r>
      <w:proofErr w:type="spellStart"/>
      <w:r w:rsidRPr="001A7AC6">
        <w:rPr>
          <w:rFonts w:ascii="Times New Roman" w:hAnsi="Times New Roman"/>
        </w:rPr>
        <w:t>Resistome</w:t>
      </w:r>
      <w:proofErr w:type="spellEnd"/>
      <w:r w:rsidRPr="001A7AC6">
        <w:rPr>
          <w:rFonts w:ascii="Times New Roman" w:hAnsi="Times New Roman"/>
        </w:rPr>
        <w:t>; One Health; Wastewater Treatment; Public Health</w:t>
      </w:r>
    </w:p>
    <w:p w14:paraId="1EAB68E1" w14:textId="77777777" w:rsidR="006B1624" w:rsidRPr="0012141A" w:rsidRDefault="006B1624" w:rsidP="006F3A51">
      <w:pPr>
        <w:spacing w:line="360" w:lineRule="auto"/>
        <w:rPr>
          <w:rFonts w:ascii="Times New Roman" w:hAnsi="Times New Roman"/>
          <w:b/>
          <w:bCs/>
        </w:rPr>
      </w:pPr>
    </w:p>
    <w:p w14:paraId="30E33204" w14:textId="77777777" w:rsidR="006B1624" w:rsidRPr="0012141A" w:rsidRDefault="006B1624" w:rsidP="006F3A51">
      <w:pPr>
        <w:spacing w:line="360" w:lineRule="auto"/>
        <w:rPr>
          <w:rFonts w:ascii="Times New Roman" w:hAnsi="Times New Roman"/>
          <w:b/>
          <w:bCs/>
        </w:rPr>
      </w:pPr>
    </w:p>
    <w:p w14:paraId="170298B9" w14:textId="77777777" w:rsidR="006B1624" w:rsidRPr="0012141A" w:rsidRDefault="006B1624" w:rsidP="006F3A51">
      <w:pPr>
        <w:spacing w:line="360" w:lineRule="auto"/>
        <w:rPr>
          <w:rFonts w:ascii="Times New Roman" w:hAnsi="Times New Roman"/>
          <w:b/>
          <w:bCs/>
        </w:rPr>
      </w:pPr>
    </w:p>
    <w:p w14:paraId="59A9BFCE" w14:textId="77777777" w:rsidR="006B1624" w:rsidRPr="0012141A" w:rsidRDefault="006B1624" w:rsidP="006F3A51">
      <w:pPr>
        <w:spacing w:line="360" w:lineRule="auto"/>
        <w:rPr>
          <w:rFonts w:ascii="Times New Roman" w:hAnsi="Times New Roman"/>
          <w:b/>
          <w:bCs/>
        </w:rPr>
      </w:pPr>
    </w:p>
    <w:p w14:paraId="6030306E" w14:textId="77777777" w:rsidR="006B1624" w:rsidRPr="0012141A" w:rsidRDefault="006B1624" w:rsidP="006F3A51">
      <w:pPr>
        <w:spacing w:line="360" w:lineRule="auto"/>
        <w:rPr>
          <w:rFonts w:ascii="Times New Roman" w:hAnsi="Times New Roman"/>
          <w:b/>
          <w:bCs/>
        </w:rPr>
      </w:pPr>
    </w:p>
    <w:p w14:paraId="33BEC9B3" w14:textId="77777777" w:rsidR="006B1624" w:rsidRPr="0012141A" w:rsidRDefault="006B1624" w:rsidP="006F3A51">
      <w:pPr>
        <w:spacing w:line="360" w:lineRule="auto"/>
        <w:rPr>
          <w:rFonts w:ascii="Times New Roman" w:hAnsi="Times New Roman"/>
          <w:b/>
          <w:bCs/>
        </w:rPr>
      </w:pPr>
    </w:p>
    <w:p w14:paraId="40D4270C" w14:textId="77777777" w:rsidR="00FE56DA" w:rsidRPr="0012141A" w:rsidRDefault="00FE56DA" w:rsidP="006F3A51">
      <w:pPr>
        <w:spacing w:line="360" w:lineRule="auto"/>
        <w:rPr>
          <w:rFonts w:ascii="Times New Roman" w:hAnsi="Times New Roman"/>
          <w:b/>
          <w:bCs/>
        </w:rPr>
      </w:pPr>
    </w:p>
    <w:p w14:paraId="3C9C20DF" w14:textId="77777777" w:rsidR="00FE56DA" w:rsidRPr="0012141A" w:rsidRDefault="00FE56DA" w:rsidP="006F3A51">
      <w:pPr>
        <w:spacing w:line="360" w:lineRule="auto"/>
        <w:rPr>
          <w:rFonts w:ascii="Times New Roman" w:hAnsi="Times New Roman"/>
          <w:b/>
          <w:bCs/>
        </w:rPr>
      </w:pPr>
    </w:p>
    <w:p w14:paraId="1399CD40" w14:textId="77777777" w:rsidR="00FE56DA" w:rsidRPr="0012141A" w:rsidRDefault="00FE56DA" w:rsidP="006F3A51">
      <w:pPr>
        <w:spacing w:line="360" w:lineRule="auto"/>
        <w:rPr>
          <w:rFonts w:ascii="Times New Roman" w:hAnsi="Times New Roman"/>
          <w:b/>
          <w:bCs/>
        </w:rPr>
      </w:pPr>
    </w:p>
    <w:p w14:paraId="243BC98A" w14:textId="77777777" w:rsidR="00FE56DA" w:rsidRDefault="00FE56DA" w:rsidP="006F3A51">
      <w:pPr>
        <w:spacing w:line="360" w:lineRule="auto"/>
        <w:rPr>
          <w:rFonts w:ascii="Times New Roman" w:hAnsi="Times New Roman"/>
          <w:b/>
          <w:bCs/>
        </w:rPr>
      </w:pPr>
    </w:p>
    <w:p w14:paraId="523AB993" w14:textId="77777777" w:rsidR="00121AD5" w:rsidRDefault="00121AD5" w:rsidP="006F3A51">
      <w:pPr>
        <w:spacing w:line="360" w:lineRule="auto"/>
        <w:rPr>
          <w:rFonts w:ascii="Times New Roman" w:hAnsi="Times New Roman"/>
          <w:b/>
          <w:bCs/>
        </w:rPr>
      </w:pPr>
    </w:p>
    <w:p w14:paraId="18677CB6" w14:textId="77777777" w:rsidR="00121AD5" w:rsidRDefault="00121AD5" w:rsidP="006F3A51">
      <w:pPr>
        <w:spacing w:line="360" w:lineRule="auto"/>
        <w:rPr>
          <w:rFonts w:ascii="Times New Roman" w:hAnsi="Times New Roman"/>
          <w:b/>
          <w:bCs/>
        </w:rPr>
      </w:pPr>
    </w:p>
    <w:p w14:paraId="394C946C" w14:textId="77777777" w:rsidR="006B1624" w:rsidRPr="0012141A" w:rsidRDefault="006B1624" w:rsidP="006F3A51">
      <w:pPr>
        <w:spacing w:line="360" w:lineRule="auto"/>
        <w:rPr>
          <w:rFonts w:ascii="Times New Roman" w:hAnsi="Times New Roman"/>
          <w:b/>
          <w:bCs/>
        </w:rPr>
      </w:pPr>
    </w:p>
    <w:p w14:paraId="49E6B625" w14:textId="582742FA" w:rsidR="006B1624" w:rsidRPr="0012141A" w:rsidRDefault="009E4636" w:rsidP="006F3A51">
      <w:pPr>
        <w:spacing w:line="360" w:lineRule="auto"/>
        <w:jc w:val="lowKashida"/>
        <w:rPr>
          <w:rFonts w:ascii="Times New Roman" w:hAnsi="Times New Roman"/>
          <w:b/>
          <w:bCs/>
        </w:rPr>
      </w:pPr>
      <w:r w:rsidRPr="0012141A">
        <w:rPr>
          <w:rFonts w:ascii="Times New Roman" w:hAnsi="Times New Roman"/>
          <w:b/>
          <w:bCs/>
        </w:rPr>
        <w:t xml:space="preserve">1. Introduction </w:t>
      </w:r>
    </w:p>
    <w:p w14:paraId="39BCFC1D" w14:textId="322992E6" w:rsidR="006D4D47" w:rsidRPr="006D4D47" w:rsidRDefault="006D4D47" w:rsidP="006D4D47">
      <w:pPr>
        <w:spacing w:line="360" w:lineRule="auto"/>
        <w:jc w:val="lowKashida"/>
        <w:rPr>
          <w:rFonts w:ascii="Times New Roman" w:hAnsi="Times New Roman"/>
        </w:rPr>
      </w:pPr>
      <w:r w:rsidRPr="006D4D47">
        <w:rPr>
          <w:rFonts w:ascii="Times New Roman" w:hAnsi="Times New Roman"/>
        </w:rPr>
        <w:lastRenderedPageBreak/>
        <w:t>Alexander Fleming's discovery of penicillin in 1928 initiated a revolutionary period in modern medicine, significantly decreasing mortality from once incurable bacterial infections</w:t>
      </w:r>
      <w:r>
        <w:rPr>
          <w:rFonts w:ascii="Times New Roman" w:hAnsi="Times New Roman"/>
        </w:rPr>
        <w:t xml:space="preserve"> </w:t>
      </w:r>
      <w:r w:rsidR="00C27346" w:rsidRPr="0012141A">
        <w:rPr>
          <w:rFonts w:ascii="Times New Roman" w:hAnsi="Times New Roman"/>
        </w:rPr>
        <w:t>(</w:t>
      </w:r>
      <w:r w:rsidR="00C27346" w:rsidRPr="00AA4778">
        <w:rPr>
          <w:rFonts w:ascii="Times New Roman" w:hAnsi="Times New Roman"/>
          <w:i/>
          <w:iCs/>
          <w:color w:val="0000FF"/>
        </w:rPr>
        <w:t>Fig</w:t>
      </w:r>
      <w:r w:rsidR="003B3CE2">
        <w:rPr>
          <w:rFonts w:ascii="Times New Roman" w:hAnsi="Times New Roman"/>
          <w:i/>
          <w:iCs/>
          <w:color w:val="0000FF"/>
        </w:rPr>
        <w:t>.</w:t>
      </w:r>
      <w:r w:rsidR="00C27346" w:rsidRPr="00AA4778">
        <w:rPr>
          <w:rFonts w:ascii="Times New Roman" w:hAnsi="Times New Roman"/>
          <w:i/>
          <w:iCs/>
          <w:color w:val="0000FF"/>
        </w:rPr>
        <w:t xml:space="preserve"> 1</w:t>
      </w:r>
      <w:r w:rsidR="00C27346" w:rsidRPr="0012141A">
        <w:rPr>
          <w:rFonts w:ascii="Times New Roman" w:hAnsi="Times New Roman"/>
        </w:rPr>
        <w:t xml:space="preserve">) </w:t>
      </w:r>
      <w:r w:rsidR="00C27346" w:rsidRPr="0012141A">
        <w:rPr>
          <w:rFonts w:ascii="Times New Roman" w:hAnsi="Times New Roman"/>
        </w:rPr>
        <w:fldChar w:fldCharType="begin"/>
      </w:r>
      <w:r w:rsidR="00287940">
        <w:rPr>
          <w:rFonts w:ascii="Times New Roman" w:hAnsi="Times New Roman"/>
        </w:rPr>
        <w:instrText xml:space="preserve"> ADDIN EN.CITE &lt;EndNote&gt;&lt;Cite&gt;&lt;Author&gt;Tan&lt;/Author&gt;&lt;Year&gt;2015&lt;/Year&gt;&lt;RecNum&gt;712&lt;/RecNum&gt;&lt;DisplayText&gt;(Tan and Tatsumura, 2015)&lt;/DisplayText&gt;&lt;record&gt;&lt;rec-number&gt;712&lt;/rec-number&gt;&lt;foreign-keys&gt;&lt;key app="EN" db-id="w22tszxz12v02ie02asvszppdzx5axz52d95" timestamp="1718362228"&gt;712&lt;/key&gt;&lt;/foreign-keys&gt;&lt;ref-type name="Journal Article"&gt;17&lt;/ref-type&gt;&lt;contributors&gt;&lt;authors&gt;&lt;author&gt;Tan, Siang Yong&lt;/author&gt;&lt;author&gt;Tatsumura, Yvonne&lt;/author&gt;&lt;/authors&gt;&lt;/contributors&gt;&lt;titles&gt;&lt;title&gt;Alexander Fleming (1881–1955): discoverer of penicillin&lt;/title&gt;&lt;secondary-title&gt;Singapore medical journal&lt;/secondary-title&gt;&lt;/titles&gt;&lt;periodical&gt;&lt;full-title&gt;Singapore medical journal&lt;/full-title&gt;&lt;/periodical&gt;&lt;pages&gt;366&lt;/pages&gt;&lt;volume&gt;56&lt;/volume&gt;&lt;number&gt;7&lt;/number&gt;&lt;dates&gt;&lt;year&gt;2015&lt;/year&gt;&lt;/dates&gt;&lt;urls&gt;&lt;/urls&gt;&lt;/record&gt;&lt;/Cite&gt;&lt;/EndNote&gt;</w:instrText>
      </w:r>
      <w:r w:rsidR="00C27346" w:rsidRPr="0012141A">
        <w:rPr>
          <w:rFonts w:ascii="Times New Roman" w:hAnsi="Times New Roman"/>
        </w:rPr>
        <w:fldChar w:fldCharType="separate"/>
      </w:r>
      <w:r w:rsidR="00287940">
        <w:rPr>
          <w:rFonts w:ascii="Times New Roman" w:hAnsi="Times New Roman"/>
          <w:noProof/>
        </w:rPr>
        <w:t>(Tan and Tatsumura, 2015)</w:t>
      </w:r>
      <w:r w:rsidR="00C27346" w:rsidRPr="0012141A">
        <w:rPr>
          <w:rFonts w:ascii="Times New Roman" w:hAnsi="Times New Roman"/>
        </w:rPr>
        <w:fldChar w:fldCharType="end"/>
      </w:r>
      <w:r w:rsidR="00C27346" w:rsidRPr="0012141A">
        <w:rPr>
          <w:rFonts w:ascii="Times New Roman" w:hAnsi="Times New Roman"/>
        </w:rPr>
        <w:t xml:space="preserve">. </w:t>
      </w:r>
      <w:r w:rsidRPr="006D4D47">
        <w:rPr>
          <w:rFonts w:ascii="Times New Roman" w:hAnsi="Times New Roman"/>
        </w:rPr>
        <w:t>The ensuing "golden age" of antibiotic discovery, from the 1940s to the 1960s, cultivated the belief that infectious diseases had been vanquished. This optimism was ephemeral. The unyielding and frequently indiscriminate application of these miracle medications exerted substantial selective pressure, propelling the swift evolution and worldwide proliferation of antibiotic resistance</w:t>
      </w:r>
      <w:r>
        <w:rPr>
          <w:rFonts w:ascii="Times New Roman" w:hAnsi="Times New Roman"/>
        </w:rPr>
        <w:t xml:space="preserve"> </w:t>
      </w:r>
      <w:r w:rsidR="00C27346" w:rsidRPr="0012141A">
        <w:rPr>
          <w:rFonts w:ascii="Times New Roman" w:hAnsi="Times New Roman"/>
        </w:rPr>
        <w:fldChar w:fldCharType="begin"/>
      </w:r>
      <w:r w:rsidR="00287940">
        <w:rPr>
          <w:rFonts w:ascii="Times New Roman" w:hAnsi="Times New Roman"/>
        </w:rPr>
        <w:instrText xml:space="preserve"> ADDIN EN.CITE &lt;EndNote&gt;&lt;Cite&gt;&lt;Author&gt;Hayden&lt;/Author&gt;&lt;Year&gt;2016&lt;/Year&gt;&lt;RecNum&gt;713&lt;/RecNum&gt;&lt;DisplayText&gt;(Hayden et al., 2016)&lt;/DisplayText&gt;&lt;record&gt;&lt;rec-number&gt;713&lt;/rec-number&gt;&lt;foreign-keys&gt;&lt;key app="EN" db-id="w22tszxz12v02ie02asvszppdzx5axz52d95" timestamp="1718362497"&gt;713&lt;/key&gt;&lt;/foreign-keys&gt;&lt;ref-type name="Journal Article"&gt;17&lt;/ref-type&gt;&lt;contributors&gt;&lt;authors&gt;&lt;author&gt;Hayden, Geoffrey E&lt;/author&gt;&lt;author&gt;Tuuri, Rachel E&lt;/author&gt;&lt;author&gt;Scott, Rachel&lt;/author&gt;&lt;author&gt;Losek, Joseph D&lt;/author&gt;&lt;author&gt;Blackshaw, Aaron M&lt;/author&gt;&lt;author&gt;Schoenling, Andrew J&lt;/author&gt;&lt;author&gt;Nietert, Paul J&lt;/author&gt;&lt;author&gt;Hall, Greg A&lt;/author&gt;&lt;/authors&gt;&lt;/contributors&gt;&lt;titles&gt;&lt;title&gt;Triage sepsis alert and sepsis protocol lower times to fluids and antibiotics in the ED&lt;/title&gt;&lt;secondary-title&gt;The American journal of emergency medicine&lt;/secondary-title&gt;&lt;/titles&gt;&lt;periodical&gt;&lt;full-title&gt;The American journal of emergency medicine&lt;/full-title&gt;&lt;/periodical&gt;&lt;pages&gt;1-9&lt;/pages&gt;&lt;volume&gt;34&lt;/volume&gt;&lt;number&gt;1&lt;/number&gt;&lt;dates&gt;&lt;year&gt;2016&lt;/year&gt;&lt;/dates&gt;&lt;isbn&gt;0735-6757&lt;/isbn&gt;&lt;urls&gt;&lt;/urls&gt;&lt;/record&gt;&lt;/Cite&gt;&lt;/EndNote&gt;</w:instrText>
      </w:r>
      <w:r w:rsidR="00C27346" w:rsidRPr="0012141A">
        <w:rPr>
          <w:rFonts w:ascii="Times New Roman" w:hAnsi="Times New Roman"/>
        </w:rPr>
        <w:fldChar w:fldCharType="separate"/>
      </w:r>
      <w:r w:rsidR="00287940">
        <w:rPr>
          <w:rFonts w:ascii="Times New Roman" w:hAnsi="Times New Roman"/>
          <w:noProof/>
        </w:rPr>
        <w:t>(Hayden et al., 2016)</w:t>
      </w:r>
      <w:r w:rsidR="00C27346" w:rsidRPr="0012141A">
        <w:rPr>
          <w:rFonts w:ascii="Times New Roman" w:hAnsi="Times New Roman"/>
        </w:rPr>
        <w:fldChar w:fldCharType="end"/>
      </w:r>
      <w:r w:rsidR="00C27346" w:rsidRPr="0012141A">
        <w:rPr>
          <w:rFonts w:ascii="Times New Roman" w:hAnsi="Times New Roman"/>
        </w:rPr>
        <w:t xml:space="preserve">. </w:t>
      </w:r>
      <w:r w:rsidRPr="006D4D47">
        <w:rPr>
          <w:rFonts w:ascii="Times New Roman" w:hAnsi="Times New Roman"/>
        </w:rPr>
        <w:t>Currently, antimicrobial resistance (AMR) represents a critical public health crisis of the 21st century, jeopardizing the effectiveness of our healthcare systems.</w:t>
      </w:r>
    </w:p>
    <w:p w14:paraId="51750540" w14:textId="2220B3D0" w:rsidR="006B1624" w:rsidRPr="0012141A" w:rsidRDefault="009E4636" w:rsidP="006D4D47">
      <w:pPr>
        <w:spacing w:line="360" w:lineRule="auto"/>
        <w:jc w:val="center"/>
      </w:pPr>
      <w:r w:rsidRPr="0012141A">
        <w:rPr>
          <w:noProof/>
          <w:lang w:eastAsia="en-US"/>
        </w:rPr>
        <w:drawing>
          <wp:inline distT="0" distB="0" distL="114300" distR="114300" wp14:anchorId="3B9B2358" wp14:editId="49A7BD70">
            <wp:extent cx="3937000" cy="1955165"/>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a:stretch>
                      <a:fillRect/>
                    </a:stretch>
                  </pic:blipFill>
                  <pic:spPr>
                    <a:xfrm>
                      <a:off x="0" y="0"/>
                      <a:ext cx="3937000" cy="1955165"/>
                    </a:xfrm>
                    <a:prstGeom prst="rect">
                      <a:avLst/>
                    </a:prstGeom>
                    <a:noFill/>
                    <a:ln>
                      <a:noFill/>
                    </a:ln>
                  </pic:spPr>
                </pic:pic>
              </a:graphicData>
            </a:graphic>
          </wp:inline>
        </w:drawing>
      </w:r>
    </w:p>
    <w:p w14:paraId="59E2F14C" w14:textId="0C6141F6" w:rsidR="006B1624" w:rsidRPr="0012141A" w:rsidRDefault="009E4636" w:rsidP="006D4D47">
      <w:pPr>
        <w:spacing w:line="360" w:lineRule="auto"/>
        <w:jc w:val="center"/>
        <w:rPr>
          <w:rFonts w:ascii="Times New Roman" w:hAnsi="Times New Roman" w:cs="Times New Roman"/>
        </w:rPr>
      </w:pPr>
      <w:r w:rsidRPr="003B3CE2">
        <w:rPr>
          <w:rFonts w:ascii="Times New Roman" w:hAnsi="Times New Roman" w:cs="Times New Roman"/>
          <w:color w:val="0000FF"/>
        </w:rPr>
        <w:t>Figure 1</w:t>
      </w:r>
      <w:r w:rsidR="003B3CE2">
        <w:rPr>
          <w:rFonts w:ascii="Times New Roman" w:hAnsi="Times New Roman" w:cs="Times New Roman"/>
          <w:color w:val="0000FF"/>
        </w:rPr>
        <w:t>.</w:t>
      </w:r>
      <w:r w:rsidRPr="003B3CE2">
        <w:rPr>
          <w:rFonts w:ascii="Times New Roman" w:hAnsi="Times New Roman" w:cs="Times New Roman"/>
        </w:rPr>
        <w:t xml:space="preserve"> </w:t>
      </w:r>
      <w:r w:rsidR="00227300" w:rsidRPr="00227300">
        <w:rPr>
          <w:rFonts w:ascii="Times New Roman" w:hAnsi="Times New Roman" w:cs="Times New Roman"/>
        </w:rPr>
        <w:t>Historical timeline of antibiotic discovery and the emergence of resistance.</w:t>
      </w:r>
    </w:p>
    <w:p w14:paraId="724FCA39" w14:textId="43C75E37" w:rsidR="006B1624" w:rsidRPr="0012141A" w:rsidRDefault="006D4D47" w:rsidP="00060FCC">
      <w:pPr>
        <w:spacing w:line="360" w:lineRule="auto"/>
        <w:jc w:val="both"/>
        <w:rPr>
          <w:rFonts w:ascii="Times New Roman" w:hAnsi="Times New Roman"/>
        </w:rPr>
      </w:pPr>
      <w:r w:rsidRPr="006D4D47">
        <w:rPr>
          <w:rFonts w:ascii="Times New Roman" w:hAnsi="Times New Roman"/>
        </w:rPr>
        <w:t>Antibiotic-resistant bacteria are responsible for more than 23,000, 58,000, 38,000, and 25,000 annual fatalities in the United States, India, Thailand, and the European Union, respectively</w:t>
      </w:r>
      <w:r>
        <w:rPr>
          <w:rFonts w:ascii="Times New Roman" w:hAnsi="Times New Roman"/>
        </w:rPr>
        <w:t xml:space="preserve"> </w:t>
      </w:r>
      <w:r w:rsidR="00C27346" w:rsidRPr="0012141A">
        <w:rPr>
          <w:rFonts w:ascii="Times New Roman" w:hAnsi="Times New Roman"/>
          <w:color w:val="0000FF"/>
        </w:rPr>
        <w:fldChar w:fldCharType="begin">
          <w:fldData xml:space="preserve">PEVuZE5vdGU+PENpdGU+PEF1dGhvcj5Cb3VjaGVyPC9BdXRob3I+PFllYXI+MjAwOTwvWWVhcj48
UmVjTnVtPjMyPC9SZWNOdW0+PERpc3BsYXlUZXh0PihCb3VjaGVyIGV0IGFsLiwgMjAwOSwgTGF4
bWluYXJheWFuIGV0IGFsLiwgMjAxMywgRUNEQywgMjAwOSk8L0Rpc3BsYXlUZXh0PjxyZWNvcmQ+
PHJlYy1udW1iZXI+MzI8L3JlYy1udW1iZXI+PGZvcmVpZ24ta2V5cz48a2V5IGFwcD0iRU4iIGRi
LWlkPSIyeDA1ZnpzczZ4MnMyM2UwYTB0eGF6Zmw1cjkyMHdkMGF0MmEiIHRpbWVzdGFtcD0iMTc1
ODUxODkyMiI+MzI8L2tleT48L2ZvcmVpZ24ta2V5cz48cmVmLXR5cGUgbmFtZT0iSm91cm5hbCBB
cnRpY2xlIj4xNzwvcmVmLXR5cGU+PGNvbnRyaWJ1dG9ycz48YXV0aG9ycz48YXV0aG9yPkJvdWNo
ZXIsIEhlbGVuIFc8L2F1dGhvcj48YXV0aG9yPlRhbGJvdCwgR2VvcmdlIEg8L2F1dGhvcj48YXV0
aG9yPkJyYWRsZXksIEpvaG4gUzwvYXV0aG9yPjxhdXRob3I+RWR3YXJkcywgSm9obiBFPC9hdXRo
b3I+PGF1dGhvcj5HaWxiZXJ0LCBEYXZpZDwvYXV0aG9yPjxhdXRob3I+UmljZSwgTG91aXMgQjwv
YXV0aG9yPjxhdXRob3I+U2NoZWxkLCBNaWNoYWVsPC9hdXRob3I+PGF1dGhvcj5TcGVsbGJlcmcs
IEJyYWQ8L2F1dGhvcj48YXV0aG9yPkJhcnRsZXR0LCBKb2huPC9hdXRob3I+PC9hdXRob3JzPjwv
Y29udHJpYnV0b3JzPjx0aXRsZXM+PHRpdGxlPkJhZCBidWdzLCBubyBkcnVnczogbm8gRVNLQVBF
ISBBbiB1cGRhdGUgZnJvbSB0aGUgSW5mZWN0aW91cyBEaXNlYXNlcyBTb2NpZXR5IG9mIEFtZXJp
Y2E8L3RpdGxlPjxzZWNvbmRhcnktdGl0bGU+Q2xpbmljYWwgaW5mZWN0aW91cyBkaXNlYXNlczwv
c2Vjb25kYXJ5LXRpdGxlPjwvdGl0bGVzPjxwZXJpb2RpY2FsPjxmdWxsLXRpdGxlPkNsaW5pY2Fs
IGluZmVjdGlvdXMgZGlzZWFzZXM8L2Z1bGwtdGl0bGU+PC9wZXJpb2RpY2FsPjxwYWdlcz4xLTEy
PC9wYWdlcz48dm9sdW1lPjQ4PC92b2x1bWU+PG51bWJlcj4xPC9udW1iZXI+PGRhdGVzPjx5ZWFy
PjIwMDk8L3llYXI+PC9kYXRlcz48aXNibj4xNTM3LTY1OTE8L2lzYm4+PHVybHM+PC91cmxzPjwv
cmVjb3JkPjwvQ2l0ZT48Q2l0ZT48QXV0aG9yPkxheG1pbmFyYXlhbjwvQXV0aG9yPjxZZWFyPjIw
MTM8L1llYXI+PFJlY051bT4zMTwvUmVjTnVtPjxyZWNvcmQ+PHJlYy1udW1iZXI+MzE8L3JlYy1u
dW1iZXI+PGZvcmVpZ24ta2V5cz48a2V5IGFwcD0iRU4iIGRiLWlkPSIyeDA1ZnpzczZ4MnMyM2Uw
YTB0eGF6Zmw1cjkyMHdkMGF0MmEiIHRpbWVzdGFtcD0iMTc1ODUxODgxOCI+MzE8L2tleT48L2Zv
cmVpZ24ta2V5cz48cmVmLXR5cGUgbmFtZT0iSm91cm5hbCBBcnRpY2xlIj4xNzwvcmVmLXR5cGU+
PGNvbnRyaWJ1dG9ycz48YXV0aG9ycz48YXV0aG9yPkxheG1pbmFyYXlhbiwgUmFtYW5hbjwvYXV0
aG9yPjxhdXRob3I+RHVzZSwgQWRyaWFubzwvYXV0aG9yPjxhdXRob3I+V2F0dGFsLCBDaGFuZDwv
YXV0aG9yPjxhdXRob3I+WmFpZGksIEFuaXRhIEtNPC9hdXRob3I+PGF1dGhvcj5XZXJ0aGVpbSwg
SGVpbWFuIEZMPC9hdXRob3I+PGF1dGhvcj5TdW1wcmFkaXQsIE5pdGhpbWE8L2F1dGhvcj48YXV0
aG9yPlZsaWVnaGUsIEVyaWthPC9hdXRob3I+PGF1dGhvcj5IYXJhLCBHYWJyaWVsIExldnk8L2F1
dGhvcj48YXV0aG9yPkdvdWxkLCBJYW4gTTwvYXV0aG9yPjxhdXRob3I+R29vc3NlbnMsIEhlcm1h
bjwvYXV0aG9yPjwvYXV0aG9ycz48L2NvbnRyaWJ1dG9ycz48dGl0bGVzPjx0aXRsZT5BbnRpYmlv
dGljIHJlc2lzdGFuY2XigJR0aGUgbmVlZCBmb3IgZ2xvYmFsIHNvbHV0aW9uczwvdGl0bGU+PHNl
Y29uZGFyeS10aXRsZT5UaGUgTGFuY2V0IGluZmVjdGlvdXMgZGlzZWFzZXM8L3NlY29uZGFyeS10
aXRsZT48L3RpdGxlcz48cGVyaW9kaWNhbD48ZnVsbC10aXRsZT5UaGUgTGFuY2V0IGluZmVjdGlv
dXMgZGlzZWFzZXM8L2Z1bGwtdGl0bGU+PC9wZXJpb2RpY2FsPjxwYWdlcz4xMDU3LTEwOTg8L3Bh
Z2VzPjx2b2x1bWU+MTM8L3ZvbHVtZT48bnVtYmVyPjEyPC9udW1iZXI+PGRhdGVzPjx5ZWFyPjIw
MTM8L3llYXI+PC9kYXRlcz48aXNibj4xNDczLTMwOTk8L2lzYm4+PHVybHM+PC91cmxzPjwvcmVj
b3JkPjwvQ2l0ZT48Q2l0ZT48QXV0aG9yPkVDREM8L0F1dGhvcj48WWVhcj4yMDA5PC9ZZWFyPjxS
ZWNOdW0+MzM8L1JlY051bT48cmVjb3JkPjxyZWMtbnVtYmVyPjMzPC9yZWMtbnVtYmVyPjxmb3Jl
aWduLWtleXM+PGtleSBhcHA9IkVOIiBkYi1pZD0iMngwNWZ6c3M2eDJzMjNlMGEwdHhhemZsNXI5
MjB3ZDBhdDJhIiB0aW1lc3RhbXA9IjE3NTg1MjAxODMiPjMzPC9rZXk+PC9mb3JlaWduLWtleXM+
PHJlZi10eXBlIG5hbWU9IkpvdXJuYWwgQXJ0aWNsZSI+MTc8L3JlZi10eXBlPjxjb250cmlidXRv
cnM+PGF1dGhvcnM+PGF1dGhvcj5FQ0RDLCBFRlNBPC9hdXRob3I+PC9hdXRob3JzPjwvY29udHJp
YnV0b3JzPjx0aXRsZXM+PHRpdGxlPkVNRUEgYW5kIFNDRU5JSFIgKEV1cm9wZWFuIENlbnRyZSBm
b3IgRGlzZWFzZSBQcmV2ZW50aW9uIGFuZCBDb250cm9sLCBFdXJvcGVhbiBGb29kIFNhZmV0eSBB
dXRob3JpdHksIEV1cm9wZWFuIE1lZGljaW5lcyBBZ2VuY3kgYW5kIEV1cm9wZWFuIENvbW1pc3Np
b24mYXBvcztzIFNjaWVudGlmaWMgQ29tbWl0dGVlIG9uIEVtZXJnaW5nIGFuZCBOZXdseSBJZGVu
dGlmaWVkIEhlYWx0aCBSaXNrcyksIDIwMDk8L3RpdGxlPjxzZWNvbmRhcnktdGl0bGU+Sm9pbnQg
T3BpbmlvbiBvbiBhbnRpbWljcm9iaWFsIHJlc2lzdGFuY2UgKEFNUikgZm9jdXNlZCBvbiB6b29u
b3RpYyBpbmZlY3Rpb25zPC9zZWNvbmRhcnktdGl0bGU+PC90aXRsZXM+PHBlcmlvZGljYWw+PGZ1
bGwtdGl0bGU+Sm9pbnQgT3BpbmlvbiBvbiBhbnRpbWljcm9iaWFsIHJlc2lzdGFuY2UgKEFNUikg
Zm9jdXNlZCBvbiB6b29ub3RpYyBpbmZlY3Rpb25zPC9mdWxsLXRpdGxlPjwvcGVyaW9kaWNhbD48
ZGF0ZXM+PHllYXI+MjAwOTwveWVhcj48L2RhdGVzPjx1cmxzPjwvdXJscz48L3JlY29yZD48L0Np
dGU+PC9FbmROb3RlPn==
</w:fldData>
        </w:fldChar>
      </w:r>
      <w:r w:rsidR="00287940">
        <w:rPr>
          <w:rFonts w:ascii="Times New Roman" w:hAnsi="Times New Roman"/>
          <w:color w:val="0000FF"/>
        </w:rPr>
        <w:instrText xml:space="preserve"> ADDIN EN.CITE </w:instrText>
      </w:r>
      <w:r w:rsidR="00287940">
        <w:rPr>
          <w:rFonts w:ascii="Times New Roman" w:hAnsi="Times New Roman"/>
          <w:color w:val="0000FF"/>
        </w:rPr>
        <w:fldChar w:fldCharType="begin">
          <w:fldData xml:space="preserve">PEVuZE5vdGU+PENpdGU+PEF1dGhvcj5Cb3VjaGVyPC9BdXRob3I+PFllYXI+MjAwOTwvWWVhcj48
UmVjTnVtPjMyPC9SZWNOdW0+PERpc3BsYXlUZXh0PihCb3VjaGVyIGV0IGFsLiwgMjAwOSwgTGF4
bWluYXJheWFuIGV0IGFsLiwgMjAxMywgRUNEQywgMjAwOSk8L0Rpc3BsYXlUZXh0PjxyZWNvcmQ+
PHJlYy1udW1iZXI+MzI8L3JlYy1udW1iZXI+PGZvcmVpZ24ta2V5cz48a2V5IGFwcD0iRU4iIGRi
LWlkPSIyeDA1ZnpzczZ4MnMyM2UwYTB0eGF6Zmw1cjkyMHdkMGF0MmEiIHRpbWVzdGFtcD0iMTc1
ODUxODkyMiI+MzI8L2tleT48L2ZvcmVpZ24ta2V5cz48cmVmLXR5cGUgbmFtZT0iSm91cm5hbCBB
cnRpY2xlIj4xNzwvcmVmLXR5cGU+PGNvbnRyaWJ1dG9ycz48YXV0aG9ycz48YXV0aG9yPkJvdWNo
ZXIsIEhlbGVuIFc8L2F1dGhvcj48YXV0aG9yPlRhbGJvdCwgR2VvcmdlIEg8L2F1dGhvcj48YXV0
aG9yPkJyYWRsZXksIEpvaG4gUzwvYXV0aG9yPjxhdXRob3I+RWR3YXJkcywgSm9obiBFPC9hdXRo
b3I+PGF1dGhvcj5HaWxiZXJ0LCBEYXZpZDwvYXV0aG9yPjxhdXRob3I+UmljZSwgTG91aXMgQjwv
YXV0aG9yPjxhdXRob3I+U2NoZWxkLCBNaWNoYWVsPC9hdXRob3I+PGF1dGhvcj5TcGVsbGJlcmcs
IEJyYWQ8L2F1dGhvcj48YXV0aG9yPkJhcnRsZXR0LCBKb2huPC9hdXRob3I+PC9hdXRob3JzPjwv
Y29udHJpYnV0b3JzPjx0aXRsZXM+PHRpdGxlPkJhZCBidWdzLCBubyBkcnVnczogbm8gRVNLQVBF
ISBBbiB1cGRhdGUgZnJvbSB0aGUgSW5mZWN0aW91cyBEaXNlYXNlcyBTb2NpZXR5IG9mIEFtZXJp
Y2E8L3RpdGxlPjxzZWNvbmRhcnktdGl0bGU+Q2xpbmljYWwgaW5mZWN0aW91cyBkaXNlYXNlczwv
c2Vjb25kYXJ5LXRpdGxlPjwvdGl0bGVzPjxwZXJpb2RpY2FsPjxmdWxsLXRpdGxlPkNsaW5pY2Fs
IGluZmVjdGlvdXMgZGlzZWFzZXM8L2Z1bGwtdGl0bGU+PC9wZXJpb2RpY2FsPjxwYWdlcz4xLTEy
PC9wYWdlcz48dm9sdW1lPjQ4PC92b2x1bWU+PG51bWJlcj4xPC9udW1iZXI+PGRhdGVzPjx5ZWFy
PjIwMDk8L3llYXI+PC9kYXRlcz48aXNibj4xNTM3LTY1OTE8L2lzYm4+PHVybHM+PC91cmxzPjwv
cmVjb3JkPjwvQ2l0ZT48Q2l0ZT48QXV0aG9yPkxheG1pbmFyYXlhbjwvQXV0aG9yPjxZZWFyPjIw
MTM8L1llYXI+PFJlY051bT4zMTwvUmVjTnVtPjxyZWNvcmQ+PHJlYy1udW1iZXI+MzE8L3JlYy1u
dW1iZXI+PGZvcmVpZ24ta2V5cz48a2V5IGFwcD0iRU4iIGRiLWlkPSIyeDA1ZnpzczZ4MnMyM2Uw
YTB0eGF6Zmw1cjkyMHdkMGF0MmEiIHRpbWVzdGFtcD0iMTc1ODUxODgxOCI+MzE8L2tleT48L2Zv
cmVpZ24ta2V5cz48cmVmLXR5cGUgbmFtZT0iSm91cm5hbCBBcnRpY2xlIj4xNzwvcmVmLXR5cGU+
PGNvbnRyaWJ1dG9ycz48YXV0aG9ycz48YXV0aG9yPkxheG1pbmFyYXlhbiwgUmFtYW5hbjwvYXV0
aG9yPjxhdXRob3I+RHVzZSwgQWRyaWFubzwvYXV0aG9yPjxhdXRob3I+V2F0dGFsLCBDaGFuZDwv
YXV0aG9yPjxhdXRob3I+WmFpZGksIEFuaXRhIEtNPC9hdXRob3I+PGF1dGhvcj5XZXJ0aGVpbSwg
SGVpbWFuIEZMPC9hdXRob3I+PGF1dGhvcj5TdW1wcmFkaXQsIE5pdGhpbWE8L2F1dGhvcj48YXV0
aG9yPlZsaWVnaGUsIEVyaWthPC9hdXRob3I+PGF1dGhvcj5IYXJhLCBHYWJyaWVsIExldnk8L2F1
dGhvcj48YXV0aG9yPkdvdWxkLCBJYW4gTTwvYXV0aG9yPjxhdXRob3I+R29vc3NlbnMsIEhlcm1h
bjwvYXV0aG9yPjwvYXV0aG9ycz48L2NvbnRyaWJ1dG9ycz48dGl0bGVzPjx0aXRsZT5BbnRpYmlv
dGljIHJlc2lzdGFuY2XigJR0aGUgbmVlZCBmb3IgZ2xvYmFsIHNvbHV0aW9uczwvdGl0bGU+PHNl
Y29uZGFyeS10aXRsZT5UaGUgTGFuY2V0IGluZmVjdGlvdXMgZGlzZWFzZXM8L3NlY29uZGFyeS10
aXRsZT48L3RpdGxlcz48cGVyaW9kaWNhbD48ZnVsbC10aXRsZT5UaGUgTGFuY2V0IGluZmVjdGlv
dXMgZGlzZWFzZXM8L2Z1bGwtdGl0bGU+PC9wZXJpb2RpY2FsPjxwYWdlcz4xMDU3LTEwOTg8L3Bh
Z2VzPjx2b2x1bWU+MTM8L3ZvbHVtZT48bnVtYmVyPjEyPC9udW1iZXI+PGRhdGVzPjx5ZWFyPjIw
MTM8L3llYXI+PC9kYXRlcz48aXNibj4xNDczLTMwOTk8L2lzYm4+PHVybHM+PC91cmxzPjwvcmVj
b3JkPjwvQ2l0ZT48Q2l0ZT48QXV0aG9yPkVDREM8L0F1dGhvcj48WWVhcj4yMDA5PC9ZZWFyPjxS
ZWNOdW0+MzM8L1JlY051bT48cmVjb3JkPjxyZWMtbnVtYmVyPjMzPC9yZWMtbnVtYmVyPjxmb3Jl
aWduLWtleXM+PGtleSBhcHA9IkVOIiBkYi1pZD0iMngwNWZ6c3M2eDJzMjNlMGEwdHhhemZsNXI5
MjB3ZDBhdDJhIiB0aW1lc3RhbXA9IjE3NTg1MjAxODMiPjMzPC9rZXk+PC9mb3JlaWduLWtleXM+
PHJlZi10eXBlIG5hbWU9IkpvdXJuYWwgQXJ0aWNsZSI+MTc8L3JlZi10eXBlPjxjb250cmlidXRv
cnM+PGF1dGhvcnM+PGF1dGhvcj5FQ0RDLCBFRlNBPC9hdXRob3I+PC9hdXRob3JzPjwvY29udHJp
YnV0b3JzPjx0aXRsZXM+PHRpdGxlPkVNRUEgYW5kIFNDRU5JSFIgKEV1cm9wZWFuIENlbnRyZSBm
b3IgRGlzZWFzZSBQcmV2ZW50aW9uIGFuZCBDb250cm9sLCBFdXJvcGVhbiBGb29kIFNhZmV0eSBB
dXRob3JpdHksIEV1cm9wZWFuIE1lZGljaW5lcyBBZ2VuY3kgYW5kIEV1cm9wZWFuIENvbW1pc3Np
b24mYXBvcztzIFNjaWVudGlmaWMgQ29tbWl0dGVlIG9uIEVtZXJnaW5nIGFuZCBOZXdseSBJZGVu
dGlmaWVkIEhlYWx0aCBSaXNrcyksIDIwMDk8L3RpdGxlPjxzZWNvbmRhcnktdGl0bGU+Sm9pbnQg
T3BpbmlvbiBvbiBhbnRpbWljcm9iaWFsIHJlc2lzdGFuY2UgKEFNUikgZm9jdXNlZCBvbiB6b29u
b3RpYyBpbmZlY3Rpb25zPC9zZWNvbmRhcnktdGl0bGU+PC90aXRsZXM+PHBlcmlvZGljYWw+PGZ1
bGwtdGl0bGU+Sm9pbnQgT3BpbmlvbiBvbiBhbnRpbWljcm9iaWFsIHJlc2lzdGFuY2UgKEFNUikg
Zm9jdXNlZCBvbiB6b29ub3RpYyBpbmZlY3Rpb25zPC9mdWxsLXRpdGxlPjwvcGVyaW9kaWNhbD48
ZGF0ZXM+PHllYXI+MjAwOTwveWVhcj48L2RhdGVzPjx1cmxzPjwvdXJscz48L3JlY29yZD48L0Np
dGU+PC9FbmROb3RlPn==
</w:fldData>
        </w:fldChar>
      </w:r>
      <w:r w:rsidR="00287940">
        <w:rPr>
          <w:rFonts w:ascii="Times New Roman" w:hAnsi="Times New Roman"/>
          <w:color w:val="0000FF"/>
        </w:rPr>
        <w:instrText xml:space="preserve"> ADDIN EN.CITE.DATA </w:instrText>
      </w:r>
      <w:r w:rsidR="00287940">
        <w:rPr>
          <w:rFonts w:ascii="Times New Roman" w:hAnsi="Times New Roman"/>
          <w:color w:val="0000FF"/>
        </w:rPr>
      </w:r>
      <w:r w:rsidR="00287940">
        <w:rPr>
          <w:rFonts w:ascii="Times New Roman" w:hAnsi="Times New Roman"/>
          <w:color w:val="0000FF"/>
        </w:rPr>
        <w:fldChar w:fldCharType="end"/>
      </w:r>
      <w:r w:rsidR="00C27346" w:rsidRPr="0012141A">
        <w:rPr>
          <w:rFonts w:ascii="Times New Roman" w:hAnsi="Times New Roman"/>
          <w:color w:val="0000FF"/>
        </w:rPr>
      </w:r>
      <w:r w:rsidR="00C27346" w:rsidRPr="0012141A">
        <w:rPr>
          <w:rFonts w:ascii="Times New Roman" w:hAnsi="Times New Roman"/>
          <w:color w:val="0000FF"/>
        </w:rPr>
        <w:fldChar w:fldCharType="separate"/>
      </w:r>
      <w:r w:rsidR="00287940">
        <w:rPr>
          <w:rFonts w:ascii="Times New Roman" w:hAnsi="Times New Roman"/>
          <w:noProof/>
          <w:color w:val="0000FF"/>
        </w:rPr>
        <w:t>(Boucher et al., 2009, Laxminarayan et al., 2013, ECDC, 2009)</w:t>
      </w:r>
      <w:r w:rsidR="00C27346" w:rsidRPr="0012141A">
        <w:rPr>
          <w:rFonts w:ascii="Times New Roman" w:hAnsi="Times New Roman"/>
          <w:color w:val="0000FF"/>
        </w:rPr>
        <w:fldChar w:fldCharType="end"/>
      </w:r>
      <w:r w:rsidR="00C27346" w:rsidRPr="0012141A">
        <w:rPr>
          <w:rFonts w:ascii="Times New Roman" w:hAnsi="Times New Roman"/>
        </w:rPr>
        <w:t xml:space="preserve">. </w:t>
      </w:r>
      <w:r w:rsidRPr="006D4D47">
        <w:rPr>
          <w:rFonts w:ascii="Times New Roman" w:hAnsi="Times New Roman"/>
        </w:rPr>
        <w:t>In the absence of coordinated intervention, this figure is anticipated to rise to 10 million deaths annually worldwide by 2050, surpassing cancer as a primary cause of mortality and causing severe economic repercussions</w:t>
      </w:r>
      <w:r>
        <w:rPr>
          <w:rFonts w:ascii="Times New Roman" w:hAnsi="Times New Roman"/>
        </w:rPr>
        <w:t xml:space="preserve"> </w:t>
      </w:r>
      <w:r w:rsidR="00C27346"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&lt;EndNote&gt;&lt;Cite&gt;&lt;Author&gt;Holmberg&lt;/Author&gt;&lt;Year&gt;1987&lt;/Year&gt;&lt;RecNum&gt;34&lt;/RecNum&gt;&lt;DisplayText&gt;(Holmberg et al., 1987)&lt;/DisplayText&gt;&lt;record&gt;&lt;rec-number&gt;34&lt;/rec-number&gt;&lt;foreign-keys&gt;&lt;key app="EN" db-id="2x05fzss6x2s23e0a0txazfl5r920wd0at2a" timestamp="1758520292"&gt;34&lt;/key&gt;&lt;/foreign-keys&gt;&lt;ref-type name="Journal Article"&gt;17&lt;/ref-type&gt;&lt;contributors&gt;&lt;authors&gt;&lt;author&gt;Holmberg, Scott D&lt;/author&gt;&lt;author&gt;Solomon, Steven L&lt;/author&gt;&lt;author&gt;Blake, Paul A&lt;/author&gt;&lt;/authors&gt;&lt;/contributors&gt;&lt;titles&gt;&lt;title&gt;Health and economic impacts of antimicrobial resistance&lt;/title&gt;&lt;secondary-title&gt;Reviews of infectious diseases&lt;/secondary-title&gt;&lt;/titles&gt;&lt;periodical&gt;&lt;full-title&gt;Reviews of infectious diseases&lt;/full-title&gt;&lt;/periodical&gt;&lt;pages&gt;1065-1078&lt;/pages&gt;&lt;volume&gt;9&lt;/volume&gt;&lt;number&gt;6&lt;/number&gt;&lt;dates&gt;&lt;year&gt;1987&lt;/year&gt;&lt;/dates&gt;&lt;isbn&gt;1537-6591&lt;/isbn&gt;&lt;urls&gt;&lt;/urls&gt;&lt;/record&gt;&lt;/Cite&gt;&lt;/EndNote&gt;</w:instrText>
      </w:r>
      <w:r w:rsidR="00C27346" w:rsidRPr="0012141A">
        <w:rPr>
          <w:rFonts w:ascii="Times New Roman" w:hAnsi="Times New Roman"/>
          <w:color w:val="0000FF"/>
        </w:rPr>
        <w:fldChar w:fldCharType="separate"/>
      </w:r>
      <w:r w:rsidR="00287940">
        <w:rPr>
          <w:rFonts w:ascii="Times New Roman" w:hAnsi="Times New Roman"/>
          <w:noProof/>
          <w:color w:val="0000FF"/>
        </w:rPr>
        <w:t>(Holmberg et al., 1987)</w:t>
      </w:r>
      <w:r w:rsidR="00C27346" w:rsidRPr="0012141A">
        <w:rPr>
          <w:rFonts w:ascii="Times New Roman" w:hAnsi="Times New Roman"/>
          <w:color w:val="0000FF"/>
        </w:rPr>
        <w:fldChar w:fldCharType="end"/>
      </w:r>
      <w:r w:rsidR="00C27346" w:rsidRPr="0012141A">
        <w:rPr>
          <w:rFonts w:ascii="Times New Roman" w:hAnsi="Times New Roman"/>
        </w:rPr>
        <w:t xml:space="preserve">. </w:t>
      </w:r>
      <w:r w:rsidRPr="006D4D47">
        <w:rPr>
          <w:rFonts w:ascii="Times New Roman" w:hAnsi="Times New Roman"/>
        </w:rPr>
        <w:t>The emergence of multidrug-resistant pathogens, exemplified by the ESKAPE group</w:t>
      </w:r>
      <w:r w:rsidR="00C27346" w:rsidRPr="00C27346">
        <w:rPr>
          <w:rFonts w:ascii="Times New Roman" w:hAnsi="Times New Roman"/>
        </w:rPr>
        <w:t xml:space="preserve"> (</w:t>
      </w:r>
      <w:r w:rsidR="00C27346" w:rsidRPr="00C27346">
        <w:rPr>
          <w:rFonts w:ascii="Times New Roman" w:hAnsi="Times New Roman"/>
          <w:i/>
          <w:iCs/>
        </w:rPr>
        <w:t>Enterococcus faecium, Staphylococcus aureus, Klebsiella pneumoniae, Acinetobacter baumannii, Pseudomonas aeruginosa, and Enterobacter species</w:t>
      </w:r>
      <w:r w:rsidR="00C27346" w:rsidRPr="00C27346">
        <w:rPr>
          <w:rFonts w:ascii="Times New Roman" w:hAnsi="Times New Roman"/>
        </w:rPr>
        <w:t xml:space="preserve">), </w:t>
      </w:r>
      <w:r w:rsidRPr="006D4D47">
        <w:rPr>
          <w:rFonts w:ascii="Times New Roman" w:hAnsi="Times New Roman"/>
        </w:rPr>
        <w:t>has resulted in a situation where prevalent infections are increasingly becoming untreatable</w:t>
      </w:r>
      <w:r w:rsidR="00C22BBC">
        <w:rPr>
          <w:rFonts w:ascii="Times New Roman" w:hAnsi="Times New Roman"/>
        </w:rPr>
        <w:t xml:space="preserve"> </w:t>
      </w:r>
      <w:r w:rsidR="00C27346"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&lt;EndNote&gt;&lt;Cite&gt;&lt;Author&gt;de Kraker&lt;/Author&gt;&lt;Year&gt;2016&lt;/Year&gt;&lt;RecNum&gt;35&lt;/RecNum&gt;&lt;DisplayText&gt;(de Kraker et al., 2016)&lt;/DisplayText&gt;&lt;record&gt;&lt;rec-number&gt;35&lt;/rec-number&gt;&lt;foreign-keys&gt;&lt;key app="EN" db-id="2x05fzss6x2s23e0a0txazfl5r920wd0at2a" timestamp="1758520353"&gt;35&lt;/key&gt;&lt;/foreign-keys&gt;&lt;ref-type name="Journal Article"&gt;17&lt;/ref-type&gt;&lt;contributors&gt;&lt;authors&gt;&lt;author&gt;de Kraker, Marlieke EA&lt;/author&gt;&lt;author&gt;Stewardson, Andrew J&lt;/author&gt;&lt;author&gt;Harbarth, Stephan&lt;/author&gt;&lt;/authors&gt;&lt;/contributors&gt;&lt;titles&gt;&lt;title&gt;Will 10 million people die a year due to antimicrobial resistance by 2050?&lt;/title&gt;&lt;secondary-title&gt;PLoS medicine&lt;/secondary-title&gt;&lt;/titles&gt;&lt;periodical&gt;&lt;full-title&gt;PLoS medicine&lt;/full-title&gt;&lt;/periodical&gt;&lt;pages&gt;e1002184&lt;/pages&gt;&lt;volume&gt;13&lt;/volume&gt;&lt;number&gt;11&lt;/number&gt;&lt;dates&gt;&lt;year&gt;2016&lt;/year&gt;&lt;/dates&gt;&lt;isbn&gt;1549-1277&lt;/isbn&gt;&lt;urls&gt;&lt;/urls&gt;&lt;/record&gt;&lt;/Cite&gt;&lt;/EndNote&gt;</w:instrText>
      </w:r>
      <w:r w:rsidR="00C27346" w:rsidRPr="0012141A">
        <w:rPr>
          <w:rFonts w:ascii="Times New Roman" w:hAnsi="Times New Roman"/>
          <w:color w:val="0000FF"/>
        </w:rPr>
        <w:fldChar w:fldCharType="separate"/>
      </w:r>
      <w:r w:rsidR="00287940">
        <w:rPr>
          <w:rFonts w:ascii="Times New Roman" w:hAnsi="Times New Roman"/>
          <w:noProof/>
          <w:color w:val="0000FF"/>
        </w:rPr>
        <w:t>(de Kraker et al., 2016)</w:t>
      </w:r>
      <w:r w:rsidR="00C27346" w:rsidRPr="0012141A">
        <w:rPr>
          <w:rFonts w:ascii="Times New Roman" w:hAnsi="Times New Roman"/>
          <w:color w:val="0000FF"/>
        </w:rPr>
        <w:fldChar w:fldCharType="end"/>
      </w:r>
      <w:r w:rsidR="00C27346" w:rsidRPr="0012141A">
        <w:rPr>
          <w:rFonts w:ascii="Times New Roman" w:hAnsi="Times New Roman"/>
        </w:rPr>
        <w:t>.</w:t>
      </w:r>
    </w:p>
    <w:p w14:paraId="7A0DCFD5" w14:textId="042CF846" w:rsidR="006B1624" w:rsidRPr="0012141A" w:rsidRDefault="00060FCC" w:rsidP="00060FCC">
      <w:pPr>
        <w:spacing w:line="360" w:lineRule="auto"/>
        <w:rPr>
          <w:rFonts w:ascii="Times New Roman" w:hAnsi="Times New Roman"/>
        </w:rPr>
      </w:pPr>
      <w:r w:rsidRPr="00060FCC">
        <w:rPr>
          <w:rFonts w:ascii="Times New Roman" w:hAnsi="Times New Roman"/>
        </w:rPr>
        <w:t>The clinical impact of AMR is evident; however, the significance of the environment as a key factor has only lately been completely recognized. Environmental matrices, such as soil, water, wastewater, and manure, actively engage with antibiotic residues and resistant bacteria originating from human and agricultural activities. They are dynamic, gene-dense ecosystems that function as extensive reservoirs and catalysts for the development of ARGs</w:t>
      </w:r>
      <w:r>
        <w:rPr>
          <w:rFonts w:ascii="Times New Roman" w:hAnsi="Times New Roman"/>
        </w:rPr>
        <w:t xml:space="preserve"> </w:t>
      </w:r>
      <w:r w:rsidR="009D73BD"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&lt;EndNote&gt;&lt;Cite&gt;&lt;Author&gt;Gillings&lt;/Author&gt;&lt;Year&gt;2008&lt;/Year&gt;&lt;RecNum&gt;36&lt;/RecNum&gt;&lt;DisplayText&gt;(Gillings et al., 2008, Baquero et al., 2019)&lt;/DisplayText&gt;&lt;record&gt;&lt;rec-number&gt;36&lt;/rec-number&gt;&lt;foreign-keys&gt;&lt;key app="EN" db-id="2x05fzss6x2s23e0a0txazfl5r920wd0at2a" timestamp="1758521036"&gt;36&lt;/key&gt;&lt;/foreign-keys&gt;&lt;ref-type name="Journal Article"&gt;17&lt;/ref-type&gt;&lt;contributors&gt;&lt;authors&gt;&lt;author&gt;Gillings, Michael&lt;/author&gt;&lt;author&gt;Boucher, Yan&lt;/author&gt;&lt;author&gt;Labbate, Maurizio&lt;/author&gt;&lt;author&gt;Holmes, Andrew&lt;/author&gt;&lt;author&gt;Krishnan, Samyuktha&lt;/author&gt;&lt;author&gt;Holley, Marita&lt;/author&gt;&lt;author&gt;Stokes, HW&lt;/author&gt;&lt;/authors&gt;&lt;/contributors&gt;&lt;titles&gt;&lt;title&gt;The evolution of class 1 integrons and the rise of antibiotic resistance&lt;/title&gt;&lt;secondary-title&gt;Journal of bacteriology&lt;/secondary-title&gt;&lt;/titles&gt;&lt;periodical&gt;&lt;full-title&gt;Journal of bacteriology&lt;/full-title&gt;&lt;/periodical&gt;&lt;pages&gt;5095-5100&lt;/pages&gt;&lt;volume&gt;190&lt;/volume&gt;&lt;number&gt;14&lt;/number&gt;&lt;dates&gt;&lt;year&gt;2008&lt;/year&gt;&lt;/dates&gt;&lt;isbn&gt;0021-9193&lt;/isbn&gt;&lt;urls&gt;&lt;/urls&gt;&lt;/record&gt;&lt;/Cite&gt;&lt;Cite&gt;&lt;Author&gt;Baquero&lt;/Author&gt;&lt;Year&gt;2019&lt;/Year&gt;&lt;RecNum&gt;37&lt;/RecNum&gt;&lt;record&gt;&lt;rec-number&gt;37&lt;/rec-number&gt;&lt;foreign-keys&gt;&lt;key app="EN" db-id="2x05fzss6x2s23e0a0txazfl5r920wd0at2a" timestamp="1758521080"&gt;37&lt;/key&gt;&lt;/foreign-keys&gt;&lt;ref-type name="Journal Article"&gt;17&lt;/ref-type&gt;&lt;contributors&gt;&lt;authors&gt;&lt;author&gt;Baquero, Fernando&lt;/author&gt;&lt;author&gt;Coque, Teresa M&lt;/author&gt;&lt;author&gt;Martínez, José-Luis&lt;/author&gt;&lt;author&gt;Aracil-Gisbert, Sonia&lt;/author&gt;&lt;author&gt;Lanza, Val F&lt;/author&gt;&lt;/authors&gt;&lt;/contributors&gt;&lt;titles&gt;&lt;title&gt;Gene transmission in the one health microbiosphere and the channels of antimicrobial resistance&lt;/title&gt;&lt;secondary-title&gt;Frontiers in microbiology&lt;/secondary-title&gt;&lt;/titles&gt;&lt;periodical&gt;&lt;full-title&gt;Frontiers in microbiology&lt;/full-title&gt;&lt;/periodical&gt;&lt;pages&gt;2892&lt;/pages&gt;&lt;volume&gt;10&lt;/volume&gt;&lt;dates&gt;&lt;year&gt;2019&lt;/year&gt;&lt;/dates&gt;&lt;isbn&gt;1664-302X&lt;/isbn&gt;&lt;urls&gt;&lt;/urls&gt;&lt;/record&gt;&lt;/Cite&gt;&lt;/EndNote&gt;</w:instrText>
      </w:r>
      <w:r w:rsidR="009D73BD" w:rsidRPr="0012141A">
        <w:rPr>
          <w:rFonts w:ascii="Times New Roman" w:hAnsi="Times New Roman"/>
          <w:color w:val="0000FF"/>
        </w:rPr>
        <w:fldChar w:fldCharType="separate"/>
      </w:r>
      <w:r w:rsidR="00287940">
        <w:rPr>
          <w:rFonts w:ascii="Times New Roman" w:hAnsi="Times New Roman"/>
          <w:noProof/>
          <w:color w:val="0000FF"/>
        </w:rPr>
        <w:t>(Gillings et al., 2008, Baquero et al., 2019)</w:t>
      </w:r>
      <w:r w:rsidR="009D73BD" w:rsidRPr="0012141A">
        <w:rPr>
          <w:rFonts w:ascii="Times New Roman" w:hAnsi="Times New Roman"/>
          <w:color w:val="0000FF"/>
        </w:rPr>
        <w:fldChar w:fldCharType="end"/>
      </w:r>
      <w:r w:rsidR="009D73BD" w:rsidRPr="0012141A">
        <w:rPr>
          <w:rFonts w:ascii="Times New Roman" w:hAnsi="Times New Roman"/>
        </w:rPr>
        <w:t xml:space="preserve">. </w:t>
      </w:r>
      <w:r w:rsidRPr="00060FCC">
        <w:rPr>
          <w:rFonts w:ascii="Times New Roman" w:hAnsi="Times New Roman"/>
        </w:rPr>
        <w:t xml:space="preserve">The environmental </w:t>
      </w:r>
      <w:proofErr w:type="spellStart"/>
      <w:r w:rsidRPr="00060FCC">
        <w:rPr>
          <w:rFonts w:ascii="Times New Roman" w:hAnsi="Times New Roman"/>
        </w:rPr>
        <w:t>resistome</w:t>
      </w:r>
      <w:proofErr w:type="spellEnd"/>
      <w:r w:rsidRPr="00060FCC">
        <w:rPr>
          <w:rFonts w:ascii="Times New Roman" w:hAnsi="Times New Roman"/>
        </w:rPr>
        <w:t>, encompassing all ARGs within a specific microbiome, signifies an ancient and varied genetic reservoir from which pathogens can obtain resistance through horizontal gene transfer (HGT) via mechanisms including conjugation, transformation, and transduction</w:t>
      </w:r>
      <w:r w:rsidR="00C22BBC">
        <w:rPr>
          <w:rFonts w:ascii="Times New Roman" w:hAnsi="Times New Roman"/>
        </w:rPr>
        <w:t xml:space="preserve"> </w:t>
      </w:r>
      <w:r w:rsidR="009D73BD"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&lt;EndNote&gt;&lt;Cite&gt;&lt;Author&gt;Ebmeyer&lt;/Author&gt;&lt;Year&gt;2021&lt;/Year&gt;&lt;RecNum&gt;38&lt;/RecNum&gt;&lt;DisplayText&gt;(Ebmeyer et al., 2021)&lt;/DisplayText&gt;&lt;record&gt;&lt;rec-number&gt;38&lt;/rec-number&gt;&lt;foreign-keys&gt;&lt;key app="EN" db-id="2x05fzss6x2s23e0a0txazfl5r920wd0at2a" timestamp="1758521142"&gt;38&lt;/key&gt;&lt;/foreign-keys&gt;&lt;ref-type name="Journal Article"&gt;17&lt;/ref-type&gt;&lt;contributors&gt;&lt;authors&gt;&lt;author&gt;Ebmeyer, Stefan&lt;/author&gt;&lt;author&gt;Kristiansson, Erik&lt;/author&gt;&lt;author&gt;Larsson, DG Joakim&lt;/author&gt;&lt;/authors&gt;&lt;/contributors&gt;&lt;titles&gt;&lt;title&gt;A framework for identifying the recent origins of mobile antibiotic resistance genes&lt;/title&gt;&lt;secondary-title&gt;Communications biology&lt;/secondary-title&gt;&lt;/titles&gt;&lt;periodical&gt;&lt;full-title&gt;Communications biology&lt;/full-title&gt;&lt;/periodical&gt;&lt;pages&gt;8&lt;/pages&gt;&lt;volume&gt;4&lt;/volume&gt;&lt;number&gt;1&lt;/number&gt;&lt;dates&gt;&lt;year&gt;2021&lt;/year&gt;&lt;/dates&gt;&lt;isbn&gt;2399-3642&lt;/isbn&gt;&lt;urls&gt;&lt;/urls&gt;&lt;/record&gt;&lt;/Cite&gt;&lt;/EndNote&gt;</w:instrText>
      </w:r>
      <w:r w:rsidR="009D73BD" w:rsidRPr="0012141A">
        <w:rPr>
          <w:rFonts w:ascii="Times New Roman" w:hAnsi="Times New Roman"/>
          <w:color w:val="0000FF"/>
        </w:rPr>
        <w:fldChar w:fldCharType="separate"/>
      </w:r>
      <w:r w:rsidR="00287940">
        <w:rPr>
          <w:rFonts w:ascii="Times New Roman" w:hAnsi="Times New Roman"/>
          <w:noProof/>
          <w:color w:val="0000FF"/>
        </w:rPr>
        <w:t>(Ebmeyer et al., 2021)</w:t>
      </w:r>
      <w:r w:rsidR="009D73BD" w:rsidRPr="0012141A">
        <w:rPr>
          <w:rFonts w:ascii="Times New Roman" w:hAnsi="Times New Roman"/>
          <w:color w:val="0000FF"/>
        </w:rPr>
        <w:fldChar w:fldCharType="end"/>
      </w:r>
      <w:r w:rsidR="009D73BD" w:rsidRPr="0012141A">
        <w:rPr>
          <w:rFonts w:ascii="Times New Roman" w:hAnsi="Times New Roman"/>
        </w:rPr>
        <w:t xml:space="preserve">. </w:t>
      </w:r>
    </w:p>
    <w:p w14:paraId="7EEB2A91" w14:textId="69B93087" w:rsidR="006B1624" w:rsidRPr="0012141A" w:rsidRDefault="00512D89" w:rsidP="00512D89">
      <w:pPr>
        <w:spacing w:line="360" w:lineRule="auto"/>
        <w:jc w:val="both"/>
        <w:rPr>
          <w:rFonts w:ascii="Times New Roman" w:hAnsi="Times New Roman"/>
        </w:rPr>
      </w:pPr>
      <w:r w:rsidRPr="00512D89">
        <w:rPr>
          <w:rFonts w:ascii="Times New Roman" w:hAnsi="Times New Roman"/>
        </w:rPr>
        <w:t>This ongoing interaction connects environmental and therapeutic contexts. Wastewater treatment facilities (WWTPs) serve as critical sites where urban and hospital effluents converge, facilitating optimal circumstances for genetic exchange between environmental and clinically significant microorganisms</w:t>
      </w:r>
      <w:r>
        <w:rPr>
          <w:rFonts w:ascii="Times New Roman" w:hAnsi="Times New Roman"/>
        </w:rPr>
        <w:t xml:space="preserve"> </w:t>
      </w:r>
      <w:r w:rsidR="009D73BD"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&lt;EndNote&gt;&lt;Cite&gt;&lt;Author&gt;Reygaert&lt;/Author&gt;&lt;Year&gt;2018&lt;/Year&gt;&lt;RecNum&gt;39&lt;/RecNum&gt;&lt;DisplayText&gt;(Reygaert, 2018)&lt;/DisplayText&gt;&lt;record&gt;&lt;rec-number&gt;39&lt;/rec-number&gt;&lt;foreign-keys&gt;&lt;key app="EN" db-id="2x05fzss6x2s23e0a0txazfl5r920wd0at2a" timestamp="1758521251"&gt;39&lt;/key&gt;&lt;/foreign-keys&gt;&lt;ref-type name="Journal Article"&gt;17&lt;/ref-type&gt;&lt;contributors&gt;&lt;authors&gt;&lt;author&gt;Reygaert, Wanda C&lt;/author&gt;&lt;/authors&gt;&lt;/contributors&gt;&lt;titles&gt;&lt;title&gt;An overview of the antimicrobial resistance mechanisms of bacteria&lt;/title&gt;&lt;secondary-title&gt;AIMS microbiology&lt;/secondary-title&gt;&lt;/titles&gt;&lt;periodical&gt;&lt;full-title&gt;AIMS microbiology&lt;/full-title&gt;&lt;/periodical&gt;&lt;pages&gt;482&lt;/pages&gt;&lt;volume&gt;4&lt;/volume&gt;&lt;number&gt;3&lt;/number&gt;&lt;dates&gt;&lt;year&gt;2018&lt;/year&gt;&lt;/dates&gt;&lt;urls&gt;&lt;/urls&gt;&lt;/record&gt;&lt;/Cite&gt;&lt;/EndNote&gt;</w:instrText>
      </w:r>
      <w:r w:rsidR="009D73BD" w:rsidRPr="0012141A">
        <w:rPr>
          <w:rFonts w:ascii="Times New Roman" w:hAnsi="Times New Roman"/>
          <w:color w:val="0000FF"/>
        </w:rPr>
        <w:fldChar w:fldCharType="separate"/>
      </w:r>
      <w:r w:rsidR="00287940">
        <w:rPr>
          <w:rFonts w:ascii="Times New Roman" w:hAnsi="Times New Roman"/>
          <w:noProof/>
          <w:color w:val="0000FF"/>
        </w:rPr>
        <w:t>(Reygaert, 2018)</w:t>
      </w:r>
      <w:r w:rsidR="009D73BD" w:rsidRPr="0012141A">
        <w:rPr>
          <w:rFonts w:ascii="Times New Roman" w:hAnsi="Times New Roman"/>
          <w:color w:val="0000FF"/>
        </w:rPr>
        <w:fldChar w:fldCharType="end"/>
      </w:r>
      <w:r w:rsidR="009D73BD" w:rsidRPr="0012141A">
        <w:rPr>
          <w:rFonts w:ascii="Times New Roman" w:hAnsi="Times New Roman"/>
        </w:rPr>
        <w:t xml:space="preserve">. </w:t>
      </w:r>
      <w:r w:rsidR="009D73BD" w:rsidRPr="009D73BD">
        <w:rPr>
          <w:rFonts w:ascii="Times New Roman" w:hAnsi="Times New Roman"/>
        </w:rPr>
        <w:t xml:space="preserve">Similarly, </w:t>
      </w:r>
      <w:r w:rsidRPr="00512D89">
        <w:rPr>
          <w:rFonts w:ascii="Times New Roman" w:hAnsi="Times New Roman"/>
        </w:rPr>
        <w:t xml:space="preserve">the application of antibiotic-contaminated manure in </w:t>
      </w:r>
      <w:r w:rsidRPr="00512D89">
        <w:rPr>
          <w:rFonts w:ascii="Times New Roman" w:hAnsi="Times New Roman"/>
        </w:rPr>
        <w:lastRenderedPageBreak/>
        <w:t>agriculture propagates resistance genes into soils and, via runoff, into aquatic ecosystems, establishing a widespread cycle of pollution</w:t>
      </w:r>
      <w:r w:rsidR="00C22BBC">
        <w:rPr>
          <w:rFonts w:ascii="Times New Roman" w:hAnsi="Times New Roman"/>
        </w:rPr>
        <w:t xml:space="preserve"> </w:t>
      </w:r>
      <w:r w:rsidR="009D73BD"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&lt;EndNote&gt;&lt;Cite&gt;&lt;Author&gt;Annunziato&lt;/Author&gt;&lt;Year&gt;2019&lt;/Year&gt;&lt;RecNum&gt;40&lt;/RecNum&gt;&lt;DisplayText&gt;(Annunziato, 2019)&lt;/DisplayText&gt;&lt;record&gt;&lt;rec-number&gt;40&lt;/rec-number&gt;&lt;foreign-keys&gt;&lt;key app="EN" db-id="2x05fzss6x2s23e0a0txazfl5r920wd0at2a" timestamp="1758521302"&gt;40&lt;/key&gt;&lt;/foreign-keys&gt;&lt;ref-type name="Journal Article"&gt;17&lt;/ref-type&gt;&lt;contributors&gt;&lt;authors&gt;&lt;author&gt;Annunziato, Giannamaria&lt;/author&gt;&lt;/authors&gt;&lt;/contributors&gt;&lt;titles&gt;&lt;title&gt;Strategies to overcome antimicrobial resistance (AMR) making use of non-essential target inhibitors: A review&lt;/title&gt;&lt;secondary-title&gt;International journal of molecular sciences&lt;/secondary-title&gt;&lt;/titles&gt;&lt;periodical&gt;&lt;full-title&gt;International journal of molecular sciences&lt;/full-title&gt;&lt;/periodical&gt;&lt;pages&gt;5844&lt;/pages&gt;&lt;volume&gt;20&lt;/volume&gt;&lt;number&gt;23&lt;/number&gt;&lt;dates&gt;&lt;year&gt;2019&lt;/year&gt;&lt;/dates&gt;&lt;isbn&gt;1422-0067&lt;/isbn&gt;&lt;urls&gt;&lt;/urls&gt;&lt;/record&gt;&lt;/Cite&gt;&lt;/EndNote&gt;</w:instrText>
      </w:r>
      <w:r w:rsidR="009D73BD" w:rsidRPr="0012141A">
        <w:rPr>
          <w:rFonts w:ascii="Times New Roman" w:hAnsi="Times New Roman"/>
          <w:color w:val="0000FF"/>
        </w:rPr>
        <w:fldChar w:fldCharType="separate"/>
      </w:r>
      <w:r w:rsidR="00287940">
        <w:rPr>
          <w:rFonts w:ascii="Times New Roman" w:hAnsi="Times New Roman"/>
          <w:noProof/>
          <w:color w:val="0000FF"/>
        </w:rPr>
        <w:t>(Annunziato, 2019)</w:t>
      </w:r>
      <w:r w:rsidR="009D73BD" w:rsidRPr="0012141A">
        <w:rPr>
          <w:rFonts w:ascii="Times New Roman" w:hAnsi="Times New Roman"/>
          <w:color w:val="0000FF"/>
        </w:rPr>
        <w:fldChar w:fldCharType="end"/>
      </w:r>
      <w:r w:rsidR="009D73BD" w:rsidRPr="0012141A">
        <w:rPr>
          <w:rFonts w:ascii="Times New Roman" w:hAnsi="Times New Roman"/>
        </w:rPr>
        <w:t>.</w:t>
      </w:r>
    </w:p>
    <w:p w14:paraId="08F0E537" w14:textId="2B2381B4" w:rsidR="00512D89" w:rsidRPr="00512D89" w:rsidRDefault="00512D89" w:rsidP="00512D89">
      <w:pPr>
        <w:spacing w:line="360" w:lineRule="auto"/>
        <w:jc w:val="both"/>
        <w:rPr>
          <w:rFonts w:ascii="Times New Roman" w:hAnsi="Times New Roman"/>
        </w:rPr>
      </w:pPr>
      <w:r w:rsidRPr="00512D89">
        <w:rPr>
          <w:rFonts w:ascii="Times New Roman" w:hAnsi="Times New Roman"/>
        </w:rPr>
        <w:t xml:space="preserve">Consequently, an exclusive emphasis on clinical resistance is inadequate. Addressing antimicrobial resistance necessitates a comprehensive "One Health" strategy that acknowledges the interconnectedness of human, animal, and environmental health. This review aims to consolidate the current knowledge regarding antibiotic resistance in environmental microbiomes. The research examines the molecular processes of resistance, identifies the main environmental reservoirs of ARGs, and assesses molecular approaches for their detection and monitoring. The </w:t>
      </w:r>
      <w:r w:rsidR="00CB3FED">
        <w:rPr>
          <w:rFonts w:ascii="Times New Roman" w:hAnsi="Times New Roman"/>
        </w:rPr>
        <w:t>paper</w:t>
      </w:r>
      <w:r w:rsidRPr="00512D89">
        <w:rPr>
          <w:rFonts w:ascii="Times New Roman" w:hAnsi="Times New Roman"/>
        </w:rPr>
        <w:t xml:space="preserve"> critically analyzed the ramifications of environmental antimicrobial resistance on human health. It produced a thorough summary of novel mitigation measures to disrupt the transmission chain within these crucial environmental compartments.</w:t>
      </w:r>
    </w:p>
    <w:p w14:paraId="39C3170D" w14:textId="77777777" w:rsidR="00AA4778" w:rsidRDefault="00AA4778" w:rsidP="00512D89">
      <w:pPr>
        <w:spacing w:line="360" w:lineRule="auto"/>
        <w:jc w:val="both"/>
        <w:rPr>
          <w:rFonts w:ascii="Times New Roman" w:hAnsi="Times New Roman"/>
        </w:rPr>
      </w:pPr>
    </w:p>
    <w:p w14:paraId="43334B69" w14:textId="3F253856" w:rsidR="006B1624" w:rsidRPr="0012141A" w:rsidRDefault="00335416" w:rsidP="006F3A51">
      <w:pPr>
        <w:spacing w:line="360" w:lineRule="auto"/>
        <w:jc w:val="both"/>
        <w:rPr>
          <w:rFonts w:ascii="Times New Roman" w:hAnsi="Times New Roman" w:cs="Times New Roman"/>
          <w:b/>
          <w:bCs/>
        </w:rPr>
      </w:pPr>
      <w:r w:rsidRPr="0012141A">
        <w:rPr>
          <w:rFonts w:ascii="Times New Roman" w:hAnsi="Times New Roman" w:cs="Times New Roman"/>
          <w:b/>
          <w:bCs/>
        </w:rPr>
        <w:t>2. Molecular mechanisms underlying antibiotic resistance</w:t>
      </w:r>
    </w:p>
    <w:p w14:paraId="21E0D5F6" w14:textId="4204EB14" w:rsidR="006B1624" w:rsidRPr="0012141A" w:rsidRDefault="00875070" w:rsidP="006F3A51">
      <w:pPr>
        <w:spacing w:line="360" w:lineRule="auto"/>
        <w:jc w:val="both"/>
        <w:rPr>
          <w:rFonts w:ascii="Times New Roman" w:hAnsi="Times New Roman" w:cs="Times New Roman"/>
        </w:rPr>
      </w:pPr>
      <w:r w:rsidRPr="00875070">
        <w:rPr>
          <w:rFonts w:ascii="Times New Roman" w:hAnsi="Times New Roman" w:cs="Times New Roman"/>
        </w:rPr>
        <w:t>Pathogens have swiftly developed many defensive mechanisms against the effects of antimicrobial agents. Four principal groups encompass the fundamental mechanisms in bacteria that result in antibiotic resistance</w:t>
      </w:r>
      <w:r>
        <w:rPr>
          <w:rFonts w:ascii="Times New Roman" w:hAnsi="Times New Roman" w:cs="Times New Roman"/>
        </w:rPr>
        <w:t xml:space="preserve"> </w:t>
      </w:r>
      <w:r w:rsidR="009D73BD" w:rsidRPr="0012141A">
        <w:rPr>
          <w:rFonts w:ascii="Times New Roman" w:hAnsi="Times New Roman" w:cs="Times New Roman"/>
        </w:rPr>
        <w:t>(</w:t>
      </w:r>
      <w:r w:rsidR="009D73BD" w:rsidRPr="00AA4778">
        <w:rPr>
          <w:rFonts w:ascii="Times New Roman" w:hAnsi="Times New Roman" w:cs="Times New Roman"/>
          <w:i/>
          <w:iCs/>
          <w:color w:val="0000FF"/>
        </w:rPr>
        <w:t>Fig</w:t>
      </w:r>
      <w:r w:rsidR="003B3CE2">
        <w:rPr>
          <w:rFonts w:ascii="Times New Roman" w:hAnsi="Times New Roman" w:cs="Times New Roman"/>
          <w:i/>
          <w:iCs/>
          <w:color w:val="0000FF"/>
        </w:rPr>
        <w:t>.</w:t>
      </w:r>
      <w:r w:rsidR="009D73BD" w:rsidRPr="00AA4778">
        <w:rPr>
          <w:rFonts w:ascii="Times New Roman" w:hAnsi="Times New Roman" w:cs="Times New Roman"/>
          <w:i/>
          <w:iCs/>
          <w:color w:val="0000FF"/>
        </w:rPr>
        <w:t xml:space="preserve"> 2</w:t>
      </w:r>
      <w:r w:rsidR="009D73BD" w:rsidRPr="0012141A">
        <w:rPr>
          <w:rFonts w:ascii="Times New Roman" w:hAnsi="Times New Roman" w:cs="Times New Roman"/>
        </w:rPr>
        <w:t>)</w:t>
      </w:r>
      <w:r w:rsidR="009D73BD" w:rsidRPr="0012141A">
        <w:rPr>
          <w:rFonts w:ascii="Times New Roman" w:hAnsi="Times New Roman"/>
        </w:rPr>
        <w:t xml:space="preserve"> </w:t>
      </w:r>
      <w:r w:rsidR="009D73BD"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&lt;EndNote&gt;&lt;Cite&gt;&lt;Author&gt;Reygaert&lt;/Author&gt;&lt;Year&gt;2018&lt;/Year&gt;&lt;RecNum&gt;48&lt;/RecNum&gt;&lt;DisplayText&gt;(Reygaert, 2018)&lt;/DisplayText&gt;&lt;record&gt;&lt;rec-number&gt;48&lt;/rec-number&gt;&lt;foreign-keys&gt;&lt;key app="EN" db-id="2x05fzss6x2s23e0a0txazfl5r920wd0at2a" timestamp="1758600857"&gt;48&lt;/key&gt;&lt;/foreign-keys&gt;&lt;ref-type name="Journal Article"&gt;17&lt;/ref-type&gt;&lt;contributors&gt;&lt;authors&gt;&lt;author&gt;Reygaert, Wanda C&lt;/author&gt;&lt;/authors&gt;&lt;/contributors&gt;&lt;titles&gt;&lt;title&gt;An overview of the antimicrobial resistance mechanisms of bacteria&lt;/title&gt;&lt;secondary-title&gt;AIMS microbiology&lt;/secondary-title&gt;&lt;/titles&gt;&lt;periodical&gt;&lt;full-title&gt;AIMS microbiology&lt;/full-title&gt;&lt;/periodical&gt;&lt;pages&gt;482&lt;/pages&gt;&lt;volume&gt;4&lt;/volume&gt;&lt;number&gt;3&lt;/number&gt;&lt;dates&gt;&lt;year&gt;2018&lt;/year&gt;&lt;/dates&gt;&lt;urls&gt;&lt;/urls&gt;&lt;/record&gt;&lt;/Cite&gt;&lt;/EndNote&gt;</w:instrText>
      </w:r>
      <w:r w:rsidR="009D73BD" w:rsidRPr="0012141A">
        <w:rPr>
          <w:rFonts w:ascii="Times New Roman" w:hAnsi="Times New Roman"/>
          <w:color w:val="0000FF"/>
        </w:rPr>
        <w:fldChar w:fldCharType="separate"/>
      </w:r>
      <w:r w:rsidR="00287940">
        <w:rPr>
          <w:rFonts w:ascii="Times New Roman" w:hAnsi="Times New Roman"/>
          <w:noProof/>
          <w:color w:val="0000FF"/>
        </w:rPr>
        <w:t>(Reygaert, 2018)</w:t>
      </w:r>
      <w:r w:rsidR="009D73BD" w:rsidRPr="0012141A">
        <w:rPr>
          <w:rFonts w:ascii="Times New Roman" w:hAnsi="Times New Roman"/>
          <w:color w:val="0000FF"/>
        </w:rPr>
        <w:fldChar w:fldCharType="end"/>
      </w:r>
      <w:r w:rsidR="009D73BD" w:rsidRPr="0012141A">
        <w:rPr>
          <w:rFonts w:ascii="Times New Roman" w:hAnsi="Times New Roman"/>
        </w:rPr>
        <w:t>.</w:t>
      </w:r>
    </w:p>
    <w:p w14:paraId="497CF78A" w14:textId="77777777" w:rsidR="006B1624" w:rsidRPr="0012141A" w:rsidRDefault="009E4636" w:rsidP="006F3A51">
      <w:pPr>
        <w:spacing w:line="360" w:lineRule="auto"/>
        <w:jc w:val="center"/>
        <w:rPr>
          <w:rFonts w:ascii="Times New Roman" w:hAnsi="Times New Roman" w:cs="Times New Roman"/>
        </w:rPr>
      </w:pPr>
      <w:r w:rsidRPr="0012141A">
        <w:rPr>
          <w:noProof/>
          <w:lang w:eastAsia="en-US"/>
        </w:rPr>
        <w:drawing>
          <wp:inline distT="0" distB="0" distL="114300" distR="114300" wp14:anchorId="5F489E84" wp14:editId="613EBFCA">
            <wp:extent cx="2019128" cy="1258583"/>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a:stretch>
                      <a:fillRect/>
                    </a:stretch>
                  </pic:blipFill>
                  <pic:spPr>
                    <a:xfrm>
                      <a:off x="0" y="0"/>
                      <a:ext cx="2019128" cy="1258583"/>
                    </a:xfrm>
                    <a:prstGeom prst="rect">
                      <a:avLst/>
                    </a:prstGeom>
                    <a:noFill/>
                    <a:ln>
                      <a:noFill/>
                    </a:ln>
                  </pic:spPr>
                </pic:pic>
              </a:graphicData>
            </a:graphic>
          </wp:inline>
        </w:drawing>
      </w:r>
    </w:p>
    <w:p w14:paraId="2C8A5729" w14:textId="6398F7D8" w:rsidR="006B1624" w:rsidRDefault="009E4636" w:rsidP="006C40CA">
      <w:pPr>
        <w:spacing w:line="360" w:lineRule="auto"/>
        <w:jc w:val="center"/>
        <w:rPr>
          <w:rFonts w:ascii="Times New Roman" w:hAnsi="Times New Roman"/>
        </w:rPr>
      </w:pPr>
      <w:r w:rsidRPr="0012141A">
        <w:rPr>
          <w:rFonts w:ascii="Times New Roman" w:hAnsi="Times New Roman" w:cs="Times New Roman"/>
          <w:color w:val="0000FF"/>
        </w:rPr>
        <w:t xml:space="preserve">Figure </w:t>
      </w:r>
      <w:r w:rsidR="009D73BD">
        <w:rPr>
          <w:rFonts w:ascii="Times New Roman" w:hAnsi="Times New Roman" w:cs="Times New Roman"/>
          <w:color w:val="0000FF"/>
        </w:rPr>
        <w:t>2</w:t>
      </w:r>
      <w:r w:rsidRPr="0012141A">
        <w:rPr>
          <w:rFonts w:ascii="Times New Roman" w:hAnsi="Times New Roman" w:cs="Times New Roman"/>
          <w:color w:val="0000FF"/>
        </w:rPr>
        <w:t xml:space="preserve">. </w:t>
      </w:r>
      <w:r w:rsidR="00227300" w:rsidRPr="00227300">
        <w:rPr>
          <w:rFonts w:ascii="Times New Roman" w:hAnsi="Times New Roman"/>
        </w:rPr>
        <w:t xml:space="preserve">Schematic overview of the four principal molecular mechanisms of bacterial antibiotic resistance: </w:t>
      </w:r>
      <w:r w:rsidR="00227300" w:rsidRPr="00672BD9">
        <w:rPr>
          <w:rFonts w:ascii="Times New Roman" w:hAnsi="Times New Roman"/>
          <w:b/>
          <w:bCs/>
        </w:rPr>
        <w:t>1)</w:t>
      </w:r>
      <w:r w:rsidR="00227300" w:rsidRPr="00227300">
        <w:rPr>
          <w:rFonts w:ascii="Times New Roman" w:hAnsi="Times New Roman"/>
        </w:rPr>
        <w:t xml:space="preserve"> Limiting drug uptake (e.g., via porin modification or biofilm formation), </w:t>
      </w:r>
      <w:r w:rsidR="00227300" w:rsidRPr="00672BD9">
        <w:rPr>
          <w:rFonts w:ascii="Times New Roman" w:hAnsi="Times New Roman"/>
          <w:b/>
          <w:bCs/>
        </w:rPr>
        <w:t>2)</w:t>
      </w:r>
      <w:r w:rsidR="00227300" w:rsidRPr="00227300">
        <w:rPr>
          <w:rFonts w:ascii="Times New Roman" w:hAnsi="Times New Roman"/>
        </w:rPr>
        <w:t xml:space="preserve"> Active drug efflux via membrane pumps, </w:t>
      </w:r>
      <w:r w:rsidR="00227300" w:rsidRPr="00672BD9">
        <w:rPr>
          <w:rFonts w:ascii="Times New Roman" w:hAnsi="Times New Roman"/>
          <w:b/>
          <w:bCs/>
        </w:rPr>
        <w:t>3)</w:t>
      </w:r>
      <w:r w:rsidR="00227300" w:rsidRPr="00227300">
        <w:rPr>
          <w:rFonts w:ascii="Times New Roman" w:hAnsi="Times New Roman"/>
        </w:rPr>
        <w:t xml:space="preserve"> Target site modification (e.g., alteration of penicillin-binding proteins), and </w:t>
      </w:r>
      <w:r w:rsidR="00227300" w:rsidRPr="00672BD9">
        <w:rPr>
          <w:rFonts w:ascii="Times New Roman" w:hAnsi="Times New Roman"/>
          <w:b/>
          <w:bCs/>
        </w:rPr>
        <w:t>4)</w:t>
      </w:r>
      <w:r w:rsidR="00227300" w:rsidRPr="00227300">
        <w:rPr>
          <w:rFonts w:ascii="Times New Roman" w:hAnsi="Times New Roman"/>
        </w:rPr>
        <w:t xml:space="preserve"> Enzymatic drug inactivation (e.g., via β-lactamase hydrolysis).</w:t>
      </w:r>
    </w:p>
    <w:p w14:paraId="2E769F87" w14:textId="77777777" w:rsidR="00AA4778" w:rsidRPr="0012141A" w:rsidRDefault="00AA4778" w:rsidP="006C40CA">
      <w:pPr>
        <w:spacing w:line="360" w:lineRule="auto"/>
        <w:rPr>
          <w:rFonts w:ascii="Times New Roman" w:hAnsi="Times New Roman" w:cs="Times New Roman"/>
          <w:i/>
          <w:iCs/>
        </w:rPr>
      </w:pPr>
    </w:p>
    <w:p w14:paraId="523E843A" w14:textId="1707F3AE" w:rsidR="006B1624" w:rsidRPr="0012141A" w:rsidRDefault="00335416" w:rsidP="006F3A51">
      <w:pPr>
        <w:spacing w:line="360" w:lineRule="auto"/>
        <w:jc w:val="both"/>
        <w:rPr>
          <w:rFonts w:ascii="Times New Roman" w:hAnsi="Times New Roman"/>
        </w:rPr>
      </w:pPr>
      <w:r w:rsidRPr="0012141A">
        <w:rPr>
          <w:rFonts w:ascii="Times New Roman" w:hAnsi="Times New Roman"/>
          <w:b/>
          <w:bCs/>
        </w:rPr>
        <w:t>2.1 Limiting drug uptake</w:t>
      </w:r>
    </w:p>
    <w:p w14:paraId="5ECE56DC" w14:textId="396256E8" w:rsidR="006B1624" w:rsidRDefault="00187671" w:rsidP="006F3A51">
      <w:pPr>
        <w:spacing w:line="360" w:lineRule="auto"/>
        <w:jc w:val="both"/>
        <w:rPr>
          <w:rFonts w:ascii="Times New Roman" w:hAnsi="Times New Roman"/>
        </w:rPr>
      </w:pPr>
      <w:r w:rsidRPr="00187671">
        <w:rPr>
          <w:rFonts w:ascii="Times New Roman" w:hAnsi="Times New Roman"/>
        </w:rPr>
        <w:t>This procedure is crucial for Gram-negative bacteria, which possess an outer membrane (OM) predominantly made of lipopolysaccharides (LPS), creating a hydrophobic barrier that renders most small pharmaceutical compounds ineffective. Consequently, porin proteins enable the passage of certain hydrophilic antibiotics across the outer membrane. Biofilms can develop that diminish antibiotic permeability by augmenting the thickness and adhesiveness of the biofilm matrix, which safeguards microorganisms from antibiotic infiltration and the host immune response</w:t>
      </w:r>
      <w:r>
        <w:rPr>
          <w:rFonts w:ascii="Times New Roman" w:hAnsi="Times New Roman"/>
        </w:rPr>
        <w:t xml:space="preserve"> </w:t>
      </w:r>
      <w:r w:rsidR="009D73BD"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&lt;EndNote&gt;&lt;Cite&gt;&lt;Author&gt;Reygaert&lt;/Author&gt;&lt;Year&gt;2018&lt;/Year&gt;&lt;RecNum&gt;39&lt;/RecNum&gt;&lt;DisplayText&gt;(Reygaert, 2018)&lt;/DisplayText&gt;&lt;record&gt;&lt;rec-number&gt;39&lt;/rec-number&gt;&lt;foreign-keys&gt;&lt;key app="EN" db-id="2x05fzss6x2s23e0a0txazfl5r920wd0at2a" timestamp="1758521251"&gt;39&lt;/key&gt;&lt;/foreign-keys&gt;&lt;ref-type name="Journal Article"&gt;17&lt;/ref-type&gt;&lt;contributors&gt;&lt;authors&gt;&lt;author&gt;Reygaert, Wanda C&lt;/author&gt;&lt;/authors&gt;&lt;/contributors&gt;&lt;titles&gt;&lt;title&gt;An overview of the antimicrobial resistance mechanisms of bacteria&lt;/title&gt;&lt;secondary-title&gt;AIMS microbiology&lt;/secondary-title&gt;&lt;/titles&gt;&lt;periodical&gt;&lt;full-title&gt;AIMS microbiology&lt;/full-title&gt;&lt;/periodical&gt;&lt;pages&gt;482&lt;/pages&gt;&lt;volume&gt;4&lt;/volume&gt;&lt;number&gt;3&lt;/number&gt;&lt;dates&gt;&lt;year&gt;2018&lt;/year&gt;&lt;/dates&gt;&lt;urls&gt;&lt;/urls&gt;&lt;/record&gt;&lt;/Cite&gt;&lt;/EndNote&gt;</w:instrText>
      </w:r>
      <w:r w:rsidR="009D73BD" w:rsidRPr="0012141A">
        <w:rPr>
          <w:rFonts w:ascii="Times New Roman" w:hAnsi="Times New Roman"/>
          <w:color w:val="0000FF"/>
        </w:rPr>
        <w:fldChar w:fldCharType="separate"/>
      </w:r>
      <w:r w:rsidR="00287940">
        <w:rPr>
          <w:rFonts w:ascii="Times New Roman" w:hAnsi="Times New Roman"/>
          <w:noProof/>
          <w:color w:val="0000FF"/>
        </w:rPr>
        <w:t>(Reygaert, 2018)</w:t>
      </w:r>
      <w:r w:rsidR="009D73BD" w:rsidRPr="0012141A">
        <w:rPr>
          <w:rFonts w:ascii="Times New Roman" w:hAnsi="Times New Roman"/>
          <w:color w:val="0000FF"/>
        </w:rPr>
        <w:fldChar w:fldCharType="end"/>
      </w:r>
      <w:r w:rsidR="009D73BD" w:rsidRPr="0012141A">
        <w:rPr>
          <w:rFonts w:ascii="Times New Roman" w:hAnsi="Times New Roman"/>
        </w:rPr>
        <w:t>.</w:t>
      </w:r>
    </w:p>
    <w:p w14:paraId="0BBCCCCA" w14:textId="77777777" w:rsidR="00AA4778" w:rsidRPr="0012141A" w:rsidRDefault="00AA4778" w:rsidP="006F3A51">
      <w:pPr>
        <w:spacing w:line="360" w:lineRule="auto"/>
        <w:jc w:val="both"/>
        <w:rPr>
          <w:rFonts w:ascii="Times New Roman" w:hAnsi="Times New Roman"/>
        </w:rPr>
      </w:pPr>
    </w:p>
    <w:p w14:paraId="2CE73214" w14:textId="7E3F7CD3" w:rsidR="006B1624" w:rsidRPr="0012141A" w:rsidRDefault="00335416" w:rsidP="006F3A51">
      <w:pPr>
        <w:spacing w:line="360" w:lineRule="auto"/>
        <w:jc w:val="both"/>
        <w:rPr>
          <w:rFonts w:ascii="Times New Roman" w:hAnsi="Times New Roman"/>
          <w:b/>
          <w:bCs/>
        </w:rPr>
      </w:pPr>
      <w:r w:rsidRPr="0012141A">
        <w:rPr>
          <w:rFonts w:ascii="Times New Roman" w:hAnsi="Times New Roman"/>
          <w:b/>
          <w:bCs/>
        </w:rPr>
        <w:t>2.2 Increase efflux</w:t>
      </w:r>
    </w:p>
    <w:p w14:paraId="5DF8D375" w14:textId="70E68EC7" w:rsidR="00C22BBC" w:rsidRPr="0012141A" w:rsidRDefault="00187671" w:rsidP="006F3A51">
      <w:pPr>
        <w:spacing w:line="360" w:lineRule="auto"/>
        <w:jc w:val="both"/>
        <w:rPr>
          <w:rFonts w:ascii="Times New Roman" w:hAnsi="Times New Roman"/>
        </w:rPr>
      </w:pPr>
      <w:r w:rsidRPr="00187671">
        <w:rPr>
          <w:rFonts w:ascii="Times New Roman" w:hAnsi="Times New Roman"/>
        </w:rPr>
        <w:t xml:space="preserve">Drugs are expelled from cells through the overexpression of efflux pumps that rely on proton transport. In </w:t>
      </w:r>
      <w:r w:rsidRPr="00187671">
        <w:rPr>
          <w:rFonts w:ascii="Times New Roman" w:hAnsi="Times New Roman"/>
          <w:i/>
          <w:iCs/>
        </w:rPr>
        <w:t>Staphylococcus aureus</w:t>
      </w:r>
      <w:r w:rsidRPr="00187671">
        <w:rPr>
          <w:rFonts w:ascii="Times New Roman" w:hAnsi="Times New Roman"/>
        </w:rPr>
        <w:t xml:space="preserve">, the </w:t>
      </w:r>
      <w:proofErr w:type="spellStart"/>
      <w:r w:rsidRPr="00187671">
        <w:rPr>
          <w:rFonts w:ascii="Times New Roman" w:hAnsi="Times New Roman"/>
        </w:rPr>
        <w:t>NorA</w:t>
      </w:r>
      <w:proofErr w:type="spellEnd"/>
      <w:r w:rsidRPr="00187671">
        <w:rPr>
          <w:rFonts w:ascii="Times New Roman" w:hAnsi="Times New Roman"/>
        </w:rPr>
        <w:t xml:space="preserve"> efflux pump facilitates a robust resistance mechanism against fluoroquinolone antibiotics; the </w:t>
      </w:r>
      <w:proofErr w:type="spellStart"/>
      <w:r w:rsidRPr="00187671">
        <w:rPr>
          <w:rFonts w:ascii="Times New Roman" w:hAnsi="Times New Roman"/>
        </w:rPr>
        <w:t>QacA</w:t>
      </w:r>
      <w:proofErr w:type="spellEnd"/>
      <w:r w:rsidRPr="00187671">
        <w:rPr>
          <w:rFonts w:ascii="Times New Roman" w:hAnsi="Times New Roman"/>
        </w:rPr>
        <w:t xml:space="preserve"> MFS transporter expels cationic lipophilic agents, including biocides like benzalkonium chloride; and the </w:t>
      </w:r>
      <w:proofErr w:type="spellStart"/>
      <w:r w:rsidRPr="00187671">
        <w:rPr>
          <w:rFonts w:ascii="Times New Roman" w:hAnsi="Times New Roman"/>
        </w:rPr>
        <w:t>LmrS</w:t>
      </w:r>
      <w:proofErr w:type="spellEnd"/>
      <w:r w:rsidRPr="00187671">
        <w:rPr>
          <w:rFonts w:ascii="Times New Roman" w:hAnsi="Times New Roman"/>
        </w:rPr>
        <w:t xml:space="preserve"> MFS efflux pump exports various compounds, such as lincomycin, linezolid, chloramphenicol, and trimethoprim</w:t>
      </w:r>
      <w:r>
        <w:rPr>
          <w:rFonts w:ascii="Times New Roman" w:hAnsi="Times New Roman"/>
        </w:rPr>
        <w:t xml:space="preserve"> </w:t>
      </w:r>
      <w:r w:rsidR="009D73BD"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&lt;EndNote&gt;&lt;Cite&gt;&lt;Author&gt;Annunziato&lt;/Author&gt;&lt;Year&gt;2019&lt;/Year&gt;&lt;RecNum&gt;40&lt;/RecNum&gt;&lt;DisplayText&gt;(Annunziato, 2019)&lt;/DisplayText&gt;&lt;record&gt;&lt;rec-number&gt;40&lt;/rec-number&gt;&lt;foreign-keys&gt;&lt;key app="EN" db-id="2x05fzss6x2s23e0a0txazfl5r920wd0at2a" timestamp="1758521302"&gt;40&lt;/key&gt;&lt;/foreign-keys&gt;&lt;ref-type name="Journal Article"&gt;17&lt;/ref-type&gt;&lt;contributors&gt;&lt;authors&gt;&lt;author&gt;Annunziato, Giannamaria&lt;/author&gt;&lt;/authors&gt;&lt;/contributors&gt;&lt;titles&gt;&lt;title&gt;Strategies to overcome antimicrobial resistance (AMR) making use of non-essential target inhibitors: A review&lt;/title&gt;&lt;secondary-title&gt;International journal of molecular sciences&lt;/secondary-title&gt;&lt;/titles&gt;&lt;periodical&gt;&lt;full-title&gt;International journal of molecular sciences&lt;/full-title&gt;&lt;/periodical&gt;&lt;pages&gt;5844&lt;/pages&gt;&lt;volume&gt;20&lt;/volume&gt;&lt;number&gt;23&lt;/number&gt;&lt;dates&gt;&lt;year&gt;2019&lt;/year&gt;&lt;/dates&gt;&lt;isbn&gt;1422-0067&lt;/isbn&gt;&lt;urls&gt;&lt;/urls&gt;&lt;/record&gt;&lt;/Cite&gt;&lt;/EndNote&gt;</w:instrText>
      </w:r>
      <w:r w:rsidR="009D73BD" w:rsidRPr="0012141A">
        <w:rPr>
          <w:rFonts w:ascii="Times New Roman" w:hAnsi="Times New Roman"/>
          <w:color w:val="0000FF"/>
        </w:rPr>
        <w:fldChar w:fldCharType="separate"/>
      </w:r>
      <w:r w:rsidR="00287940">
        <w:rPr>
          <w:rFonts w:ascii="Times New Roman" w:hAnsi="Times New Roman"/>
          <w:noProof/>
          <w:color w:val="0000FF"/>
        </w:rPr>
        <w:t>(Annunziato, 2019)</w:t>
      </w:r>
      <w:r w:rsidR="009D73BD" w:rsidRPr="0012141A">
        <w:rPr>
          <w:rFonts w:ascii="Times New Roman" w:hAnsi="Times New Roman"/>
          <w:color w:val="0000FF"/>
        </w:rPr>
        <w:fldChar w:fldCharType="end"/>
      </w:r>
      <w:r w:rsidR="009D73BD" w:rsidRPr="0012141A">
        <w:rPr>
          <w:rFonts w:ascii="Times New Roman" w:hAnsi="Times New Roman"/>
        </w:rPr>
        <w:t>.</w:t>
      </w:r>
    </w:p>
    <w:p w14:paraId="55062EDA" w14:textId="77777777" w:rsidR="003B3CE2" w:rsidRDefault="003B3CE2" w:rsidP="006F3A51">
      <w:pPr>
        <w:spacing w:line="360" w:lineRule="auto"/>
        <w:jc w:val="both"/>
        <w:rPr>
          <w:rFonts w:ascii="Times New Roman" w:hAnsi="Times New Roman"/>
          <w:b/>
          <w:bCs/>
        </w:rPr>
      </w:pPr>
    </w:p>
    <w:p w14:paraId="43415F47" w14:textId="281BFEAE" w:rsidR="006B1624" w:rsidRPr="0012141A" w:rsidRDefault="00335416" w:rsidP="006F3A51">
      <w:pPr>
        <w:spacing w:line="360" w:lineRule="auto"/>
        <w:jc w:val="both"/>
        <w:rPr>
          <w:rFonts w:ascii="Times New Roman" w:hAnsi="Times New Roman"/>
        </w:rPr>
      </w:pPr>
      <w:r w:rsidRPr="0012141A">
        <w:rPr>
          <w:rFonts w:ascii="Times New Roman" w:hAnsi="Times New Roman"/>
          <w:b/>
          <w:bCs/>
        </w:rPr>
        <w:t>2.3 Target site modification</w:t>
      </w:r>
    </w:p>
    <w:p w14:paraId="5F5673AE" w14:textId="4C3612DA" w:rsidR="006B1624" w:rsidRDefault="00187671" w:rsidP="006F3A51">
      <w:pPr>
        <w:spacing w:line="360" w:lineRule="auto"/>
        <w:jc w:val="both"/>
        <w:rPr>
          <w:rFonts w:ascii="Times New Roman" w:hAnsi="Times New Roman"/>
        </w:rPr>
      </w:pPr>
      <w:r w:rsidRPr="00187671">
        <w:rPr>
          <w:rFonts w:ascii="Times New Roman" w:hAnsi="Times New Roman"/>
        </w:rPr>
        <w:t xml:space="preserve">Multidrug-resistant bacteria frequently express numerous antibiotic resistance genes to cultivate extensive resistance to common antibiotics. </w:t>
      </w:r>
      <w:r w:rsidRPr="00187671">
        <w:rPr>
          <w:rFonts w:ascii="Times New Roman" w:hAnsi="Times New Roman"/>
          <w:i/>
          <w:iCs/>
        </w:rPr>
        <w:t>Staphylococcus aureus</w:t>
      </w:r>
      <w:r w:rsidRPr="00187671">
        <w:rPr>
          <w:rFonts w:ascii="Times New Roman" w:hAnsi="Times New Roman"/>
        </w:rPr>
        <w:t xml:space="preserve"> obtained the </w:t>
      </w:r>
      <w:proofErr w:type="spellStart"/>
      <w:r w:rsidRPr="00187671">
        <w:rPr>
          <w:rFonts w:ascii="Times New Roman" w:hAnsi="Times New Roman"/>
        </w:rPr>
        <w:t>mecA</w:t>
      </w:r>
      <w:proofErr w:type="spellEnd"/>
      <w:r w:rsidRPr="00187671">
        <w:rPr>
          <w:rFonts w:ascii="Times New Roman" w:hAnsi="Times New Roman"/>
        </w:rPr>
        <w:t xml:space="preserve"> gene, which encodes the penicillin-binding protein PBP-2A, hence imparting resistance to methicillin and the majority of other β-lactam antibiotics. Nine PBPs are good candidates for targeted modification due to their involvement in the synthesis and assembly of peptidoglycan</w:t>
      </w:r>
      <w:r>
        <w:rPr>
          <w:rFonts w:ascii="Times New Roman" w:hAnsi="Times New Roman"/>
        </w:rPr>
        <w:t xml:space="preserve"> </w:t>
      </w:r>
      <w:r w:rsidR="009D73BD"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&lt;EndNote&gt;&lt;Cite&gt;&lt;Author&gt;Annunziato&lt;/Author&gt;&lt;Year&gt;2019&lt;/Year&gt;&lt;RecNum&gt;40&lt;/RecNum&gt;&lt;DisplayText&gt;(Annunziato, 2019)&lt;/DisplayText&gt;&lt;record&gt;&lt;rec-number&gt;40&lt;/rec-number&gt;&lt;foreign-keys&gt;&lt;key app="EN" db-id="2x05fzss6x2s23e0a0txazfl5r920wd0at2a" timestamp="1758521302"&gt;40&lt;/key&gt;&lt;/foreign-keys&gt;&lt;ref-type name="Journal Article"&gt;17&lt;/ref-type&gt;&lt;contributors&gt;&lt;authors&gt;&lt;author&gt;Annunziato, Giannamaria&lt;/author&gt;&lt;/authors&gt;&lt;/contributors&gt;&lt;titles&gt;&lt;title&gt;Strategies to overcome antimicrobial resistance (AMR) making use of non-essential target inhibitors: A review&lt;/title&gt;&lt;secondary-title&gt;International journal of molecular sciences&lt;/secondary-title&gt;&lt;/titles&gt;&lt;periodical&gt;&lt;full-title&gt;International journal of molecular sciences&lt;/full-title&gt;&lt;/periodical&gt;&lt;pages&gt;5844&lt;/pages&gt;&lt;volume&gt;20&lt;/volume&gt;&lt;number&gt;23&lt;/number&gt;&lt;dates&gt;&lt;year&gt;2019&lt;/year&gt;&lt;/dates&gt;&lt;isbn&gt;1422-0067&lt;/isbn&gt;&lt;urls&gt;&lt;/urls&gt;&lt;/record&gt;&lt;/Cite&gt;&lt;/EndNote&gt;</w:instrText>
      </w:r>
      <w:r w:rsidR="009D73BD" w:rsidRPr="0012141A">
        <w:rPr>
          <w:rFonts w:ascii="Times New Roman" w:hAnsi="Times New Roman"/>
          <w:color w:val="0000FF"/>
        </w:rPr>
        <w:fldChar w:fldCharType="separate"/>
      </w:r>
      <w:r w:rsidR="00287940">
        <w:rPr>
          <w:rFonts w:ascii="Times New Roman" w:hAnsi="Times New Roman"/>
          <w:noProof/>
          <w:color w:val="0000FF"/>
        </w:rPr>
        <w:t>(Annunziato, 2019)</w:t>
      </w:r>
      <w:r w:rsidR="009D73BD" w:rsidRPr="0012141A">
        <w:rPr>
          <w:rFonts w:ascii="Times New Roman" w:hAnsi="Times New Roman"/>
          <w:color w:val="0000FF"/>
        </w:rPr>
        <w:fldChar w:fldCharType="end"/>
      </w:r>
      <w:r w:rsidR="009D73BD" w:rsidRPr="0012141A">
        <w:rPr>
          <w:rFonts w:ascii="Times New Roman" w:hAnsi="Times New Roman"/>
        </w:rPr>
        <w:t>.</w:t>
      </w:r>
    </w:p>
    <w:p w14:paraId="29D39DB0" w14:textId="77777777" w:rsidR="00AA4778" w:rsidRPr="0012141A" w:rsidRDefault="00AA4778" w:rsidP="006F3A51">
      <w:pPr>
        <w:spacing w:line="360" w:lineRule="auto"/>
        <w:jc w:val="both"/>
        <w:rPr>
          <w:rFonts w:ascii="Times New Roman" w:hAnsi="Times New Roman"/>
        </w:rPr>
      </w:pPr>
    </w:p>
    <w:p w14:paraId="12A0C908" w14:textId="35B0CFB7" w:rsidR="006B1624" w:rsidRPr="0012141A" w:rsidRDefault="00335416" w:rsidP="006F3A51">
      <w:pPr>
        <w:spacing w:line="360" w:lineRule="auto"/>
        <w:jc w:val="both"/>
        <w:rPr>
          <w:rFonts w:ascii="Times New Roman" w:hAnsi="Times New Roman"/>
        </w:rPr>
      </w:pPr>
      <w:r w:rsidRPr="0012141A">
        <w:rPr>
          <w:rFonts w:ascii="Times New Roman" w:hAnsi="Times New Roman"/>
          <w:b/>
          <w:bCs/>
        </w:rPr>
        <w:t>2.4 Drug inactivation</w:t>
      </w:r>
    </w:p>
    <w:p w14:paraId="45BB6BF2" w14:textId="2E3CC9A1" w:rsidR="00D66220" w:rsidRDefault="00E75770" w:rsidP="00225952">
      <w:pPr>
        <w:spacing w:line="360" w:lineRule="auto"/>
        <w:jc w:val="both"/>
        <w:rPr>
          <w:rFonts w:ascii="Times New Roman" w:hAnsi="Times New Roman"/>
        </w:rPr>
      </w:pPr>
      <w:r w:rsidRPr="00E75770">
        <w:rPr>
          <w:rFonts w:ascii="Times New Roman" w:hAnsi="Times New Roman"/>
        </w:rPr>
        <w:t>Modifications or deactivation of the antimicrobial agent are common resistance mechanisms in numerous pathogenic bacteria. As enzymes typically facilitate this process, important bacterial cell components remain unaltered, which is beneficial as it reduces the likelihood of fitness losses compared to alternative processes such as drug target mutation or modification. Antibiotic modification can be categorized into two primary mechanisms: chemical group transfer modification and antibiotic inactivation via degradation</w:t>
      </w:r>
      <w:r w:rsidR="00C22BBC">
        <w:rPr>
          <w:rFonts w:ascii="Times New Roman" w:hAnsi="Times New Roman"/>
        </w:rPr>
        <w:t xml:space="preserve"> </w:t>
      </w:r>
      <w:r w:rsidR="009D73BD"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&lt;EndNote&gt;&lt;Cite&gt;&lt;Author&gt;Forsberg&lt;/Author&gt;&lt;Year&gt;2015&lt;/Year&gt;&lt;RecNum&gt;41&lt;/RecNum&gt;&lt;DisplayText&gt;(Forsberg et al., 2015)&lt;/DisplayText&gt;&lt;record&gt;&lt;rec-number&gt;41&lt;/rec-number&gt;&lt;foreign-keys&gt;&lt;key app="EN" db-id="2x05fzss6x2s23e0a0txazfl5r920wd0at2a" timestamp="1758523672"&gt;41&lt;/key&gt;&lt;/foreign-keys&gt;&lt;ref-type name="Journal Article"&gt;17&lt;/ref-type&gt;&lt;contributors&gt;&lt;authors&gt;&lt;author&gt;Forsberg, Kevin J&lt;/author&gt;&lt;author&gt;Patel, Sanket&lt;/author&gt;&lt;author&gt;Wencewicz, Timothy A&lt;/author&gt;&lt;author&gt;Dantas, Gautam&lt;/author&gt;&lt;/authors&gt;&lt;/contributors&gt;&lt;titles&gt;&lt;title&gt;The tetracycline destructases: a novel family of tetracycline-inactivating enzymes&lt;/title&gt;&lt;secondary-title&gt;Chemistry &amp;amp; biology&lt;/secondary-title&gt;&lt;/titles&gt;&lt;periodical&gt;&lt;full-title&gt;Chemistry &amp;amp; biology&lt;/full-title&gt;&lt;/periodical&gt;&lt;pages&gt;888-897&lt;/pages&gt;&lt;volume&gt;22&lt;/volume&gt;&lt;number&gt;7&lt;/number&gt;&lt;dates&gt;&lt;year&gt;2015&lt;/year&gt;&lt;/dates&gt;&lt;isbn&gt;1074-5521&lt;/isbn&gt;&lt;urls&gt;&lt;/urls&gt;&lt;/record&gt;&lt;/Cite&gt;&lt;/EndNote&gt;</w:instrText>
      </w:r>
      <w:r w:rsidR="009D73BD" w:rsidRPr="0012141A">
        <w:rPr>
          <w:rFonts w:ascii="Times New Roman" w:hAnsi="Times New Roman"/>
          <w:color w:val="0000FF"/>
        </w:rPr>
        <w:fldChar w:fldCharType="separate"/>
      </w:r>
      <w:r w:rsidR="00287940">
        <w:rPr>
          <w:rFonts w:ascii="Times New Roman" w:hAnsi="Times New Roman"/>
          <w:noProof/>
          <w:color w:val="0000FF"/>
        </w:rPr>
        <w:t>(Forsberg et al., 2015)</w:t>
      </w:r>
      <w:r w:rsidR="009D73BD" w:rsidRPr="0012141A">
        <w:rPr>
          <w:rFonts w:ascii="Times New Roman" w:hAnsi="Times New Roman"/>
          <w:color w:val="0000FF"/>
        </w:rPr>
        <w:fldChar w:fldCharType="end"/>
      </w:r>
      <w:r w:rsidR="009D73BD" w:rsidRPr="0012141A">
        <w:rPr>
          <w:rFonts w:ascii="Times New Roman" w:hAnsi="Times New Roman"/>
        </w:rPr>
        <w:t xml:space="preserve">. </w:t>
      </w:r>
      <w:r w:rsidRPr="00E75770">
        <w:rPr>
          <w:rFonts w:ascii="Times New Roman" w:hAnsi="Times New Roman"/>
        </w:rPr>
        <w:t xml:space="preserve"> Bacterial enzymes chemically degrade and neutralize antibiotics, representing the predominant mechanism of bacterial resistance. For example, β-lactamases predominantly hydrolyze β-lactam antibiotics, but other antimicrobial compounds have distinct chemical alterations</w:t>
      </w:r>
      <w:r>
        <w:rPr>
          <w:rFonts w:ascii="Times New Roman" w:hAnsi="Times New Roman"/>
        </w:rPr>
        <w:t xml:space="preserve"> </w:t>
      </w:r>
      <w:r w:rsidR="009D73BD"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&lt;EndNote&gt;&lt;Cite&gt;&lt;Author&gt;Reygaert&lt;/Author&gt;&lt;Year&gt;2018&lt;/Year&gt;&lt;RecNum&gt;39&lt;/RecNum&gt;&lt;DisplayText&gt;(Reygaert, 2018)&lt;/DisplayText&gt;&lt;record&gt;&lt;rec-number&gt;39&lt;/rec-number&gt;&lt;foreign-keys&gt;&lt;key app="EN" db-id="2x05fzss6x2s23e0a0txazfl5r920wd0at2a" timestamp="1758521251"&gt;39&lt;/key&gt;&lt;/foreign-keys&gt;&lt;ref-type name="Journal Article"&gt;17&lt;/ref-type&gt;&lt;contributors&gt;&lt;authors&gt;&lt;author&gt;Reygaert, Wanda C&lt;/author&gt;&lt;/authors&gt;&lt;/contributors&gt;&lt;titles&gt;&lt;title&gt;An overview of the antimicrobial resistance mechanisms of bacteria&lt;/title&gt;&lt;secondary-title&gt;AIMS microbiology&lt;/secondary-title&gt;&lt;/titles&gt;&lt;periodical&gt;&lt;full-title&gt;AIMS microbiology&lt;/full-title&gt;&lt;/periodical&gt;&lt;pages&gt;482&lt;/pages&gt;&lt;volume&gt;4&lt;/volume&gt;&lt;number&gt;3&lt;/number&gt;&lt;dates&gt;&lt;year&gt;2018&lt;/year&gt;&lt;/dates&gt;&lt;urls&gt;&lt;/urls&gt;&lt;/record&gt;&lt;/Cite&gt;&lt;/EndNote&gt;</w:instrText>
      </w:r>
      <w:r w:rsidR="009D73BD" w:rsidRPr="0012141A">
        <w:rPr>
          <w:rFonts w:ascii="Times New Roman" w:hAnsi="Times New Roman"/>
          <w:color w:val="0000FF"/>
        </w:rPr>
        <w:fldChar w:fldCharType="separate"/>
      </w:r>
      <w:r w:rsidR="00287940">
        <w:rPr>
          <w:rFonts w:ascii="Times New Roman" w:hAnsi="Times New Roman"/>
          <w:noProof/>
          <w:color w:val="0000FF"/>
        </w:rPr>
        <w:t>(Reygaert, 2018)</w:t>
      </w:r>
      <w:r w:rsidR="009D73BD" w:rsidRPr="0012141A">
        <w:rPr>
          <w:rFonts w:ascii="Times New Roman" w:hAnsi="Times New Roman"/>
          <w:color w:val="0000FF"/>
        </w:rPr>
        <w:fldChar w:fldCharType="end"/>
      </w:r>
      <w:r w:rsidR="009D73BD" w:rsidRPr="0012141A">
        <w:rPr>
          <w:rFonts w:ascii="Times New Roman" w:hAnsi="Times New Roman"/>
        </w:rPr>
        <w:t xml:space="preserve">. </w:t>
      </w:r>
      <w:r w:rsidRPr="00E75770">
        <w:rPr>
          <w:rFonts w:ascii="Times New Roman" w:hAnsi="Times New Roman"/>
        </w:rPr>
        <w:t xml:space="preserve"> The catalog of identified β-lactamases is expanding; the Beta Lactamase </w:t>
      </w:r>
      <w:r w:rsidR="00A43C93">
        <w:rPr>
          <w:rFonts w:ascii="Times New Roman" w:hAnsi="Times New Roman"/>
        </w:rPr>
        <w:t>Database</w:t>
      </w:r>
      <w:r w:rsidRPr="00E75770">
        <w:rPr>
          <w:rFonts w:ascii="Times New Roman" w:hAnsi="Times New Roman"/>
        </w:rPr>
        <w:t xml:space="preserve"> documents more than 7,000 unique β-lactamases</w:t>
      </w:r>
      <w:r>
        <w:rPr>
          <w:rFonts w:ascii="Times New Roman" w:hAnsi="Times New Roman"/>
        </w:rPr>
        <w:t xml:space="preserve"> </w:t>
      </w:r>
      <w:r w:rsidR="009D73BD"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&lt;EndNote&gt;&lt;Cite&gt;&lt;Author&gt;Naas&lt;/Author&gt;&lt;Year&gt;2017&lt;/Year&gt;&lt;RecNum&gt;42&lt;/RecNum&gt;&lt;DisplayText&gt;(Naas et al., 2017)&lt;/DisplayText&gt;&lt;record&gt;&lt;rec-number&gt;42&lt;/rec-number&gt;&lt;foreign-keys&gt;&lt;key app="EN" db-id="2x05fzss6x2s23e0a0txazfl5r920wd0at2a" timestamp="1758523721"&gt;42&lt;/key&gt;&lt;/foreign-keys&gt;&lt;ref-type name="Journal Article"&gt;17&lt;/ref-type&gt;&lt;contributors&gt;&lt;authors&gt;&lt;author&gt;Naas, Thierry&lt;/author&gt;&lt;author&gt;Oueslati, Saoussen&lt;/author&gt;&lt;author&gt;Bonnin, Rémy A&lt;/author&gt;&lt;author&gt;Dabos, Maria Laura&lt;/author&gt;&lt;author&gt;Zavala, Agustin&lt;/author&gt;&lt;author&gt;Dortet, Laurent&lt;/author&gt;&lt;author&gt;Retailleau, Pascal&lt;/author&gt;&lt;author&gt;Iorga, Bogdan I&lt;/author&gt;&lt;/authors&gt;&lt;/contributors&gt;&lt;titles&gt;&lt;title&gt;Beta-lactamase database (BLDB)–structure and function&lt;/title&gt;&lt;secondary-title&gt;Journal of enzyme inhibition and medicinal chemistry&lt;/secondary-title&gt;&lt;/titles&gt;&lt;periodical&gt;&lt;full-title&gt;Journal of enzyme inhibition and medicinal chemistry&lt;/full-title&gt;&lt;/periodical&gt;&lt;pages&gt;917-919&lt;/pages&gt;&lt;volume&gt;32&lt;/volume&gt;&lt;number&gt;1&lt;/number&gt;&lt;dates&gt;&lt;year&gt;2017&lt;/year&gt;&lt;/dates&gt;&lt;isbn&gt;1475-6366&lt;/isbn&gt;&lt;urls&gt;&lt;/urls&gt;&lt;/record&gt;&lt;/Cite&gt;&lt;/EndNote&gt;</w:instrText>
      </w:r>
      <w:r w:rsidR="009D73BD" w:rsidRPr="0012141A">
        <w:rPr>
          <w:rFonts w:ascii="Times New Roman" w:hAnsi="Times New Roman"/>
          <w:color w:val="0000FF"/>
        </w:rPr>
        <w:fldChar w:fldCharType="separate"/>
      </w:r>
      <w:r w:rsidR="00287940">
        <w:rPr>
          <w:rFonts w:ascii="Times New Roman" w:hAnsi="Times New Roman"/>
          <w:noProof/>
          <w:color w:val="0000FF"/>
        </w:rPr>
        <w:t>(Naas et al., 2017)</w:t>
      </w:r>
      <w:r w:rsidR="009D73BD" w:rsidRPr="0012141A">
        <w:rPr>
          <w:rFonts w:ascii="Times New Roman" w:hAnsi="Times New Roman"/>
          <w:color w:val="0000FF"/>
        </w:rPr>
        <w:fldChar w:fldCharType="end"/>
      </w:r>
      <w:r w:rsidR="009D73BD" w:rsidRPr="0012141A">
        <w:rPr>
          <w:rFonts w:ascii="Times New Roman" w:hAnsi="Times New Roman"/>
        </w:rPr>
        <w:t>.</w:t>
      </w:r>
      <w:r w:rsidR="00121AD5">
        <w:rPr>
          <w:rFonts w:ascii="Times New Roman" w:hAnsi="Times New Roman"/>
        </w:rPr>
        <w:t xml:space="preserve"> </w:t>
      </w:r>
      <w:r w:rsidRPr="00E75770">
        <w:rPr>
          <w:rFonts w:ascii="Times New Roman" w:hAnsi="Times New Roman"/>
        </w:rPr>
        <w:t>In 2017, the WHO designated three "critical" priority infections, all of which were carbapenem-resistant</w:t>
      </w:r>
      <w:r>
        <w:rPr>
          <w:rFonts w:ascii="Times New Roman" w:hAnsi="Times New Roman"/>
        </w:rPr>
        <w:t xml:space="preserve"> </w:t>
      </w:r>
      <w:r w:rsidR="009D73BD"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&lt;EndNote&gt;&lt;Cite&gt;&lt;Author&gt;WHO&lt;/Author&gt;&lt;Year&gt;2017&lt;/Year&gt;&lt;RecNum&gt;729&lt;/RecNum&gt;&lt;DisplayText&gt;(WHO, 2017)&lt;/DisplayText&gt;&lt;record&gt;&lt;rec-number&gt;729&lt;/rec-number&gt;&lt;foreign-keys&gt;&lt;key app="EN" db-id="w22tszxz12v02ie02asvszppdzx5axz52d95" timestamp="1718363765"&gt;729&lt;/key&gt;&lt;/foreign-keys&gt;&lt;ref-type name="Journal Article"&gt;17&lt;/ref-type&gt;&lt;contributors&gt;&lt;authors&gt;&lt;author&gt;WHO, O&lt;/author&gt;&lt;/authors&gt;&lt;/contributors&gt;&lt;titles&gt;&lt;title&gt;One health&lt;/title&gt;&lt;secondary-title&gt;World Health Organization&lt;/secondary-title&gt;&lt;/titles&gt;&lt;periodical&gt;&lt;full-title&gt;World Health Organization&lt;/full-title&gt;&lt;/periodical&gt;&lt;volume&gt;736&lt;/volume&gt;&lt;dates&gt;&lt;year&gt;2017&lt;/year&gt;&lt;/dates&gt;&lt;urls&gt;&lt;/urls&gt;&lt;/record&gt;&lt;/Cite&gt;&lt;/EndNote&gt;</w:instrText>
      </w:r>
      <w:r w:rsidR="009D73BD" w:rsidRPr="0012141A">
        <w:rPr>
          <w:rFonts w:ascii="Times New Roman" w:hAnsi="Times New Roman"/>
          <w:color w:val="0000FF"/>
        </w:rPr>
        <w:fldChar w:fldCharType="separate"/>
      </w:r>
      <w:r w:rsidR="00287940">
        <w:rPr>
          <w:rFonts w:ascii="Times New Roman" w:hAnsi="Times New Roman"/>
          <w:noProof/>
          <w:color w:val="0000FF"/>
        </w:rPr>
        <w:t>(WHO, 2017)</w:t>
      </w:r>
      <w:r w:rsidR="009D73BD" w:rsidRPr="0012141A">
        <w:rPr>
          <w:rFonts w:ascii="Times New Roman" w:hAnsi="Times New Roman"/>
          <w:color w:val="0000FF"/>
        </w:rPr>
        <w:fldChar w:fldCharType="end"/>
      </w:r>
      <w:r w:rsidR="009D73BD" w:rsidRPr="0012141A">
        <w:rPr>
          <w:rFonts w:ascii="Times New Roman" w:hAnsi="Times New Roman"/>
        </w:rPr>
        <w:t xml:space="preserve">. </w:t>
      </w:r>
      <w:r w:rsidR="00604557" w:rsidRPr="00E75770">
        <w:rPr>
          <w:rFonts w:ascii="Times New Roman" w:hAnsi="Times New Roman"/>
        </w:rPr>
        <w:t>Carbapenems</w:t>
      </w:r>
      <w:r w:rsidRPr="00E75770">
        <w:rPr>
          <w:rFonts w:ascii="Times New Roman" w:hAnsi="Times New Roman"/>
        </w:rPr>
        <w:t xml:space="preserve">, including KPC (class A), NDM (class B), and OXA (class D), can hydrolyze </w:t>
      </w:r>
      <w:r w:rsidR="00604557" w:rsidRPr="00E75770">
        <w:rPr>
          <w:rFonts w:ascii="Times New Roman" w:hAnsi="Times New Roman"/>
        </w:rPr>
        <w:t>penicillin</w:t>
      </w:r>
      <w:r w:rsidRPr="00E75770">
        <w:rPr>
          <w:rFonts w:ascii="Times New Roman" w:hAnsi="Times New Roman"/>
        </w:rPr>
        <w:t>, cephalosporins, and carbapenems</w:t>
      </w:r>
      <w:r w:rsidR="00C22BBC">
        <w:rPr>
          <w:rFonts w:ascii="Times New Roman" w:hAnsi="Times New Roman"/>
        </w:rPr>
        <w:t xml:space="preserve"> </w:t>
      </w:r>
      <w:r w:rsidR="009D73BD"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&lt;EndNote&gt;&lt;Cite&gt;&lt;Author&gt;Tooke&lt;/Author&gt;&lt;Year&gt;2019&lt;/Year&gt;&lt;RecNum&gt;43&lt;/RecNum&gt;&lt;DisplayText&gt;(Tooke et al., 2019, Queenan and Bush, 2007)&lt;/DisplayText&gt;&lt;record&gt;&lt;rec-number&gt;43&lt;/rec-number&gt;&lt;foreign-keys&gt;&lt;key app="EN" db-id="2x05fzss6x2s23e0a0txazfl5r920wd0at2a" timestamp="1758523908"&gt;43&lt;/key&gt;&lt;/foreign-keys&gt;&lt;ref-type name="Journal Article"&gt;17&lt;/ref-type&gt;&lt;contributors&gt;&lt;authors&gt;&lt;author&gt;Tooke, Catherine L&lt;/author&gt;&lt;author&gt;Hinchliffe, Philip&lt;/author&gt;&lt;author&gt;Bragginton, Eilis C&lt;/author&gt;&lt;author&gt;Colenso, Charlotte K&lt;/author&gt;&lt;author&gt;Hirvonen, Viivi HA&lt;/author&gt;&lt;author&gt;Takebayashi, Yuiko&lt;/author&gt;&lt;author&gt;Spencer, James&lt;/author&gt;&lt;/authors&gt;&lt;/contributors&gt;&lt;titles&gt;&lt;title&gt;β-Lactamases and β-Lactamase Inhibitors in the 21st Century&lt;/title&gt;&lt;secondary-title&gt;Journal of molecular biology&lt;/secondary-title&gt;&lt;/titles&gt;&lt;periodical&gt;&lt;full-title&gt;Journal of molecular biology&lt;/full-title&gt;&lt;/periodical&gt;&lt;pages&gt;3472-3500&lt;/pages&gt;&lt;volume&gt;431&lt;/volume&gt;&lt;number&gt;18&lt;/number&gt;&lt;dates&gt;&lt;year&gt;2019&lt;/year&gt;&lt;/dates&gt;&lt;isbn&gt;0022-2836&lt;/isbn&gt;&lt;urls&gt;&lt;/urls&gt;&lt;/record&gt;&lt;/Cite&gt;&lt;Cite&gt;&lt;Author&gt;Queenan&lt;/Author&gt;&lt;Year&gt;2007&lt;/Year&gt;&lt;RecNum&gt;731&lt;/RecNum&gt;&lt;record&gt;&lt;rec-number&gt;731&lt;/rec-number&gt;&lt;foreign-keys&gt;&lt;key app="EN" db-id="w22tszxz12v02ie02asvszppdzx5axz52d95" timestamp="1718363894"&gt;731&lt;/key&gt;&lt;/foreign-keys&gt;&lt;ref-type name="Journal Article"&gt;17&lt;/ref-type&gt;&lt;contributors&gt;&lt;authors&gt;&lt;author&gt;Queenan, Anne Marie&lt;/author&gt;&lt;author&gt;Bush, Karen&lt;/author&gt;&lt;/authors&gt;&lt;/contributors&gt;&lt;titles&gt;&lt;title&gt;Carbapenemases: the versatile β-lactamases&lt;/title&gt;&lt;secondary-title&gt;Clinical microbiology reviews&lt;/secondary-title&gt;&lt;/titles&gt;&lt;periodical&gt;&lt;full-title&gt;Clinical microbiology reviews&lt;/full-title&gt;&lt;/periodical&gt;&lt;pages&gt;440-458&lt;/pages&gt;&lt;volume&gt;20&lt;/volume&gt;&lt;number&gt;3&lt;/number&gt;&lt;dates&gt;&lt;year&gt;2007&lt;/year&gt;&lt;/dates&gt;&lt;isbn&gt;0893-8512&lt;/isbn&gt;&lt;urls&gt;&lt;/urls&gt;&lt;/record&gt;&lt;/Cite&gt;&lt;/EndNote&gt;</w:instrText>
      </w:r>
      <w:r w:rsidR="009D73BD" w:rsidRPr="0012141A">
        <w:rPr>
          <w:rFonts w:ascii="Times New Roman" w:hAnsi="Times New Roman"/>
          <w:color w:val="0000FF"/>
        </w:rPr>
        <w:fldChar w:fldCharType="separate"/>
      </w:r>
      <w:r w:rsidR="00287940">
        <w:rPr>
          <w:rFonts w:ascii="Times New Roman" w:hAnsi="Times New Roman"/>
          <w:noProof/>
          <w:color w:val="0000FF"/>
        </w:rPr>
        <w:t>(Tooke et al., 2019, Queenan and Bush, 2007)</w:t>
      </w:r>
      <w:r w:rsidR="009D73BD" w:rsidRPr="0012141A">
        <w:rPr>
          <w:rFonts w:ascii="Times New Roman" w:hAnsi="Times New Roman"/>
          <w:color w:val="0000FF"/>
        </w:rPr>
        <w:fldChar w:fldCharType="end"/>
      </w:r>
      <w:r w:rsidR="00121AD5" w:rsidRPr="0012141A">
        <w:rPr>
          <w:rFonts w:ascii="Times New Roman" w:hAnsi="Times New Roman"/>
        </w:rPr>
        <w:t>.</w:t>
      </w:r>
      <w:r w:rsidR="0047265F">
        <w:rPr>
          <w:rFonts w:ascii="Times New Roman" w:hAnsi="Times New Roman"/>
        </w:rPr>
        <w:t xml:space="preserve"> </w:t>
      </w:r>
      <w:r w:rsidR="00D66220" w:rsidRPr="00D66220">
        <w:rPr>
          <w:rFonts w:ascii="Times New Roman" w:hAnsi="Times New Roman"/>
        </w:rPr>
        <w:t xml:space="preserve">This significantly reduces the number of </w:t>
      </w:r>
      <w:r w:rsidRPr="00E75770">
        <w:rPr>
          <w:rFonts w:ascii="Times New Roman" w:hAnsi="Times New Roman"/>
        </w:rPr>
        <w:t>pharmaceuticals</w:t>
      </w:r>
      <w:r w:rsidR="00D66220" w:rsidRPr="00D66220">
        <w:rPr>
          <w:rFonts w:ascii="Times New Roman" w:hAnsi="Times New Roman"/>
        </w:rPr>
        <w:t xml:space="preserve"> available to treat a specific illness.</w:t>
      </w:r>
    </w:p>
    <w:p w14:paraId="7EA50CD5" w14:textId="77777777" w:rsidR="00AA4778" w:rsidRDefault="00AA4778" w:rsidP="00225952">
      <w:pPr>
        <w:spacing w:line="360" w:lineRule="auto"/>
        <w:jc w:val="both"/>
        <w:rPr>
          <w:rFonts w:ascii="Times New Roman" w:hAnsi="Times New Roman"/>
        </w:rPr>
      </w:pPr>
    </w:p>
    <w:p w14:paraId="4A40F2DE" w14:textId="367BC82E" w:rsidR="00225952" w:rsidRPr="0012141A" w:rsidRDefault="00CE1BB3" w:rsidP="00225952">
      <w:pPr>
        <w:spacing w:line="360" w:lineRule="auto"/>
        <w:jc w:val="both"/>
        <w:rPr>
          <w:rFonts w:ascii="Times New Roman" w:hAnsi="Times New Roman"/>
          <w:b/>
          <w:bCs/>
        </w:rPr>
      </w:pPr>
      <w:r>
        <w:rPr>
          <w:rFonts w:ascii="Times New Roman" w:hAnsi="Times New Roman"/>
          <w:b/>
          <w:bCs/>
        </w:rPr>
        <w:t>3</w:t>
      </w:r>
      <w:r w:rsidR="00225952" w:rsidRPr="0012141A">
        <w:rPr>
          <w:rFonts w:ascii="Times New Roman" w:hAnsi="Times New Roman"/>
          <w:b/>
          <w:bCs/>
        </w:rPr>
        <w:t>. Molecular methods for quantifying ARGs in the environment</w:t>
      </w:r>
    </w:p>
    <w:p w14:paraId="115AD0C2" w14:textId="4FEDF076" w:rsidR="006335D6" w:rsidRPr="006335D6" w:rsidRDefault="006335D6" w:rsidP="006335D6">
      <w:pPr>
        <w:spacing w:line="360" w:lineRule="auto"/>
        <w:jc w:val="both"/>
        <w:rPr>
          <w:rFonts w:ascii="Times New Roman" w:hAnsi="Times New Roman"/>
        </w:rPr>
      </w:pPr>
      <w:r w:rsidRPr="006335D6">
        <w:rPr>
          <w:rFonts w:ascii="Times New Roman" w:hAnsi="Times New Roman"/>
        </w:rPr>
        <w:t xml:space="preserve">Due to the prevalence of ARGs in aquatic environments, molecular techniques are required to investigate their </w:t>
      </w:r>
      <w:r>
        <w:rPr>
          <w:rFonts w:ascii="Times New Roman" w:hAnsi="Times New Roman"/>
        </w:rPr>
        <w:t>occurrence</w:t>
      </w:r>
      <w:r w:rsidRPr="006335D6">
        <w:rPr>
          <w:rFonts w:ascii="Times New Roman" w:hAnsi="Times New Roman"/>
        </w:rPr>
        <w:t xml:space="preserve">, </w:t>
      </w:r>
      <w:r>
        <w:rPr>
          <w:rFonts w:ascii="Times New Roman" w:hAnsi="Times New Roman"/>
        </w:rPr>
        <w:t>transit</w:t>
      </w:r>
      <w:r w:rsidRPr="006335D6">
        <w:rPr>
          <w:rFonts w:ascii="Times New Roman" w:hAnsi="Times New Roman"/>
        </w:rPr>
        <w:t xml:space="preserve">, and </w:t>
      </w:r>
      <w:r>
        <w:rPr>
          <w:rFonts w:ascii="Times New Roman" w:hAnsi="Times New Roman"/>
        </w:rPr>
        <w:t>fate</w:t>
      </w:r>
      <w:r w:rsidRPr="006335D6">
        <w:rPr>
          <w:rFonts w:ascii="Times New Roman" w:hAnsi="Times New Roman"/>
        </w:rPr>
        <w:t>. Assessing environmental ARGs facilitates comprehension of their distribution, prevalence, and implications for public health.</w:t>
      </w:r>
    </w:p>
    <w:p w14:paraId="64BFFA51" w14:textId="77777777" w:rsidR="00AA4778" w:rsidRDefault="00AA4778" w:rsidP="006F3A51">
      <w:pPr>
        <w:spacing w:line="360" w:lineRule="auto"/>
        <w:jc w:val="both"/>
        <w:rPr>
          <w:rFonts w:ascii="Times New Roman" w:hAnsi="Times New Roman"/>
        </w:rPr>
      </w:pPr>
    </w:p>
    <w:p w14:paraId="5589625D" w14:textId="1109805F" w:rsidR="00225952" w:rsidRPr="0012141A" w:rsidRDefault="00CE1BB3" w:rsidP="00225952">
      <w:pPr>
        <w:spacing w:line="360" w:lineRule="auto"/>
        <w:jc w:val="both"/>
        <w:rPr>
          <w:rFonts w:ascii="Times New Roman" w:hAnsi="Times New Roman"/>
          <w:b/>
          <w:bCs/>
        </w:rPr>
      </w:pPr>
      <w:r>
        <w:rPr>
          <w:rFonts w:ascii="Times New Roman" w:hAnsi="Times New Roman"/>
          <w:b/>
          <w:bCs/>
        </w:rPr>
        <w:t>3</w:t>
      </w:r>
      <w:r w:rsidR="00225952" w:rsidRPr="0012141A">
        <w:rPr>
          <w:rFonts w:ascii="Times New Roman" w:hAnsi="Times New Roman"/>
          <w:b/>
          <w:bCs/>
        </w:rPr>
        <w:t>.1 Droplet digital</w:t>
      </w:r>
      <w:r w:rsidR="00225952" w:rsidRPr="00E33833">
        <w:rPr>
          <w:rFonts w:ascii="Times New Roman" w:hAnsi="Times New Roman"/>
          <w:b/>
          <w:bCs/>
        </w:rPr>
        <w:t xml:space="preserve"> </w:t>
      </w:r>
      <w:r w:rsidR="00E33833" w:rsidRPr="00E33833">
        <w:rPr>
          <w:rFonts w:ascii="Times New Roman" w:hAnsi="Times New Roman" w:cs="Times New Roman"/>
          <w:b/>
          <w:bCs/>
        </w:rPr>
        <w:t xml:space="preserve">polymerase chain reaction </w:t>
      </w:r>
      <w:r w:rsidR="00E33833">
        <w:rPr>
          <w:rFonts w:ascii="Times New Roman" w:hAnsi="Times New Roman" w:cs="Times New Roman"/>
          <w:b/>
          <w:bCs/>
        </w:rPr>
        <w:t>(</w:t>
      </w:r>
      <w:proofErr w:type="spellStart"/>
      <w:r w:rsidR="00E33833">
        <w:rPr>
          <w:rFonts w:ascii="Times New Roman" w:hAnsi="Times New Roman" w:cs="Times New Roman"/>
          <w:b/>
          <w:bCs/>
        </w:rPr>
        <w:t>dd</w:t>
      </w:r>
      <w:r w:rsidR="00225952" w:rsidRPr="0012141A">
        <w:rPr>
          <w:rFonts w:ascii="Times New Roman" w:hAnsi="Times New Roman"/>
          <w:b/>
          <w:bCs/>
        </w:rPr>
        <w:t>PCR</w:t>
      </w:r>
      <w:proofErr w:type="spellEnd"/>
      <w:r w:rsidR="00E33833">
        <w:rPr>
          <w:rFonts w:ascii="Times New Roman" w:hAnsi="Times New Roman"/>
          <w:b/>
          <w:bCs/>
        </w:rPr>
        <w:t>)</w:t>
      </w:r>
    </w:p>
    <w:p w14:paraId="63CA4D3A" w14:textId="26EA5640" w:rsidR="00C22BBC" w:rsidRDefault="00CB3FED" w:rsidP="00276511">
      <w:pPr>
        <w:spacing w:line="360" w:lineRule="auto"/>
        <w:jc w:val="both"/>
        <w:rPr>
          <w:rFonts w:ascii="Times New Roman" w:hAnsi="Times New Roman"/>
        </w:rPr>
      </w:pPr>
      <w:r w:rsidRPr="00CB3FED">
        <w:rPr>
          <w:rFonts w:ascii="Times New Roman" w:hAnsi="Times New Roman"/>
        </w:rPr>
        <w:t>Droplet digital polymerase chain reaction (</w:t>
      </w:r>
      <w:proofErr w:type="spellStart"/>
      <w:r w:rsidRPr="00CB3FED">
        <w:rPr>
          <w:rFonts w:ascii="Times New Roman" w:hAnsi="Times New Roman"/>
        </w:rPr>
        <w:t>ddPCR</w:t>
      </w:r>
      <w:proofErr w:type="spellEnd"/>
      <w:r w:rsidRPr="00CB3FED">
        <w:rPr>
          <w:rFonts w:ascii="Times New Roman" w:hAnsi="Times New Roman"/>
        </w:rPr>
        <w:t>) measures nucleic acids, such as ARGs, in water, soil, and sediments with exceptional sensitivity and precision. The technique partitions a substance into thousands of nanoliter-sized droplets to identify and detect nucleic acids at low quantities</w:t>
      </w:r>
      <w:r>
        <w:rPr>
          <w:rFonts w:ascii="Times New Roman" w:hAnsi="Times New Roman"/>
        </w:rPr>
        <w:t xml:space="preserve"> </w:t>
      </w:r>
      <w:r w:rsidR="00225952"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&lt;EndNote&gt;&lt;Cite&gt;&lt;Author&gt;Kokkoris&lt;/Author&gt;&lt;Year&gt;2021&lt;/Year&gt;&lt;RecNum&gt;773&lt;/RecNum&gt;&lt;DisplayText&gt;(Kokkoris et al., 2021)&lt;/DisplayText&gt;&lt;record&gt;&lt;rec-number&gt;773&lt;/rec-number&gt;&lt;foreign-keys&gt;&lt;key app="EN" db-id="w22tszxz12v02ie02asvszppdzx5axz52d95" timestamp="1718378401"&gt;773&lt;/key&gt;&lt;/foreign-keys&gt;&lt;ref-type name="Journal Article"&gt;17&lt;/ref-type&gt;&lt;contributors&gt;&lt;authors&gt;&lt;author&gt;Kokkoris, S&lt;/author&gt;&lt;author&gt;Papachatzakis, I&lt;/author&gt;&lt;author&gt;Gavrielatou, E&lt;/author&gt;&lt;author&gt;Ntaidou, T&lt;/author&gt;&lt;author&gt;Ischaki, E&lt;/author&gt;&lt;author&gt;Malachias, S&lt;/author&gt;&lt;author&gt;Vrettou, C&lt;/author&gt;&lt;author&gt;Nichlos, C&lt;/author&gt;&lt;author&gt;Kanavou, A&lt;/author&gt;&lt;author&gt;Zervakis, D&lt;/author&gt;&lt;/authors&gt;&lt;/contributors&gt;&lt;titles&gt;&lt;title&gt;ICU-acquired bloodstream infections in critically ill patients with COVID-19&lt;/title&gt;&lt;secondary-title&gt;The Journal of hospital infection&lt;/secondary-title&gt;&lt;/titles&gt;&lt;periodical&gt;&lt;full-title&gt;The Journal of hospital infection&lt;/full-title&gt;&lt;/periodical&gt;&lt;pages&gt;95&lt;/pages&gt;&lt;volume&gt;107&lt;/volume&gt;&lt;dates&gt;&lt;year&gt;2021&lt;/year&gt;&lt;/dates&gt;&lt;urls&gt;&lt;/urls&gt;&lt;/record&gt;&lt;/Cite&gt;&lt;/EndNote&gt;</w:instrText>
      </w:r>
      <w:r w:rsidR="00225952" w:rsidRPr="0012141A">
        <w:rPr>
          <w:rFonts w:ascii="Times New Roman" w:hAnsi="Times New Roman"/>
          <w:color w:val="0000FF"/>
        </w:rPr>
        <w:fldChar w:fldCharType="separate"/>
      </w:r>
      <w:r w:rsidR="00287940">
        <w:rPr>
          <w:rFonts w:ascii="Times New Roman" w:hAnsi="Times New Roman"/>
          <w:noProof/>
          <w:color w:val="0000FF"/>
        </w:rPr>
        <w:t>(Kokkoris et al., 2021)</w:t>
      </w:r>
      <w:r w:rsidR="00225952" w:rsidRPr="0012141A">
        <w:rPr>
          <w:rFonts w:ascii="Times New Roman" w:hAnsi="Times New Roman"/>
          <w:color w:val="0000FF"/>
        </w:rPr>
        <w:fldChar w:fldCharType="end"/>
      </w:r>
      <w:r w:rsidR="00225952" w:rsidRPr="0012141A">
        <w:rPr>
          <w:rFonts w:ascii="Times New Roman" w:hAnsi="Times New Roman"/>
        </w:rPr>
        <w:t xml:space="preserve">. </w:t>
      </w:r>
      <w:r w:rsidR="00EB427D" w:rsidRPr="00EB427D">
        <w:rPr>
          <w:rFonts w:ascii="Times New Roman" w:hAnsi="Times New Roman"/>
        </w:rPr>
        <w:t xml:space="preserve">Owing to its capacity for absolute quantification without the necessity of reference curves, </w:t>
      </w:r>
      <w:proofErr w:type="spellStart"/>
      <w:r w:rsidR="00EB427D" w:rsidRPr="00EB427D">
        <w:rPr>
          <w:rFonts w:ascii="Times New Roman" w:hAnsi="Times New Roman"/>
        </w:rPr>
        <w:t>ddPCR</w:t>
      </w:r>
      <w:proofErr w:type="spellEnd"/>
      <w:r w:rsidR="00EB427D" w:rsidRPr="00EB427D">
        <w:rPr>
          <w:rFonts w:ascii="Times New Roman" w:hAnsi="Times New Roman"/>
        </w:rPr>
        <w:t xml:space="preserve"> may surpass quantitative polymerase chain reaction (qPCR) in environmental samples. It is crucial in intricate sample matrices where inhibitors may influence qPCR. Environmental samples exhibit chemical and biological complexity, complicating data interpretation. Consequently, </w:t>
      </w:r>
      <w:proofErr w:type="spellStart"/>
      <w:r w:rsidR="00EB427D" w:rsidRPr="00EB427D">
        <w:rPr>
          <w:rFonts w:ascii="Times New Roman" w:hAnsi="Times New Roman"/>
        </w:rPr>
        <w:t>ddPCR</w:t>
      </w:r>
      <w:proofErr w:type="spellEnd"/>
      <w:r w:rsidR="00EB427D" w:rsidRPr="00EB427D">
        <w:rPr>
          <w:rFonts w:ascii="Times New Roman" w:hAnsi="Times New Roman"/>
        </w:rPr>
        <w:t xml:space="preserve"> research using environmental materials necessitates customized approaches and optimal protocols to guarantee accuracy and consistency</w:t>
      </w:r>
      <w:r w:rsidR="00C22BBC">
        <w:rPr>
          <w:rFonts w:ascii="Times New Roman" w:hAnsi="Times New Roman"/>
        </w:rPr>
        <w:t xml:space="preserve"> </w:t>
      </w:r>
      <w:r w:rsidR="00225952"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&lt;EndNote&gt;&lt;Cite&gt;&lt;Author&gt;Kokkoris&lt;/Author&gt;&lt;Year&gt;2021&lt;/Year&gt;&lt;RecNum&gt;773&lt;/RecNum&gt;&lt;DisplayText&gt;(Kokkoris et al., 2021)&lt;/DisplayText&gt;&lt;record&gt;&lt;rec-number&gt;773&lt;/rec-number&gt;&lt;foreign-keys&gt;&lt;key app="EN" db-id="w22tszxz12v02ie02asvszppdzx5axz52d95" timestamp="1718378401"&gt;773&lt;/key&gt;&lt;/foreign-keys&gt;&lt;ref-type name="Journal Article"&gt;17&lt;/ref-type&gt;&lt;contributors&gt;&lt;authors&gt;&lt;author&gt;Kokkoris, S&lt;/author&gt;&lt;author&gt;Papachatzakis, I&lt;/author&gt;&lt;author&gt;Gavrielatou, E&lt;/author&gt;&lt;author&gt;Ntaidou, T&lt;/author&gt;&lt;author&gt;Ischaki, E&lt;/author&gt;&lt;author&gt;Malachias, S&lt;/author&gt;&lt;author&gt;Vrettou, C&lt;/author&gt;&lt;author&gt;Nichlos, C&lt;/author&gt;&lt;author&gt;Kanavou, A&lt;/author&gt;&lt;author&gt;Zervakis, D&lt;/author&gt;&lt;/authors&gt;&lt;/contributors&gt;&lt;titles&gt;&lt;title&gt;ICU-acquired bloodstream infections in critically ill patients with COVID-19&lt;/title&gt;&lt;secondary-title&gt;The Journal of hospital infection&lt;/secondary-title&gt;&lt;/titles&gt;&lt;periodical&gt;&lt;full-title&gt;The Journal of hospital infection&lt;/full-title&gt;&lt;/periodical&gt;&lt;pages&gt;95&lt;/pages&gt;&lt;volume&gt;107&lt;/volume&gt;&lt;dates&gt;&lt;year&gt;2021&lt;/year&gt;&lt;/dates&gt;&lt;urls&gt;&lt;/urls&gt;&lt;/record&gt;&lt;/Cite&gt;&lt;/EndNote&gt;</w:instrText>
      </w:r>
      <w:r w:rsidR="00225952" w:rsidRPr="0012141A">
        <w:rPr>
          <w:rFonts w:ascii="Times New Roman" w:hAnsi="Times New Roman"/>
          <w:color w:val="0000FF"/>
        </w:rPr>
        <w:fldChar w:fldCharType="separate"/>
      </w:r>
      <w:r w:rsidR="00287940">
        <w:rPr>
          <w:rFonts w:ascii="Times New Roman" w:hAnsi="Times New Roman"/>
          <w:noProof/>
          <w:color w:val="0000FF"/>
        </w:rPr>
        <w:t>(Kokkoris et al., 2021)</w:t>
      </w:r>
      <w:r w:rsidR="00225952" w:rsidRPr="0012141A">
        <w:rPr>
          <w:rFonts w:ascii="Times New Roman" w:hAnsi="Times New Roman"/>
          <w:color w:val="0000FF"/>
        </w:rPr>
        <w:fldChar w:fldCharType="end"/>
      </w:r>
      <w:r w:rsidR="00225952" w:rsidRPr="0012141A">
        <w:rPr>
          <w:rFonts w:ascii="Times New Roman" w:hAnsi="Times New Roman"/>
        </w:rPr>
        <w:t>.</w:t>
      </w:r>
      <w:r w:rsidR="00225952" w:rsidRPr="0012141A">
        <w:rPr>
          <w:rFonts w:ascii="Times New Roman" w:eastAsia="Times New Roman" w:hAnsi="Times New Roman" w:cs="Times New Roman"/>
          <w:lang w:eastAsia="en-US"/>
        </w:rPr>
        <w:t xml:space="preserve"> </w:t>
      </w:r>
      <w:r w:rsidR="00EB427D" w:rsidRPr="00EB427D">
        <w:rPr>
          <w:rFonts w:ascii="Times New Roman" w:hAnsi="Times New Roman"/>
        </w:rPr>
        <w:t xml:space="preserve">Notwithstanding environmental PCR </w:t>
      </w:r>
      <w:r w:rsidR="00EB427D" w:rsidRPr="00EB427D">
        <w:rPr>
          <w:rFonts w:ascii="Times New Roman" w:hAnsi="Times New Roman"/>
        </w:rPr>
        <w:lastRenderedPageBreak/>
        <w:t xml:space="preserve">inhibitors, </w:t>
      </w:r>
      <w:proofErr w:type="spellStart"/>
      <w:r w:rsidR="00EB427D" w:rsidRPr="00EB427D">
        <w:rPr>
          <w:rFonts w:ascii="Times New Roman" w:hAnsi="Times New Roman"/>
        </w:rPr>
        <w:t>ddPCR</w:t>
      </w:r>
      <w:proofErr w:type="spellEnd"/>
      <w:r w:rsidR="00EB427D" w:rsidRPr="00EB427D">
        <w:rPr>
          <w:rFonts w:ascii="Times New Roman" w:hAnsi="Times New Roman"/>
        </w:rPr>
        <w:t xml:space="preserve"> can precisely measure ARGs. This renders it an exceptional instrument for identifying environmental antibiotic resistance</w:t>
      </w:r>
      <w:r w:rsidR="00EB427D">
        <w:rPr>
          <w:rFonts w:ascii="Times New Roman" w:hAnsi="Times New Roman"/>
        </w:rPr>
        <w:t xml:space="preserve"> </w:t>
      </w:r>
      <w:r w:rsidR="00276511"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&lt;EndNote&gt;&lt;Cite&gt;&lt;Author&gt;Cavé&lt;/Author&gt;&lt;Year&gt;2016&lt;/Year&gt;&lt;RecNum&gt;772&lt;/RecNum&gt;&lt;DisplayText&gt;(Cavé et al., 2016)&lt;/DisplayText&gt;&lt;record&gt;&lt;rec-number&gt;772&lt;/rec-number&gt;&lt;foreign-keys&gt;&lt;key app="EN" db-id="w22tszxz12v02ie02asvszppdzx5axz52d95" timestamp="1718377773"&gt;772&lt;/key&gt;&lt;/foreign-keys&gt;&lt;ref-type name="Journal Article"&gt;17&lt;/ref-type&gt;&lt;contributors&gt;&lt;authors&gt;&lt;author&gt;Cavé, Laura&lt;/author&gt;&lt;author&gt;Brothier, Elisabeth&lt;/author&gt;&lt;author&gt;Abrouk, Danis&lt;/author&gt;&lt;author&gt;Bouda, Panignimyandé Salomon&lt;/author&gt;&lt;author&gt;Hien, Edmond&lt;/author&gt;&lt;author&gt;Nazaret, Sylvie&lt;/author&gt;&lt;/authors&gt;&lt;/contributors&gt;&lt;titles&gt;&lt;title&gt;Efficiency and sensitivity of the digital droplet PCR for the quantification of antibiotic resistance genes in soils and organic residues&lt;/title&gt;&lt;secondary-title&gt;Applied microbiology and biotechnology&lt;/secondary-title&gt;&lt;/titles&gt;&lt;periodical&gt;&lt;full-title&gt;Applied microbiology and biotechnology&lt;/full-title&gt;&lt;/periodical&gt;&lt;pages&gt;10597-10608&lt;/pages&gt;&lt;volume&gt;100&lt;/volume&gt;&lt;dates&gt;&lt;year&gt;2016&lt;/year&gt;&lt;/dates&gt;&lt;isbn&gt;0175-7598&lt;/isbn&gt;&lt;urls&gt;&lt;/urls&gt;&lt;/record&gt;&lt;/Cite&gt;&lt;/EndNote&gt;</w:instrText>
      </w:r>
      <w:r w:rsidR="00276511" w:rsidRPr="0012141A">
        <w:rPr>
          <w:rFonts w:ascii="Times New Roman" w:hAnsi="Times New Roman"/>
          <w:color w:val="0000FF"/>
        </w:rPr>
        <w:fldChar w:fldCharType="separate"/>
      </w:r>
      <w:r w:rsidR="00287940">
        <w:rPr>
          <w:rFonts w:ascii="Times New Roman" w:hAnsi="Times New Roman"/>
          <w:noProof/>
          <w:color w:val="0000FF"/>
        </w:rPr>
        <w:t>(Cavé et al., 2016)</w:t>
      </w:r>
      <w:r w:rsidR="00276511" w:rsidRPr="0012141A">
        <w:rPr>
          <w:rFonts w:ascii="Times New Roman" w:hAnsi="Times New Roman"/>
          <w:color w:val="0000FF"/>
        </w:rPr>
        <w:fldChar w:fldCharType="end"/>
      </w:r>
      <w:r w:rsidR="00276511" w:rsidRPr="0012141A">
        <w:rPr>
          <w:rFonts w:ascii="Times New Roman" w:hAnsi="Times New Roman"/>
        </w:rPr>
        <w:t>.</w:t>
      </w:r>
    </w:p>
    <w:p w14:paraId="7752A4D2" w14:textId="77777777" w:rsidR="00E33833" w:rsidRDefault="00E33833" w:rsidP="00276511">
      <w:pPr>
        <w:spacing w:line="360" w:lineRule="auto"/>
        <w:jc w:val="both"/>
        <w:rPr>
          <w:rFonts w:ascii="Times New Roman" w:hAnsi="Times New Roman"/>
        </w:rPr>
      </w:pPr>
    </w:p>
    <w:p w14:paraId="63AF1134" w14:textId="77777777" w:rsidR="003B3CE2" w:rsidRDefault="003B3CE2" w:rsidP="00276511">
      <w:pPr>
        <w:spacing w:line="360" w:lineRule="auto"/>
        <w:jc w:val="both"/>
        <w:rPr>
          <w:rFonts w:ascii="Times New Roman" w:hAnsi="Times New Roman" w:cs="Times New Roman"/>
          <w:b/>
          <w:bCs/>
        </w:rPr>
      </w:pPr>
    </w:p>
    <w:p w14:paraId="744B2099" w14:textId="694052A2" w:rsidR="00276511" w:rsidRPr="0012141A" w:rsidRDefault="00CE1BB3" w:rsidP="00276511">
      <w:pPr>
        <w:spacing w:line="360" w:lineRule="auto"/>
        <w:jc w:val="both"/>
        <w:rPr>
          <w:rFonts w:ascii="Times New Roman" w:hAnsi="Times New Roman" w:cs="Times New Roman"/>
          <w:b/>
          <w:bCs/>
        </w:rPr>
      </w:pPr>
      <w:r>
        <w:rPr>
          <w:rFonts w:ascii="Times New Roman" w:hAnsi="Times New Roman" w:cs="Times New Roman"/>
          <w:b/>
          <w:bCs/>
        </w:rPr>
        <w:t>3</w:t>
      </w:r>
      <w:r w:rsidR="00276511" w:rsidRPr="0012141A">
        <w:rPr>
          <w:rFonts w:ascii="Times New Roman" w:hAnsi="Times New Roman" w:cs="Times New Roman"/>
          <w:b/>
          <w:bCs/>
        </w:rPr>
        <w:t>.2 Quantitative polymerase chain reaction (qPCR)</w:t>
      </w:r>
    </w:p>
    <w:p w14:paraId="012E71FD" w14:textId="282D0F0A" w:rsidR="00276511" w:rsidRPr="0012141A" w:rsidRDefault="00EB427D" w:rsidP="00276511">
      <w:pPr>
        <w:spacing w:line="360" w:lineRule="auto"/>
        <w:jc w:val="both"/>
        <w:rPr>
          <w:rFonts w:ascii="Times New Roman" w:hAnsi="Times New Roman" w:cs="Times New Roman"/>
        </w:rPr>
      </w:pPr>
      <w:r w:rsidRPr="00EB427D">
        <w:rPr>
          <w:rFonts w:ascii="Times New Roman" w:hAnsi="Times New Roman" w:cs="Times New Roman"/>
        </w:rPr>
        <w:t>Real-time qPCR is the optimal technique for the detection and quantification of microorganisms in diverse environmental samples, including intricate matrices such as wastewater, soil, and sewage</w:t>
      </w:r>
      <w:r>
        <w:rPr>
          <w:rFonts w:ascii="Times New Roman" w:hAnsi="Times New Roman" w:cs="Times New Roman"/>
        </w:rPr>
        <w:t xml:space="preserve"> </w:t>
      </w:r>
      <w:r w:rsidR="00276511" w:rsidRPr="0012141A">
        <w:rPr>
          <w:rFonts w:ascii="Times New Roman" w:hAnsi="Times New Roman" w:cs="Times New Roman"/>
          <w:color w:val="0000FF"/>
        </w:rPr>
        <w:fldChar w:fldCharType="begin"/>
      </w:r>
      <w:r w:rsidR="00287940">
        <w:rPr>
          <w:rFonts w:ascii="Times New Roman" w:hAnsi="Times New Roman" w:cs="Times New Roman"/>
          <w:color w:val="0000FF"/>
        </w:rPr>
        <w:instrText xml:space="preserve"> ADDIN EN.CITE &lt;EndNote&gt;&lt;Cite&gt;&lt;Author&gt;Aw&lt;/Author&gt;&lt;Year&gt;2012&lt;/Year&gt;&lt;RecNum&gt;774&lt;/RecNum&gt;&lt;DisplayText&gt;(Aw and Rose, 2012, Knappik et al., 2015)&lt;/DisplayText&gt;&lt;record&gt;&lt;rec-number&gt;774&lt;/rec-number&gt;&lt;foreign-keys&gt;&lt;key app="EN" db-id="w22tszxz12v02ie02asvszppdzx5axz52d95" timestamp="1718378498"&gt;774&lt;/key&gt;&lt;/foreign-keys&gt;&lt;ref-type name="Journal Article"&gt;17&lt;/ref-type&gt;&lt;contributors&gt;&lt;authors&gt;&lt;author&gt;Aw, Tiong Gim&lt;/author&gt;&lt;author&gt;Rose, Joan B&lt;/author&gt;&lt;/authors&gt;&lt;/contributors&gt;&lt;titles&gt;&lt;title&gt;Detection of pathogens in water: from phylochips to qPCR to pyrosequencing&lt;/title&gt;&lt;secondary-title&gt;Current opinion in biotechnology&lt;/secondary-title&gt;&lt;/titles&gt;&lt;periodical&gt;&lt;full-title&gt;Current opinion in biotechnology&lt;/full-title&gt;&lt;/periodical&gt;&lt;pages&gt;422-430&lt;/pages&gt;&lt;volume&gt;23&lt;/volume&gt;&lt;number&gt;3&lt;/number&gt;&lt;dates&gt;&lt;year&gt;2012&lt;/year&gt;&lt;/dates&gt;&lt;isbn&gt;0958-1669&lt;/isbn&gt;&lt;urls&gt;&lt;/urls&gt;&lt;/record&gt;&lt;/Cite&gt;&lt;Cite&gt;&lt;Author&gt;Knappik&lt;/Author&gt;&lt;Year&gt;2015&lt;/Year&gt;&lt;RecNum&gt;775&lt;/RecNum&gt;&lt;record&gt;&lt;rec-number&gt;775&lt;/rec-number&gt;&lt;foreign-keys&gt;&lt;key app="EN" db-id="w22tszxz12v02ie02asvszppdzx5axz52d95" timestamp="1718378688"&gt;775&lt;/key&gt;&lt;/foreign-keys&gt;&lt;ref-type name="Journal Article"&gt;17&lt;/ref-type&gt;&lt;contributors&gt;&lt;authors&gt;&lt;author&gt;Knappik, Michael&lt;/author&gt;&lt;author&gt;Dance, David AB&lt;/author&gt;&lt;author&gt;Rattanavong, Sayaphet&lt;/author&gt;&lt;author&gt;Pierret, Alain&lt;/author&gt;&lt;author&gt;Ribolzi, Olivier&lt;/author&gt;&lt;author&gt;Davong, Viengmon&lt;/author&gt;&lt;author&gt;Silisouk, Joy&lt;/author&gt;&lt;author&gt;Vongsouvath, Manivanh&lt;/author&gt;&lt;author&gt;Newton, Paul N&lt;/author&gt;&lt;author&gt;Dittrich, Sabine&lt;/author&gt;&lt;/authors&gt;&lt;/contributors&gt;&lt;titles&gt;&lt;title&gt;Evaluation of molecular methods to improve the detection of Burkholderia pseudomallei in soil and water samples from Laos&lt;/title&gt;&lt;secondary-title&gt;Applied and Environmental Microbiology&lt;/secondary-title&gt;&lt;/titles&gt;&lt;periodical&gt;&lt;full-title&gt;Applied and environmental microbiology&lt;/full-title&gt;&lt;/periodical&gt;&lt;pages&gt;3722-3727&lt;/pages&gt;&lt;volume&gt;81&lt;/volume&gt;&lt;number&gt;11&lt;/number&gt;&lt;dates&gt;&lt;year&gt;2015&lt;/year&gt;&lt;/dates&gt;&lt;isbn&gt;0099-2240&lt;/isbn&gt;&lt;urls&gt;&lt;/urls&gt;&lt;/record&gt;&lt;/Cite&gt;&lt;/EndNote&gt;</w:instrText>
      </w:r>
      <w:r w:rsidR="00276511" w:rsidRPr="0012141A">
        <w:rPr>
          <w:rFonts w:ascii="Times New Roman" w:hAnsi="Times New Roman" w:cs="Times New Roman"/>
          <w:color w:val="0000FF"/>
        </w:rPr>
        <w:fldChar w:fldCharType="separate"/>
      </w:r>
      <w:r w:rsidR="00287940">
        <w:rPr>
          <w:rFonts w:ascii="Times New Roman" w:hAnsi="Times New Roman" w:cs="Times New Roman"/>
          <w:noProof/>
          <w:color w:val="0000FF"/>
        </w:rPr>
        <w:t>(Aw and Rose, 2012, Knappik et al., 2015)</w:t>
      </w:r>
      <w:r w:rsidR="00276511" w:rsidRPr="0012141A">
        <w:rPr>
          <w:rFonts w:ascii="Times New Roman" w:hAnsi="Times New Roman" w:cs="Times New Roman"/>
          <w:color w:val="0000FF"/>
        </w:rPr>
        <w:fldChar w:fldCharType="end"/>
      </w:r>
      <w:r w:rsidR="00276511" w:rsidRPr="0012141A">
        <w:rPr>
          <w:rFonts w:ascii="Times New Roman" w:hAnsi="Times New Roman" w:cs="Times New Roman"/>
        </w:rPr>
        <w:t xml:space="preserve">. </w:t>
      </w:r>
      <w:r w:rsidRPr="00EB427D">
        <w:rPr>
          <w:rFonts w:ascii="Times New Roman" w:hAnsi="Times New Roman" w:cs="Times New Roman"/>
        </w:rPr>
        <w:t>qPCR assays exhibit superior sensitivity, specificity, and rapidity compared to traditional culture-based methods</w:t>
      </w:r>
      <w:r>
        <w:rPr>
          <w:rFonts w:ascii="Times New Roman" w:hAnsi="Times New Roman" w:cs="Times New Roman"/>
        </w:rPr>
        <w:t xml:space="preserve"> </w:t>
      </w:r>
      <w:r w:rsidR="00276511" w:rsidRPr="0012141A">
        <w:rPr>
          <w:rFonts w:ascii="Times New Roman" w:hAnsi="Times New Roman" w:cs="Times New Roman"/>
          <w:color w:val="0000FF"/>
        </w:rPr>
        <w:fldChar w:fldCharType="begin"/>
      </w:r>
      <w:r w:rsidR="00287940">
        <w:rPr>
          <w:rFonts w:ascii="Times New Roman" w:hAnsi="Times New Roman" w:cs="Times New Roman"/>
          <w:color w:val="0000FF"/>
        </w:rPr>
        <w:instrText xml:space="preserve"> ADDIN EN.CITE &lt;EndNote&gt;&lt;Cite&gt;&lt;Author&gt;Colinon&lt;/Author&gt;&lt;Year&gt;2013&lt;/Year&gt;&lt;RecNum&gt;776&lt;/RecNum&gt;&lt;DisplayText&gt;(Colinon et al., 2013)&lt;/DisplayText&gt;&lt;record&gt;&lt;rec-number&gt;776&lt;/rec-number&gt;&lt;foreign-keys&gt;&lt;key app="EN" db-id="w22tszxz12v02ie02asvszppdzx5axz52d95" timestamp="1718378885"&gt;776&lt;/key&gt;&lt;/foreign-keys&gt;&lt;ref-type name="Journal Article"&gt;17&lt;/ref-type&gt;&lt;contributors&gt;&lt;authors&gt;&lt;author&gt;Colinon, C&lt;/author&gt;&lt;author&gt;Deredjian, A&lt;/author&gt;&lt;author&gt;Hien, E&lt;/author&gt;&lt;author&gt;Brothier, E&lt;/author&gt;&lt;author&gt;Bouziri, L&lt;/author&gt;&lt;author&gt;Cournoyer, B&lt;/author&gt;&lt;author&gt;Hartman, A&lt;/author&gt;&lt;author&gt;Henry, S&lt;/author&gt;&lt;author&gt;Jolivet, C&lt;/author&gt;&lt;author&gt;Ranjard, L&lt;/author&gt;&lt;/authors&gt;&lt;/contributors&gt;&lt;titles&gt;&lt;title&gt;Detection and enumeration of Pseudomonas aeruginosa in soil and manure assessed by an ecfX qPCR assay&lt;/title&gt;&lt;secondary-title&gt;Journal of applied microbiology&lt;/secondary-title&gt;&lt;/titles&gt;&lt;periodical&gt;&lt;full-title&gt;Journal of applied microbiology&lt;/full-title&gt;&lt;/periodical&gt;&lt;pages&gt;1734-1749&lt;/pages&gt;&lt;volume&gt;114&lt;/volume&gt;&lt;number&gt;6&lt;/number&gt;&lt;dates&gt;&lt;year&gt;2013&lt;/year&gt;&lt;/dates&gt;&lt;isbn&gt;1365-2672&lt;/isbn&gt;&lt;urls&gt;&lt;/urls&gt;&lt;/record&gt;&lt;/Cite&gt;&lt;/EndNote&gt;</w:instrText>
      </w:r>
      <w:r w:rsidR="00276511" w:rsidRPr="0012141A">
        <w:rPr>
          <w:rFonts w:ascii="Times New Roman" w:hAnsi="Times New Roman" w:cs="Times New Roman"/>
          <w:color w:val="0000FF"/>
        </w:rPr>
        <w:fldChar w:fldCharType="separate"/>
      </w:r>
      <w:r w:rsidR="00287940">
        <w:rPr>
          <w:rFonts w:ascii="Times New Roman" w:hAnsi="Times New Roman" w:cs="Times New Roman"/>
          <w:noProof/>
          <w:color w:val="0000FF"/>
        </w:rPr>
        <w:t>(Colinon et al., 2013)</w:t>
      </w:r>
      <w:r w:rsidR="00276511" w:rsidRPr="0012141A">
        <w:rPr>
          <w:rFonts w:ascii="Times New Roman" w:hAnsi="Times New Roman" w:cs="Times New Roman"/>
          <w:color w:val="0000FF"/>
        </w:rPr>
        <w:fldChar w:fldCharType="end"/>
      </w:r>
      <w:r w:rsidR="00276511" w:rsidRPr="0012141A">
        <w:rPr>
          <w:rFonts w:ascii="Times New Roman" w:hAnsi="Times New Roman" w:cs="Times New Roman"/>
        </w:rPr>
        <w:t xml:space="preserve">. As </w:t>
      </w:r>
      <w:r>
        <w:rPr>
          <w:rFonts w:ascii="Times New Roman" w:hAnsi="Times New Roman" w:cs="Times New Roman"/>
        </w:rPr>
        <w:t>indicat</w:t>
      </w:r>
      <w:r w:rsidR="00276511" w:rsidRPr="0012141A">
        <w:rPr>
          <w:rFonts w:ascii="Times New Roman" w:hAnsi="Times New Roman" w:cs="Times New Roman"/>
        </w:rPr>
        <w:t xml:space="preserve">ed in </w:t>
      </w:r>
      <w:r w:rsidR="00276511" w:rsidRPr="0012141A">
        <w:rPr>
          <w:rFonts w:ascii="Times New Roman" w:hAnsi="Times New Roman" w:cs="Times New Roman"/>
          <w:color w:val="0000FF"/>
        </w:rPr>
        <w:fldChar w:fldCharType="begin"/>
      </w:r>
      <w:r w:rsidR="00287940">
        <w:rPr>
          <w:rFonts w:ascii="Times New Roman" w:hAnsi="Times New Roman" w:cs="Times New Roman"/>
          <w:color w:val="0000FF"/>
        </w:rPr>
        <w:instrText xml:space="preserve"> ADDIN EN.CITE &lt;EndNote&gt;&lt;Cite&gt;&lt;Author&gt;Oster&lt;/Author&gt;&lt;Year&gt;2014&lt;/Year&gt;&lt;RecNum&gt;777&lt;/RecNum&gt;&lt;DisplayText&gt;(Oster et al., 2014)&lt;/DisplayText&gt;&lt;record&gt;&lt;rec-number&gt;777&lt;/rec-number&gt;&lt;foreign-keys&gt;&lt;key app="EN" db-id="w22tszxz12v02ie02asvszppdzx5axz52d95" timestamp="1718378992"&gt;777&lt;/key&gt;&lt;/foreign-keys&gt;&lt;ref-type name="Journal Article"&gt;17&lt;/ref-type&gt;&lt;contributors&gt;&lt;authors&gt;&lt;author&gt;Oster, Ryan J&lt;/author&gt;&lt;author&gt;Wijesinghe, Rasanthi U&lt;/author&gt;&lt;author&gt;Haack, Sheridan K&lt;/author&gt;&lt;author&gt;Fogarty, Lisa R&lt;/author&gt;&lt;author&gt;Tucker, Taaja R&lt;/author&gt;&lt;author&gt;Riley, Stephen C&lt;/author&gt;&lt;/authors&gt;&lt;/contributors&gt;&lt;titles&gt;&lt;title&gt;Bacterial pathogen gene abundance and relation to recreational water quality at seven Great Lakes beaches&lt;/title&gt;&lt;secondary-title&gt;Environmental science &amp;amp; technology&lt;/secondary-title&gt;&lt;/titles&gt;&lt;periodical&gt;&lt;full-title&gt;Environmental science &amp;amp; technology&lt;/full-title&gt;&lt;/periodical&gt;&lt;pages&gt;14148-14157&lt;/pages&gt;&lt;volume&gt;48&lt;/volume&gt;&lt;number&gt;24&lt;/number&gt;&lt;dates&gt;&lt;year&gt;2014&lt;/year&gt;&lt;/dates&gt;&lt;isbn&gt;0013-936X&lt;/isbn&gt;&lt;urls&gt;&lt;/urls&gt;&lt;/record&gt;&lt;/Cite&gt;&lt;/EndNote&gt;</w:instrText>
      </w:r>
      <w:r w:rsidR="00276511" w:rsidRPr="0012141A">
        <w:rPr>
          <w:rFonts w:ascii="Times New Roman" w:hAnsi="Times New Roman" w:cs="Times New Roman"/>
          <w:color w:val="0000FF"/>
        </w:rPr>
        <w:fldChar w:fldCharType="separate"/>
      </w:r>
      <w:r w:rsidR="00287940">
        <w:rPr>
          <w:rFonts w:ascii="Times New Roman" w:hAnsi="Times New Roman" w:cs="Times New Roman"/>
          <w:noProof/>
          <w:color w:val="0000FF"/>
        </w:rPr>
        <w:t>(Oster et al., 2014)</w:t>
      </w:r>
      <w:r w:rsidR="00276511" w:rsidRPr="0012141A">
        <w:rPr>
          <w:rFonts w:ascii="Times New Roman" w:hAnsi="Times New Roman" w:cs="Times New Roman"/>
          <w:color w:val="0000FF"/>
        </w:rPr>
        <w:fldChar w:fldCharType="end"/>
      </w:r>
      <w:r w:rsidR="003A2709">
        <w:rPr>
          <w:rFonts w:ascii="Times New Roman" w:hAnsi="Times New Roman" w:cs="Times New Roman"/>
        </w:rPr>
        <w:t xml:space="preserve">, </w:t>
      </w:r>
      <w:r>
        <w:rPr>
          <w:rFonts w:ascii="Times New Roman" w:hAnsi="Times New Roman" w:cs="Times New Roman"/>
        </w:rPr>
        <w:t>i</w:t>
      </w:r>
      <w:r w:rsidRPr="00EB427D">
        <w:rPr>
          <w:rFonts w:ascii="Times New Roman" w:hAnsi="Times New Roman" w:cs="Times New Roman"/>
        </w:rPr>
        <w:t>t is pertinent for risk evaluation and surveillance of disease origins. Moreover, research by</w:t>
      </w:r>
      <w:r>
        <w:rPr>
          <w:rFonts w:ascii="Times New Roman" w:hAnsi="Times New Roman" w:cs="Times New Roman"/>
        </w:rPr>
        <w:t xml:space="preserve"> </w:t>
      </w:r>
      <w:r w:rsidR="00276511" w:rsidRPr="0012141A">
        <w:rPr>
          <w:rFonts w:ascii="Times New Roman" w:hAnsi="Times New Roman" w:cs="Times New Roman"/>
          <w:color w:val="0000FF"/>
        </w:rPr>
        <w:fldChar w:fldCharType="begin"/>
      </w:r>
      <w:r w:rsidR="00287940">
        <w:rPr>
          <w:rFonts w:ascii="Times New Roman" w:hAnsi="Times New Roman" w:cs="Times New Roman"/>
          <w:color w:val="0000FF"/>
        </w:rPr>
        <w:instrText xml:space="preserve"> ADDIN EN.CITE &lt;EndNote&gt;&lt;Cite&gt;&lt;Author&gt;Bae&lt;/Author&gt;&lt;Year&gt;2015&lt;/Year&gt;&lt;RecNum&gt;778&lt;/RecNum&gt;&lt;DisplayText&gt;(Bae et al., 2015)&lt;/DisplayText&gt;&lt;record&gt;&lt;rec-number&gt;778&lt;/rec-number&gt;&lt;foreign-keys&gt;&lt;key app="EN" db-id="w22tszxz12v02ie02asvszppdzx5axz52d95" timestamp="1718379172"&gt;778&lt;/key&gt;&lt;/foreign-keys&gt;&lt;ref-type name="Journal Article"&gt;17&lt;/ref-type&gt;&lt;contributors&gt;&lt;authors&gt;&lt;author&gt;Bae, Hee-Sung&lt;/author&gt;&lt;author&gt;Holmes, M Elizabeth&lt;/author&gt;&lt;author&gt;Chanton, Jeffrey P&lt;/author&gt;&lt;author&gt;Reddy, K Ramesh&lt;/author&gt;&lt;author&gt;Ogram, Andrew&lt;/author&gt;&lt;/authors&gt;&lt;/contributors&gt;&lt;titles&gt;&lt;title&gt;Distribution, activities, and interactions of methanogens and sulfate-reducing prokaryotes in the Florida Everglades&lt;/title&gt;&lt;secondary-title&gt;Applied and Environmental Microbiology&lt;/secondary-title&gt;&lt;/titles&gt;&lt;periodical&gt;&lt;full-title&gt;Applied and environmental microbiology&lt;/full-title&gt;&lt;/periodical&gt;&lt;pages&gt;7431-7442&lt;/pages&gt;&lt;volume&gt;81&lt;/volume&gt;&lt;number&gt;21&lt;/number&gt;&lt;dates&gt;&lt;year&gt;2015&lt;/year&gt;&lt;/dates&gt;&lt;isbn&gt;0099-2240&lt;/isbn&gt;&lt;urls&gt;&lt;/urls&gt;&lt;/record&gt;&lt;/Cite&gt;&lt;/EndNote&gt;</w:instrText>
      </w:r>
      <w:r w:rsidR="00276511" w:rsidRPr="0012141A">
        <w:rPr>
          <w:rFonts w:ascii="Times New Roman" w:hAnsi="Times New Roman" w:cs="Times New Roman"/>
          <w:color w:val="0000FF"/>
        </w:rPr>
        <w:fldChar w:fldCharType="separate"/>
      </w:r>
      <w:r w:rsidR="00287940">
        <w:rPr>
          <w:rFonts w:ascii="Times New Roman" w:hAnsi="Times New Roman" w:cs="Times New Roman"/>
          <w:noProof/>
          <w:color w:val="0000FF"/>
        </w:rPr>
        <w:t>(Bae et al., 2015)</w:t>
      </w:r>
      <w:r w:rsidR="00276511" w:rsidRPr="0012141A">
        <w:rPr>
          <w:rFonts w:ascii="Times New Roman" w:hAnsi="Times New Roman" w:cs="Times New Roman"/>
          <w:color w:val="0000FF"/>
        </w:rPr>
        <w:fldChar w:fldCharType="end"/>
      </w:r>
      <w:r w:rsidR="00276511" w:rsidRPr="0012141A">
        <w:rPr>
          <w:rFonts w:ascii="Times New Roman" w:hAnsi="Times New Roman" w:cs="Times New Roman"/>
        </w:rPr>
        <w:t xml:space="preserve"> </w:t>
      </w:r>
      <w:r w:rsidRPr="00EB427D">
        <w:rPr>
          <w:rFonts w:ascii="Times New Roman" w:hAnsi="Times New Roman" w:cs="Times New Roman"/>
        </w:rPr>
        <w:t>illustrates its broad application in microbial ecology for clarifying the ecological functions of microorganisms in habitats and evaluating the distribution and prevalence of particular functional microbial groupings, as depicted in</w:t>
      </w:r>
      <w:r w:rsidR="00292CA5" w:rsidRPr="00292CA5">
        <w:rPr>
          <w:rFonts w:ascii="Times New Roman" w:hAnsi="Times New Roman" w:cs="Times New Roman"/>
        </w:rPr>
        <w:t xml:space="preserve"> </w:t>
      </w:r>
      <w:r w:rsidR="00276511" w:rsidRPr="00E33833">
        <w:rPr>
          <w:rFonts w:ascii="Times New Roman" w:hAnsi="Times New Roman" w:cs="Times New Roman"/>
          <w:i/>
          <w:iCs/>
          <w:color w:val="0000FF"/>
        </w:rPr>
        <w:t>Fig</w:t>
      </w:r>
      <w:r w:rsidR="003B3CE2">
        <w:rPr>
          <w:rFonts w:ascii="Times New Roman" w:hAnsi="Times New Roman" w:cs="Times New Roman"/>
          <w:i/>
          <w:iCs/>
          <w:color w:val="0000FF"/>
        </w:rPr>
        <w:t>.</w:t>
      </w:r>
      <w:r w:rsidR="00276511" w:rsidRPr="00E33833">
        <w:rPr>
          <w:rFonts w:ascii="Times New Roman" w:hAnsi="Times New Roman" w:cs="Times New Roman"/>
          <w:i/>
          <w:iCs/>
          <w:color w:val="0000FF"/>
        </w:rPr>
        <w:t xml:space="preserve"> </w:t>
      </w:r>
      <w:r w:rsidR="00292CA5" w:rsidRPr="00E33833">
        <w:rPr>
          <w:rFonts w:ascii="Times New Roman" w:hAnsi="Times New Roman" w:cs="Times New Roman"/>
          <w:i/>
          <w:iCs/>
          <w:color w:val="0000FF"/>
        </w:rPr>
        <w:t>3</w:t>
      </w:r>
      <w:r w:rsidR="00276511" w:rsidRPr="0012141A">
        <w:rPr>
          <w:rFonts w:ascii="Times New Roman" w:hAnsi="Times New Roman" w:cs="Times New Roman"/>
        </w:rPr>
        <w:t>.</w:t>
      </w:r>
    </w:p>
    <w:p w14:paraId="19267B0B" w14:textId="77777777" w:rsidR="00276511" w:rsidRPr="00E955D9" w:rsidRDefault="00276511" w:rsidP="00276511">
      <w:pPr>
        <w:spacing w:line="360" w:lineRule="auto"/>
        <w:jc w:val="both"/>
        <w:rPr>
          <w:rFonts w:ascii="Times New Roman" w:hAnsi="Times New Roman"/>
        </w:rPr>
      </w:pPr>
    </w:p>
    <w:p w14:paraId="170BB7CB" w14:textId="77777777" w:rsidR="006B1624" w:rsidRPr="0012141A" w:rsidRDefault="009E4636" w:rsidP="006F3A51">
      <w:pPr>
        <w:spacing w:line="360" w:lineRule="auto"/>
        <w:jc w:val="center"/>
        <w:rPr>
          <w:rFonts w:ascii="Times New Roman" w:hAnsi="Times New Roman"/>
        </w:rPr>
      </w:pPr>
      <w:r w:rsidRPr="0012141A">
        <w:rPr>
          <w:noProof/>
          <w:lang w:eastAsia="en-US"/>
        </w:rPr>
        <w:drawing>
          <wp:inline distT="0" distB="0" distL="114300" distR="114300" wp14:anchorId="7050C08F" wp14:editId="3EA9DFAE">
            <wp:extent cx="1919826" cy="124582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1"/>
                    <a:stretch>
                      <a:fillRect/>
                    </a:stretch>
                  </pic:blipFill>
                  <pic:spPr>
                    <a:xfrm>
                      <a:off x="0" y="0"/>
                      <a:ext cx="1995054" cy="1294642"/>
                    </a:xfrm>
                    <a:prstGeom prst="rect">
                      <a:avLst/>
                    </a:prstGeom>
                    <a:noFill/>
                    <a:ln>
                      <a:noFill/>
                    </a:ln>
                  </pic:spPr>
                </pic:pic>
              </a:graphicData>
            </a:graphic>
          </wp:inline>
        </w:drawing>
      </w:r>
    </w:p>
    <w:p w14:paraId="6E48D38F" w14:textId="584B089B" w:rsidR="003A2709" w:rsidRDefault="00292CA5" w:rsidP="003A2709">
      <w:pPr>
        <w:spacing w:line="360" w:lineRule="auto"/>
        <w:jc w:val="center"/>
        <w:rPr>
          <w:rFonts w:ascii="Times New Roman" w:hAnsi="Times New Roman"/>
        </w:rPr>
      </w:pPr>
      <w:r w:rsidRPr="0012141A">
        <w:rPr>
          <w:rFonts w:ascii="Times New Roman" w:hAnsi="Times New Roman" w:cs="Times New Roman"/>
          <w:color w:val="0000FF"/>
        </w:rPr>
        <w:t xml:space="preserve">Figure </w:t>
      </w:r>
      <w:r>
        <w:rPr>
          <w:rFonts w:ascii="Times New Roman" w:hAnsi="Times New Roman" w:cs="Times New Roman"/>
          <w:color w:val="0000FF"/>
        </w:rPr>
        <w:t xml:space="preserve">3. </w:t>
      </w:r>
      <w:r w:rsidR="003A2709" w:rsidRPr="003A2709">
        <w:rPr>
          <w:rFonts w:ascii="Times New Roman" w:hAnsi="Times New Roman"/>
        </w:rPr>
        <w:t xml:space="preserve">Comparative workflow of </w:t>
      </w:r>
      <w:proofErr w:type="spellStart"/>
      <w:r w:rsidR="003A2709" w:rsidRPr="003A2709">
        <w:rPr>
          <w:rFonts w:ascii="Times New Roman" w:hAnsi="Times New Roman"/>
        </w:rPr>
        <w:t>ddPCR</w:t>
      </w:r>
      <w:proofErr w:type="spellEnd"/>
      <w:r w:rsidR="003A2709" w:rsidRPr="003A2709">
        <w:rPr>
          <w:rFonts w:ascii="Times New Roman" w:hAnsi="Times New Roman"/>
        </w:rPr>
        <w:t xml:space="preserve"> and qPCR for the detection and quantification of</w:t>
      </w:r>
    </w:p>
    <w:p w14:paraId="16D52E26" w14:textId="7AE903FD" w:rsidR="00E33833" w:rsidRPr="0012141A" w:rsidRDefault="003A2709" w:rsidP="003A2709">
      <w:pPr>
        <w:spacing w:line="360" w:lineRule="auto"/>
        <w:jc w:val="center"/>
        <w:rPr>
          <w:rFonts w:ascii="Times New Roman" w:hAnsi="Times New Roman"/>
        </w:rPr>
      </w:pPr>
      <w:r w:rsidRPr="003A2709">
        <w:rPr>
          <w:rFonts w:ascii="Times New Roman" w:hAnsi="Times New Roman"/>
        </w:rPr>
        <w:t>ARGs in complex environmental samples.</w:t>
      </w:r>
    </w:p>
    <w:p w14:paraId="37B77357" w14:textId="7E087F09" w:rsidR="006B1624" w:rsidRPr="0012141A" w:rsidRDefault="00CE1BB3" w:rsidP="006F3A51">
      <w:pPr>
        <w:spacing w:line="360" w:lineRule="auto"/>
        <w:jc w:val="both"/>
        <w:rPr>
          <w:rFonts w:ascii="Times New Roman" w:hAnsi="Times New Roman"/>
        </w:rPr>
      </w:pPr>
      <w:r>
        <w:rPr>
          <w:rFonts w:ascii="Times New Roman" w:hAnsi="Times New Roman"/>
          <w:b/>
          <w:bCs/>
        </w:rPr>
        <w:t>3</w:t>
      </w:r>
      <w:r w:rsidRPr="0012141A">
        <w:rPr>
          <w:rFonts w:ascii="Times New Roman" w:hAnsi="Times New Roman"/>
          <w:b/>
          <w:bCs/>
        </w:rPr>
        <w:t>.3 Metagenomic sequencing</w:t>
      </w:r>
    </w:p>
    <w:p w14:paraId="4838BCCD" w14:textId="0738EEB9" w:rsidR="006B1624" w:rsidRDefault="000D5C01" w:rsidP="006F3A51">
      <w:pPr>
        <w:spacing w:line="360" w:lineRule="auto"/>
        <w:jc w:val="both"/>
        <w:rPr>
          <w:rFonts w:ascii="Times New Roman" w:hAnsi="Times New Roman"/>
        </w:rPr>
      </w:pPr>
      <w:r w:rsidRPr="000D5C01">
        <w:rPr>
          <w:rFonts w:ascii="Times New Roman" w:hAnsi="Times New Roman"/>
        </w:rPr>
        <w:t xml:space="preserve">This approach assesses ARGs present in water, soil, and sediments. It involves assembly algorithms that connect whole-metagenome sequencing (WMS) results with reference databases to identify and quantify ARGs. This approach is superior for evaluating the </w:t>
      </w:r>
      <w:proofErr w:type="spellStart"/>
      <w:r w:rsidRPr="000D5C01">
        <w:rPr>
          <w:rFonts w:ascii="Times New Roman" w:hAnsi="Times New Roman"/>
        </w:rPr>
        <w:t>resistome</w:t>
      </w:r>
      <w:proofErr w:type="spellEnd"/>
      <w:r w:rsidRPr="000D5C01">
        <w:rPr>
          <w:rFonts w:ascii="Times New Roman" w:hAnsi="Times New Roman"/>
        </w:rPr>
        <w:t xml:space="preserve"> in the environment, as it eliminates the need for culturing organisms</w:t>
      </w:r>
      <w:r w:rsidR="00C22BBC">
        <w:rPr>
          <w:rFonts w:ascii="Times New Roman" w:hAnsi="Times New Roman"/>
        </w:rPr>
        <w:t xml:space="preserve"> </w:t>
      </w:r>
      <w:r w:rsidR="00A747AA"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&lt;EndNote&gt;&lt;Cite&gt;&lt;Author&gt;Daw Elbait&lt;/Author&gt;&lt;Year&gt;2024&lt;/Year&gt;&lt;RecNum&gt;779&lt;/RecNum&gt;&lt;DisplayText&gt;(Daw Elbait et al., 2024)&lt;/DisplayText&gt;&lt;record&gt;&lt;rec-number&gt;779&lt;/rec-number&gt;&lt;foreign-keys&gt;&lt;key app="EN" db-id="w22tszxz12v02ie02asvszppdzx5axz52d95" timestamp="1718379298"&gt;779&lt;/key&gt;&lt;/foreign-keys&gt;&lt;ref-type name="Journal Article"&gt;17&lt;/ref-type&gt;&lt;contributors&gt;&lt;authors&gt;&lt;author&gt;Daw Elbait, Gihan&lt;/author&gt;&lt;author&gt;Daou, Mariane&lt;/author&gt;&lt;author&gt;Abuoudah, Miral&lt;/author&gt;&lt;author&gt;Elmekawy, Ahmed&lt;/author&gt;&lt;author&gt;Hasan, Shadi W&lt;/author&gt;&lt;author&gt;Everett, Dean B&lt;/author&gt;&lt;author&gt;Alsafar, Habiba&lt;/author&gt;&lt;author&gt;Henschel, Andreas&lt;/author&gt;&lt;author&gt;Yousef, Ahmed F&lt;/author&gt;&lt;/authors&gt;&lt;/contributors&gt;&lt;titles&gt;&lt;title&gt;Comparison of qPCR and metagenomic sequencing methods for quantifying antibiotic resistance genes in wastewater&lt;/title&gt;&lt;secondary-title&gt;Plos one&lt;/secondary-title&gt;&lt;/titles&gt;&lt;periodical&gt;&lt;full-title&gt;PloS one&lt;/full-title&gt;&lt;/periodical&gt;&lt;pages&gt;e0298325&lt;/pages&gt;&lt;volume&gt;19&lt;/volume&gt;&lt;number&gt;4&lt;/number&gt;&lt;dates&gt;&lt;year&gt;2024&lt;/year&gt;&lt;/dates&gt;&lt;isbn&gt;1932-6203&lt;/isbn&gt;&lt;urls&gt;&lt;/urls&gt;&lt;/record&gt;&lt;/Cite&gt;&lt;/EndNote&gt;</w:instrText>
      </w:r>
      <w:r w:rsidR="00A747AA" w:rsidRPr="0012141A">
        <w:rPr>
          <w:rFonts w:ascii="Times New Roman" w:hAnsi="Times New Roman"/>
          <w:color w:val="0000FF"/>
        </w:rPr>
        <w:fldChar w:fldCharType="separate"/>
      </w:r>
      <w:r w:rsidR="00287940">
        <w:rPr>
          <w:rFonts w:ascii="Times New Roman" w:hAnsi="Times New Roman"/>
          <w:noProof/>
          <w:color w:val="0000FF"/>
        </w:rPr>
        <w:t>(Daw Elbait et al., 2024)</w:t>
      </w:r>
      <w:r w:rsidR="00A747AA" w:rsidRPr="0012141A">
        <w:rPr>
          <w:rFonts w:ascii="Times New Roman" w:hAnsi="Times New Roman"/>
          <w:color w:val="0000FF"/>
        </w:rPr>
        <w:fldChar w:fldCharType="end"/>
      </w:r>
      <w:r w:rsidR="00A747AA" w:rsidRPr="0012141A">
        <w:rPr>
          <w:rFonts w:ascii="Times New Roman" w:hAnsi="Times New Roman"/>
        </w:rPr>
        <w:t xml:space="preserve">. </w:t>
      </w:r>
      <w:r w:rsidRPr="000D5C01">
        <w:rPr>
          <w:rFonts w:ascii="Times New Roman" w:hAnsi="Times New Roman"/>
        </w:rPr>
        <w:t>Furthermore, long-read metagenomic sequencing techniques, such as nanopore sequencing, have been employed to characterize ARGs and their adjacent elements. This approach evaluates the quantity, genetic loci, mobility potential, and associated bacterial hosts of ARGs in activated sludge and influent sewage to ascertain their fate</w:t>
      </w:r>
      <w:r w:rsidR="00C22BBC">
        <w:rPr>
          <w:rFonts w:ascii="Times New Roman" w:hAnsi="Times New Roman"/>
        </w:rPr>
        <w:t xml:space="preserve"> </w:t>
      </w:r>
      <w:r w:rsidR="00A747AA"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&lt;EndNote&gt;&lt;Cite&gt;&lt;Author&gt;Dai&lt;/Author&gt;&lt;Year&gt;2022&lt;/Year&gt;&lt;RecNum&gt;780&lt;/RecNum&gt;&lt;DisplayText&gt;(Dai et al., 2022)&lt;/DisplayText&gt;&lt;record&gt;&lt;rec-number&gt;780&lt;/rec-number&gt;&lt;foreign-keys&gt;&lt;key app="EN" db-id="w22tszxz12v02ie02asvszppdzx5axz52d95" timestamp="1718379414"&gt;780&lt;/key&gt;&lt;/foreign-keys&gt;&lt;ref-type name="Journal Article"&gt;17&lt;/ref-type&gt;&lt;contributors&gt;&lt;authors&gt;&lt;author&gt;Dai, Dongjuan&lt;/author&gt;&lt;author&gt;Brown, Connor&lt;/author&gt;&lt;author&gt;Bürgmann, Helmut&lt;/author&gt;&lt;author&gt;Larsson, DG Joakim&lt;/author&gt;&lt;author&gt;Nambi, Indumathi&lt;/author&gt;&lt;author&gt;Zhang, Tong&lt;/author&gt;&lt;author&gt;Flach, Carl-Fredrik&lt;/author&gt;&lt;author&gt;Pruden, Amy&lt;/author&gt;&lt;author&gt;Vikesland, Peter J&lt;/author&gt;&lt;/authors&gt;&lt;/contributors&gt;&lt;titles&gt;&lt;title&gt;Long-read metagenomic sequencing reveals shifts in associations of antibiotic resistance genes with mobile genetic elements from sewage to activated sludge&lt;/title&gt;&lt;secondary-title&gt;Microbiome&lt;/secondary-title&gt;&lt;/titles&gt;&lt;periodical&gt;&lt;full-title&gt;Microbiome&lt;/full-title&gt;&lt;/periodical&gt;&lt;pages&gt;20&lt;/pages&gt;&lt;volume&gt;10&lt;/volume&gt;&lt;number&gt;1&lt;/number&gt;&lt;dates&gt;&lt;year&gt;2022&lt;/year&gt;&lt;/dates&gt;&lt;isbn&gt;2049-2618&lt;/isbn&gt;&lt;urls&gt;&lt;/urls&gt;&lt;/record&gt;&lt;/Cite&gt;&lt;/EndNote&gt;</w:instrText>
      </w:r>
      <w:r w:rsidR="00A747AA" w:rsidRPr="0012141A">
        <w:rPr>
          <w:rFonts w:ascii="Times New Roman" w:hAnsi="Times New Roman"/>
          <w:color w:val="0000FF"/>
        </w:rPr>
        <w:fldChar w:fldCharType="separate"/>
      </w:r>
      <w:r w:rsidR="00287940">
        <w:rPr>
          <w:rFonts w:ascii="Times New Roman" w:hAnsi="Times New Roman"/>
          <w:noProof/>
          <w:color w:val="0000FF"/>
        </w:rPr>
        <w:t>(Dai et al., 2022)</w:t>
      </w:r>
      <w:r w:rsidR="00A747AA" w:rsidRPr="0012141A">
        <w:rPr>
          <w:rFonts w:ascii="Times New Roman" w:hAnsi="Times New Roman"/>
          <w:color w:val="0000FF"/>
        </w:rPr>
        <w:fldChar w:fldCharType="end"/>
      </w:r>
      <w:r w:rsidR="00A747AA" w:rsidRPr="0012141A">
        <w:rPr>
          <w:rFonts w:ascii="Times New Roman" w:hAnsi="Times New Roman"/>
        </w:rPr>
        <w:t>.</w:t>
      </w:r>
    </w:p>
    <w:p w14:paraId="26B09E54" w14:textId="77777777" w:rsidR="00C22BBC" w:rsidRPr="0012141A" w:rsidRDefault="00C22BBC" w:rsidP="006F3A51">
      <w:pPr>
        <w:spacing w:line="360" w:lineRule="auto"/>
        <w:jc w:val="both"/>
        <w:rPr>
          <w:rFonts w:ascii="Times New Roman" w:hAnsi="Times New Roman"/>
        </w:rPr>
      </w:pPr>
    </w:p>
    <w:p w14:paraId="43AFD5FF" w14:textId="64E358E3" w:rsidR="006B1624" w:rsidRPr="0012141A" w:rsidRDefault="00CE1BB3" w:rsidP="006F3A51">
      <w:pPr>
        <w:spacing w:line="360" w:lineRule="auto"/>
        <w:jc w:val="both"/>
        <w:rPr>
          <w:rFonts w:ascii="Times New Roman" w:hAnsi="Times New Roman"/>
          <w:b/>
          <w:bCs/>
        </w:rPr>
      </w:pPr>
      <w:r>
        <w:rPr>
          <w:rFonts w:ascii="Times New Roman" w:hAnsi="Times New Roman"/>
          <w:b/>
          <w:bCs/>
        </w:rPr>
        <w:t>3</w:t>
      </w:r>
      <w:r w:rsidRPr="0012141A">
        <w:rPr>
          <w:rFonts w:ascii="Times New Roman" w:hAnsi="Times New Roman"/>
          <w:b/>
          <w:bCs/>
        </w:rPr>
        <w:t xml:space="preserve">.4 Fluorescence </w:t>
      </w:r>
      <w:r w:rsidR="00C22BBC">
        <w:rPr>
          <w:rFonts w:ascii="Times New Roman" w:hAnsi="Times New Roman"/>
          <w:b/>
          <w:bCs/>
        </w:rPr>
        <w:t>in situ</w:t>
      </w:r>
      <w:r w:rsidRPr="0012141A">
        <w:rPr>
          <w:rFonts w:ascii="Times New Roman" w:hAnsi="Times New Roman"/>
          <w:b/>
          <w:bCs/>
        </w:rPr>
        <w:t xml:space="preserve"> hybridization (FISH)</w:t>
      </w:r>
    </w:p>
    <w:p w14:paraId="1C786FB6" w14:textId="28A4964B" w:rsidR="006B1624" w:rsidRPr="0012141A" w:rsidRDefault="00491494" w:rsidP="006F3A51">
      <w:pPr>
        <w:spacing w:line="360" w:lineRule="auto"/>
        <w:jc w:val="both"/>
        <w:rPr>
          <w:rFonts w:ascii="Times New Roman" w:hAnsi="Times New Roman"/>
        </w:rPr>
      </w:pPr>
      <w:r w:rsidRPr="0012141A">
        <w:rPr>
          <w:rFonts w:ascii="Times New Roman" w:hAnsi="Times New Roman"/>
        </w:rPr>
        <w:t xml:space="preserve">This technique effectively identifies and quantifies specific DNA or RNA sequences, including ARGs, in diverse environmental matrices such as water, soil, and sediments. The technique employs fluorescent probes that bind to complementary DNA sequences of the target ARGs in the sample. Upon binding, these probes can be seen and measured by fluorescence microscopy </w:t>
      </w:r>
      <w:r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&lt;EndNote&gt;&lt;Cite&gt;&lt;Author&gt;Lee&lt;/Author&gt;&lt;Year&gt;2021&lt;/Year&gt;&lt;RecNum&gt;781&lt;/RecNum&gt;&lt;DisplayText&gt;(Lee et al., 2021)&lt;/DisplayText&gt;&lt;record&gt;&lt;rec-number&gt;781&lt;/rec-number&gt;&lt;foreign-keys&gt;&lt;key app="EN" db-id="w22tszxz12v02ie02asvszppdzx5axz52d95" timestamp="1718379574"&gt;781&lt;/key&gt;&lt;/foreign-keys&gt;&lt;ref-type name="Journal Article"&gt;17&lt;/ref-type&gt;&lt;contributors&gt;&lt;authors&gt;&lt;author&gt;Lee, Min Seok&lt;/author&gt;&lt;author&gt;Hyun, Hwi&lt;/author&gt;&lt;author&gt;Park, Inwon&lt;/author&gt;&lt;author&gt;Kim, Sungho&lt;/author&gt;&lt;author&gt;Jang, Dong-Hyun&lt;/author&gt;&lt;author&gt;Kim, Seonghye&lt;/author&gt;&lt;author&gt;Im, Jae-Kyeong&lt;/author&gt;&lt;author&gt;Kim, Hajin&lt;/author&gt;&lt;author&gt;Lee, Jae Hyuk&lt;/author&gt;&lt;author&gt;Kwon, Taejoon&lt;/author&gt;&lt;/authors&gt;&lt;/contributors&gt;&lt;titles&gt;&lt;title&gt;Quantitative fluorescence in situ hybridization (FISH) of magnetically confined bacteria enables rapid determination of early-stage human bacteremia&lt;/title&gt;&lt;secondary-title&gt;medRxiv&lt;/secondary-title&gt;&lt;/titles&gt;&lt;periodical&gt;&lt;full-title&gt;medRxiv&lt;/full-title&gt;&lt;/periodical&gt;&lt;pages&gt;2021.02. 19.21251962&lt;/pages&gt;&lt;dates&gt;&lt;year&gt;2021&lt;/year&gt;&lt;/dates&gt;&lt;urls&gt;&lt;/urls&gt;&lt;/record&gt;&lt;/Cite&gt;&lt;/EndNote&gt;</w:instrText>
      </w:r>
      <w:r w:rsidRPr="0012141A">
        <w:rPr>
          <w:rFonts w:ascii="Times New Roman" w:hAnsi="Times New Roman"/>
          <w:color w:val="0000FF"/>
        </w:rPr>
        <w:fldChar w:fldCharType="separate"/>
      </w:r>
      <w:r w:rsidR="00287940">
        <w:rPr>
          <w:rFonts w:ascii="Times New Roman" w:hAnsi="Times New Roman"/>
          <w:noProof/>
          <w:color w:val="0000FF"/>
        </w:rPr>
        <w:t>(Lee et al., 2021)</w:t>
      </w:r>
      <w:r w:rsidRPr="0012141A">
        <w:rPr>
          <w:rFonts w:ascii="Times New Roman" w:hAnsi="Times New Roman"/>
          <w:color w:val="0000FF"/>
        </w:rPr>
        <w:fldChar w:fldCharType="end"/>
      </w:r>
      <w:r w:rsidRPr="0012141A">
        <w:rPr>
          <w:rFonts w:ascii="Times New Roman" w:hAnsi="Times New Roman"/>
        </w:rPr>
        <w:t>.</w:t>
      </w:r>
    </w:p>
    <w:p w14:paraId="536248B2" w14:textId="77777777" w:rsidR="006B1624" w:rsidRPr="0012141A" w:rsidRDefault="009E4636" w:rsidP="006F3A51">
      <w:pPr>
        <w:spacing w:line="360" w:lineRule="auto"/>
        <w:jc w:val="center"/>
        <w:rPr>
          <w:rFonts w:ascii="Times New Roman" w:hAnsi="Times New Roman"/>
        </w:rPr>
      </w:pPr>
      <w:r w:rsidRPr="0012141A">
        <w:rPr>
          <w:noProof/>
          <w:lang w:eastAsia="en-US"/>
        </w:rPr>
        <w:lastRenderedPageBreak/>
        <w:drawing>
          <wp:inline distT="0" distB="0" distL="114300" distR="114300" wp14:anchorId="1B5DD5FA" wp14:editId="4767E226">
            <wp:extent cx="1365391" cy="137561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a:stretch>
                      <a:fillRect/>
                    </a:stretch>
                  </pic:blipFill>
                  <pic:spPr>
                    <a:xfrm>
                      <a:off x="0" y="0"/>
                      <a:ext cx="1398116" cy="1408580"/>
                    </a:xfrm>
                    <a:prstGeom prst="rect">
                      <a:avLst/>
                    </a:prstGeom>
                    <a:noFill/>
                    <a:ln>
                      <a:noFill/>
                    </a:ln>
                  </pic:spPr>
                </pic:pic>
              </a:graphicData>
            </a:graphic>
          </wp:inline>
        </w:drawing>
      </w:r>
    </w:p>
    <w:p w14:paraId="5EF17942" w14:textId="1D5853C5" w:rsidR="00C22BBC" w:rsidRDefault="009E4636" w:rsidP="00DE4FB8">
      <w:pPr>
        <w:spacing w:line="360" w:lineRule="auto"/>
        <w:jc w:val="center"/>
        <w:rPr>
          <w:rFonts w:ascii="Times New Roman" w:hAnsi="Times New Roman"/>
        </w:rPr>
      </w:pPr>
      <w:r w:rsidRPr="0012141A">
        <w:rPr>
          <w:rFonts w:ascii="Times New Roman" w:hAnsi="Times New Roman"/>
          <w:color w:val="0000FF"/>
        </w:rPr>
        <w:t xml:space="preserve">Figure </w:t>
      </w:r>
      <w:r w:rsidR="00F73360">
        <w:rPr>
          <w:rFonts w:ascii="Times New Roman" w:hAnsi="Times New Roman"/>
          <w:color w:val="0000FF"/>
        </w:rPr>
        <w:t>4</w:t>
      </w:r>
      <w:r w:rsidRPr="0012141A">
        <w:rPr>
          <w:rFonts w:ascii="Times New Roman" w:hAnsi="Times New Roman"/>
          <w:color w:val="0000FF"/>
        </w:rPr>
        <w:t xml:space="preserve">. </w:t>
      </w:r>
      <w:r w:rsidR="00F46437" w:rsidRPr="00F46437">
        <w:rPr>
          <w:rFonts w:ascii="Times New Roman" w:hAnsi="Times New Roman"/>
        </w:rPr>
        <w:t>Schematic of a quantitative bacteremia identification method combining opsonin-coated magnetic nanoparticles (MNPs) for pathogen capture and microfluidic fluorescence </w:t>
      </w:r>
      <w:r w:rsidR="00F46437" w:rsidRPr="00F46437">
        <w:rPr>
          <w:rFonts w:ascii="Times New Roman" w:hAnsi="Times New Roman"/>
          <w:i/>
          <w:iCs/>
        </w:rPr>
        <w:t>in situ</w:t>
      </w:r>
      <w:r w:rsidR="00F46437" w:rsidRPr="00F46437">
        <w:rPr>
          <w:rFonts w:ascii="Times New Roman" w:hAnsi="Times New Roman"/>
        </w:rPr>
        <w:t> hybridization (</w:t>
      </w:r>
      <w:proofErr w:type="spellStart"/>
      <w:r w:rsidR="00F46437" w:rsidRPr="00F46437">
        <w:rPr>
          <w:rFonts w:ascii="Times New Roman" w:hAnsi="Times New Roman"/>
        </w:rPr>
        <w:t>μFISH</w:t>
      </w:r>
      <w:proofErr w:type="spellEnd"/>
      <w:r w:rsidR="00F46437" w:rsidRPr="00F46437">
        <w:rPr>
          <w:rFonts w:ascii="Times New Roman" w:hAnsi="Times New Roman"/>
        </w:rPr>
        <w:t>) for the specific detection of ARG-associated nucleic acid sequences.</w:t>
      </w:r>
    </w:p>
    <w:p w14:paraId="5E0C08C6" w14:textId="77777777" w:rsidR="003800FE" w:rsidRPr="0012141A" w:rsidRDefault="003800FE" w:rsidP="00DE4FB8">
      <w:pPr>
        <w:spacing w:line="360" w:lineRule="auto"/>
        <w:jc w:val="center"/>
        <w:rPr>
          <w:rFonts w:ascii="Times New Roman" w:hAnsi="Times New Roman"/>
        </w:rPr>
      </w:pPr>
    </w:p>
    <w:p w14:paraId="58B73019" w14:textId="2DAE9D71" w:rsidR="006B1624" w:rsidRPr="0012141A" w:rsidRDefault="00CE1BB3" w:rsidP="006F3A51">
      <w:pPr>
        <w:spacing w:line="360" w:lineRule="auto"/>
        <w:jc w:val="both"/>
        <w:rPr>
          <w:rFonts w:ascii="Times New Roman" w:hAnsi="Times New Roman"/>
          <w:b/>
          <w:bCs/>
        </w:rPr>
      </w:pPr>
      <w:r>
        <w:rPr>
          <w:rFonts w:ascii="Times New Roman" w:hAnsi="Times New Roman"/>
          <w:b/>
          <w:bCs/>
        </w:rPr>
        <w:t>3</w:t>
      </w:r>
      <w:r w:rsidRPr="0012141A">
        <w:rPr>
          <w:rFonts w:ascii="Times New Roman" w:hAnsi="Times New Roman"/>
          <w:b/>
          <w:bCs/>
        </w:rPr>
        <w:t xml:space="preserve">.5 Mass spectrometry </w:t>
      </w:r>
      <w:r w:rsidR="00C04A3F" w:rsidRPr="0012141A">
        <w:rPr>
          <w:rFonts w:ascii="Times New Roman" w:hAnsi="Times New Roman"/>
          <w:b/>
          <w:bCs/>
        </w:rPr>
        <w:t xml:space="preserve">(MS) </w:t>
      </w:r>
      <w:r w:rsidRPr="0012141A">
        <w:rPr>
          <w:rFonts w:ascii="Times New Roman" w:hAnsi="Times New Roman"/>
          <w:b/>
          <w:bCs/>
        </w:rPr>
        <w:t>method</w:t>
      </w:r>
    </w:p>
    <w:p w14:paraId="7215153D" w14:textId="1348E254" w:rsidR="006B1624" w:rsidRDefault="00A36597" w:rsidP="006F3A51">
      <w:pPr>
        <w:spacing w:line="360" w:lineRule="auto"/>
        <w:jc w:val="both"/>
        <w:rPr>
          <w:rFonts w:ascii="Times New Roman" w:hAnsi="Times New Roman"/>
        </w:rPr>
      </w:pPr>
      <w:r w:rsidRPr="00A36597">
        <w:rPr>
          <w:rFonts w:ascii="Times New Roman" w:hAnsi="Times New Roman"/>
        </w:rPr>
        <w:t>Quantifying ARGs in water, soil, and sediments requires mass spectrometry. The primary methods are: MS detects and quantifies small molecules associated with antibiotic resistance, not the genes (ARGs), making it an indirect yet efficient tool for studying antibiotic resistance. This entails accurately quantifying antibiotic residues and their transformation products in environmental matrices, which contribute to the selective pressure that increases ARGs</w:t>
      </w:r>
      <w:r w:rsidR="00C22BBC">
        <w:rPr>
          <w:rFonts w:ascii="Times New Roman" w:hAnsi="Times New Roman"/>
        </w:rPr>
        <w:t xml:space="preserve"> </w:t>
      </w:r>
      <w:r w:rsidR="00C04A3F"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&lt;EndNote&gt;&lt;Cite&gt;&lt;Author&gt;Wu&lt;/Author&gt;&lt;Year&gt;2023&lt;/Year&gt;&lt;RecNum&gt;782&lt;/RecNum&gt;&lt;DisplayText&gt;(Wu et al., 2023)&lt;/DisplayText&gt;&lt;record&gt;&lt;rec-number&gt;782&lt;/rec-number&gt;&lt;foreign-keys&gt;&lt;key app="EN" db-id="w22tszxz12v02ie02asvszppdzx5axz52d95" timestamp="1718379685"&gt;782&lt;/key&gt;&lt;/foreign-keys&gt;&lt;ref-type name="Journal Article"&gt;17&lt;/ref-type&gt;&lt;contributors&gt;&lt;authors&gt;&lt;author&gt;Wu, Pengfei&lt;/author&gt;&lt;author&gt;Wu, Xiaoyi&lt;/author&gt;&lt;author&gt;Huang, Qing&lt;/author&gt;&lt;author&gt;Yu, Qinwei&lt;/author&gt;&lt;author&gt;Jin, Hangbiao&lt;/author&gt;&lt;author&gt;Zhu, Minghai&lt;/author&gt;&lt;/authors&gt;&lt;/contributors&gt;&lt;titles&gt;&lt;title&gt;Mass spectrometry-based multimodal approaches for the identification and quantification analysis of microplastics in food matrix&lt;/title&gt;&lt;secondary-title&gt;Frontiers in Nutrition&lt;/secondary-title&gt;&lt;/titles&gt;&lt;periodical&gt;&lt;full-title&gt;Frontiers in Nutrition&lt;/full-title&gt;&lt;/periodical&gt;&lt;pages&gt;1163823&lt;/pages&gt;&lt;volume&gt;10&lt;/volume&gt;&lt;dates&gt;&lt;year&gt;2023&lt;/year&gt;&lt;/dates&gt;&lt;isbn&gt;2296-861X&lt;/isbn&gt;&lt;urls&gt;&lt;/urls&gt;&lt;/record&gt;&lt;/Cite&gt;&lt;/EndNote&gt;</w:instrText>
      </w:r>
      <w:r w:rsidR="00C04A3F" w:rsidRPr="0012141A">
        <w:rPr>
          <w:rFonts w:ascii="Times New Roman" w:hAnsi="Times New Roman"/>
          <w:color w:val="0000FF"/>
        </w:rPr>
        <w:fldChar w:fldCharType="separate"/>
      </w:r>
      <w:r w:rsidR="00287940">
        <w:rPr>
          <w:rFonts w:ascii="Times New Roman" w:hAnsi="Times New Roman"/>
          <w:noProof/>
          <w:color w:val="0000FF"/>
        </w:rPr>
        <w:t>(Wu et al., 2023)</w:t>
      </w:r>
      <w:r w:rsidR="00C04A3F" w:rsidRPr="0012141A">
        <w:rPr>
          <w:rFonts w:ascii="Times New Roman" w:hAnsi="Times New Roman"/>
          <w:color w:val="0000FF"/>
        </w:rPr>
        <w:fldChar w:fldCharType="end"/>
      </w:r>
      <w:r w:rsidR="00C04A3F" w:rsidRPr="0012141A">
        <w:rPr>
          <w:rFonts w:ascii="Times New Roman" w:hAnsi="Times New Roman"/>
        </w:rPr>
        <w:t xml:space="preserve">. </w:t>
      </w:r>
      <w:r w:rsidR="00CC1F67" w:rsidRPr="00CC1F67">
        <w:rPr>
          <w:rFonts w:ascii="Times New Roman" w:hAnsi="Times New Roman"/>
        </w:rPr>
        <w:t>LC-MS/MS is capable of identifying and quantifying non-volatile, thermally unstable compounds, such as ARGs, in intricate environmental samples</w:t>
      </w:r>
      <w:r w:rsidR="00CC1F67">
        <w:rPr>
          <w:rFonts w:ascii="Times New Roman" w:hAnsi="Times New Roman"/>
        </w:rPr>
        <w:t xml:space="preserve"> </w:t>
      </w:r>
      <w:r w:rsidR="00C04A3F"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&lt;EndNote&gt;&lt;Cite&gt;&lt;Author&gt;Holton&lt;/Author&gt;&lt;Year&gt;2021&lt;/Year&gt;&lt;RecNum&gt;783&lt;/RecNum&gt;&lt;DisplayText&gt;(Holton and Kasprzyk-Hordern, 2021)&lt;/DisplayText&gt;&lt;record&gt;&lt;rec-number&gt;783&lt;/rec-number&gt;&lt;foreign-keys&gt;&lt;key app="EN" db-id="w22tszxz12v02ie02asvszppdzx5axz52d95" timestamp="1718379849"&gt;783&lt;/key&gt;&lt;/foreign-keys&gt;&lt;ref-type name="Journal Article"&gt;17&lt;/ref-type&gt;&lt;contributors&gt;&lt;authors&gt;&lt;author&gt;Holton, Elizabeth&lt;/author&gt;&lt;author&gt;Kasprzyk-Hordern, Barbara&lt;/author&gt;&lt;/authors&gt;&lt;/contributors&gt;&lt;titles&gt;&lt;title&gt;Multiresidue antibiotic-metabolite quantification method using ultra-performance liquid chromatography coupled with tandem mass spectrometry for environmental and public exposure estimation&lt;/title&gt;&lt;secondary-title&gt;Analytical and Bioanalytical Chemistry&lt;/secondary-title&gt;&lt;/titles&gt;&lt;periodical&gt;&lt;full-title&gt;Analytical and Bioanalytical Chemistry&lt;/full-title&gt;&lt;/periodical&gt;&lt;pages&gt;5901-5920&lt;/pages&gt;&lt;volume&gt;413&lt;/volume&gt;&lt;dates&gt;&lt;year&gt;2021&lt;/year&gt;&lt;/dates&gt;&lt;isbn&gt;1618-2642&lt;/isbn&gt;&lt;urls&gt;&lt;/urls&gt;&lt;/record&gt;&lt;/Cite&gt;&lt;/EndNote&gt;</w:instrText>
      </w:r>
      <w:r w:rsidR="00C04A3F" w:rsidRPr="0012141A">
        <w:rPr>
          <w:rFonts w:ascii="Times New Roman" w:hAnsi="Times New Roman"/>
          <w:color w:val="0000FF"/>
        </w:rPr>
        <w:fldChar w:fldCharType="separate"/>
      </w:r>
      <w:r w:rsidR="00287940">
        <w:rPr>
          <w:rFonts w:ascii="Times New Roman" w:hAnsi="Times New Roman"/>
          <w:noProof/>
          <w:color w:val="0000FF"/>
        </w:rPr>
        <w:t>(Holton and Kasprzyk-Hordern, 2021)</w:t>
      </w:r>
      <w:r w:rsidR="00C04A3F" w:rsidRPr="0012141A">
        <w:rPr>
          <w:rFonts w:ascii="Times New Roman" w:hAnsi="Times New Roman"/>
          <w:color w:val="0000FF"/>
        </w:rPr>
        <w:fldChar w:fldCharType="end"/>
      </w:r>
      <w:r w:rsidR="00C04A3F" w:rsidRPr="0012141A">
        <w:rPr>
          <w:rFonts w:ascii="Times New Roman" w:hAnsi="Times New Roman"/>
        </w:rPr>
        <w:t>.</w:t>
      </w:r>
      <w:r w:rsidR="00C04A3F" w:rsidRPr="0012141A">
        <w:rPr>
          <w:rFonts w:ascii="Times New Roman" w:hAnsi="Times New Roman"/>
          <w:color w:val="FF0000"/>
        </w:rPr>
        <w:t xml:space="preserve"> </w:t>
      </w:r>
      <w:r w:rsidR="00CC1F67" w:rsidRPr="00CC1F67">
        <w:rPr>
          <w:rFonts w:ascii="Times New Roman" w:hAnsi="Times New Roman"/>
        </w:rPr>
        <w:t>High-Resolution Mass Spectrometry is extensively employed in non-targeted screening to detect novel compounds and offer a comprehensive assessment of antibiotic exposure in certain contexts</w:t>
      </w:r>
      <w:r w:rsidR="00C22BBC">
        <w:rPr>
          <w:rFonts w:ascii="Times New Roman" w:hAnsi="Times New Roman"/>
        </w:rPr>
        <w:t xml:space="preserve"> </w:t>
      </w:r>
      <w:r w:rsidR="00C04A3F"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&lt;EndNote&gt;&lt;Cite&gt;&lt;Author&gt;Schulze&lt;/Author&gt;&lt;Year&gt;2024&lt;/Year&gt;&lt;RecNum&gt;784&lt;/RecNum&gt;&lt;DisplayText&gt;(Schulze and Kaserzon, 2024)&lt;/DisplayText&gt;&lt;record&gt;&lt;rec-number&gt;784&lt;/rec-number&gt;&lt;foreign-keys&gt;&lt;key app="EN" db-id="w22tszxz12v02ie02asvszppdzx5axz52d95" timestamp="1718379972"&gt;784&lt;/key&gt;&lt;/foreign-keys&gt;&lt;ref-type name="Book Section"&gt;5&lt;/ref-type&gt;&lt;contributors&gt;&lt;authors&gt;&lt;author&gt;Schulze, Bastian&lt;/author&gt;&lt;author&gt;Kaserzon, Sarit L&lt;/author&gt;&lt;/authors&gt;&lt;/contributors&gt;&lt;titles&gt;&lt;title&gt;Quality Assurance and Quality Control (QA/QC) for High-Resolution Mass Spectrometry (HRMS) Non-target Screening Methods&lt;/title&gt;&lt;/titles&gt;&lt;dates&gt;&lt;year&gt;2024&lt;/year&gt;&lt;/dates&gt;&lt;publisher&gt;Springer&lt;/publisher&gt;&lt;urls&gt;&lt;/urls&gt;&lt;/record&gt;&lt;/Cite&gt;&lt;/EndNote&gt;</w:instrText>
      </w:r>
      <w:r w:rsidR="00C04A3F" w:rsidRPr="0012141A">
        <w:rPr>
          <w:rFonts w:ascii="Times New Roman" w:hAnsi="Times New Roman"/>
          <w:color w:val="0000FF"/>
        </w:rPr>
        <w:fldChar w:fldCharType="separate"/>
      </w:r>
      <w:r w:rsidR="00287940">
        <w:rPr>
          <w:rFonts w:ascii="Times New Roman" w:hAnsi="Times New Roman"/>
          <w:noProof/>
          <w:color w:val="0000FF"/>
        </w:rPr>
        <w:t>(Schulze and Kaserzon, 2024)</w:t>
      </w:r>
      <w:r w:rsidR="00C04A3F" w:rsidRPr="0012141A">
        <w:rPr>
          <w:rFonts w:ascii="Times New Roman" w:hAnsi="Times New Roman"/>
          <w:color w:val="0000FF"/>
        </w:rPr>
        <w:fldChar w:fldCharType="end"/>
      </w:r>
      <w:r w:rsidR="00C04A3F" w:rsidRPr="0012141A">
        <w:rPr>
          <w:rFonts w:ascii="Times New Roman" w:hAnsi="Times New Roman"/>
        </w:rPr>
        <w:t xml:space="preserve">. </w:t>
      </w:r>
      <w:r w:rsidR="00CC1F67" w:rsidRPr="00CC1F67">
        <w:rPr>
          <w:rFonts w:ascii="Times New Roman" w:hAnsi="Times New Roman"/>
        </w:rPr>
        <w:t xml:space="preserve">Microplastics and </w:t>
      </w:r>
      <w:proofErr w:type="spellStart"/>
      <w:r w:rsidR="00CC1F67" w:rsidRPr="00CC1F67">
        <w:rPr>
          <w:rFonts w:ascii="Times New Roman" w:hAnsi="Times New Roman"/>
        </w:rPr>
        <w:t>nanoplastics</w:t>
      </w:r>
      <w:proofErr w:type="spellEnd"/>
      <w:r w:rsidR="00CC1F67" w:rsidRPr="00CC1F67">
        <w:rPr>
          <w:rFonts w:ascii="Times New Roman" w:hAnsi="Times New Roman"/>
        </w:rPr>
        <w:t>, due to their potential as vectors, can be utilized to investigate antibiotic resistance genes (ARGs) by time-of-flight mass spectrometry (</w:t>
      </w:r>
      <w:proofErr w:type="spellStart"/>
      <w:r w:rsidR="00CC1F67" w:rsidRPr="00CC1F67">
        <w:rPr>
          <w:rFonts w:ascii="Times New Roman" w:hAnsi="Times New Roman"/>
        </w:rPr>
        <w:t>ToF</w:t>
      </w:r>
      <w:proofErr w:type="spellEnd"/>
      <w:r w:rsidR="00CC1F67" w:rsidRPr="00CC1F67">
        <w:rPr>
          <w:rFonts w:ascii="Times New Roman" w:hAnsi="Times New Roman"/>
        </w:rPr>
        <w:t>-MS) and other techniques</w:t>
      </w:r>
      <w:r w:rsidR="00C22BBC">
        <w:rPr>
          <w:rFonts w:ascii="Times New Roman" w:hAnsi="Times New Roman"/>
        </w:rPr>
        <w:t xml:space="preserve"> </w:t>
      </w:r>
      <w:r w:rsidR="00C04A3F"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&lt;EndNote&gt;&lt;Cite&gt;&lt;Author&gt;Wu&lt;/Author&gt;&lt;Year&gt;2023&lt;/Year&gt;&lt;RecNum&gt;785&lt;/RecNum&gt;&lt;DisplayText&gt;(Wu et al., 2023)&lt;/DisplayText&gt;&lt;record&gt;&lt;rec-number&gt;785&lt;/rec-number&gt;&lt;foreign-keys&gt;&lt;key app="EN" db-id="w22tszxz12v02ie02asvszppdzx5axz52d95" timestamp="1718380050"&gt;785&lt;/key&gt;&lt;/foreign-keys&gt;&lt;ref-type name="Journal Article"&gt;17&lt;/ref-type&gt;&lt;contributors&gt;&lt;authors&gt;&lt;author&gt;Wu, Pengfei&lt;/author&gt;&lt;author&gt;Wu, Xiaoyi&lt;/author&gt;&lt;author&gt;Huang, Qing&lt;/author&gt;&lt;author&gt;Yu, Qinwei&lt;/author&gt;&lt;author&gt;Jin, Hangbiao&lt;/author&gt;&lt;author&gt;Zhu, Minghai&lt;/author&gt;&lt;/authors&gt;&lt;/contributors&gt;&lt;titles&gt;&lt;title&gt;Mass spectrometry-based multimodal approaches for the identification and quantification analysis of microplastics in food matrix&lt;/title&gt;&lt;secondary-title&gt;Frontiers in Nutrition&lt;/secondary-title&gt;&lt;/titles&gt;&lt;periodical&gt;&lt;full-title&gt;Frontiers in Nutrition&lt;/full-title&gt;&lt;/periodical&gt;&lt;pages&gt;1163823&lt;/pages&gt;&lt;volume&gt;10&lt;/volume&gt;&lt;dates&gt;&lt;year&gt;2023&lt;/year&gt;&lt;/dates&gt;&lt;isbn&gt;2296-861X&lt;/isbn&gt;&lt;urls&gt;&lt;/urls&gt;&lt;/record&gt;&lt;/Cite&gt;&lt;/EndNote&gt;</w:instrText>
      </w:r>
      <w:r w:rsidR="00C04A3F" w:rsidRPr="0012141A">
        <w:rPr>
          <w:rFonts w:ascii="Times New Roman" w:hAnsi="Times New Roman"/>
          <w:color w:val="0000FF"/>
        </w:rPr>
        <w:fldChar w:fldCharType="separate"/>
      </w:r>
      <w:r w:rsidR="00287940">
        <w:rPr>
          <w:rFonts w:ascii="Times New Roman" w:hAnsi="Times New Roman"/>
          <w:noProof/>
          <w:color w:val="0000FF"/>
        </w:rPr>
        <w:t>(Wu et al., 2023)</w:t>
      </w:r>
      <w:r w:rsidR="00C04A3F" w:rsidRPr="0012141A">
        <w:rPr>
          <w:rFonts w:ascii="Times New Roman" w:hAnsi="Times New Roman"/>
          <w:color w:val="0000FF"/>
        </w:rPr>
        <w:fldChar w:fldCharType="end"/>
      </w:r>
      <w:r w:rsidR="00C04A3F" w:rsidRPr="0012141A">
        <w:rPr>
          <w:rFonts w:ascii="Times New Roman" w:hAnsi="Times New Roman"/>
        </w:rPr>
        <w:t>.</w:t>
      </w:r>
    </w:p>
    <w:p w14:paraId="32F4A57C" w14:textId="77777777" w:rsidR="00E33833" w:rsidRPr="0012141A" w:rsidRDefault="00E33833" w:rsidP="006F3A51">
      <w:pPr>
        <w:spacing w:line="360" w:lineRule="auto"/>
        <w:jc w:val="both"/>
        <w:rPr>
          <w:rFonts w:ascii="Times New Roman" w:hAnsi="Times New Roman"/>
        </w:rPr>
      </w:pPr>
    </w:p>
    <w:p w14:paraId="2DDCC570" w14:textId="4854904C" w:rsidR="006B1624" w:rsidRPr="0012141A" w:rsidRDefault="00CE1BB3" w:rsidP="006F3A51">
      <w:pPr>
        <w:spacing w:line="360" w:lineRule="auto"/>
        <w:jc w:val="both"/>
        <w:rPr>
          <w:rFonts w:ascii="Times New Roman" w:hAnsi="Times New Roman"/>
          <w:b/>
          <w:bCs/>
        </w:rPr>
      </w:pPr>
      <w:r>
        <w:rPr>
          <w:rFonts w:ascii="Times New Roman" w:hAnsi="Times New Roman"/>
          <w:b/>
          <w:bCs/>
        </w:rPr>
        <w:t>3</w:t>
      </w:r>
      <w:r w:rsidRPr="0012141A">
        <w:rPr>
          <w:rFonts w:ascii="Times New Roman" w:hAnsi="Times New Roman"/>
          <w:b/>
          <w:bCs/>
        </w:rPr>
        <w:t>.6 Hybridization-based techniques</w:t>
      </w:r>
    </w:p>
    <w:p w14:paraId="3B0CCF3C" w14:textId="78FA8E9F" w:rsidR="00C22BBC" w:rsidRDefault="00BE56C2" w:rsidP="006F3A51">
      <w:pPr>
        <w:spacing w:line="360" w:lineRule="auto"/>
        <w:jc w:val="both"/>
        <w:rPr>
          <w:rFonts w:ascii="Times New Roman" w:hAnsi="Times New Roman"/>
        </w:rPr>
      </w:pPr>
      <w:r w:rsidRPr="00BE56C2">
        <w:rPr>
          <w:rFonts w:ascii="Times New Roman" w:hAnsi="Times New Roman"/>
        </w:rPr>
        <w:t xml:space="preserve">Microarrays and other hybridization-based methods can </w:t>
      </w:r>
      <w:r w:rsidR="00506408">
        <w:rPr>
          <w:rFonts w:ascii="Times New Roman" w:hAnsi="Times New Roman"/>
        </w:rPr>
        <w:t>quantify</w:t>
      </w:r>
      <w:r w:rsidRPr="00BE56C2">
        <w:rPr>
          <w:rFonts w:ascii="Times New Roman" w:hAnsi="Times New Roman"/>
        </w:rPr>
        <w:t xml:space="preserve"> ARGs in water, soil, and sediments. These approaches use nucleic acid hybridization to detect and quantify ARG-corresponding DNA or RNA sequences. DNA microarray analysis is faster, more sensitive, and higher-throughput than other molecular methods. DNA microarrays can detect antibiotic resistance in isolates and provide comprehensive, therapeutically relevant information by detecting multiple ARGs in a single experiment</w:t>
      </w:r>
      <w:r w:rsidR="00C22BBC">
        <w:rPr>
          <w:rFonts w:ascii="Times New Roman" w:hAnsi="Times New Roman"/>
        </w:rPr>
        <w:t xml:space="preserve"> </w:t>
      </w:r>
      <w:r w:rsidR="00AF6386"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&lt;EndNote&gt;&lt;Cite&gt;&lt;Author&gt;Gilbride&lt;/Author&gt;&lt;Year&gt;2006&lt;/Year&gt;&lt;RecNum&gt;786&lt;/RecNum&gt;&lt;DisplayText&gt;(Gilbride et al., 2006)&lt;/DisplayText&gt;&lt;record&gt;&lt;rec-number&gt;786&lt;/rec-number&gt;&lt;foreign-keys&gt;&lt;key app="EN" db-id="w22tszxz12v02ie02asvszppdzx5axz52d95" timestamp="1718380227"&gt;786&lt;/key&gt;&lt;/foreign-keys&gt;&lt;ref-type name="Journal Article"&gt;17&lt;/ref-type&gt;&lt;contributors&gt;&lt;authors&gt;&lt;author&gt;Gilbride, KA&lt;/author&gt;&lt;author&gt;Lee, D-Y&lt;/author&gt;&lt;author&gt;Beaudette, LA&lt;/author&gt;&lt;/authors&gt;&lt;/contributors&gt;&lt;titles&gt;&lt;title&gt;Molecular techniques in wastewater: understanding microbial communities, detecting pathogens, and real-time process control&lt;/title&gt;&lt;secondary-title&gt;Journal of microbiological methods&lt;/secondary-title&gt;&lt;/titles&gt;&lt;periodical&gt;&lt;full-title&gt;Journal of microbiological methods&lt;/full-title&gt;&lt;/periodical&gt;&lt;pages&gt;1-20&lt;/pages&gt;&lt;volume&gt;66&lt;/volume&gt;&lt;number&gt;1&lt;/number&gt;&lt;dates&gt;&lt;year&gt;2006&lt;/year&gt;&lt;/dates&gt;&lt;isbn&gt;0167-7012&lt;/isbn&gt;&lt;urls&gt;&lt;/urls&gt;&lt;/record&gt;&lt;/Cite&gt;&lt;/EndNote&gt;</w:instrText>
      </w:r>
      <w:r w:rsidR="00AF6386" w:rsidRPr="0012141A">
        <w:rPr>
          <w:rFonts w:ascii="Times New Roman" w:hAnsi="Times New Roman"/>
          <w:color w:val="0000FF"/>
        </w:rPr>
        <w:fldChar w:fldCharType="separate"/>
      </w:r>
      <w:r w:rsidR="00287940">
        <w:rPr>
          <w:rFonts w:ascii="Times New Roman" w:hAnsi="Times New Roman"/>
          <w:noProof/>
          <w:color w:val="0000FF"/>
        </w:rPr>
        <w:t>(Gilbride et al., 2006)</w:t>
      </w:r>
      <w:r w:rsidR="00AF6386" w:rsidRPr="0012141A">
        <w:rPr>
          <w:rFonts w:ascii="Times New Roman" w:hAnsi="Times New Roman"/>
          <w:color w:val="0000FF"/>
        </w:rPr>
        <w:fldChar w:fldCharType="end"/>
      </w:r>
      <w:r w:rsidR="00AF6386" w:rsidRPr="0012141A">
        <w:rPr>
          <w:rFonts w:ascii="Times New Roman" w:hAnsi="Times New Roman"/>
        </w:rPr>
        <w:t xml:space="preserve">. </w:t>
      </w:r>
      <w:r w:rsidRPr="00BE56C2">
        <w:rPr>
          <w:rFonts w:ascii="Times New Roman" w:hAnsi="Times New Roman"/>
        </w:rPr>
        <w:t>The microarray technique can uncover antibiotic resistance determinants in hours, reducing time and improving resistance detection</w:t>
      </w:r>
      <w:r w:rsidR="00C22BBC">
        <w:rPr>
          <w:rFonts w:ascii="Times New Roman" w:hAnsi="Times New Roman"/>
        </w:rPr>
        <w:t xml:space="preserve"> </w:t>
      </w:r>
      <w:r w:rsidR="00AF6386"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&lt;EndNote&gt;&lt;Cite&gt;&lt;Author&gt;Antwerpen&lt;/Author&gt;&lt;Year&gt;2007&lt;/Year&gt;&lt;RecNum&gt;787&lt;/RecNum&gt;&lt;DisplayText&gt;(Antwerpen et al., 2007)&lt;/DisplayText&gt;&lt;record&gt;&lt;rec-number&gt;787&lt;/rec-number&gt;&lt;foreign-keys&gt;&lt;key app="EN" db-id="w22tszxz12v02ie02asvszppdzx5axz52d95" timestamp="1718380369"&gt;787&lt;/key&gt;&lt;/foreign-keys&gt;&lt;ref-type name="Journal Article"&gt;17&lt;/ref-type&gt;&lt;contributors&gt;&lt;authors&gt;&lt;author&gt;Antwerpen, Markus H&lt;/author&gt;&lt;author&gt;Schellhase, Michaela&lt;/author&gt;&lt;author&gt;Ehrentreich-Förster, Eva&lt;/author&gt;&lt;author&gt;Bier, Frank&lt;/author&gt;&lt;author&gt;Witte, Wolfgang&lt;/author&gt;&lt;author&gt;Nübel, Ulrich&lt;/author&gt;&lt;/authors&gt;&lt;/contributors&gt;&lt;titles&gt;&lt;title&gt;DNA microarray for detection of antibiotic resistance determinants in Bacillus anthracis and closely related Bacillus cereus&lt;/title&gt;&lt;secondary-title&gt;Molecular and cellular probes&lt;/secondary-title&gt;&lt;/titles&gt;&lt;periodical&gt;&lt;full-title&gt;Molecular and cellular probes&lt;/full-title&gt;&lt;/periodical&gt;&lt;pages&gt;152-160&lt;/pages&gt;&lt;volume&gt;21&lt;/volume&gt;&lt;number&gt;2&lt;/number&gt;&lt;dates&gt;&lt;year&gt;2007&lt;/year&gt;&lt;/dates&gt;&lt;isbn&gt;0890-8508&lt;/isbn&gt;&lt;urls&gt;&lt;/urls&gt;&lt;/record&gt;&lt;/Cite&gt;&lt;/EndNote&gt;</w:instrText>
      </w:r>
      <w:r w:rsidR="00AF6386" w:rsidRPr="0012141A">
        <w:rPr>
          <w:rFonts w:ascii="Times New Roman" w:hAnsi="Times New Roman"/>
          <w:color w:val="0000FF"/>
        </w:rPr>
        <w:fldChar w:fldCharType="separate"/>
      </w:r>
      <w:r w:rsidR="00287940">
        <w:rPr>
          <w:rFonts w:ascii="Times New Roman" w:hAnsi="Times New Roman"/>
          <w:noProof/>
          <w:color w:val="0000FF"/>
        </w:rPr>
        <w:t>(Antwerpen et al., 2007)</w:t>
      </w:r>
      <w:r w:rsidR="00AF6386" w:rsidRPr="0012141A">
        <w:rPr>
          <w:rFonts w:ascii="Times New Roman" w:hAnsi="Times New Roman"/>
          <w:color w:val="0000FF"/>
        </w:rPr>
        <w:fldChar w:fldCharType="end"/>
      </w:r>
      <w:r w:rsidR="00AF6386" w:rsidRPr="0012141A">
        <w:rPr>
          <w:rFonts w:ascii="Times New Roman" w:hAnsi="Times New Roman"/>
        </w:rPr>
        <w:t xml:space="preserve">. </w:t>
      </w:r>
      <w:r w:rsidRPr="00BE56C2">
        <w:rPr>
          <w:rFonts w:ascii="Times New Roman" w:hAnsi="Times New Roman"/>
        </w:rPr>
        <w:t>The microarray technique has been extensively used to detect antibiotic resistance in Salmonella enterica</w:t>
      </w:r>
      <w:r w:rsidR="00C22BBC">
        <w:rPr>
          <w:rFonts w:ascii="Times New Roman" w:hAnsi="Times New Roman"/>
        </w:rPr>
        <w:t xml:space="preserve"> </w:t>
      </w:r>
      <w:r w:rsidR="00AF6386"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&lt;EndNote&gt;&lt;Cite&gt;&lt;Author&gt;Guard-Bouldin&lt;/Author&gt;&lt;Year&gt;2007&lt;/Year&gt;&lt;RecNum&gt;788&lt;/RecNum&gt;&lt;DisplayText&gt;(Guard-Bouldin et al., 2007)&lt;/DisplayText&gt;&lt;record&gt;&lt;rec-number&gt;788&lt;/rec-number&gt;&lt;foreign-keys&gt;&lt;key app="EN" db-id="w22tszxz12v02ie02asvszppdzx5axz52d95" timestamp="1718380489"&gt;788&lt;/key&gt;&lt;/foreign-keys&gt;&lt;ref-type name="Journal Article"&gt;17&lt;/ref-type&gt;&lt;contributors&gt;&lt;authors&gt;&lt;author&gt;Guard-Bouldin, Jean&lt;/author&gt;&lt;author&gt;Morales, Cesar A&lt;/author&gt;&lt;author&gt;Frye, Jonathan G&lt;/author&gt;&lt;author&gt;Gast, Richard K&lt;/author&gt;&lt;author&gt;Musgrove, Michael&lt;/author&gt;&lt;/authors&gt;&lt;/contributors&gt;&lt;titles&gt;&lt;title&gt;Detection of Salmonella enterica subpopulations by phenotype microarray antibiotic resistance patterns&lt;/title&gt;&lt;secondary-title&gt;Applied and environmental microbiology&lt;/secondary-title&gt;&lt;/titles&gt;&lt;periodical&gt;&lt;full-title&gt;Applied and environmental microbiology&lt;/full-title&gt;&lt;/periodical&gt;&lt;pages&gt;7753-7756&lt;/pages&gt;&lt;volume&gt;73&lt;/volume&gt;&lt;number&gt;23&lt;/number&gt;&lt;dates&gt;&lt;year&gt;2007&lt;/year&gt;&lt;/dates&gt;&lt;isbn&gt;0099-2240&lt;/isbn&gt;&lt;urls&gt;&lt;/urls&gt;&lt;/record&gt;&lt;/Cite&gt;&lt;/EndNote&gt;</w:instrText>
      </w:r>
      <w:r w:rsidR="00AF6386" w:rsidRPr="0012141A">
        <w:rPr>
          <w:rFonts w:ascii="Times New Roman" w:hAnsi="Times New Roman"/>
          <w:color w:val="0000FF"/>
        </w:rPr>
        <w:fldChar w:fldCharType="separate"/>
      </w:r>
      <w:r w:rsidR="00287940">
        <w:rPr>
          <w:rFonts w:ascii="Times New Roman" w:hAnsi="Times New Roman"/>
          <w:noProof/>
          <w:color w:val="0000FF"/>
        </w:rPr>
        <w:t>(Guard-Bouldin et al., 2007)</w:t>
      </w:r>
      <w:r w:rsidR="00AF6386" w:rsidRPr="0012141A">
        <w:rPr>
          <w:rFonts w:ascii="Times New Roman" w:hAnsi="Times New Roman"/>
          <w:color w:val="0000FF"/>
        </w:rPr>
        <w:fldChar w:fldCharType="end"/>
      </w:r>
      <w:r w:rsidR="00AF6386" w:rsidRPr="0012141A">
        <w:rPr>
          <w:rFonts w:ascii="Times New Roman" w:hAnsi="Times New Roman"/>
        </w:rPr>
        <w:t>, H. pylori</w:t>
      </w:r>
      <w:r w:rsidR="00C22BBC">
        <w:rPr>
          <w:rFonts w:ascii="Times New Roman" w:hAnsi="Times New Roman"/>
        </w:rPr>
        <w:t xml:space="preserve"> </w:t>
      </w:r>
      <w:r w:rsidR="00AF6386"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&lt;EndNote&gt;&lt;Cite&gt;&lt;Author&gt;Chen&lt;/Author&gt;&lt;Year&gt;2008&lt;/Year&gt;&lt;RecNum&gt;789&lt;/RecNum&gt;&lt;DisplayText&gt;(Chen et al., 2008)&lt;/DisplayText&gt;&lt;record&gt;&lt;rec-number&gt;789&lt;/rec-number&gt;&lt;foreign-keys&gt;&lt;key app="EN" db-id="w22tszxz12v02ie02asvszppdzx5axz52d95" timestamp="1718380598"&gt;789&lt;/key&gt;&lt;/foreign-keys&gt;&lt;ref-type name="Journal Article"&gt;17&lt;/ref-type&gt;&lt;contributors&gt;&lt;authors&gt;&lt;author&gt;Chen, Shaohua&lt;/author&gt;&lt;author&gt;Li, Youming&lt;/author&gt;&lt;author&gt;Yu, Chaohui&lt;/author&gt;&lt;/authors&gt;&lt;/contributors&gt;&lt;titles&gt;&lt;title&gt;Oligonucleotide microarray: a new rapid method for screening the 23S rRNA gene of Helicobacter pylori for single nucleotide polymorphisms associated with clarithromycin resistance&lt;/title&gt;&lt;secondary-title&gt;Journal of gastroenterology and hepatology&lt;/secondary-title&gt;&lt;/titles&gt;&lt;periodical&gt;&lt;full-title&gt;Journal of gastroenterology and hepatology&lt;/full-title&gt;&lt;/periodical&gt;&lt;pages&gt;126-131&lt;/pages&gt;&lt;volume&gt;23&lt;/volume&gt;&lt;number&gt;1&lt;/number&gt;&lt;dates&gt;&lt;year&gt;2008&lt;/year&gt;&lt;/dates&gt;&lt;isbn&gt;0815-9319&lt;/isbn&gt;&lt;urls&gt;&lt;/urls&gt;&lt;/record&gt;&lt;/Cite&gt;&lt;/EndNote&gt;</w:instrText>
      </w:r>
      <w:r w:rsidR="00AF6386" w:rsidRPr="0012141A">
        <w:rPr>
          <w:rFonts w:ascii="Times New Roman" w:hAnsi="Times New Roman"/>
          <w:color w:val="0000FF"/>
        </w:rPr>
        <w:fldChar w:fldCharType="separate"/>
      </w:r>
      <w:r w:rsidR="00287940">
        <w:rPr>
          <w:rFonts w:ascii="Times New Roman" w:hAnsi="Times New Roman"/>
          <w:noProof/>
          <w:color w:val="0000FF"/>
        </w:rPr>
        <w:t>(Chen et al., 2008)</w:t>
      </w:r>
      <w:r w:rsidR="00AF6386" w:rsidRPr="0012141A">
        <w:rPr>
          <w:rFonts w:ascii="Times New Roman" w:hAnsi="Times New Roman"/>
          <w:color w:val="0000FF"/>
        </w:rPr>
        <w:fldChar w:fldCharType="end"/>
      </w:r>
      <w:r w:rsidR="00AF6386" w:rsidRPr="0012141A">
        <w:rPr>
          <w:rFonts w:ascii="Times New Roman" w:hAnsi="Times New Roman"/>
        </w:rPr>
        <w:t>, E. coli</w:t>
      </w:r>
      <w:r w:rsidR="00C22BBC">
        <w:rPr>
          <w:rFonts w:ascii="Times New Roman" w:hAnsi="Times New Roman"/>
        </w:rPr>
        <w:t xml:space="preserve"> </w:t>
      </w:r>
      <w:r w:rsidR="00AF6386"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&lt;EndNote&gt;&lt;Cite&gt;&lt;Author&gt;Zhu&lt;/Author&gt;&lt;Year&gt;2007&lt;/Year&gt;&lt;RecNum&gt;790&lt;/RecNum&gt;&lt;DisplayText&gt;(Zhu et al., 2007a)&lt;/DisplayText&gt;&lt;record&gt;&lt;rec-number&gt;790&lt;/rec-number&gt;&lt;foreign-keys&gt;&lt;key app="EN" db-id="w22tszxz12v02ie02asvszppdzx5axz52d95" timestamp="1718380729"&gt;790&lt;/key&gt;&lt;/foreign-keys&gt;&lt;ref-type name="Journal Article"&gt;17&lt;/ref-type&gt;&lt;contributors&gt;&lt;authors&gt;&lt;author&gt;Zhu, Ling-Xiang&lt;/author&gt;&lt;author&gt;Wang, Dong&lt;/author&gt;&lt;author&gt;Zhang, Guan-Bin&lt;/author&gt;&lt;author&gt;Jiang, Di&lt;/author&gt;&lt;author&gt;Zhang, Zhi-Wei&lt;/author&gt;&lt;author&gt;Zhang, Qiong&lt;/author&gt;&lt;author&gt;Mitchelson, Keith&lt;/author&gt;&lt;author&gt;Cheng, Jing&lt;/author&gt;&lt;/authors&gt;&lt;/contributors&gt;&lt;titles&gt;&lt;title&gt;Development of a base stacking hybridization-based microarray method for rapid identification of clinical isolates&lt;/title&gt;&lt;secondary-title&gt;Diagnostic microbiology and infectious disease&lt;/secondary-title&gt;&lt;/titles&gt;&lt;periodical&gt;&lt;full-title&gt;Diagnostic microbiology and infectious disease&lt;/full-title&gt;&lt;/periodical&gt;&lt;pages&gt;149-156&lt;/pages&gt;&lt;volume&gt;59&lt;/volume&gt;&lt;number&gt;2&lt;/number&gt;&lt;dates&gt;&lt;year&gt;2007&lt;/year&gt;&lt;/dates&gt;&lt;isbn&gt;0732-8893&lt;/isbn&gt;&lt;urls&gt;&lt;/urls&gt;&lt;/record&gt;&lt;/Cite&gt;&lt;/EndNote&gt;</w:instrText>
      </w:r>
      <w:r w:rsidR="00AF6386" w:rsidRPr="0012141A">
        <w:rPr>
          <w:rFonts w:ascii="Times New Roman" w:hAnsi="Times New Roman"/>
          <w:color w:val="0000FF"/>
        </w:rPr>
        <w:fldChar w:fldCharType="separate"/>
      </w:r>
      <w:r w:rsidR="00287940">
        <w:rPr>
          <w:rFonts w:ascii="Times New Roman" w:hAnsi="Times New Roman"/>
          <w:noProof/>
          <w:color w:val="0000FF"/>
        </w:rPr>
        <w:t>(Zhu et al., 2007a)</w:t>
      </w:r>
      <w:r w:rsidR="00AF6386" w:rsidRPr="0012141A">
        <w:rPr>
          <w:rFonts w:ascii="Times New Roman" w:hAnsi="Times New Roman"/>
          <w:color w:val="0000FF"/>
        </w:rPr>
        <w:fldChar w:fldCharType="end"/>
      </w:r>
      <w:r w:rsidR="00AF6386" w:rsidRPr="0012141A">
        <w:rPr>
          <w:rFonts w:ascii="Times New Roman" w:hAnsi="Times New Roman"/>
        </w:rPr>
        <w:t xml:space="preserve">, and S. aureus </w:t>
      </w:r>
      <w:r w:rsidR="00AF6386" w:rsidRPr="0012141A">
        <w:rPr>
          <w:rFonts w:ascii="Times New Roman" w:hAnsi="Times New Roman"/>
          <w:color w:val="0000FF"/>
        </w:rPr>
        <w:fldChar w:fldCharType="begin">
          <w:fldData xml:space="preserve">PEVuZE5vdGU+PENpdGU+PEF1dGhvcj5aaHU8L0F1dGhvcj48WWVhcj4yMDA3PC9ZZWFyPjxSZWNO
dW0+NzkxPC9SZWNOdW0+PERpc3BsYXlUZXh0PihaaHUgZXQgYWwuLCAyMDA3YiwgU3BlbmNlIGV0
IGFsLiwgMjAwOCk8L0Rpc3BsYXlUZXh0PjxyZWNvcmQ+PHJlYy1udW1iZXI+NzkxPC9yZWMtbnVt
YmVyPjxmb3JlaWduLWtleXM+PGtleSBhcHA9IkVOIiBkYi1pZD0idzIydHN6eHoxMnYwMmllMDJh
c3ZzenBwZHp4NWF4ejUyZDk1IiB0aW1lc3RhbXA9IjE3MTgzODA5MjAiPjc5MTwva2V5PjwvZm9y
ZWlnbi1rZXlzPjxyZWYtdHlwZSBuYW1lPSJKb3VybmFsIEFydGljbGUiPjE3PC9yZWYtdHlwZT48
Y29udHJpYnV0b3JzPjxhdXRob3JzPjxhdXRob3I+Wmh1LCBMaW5nLVhpYW5nPC9hdXRob3I+PGF1
dGhvcj5aaGFuZywgWmhpLVdlaTwvYXV0aG9yPjxhdXRob3I+V2FuZywgQ2FuPC9hdXRob3I+PGF1
dGhvcj5ZYW5nLCBIdWEtV2VpPC9hdXRob3I+PGF1dGhvcj5KaWFuZywgRGk8L2F1dGhvcj48YXV0
aG9yPlpoYW5nLCBRaW9uZzwvYXV0aG9yPjxhdXRob3I+TWl0Y2hlbHNvbiwgS2VpdGg8L2F1dGhv
cj48YXV0aG9yPkNoZW5nLCBKaW5nPC9hdXRob3I+PC9hdXRob3JzPjwvY29udHJpYnV0b3JzPjx0
aXRsZXM+PHRpdGxlPlVzZSBvZiBhIEROQSBtaWNyb2FycmF5IGZvciBzaW11bHRhbmVvdXMgZGV0
ZWN0aW9uIG9mIGFudGliaW90aWMgcmVzaXN0YW5jZSBnZW5lcyBhbW9uZyBzdGFwaHlsb2NvY2Nh
bCBjbGluaWNhbCBpc29sYXRlczwvdGl0bGU+PHNlY29uZGFyeS10aXRsZT5Kb3VybmFsIG9mIGNs
aW5pY2FsIG1pY3JvYmlvbG9neTwvc2Vjb25kYXJ5LXRpdGxlPjwvdGl0bGVzPjxwZXJpb2RpY2Fs
PjxmdWxsLXRpdGxlPkpvdXJuYWwgb2YgY2xpbmljYWwgbWljcm9iaW9sb2d5PC9mdWxsLXRpdGxl
PjwvcGVyaW9kaWNhbD48cGFnZXM+MzUxNC0zNTIxPC9wYWdlcz48dm9sdW1lPjQ1PC92b2x1bWU+
PG51bWJlcj4xMTwvbnVtYmVyPjxkYXRlcz48eWVhcj4yMDA3PC95ZWFyPjwvZGF0ZXM+PGlzYm4+
MDA5NS0xMTM3PC9pc2JuPjx1cmxzPjwvdXJscz48L3JlY29yZD48L0NpdGU+PENpdGU+PEF1dGhv
cj5TcGVuY2U8L0F1dGhvcj48WWVhcj4yMDA4PC9ZZWFyPjxSZWNOdW0+NzkyPC9SZWNOdW0+PHJl
Y29yZD48cmVjLW51bWJlcj43OTI8L3JlYy1udW1iZXI+PGZvcmVpZ24ta2V5cz48a2V5IGFwcD0i
RU4iIGRiLWlkPSJ3MjJ0c3p4ejEydjAyaWUwMmFzdnN6cHBkeng1YXh6NTJkOTUiIHRpbWVzdGFt
cD0iMTcxODM4MTAzNyI+NzkyPC9rZXk+PC9mb3JlaWduLWtleXM+PHJlZi10eXBlIG5hbWU9Ikpv
dXJuYWwgQXJ0aWNsZSI+MTc8L3JlZi10eXBlPjxjb250cmlidXRvcnM+PGF1dGhvcnM+PGF1dGhv
cj5TcGVuY2UsIFJpY2hhcmQgUDwvYXV0aG9yPjxhdXRob3I+V3JpZ2h0LCBWaWN0b3JpYTwvYXV0
aG9yPjxhdXRob3I+QWxhLUFsZGVlbiwgRGxhd2VyIEFBPC9hdXRob3I+PGF1dGhvcj5UdXJuZXIs
IERhdmlkIFA8L2F1dGhvcj48YXV0aG9yPldvb2xkcmlkZ2UsIEthcmwgRzwvYXV0aG9yPjxhdXRo
b3I+SmFtZXMsIFJpY2hhcmQ8L2F1dGhvcj48L2F1dGhvcnM+PC9jb250cmlidXRvcnM+PHRpdGxl
cz48dGl0bGU+VmFsaWRhdGlvbiBvZiB2aXJ1bGVuY2UgYW5kIGVwaWRlbWlvbG9neSBETkEgbWlj
cm9hcnJheSBmb3IgaWRlbnRpZmljYXRpb24gYW5kIGNoYXJhY3Rlcml6YXRpb24gb2YgU3RhcGh5
bG9jb2NjdXMgYXVyZXVzIGlzb2xhdGVzPC90aXRsZT48c2Vjb25kYXJ5LXRpdGxlPkpvdXJuYWwg
b2YgY2xpbmljYWwgbWljcm9iaW9sb2d5PC9zZWNvbmRhcnktdGl0bGU+PC90aXRsZXM+PHBlcmlv
ZGljYWw+PGZ1bGwtdGl0bGU+Sm91cm5hbCBvZiBjbGluaWNhbCBtaWNyb2Jpb2xvZ3k8L2Z1bGwt
dGl0bGU+PC9wZXJpb2RpY2FsPjxwYWdlcz4xNjIwLTE2Mjc8L3BhZ2VzPjx2b2x1bWU+NDY8L3Zv
bHVtZT48bnVtYmVyPjU8L251bWJlcj48ZGF0ZXM+PHllYXI+MjAwODwveWVhcj48L2RhdGVzPjxp
c2JuPjAwOTUtMTEzNzwvaXNibj48dXJscz48L3VybHM+PC9yZWNvcmQ+PC9DaXRlPjwvRW5kTm90
ZT5=
</w:fldData>
        </w:fldChar>
      </w:r>
      <w:r w:rsidR="00287940">
        <w:rPr>
          <w:rFonts w:ascii="Times New Roman" w:hAnsi="Times New Roman"/>
          <w:color w:val="0000FF"/>
        </w:rPr>
        <w:instrText xml:space="preserve"> ADDIN EN.CITE </w:instrText>
      </w:r>
      <w:r w:rsidR="00287940">
        <w:rPr>
          <w:rFonts w:ascii="Times New Roman" w:hAnsi="Times New Roman"/>
          <w:color w:val="0000FF"/>
        </w:rPr>
        <w:fldChar w:fldCharType="begin">
          <w:fldData xml:space="preserve">PEVuZE5vdGU+PENpdGU+PEF1dGhvcj5aaHU8L0F1dGhvcj48WWVhcj4yMDA3PC9ZZWFyPjxSZWNO
dW0+NzkxPC9SZWNOdW0+PERpc3BsYXlUZXh0PihaaHUgZXQgYWwuLCAyMDA3YiwgU3BlbmNlIGV0
IGFsLiwgMjAwOCk8L0Rpc3BsYXlUZXh0PjxyZWNvcmQ+PHJlYy1udW1iZXI+NzkxPC9yZWMtbnVt
YmVyPjxmb3JlaWduLWtleXM+PGtleSBhcHA9IkVOIiBkYi1pZD0idzIydHN6eHoxMnYwMmllMDJh
c3ZzenBwZHp4NWF4ejUyZDk1IiB0aW1lc3RhbXA9IjE3MTgzODA5MjAiPjc5MTwva2V5PjwvZm9y
ZWlnbi1rZXlzPjxyZWYtdHlwZSBuYW1lPSJKb3VybmFsIEFydGljbGUiPjE3PC9yZWYtdHlwZT48
Y29udHJpYnV0b3JzPjxhdXRob3JzPjxhdXRob3I+Wmh1LCBMaW5nLVhpYW5nPC9hdXRob3I+PGF1
dGhvcj5aaGFuZywgWmhpLVdlaTwvYXV0aG9yPjxhdXRob3I+V2FuZywgQ2FuPC9hdXRob3I+PGF1
dGhvcj5ZYW5nLCBIdWEtV2VpPC9hdXRob3I+PGF1dGhvcj5KaWFuZywgRGk8L2F1dGhvcj48YXV0
aG9yPlpoYW5nLCBRaW9uZzwvYXV0aG9yPjxhdXRob3I+TWl0Y2hlbHNvbiwgS2VpdGg8L2F1dGhv
cj48YXV0aG9yPkNoZW5nLCBKaW5nPC9hdXRob3I+PC9hdXRob3JzPjwvY29udHJpYnV0b3JzPjx0
aXRsZXM+PHRpdGxlPlVzZSBvZiBhIEROQSBtaWNyb2FycmF5IGZvciBzaW11bHRhbmVvdXMgZGV0
ZWN0aW9uIG9mIGFudGliaW90aWMgcmVzaXN0YW5jZSBnZW5lcyBhbW9uZyBzdGFwaHlsb2NvY2Nh
bCBjbGluaWNhbCBpc29sYXRlczwvdGl0bGU+PHNlY29uZGFyeS10aXRsZT5Kb3VybmFsIG9mIGNs
aW5pY2FsIG1pY3JvYmlvbG9neTwvc2Vjb25kYXJ5LXRpdGxlPjwvdGl0bGVzPjxwZXJpb2RpY2Fs
PjxmdWxsLXRpdGxlPkpvdXJuYWwgb2YgY2xpbmljYWwgbWljcm9iaW9sb2d5PC9mdWxsLXRpdGxl
PjwvcGVyaW9kaWNhbD48cGFnZXM+MzUxNC0zNTIxPC9wYWdlcz48dm9sdW1lPjQ1PC92b2x1bWU+
PG51bWJlcj4xMTwvbnVtYmVyPjxkYXRlcz48eWVhcj4yMDA3PC95ZWFyPjwvZGF0ZXM+PGlzYm4+
MDA5NS0xMTM3PC9pc2JuPjx1cmxzPjwvdXJscz48L3JlY29yZD48L0NpdGU+PENpdGU+PEF1dGhv
cj5TcGVuY2U8L0F1dGhvcj48WWVhcj4yMDA4PC9ZZWFyPjxSZWNOdW0+NzkyPC9SZWNOdW0+PHJl
Y29yZD48cmVjLW51bWJlcj43OTI8L3JlYy1udW1iZXI+PGZvcmVpZ24ta2V5cz48a2V5IGFwcD0i
RU4iIGRiLWlkPSJ3MjJ0c3p4ejEydjAyaWUwMmFzdnN6cHBkeng1YXh6NTJkOTUiIHRpbWVzdGFt
cD0iMTcxODM4MTAzNyI+NzkyPC9rZXk+PC9mb3JlaWduLWtleXM+PHJlZi10eXBlIG5hbWU9Ikpv
dXJuYWwgQXJ0aWNsZSI+MTc8L3JlZi10eXBlPjxjb250cmlidXRvcnM+PGF1dGhvcnM+PGF1dGhv
cj5TcGVuY2UsIFJpY2hhcmQgUDwvYXV0aG9yPjxhdXRob3I+V3JpZ2h0LCBWaWN0b3JpYTwvYXV0
aG9yPjxhdXRob3I+QWxhLUFsZGVlbiwgRGxhd2VyIEFBPC9hdXRob3I+PGF1dGhvcj5UdXJuZXIs
IERhdmlkIFA8L2F1dGhvcj48YXV0aG9yPldvb2xkcmlkZ2UsIEthcmwgRzwvYXV0aG9yPjxhdXRo
b3I+SmFtZXMsIFJpY2hhcmQ8L2F1dGhvcj48L2F1dGhvcnM+PC9jb250cmlidXRvcnM+PHRpdGxl
cz48dGl0bGU+VmFsaWRhdGlvbiBvZiB2aXJ1bGVuY2UgYW5kIGVwaWRlbWlvbG9neSBETkEgbWlj
cm9hcnJheSBmb3IgaWRlbnRpZmljYXRpb24gYW5kIGNoYXJhY3Rlcml6YXRpb24gb2YgU3RhcGh5
bG9jb2NjdXMgYXVyZXVzIGlzb2xhdGVzPC90aXRsZT48c2Vjb25kYXJ5LXRpdGxlPkpvdXJuYWwg
b2YgY2xpbmljYWwgbWljcm9iaW9sb2d5PC9zZWNvbmRhcnktdGl0bGU+PC90aXRsZXM+PHBlcmlv
ZGljYWw+PGZ1bGwtdGl0bGU+Sm91cm5hbCBvZiBjbGluaWNhbCBtaWNyb2Jpb2xvZ3k8L2Z1bGwt
dGl0bGU+PC9wZXJpb2RpY2FsPjxwYWdlcz4xNjIwLTE2Mjc8L3BhZ2VzPjx2b2x1bWU+NDY8L3Zv
bHVtZT48bnVtYmVyPjU8L251bWJlcj48ZGF0ZXM+PHllYXI+MjAwODwveWVhcj48L2RhdGVzPjxp
c2JuPjAwOTUtMTEzNzwvaXNibj48dXJscz48L3VybHM+PC9yZWNvcmQ+PC9DaXRlPjwvRW5kTm90
ZT5=
</w:fldData>
        </w:fldChar>
      </w:r>
      <w:r w:rsidR="00287940">
        <w:rPr>
          <w:rFonts w:ascii="Times New Roman" w:hAnsi="Times New Roman"/>
          <w:color w:val="0000FF"/>
        </w:rPr>
        <w:instrText xml:space="preserve"> ADDIN EN.CITE.DATA </w:instrText>
      </w:r>
      <w:r w:rsidR="00287940">
        <w:rPr>
          <w:rFonts w:ascii="Times New Roman" w:hAnsi="Times New Roman"/>
          <w:color w:val="0000FF"/>
        </w:rPr>
      </w:r>
      <w:r w:rsidR="00287940">
        <w:rPr>
          <w:rFonts w:ascii="Times New Roman" w:hAnsi="Times New Roman"/>
          <w:color w:val="0000FF"/>
        </w:rPr>
        <w:fldChar w:fldCharType="end"/>
      </w:r>
      <w:r w:rsidR="00AF6386" w:rsidRPr="0012141A">
        <w:rPr>
          <w:rFonts w:ascii="Times New Roman" w:hAnsi="Times New Roman"/>
          <w:color w:val="0000FF"/>
        </w:rPr>
      </w:r>
      <w:r w:rsidR="00AF6386" w:rsidRPr="0012141A">
        <w:rPr>
          <w:rFonts w:ascii="Times New Roman" w:hAnsi="Times New Roman"/>
          <w:color w:val="0000FF"/>
        </w:rPr>
        <w:fldChar w:fldCharType="separate"/>
      </w:r>
      <w:r w:rsidR="00287940">
        <w:rPr>
          <w:rFonts w:ascii="Times New Roman" w:hAnsi="Times New Roman"/>
          <w:noProof/>
          <w:color w:val="0000FF"/>
        </w:rPr>
        <w:t>(Zhu et al., 2007b, Spence et al., 2008)</w:t>
      </w:r>
      <w:r w:rsidR="00AF6386" w:rsidRPr="0012141A">
        <w:rPr>
          <w:rFonts w:ascii="Times New Roman" w:hAnsi="Times New Roman"/>
          <w:color w:val="0000FF"/>
        </w:rPr>
        <w:fldChar w:fldCharType="end"/>
      </w:r>
      <w:r w:rsidR="00AF6386" w:rsidRPr="0012141A">
        <w:rPr>
          <w:rFonts w:ascii="Times New Roman" w:hAnsi="Times New Roman"/>
        </w:rPr>
        <w:t>.</w:t>
      </w:r>
    </w:p>
    <w:p w14:paraId="098F3255" w14:textId="3775BE28" w:rsidR="006B1624" w:rsidRPr="0012141A" w:rsidRDefault="00AF6386" w:rsidP="006F3A51">
      <w:pPr>
        <w:spacing w:line="360" w:lineRule="auto"/>
        <w:jc w:val="both"/>
        <w:rPr>
          <w:rFonts w:ascii="Times New Roman" w:hAnsi="Times New Roman"/>
        </w:rPr>
      </w:pPr>
      <w:r w:rsidRPr="0012141A">
        <w:rPr>
          <w:rFonts w:ascii="Times New Roman" w:hAnsi="Times New Roman"/>
        </w:rPr>
        <w:t xml:space="preserve"> </w:t>
      </w:r>
    </w:p>
    <w:p w14:paraId="27239E8F" w14:textId="25700324" w:rsidR="006B1624" w:rsidRPr="0012141A" w:rsidRDefault="00CE1BB3" w:rsidP="006F3A51">
      <w:pPr>
        <w:spacing w:line="360" w:lineRule="auto"/>
        <w:jc w:val="both"/>
        <w:rPr>
          <w:rFonts w:ascii="Times New Roman" w:hAnsi="Times New Roman"/>
          <w:b/>
          <w:bCs/>
        </w:rPr>
      </w:pPr>
      <w:r>
        <w:rPr>
          <w:rFonts w:ascii="Times New Roman" w:hAnsi="Times New Roman"/>
          <w:b/>
          <w:bCs/>
        </w:rPr>
        <w:t>4</w:t>
      </w:r>
      <w:r w:rsidRPr="0012141A">
        <w:rPr>
          <w:rFonts w:ascii="Times New Roman" w:hAnsi="Times New Roman"/>
          <w:b/>
          <w:bCs/>
        </w:rPr>
        <w:t>. Implications of AMR and ARGs to human health</w:t>
      </w:r>
    </w:p>
    <w:p w14:paraId="6372CC54" w14:textId="77777777" w:rsidR="003F4E0D" w:rsidRPr="003F4E0D" w:rsidRDefault="003F4E0D" w:rsidP="003F4E0D">
      <w:pPr>
        <w:spacing w:line="360" w:lineRule="auto"/>
        <w:jc w:val="both"/>
        <w:rPr>
          <w:rFonts w:ascii="Times New Roman" w:hAnsi="Times New Roman"/>
        </w:rPr>
      </w:pPr>
      <w:r w:rsidRPr="003F4E0D">
        <w:rPr>
          <w:rFonts w:ascii="Times New Roman" w:hAnsi="Times New Roman"/>
        </w:rPr>
        <w:t xml:space="preserve">Antivirals, antifungals, antibiotics, and </w:t>
      </w:r>
      <w:proofErr w:type="spellStart"/>
      <w:r w:rsidRPr="003F4E0D">
        <w:rPr>
          <w:rFonts w:ascii="Times New Roman" w:hAnsi="Times New Roman"/>
        </w:rPr>
        <w:t>antiparasitics</w:t>
      </w:r>
      <w:proofErr w:type="spellEnd"/>
      <w:r w:rsidRPr="003F4E0D">
        <w:rPr>
          <w:rFonts w:ascii="Times New Roman" w:hAnsi="Times New Roman"/>
        </w:rPr>
        <w:t xml:space="preserve"> are utilized to treat and prevent diseases in agriculture, aquaculture, animals, and humans. The therapeutic effectiveness of several antimicrobials is jeopardized by bacterial resistance. Superbugs exhibit resistance to antimicrobials. UNEP released the 2023 critical article "Bracing for Superbugs: Strengthening Environmental Action in the 'One Health' </w:t>
      </w:r>
      <w:r w:rsidRPr="003F4E0D">
        <w:rPr>
          <w:rFonts w:ascii="Times New Roman" w:hAnsi="Times New Roman"/>
        </w:rPr>
        <w:lastRenderedPageBreak/>
        <w:t>Response to Antimicrobial Resistance". Antimicrobial resistance (AMR) arises when bacteria, viruses, parasites, and fungi acquire resistance to antibiotics. Antibiotic resistance obstructs the management of prevalent bacterial illnesses globally. The Antimicrobial Resistance and Use Surveillance System (GLASS) 2022 study reveals concerning levels of resistance to common bacterial infections. Alarmingly, 42% of 76 nations exhibit resistance to third-generation cephalosporins in E. coli, while 35% demonstrate resistance to methicillin in Staphylococcus aureus. In 2020, E. coli urinary tract infections had a 20% reduction in sensitivity to ampicillin, co-trimoxazole, and fluoroquinolones</w:t>
      </w:r>
    </w:p>
    <w:p w14:paraId="5C3E876C" w14:textId="21D0F90D" w:rsidR="004856D6" w:rsidRPr="004856D6" w:rsidRDefault="003B6F74" w:rsidP="004856D6">
      <w:pPr>
        <w:spacing w:line="360" w:lineRule="auto"/>
        <w:jc w:val="both"/>
        <w:rPr>
          <w:rFonts w:ascii="Times New Roman" w:hAnsi="Times New Roman"/>
        </w:rPr>
      </w:pPr>
      <w:r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&lt;EndNote&gt;&lt;Cite&gt;&lt;Author&gt;Fernandez&lt;/Author&gt;&lt;Year&gt;2022&lt;/Year&gt;&lt;RecNum&gt;796&lt;/RecNum&gt;&lt;DisplayText&gt;(Fernandez, 2022)&lt;/DisplayText&gt;&lt;record&gt;&lt;rec-number&gt;796&lt;/rec-number&gt;&lt;foreign-keys&gt;&lt;key app="EN" db-id="w22tszxz12v02ie02asvszppdzx5axz52d95" timestamp="1718381641"&gt;796&lt;/key&gt;&lt;/foreign-keys&gt;&lt;ref-type name="Generic"&gt;13&lt;/ref-type&gt;&lt;contributors&gt;&lt;authors&gt;&lt;author&gt;Fernandez, Guillermo&lt;/author&gt;&lt;/authors&gt;&lt;/contributors&gt;&lt;titles&gt;&lt;title&gt;Turning the juggernaut&lt;/title&gt;&lt;/titles&gt;&lt;pages&gt;E75-E75&lt;/pages&gt;&lt;volume&gt;6&lt;/volume&gt;&lt;number&gt;2&lt;/number&gt;&lt;dates&gt;&lt;year&gt;2022&lt;/year&gt;&lt;/dates&gt;&lt;publisher&gt;ELSEVIER SCI LTD THE BOULEVARD, LANGFORD LANE, KIDLINGTON, OXFORD OX5 1GB …&lt;/publisher&gt;&lt;urls&gt;&lt;/urls&gt;&lt;/record&gt;&lt;/Cite&gt;&lt;/EndNote&gt;</w:instrText>
      </w:r>
      <w:r w:rsidRPr="0012141A">
        <w:rPr>
          <w:rFonts w:ascii="Times New Roman" w:hAnsi="Times New Roman"/>
          <w:color w:val="0000FF"/>
        </w:rPr>
        <w:fldChar w:fldCharType="separate"/>
      </w:r>
      <w:r w:rsidR="00287940">
        <w:rPr>
          <w:rFonts w:ascii="Times New Roman" w:hAnsi="Times New Roman"/>
          <w:noProof/>
          <w:color w:val="0000FF"/>
        </w:rPr>
        <w:t>(Fernandez, 2022)</w:t>
      </w:r>
      <w:r w:rsidRPr="0012141A">
        <w:rPr>
          <w:rFonts w:ascii="Times New Roman" w:hAnsi="Times New Roman"/>
          <w:color w:val="0000FF"/>
        </w:rPr>
        <w:fldChar w:fldCharType="end"/>
      </w:r>
      <w:r w:rsidRPr="0012141A">
        <w:rPr>
          <w:rFonts w:ascii="Times New Roman" w:hAnsi="Times New Roman"/>
        </w:rPr>
        <w:t xml:space="preserve">. </w:t>
      </w:r>
      <w:r w:rsidR="003F4E0D" w:rsidRPr="003F4E0D">
        <w:rPr>
          <w:rFonts w:ascii="Times New Roman" w:hAnsi="Times New Roman"/>
        </w:rPr>
        <w:t>The heightened utilization of carbapenems may induce resistance in other domains. When last-resort medications are ineffective, untreatable infections proliferate. The OECD projects that by 2035, last-resort antibiotic resistance will double compared to 2005 levels</w:t>
      </w:r>
      <w:r w:rsidR="003F4E0D">
        <w:rPr>
          <w:rFonts w:ascii="Times New Roman" w:hAnsi="Times New Roman"/>
        </w:rPr>
        <w:t xml:space="preserve"> </w:t>
      </w:r>
      <w:r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&lt;EndNote&gt;&lt;Cite&gt;&lt;Author&gt;Popoola&lt;/Author&gt;&lt;Year&gt;2024&lt;/Year&gt;&lt;RecNum&gt;797&lt;/RecNum&gt;&lt;DisplayText&gt;(Popoola et al., 2024)&lt;/DisplayText&gt;&lt;record&gt;&lt;rec-number&gt;797&lt;/rec-number&gt;&lt;foreign-keys&gt;&lt;key app="EN" db-id="w22tszxz12v02ie02asvszppdzx5axz52d95" timestamp="1718381772"&gt;797&lt;/key&gt;&lt;/foreign-keys&gt;&lt;ref-type name="Journal Article"&gt;17&lt;/ref-type&gt;&lt;contributors&gt;&lt;authors&gt;&lt;author&gt;Popoola, Olanrewaju Olamide&lt;/author&gt;&lt;author&gt;Adepitan, Damilola Samson&lt;/author&gt;&lt;author&gt;Adeyemi, Adebowale Sylvester&lt;/author&gt;&lt;author&gt;Oladeru, Opeyemi Fortunate&lt;/author&gt;&lt;author&gt;Yusuff, Sodiq Inaolaji&lt;/author&gt;&lt;/authors&gt;&lt;/contributors&gt;&lt;titles&gt;&lt;title&gt;A national survey of the antibiotic use, self-medication practices, and knowledge of antibiotic resistance among graduates of tertiary institutions in Nigeria&lt;/title&gt;&lt;secondary-title&gt;Scientific African&lt;/secondary-title&gt;&lt;/titles&gt;&lt;periodical&gt;&lt;full-title&gt;Scientific African&lt;/full-title&gt;&lt;/periodical&gt;&lt;pages&gt;e01978&lt;/pages&gt;&lt;volume&gt;23&lt;/volume&gt;&lt;dates&gt;&lt;year&gt;2024&lt;/year&gt;&lt;/dates&gt;&lt;isbn&gt;2468-2276&lt;/isbn&gt;&lt;urls&gt;&lt;/urls&gt;&lt;/record&gt;&lt;/Cite&gt;&lt;/EndNote&gt;</w:instrText>
      </w:r>
      <w:r w:rsidRPr="0012141A">
        <w:rPr>
          <w:rFonts w:ascii="Times New Roman" w:hAnsi="Times New Roman"/>
          <w:color w:val="0000FF"/>
        </w:rPr>
        <w:fldChar w:fldCharType="separate"/>
      </w:r>
      <w:r w:rsidR="00287940">
        <w:rPr>
          <w:rFonts w:ascii="Times New Roman" w:hAnsi="Times New Roman"/>
          <w:noProof/>
          <w:color w:val="0000FF"/>
        </w:rPr>
        <w:t>(Popoola et al., 2024)</w:t>
      </w:r>
      <w:r w:rsidRPr="0012141A">
        <w:rPr>
          <w:rFonts w:ascii="Times New Roman" w:hAnsi="Times New Roman"/>
          <w:color w:val="0000FF"/>
        </w:rPr>
        <w:fldChar w:fldCharType="end"/>
      </w:r>
      <w:r w:rsidRPr="0012141A">
        <w:rPr>
          <w:rFonts w:ascii="Times New Roman" w:hAnsi="Times New Roman"/>
        </w:rPr>
        <w:t>.</w:t>
      </w:r>
      <w:r w:rsidR="004F74C3" w:rsidRPr="0012141A">
        <w:rPr>
          <w:rFonts w:ascii="Times New Roman" w:hAnsi="Times New Roman"/>
        </w:rPr>
        <w:t xml:space="preserve"> </w:t>
      </w:r>
      <w:r w:rsidR="003F4E0D" w:rsidRPr="003F4E0D">
        <w:rPr>
          <w:rFonts w:ascii="Times New Roman" w:hAnsi="Times New Roman"/>
        </w:rPr>
        <w:t xml:space="preserve">Robust antimicrobial stewardship and comprehensive worldwide surveillance are essential. The </w:t>
      </w:r>
      <w:r w:rsidR="006E1818">
        <w:rPr>
          <w:rFonts w:ascii="Times New Roman" w:hAnsi="Times New Roman"/>
        </w:rPr>
        <w:t>overuse</w:t>
      </w:r>
      <w:r w:rsidR="003F4E0D" w:rsidRPr="003F4E0D">
        <w:rPr>
          <w:rFonts w:ascii="Times New Roman" w:hAnsi="Times New Roman"/>
        </w:rPr>
        <w:t xml:space="preserve"> of antimicrobials and environmental contamination can lead to microbial resistance in both individuals and ecosystems. Bacteria can develop resistance after exposure to resistant microbes in soil, water, and air. Humans can acquire AMR bacteria from food, drink, fungal spores, and various environmental factors. In 2019, drug-resistant illnesses globally resulted in 1.27 million fatalities. By the year 2050, an estimated 10 million individuals may succumb annually. </w:t>
      </w:r>
      <w:r w:rsidR="00A46C0E" w:rsidRPr="00C22BBC">
        <w:rPr>
          <w:rFonts w:ascii="Times New Roman" w:hAnsi="Times New Roman"/>
          <w:i/>
          <w:iCs/>
          <w:color w:val="0000FF"/>
        </w:rPr>
        <w:t>Fig</w:t>
      </w:r>
      <w:r w:rsidR="003B3CE2">
        <w:rPr>
          <w:rFonts w:ascii="Times New Roman" w:hAnsi="Times New Roman"/>
          <w:i/>
          <w:iCs/>
          <w:color w:val="0000FF"/>
        </w:rPr>
        <w:t>.</w:t>
      </w:r>
      <w:r w:rsidR="00A46C0E" w:rsidRPr="00C22BBC">
        <w:rPr>
          <w:rFonts w:ascii="Times New Roman" w:hAnsi="Times New Roman"/>
          <w:i/>
          <w:iCs/>
          <w:color w:val="0000FF"/>
        </w:rPr>
        <w:t xml:space="preserve"> 5</w:t>
      </w:r>
      <w:r w:rsidR="00A46C0E">
        <w:rPr>
          <w:rFonts w:ascii="Times New Roman" w:hAnsi="Times New Roman"/>
          <w:color w:val="0000FF"/>
        </w:rPr>
        <w:t xml:space="preserve"> </w:t>
      </w:r>
      <w:r w:rsidR="00160F73" w:rsidRPr="00160F73">
        <w:rPr>
          <w:rFonts w:ascii="Times New Roman" w:hAnsi="Times New Roman"/>
        </w:rPr>
        <w:t>illustrates that unregulated antimicrobial resistance (AMR) might drive 24 million individuals into extreme poverty and diminish GDP by $3.4 trillion</w:t>
      </w:r>
      <w:r w:rsidR="00160F73">
        <w:rPr>
          <w:rFonts w:ascii="Times New Roman" w:hAnsi="Times New Roman"/>
        </w:rPr>
        <w:t xml:space="preserve"> </w:t>
      </w:r>
      <w:r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&lt;EndNote&gt;&lt;Cite&gt;&lt;Author&gt;Desai&lt;/Author&gt;&lt;Year&gt;2018&lt;/Year&gt;&lt;RecNum&gt;798&lt;/RecNum&gt;&lt;DisplayText&gt;(Desai, 2018)&lt;/DisplayText&gt;&lt;record&gt;&lt;rec-number&gt;798&lt;/rec-number&gt;&lt;foreign-keys&gt;&lt;key app="EN" db-id="w22tszxz12v02ie02asvszppdzx5axz52d95" timestamp="1718382094"&gt;798&lt;/key&gt;&lt;/foreign-keys&gt;&lt;ref-type name="Journal Article"&gt;17&lt;/ref-type&gt;&lt;contributors&gt;&lt;authors&gt;&lt;author&gt;Desai, Bharat H&lt;/author&gt;&lt;/authors&gt;&lt;/contributors&gt;&lt;titles&gt;&lt;title&gt;14. United Nations Environment Program (UNEP)&lt;/title&gt;&lt;secondary-title&gt;Yearbook of International Environmental Law&lt;/secondary-title&gt;&lt;/titles&gt;&lt;periodical&gt;&lt;full-title&gt;Yearbook of International Environmental Law&lt;/full-title&gt;&lt;/periodical&gt;&lt;pages&gt;441-448&lt;/pages&gt;&lt;volume&gt;29&lt;/volume&gt;&lt;dates&gt;&lt;year&gt;2018&lt;/year&gt;&lt;/dates&gt;&lt;isbn&gt;0965-1721&lt;/isbn&gt;&lt;urls&gt;&lt;/urls&gt;&lt;/record&gt;&lt;/Cite&gt;&lt;/EndNote&gt;</w:instrText>
      </w:r>
      <w:r w:rsidRPr="0012141A">
        <w:rPr>
          <w:rFonts w:ascii="Times New Roman" w:hAnsi="Times New Roman"/>
          <w:color w:val="0000FF"/>
        </w:rPr>
        <w:fldChar w:fldCharType="separate"/>
      </w:r>
      <w:r w:rsidR="00287940">
        <w:rPr>
          <w:rFonts w:ascii="Times New Roman" w:hAnsi="Times New Roman"/>
          <w:noProof/>
          <w:color w:val="0000FF"/>
        </w:rPr>
        <w:t>(Desai, 2018)</w:t>
      </w:r>
      <w:r w:rsidRPr="0012141A">
        <w:rPr>
          <w:rFonts w:ascii="Times New Roman" w:hAnsi="Times New Roman"/>
          <w:color w:val="0000FF"/>
        </w:rPr>
        <w:fldChar w:fldCharType="end"/>
      </w:r>
      <w:r w:rsidRPr="0012141A">
        <w:rPr>
          <w:rFonts w:ascii="Times New Roman" w:hAnsi="Times New Roman"/>
        </w:rPr>
        <w:t>.</w:t>
      </w:r>
      <w:r w:rsidR="0070374B" w:rsidRPr="0012141A">
        <w:rPr>
          <w:rFonts w:ascii="Times New Roman" w:hAnsi="Times New Roman"/>
        </w:rPr>
        <w:t xml:space="preserve"> </w:t>
      </w:r>
      <w:r w:rsidR="004856D6" w:rsidRPr="004856D6">
        <w:rPr>
          <w:rFonts w:ascii="Times New Roman" w:hAnsi="Times New Roman"/>
        </w:rPr>
        <w:t xml:space="preserve">The prevalence of HIV, malaria, tuberculosis, and viral antimicrobial resistance is increasing, posing a significant threat to human well-being. </w:t>
      </w:r>
    </w:p>
    <w:p w14:paraId="2B44FC55" w14:textId="65DE1AAA" w:rsidR="006B1624" w:rsidRPr="0012141A" w:rsidRDefault="009E4636" w:rsidP="004856D6">
      <w:pPr>
        <w:spacing w:line="360" w:lineRule="auto"/>
        <w:jc w:val="center"/>
        <w:rPr>
          <w:rFonts w:ascii="Times New Roman" w:hAnsi="Times New Roman"/>
        </w:rPr>
      </w:pPr>
      <w:r w:rsidRPr="0012141A">
        <w:rPr>
          <w:rFonts w:ascii="SimSun" w:eastAsia="SimSun" w:hAnsi="SimSun" w:cs="SimSun"/>
          <w:noProof/>
          <w:lang w:eastAsia="en-US"/>
        </w:rPr>
        <w:drawing>
          <wp:inline distT="0" distB="0" distL="114300" distR="114300" wp14:anchorId="2E2FCB75" wp14:editId="7104EE31">
            <wp:extent cx="1598529" cy="1237130"/>
            <wp:effectExtent l="0" t="0" r="1905" b="1270"/>
            <wp:docPr id="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MG_256"/>
                    <pic:cNvPicPr>
                      <a:picLocks noChangeAspect="1"/>
                    </pic:cNvPicPr>
                  </pic:nvPicPr>
                  <pic:blipFill>
                    <a:blip r:embed="rId13"/>
                    <a:stretch>
                      <a:fillRect/>
                    </a:stretch>
                  </pic:blipFill>
                  <pic:spPr>
                    <a:xfrm>
                      <a:off x="0" y="0"/>
                      <a:ext cx="1629484" cy="1261086"/>
                    </a:xfrm>
                    <a:prstGeom prst="rect">
                      <a:avLst/>
                    </a:prstGeom>
                    <a:noFill/>
                    <a:ln w="9525">
                      <a:noFill/>
                    </a:ln>
                  </pic:spPr>
                </pic:pic>
              </a:graphicData>
            </a:graphic>
          </wp:inline>
        </w:drawing>
      </w:r>
    </w:p>
    <w:p w14:paraId="104AB7EF" w14:textId="6B322177" w:rsidR="00276511" w:rsidRDefault="009E4636" w:rsidP="009517EA">
      <w:pPr>
        <w:spacing w:line="360" w:lineRule="auto"/>
        <w:jc w:val="center"/>
        <w:rPr>
          <w:rFonts w:ascii="Times New Roman" w:hAnsi="Times New Roman"/>
        </w:rPr>
      </w:pPr>
      <w:r w:rsidRPr="0012141A">
        <w:rPr>
          <w:rFonts w:ascii="Times New Roman" w:hAnsi="Times New Roman"/>
          <w:color w:val="0000FF"/>
        </w:rPr>
        <w:t xml:space="preserve">Figure </w:t>
      </w:r>
      <w:r w:rsidR="00A46C0E">
        <w:rPr>
          <w:rFonts w:ascii="Times New Roman" w:hAnsi="Times New Roman"/>
          <w:color w:val="0000FF"/>
        </w:rPr>
        <w:t>5</w:t>
      </w:r>
      <w:r w:rsidRPr="0012141A">
        <w:rPr>
          <w:rFonts w:ascii="Times New Roman" w:hAnsi="Times New Roman"/>
          <w:color w:val="0000FF"/>
        </w:rPr>
        <w:t>.</w:t>
      </w:r>
      <w:r w:rsidRPr="0012141A">
        <w:rPr>
          <w:rFonts w:ascii="Times New Roman" w:hAnsi="Times New Roman"/>
        </w:rPr>
        <w:t xml:space="preserve"> </w:t>
      </w:r>
      <w:r w:rsidR="009517EA" w:rsidRPr="009517EA">
        <w:rPr>
          <w:rFonts w:ascii="Times New Roman" w:hAnsi="Times New Roman"/>
        </w:rPr>
        <w:t>Projected global impact of AMR on human health.</w:t>
      </w:r>
    </w:p>
    <w:p w14:paraId="4F6AEDF0" w14:textId="77777777" w:rsidR="009517EA" w:rsidRDefault="009517EA" w:rsidP="009517EA">
      <w:pPr>
        <w:spacing w:line="360" w:lineRule="auto"/>
        <w:jc w:val="center"/>
        <w:rPr>
          <w:rFonts w:ascii="Times New Roman" w:hAnsi="Times New Roman"/>
          <w:b/>
          <w:bCs/>
        </w:rPr>
      </w:pPr>
    </w:p>
    <w:p w14:paraId="608FB8D9" w14:textId="684A1C2D" w:rsidR="006B1624" w:rsidRPr="0012141A" w:rsidRDefault="00CE1BB3" w:rsidP="006F3A51">
      <w:pPr>
        <w:spacing w:line="360" w:lineRule="auto"/>
        <w:jc w:val="both"/>
        <w:rPr>
          <w:rFonts w:ascii="Times New Roman" w:hAnsi="Times New Roman"/>
          <w:b/>
          <w:bCs/>
        </w:rPr>
      </w:pPr>
      <w:r>
        <w:rPr>
          <w:rFonts w:ascii="Times New Roman" w:hAnsi="Times New Roman"/>
          <w:b/>
          <w:bCs/>
        </w:rPr>
        <w:t>5</w:t>
      </w:r>
      <w:r w:rsidRPr="0012141A">
        <w:rPr>
          <w:rFonts w:ascii="Times New Roman" w:hAnsi="Times New Roman"/>
          <w:b/>
          <w:bCs/>
        </w:rPr>
        <w:t xml:space="preserve">. Strategies to eliminate antibiotic resistance from the environment </w:t>
      </w:r>
    </w:p>
    <w:p w14:paraId="1AF06291" w14:textId="203692ED" w:rsidR="00D644DF" w:rsidRPr="0012141A" w:rsidRDefault="0016785E" w:rsidP="00D644DF">
      <w:pPr>
        <w:spacing w:line="360" w:lineRule="auto"/>
        <w:jc w:val="both"/>
        <w:rPr>
          <w:rFonts w:ascii="Times New Roman" w:hAnsi="Times New Roman"/>
        </w:rPr>
      </w:pPr>
      <w:r w:rsidRPr="0016785E">
        <w:rPr>
          <w:rFonts w:ascii="Times New Roman" w:hAnsi="Times New Roman"/>
        </w:rPr>
        <w:t>To halt the progression and dissemination of antibiotic resistance, therapeutic strategies can eliminate antibiotic resistance genes by incapacitating the microorganisms that harbor them</w:t>
      </w:r>
      <w:r>
        <w:rPr>
          <w:rFonts w:ascii="Times New Roman" w:hAnsi="Times New Roman"/>
        </w:rPr>
        <w:t xml:space="preserve"> </w:t>
      </w:r>
      <w:r w:rsidR="00D644DF" w:rsidRPr="0012141A">
        <w:rPr>
          <w:rFonts w:ascii="Times New Roman" w:hAnsi="Times New Roman"/>
        </w:rPr>
        <w:t>(</w:t>
      </w:r>
      <w:r w:rsidR="00D644DF" w:rsidRPr="00C22BBC">
        <w:rPr>
          <w:rFonts w:ascii="Times New Roman" w:hAnsi="Times New Roman"/>
          <w:i/>
          <w:iCs/>
          <w:color w:val="0000FF"/>
        </w:rPr>
        <w:t>Fig</w:t>
      </w:r>
      <w:r w:rsidR="003B3CE2">
        <w:rPr>
          <w:rFonts w:ascii="Times New Roman" w:hAnsi="Times New Roman"/>
          <w:i/>
          <w:iCs/>
          <w:color w:val="0000FF"/>
        </w:rPr>
        <w:t>.</w:t>
      </w:r>
      <w:r w:rsidR="00D644DF" w:rsidRPr="00C22BBC">
        <w:rPr>
          <w:rFonts w:ascii="Times New Roman" w:hAnsi="Times New Roman"/>
          <w:i/>
          <w:iCs/>
          <w:color w:val="0000FF"/>
        </w:rPr>
        <w:t xml:space="preserve"> </w:t>
      </w:r>
      <w:r w:rsidRPr="00C22BBC">
        <w:rPr>
          <w:rFonts w:ascii="Times New Roman" w:hAnsi="Times New Roman"/>
          <w:i/>
          <w:iCs/>
          <w:color w:val="0000FF"/>
        </w:rPr>
        <w:t>6</w:t>
      </w:r>
      <w:r w:rsidR="00D644DF" w:rsidRPr="0012141A">
        <w:rPr>
          <w:rFonts w:ascii="Times New Roman" w:hAnsi="Times New Roman"/>
        </w:rPr>
        <w:t>).</w:t>
      </w:r>
    </w:p>
    <w:p w14:paraId="4C660877" w14:textId="77777777" w:rsidR="006B1624" w:rsidRPr="0012141A" w:rsidRDefault="009E4636" w:rsidP="006F3A51">
      <w:pPr>
        <w:spacing w:line="360" w:lineRule="auto"/>
        <w:jc w:val="center"/>
      </w:pPr>
      <w:r w:rsidRPr="0012141A">
        <w:rPr>
          <w:noProof/>
          <w:lang w:eastAsia="en-US"/>
        </w:rPr>
        <w:drawing>
          <wp:inline distT="0" distB="0" distL="114300" distR="114300" wp14:anchorId="79D2B61A" wp14:editId="1013848D">
            <wp:extent cx="1613647" cy="1001843"/>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1631553" cy="1012960"/>
                    </a:xfrm>
                    <a:prstGeom prst="rect">
                      <a:avLst/>
                    </a:prstGeom>
                    <a:noFill/>
                    <a:ln>
                      <a:noFill/>
                    </a:ln>
                  </pic:spPr>
                </pic:pic>
              </a:graphicData>
            </a:graphic>
          </wp:inline>
        </w:drawing>
      </w:r>
    </w:p>
    <w:p w14:paraId="496773E7" w14:textId="093057D8" w:rsidR="006B1624" w:rsidRDefault="009E4636" w:rsidP="006F3A51">
      <w:pPr>
        <w:spacing w:line="360" w:lineRule="auto"/>
        <w:jc w:val="center"/>
        <w:rPr>
          <w:rFonts w:ascii="Times New Roman" w:hAnsi="Times New Roman" w:cs="Times New Roman"/>
        </w:rPr>
      </w:pPr>
      <w:r w:rsidRPr="0012141A">
        <w:rPr>
          <w:rFonts w:ascii="Times New Roman" w:hAnsi="Times New Roman" w:cs="Times New Roman"/>
          <w:color w:val="0000FF"/>
        </w:rPr>
        <w:t xml:space="preserve">Figure </w:t>
      </w:r>
      <w:r w:rsidR="00B370C5">
        <w:rPr>
          <w:rFonts w:ascii="Times New Roman" w:hAnsi="Times New Roman" w:cs="Times New Roman"/>
          <w:color w:val="0000FF"/>
        </w:rPr>
        <w:t>6</w:t>
      </w:r>
      <w:r w:rsidRPr="0012141A">
        <w:rPr>
          <w:rFonts w:ascii="Times New Roman" w:hAnsi="Times New Roman" w:cs="Times New Roman"/>
          <w:color w:val="0000FF"/>
        </w:rPr>
        <w:t xml:space="preserve">. </w:t>
      </w:r>
      <w:r w:rsidR="0070275A" w:rsidRPr="0070275A">
        <w:rPr>
          <w:rFonts w:ascii="Times New Roman" w:hAnsi="Times New Roman" w:cs="Times New Roman"/>
        </w:rPr>
        <w:t>A multi-pronged strategy framework to counteract environmental antibiotic resistance.</w:t>
      </w:r>
    </w:p>
    <w:p w14:paraId="73500A6A" w14:textId="77777777" w:rsidR="00C22BBC" w:rsidRPr="0012141A" w:rsidRDefault="00C22BBC" w:rsidP="006F3A51">
      <w:pPr>
        <w:spacing w:line="360" w:lineRule="auto"/>
        <w:jc w:val="center"/>
        <w:rPr>
          <w:rFonts w:ascii="Times New Roman" w:hAnsi="Times New Roman" w:cs="Times New Roman"/>
        </w:rPr>
      </w:pPr>
    </w:p>
    <w:p w14:paraId="20D64581" w14:textId="59CE9261" w:rsidR="006B1624" w:rsidRPr="0012141A" w:rsidRDefault="00CE1BB3" w:rsidP="006F3A51">
      <w:pPr>
        <w:spacing w:line="360" w:lineRule="auto"/>
        <w:jc w:val="both"/>
        <w:rPr>
          <w:rFonts w:ascii="Times New Roman" w:hAnsi="Times New Roman"/>
          <w:b/>
          <w:bCs/>
        </w:rPr>
      </w:pPr>
      <w:r>
        <w:rPr>
          <w:rFonts w:ascii="Times New Roman" w:hAnsi="Times New Roman"/>
          <w:b/>
          <w:bCs/>
        </w:rPr>
        <w:t>5</w:t>
      </w:r>
      <w:r w:rsidRPr="0012141A">
        <w:rPr>
          <w:rFonts w:ascii="Times New Roman" w:hAnsi="Times New Roman"/>
          <w:b/>
          <w:bCs/>
        </w:rPr>
        <w:t xml:space="preserve">.1 Treatment for wastewater and drinking water </w:t>
      </w:r>
    </w:p>
    <w:p w14:paraId="13D34912" w14:textId="478B21A8" w:rsidR="00DB5D45" w:rsidRDefault="00BF04BB" w:rsidP="006F3A51">
      <w:pPr>
        <w:spacing w:line="360" w:lineRule="auto"/>
        <w:jc w:val="both"/>
        <w:rPr>
          <w:rFonts w:ascii="Times New Roman" w:hAnsi="Times New Roman"/>
        </w:rPr>
      </w:pPr>
      <w:r w:rsidRPr="00BF04BB">
        <w:rPr>
          <w:rFonts w:ascii="Times New Roman" w:hAnsi="Times New Roman"/>
        </w:rPr>
        <w:t xml:space="preserve">In wastewater treatment, anaerobic and anoxic processes in MBR systems successfully diminish ARG concentrations by reducing microbial bioactivity, while aerobic circumstances may elevate them. MBRs </w:t>
      </w:r>
      <w:r w:rsidRPr="00BF04BB">
        <w:rPr>
          <w:rFonts w:ascii="Times New Roman" w:hAnsi="Times New Roman"/>
        </w:rPr>
        <w:lastRenderedPageBreak/>
        <w:t xml:space="preserve">effectively accomplish substantial elimination of ARGs, with reported links between reductions in genes like </w:t>
      </w:r>
      <w:proofErr w:type="spellStart"/>
      <w:r w:rsidRPr="00BF04BB">
        <w:rPr>
          <w:rFonts w:ascii="Times New Roman" w:hAnsi="Times New Roman"/>
          <w:i/>
          <w:iCs/>
        </w:rPr>
        <w:t>tetW</w:t>
      </w:r>
      <w:proofErr w:type="spellEnd"/>
      <w:r w:rsidRPr="00BF04BB">
        <w:rPr>
          <w:rFonts w:ascii="Times New Roman" w:hAnsi="Times New Roman"/>
        </w:rPr>
        <w:t xml:space="preserve"> and </w:t>
      </w:r>
      <w:r w:rsidRPr="00BF04BB">
        <w:rPr>
          <w:rFonts w:ascii="Times New Roman" w:hAnsi="Times New Roman"/>
          <w:i/>
          <w:iCs/>
        </w:rPr>
        <w:t>intI1</w:t>
      </w:r>
      <w:r w:rsidRPr="00BF04BB">
        <w:rPr>
          <w:rFonts w:ascii="Times New Roman" w:hAnsi="Times New Roman"/>
        </w:rPr>
        <w:t xml:space="preserve"> and decreases in 16S rDNA</w:t>
      </w:r>
      <w:r>
        <w:rPr>
          <w:rFonts w:ascii="Times New Roman" w:hAnsi="Times New Roman"/>
        </w:rPr>
        <w:t xml:space="preserve"> </w:t>
      </w:r>
      <w:r w:rsidR="00E244FC"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&lt;EndNote&gt;&lt;Cite&gt;&lt;Author&gt;Du&lt;/Author&gt;&lt;Year&gt;2015&lt;/Year&gt;&lt;RecNum&gt;800&lt;/RecNum&gt;&lt;DisplayText&gt;(Du et al., 2015)&lt;/DisplayText&gt;&lt;record&gt;&lt;rec-number&gt;800&lt;/rec-number&gt;&lt;foreign-keys&gt;&lt;key app="EN" db-id="w22tszxz12v02ie02asvszppdzx5axz52d95" timestamp="1718860517"&gt;800&lt;/key&gt;&lt;/foreign-keys&gt;&lt;ref-type name="Journal Article"&gt;17&lt;/ref-type&gt;&lt;contributors&gt;&lt;authors&gt;&lt;author&gt;Du, Jing&lt;/author&gt;&lt;author&gt;Geng, Jinju&lt;/author&gt;&lt;author&gt;Ren, Hongqiang&lt;/author&gt;&lt;author&gt;Ding, Lili&lt;/author&gt;&lt;author&gt;Xu, Ke&lt;/author&gt;&lt;author&gt;Zhang, Yan&lt;/author&gt;&lt;/authors&gt;&lt;/contributors&gt;&lt;titles&gt;&lt;title&gt;Variation of antibiotic resistance genes in municipal wastewater treatment plant with A 2 O-MBR system&lt;/title&gt;&lt;secondary-title&gt;Environmental Science and Pollution Research&lt;/secondary-title&gt;&lt;/titles&gt;&lt;periodical&gt;&lt;full-title&gt;Environmental Science and Pollution Research&lt;/full-title&gt;&lt;/periodical&gt;&lt;pages&gt;3715-3726&lt;/pages&gt;&lt;volume&gt;22&lt;/volume&gt;&lt;dates&gt;&lt;year&gt;2015&lt;/year&gt;&lt;/dates&gt;&lt;isbn&gt;0944-1344&lt;/isbn&gt;&lt;urls&gt;&lt;/urls&gt;&lt;/record&gt;&lt;/Cite&gt;&lt;/EndNote&gt;</w:instrText>
      </w:r>
      <w:r w:rsidR="00E244FC" w:rsidRPr="0012141A">
        <w:rPr>
          <w:rFonts w:ascii="Times New Roman" w:hAnsi="Times New Roman"/>
          <w:color w:val="0000FF"/>
        </w:rPr>
        <w:fldChar w:fldCharType="separate"/>
      </w:r>
      <w:r w:rsidR="00287940">
        <w:rPr>
          <w:rFonts w:ascii="Times New Roman" w:hAnsi="Times New Roman"/>
          <w:noProof/>
          <w:color w:val="0000FF"/>
        </w:rPr>
        <w:t>(Du et al., 2015)</w:t>
      </w:r>
      <w:r w:rsidR="00E244FC" w:rsidRPr="0012141A">
        <w:rPr>
          <w:rFonts w:ascii="Times New Roman" w:hAnsi="Times New Roman"/>
          <w:color w:val="0000FF"/>
        </w:rPr>
        <w:fldChar w:fldCharType="end"/>
      </w:r>
      <w:r w:rsidR="00E244FC" w:rsidRPr="0012141A">
        <w:rPr>
          <w:rFonts w:ascii="Times New Roman" w:hAnsi="Times New Roman"/>
        </w:rPr>
        <w:t xml:space="preserve">. </w:t>
      </w:r>
      <w:r w:rsidRPr="00BF04BB">
        <w:rPr>
          <w:rFonts w:ascii="Times New Roman" w:hAnsi="Times New Roman"/>
        </w:rPr>
        <w:t>Constructed wetlands eliminate drugs and ARGs via substrate adsorption and plant absorption</w:t>
      </w:r>
      <w:r w:rsidR="00C22BBC">
        <w:rPr>
          <w:rFonts w:ascii="Times New Roman" w:hAnsi="Times New Roman"/>
        </w:rPr>
        <w:t xml:space="preserve"> </w:t>
      </w:r>
      <w:r w:rsidR="00E244FC"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&lt;EndNote&gt;&lt;Cite&gt;&lt;Author&gt;Chen&lt;/Author&gt;&lt;Year&gt;2016&lt;/Year&gt;&lt;RecNum&gt;801&lt;/RecNum&gt;&lt;DisplayText&gt;(Chen et al., 2016, Barancheshme and Munir, 2018)&lt;/DisplayText&gt;&lt;record&gt;&lt;rec-number&gt;801&lt;/rec-number&gt;&lt;foreign-keys&gt;&lt;key app="EN" db-id="w22tszxz12v02ie02asvszppdzx5axz52d95" timestamp="1718860677"&gt;801&lt;/key&gt;&lt;/foreign-keys&gt;&lt;ref-type name="Journal Article"&gt;17&lt;/ref-type&gt;&lt;contributors&gt;&lt;authors&gt;&lt;author&gt;Chen, Jun&lt;/author&gt;&lt;author&gt;Ying, Guang-Guo&lt;/author&gt;&lt;author&gt;Wei, Xiao-Dong&lt;/author&gt;&lt;author&gt;Liu, You-Sheng&lt;/author&gt;&lt;author&gt;Liu, Shuang-Shuang&lt;/author&gt;&lt;author&gt;Hu, Li-Xin&lt;/author&gt;&lt;author&gt;He, Liang-Ying&lt;/author&gt;&lt;author&gt;Chen, Zhi-Feng&lt;/author&gt;&lt;author&gt;Chen, Fan-Rong&lt;/author&gt;&lt;author&gt;Yang, Yong-Qiang&lt;/author&gt;&lt;/authors&gt;&lt;/contributors&gt;&lt;titles&gt;&lt;title&gt;Removal of antibiotics and antibiotic resistance genes from domestic sewage by constructed wetlands: effect of flow configuration and plant species&lt;/title&gt;&lt;secondary-title&gt;Science of the Total Environment&lt;/secondary-title&gt;&lt;/titles&gt;&lt;periodical&gt;&lt;full-title&gt;Science of The Total Environment&lt;/full-title&gt;&lt;/periodical&gt;&lt;pages&gt;974-982&lt;/pages&gt;&lt;volume&gt;571&lt;/volume&gt;&lt;dates&gt;&lt;year&gt;2016&lt;/year&gt;&lt;/dates&gt;&lt;isbn&gt;0048-9697&lt;/isbn&gt;&lt;urls&gt;&lt;/urls&gt;&lt;/record&gt;&lt;/Cite&gt;&lt;Cite&gt;&lt;Author&gt;Barancheshme&lt;/Author&gt;&lt;Year&gt;2018&lt;/Year&gt;&lt;RecNum&gt;802&lt;/RecNum&gt;&lt;record&gt;&lt;rec-number&gt;802&lt;/rec-number&gt;&lt;foreign-keys&gt;&lt;key app="EN" db-id="w22tszxz12v02ie02asvszppdzx5axz52d95" timestamp="1718860765"&gt;802&lt;/key&gt;&lt;/foreign-keys&gt;&lt;ref-type name="Journal Article"&gt;17&lt;/ref-type&gt;&lt;contributors&gt;&lt;authors&gt;&lt;author&gt;Barancheshme, Fateme&lt;/author&gt;&lt;author&gt;Munir, Mariya&lt;/author&gt;&lt;/authors&gt;&lt;/contributors&gt;&lt;titles&gt;&lt;title&gt;Strategies to combat antibiotic resistance in the wastewater treatment plants&lt;/title&gt;&lt;secondary-title&gt;Frontiers in microbiology&lt;/secondary-title&gt;&lt;/titles&gt;&lt;periodical&gt;&lt;full-title&gt;Frontiers in microbiology&lt;/full-title&gt;&lt;/periodical&gt;&lt;pages&gt;299736&lt;/pages&gt;&lt;volume&gt;8&lt;/volume&gt;&lt;dates&gt;&lt;year&gt;2018&lt;/year&gt;&lt;/dates&gt;&lt;isbn&gt;1664-302X&lt;/isbn&gt;&lt;urls&gt;&lt;/urls&gt;&lt;/record&gt;&lt;/Cite&gt;&lt;/EndNote&gt;</w:instrText>
      </w:r>
      <w:r w:rsidR="00E244FC" w:rsidRPr="0012141A">
        <w:rPr>
          <w:rFonts w:ascii="Times New Roman" w:hAnsi="Times New Roman"/>
          <w:color w:val="0000FF"/>
        </w:rPr>
        <w:fldChar w:fldCharType="separate"/>
      </w:r>
      <w:r w:rsidR="00287940">
        <w:rPr>
          <w:rFonts w:ascii="Times New Roman" w:hAnsi="Times New Roman"/>
          <w:noProof/>
          <w:color w:val="0000FF"/>
        </w:rPr>
        <w:t>(Chen et al., 2016, Barancheshme and Munir, 2018)</w:t>
      </w:r>
      <w:r w:rsidR="00E244FC" w:rsidRPr="0012141A">
        <w:rPr>
          <w:rFonts w:ascii="Times New Roman" w:hAnsi="Times New Roman"/>
          <w:color w:val="0000FF"/>
        </w:rPr>
        <w:fldChar w:fldCharType="end"/>
      </w:r>
      <w:r w:rsidR="00E244FC" w:rsidRPr="0012141A">
        <w:rPr>
          <w:rFonts w:ascii="Times New Roman" w:hAnsi="Times New Roman"/>
        </w:rPr>
        <w:t xml:space="preserve">. </w:t>
      </w:r>
      <w:r w:rsidRPr="00BF04BB">
        <w:rPr>
          <w:rFonts w:ascii="Times New Roman" w:hAnsi="Times New Roman"/>
        </w:rPr>
        <w:t xml:space="preserve">The concentration of </w:t>
      </w:r>
      <w:r w:rsidRPr="00BF04BB">
        <w:rPr>
          <w:rFonts w:ascii="Times New Roman" w:hAnsi="Times New Roman"/>
          <w:i/>
          <w:iCs/>
        </w:rPr>
        <w:t>intI1</w:t>
      </w:r>
      <w:r w:rsidRPr="00BF04BB">
        <w:rPr>
          <w:rFonts w:ascii="Times New Roman" w:hAnsi="Times New Roman"/>
        </w:rPr>
        <w:t xml:space="preserve"> is closely associated with ARG levels in these wetlands, indicating the involvement of mobile genetic factors in their dissemination</w:t>
      </w:r>
      <w:r>
        <w:rPr>
          <w:rFonts w:ascii="Times New Roman" w:hAnsi="Times New Roman"/>
        </w:rPr>
        <w:t xml:space="preserve"> </w:t>
      </w:r>
      <w:r w:rsidR="00E244FC"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&lt;EndNote&gt;&lt;Cite&gt;&lt;Author&gt;Fang&lt;/Author&gt;&lt;Year&gt;2017&lt;/Year&gt;&lt;RecNum&gt;803&lt;/RecNum&gt;&lt;DisplayText&gt;(Fang et al., 2017)&lt;/DisplayText&gt;&lt;record&gt;&lt;rec-number&gt;803&lt;/rec-number&gt;&lt;foreign-keys&gt;&lt;key app="EN" db-id="w22tszxz12v02ie02asvszppdzx5axz52d95" timestamp="1718860848"&gt;803&lt;/key&gt;&lt;/foreign-keys&gt;&lt;ref-type name="Journal Article"&gt;17&lt;/ref-type&gt;&lt;contributors&gt;&lt;authors&gt;&lt;author&gt;Fang, Hansun&lt;/author&gt;&lt;author&gt;Zhang, Qin&lt;/author&gt;&lt;author&gt;Nie, Xiangping&lt;/author&gt;&lt;author&gt;Chen, Baowei&lt;/author&gt;&lt;author&gt;Xiao, Yuandong&lt;/author&gt;&lt;author&gt;Zhou, Qiubai&lt;/author&gt;&lt;author&gt;Liao, Wei&lt;/author&gt;&lt;author&gt;Liang, Ximei&lt;/author&gt;&lt;/authors&gt;&lt;/contributors&gt;&lt;titles&gt;&lt;title&gt;Occurrence and elimination of antibiotic resistance genes in a long-term operation integrated surface flow constructed wetland&lt;/title&gt;&lt;secondary-title&gt;Chemosphere&lt;/secondary-title&gt;&lt;/titles&gt;&lt;periodical&gt;&lt;full-title&gt;Chemosphere&lt;/full-title&gt;&lt;/periodical&gt;&lt;pages&gt;99-106&lt;/pages&gt;&lt;volume&gt;173&lt;/volume&gt;&lt;dates&gt;&lt;year&gt;2017&lt;/year&gt;&lt;/dates&gt;&lt;isbn&gt;0045-6535&lt;/isbn&gt;&lt;urls&gt;&lt;/urls&gt;&lt;/record&gt;&lt;/Cite&gt;&lt;/EndNote&gt;</w:instrText>
      </w:r>
      <w:r w:rsidR="00E244FC" w:rsidRPr="0012141A">
        <w:rPr>
          <w:rFonts w:ascii="Times New Roman" w:hAnsi="Times New Roman"/>
          <w:color w:val="0000FF"/>
        </w:rPr>
        <w:fldChar w:fldCharType="separate"/>
      </w:r>
      <w:r w:rsidR="00287940">
        <w:rPr>
          <w:rFonts w:ascii="Times New Roman" w:hAnsi="Times New Roman"/>
          <w:noProof/>
          <w:color w:val="0000FF"/>
        </w:rPr>
        <w:t>(Fang et al., 2017)</w:t>
      </w:r>
      <w:r w:rsidR="00E244FC" w:rsidRPr="0012141A">
        <w:rPr>
          <w:rFonts w:ascii="Times New Roman" w:hAnsi="Times New Roman"/>
          <w:color w:val="0000FF"/>
        </w:rPr>
        <w:fldChar w:fldCharType="end"/>
      </w:r>
      <w:r w:rsidR="00E244FC" w:rsidRPr="0012141A">
        <w:rPr>
          <w:rFonts w:ascii="Times New Roman" w:hAnsi="Times New Roman"/>
        </w:rPr>
        <w:t xml:space="preserve">. </w:t>
      </w:r>
      <w:r w:rsidRPr="00BF04BB">
        <w:rPr>
          <w:rFonts w:ascii="Times New Roman" w:hAnsi="Times New Roman"/>
        </w:rPr>
        <w:t xml:space="preserve">Chlorination or UV/chlorination sequences effectively inactivate ARGs such as </w:t>
      </w:r>
      <w:r w:rsidRPr="00BF04BB">
        <w:rPr>
          <w:rFonts w:ascii="Times New Roman" w:hAnsi="Times New Roman"/>
          <w:i/>
          <w:iCs/>
        </w:rPr>
        <w:t>sul1</w:t>
      </w:r>
      <w:r w:rsidRPr="00BF04BB">
        <w:rPr>
          <w:rFonts w:ascii="Times New Roman" w:hAnsi="Times New Roman"/>
        </w:rPr>
        <w:t xml:space="preserve"> and </w:t>
      </w:r>
      <w:proofErr w:type="spellStart"/>
      <w:r w:rsidRPr="00BF04BB">
        <w:rPr>
          <w:rFonts w:ascii="Times New Roman" w:hAnsi="Times New Roman"/>
          <w:i/>
          <w:iCs/>
        </w:rPr>
        <w:t>tetG</w:t>
      </w:r>
      <w:proofErr w:type="spellEnd"/>
      <w:r w:rsidRPr="00BF04BB">
        <w:rPr>
          <w:rFonts w:ascii="Times New Roman" w:hAnsi="Times New Roman"/>
        </w:rPr>
        <w:t>, with efficiency contingent upon dosage and contact duration</w:t>
      </w:r>
      <w:r>
        <w:rPr>
          <w:rFonts w:ascii="Times New Roman" w:hAnsi="Times New Roman"/>
        </w:rPr>
        <w:t xml:space="preserve"> </w:t>
      </w:r>
      <w:r w:rsidR="00E244FC"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&lt;EndNote&gt;&lt;Cite&gt;&lt;Author&gt;Sharma&lt;/Author&gt;&lt;Year&gt;2016&lt;/Year&gt;&lt;RecNum&gt;804&lt;/RecNum&gt;&lt;DisplayText&gt;(Sharma et al., 2016)&lt;/DisplayText&gt;&lt;record&gt;&lt;rec-number&gt;804&lt;/rec-number&gt;&lt;foreign-keys&gt;&lt;key app="EN" db-id="w22tszxz12v02ie02asvszppdzx5axz52d95" timestamp="1718860920"&gt;804&lt;/key&gt;&lt;/foreign-keys&gt;&lt;ref-type name="Journal Article"&gt;17&lt;/ref-type&gt;&lt;contributors&gt;&lt;authors&gt;&lt;author&gt;Sharma, Virender K&lt;/author&gt;&lt;author&gt;Johnson, Natalie&lt;/author&gt;&lt;author&gt;Cizmas, Leslie&lt;/author&gt;&lt;author&gt;McDonald, Thomas J&lt;/author&gt;&lt;author&gt;Kim, Hyunook&lt;/author&gt;&lt;/authors&gt;&lt;/contributors&gt;&lt;titles&gt;&lt;title&gt;A review of the influence of treatment strategies on antibiotic resistant bacteria and antibiotic resistance genes&lt;/title&gt;&lt;secondary-title&gt;Chemosphere&lt;/secondary-title&gt;&lt;/titles&gt;&lt;periodical&gt;&lt;full-title&gt;Chemosphere&lt;/full-title&gt;&lt;/periodical&gt;&lt;pages&gt;702-714&lt;/pages&gt;&lt;volume&gt;150&lt;/volume&gt;&lt;dates&gt;&lt;year&gt;2016&lt;/year&gt;&lt;/dates&gt;&lt;isbn&gt;0045-6535&lt;/isbn&gt;&lt;urls&gt;&lt;/urls&gt;&lt;/record&gt;&lt;/Cite&gt;&lt;/EndNote&gt;</w:instrText>
      </w:r>
      <w:r w:rsidR="00E244FC" w:rsidRPr="0012141A">
        <w:rPr>
          <w:rFonts w:ascii="Times New Roman" w:hAnsi="Times New Roman"/>
          <w:color w:val="0000FF"/>
        </w:rPr>
        <w:fldChar w:fldCharType="separate"/>
      </w:r>
      <w:r w:rsidR="00287940">
        <w:rPr>
          <w:rFonts w:ascii="Times New Roman" w:hAnsi="Times New Roman"/>
          <w:noProof/>
          <w:color w:val="0000FF"/>
        </w:rPr>
        <w:t>(Sharma et al., 2016)</w:t>
      </w:r>
      <w:r w:rsidR="00E244FC" w:rsidRPr="0012141A">
        <w:rPr>
          <w:rFonts w:ascii="Times New Roman" w:hAnsi="Times New Roman"/>
          <w:color w:val="0000FF"/>
        </w:rPr>
        <w:fldChar w:fldCharType="end"/>
      </w:r>
      <w:r w:rsidR="00E244FC" w:rsidRPr="0012141A">
        <w:rPr>
          <w:rFonts w:ascii="Times New Roman" w:hAnsi="Times New Roman"/>
        </w:rPr>
        <w:t xml:space="preserve">. </w:t>
      </w:r>
      <w:r w:rsidRPr="00BF04BB">
        <w:rPr>
          <w:rFonts w:ascii="Times New Roman" w:hAnsi="Times New Roman"/>
        </w:rPr>
        <w:t>Antimicrobial nanotechnology provides dual mechanisms: the liberation of toxic ions from nanoparticles and simultaneous assaults on ARBs and ARGs, showcasing efficacy against multidrug-resistant pathogens without promoting nanomaterial-resistant strains</w:t>
      </w:r>
      <w:r>
        <w:rPr>
          <w:rFonts w:ascii="Times New Roman" w:hAnsi="Times New Roman"/>
        </w:rPr>
        <w:t xml:space="preserve"> </w:t>
      </w:r>
      <w:r w:rsidR="00E244FC"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&lt;EndNote&gt;&lt;Cite&gt;&lt;Author&gt;Aruguete&lt;/Author&gt;&lt;Year&gt;2013&lt;/Year&gt;&lt;RecNum&gt;799&lt;/RecNum&gt;&lt;DisplayText&gt;(Aruguete et al., 2013)&lt;/DisplayText&gt;&lt;record&gt;&lt;rec-number&gt;799&lt;/rec-number&gt;&lt;foreign-keys&gt;&lt;key app="EN" db-id="w22tszxz12v02ie02asvszppdzx5axz52d95" timestamp="1718382634"&gt;799&lt;/key&gt;&lt;/foreign-keys&gt;&lt;ref-type name="Journal Article"&gt;17&lt;/ref-type&gt;&lt;contributors&gt;&lt;authors&gt;&lt;author&gt;Aruguete, Deborah M&lt;/author&gt;&lt;author&gt;Kim, Bojeong&lt;/author&gt;&lt;author&gt;Hochella, Michael F&lt;/author&gt;&lt;author&gt;Ma, Yanjun&lt;/author&gt;&lt;author&gt;Cheng, Yingwen&lt;/author&gt;&lt;author&gt;Hoegh, Andy&lt;/author&gt;&lt;author&gt;Liu, Jie&lt;/author&gt;&lt;author&gt;Pruden, Amy&lt;/author&gt;&lt;/authors&gt;&lt;/contributors&gt;&lt;titles&gt;&lt;title&gt;Antimicrobial nanotechnology: its potential for the effective management of microbial drug resistance and implications for research needs in microbial nanotoxicology&lt;/title&gt;&lt;secondary-title&gt;Environmental Science: Processes &amp;amp; Impacts&lt;/secondary-title&gt;&lt;/titles&gt;&lt;periodical&gt;&lt;full-title&gt;Environmental Science: Processes &amp;amp; Impacts&lt;/full-title&gt;&lt;/periodical&gt;&lt;pages&gt;93-102&lt;/pages&gt;&lt;volume&gt;15&lt;/volume&gt;&lt;number&gt;1&lt;/number&gt;&lt;dates&gt;&lt;year&gt;2013&lt;/year&gt;&lt;/dates&gt;&lt;urls&gt;&lt;/urls&gt;&lt;/record&gt;&lt;/Cite&gt;&lt;/EndNote&gt;</w:instrText>
      </w:r>
      <w:r w:rsidR="00E244FC" w:rsidRPr="0012141A">
        <w:rPr>
          <w:rFonts w:ascii="Times New Roman" w:hAnsi="Times New Roman"/>
          <w:color w:val="0000FF"/>
        </w:rPr>
        <w:fldChar w:fldCharType="separate"/>
      </w:r>
      <w:r w:rsidR="00287940">
        <w:rPr>
          <w:rFonts w:ascii="Times New Roman" w:hAnsi="Times New Roman"/>
          <w:noProof/>
          <w:color w:val="0000FF"/>
        </w:rPr>
        <w:t>(Aruguete et al., 2013)</w:t>
      </w:r>
      <w:r w:rsidR="00E244FC" w:rsidRPr="0012141A">
        <w:rPr>
          <w:rFonts w:ascii="Times New Roman" w:hAnsi="Times New Roman"/>
          <w:color w:val="0000FF"/>
        </w:rPr>
        <w:fldChar w:fldCharType="end"/>
      </w:r>
      <w:r w:rsidR="00E244FC" w:rsidRPr="0012141A">
        <w:rPr>
          <w:rFonts w:ascii="Times New Roman" w:hAnsi="Times New Roman"/>
        </w:rPr>
        <w:t xml:space="preserve">. </w:t>
      </w:r>
      <w:r w:rsidRPr="00BF04BB">
        <w:rPr>
          <w:rFonts w:ascii="Times New Roman" w:hAnsi="Times New Roman"/>
        </w:rPr>
        <w:t xml:space="preserve">Conventional physicochemical methods, such as coagulation with </w:t>
      </w:r>
      <w:proofErr w:type="spellStart"/>
      <w:r w:rsidRPr="00BF04BB">
        <w:rPr>
          <w:rFonts w:ascii="Times New Roman" w:hAnsi="Times New Roman"/>
        </w:rPr>
        <w:t>polyferric</w:t>
      </w:r>
      <w:proofErr w:type="spellEnd"/>
      <w:r w:rsidRPr="00BF04BB">
        <w:rPr>
          <w:rFonts w:ascii="Times New Roman" w:hAnsi="Times New Roman"/>
        </w:rPr>
        <w:t xml:space="preserve"> chloride (</w:t>
      </w:r>
      <w:proofErr w:type="spellStart"/>
      <w:r w:rsidRPr="00BF04BB">
        <w:rPr>
          <w:rFonts w:ascii="Times New Roman" w:hAnsi="Times New Roman"/>
        </w:rPr>
        <w:t>FeCl</w:t>
      </w:r>
      <w:proofErr w:type="spellEnd"/>
      <w:r w:rsidRPr="00BF04BB">
        <w:rPr>
          <w:rFonts w:ascii="Times New Roman" w:hAnsi="Times New Roman"/>
        </w:rPr>
        <w:t>₃), are notably successful for drinking water treatment. They attain a 0.5-log to 3.1-log reduction in critical ARGs (</w:t>
      </w:r>
      <w:r w:rsidRPr="00BF04BB">
        <w:rPr>
          <w:rFonts w:ascii="Times New Roman" w:hAnsi="Times New Roman"/>
          <w:i/>
          <w:iCs/>
        </w:rPr>
        <w:t>sul1</w:t>
      </w:r>
      <w:r w:rsidRPr="00BF04BB">
        <w:rPr>
          <w:rFonts w:ascii="Times New Roman" w:hAnsi="Times New Roman"/>
        </w:rPr>
        <w:t xml:space="preserve">, </w:t>
      </w:r>
      <w:r w:rsidRPr="00BF04BB">
        <w:rPr>
          <w:rFonts w:ascii="Times New Roman" w:hAnsi="Times New Roman"/>
          <w:i/>
          <w:iCs/>
        </w:rPr>
        <w:t>sul2</w:t>
      </w:r>
      <w:r w:rsidRPr="00BF04BB">
        <w:rPr>
          <w:rFonts w:ascii="Times New Roman" w:hAnsi="Times New Roman"/>
        </w:rPr>
        <w:t xml:space="preserve">, </w:t>
      </w:r>
      <w:proofErr w:type="spellStart"/>
      <w:r w:rsidRPr="00BF04BB">
        <w:rPr>
          <w:rFonts w:ascii="Times New Roman" w:hAnsi="Times New Roman"/>
          <w:i/>
          <w:iCs/>
        </w:rPr>
        <w:t>tetO</w:t>
      </w:r>
      <w:proofErr w:type="spellEnd"/>
      <w:r w:rsidRPr="00BF04BB">
        <w:rPr>
          <w:rFonts w:ascii="Times New Roman" w:hAnsi="Times New Roman"/>
        </w:rPr>
        <w:t xml:space="preserve">, </w:t>
      </w:r>
      <w:proofErr w:type="spellStart"/>
      <w:r w:rsidRPr="00BF04BB">
        <w:rPr>
          <w:rFonts w:ascii="Times New Roman" w:hAnsi="Times New Roman"/>
          <w:i/>
          <w:iCs/>
        </w:rPr>
        <w:t>tetW</w:t>
      </w:r>
      <w:proofErr w:type="spellEnd"/>
      <w:r w:rsidRPr="00BF04BB">
        <w:rPr>
          <w:rFonts w:ascii="Times New Roman" w:hAnsi="Times New Roman"/>
        </w:rPr>
        <w:t xml:space="preserve">, </w:t>
      </w:r>
      <w:proofErr w:type="spellStart"/>
      <w:r w:rsidRPr="00BF04BB">
        <w:rPr>
          <w:rFonts w:ascii="Times New Roman" w:hAnsi="Times New Roman"/>
          <w:i/>
          <w:iCs/>
        </w:rPr>
        <w:t>tetQ</w:t>
      </w:r>
      <w:proofErr w:type="spellEnd"/>
      <w:r w:rsidRPr="00BF04BB">
        <w:rPr>
          <w:rFonts w:ascii="Times New Roman" w:hAnsi="Times New Roman"/>
        </w:rPr>
        <w:t xml:space="preserve">, </w:t>
      </w:r>
      <w:r w:rsidRPr="00BF04BB">
        <w:rPr>
          <w:rFonts w:ascii="Times New Roman" w:hAnsi="Times New Roman"/>
          <w:i/>
          <w:iCs/>
        </w:rPr>
        <w:t>intI1</w:t>
      </w:r>
      <w:r w:rsidRPr="00BF04BB">
        <w:rPr>
          <w:rFonts w:ascii="Times New Roman" w:hAnsi="Times New Roman"/>
        </w:rPr>
        <w:t>), surpassing techniques like constructed wetlands or UV disinfection in treated wastewater effluent, while concurrently eliminating dissolved organic compounds and nutrients</w:t>
      </w:r>
      <w:r w:rsidR="00C22BBC">
        <w:rPr>
          <w:rFonts w:ascii="Times New Roman" w:hAnsi="Times New Roman"/>
        </w:rPr>
        <w:t xml:space="preserve"> </w:t>
      </w:r>
      <w:r w:rsidR="00E244FC"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&lt;EndNote&gt;&lt;Cite&gt;&lt;Author&gt;Sanganyado&lt;/Author&gt;&lt;Year&gt;2019&lt;/Year&gt;&lt;RecNum&gt;806&lt;/RecNum&gt;&lt;DisplayText&gt;(Sanganyado and Gwenzi, 2019)&lt;/DisplayText&gt;&lt;record&gt;&lt;rec-number&gt;806&lt;/rec-number&gt;&lt;foreign-keys&gt;&lt;key app="EN" db-id="w22tszxz12v02ie02asvszppdzx5axz52d95" timestamp="1718861106"&gt;806&lt;/key&gt;&lt;/foreign-keys&gt;&lt;ref-type name="Journal Article"&gt;17&lt;/ref-type&gt;&lt;contributors&gt;&lt;authors&gt;&lt;author&gt;Sanganyado, Edmond&lt;/author&gt;&lt;author&gt;Gwenzi, Willis&lt;/author&gt;&lt;/authors&gt;&lt;/contributors&gt;&lt;titles&gt;&lt;title&gt;Antibiotic resistance in drinking water systems: Occurrence, removal, and human health risks&lt;/title&gt;&lt;secondary-title&gt;Science of the Total Environment&lt;/secondary-title&gt;&lt;/titles&gt;&lt;periodical&gt;&lt;full-title&gt;Science of The Total Environment&lt;/full-title&gt;&lt;/periodical&gt;&lt;pages&gt;785-797&lt;/pages&gt;&lt;volume&gt;669&lt;/volume&gt;&lt;dates&gt;&lt;year&gt;2019&lt;/year&gt;&lt;/dates&gt;&lt;isbn&gt;0048-9697&lt;/isbn&gt;&lt;urls&gt;&lt;/urls&gt;&lt;/record&gt;&lt;/Cite&gt;&lt;/EndNote&gt;</w:instrText>
      </w:r>
      <w:r w:rsidR="00E244FC" w:rsidRPr="0012141A">
        <w:rPr>
          <w:rFonts w:ascii="Times New Roman" w:hAnsi="Times New Roman"/>
          <w:color w:val="0000FF"/>
        </w:rPr>
        <w:fldChar w:fldCharType="separate"/>
      </w:r>
      <w:r w:rsidR="00287940">
        <w:rPr>
          <w:rFonts w:ascii="Times New Roman" w:hAnsi="Times New Roman"/>
          <w:noProof/>
          <w:color w:val="0000FF"/>
        </w:rPr>
        <w:t>(Sanganyado and Gwenzi, 2019)</w:t>
      </w:r>
      <w:r w:rsidR="00E244FC" w:rsidRPr="0012141A">
        <w:rPr>
          <w:rFonts w:ascii="Times New Roman" w:hAnsi="Times New Roman"/>
          <w:color w:val="0000FF"/>
        </w:rPr>
        <w:fldChar w:fldCharType="end"/>
      </w:r>
      <w:r w:rsidR="00E244FC" w:rsidRPr="0012141A">
        <w:rPr>
          <w:rFonts w:ascii="Times New Roman" w:hAnsi="Times New Roman"/>
        </w:rPr>
        <w:t>.</w:t>
      </w:r>
    </w:p>
    <w:p w14:paraId="027B6EE6" w14:textId="77777777" w:rsidR="00C22BBC" w:rsidRPr="0012141A" w:rsidRDefault="00C22BBC" w:rsidP="006F3A51">
      <w:pPr>
        <w:spacing w:line="360" w:lineRule="auto"/>
        <w:jc w:val="both"/>
        <w:rPr>
          <w:rFonts w:ascii="Times New Roman" w:hAnsi="Times New Roman"/>
        </w:rPr>
      </w:pPr>
    </w:p>
    <w:p w14:paraId="2622F9B2" w14:textId="77777777" w:rsidR="003B3CE2" w:rsidRDefault="003B3CE2" w:rsidP="006F3A51">
      <w:pPr>
        <w:spacing w:line="360" w:lineRule="auto"/>
        <w:jc w:val="both"/>
        <w:rPr>
          <w:rFonts w:ascii="Times New Roman" w:hAnsi="Times New Roman"/>
          <w:b/>
          <w:bCs/>
        </w:rPr>
      </w:pPr>
    </w:p>
    <w:p w14:paraId="3E3380E9" w14:textId="68AF3F79" w:rsidR="006B1624" w:rsidRPr="0012141A" w:rsidRDefault="00CE1BB3" w:rsidP="006F3A51">
      <w:pPr>
        <w:spacing w:line="360" w:lineRule="auto"/>
        <w:jc w:val="both"/>
        <w:rPr>
          <w:rFonts w:ascii="Times New Roman" w:hAnsi="Times New Roman"/>
          <w:b/>
          <w:bCs/>
        </w:rPr>
      </w:pPr>
      <w:r>
        <w:rPr>
          <w:rFonts w:ascii="Times New Roman" w:hAnsi="Times New Roman"/>
          <w:b/>
          <w:bCs/>
        </w:rPr>
        <w:t>5</w:t>
      </w:r>
      <w:r w:rsidRPr="0012141A">
        <w:rPr>
          <w:rFonts w:ascii="Times New Roman" w:hAnsi="Times New Roman"/>
          <w:b/>
          <w:bCs/>
        </w:rPr>
        <w:t>.2 Soil treatment</w:t>
      </w:r>
    </w:p>
    <w:p w14:paraId="34CA947F" w14:textId="1B42486A" w:rsidR="00213847" w:rsidRPr="00213847" w:rsidRDefault="00213847" w:rsidP="00213847">
      <w:pPr>
        <w:spacing w:line="360" w:lineRule="auto"/>
        <w:jc w:val="both"/>
        <w:rPr>
          <w:rFonts w:ascii="Times New Roman" w:hAnsi="Times New Roman"/>
        </w:rPr>
      </w:pPr>
      <w:r w:rsidRPr="00213847">
        <w:rPr>
          <w:rFonts w:ascii="Times New Roman" w:hAnsi="Times New Roman"/>
        </w:rPr>
        <w:t xml:space="preserve">Earthworms facilitate the elimination of antibiotics and ARGs in soil via Verm remediation. They introduce and disseminate particular antibiotic-degrading bacteria, including </w:t>
      </w:r>
      <w:proofErr w:type="spellStart"/>
      <w:r w:rsidRPr="00213847">
        <w:rPr>
          <w:rFonts w:ascii="Times New Roman" w:hAnsi="Times New Roman"/>
          <w:i/>
          <w:iCs/>
        </w:rPr>
        <w:t>Microvirga</w:t>
      </w:r>
      <w:proofErr w:type="spellEnd"/>
      <w:r w:rsidRPr="00213847">
        <w:rPr>
          <w:rFonts w:ascii="Times New Roman" w:hAnsi="Times New Roman"/>
        </w:rPr>
        <w:t xml:space="preserve"> and </w:t>
      </w:r>
      <w:proofErr w:type="spellStart"/>
      <w:r w:rsidRPr="00213847">
        <w:rPr>
          <w:rFonts w:ascii="Times New Roman" w:hAnsi="Times New Roman"/>
          <w:i/>
          <w:iCs/>
        </w:rPr>
        <w:t>Sphingomonas</w:t>
      </w:r>
      <w:proofErr w:type="spellEnd"/>
      <w:r w:rsidRPr="00213847">
        <w:rPr>
          <w:rFonts w:ascii="Times New Roman" w:hAnsi="Times New Roman"/>
        </w:rPr>
        <w:t>, through their castings</w:t>
      </w:r>
      <w:r>
        <w:rPr>
          <w:rFonts w:ascii="Times New Roman" w:hAnsi="Times New Roman"/>
        </w:rPr>
        <w:t xml:space="preserve"> </w:t>
      </w:r>
      <w:r w:rsidR="004334E4"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&lt;EndNote&gt;&lt;Cite&gt;&lt;Author&gt;Zhang&lt;/Author&gt;&lt;Year&gt;2022&lt;/Year&gt;&lt;RecNum&gt;807&lt;/RecNum&gt;&lt;DisplayText&gt;(Zhang et al., 2022)&lt;/DisplayText&gt;&lt;record&gt;&lt;rec-number&gt;807&lt;/rec-number&gt;&lt;foreign-keys&gt;&lt;key app="EN" db-id="w22tszxz12v02ie02asvszppdzx5axz52d95" timestamp="1718861181"&gt;807&lt;/key&gt;&lt;/foreign-keys&gt;&lt;ref-type name="Journal Article"&gt;17&lt;/ref-type&gt;&lt;contributors&gt;&lt;authors&gt;&lt;author&gt;Zhang, Yue&lt;/author&gt;&lt;author&gt;Song, Ke&lt;/author&gt;&lt;author&gt;Zhang, Juanqin&lt;/author&gt;&lt;author&gt;Xu, Xiaoyun&lt;/author&gt;&lt;author&gt;Ye, Geng&lt;/author&gt;&lt;author&gt;Cao, Huan&lt;/author&gt;&lt;author&gt;Chen, Ming&lt;/author&gt;&lt;author&gt;Cai, Shumei&lt;/author&gt;&lt;author&gt;Cao, Xinde&lt;/author&gt;&lt;author&gt;Zheng, Xianqing&lt;/author&gt;&lt;/authors&gt;&lt;/contributors&gt;&lt;titles&gt;&lt;title&gt;Removal of sulfamethoxazole and antibiotic resistance genes in paddy soil by earthworms (Pheretima guillelmi): Intestinal detoxification and stimulation of indigenous soil bacteria&lt;/title&gt;&lt;secondary-title&gt;Science of The Total Environment&lt;/secondary-title&gt;&lt;/titles&gt;&lt;periodical&gt;&lt;full-title&gt;Science of The Total Environment&lt;/full-title&gt;&lt;/periodical&gt;&lt;pages&gt;158075&lt;/pages&gt;&lt;volume&gt;851&lt;/volume&gt;&lt;dates&gt;&lt;year&gt;2022&lt;/year&gt;&lt;/dates&gt;&lt;isbn&gt;0048-9697&lt;/isbn&gt;&lt;urls&gt;&lt;/urls&gt;&lt;/record&gt;&lt;/Cite&gt;&lt;/EndNote&gt;</w:instrText>
      </w:r>
      <w:r w:rsidR="004334E4" w:rsidRPr="0012141A">
        <w:rPr>
          <w:rFonts w:ascii="Times New Roman" w:hAnsi="Times New Roman"/>
          <w:color w:val="0000FF"/>
        </w:rPr>
        <w:fldChar w:fldCharType="separate"/>
      </w:r>
      <w:r w:rsidR="00287940">
        <w:rPr>
          <w:rFonts w:ascii="Times New Roman" w:hAnsi="Times New Roman"/>
          <w:noProof/>
          <w:color w:val="0000FF"/>
        </w:rPr>
        <w:t>(Zhang et al., 2022)</w:t>
      </w:r>
      <w:r w:rsidR="004334E4" w:rsidRPr="0012141A">
        <w:rPr>
          <w:rFonts w:ascii="Times New Roman" w:hAnsi="Times New Roman"/>
          <w:color w:val="0000FF"/>
        </w:rPr>
        <w:fldChar w:fldCharType="end"/>
      </w:r>
      <w:r w:rsidR="004334E4" w:rsidRPr="0012141A">
        <w:rPr>
          <w:rFonts w:ascii="Times New Roman" w:hAnsi="Times New Roman"/>
        </w:rPr>
        <w:t xml:space="preserve">. </w:t>
      </w:r>
      <w:r w:rsidRPr="00213847">
        <w:rPr>
          <w:rFonts w:ascii="Times New Roman" w:hAnsi="Times New Roman"/>
        </w:rPr>
        <w:t xml:space="preserve">Earthworms markedly diminish the abundance of antibiotic resistance genes (ARGs) by modifying the bacterial community, inhibiting possible ARG hosts, and enhancing degraders such as </w:t>
      </w:r>
      <w:r w:rsidRPr="00213847">
        <w:rPr>
          <w:rFonts w:ascii="Times New Roman" w:hAnsi="Times New Roman"/>
          <w:i/>
          <w:iCs/>
        </w:rPr>
        <w:t>Flavobacterium</w:t>
      </w:r>
      <w:r w:rsidR="00C22BBC">
        <w:rPr>
          <w:rFonts w:ascii="Times New Roman" w:hAnsi="Times New Roman"/>
          <w:i/>
          <w:iCs/>
        </w:rPr>
        <w:t xml:space="preserve"> </w:t>
      </w:r>
      <w:r w:rsidR="004334E4"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&lt;EndNote&gt;&lt;Cite&gt;&lt;Author&gt;Yang&lt;/Author&gt;&lt;Year&gt;2021&lt;/Year&gt;&lt;RecNum&gt;808&lt;/RecNum&gt;&lt;DisplayText&gt;(Yang et al., 2021)&lt;/DisplayText&gt;&lt;record&gt;&lt;rec-number&gt;808&lt;/rec-number&gt;&lt;foreign-keys&gt;&lt;key app="EN" db-id="w22tszxz12v02ie02asvszppdzx5axz52d95" timestamp="1718861249"&gt;808&lt;/key&gt;&lt;/foreign-keys&gt;&lt;ref-type name="Journal Article"&gt;17&lt;/ref-type&gt;&lt;contributors&gt;&lt;authors&gt;&lt;author&gt;Yang, Side&lt;/author&gt;&lt;author&gt;Zhao, Lixia&lt;/author&gt;&lt;author&gt;Chang, Xingping&lt;/author&gt;&lt;author&gt;Pan, Zheng&lt;/author&gt;&lt;author&gt;Zhou, Bin&lt;/author&gt;&lt;author&gt;Sun, Yang&lt;/author&gt;&lt;author&gt;Li, Xiaojing&lt;/author&gt;&lt;author&gt;Weng, Liping&lt;/author&gt;&lt;author&gt;Li, Yongtao&lt;/author&gt;&lt;/authors&gt;&lt;/contributors&gt;&lt;titles&gt;&lt;title&gt;Removal of chlortetracycline and antibiotic resistance genes in soil by earthworms (epigeic Eisenia fetida and endogeic Metaphire guillelmi)&lt;/title&gt;&lt;secondary-title&gt;Science of The Total Environment&lt;/secondary-title&gt;&lt;/titles&gt;&lt;periodical&gt;&lt;full-title&gt;Science of The Total Environment&lt;/full-title&gt;&lt;/periodical&gt;&lt;pages&gt;146679&lt;/pages&gt;&lt;volume&gt;781&lt;/volume&gt;&lt;dates&gt;&lt;year&gt;2021&lt;/year&gt;&lt;/dates&gt;&lt;isbn&gt;0048-9697&lt;/isbn&gt;&lt;urls&gt;&lt;/urls&gt;&lt;/record&gt;&lt;/Cite&gt;&lt;/EndNote&gt;</w:instrText>
      </w:r>
      <w:r w:rsidR="004334E4" w:rsidRPr="0012141A">
        <w:rPr>
          <w:rFonts w:ascii="Times New Roman" w:hAnsi="Times New Roman"/>
          <w:color w:val="0000FF"/>
        </w:rPr>
        <w:fldChar w:fldCharType="separate"/>
      </w:r>
      <w:r w:rsidR="00287940">
        <w:rPr>
          <w:rFonts w:ascii="Times New Roman" w:hAnsi="Times New Roman"/>
          <w:noProof/>
          <w:color w:val="0000FF"/>
        </w:rPr>
        <w:t>(Yang et al., 2021)</w:t>
      </w:r>
      <w:r w:rsidR="004334E4" w:rsidRPr="0012141A">
        <w:rPr>
          <w:rFonts w:ascii="Times New Roman" w:hAnsi="Times New Roman"/>
          <w:color w:val="0000FF"/>
        </w:rPr>
        <w:fldChar w:fldCharType="end"/>
      </w:r>
      <w:r w:rsidR="004334E4" w:rsidRPr="0012141A">
        <w:rPr>
          <w:rFonts w:ascii="Times New Roman" w:hAnsi="Times New Roman"/>
        </w:rPr>
        <w:t>.</w:t>
      </w:r>
      <w:r w:rsidR="00714E74" w:rsidRPr="0012141A">
        <w:rPr>
          <w:rFonts w:ascii="Times New Roman" w:hAnsi="Times New Roman"/>
        </w:rPr>
        <w:t xml:space="preserve"> </w:t>
      </w:r>
      <w:r w:rsidRPr="00213847">
        <w:rPr>
          <w:rFonts w:ascii="Times New Roman" w:hAnsi="Times New Roman"/>
        </w:rPr>
        <w:t>Species such as</w:t>
      </w:r>
      <w:r w:rsidRPr="00213847">
        <w:rPr>
          <w:rFonts w:ascii="Times New Roman" w:hAnsi="Times New Roman"/>
          <w:i/>
          <w:iCs/>
        </w:rPr>
        <w:t xml:space="preserve"> </w:t>
      </w:r>
      <w:proofErr w:type="spellStart"/>
      <w:r w:rsidRPr="00213847">
        <w:rPr>
          <w:rFonts w:ascii="Times New Roman" w:hAnsi="Times New Roman"/>
          <w:i/>
          <w:iCs/>
        </w:rPr>
        <w:t>Metaphire</w:t>
      </w:r>
      <w:proofErr w:type="spellEnd"/>
      <w:r w:rsidRPr="00213847">
        <w:rPr>
          <w:rFonts w:ascii="Times New Roman" w:hAnsi="Times New Roman"/>
        </w:rPr>
        <w:t xml:space="preserve"> </w:t>
      </w:r>
      <w:proofErr w:type="spellStart"/>
      <w:r w:rsidRPr="00213847">
        <w:rPr>
          <w:rFonts w:ascii="Times New Roman" w:hAnsi="Times New Roman"/>
        </w:rPr>
        <w:t>guillelmi</w:t>
      </w:r>
      <w:proofErr w:type="spellEnd"/>
      <w:r w:rsidRPr="00213847">
        <w:rPr>
          <w:rFonts w:ascii="Times New Roman" w:hAnsi="Times New Roman"/>
        </w:rPr>
        <w:t xml:space="preserve"> expedite the decomposition of chlortetracycline and its metabolites, whereas earthworms enhance the degradation of oxytetracycline by augmenting ammonia-oxidizing bacteria</w:t>
      </w:r>
      <w:r>
        <w:rPr>
          <w:rFonts w:ascii="Times New Roman" w:hAnsi="Times New Roman"/>
        </w:rPr>
        <w:t xml:space="preserve"> </w:t>
      </w:r>
      <w:r w:rsidR="004334E4"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&lt;EndNote&gt;&lt;Cite&gt;&lt;Author&gt;Pu&lt;/Author&gt;&lt;Year&gt;2020&lt;/Year&gt;&lt;RecNum&gt;809&lt;/RecNum&gt;&lt;DisplayText&gt;(Pu et al., 2020)&lt;/DisplayText&gt;&lt;record&gt;&lt;rec-number&gt;809&lt;/rec-number&gt;&lt;foreign-keys&gt;&lt;key app="EN" db-id="w22tszxz12v02ie02asvszppdzx5axz52d95" timestamp="1718861314"&gt;809&lt;/key&gt;&lt;/foreign-keys&gt;&lt;ref-type name="Journal Article"&gt;17&lt;/ref-type&gt;&lt;contributors&gt;&lt;authors&gt;&lt;author&gt;Pu, Qiang&lt;/author&gt;&lt;author&gt;Wang, Hong-Tao&lt;/author&gt;&lt;author&gt;Pan, Ting&lt;/author&gt;&lt;author&gt;Li, Hu&lt;/author&gt;&lt;author&gt;Su, Jian-Qiang&lt;/author&gt;&lt;/authors&gt;&lt;/contributors&gt;&lt;titles&gt;&lt;title&gt;Enhanced removal of ciprofloxacin and reduction of antibiotic resistance genes by earthworm Metaphire vulgaris in soil&lt;/title&gt;&lt;secondary-title&gt;Science of the Total Environment&lt;/secondary-title&gt;&lt;/titles&gt;&lt;periodical&gt;&lt;full-title&gt;Science of The Total Environment&lt;/full-title&gt;&lt;/periodical&gt;&lt;pages&gt;140409&lt;/pages&gt;&lt;volume&gt;742&lt;/volume&gt;&lt;dates&gt;&lt;year&gt;2020&lt;/year&gt;&lt;/dates&gt;&lt;isbn&gt;0048-9697&lt;/isbn&gt;&lt;urls&gt;&lt;/urls&gt;&lt;/record&gt;&lt;/Cite&gt;&lt;/EndNote&gt;</w:instrText>
      </w:r>
      <w:r w:rsidR="004334E4" w:rsidRPr="0012141A">
        <w:rPr>
          <w:rFonts w:ascii="Times New Roman" w:hAnsi="Times New Roman"/>
          <w:color w:val="0000FF"/>
        </w:rPr>
        <w:fldChar w:fldCharType="separate"/>
      </w:r>
      <w:r w:rsidR="00287940">
        <w:rPr>
          <w:rFonts w:ascii="Times New Roman" w:hAnsi="Times New Roman"/>
          <w:noProof/>
          <w:color w:val="0000FF"/>
        </w:rPr>
        <w:t>(Pu et al., 2020)</w:t>
      </w:r>
      <w:r w:rsidR="004334E4" w:rsidRPr="0012141A">
        <w:rPr>
          <w:rFonts w:ascii="Times New Roman" w:hAnsi="Times New Roman"/>
          <w:color w:val="0000FF"/>
        </w:rPr>
        <w:fldChar w:fldCharType="end"/>
      </w:r>
      <w:r w:rsidR="004334E4" w:rsidRPr="0012141A">
        <w:rPr>
          <w:rFonts w:ascii="Segoe UI" w:hAnsi="Segoe UI" w:cs="Segoe UI"/>
          <w:color w:val="0F1115"/>
          <w:shd w:val="clear" w:color="auto" w:fill="FFFFFF"/>
        </w:rPr>
        <w:t>.</w:t>
      </w:r>
      <w:r w:rsidR="0049132B">
        <w:rPr>
          <w:rFonts w:ascii="Segoe UI" w:hAnsi="Segoe UI" w:cs="Segoe UI"/>
          <w:color w:val="0F1115"/>
          <w:shd w:val="clear" w:color="auto" w:fill="FFFFFF"/>
        </w:rPr>
        <w:t xml:space="preserve"> </w:t>
      </w:r>
      <w:r w:rsidRPr="00213847">
        <w:rPr>
          <w:rFonts w:ascii="Times New Roman" w:hAnsi="Times New Roman"/>
        </w:rPr>
        <w:t xml:space="preserve">These activities collectively diminish selective pressure and restrict the proliferation of ARGs in soil. </w:t>
      </w:r>
    </w:p>
    <w:p w14:paraId="205045FB" w14:textId="5AAF8D66" w:rsidR="00C22BBC" w:rsidRDefault="00C22BBC" w:rsidP="006F3A51">
      <w:pPr>
        <w:spacing w:line="360" w:lineRule="auto"/>
        <w:jc w:val="both"/>
        <w:rPr>
          <w:rFonts w:ascii="Times New Roman" w:hAnsi="Times New Roman"/>
        </w:rPr>
      </w:pPr>
    </w:p>
    <w:p w14:paraId="0ECAD409" w14:textId="78EADBF8" w:rsidR="006B1624" w:rsidRPr="0012141A" w:rsidRDefault="00CE1BB3" w:rsidP="006F3A51">
      <w:pPr>
        <w:spacing w:line="360" w:lineRule="auto"/>
        <w:jc w:val="both"/>
        <w:rPr>
          <w:rFonts w:ascii="Times New Roman" w:hAnsi="Times New Roman"/>
          <w:b/>
          <w:bCs/>
        </w:rPr>
      </w:pPr>
      <w:r>
        <w:rPr>
          <w:rFonts w:ascii="Times New Roman" w:hAnsi="Times New Roman"/>
          <w:b/>
          <w:bCs/>
        </w:rPr>
        <w:t>5</w:t>
      </w:r>
      <w:r w:rsidRPr="0012141A">
        <w:rPr>
          <w:rFonts w:ascii="Times New Roman" w:hAnsi="Times New Roman"/>
          <w:b/>
          <w:bCs/>
        </w:rPr>
        <w:t>.3 Manure treatment</w:t>
      </w:r>
    </w:p>
    <w:p w14:paraId="16350F79" w14:textId="404EFED5" w:rsidR="006B1624" w:rsidRDefault="008915EA" w:rsidP="006F3A51">
      <w:pPr>
        <w:spacing w:line="360" w:lineRule="auto"/>
        <w:jc w:val="both"/>
        <w:rPr>
          <w:rFonts w:ascii="Times New Roman" w:hAnsi="Times New Roman"/>
        </w:rPr>
      </w:pPr>
      <w:r w:rsidRPr="008915EA">
        <w:rPr>
          <w:rFonts w:ascii="Times New Roman" w:hAnsi="Times New Roman"/>
        </w:rPr>
        <w:t>Modern animal farms utilize many waste management techniques to reduce the levels of antibiotics and antibiotic resistance genes (ARGs). Anaerobic digestion stabilizes waste, diminishes zoonotic bacteria by a minimum of one log, and produces methane</w:t>
      </w:r>
      <w:r>
        <w:rPr>
          <w:rFonts w:ascii="Times New Roman" w:hAnsi="Times New Roman"/>
        </w:rPr>
        <w:t xml:space="preserve"> </w:t>
      </w:r>
      <w:r w:rsidR="00B954D6"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&lt;EndNote&gt;&lt;Cite&gt;&lt;Author&gt;Checcucci&lt;/Author&gt;&lt;Year&gt;2020&lt;/Year&gt;&lt;RecNum&gt;811&lt;/RecNum&gt;&lt;DisplayText&gt;(Checcucci et al., 2020)&lt;/DisplayText&gt;&lt;record&gt;&lt;rec-number&gt;811&lt;/rec-number&gt;&lt;foreign-keys&gt;&lt;key app="EN" db-id="w22tszxz12v02ie02asvszppdzx5axz52d95" timestamp="1718861459"&gt;811&lt;/key&gt;&lt;/foreign-keys&gt;&lt;ref-type name="Journal Article"&gt;17&lt;/ref-type&gt;&lt;contributors&gt;&lt;authors&gt;&lt;author&gt;Checcucci, Alice&lt;/author&gt;&lt;author&gt;Trevisi, Paolo&lt;/author&gt;&lt;author&gt;Luise, Diana&lt;/author&gt;&lt;author&gt;Modesto, Monica&lt;/author&gt;&lt;author&gt;Blasioli, Sonia&lt;/author&gt;&lt;author&gt;Braschi, Ilaria&lt;/author&gt;&lt;author&gt;Mattarelli, Paola&lt;/author&gt;&lt;/authors&gt;&lt;/contributors&gt;&lt;titles&gt;&lt;title&gt;Exploring the animal waste resistome: the spread of antimicrobial resistance genes through the use of livestock manure&lt;/title&gt;&lt;secondary-title&gt;Frontiers in Microbiology&lt;/secondary-title&gt;&lt;/titles&gt;&lt;periodical&gt;&lt;full-title&gt;Frontiers in microbiology&lt;/full-title&gt;&lt;/periodical&gt;&lt;pages&gt;536406&lt;/pages&gt;&lt;volume&gt;11&lt;/volume&gt;&lt;dates&gt;&lt;year&gt;2020&lt;/year&gt;&lt;/dates&gt;&lt;isbn&gt;1664-302X&lt;/isbn&gt;&lt;urls&gt;&lt;/urls&gt;&lt;/record&gt;&lt;/Cite&gt;&lt;/EndNote&gt;</w:instrText>
      </w:r>
      <w:r w:rsidR="00B954D6" w:rsidRPr="0012141A">
        <w:rPr>
          <w:rFonts w:ascii="Times New Roman" w:hAnsi="Times New Roman"/>
          <w:color w:val="0000FF"/>
        </w:rPr>
        <w:fldChar w:fldCharType="separate"/>
      </w:r>
      <w:r w:rsidR="00287940">
        <w:rPr>
          <w:rFonts w:ascii="Times New Roman" w:hAnsi="Times New Roman"/>
          <w:noProof/>
          <w:color w:val="0000FF"/>
        </w:rPr>
        <w:t>(Checcucci et al., 2020)</w:t>
      </w:r>
      <w:r w:rsidR="00B954D6" w:rsidRPr="0012141A">
        <w:rPr>
          <w:rFonts w:ascii="Times New Roman" w:hAnsi="Times New Roman"/>
          <w:color w:val="0000FF"/>
        </w:rPr>
        <w:fldChar w:fldCharType="end"/>
      </w:r>
      <w:r w:rsidR="00B954D6" w:rsidRPr="0012141A">
        <w:rPr>
          <w:rFonts w:ascii="Times New Roman" w:hAnsi="Times New Roman"/>
        </w:rPr>
        <w:t xml:space="preserve">. </w:t>
      </w:r>
      <w:r w:rsidRPr="008915EA">
        <w:rPr>
          <w:rFonts w:ascii="Times New Roman" w:hAnsi="Times New Roman"/>
        </w:rPr>
        <w:t>The integration of pasteurization pretreatment with anaerobic digestion (PPAD) improves the elimination of tetracyclines and augments methane production, with tetracycline levels decreasing from 17.238 to 0 and methane yield increasing from 244.07 to 254.06 over a technical digestion period of 20-25 days (T80)</w:t>
      </w:r>
      <w:r>
        <w:rPr>
          <w:rFonts w:ascii="Times New Roman" w:hAnsi="Times New Roman"/>
        </w:rPr>
        <w:t xml:space="preserve"> </w:t>
      </w:r>
      <w:r w:rsidR="00B954D6" w:rsidRPr="0012141A">
        <w:rPr>
          <w:rFonts w:ascii="Times New Roman" w:hAnsi="Times New Roman"/>
          <w:color w:val="00B0F0"/>
        </w:rPr>
        <w:fldChar w:fldCharType="begin"/>
      </w:r>
      <w:r w:rsidR="00287940">
        <w:rPr>
          <w:rFonts w:ascii="Times New Roman" w:hAnsi="Times New Roman"/>
          <w:color w:val="00B0F0"/>
        </w:rPr>
        <w:instrText xml:space="preserve"> ADDIN EN.CITE &lt;EndNote&gt;&lt;Cite&gt;&lt;Author&gt;Yin&lt;/Author&gt;&lt;Year&gt;2020&lt;/Year&gt;&lt;RecNum&gt;813&lt;/RecNum&gt;&lt;DisplayText&gt;(Yin et al., 2020)&lt;/DisplayText&gt;&lt;record&gt;&lt;rec-number&gt;813&lt;/rec-number&gt;&lt;foreign-keys&gt;&lt;key app="EN" db-id="w22tszxz12v02ie02asvszppdzx5axz52d95" timestamp="1718861600"&gt;813&lt;/key&gt;&lt;/foreign-keys&gt;&lt;ref-type name="Journal Article"&gt;17&lt;/ref-type&gt;&lt;contributors&gt;&lt;authors&gt;&lt;author&gt;Yin, Fubin&lt;/author&gt;&lt;author&gt;Dong, Hongmin&lt;/author&gt;&lt;author&gt;Zhang, Wanqin&lt;/author&gt;&lt;author&gt;Zhu, Zhiping&lt;/author&gt;&lt;author&gt;Shang, Bin&lt;/author&gt;&lt;/authors&gt;&lt;/contributors&gt;&lt;titles&gt;&lt;title&gt;Additional function of pasteurisation pretreatment in combination with anaerobic digestion on antibiotic removal&lt;/title&gt;&lt;secondary-title&gt;Bioresource technology&lt;/secondary-title&gt;&lt;/titles&gt;&lt;periodical&gt;&lt;full-title&gt;Bioresource technology&lt;/full-title&gt;&lt;/periodical&gt;&lt;pages&gt;122414&lt;/pages&gt;&lt;volume&gt;297&lt;/volume&gt;&lt;dates&gt;&lt;year&gt;2020&lt;/year&gt;&lt;/dates&gt;&lt;isbn&gt;0960-8524&lt;/isbn&gt;&lt;urls&gt;&lt;/urls&gt;&lt;/record&gt;&lt;/Cite&gt;&lt;/EndNote&gt;</w:instrText>
      </w:r>
      <w:r w:rsidR="00B954D6" w:rsidRPr="0012141A">
        <w:rPr>
          <w:rFonts w:ascii="Times New Roman" w:hAnsi="Times New Roman"/>
          <w:color w:val="00B0F0"/>
        </w:rPr>
        <w:fldChar w:fldCharType="separate"/>
      </w:r>
      <w:r w:rsidR="00287940">
        <w:rPr>
          <w:rFonts w:ascii="Times New Roman" w:hAnsi="Times New Roman"/>
          <w:noProof/>
          <w:color w:val="00B0F0"/>
        </w:rPr>
        <w:t>(Yin et al., 2020)</w:t>
      </w:r>
      <w:r w:rsidR="00B954D6" w:rsidRPr="0012141A">
        <w:rPr>
          <w:rFonts w:ascii="Times New Roman" w:hAnsi="Times New Roman"/>
          <w:color w:val="00B0F0"/>
        </w:rPr>
        <w:fldChar w:fldCharType="end"/>
      </w:r>
      <w:r w:rsidR="00B954D6" w:rsidRPr="0012141A">
        <w:rPr>
          <w:rFonts w:ascii="Times New Roman" w:hAnsi="Times New Roman"/>
        </w:rPr>
        <w:t xml:space="preserve">. </w:t>
      </w:r>
      <w:r w:rsidRPr="008915EA">
        <w:rPr>
          <w:rFonts w:ascii="Times New Roman" w:hAnsi="Times New Roman"/>
        </w:rPr>
        <w:t xml:space="preserve">Microwave (MW) radiation can treat dairy manure for 30 to 300 seconds at a frequency of 2450 </w:t>
      </w:r>
      <w:proofErr w:type="spellStart"/>
      <w:r w:rsidRPr="008915EA">
        <w:rPr>
          <w:rFonts w:ascii="Times New Roman" w:hAnsi="Times New Roman"/>
        </w:rPr>
        <w:t>MHz.</w:t>
      </w:r>
      <w:proofErr w:type="spellEnd"/>
      <w:r w:rsidRPr="008915EA">
        <w:rPr>
          <w:rFonts w:ascii="Times New Roman" w:hAnsi="Times New Roman"/>
        </w:rPr>
        <w:t xml:space="preserve"> The moisture removal rate (U) of dairy manure can attain 0.63 g of water/min/gram, hence diminishing ARGs such as </w:t>
      </w:r>
      <w:r w:rsidRPr="008915EA">
        <w:rPr>
          <w:rFonts w:ascii="Times New Roman" w:hAnsi="Times New Roman"/>
          <w:i/>
          <w:iCs/>
        </w:rPr>
        <w:t>sul1</w:t>
      </w:r>
      <w:r w:rsidRPr="008915EA">
        <w:rPr>
          <w:rFonts w:ascii="Times New Roman" w:hAnsi="Times New Roman"/>
        </w:rPr>
        <w:t xml:space="preserve"> and </w:t>
      </w:r>
      <w:r w:rsidRPr="008915EA">
        <w:rPr>
          <w:rFonts w:ascii="Times New Roman" w:hAnsi="Times New Roman"/>
          <w:i/>
          <w:iCs/>
        </w:rPr>
        <w:t>intI1</w:t>
      </w:r>
      <w:r w:rsidR="00C22BBC">
        <w:rPr>
          <w:rFonts w:ascii="Times New Roman" w:hAnsi="Times New Roman"/>
          <w:i/>
          <w:iCs/>
        </w:rPr>
        <w:t xml:space="preserve"> </w:t>
      </w:r>
      <w:r w:rsidR="00B954D6"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&lt;EndNote&gt;&lt;Cite&gt;&lt;Author&gt;Luo&lt;/Author&gt;&lt;Year&gt;2021&lt;/Year&gt;&lt;RecNum&gt;814&lt;/RecNum&gt;&lt;DisplayText&gt;(Luo et al., 2021)&lt;/DisplayText&gt;&lt;record&gt;&lt;rec-number&gt;814&lt;/rec-number&gt;&lt;foreign-keys&gt;&lt;key app="EN" db-id="w22tszxz12v02ie02asvszppdzx5axz52d95" timestamp="1718861669"&gt;814&lt;/key&gt;&lt;/foreign-keys&gt;&lt;ref-type name="Journal Article"&gt;17&lt;/ref-type&gt;&lt;contributors&gt;&lt;authors&gt;&lt;author&gt;Luo, Tao&lt;/author&gt;&lt;author&gt;Wang, Yi&lt;/author&gt;&lt;author&gt;Pandey, Pramod&lt;/author&gt;&lt;/authors&gt;&lt;/contributors&gt;&lt;titles&gt;&lt;title&gt;The removal of moisture and antibiotic resistance genes in dairy manure by microwave treatment&lt;/title&gt;&lt;secondary-title&gt;Environmental Science and Pollution Research&lt;/secondary-title&gt;&lt;/titles&gt;&lt;periodical&gt;&lt;full-title&gt;Environmental Science and Pollution Research&lt;/full-title&gt;&lt;/periodical&gt;&lt;pages&gt;6675-6683&lt;/pages&gt;&lt;volume&gt;28&lt;/volume&gt;&lt;dates&gt;&lt;year&gt;2021&lt;/year&gt;&lt;/dates&gt;&lt;isbn&gt;0944-1344&lt;/isbn&gt;&lt;urls&gt;&lt;/urls&gt;&lt;/record&gt;&lt;/Cite&gt;&lt;/EndNote&gt;</w:instrText>
      </w:r>
      <w:r w:rsidR="00B954D6" w:rsidRPr="0012141A">
        <w:rPr>
          <w:rFonts w:ascii="Times New Roman" w:hAnsi="Times New Roman"/>
          <w:color w:val="0000FF"/>
        </w:rPr>
        <w:fldChar w:fldCharType="separate"/>
      </w:r>
      <w:r w:rsidR="00287940">
        <w:rPr>
          <w:rFonts w:ascii="Times New Roman" w:hAnsi="Times New Roman"/>
          <w:noProof/>
          <w:color w:val="0000FF"/>
        </w:rPr>
        <w:t>(Luo et al., 2021)</w:t>
      </w:r>
      <w:r w:rsidR="00B954D6" w:rsidRPr="0012141A">
        <w:rPr>
          <w:rFonts w:ascii="Times New Roman" w:hAnsi="Times New Roman"/>
          <w:color w:val="0000FF"/>
        </w:rPr>
        <w:fldChar w:fldCharType="end"/>
      </w:r>
      <w:r w:rsidR="00B954D6" w:rsidRPr="0012141A">
        <w:rPr>
          <w:rFonts w:ascii="Times New Roman" w:hAnsi="Times New Roman"/>
        </w:rPr>
        <w:t xml:space="preserve">. </w:t>
      </w:r>
      <w:r w:rsidRPr="008915EA">
        <w:rPr>
          <w:rFonts w:ascii="Times New Roman" w:hAnsi="Times New Roman"/>
        </w:rPr>
        <w:t>Ultimately, thermophilic composting, especially when supplemented with biochar sourced from mushrooms or straw, is an efficacious approach for managing ARGs</w:t>
      </w:r>
      <w:r>
        <w:rPr>
          <w:rFonts w:ascii="Times New Roman" w:hAnsi="Times New Roman"/>
        </w:rPr>
        <w:t xml:space="preserve"> </w:t>
      </w:r>
      <w:r w:rsidR="00B954D6"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&lt;EndNote&gt;&lt;Cite&gt;&lt;Author&gt;Liu&lt;/Author&gt;&lt;Year&gt;2021&lt;/Year&gt;&lt;RecNum&gt;815&lt;/RecNum&gt;&lt;DisplayText&gt;(Liu et al., 2021)&lt;/DisplayText&gt;&lt;record&gt;&lt;rec-number&gt;815&lt;/rec-number&gt;&lt;foreign-keys&gt;&lt;key app="EN" db-id="w22tszxz12v02ie02asvszppdzx5axz52d95" timestamp="1718861766"&gt;815&lt;/key&gt;&lt;/foreign-keys&gt;&lt;ref-type name="Journal Article"&gt;17&lt;/ref-type&gt;&lt;contributors&gt;&lt;authors&gt;&lt;author&gt;Liu, Botao&lt;/author&gt;&lt;author&gt;Yu, Kaifeng&lt;/author&gt;&lt;author&gt;Ahmed, Imtiaz&lt;/author&gt;&lt;author&gt;Gin, Karina&lt;/author&gt;&lt;author&gt;Xi, Beidou&lt;/author&gt;&lt;author&gt;Wei, Zimin&lt;/author&gt;&lt;author&gt;He, Yiliang&lt;/author&gt;&lt;author&gt;Zhang, Bo&lt;/author&gt;&lt;/authors&gt;&lt;/contributors&gt;&lt;titles&gt;&lt;title&gt;Key factors driving the fate of antibiotic resistance genes and controlling strategies during aerobic composting of animal manure: A review&lt;/title&gt;&lt;secondary-title&gt;Science of The Total Environment&lt;/secondary-title&gt;&lt;/titles&gt;&lt;periodical&gt;&lt;full-title&gt;Science of The Total Environment&lt;/full-title&gt;&lt;/periodical&gt;&lt;pages&gt;148372&lt;/pages&gt;&lt;volume&gt;791&lt;/volume&gt;&lt;dates&gt;&lt;year&gt;2021&lt;/year&gt;&lt;/dates&gt;&lt;isbn&gt;0048-9697&lt;/isbn&gt;&lt;urls&gt;&lt;/urls&gt;&lt;/record&gt;&lt;/Cite&gt;&lt;/EndNote&gt;</w:instrText>
      </w:r>
      <w:r w:rsidR="00B954D6" w:rsidRPr="0012141A">
        <w:rPr>
          <w:rFonts w:ascii="Times New Roman" w:hAnsi="Times New Roman"/>
          <w:color w:val="0000FF"/>
        </w:rPr>
        <w:fldChar w:fldCharType="separate"/>
      </w:r>
      <w:r w:rsidR="00287940">
        <w:rPr>
          <w:rFonts w:ascii="Times New Roman" w:hAnsi="Times New Roman"/>
          <w:noProof/>
          <w:color w:val="0000FF"/>
        </w:rPr>
        <w:t>(Liu et al., 2021)</w:t>
      </w:r>
      <w:r w:rsidR="00B954D6" w:rsidRPr="0012141A">
        <w:rPr>
          <w:rFonts w:ascii="Times New Roman" w:hAnsi="Times New Roman"/>
          <w:color w:val="0000FF"/>
        </w:rPr>
        <w:fldChar w:fldCharType="end"/>
      </w:r>
      <w:r w:rsidR="00B954D6" w:rsidRPr="0012141A">
        <w:rPr>
          <w:rFonts w:ascii="Times New Roman" w:hAnsi="Times New Roman"/>
        </w:rPr>
        <w:t>.</w:t>
      </w:r>
    </w:p>
    <w:p w14:paraId="5CB8ED5F" w14:textId="77777777" w:rsidR="00C22BBC" w:rsidRPr="0012141A" w:rsidRDefault="00C22BBC" w:rsidP="006F3A51">
      <w:pPr>
        <w:spacing w:line="360" w:lineRule="auto"/>
        <w:jc w:val="both"/>
        <w:rPr>
          <w:rFonts w:ascii="Times New Roman" w:hAnsi="Times New Roman"/>
        </w:rPr>
      </w:pPr>
    </w:p>
    <w:p w14:paraId="0C9F6343" w14:textId="0537BB15" w:rsidR="006B1624" w:rsidRPr="0012141A" w:rsidRDefault="00CE1BB3" w:rsidP="006F3A51">
      <w:pPr>
        <w:spacing w:line="360" w:lineRule="auto"/>
        <w:jc w:val="both"/>
        <w:rPr>
          <w:rFonts w:ascii="Times New Roman" w:hAnsi="Times New Roman"/>
          <w:b/>
          <w:bCs/>
        </w:rPr>
      </w:pPr>
      <w:r>
        <w:rPr>
          <w:rFonts w:ascii="Times New Roman" w:hAnsi="Times New Roman"/>
          <w:b/>
          <w:bCs/>
        </w:rPr>
        <w:lastRenderedPageBreak/>
        <w:t>5</w:t>
      </w:r>
      <w:r w:rsidRPr="0012141A">
        <w:rPr>
          <w:rFonts w:ascii="Times New Roman" w:hAnsi="Times New Roman"/>
          <w:b/>
          <w:bCs/>
        </w:rPr>
        <w:t>.4 Therapies by phages or bacteriophages</w:t>
      </w:r>
    </w:p>
    <w:p w14:paraId="2126EE7F" w14:textId="00C084B6" w:rsidR="00592FD0" w:rsidRDefault="008416D5" w:rsidP="006F3A51">
      <w:pPr>
        <w:spacing w:line="360" w:lineRule="auto"/>
        <w:jc w:val="both"/>
        <w:rPr>
          <w:rFonts w:ascii="Times New Roman" w:hAnsi="Times New Roman"/>
        </w:rPr>
      </w:pPr>
      <w:r w:rsidRPr="008416D5">
        <w:rPr>
          <w:rFonts w:ascii="Times New Roman" w:hAnsi="Times New Roman"/>
        </w:rPr>
        <w:t xml:space="preserve">The CRISPR-associated (Cas) gene editing tool is one of the latest advancements in gene therapy technology. It alters genes associated with antibiotic resistance or supplies recombinant phages with antibacterial proteins. Phages, however, cannot serve as empirical therapies for acute infections due to their specificity for particular host bacterial species. Libraries must often </w:t>
      </w:r>
      <w:r>
        <w:rPr>
          <w:rFonts w:ascii="Times New Roman" w:hAnsi="Times New Roman"/>
        </w:rPr>
        <w:t xml:space="preserve">be </w:t>
      </w:r>
      <w:r w:rsidRPr="008416D5">
        <w:rPr>
          <w:rFonts w:ascii="Times New Roman" w:hAnsi="Times New Roman"/>
        </w:rPr>
        <w:t>updated to maintain their efficacy against antibiotic-resistant bacteriophages</w:t>
      </w:r>
      <w:r>
        <w:rPr>
          <w:rFonts w:ascii="Times New Roman" w:hAnsi="Times New Roman"/>
        </w:rPr>
        <w:t xml:space="preserve"> </w:t>
      </w:r>
      <w:r w:rsidR="00E67C3F"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&lt;EndNote&gt;&lt;Cite&gt;&lt;Author&gt;Kumar&lt;/Author&gt;&lt;Year&gt;2020&lt;/Year&gt;&lt;RecNum&gt;46&lt;/RecNum&gt;&lt;DisplayText&gt;(Kumar et al., 2020)&lt;/DisplayText&gt;&lt;record&gt;&lt;rec-number&gt;46&lt;/rec-number&gt;&lt;foreign-keys&gt;&lt;key app="EN" db-id="2x05fzss6x2s23e0a0txazfl5r920wd0at2a" timestamp="1758539322"&gt;46&lt;/key&gt;&lt;/foreign-keys&gt;&lt;ref-type name="Journal Article"&gt;17&lt;/ref-type&gt;&lt;contributors&gt;&lt;authors&gt;&lt;author&gt;Kumar, Shashi B&lt;/author&gt;&lt;author&gt;Arnipalli, Shanvanth R&lt;/author&gt;&lt;author&gt;Ziouzenkova, Ouliana&lt;/author&gt;&lt;/authors&gt;&lt;/contributors&gt;&lt;titles&gt;&lt;title&gt;Antibiotics in food chain: The consequences for antibiotic resistance&lt;/title&gt;&lt;secondary-title&gt;Antibiotics&lt;/secondary-title&gt;&lt;/titles&gt;&lt;periodical&gt;&lt;full-title&gt;Antibiotics&lt;/full-title&gt;&lt;/periodical&gt;&lt;pages&gt;688&lt;/pages&gt;&lt;volume&gt;9&lt;/volume&gt;&lt;number&gt;10&lt;/number&gt;&lt;dates&gt;&lt;year&gt;2020&lt;/year&gt;&lt;/dates&gt;&lt;isbn&gt;2079-6382&lt;/isbn&gt;&lt;urls&gt;&lt;/urls&gt;&lt;/record&gt;&lt;/Cite&gt;&lt;/EndNote&gt;</w:instrText>
      </w:r>
      <w:r w:rsidR="00E67C3F" w:rsidRPr="0012141A">
        <w:rPr>
          <w:rFonts w:ascii="Times New Roman" w:hAnsi="Times New Roman"/>
          <w:color w:val="0000FF"/>
        </w:rPr>
        <w:fldChar w:fldCharType="separate"/>
      </w:r>
      <w:r w:rsidR="00287940">
        <w:rPr>
          <w:rFonts w:ascii="Times New Roman" w:hAnsi="Times New Roman"/>
          <w:noProof/>
          <w:color w:val="0000FF"/>
        </w:rPr>
        <w:t>(Kumar et al., 2020)</w:t>
      </w:r>
      <w:r w:rsidR="00E67C3F" w:rsidRPr="0012141A">
        <w:rPr>
          <w:rFonts w:ascii="Times New Roman" w:hAnsi="Times New Roman"/>
          <w:color w:val="0000FF"/>
        </w:rPr>
        <w:fldChar w:fldCharType="end"/>
      </w:r>
      <w:r w:rsidR="00E67C3F" w:rsidRPr="0012141A">
        <w:rPr>
          <w:rFonts w:ascii="Times New Roman" w:hAnsi="Times New Roman"/>
        </w:rPr>
        <w:t xml:space="preserve">. </w:t>
      </w:r>
      <w:r w:rsidRPr="008416D5">
        <w:rPr>
          <w:rFonts w:ascii="Times New Roman" w:hAnsi="Times New Roman"/>
        </w:rPr>
        <w:t>Spacers are short sequences that serve as CRISPR arrays and are integrated into bacterial genomes by bacteriophages or plasmids. The spacer guide RNAs will be employed by the Cas protein machinery to accurately target the invader's nucleic acid with analogous sequences</w:t>
      </w:r>
      <w:r w:rsidR="00C22BBC">
        <w:rPr>
          <w:rFonts w:ascii="Times New Roman" w:hAnsi="Times New Roman"/>
        </w:rPr>
        <w:t xml:space="preserve"> </w:t>
      </w:r>
      <w:r w:rsidR="00E67C3F"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&lt;EndNote&gt;&lt;Cite&gt;&lt;Author&gt;Kumar&lt;/Author&gt;&lt;Year&gt;2021&lt;/Year&gt;&lt;RecNum&gt;817&lt;/RecNum&gt;&lt;DisplayText&gt;(Kumar et al., 2021)&lt;/DisplayText&gt;&lt;record&gt;&lt;rec-number&gt;817&lt;/rec-number&gt;&lt;foreign-keys&gt;&lt;key app="EN" db-id="w22tszxz12v02ie02asvszppdzx5axz52d95" timestamp="1718861927"&gt;817&lt;/key&gt;&lt;/foreign-keys&gt;&lt;ref-type name="Journal Article"&gt;17&lt;/ref-type&gt;&lt;contributors&gt;&lt;authors&gt;&lt;author&gt;Kumar, Manoj&lt;/author&gt;&lt;author&gt;Sarma, Devojit Kumar&lt;/author&gt;&lt;author&gt;Shubham, Swasti&lt;/author&gt;&lt;author&gt;Kumawat, Manoj&lt;/author&gt;&lt;author&gt;Verma, Vinod&lt;/author&gt;&lt;author&gt;Nina, Praveen Balabaskaran&lt;/author&gt;&lt;author&gt;Jp, Devraj&lt;/author&gt;&lt;author&gt;Kumar, Santosh&lt;/author&gt;&lt;author&gt;Singh, Birbal&lt;/author&gt;&lt;author&gt;Tiwari, Rajnarayan R&lt;/author&gt;&lt;/authors&gt;&lt;/contributors&gt;&lt;titles&gt;&lt;title&gt;Futuristic non-antibiotic therapies to combat antibiotic resistance: A review&lt;/title&gt;&lt;secondary-title&gt;Frontiers in microbiology&lt;/secondary-title&gt;&lt;/titles&gt;&lt;periodical&gt;&lt;full-title&gt;Frontiers in microbiology&lt;/full-title&gt;&lt;/periodical&gt;&lt;pages&gt;609459&lt;/pages&gt;&lt;volume&gt;12&lt;/volume&gt;&lt;dates&gt;&lt;year&gt;2021&lt;/year&gt;&lt;/dates&gt;&lt;isbn&gt;1664-302X&lt;/isbn&gt;&lt;urls&gt;&lt;/urls&gt;&lt;/record&gt;&lt;/Cite&gt;&lt;/EndNote&gt;</w:instrText>
      </w:r>
      <w:r w:rsidR="00E67C3F" w:rsidRPr="0012141A">
        <w:rPr>
          <w:rFonts w:ascii="Times New Roman" w:hAnsi="Times New Roman"/>
          <w:color w:val="0000FF"/>
        </w:rPr>
        <w:fldChar w:fldCharType="separate"/>
      </w:r>
      <w:r w:rsidR="00287940">
        <w:rPr>
          <w:rFonts w:ascii="Times New Roman" w:hAnsi="Times New Roman"/>
          <w:noProof/>
          <w:color w:val="0000FF"/>
        </w:rPr>
        <w:t>(Kumar et al., 2021)</w:t>
      </w:r>
      <w:r w:rsidR="00E67C3F" w:rsidRPr="0012141A">
        <w:rPr>
          <w:rFonts w:ascii="Times New Roman" w:hAnsi="Times New Roman"/>
          <w:color w:val="0000FF"/>
        </w:rPr>
        <w:fldChar w:fldCharType="end"/>
      </w:r>
      <w:r w:rsidR="00E67C3F" w:rsidRPr="0012141A">
        <w:rPr>
          <w:rFonts w:ascii="Times New Roman" w:hAnsi="Times New Roman"/>
        </w:rPr>
        <w:t xml:space="preserve">. </w:t>
      </w:r>
      <w:r w:rsidRPr="008416D5">
        <w:rPr>
          <w:rFonts w:ascii="Times New Roman" w:hAnsi="Times New Roman"/>
        </w:rPr>
        <w:t>CRISPR-Cas is a targeted method for antimicrobial resistance genes in plasmids and chromosomes. It is transmitted using phagemids and conjugative plasmids. A plasmid, pBD114, was engineered to target the kanamycin resistance gene aph-3. The plasmid was introduced into S. aureus RN4220 or RNK, leading to Cas9-mediated eradication of Staphylococci and additional bacterial species</w:t>
      </w:r>
      <w:r>
        <w:rPr>
          <w:rFonts w:ascii="Times New Roman" w:hAnsi="Times New Roman"/>
        </w:rPr>
        <w:t xml:space="preserve"> </w:t>
      </w:r>
      <w:r w:rsidR="00E67C3F"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&lt;EndNote&gt;&lt;Cite&gt;&lt;Author&gt;Bikard&lt;/Author&gt;&lt;Year&gt;2014&lt;/Year&gt;&lt;RecNum&gt;818&lt;/RecNum&gt;&lt;DisplayText&gt;(Bikard et al., 2014)&lt;/DisplayText&gt;&lt;record&gt;&lt;rec-number&gt;818&lt;/rec-number&gt;&lt;foreign-keys&gt;&lt;key app="EN" db-id="w22tszxz12v02ie02asvszppdzx5axz52d95" timestamp="1718861985"&gt;818&lt;/key&gt;&lt;/foreign-keys&gt;&lt;ref-type name="Journal Article"&gt;17&lt;/ref-type&gt;&lt;contributors&gt;&lt;authors&gt;&lt;author&gt;Bikard, David&lt;/author&gt;&lt;author&gt;Euler, Chad W&lt;/author&gt;&lt;author&gt;Jiang, Wenyan&lt;/author&gt;&lt;author&gt;Nussenzweig, Philip M&lt;/author&gt;&lt;author&gt;Goldberg, Gregory W&lt;/author&gt;&lt;author&gt;Duportet, Xavier&lt;/author&gt;&lt;author&gt;Fischetti, Vincent A&lt;/author&gt;&lt;author&gt;Marraffini, Luciano A&lt;/author&gt;&lt;/authors&gt;&lt;/contributors&gt;&lt;titles&gt;&lt;title&gt;Exploiting CRISPR-Cas nucleases to produce sequence-specific antimicrobials&lt;/title&gt;&lt;secondary-title&gt;Nature biotechnology&lt;/secondary-title&gt;&lt;/titles&gt;&lt;periodical&gt;&lt;full-title&gt;Nature biotechnology&lt;/full-title&gt;&lt;/periodical&gt;&lt;pages&gt;1146-1150&lt;/pages&gt;&lt;volume&gt;32&lt;/volume&gt;&lt;number&gt;11&lt;/number&gt;&lt;dates&gt;&lt;year&gt;2014&lt;/year&gt;&lt;/dates&gt;&lt;isbn&gt;1087-0156&lt;/isbn&gt;&lt;urls&gt;&lt;/urls&gt;&lt;/record&gt;&lt;/Cite&gt;&lt;/EndNote&gt;</w:instrText>
      </w:r>
      <w:r w:rsidR="00E67C3F" w:rsidRPr="0012141A">
        <w:rPr>
          <w:rFonts w:ascii="Times New Roman" w:hAnsi="Times New Roman"/>
          <w:color w:val="0000FF"/>
        </w:rPr>
        <w:fldChar w:fldCharType="separate"/>
      </w:r>
      <w:r w:rsidR="00287940">
        <w:rPr>
          <w:rFonts w:ascii="Times New Roman" w:hAnsi="Times New Roman"/>
          <w:noProof/>
          <w:color w:val="0000FF"/>
        </w:rPr>
        <w:t>(Bikard et al., 2014)</w:t>
      </w:r>
      <w:r w:rsidR="00E67C3F" w:rsidRPr="0012141A">
        <w:rPr>
          <w:rFonts w:ascii="Times New Roman" w:hAnsi="Times New Roman"/>
          <w:color w:val="0000FF"/>
        </w:rPr>
        <w:fldChar w:fldCharType="end"/>
      </w:r>
      <w:r w:rsidR="00E67C3F" w:rsidRPr="0012141A">
        <w:rPr>
          <w:rFonts w:ascii="Times New Roman" w:hAnsi="Times New Roman"/>
        </w:rPr>
        <w:t xml:space="preserve">. </w:t>
      </w:r>
      <w:r w:rsidRPr="008416D5">
        <w:rPr>
          <w:rFonts w:ascii="Times New Roman" w:hAnsi="Times New Roman"/>
        </w:rPr>
        <w:t xml:space="preserve">Nano-sized CRISPR complexes, comprising polymer-derivatized Cas9 and single guide RNA, have been employed to eradicate resistance genes, specifically targeting </w:t>
      </w:r>
      <w:proofErr w:type="spellStart"/>
      <w:r w:rsidRPr="008416D5">
        <w:rPr>
          <w:rFonts w:ascii="Times New Roman" w:hAnsi="Times New Roman"/>
        </w:rPr>
        <w:t>mecA</w:t>
      </w:r>
      <w:proofErr w:type="spellEnd"/>
      <w:r w:rsidRPr="008416D5">
        <w:rPr>
          <w:rFonts w:ascii="Times New Roman" w:hAnsi="Times New Roman"/>
        </w:rPr>
        <w:t xml:space="preserve">, associated with methicillin resistance </w:t>
      </w:r>
      <w:r w:rsidR="00E67C3F"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&lt;EndNote&gt;&lt;Cite&gt;&lt;Author&gt;Kang&lt;/Author&gt;&lt;Year&gt;2017&lt;/Year&gt;&lt;RecNum&gt;819&lt;/RecNum&gt;&lt;DisplayText&gt;(Kang et al., 2017)&lt;/DisplayText&gt;&lt;record&gt;&lt;rec-number&gt;819&lt;/rec-number&gt;&lt;foreign-keys&gt;&lt;key app="EN" db-id="w22tszxz12v02ie02asvszppdzx5axz52d95" timestamp="1718862052"&gt;819&lt;/key&gt;&lt;/foreign-keys&gt;&lt;ref-type name="Journal Article"&gt;17&lt;/ref-type&gt;&lt;contributors&gt;&lt;authors&gt;&lt;author&gt;Kang, Yoo Kyung&lt;/author&gt;&lt;author&gt;Kwon, Kyu&lt;/author&gt;&lt;author&gt;Ryu, Jea Sung&lt;/author&gt;&lt;author&gt;Lee, Ha Neul&lt;/author&gt;&lt;author&gt;Park, Chankyu&lt;/author&gt;&lt;author&gt;Chung, Hyun Jung&lt;/author&gt;&lt;/authors&gt;&lt;/contributors&gt;&lt;titles&gt;&lt;title&gt;Nonviral genome editing based on a polymer-derivatized CRISPR nanocomplex for targeting bacterial pathogens and antibiotic resistance&lt;/title&gt;&lt;secondary-title&gt;Bioconjugate chemistry&lt;/secondary-title&gt;&lt;/titles&gt;&lt;periodical&gt;&lt;full-title&gt;Bioconjugate chemistry&lt;/full-title&gt;&lt;/periodical&gt;&lt;pages&gt;957-967&lt;/pages&gt;&lt;volume&gt;28&lt;/volume&gt;&lt;number&gt;4&lt;/number&gt;&lt;dates&gt;&lt;year&gt;2017&lt;/year&gt;&lt;/dates&gt;&lt;isbn&gt;1043-1802&lt;/isbn&gt;&lt;urls&gt;&lt;/urls&gt;&lt;/record&gt;&lt;/Cite&gt;&lt;/EndNote&gt;</w:instrText>
      </w:r>
      <w:r w:rsidR="00E67C3F" w:rsidRPr="0012141A">
        <w:rPr>
          <w:rFonts w:ascii="Times New Roman" w:hAnsi="Times New Roman"/>
          <w:color w:val="0000FF"/>
        </w:rPr>
        <w:fldChar w:fldCharType="separate"/>
      </w:r>
      <w:r w:rsidR="00287940">
        <w:rPr>
          <w:rFonts w:ascii="Times New Roman" w:hAnsi="Times New Roman"/>
          <w:noProof/>
          <w:color w:val="0000FF"/>
        </w:rPr>
        <w:t>(Kang et al., 2017)</w:t>
      </w:r>
      <w:r w:rsidR="00E67C3F" w:rsidRPr="0012141A">
        <w:rPr>
          <w:rFonts w:ascii="Times New Roman" w:hAnsi="Times New Roman"/>
          <w:color w:val="0000FF"/>
        </w:rPr>
        <w:fldChar w:fldCharType="end"/>
      </w:r>
      <w:r w:rsidR="00E67C3F" w:rsidRPr="0012141A">
        <w:rPr>
          <w:rFonts w:ascii="Times New Roman" w:hAnsi="Times New Roman"/>
        </w:rPr>
        <w:t>.</w:t>
      </w:r>
    </w:p>
    <w:p w14:paraId="53D19161" w14:textId="77777777" w:rsidR="00C22BBC" w:rsidRPr="00E26A1E" w:rsidRDefault="00C22BBC" w:rsidP="006F3A51">
      <w:pPr>
        <w:spacing w:line="360" w:lineRule="auto"/>
        <w:jc w:val="both"/>
        <w:rPr>
          <w:rFonts w:ascii="Times New Roman" w:hAnsi="Times New Roman"/>
        </w:rPr>
      </w:pPr>
    </w:p>
    <w:p w14:paraId="43A773E2" w14:textId="0DF8F88D" w:rsidR="006B1624" w:rsidRPr="0012141A" w:rsidRDefault="00CE1BB3" w:rsidP="006F3A51">
      <w:pPr>
        <w:spacing w:line="360" w:lineRule="auto"/>
        <w:jc w:val="both"/>
        <w:rPr>
          <w:rFonts w:ascii="Times New Roman" w:hAnsi="Times New Roman"/>
        </w:rPr>
      </w:pPr>
      <w:r>
        <w:rPr>
          <w:rFonts w:ascii="Times New Roman" w:hAnsi="Times New Roman"/>
          <w:b/>
          <w:bCs/>
        </w:rPr>
        <w:t>5</w:t>
      </w:r>
      <w:r w:rsidRPr="0012141A">
        <w:rPr>
          <w:rFonts w:ascii="Times New Roman" w:hAnsi="Times New Roman"/>
          <w:b/>
          <w:bCs/>
        </w:rPr>
        <w:t>.5 Therapies by probiotics</w:t>
      </w:r>
    </w:p>
    <w:p w14:paraId="76D0486B" w14:textId="3C5F809C" w:rsidR="006B1624" w:rsidRDefault="008416D5" w:rsidP="006F3A51">
      <w:pPr>
        <w:spacing w:line="360" w:lineRule="auto"/>
        <w:jc w:val="both"/>
        <w:rPr>
          <w:rFonts w:ascii="Times New Roman" w:hAnsi="Times New Roman"/>
        </w:rPr>
      </w:pPr>
      <w:r w:rsidRPr="008416D5">
        <w:rPr>
          <w:rFonts w:ascii="Times New Roman" w:hAnsi="Times New Roman"/>
        </w:rPr>
        <w:t>Probiotics have been identified to include antibiotic resistance genes (ARGs) such as vancomycin, rifampicin, streptomycin, bacitracin, and erythromycin</w:t>
      </w:r>
      <w:r>
        <w:rPr>
          <w:rFonts w:ascii="Times New Roman" w:hAnsi="Times New Roman"/>
        </w:rPr>
        <w:t xml:space="preserve"> </w:t>
      </w:r>
      <w:r w:rsidR="00D4665F"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&lt;EndNote&gt;&lt;Cite&gt;&lt;Author&gt;Liu&lt;/Author&gt;&lt;Year&gt;2020&lt;/Year&gt;&lt;RecNum&gt;820&lt;/RecNum&gt;&lt;DisplayText&gt;(Liu et al., 2020, Stanley et al., 2022)&lt;/DisplayText&gt;&lt;record&gt;&lt;rec-number&gt;820&lt;/rec-number&gt;&lt;foreign-keys&gt;&lt;key app="EN" db-id="w22tszxz12v02ie02asvszppdzx5axz52d95" timestamp="1718862126"&gt;820&lt;/key&gt;&lt;/foreign-keys&gt;&lt;ref-type name="Journal Article"&gt;17&lt;/ref-type&gt;&lt;contributors&gt;&lt;authors&gt;&lt;author&gt;Liu, Yuanwang&lt;/author&gt;&lt;author&gt;Cheng, Dengmiao&lt;/author&gt;&lt;author&gt;Xue, Jianming&lt;/author&gt;&lt;author&gt;Weaver, Louise&lt;/author&gt;&lt;author&gt;Wakelin, Steve A&lt;/author&gt;&lt;author&gt;Feng, Yao&lt;/author&gt;&lt;author&gt;Li, Zhaojun&lt;/author&gt;&lt;/authors&gt;&lt;/contributors&gt;&lt;titles&gt;&lt;title&gt;Changes in microbial community structure during pig manure composting and its relationship to the fate of antibiotics and antibiotic resistance genes&lt;/title&gt;&lt;secondary-title&gt;Journal of hazardous materials&lt;/secondary-title&gt;&lt;/titles&gt;&lt;periodical&gt;&lt;full-title&gt;Journal of hazardous materials&lt;/full-title&gt;&lt;/periodical&gt;&lt;pages&gt;122082&lt;/pages&gt;&lt;volume&gt;389&lt;/volume&gt;&lt;dates&gt;&lt;year&gt;2020&lt;/year&gt;&lt;/dates&gt;&lt;isbn&gt;0304-3894&lt;/isbn&gt;&lt;urls&gt;&lt;/urls&gt;&lt;/record&gt;&lt;/Cite&gt;&lt;Cite&gt;&lt;Author&gt;Stanley&lt;/Author&gt;&lt;Year&gt;2022&lt;/Year&gt;&lt;RecNum&gt;821&lt;/RecNum&gt;&lt;record&gt;&lt;rec-number&gt;821&lt;/rec-number&gt;&lt;foreign-keys&gt;&lt;key app="EN" db-id="w22tszxz12v02ie02asvszppdzx5axz52d95" timestamp="1718862222"&gt;821&lt;/key&gt;&lt;/foreign-keys&gt;&lt;ref-type name="Journal Article"&gt;17&lt;/ref-type&gt;&lt;contributors&gt;&lt;authors&gt;&lt;author&gt;Stanley, Dragana&lt;/author&gt;&lt;author&gt;Batacan Jr, Romeo&lt;/author&gt;&lt;author&gt;Bajagai, Yadav Sharma&lt;/author&gt;&lt;/authors&gt;&lt;/contributors&gt;&lt;titles&gt;&lt;title&gt;Rapid growth of antimicrobial resistance: the role of agriculture in the problem and the solutions&lt;/title&gt;&lt;secondary-title&gt;Applied Microbiology and Biotechnology&lt;/secondary-title&gt;&lt;/titles&gt;&lt;periodical&gt;&lt;full-title&gt;Applied microbiology and biotechnology&lt;/full-title&gt;&lt;/periodical&gt;&lt;pages&gt;6953-6962&lt;/pages&gt;&lt;volume&gt;106&lt;/volume&gt;&lt;number&gt;21&lt;/number&gt;&lt;dates&gt;&lt;year&gt;2022&lt;/year&gt;&lt;/dates&gt;&lt;isbn&gt;0175-7598&lt;/isbn&gt;&lt;urls&gt;&lt;/urls&gt;&lt;/record&gt;&lt;/Cite&gt;&lt;/EndNote&gt;</w:instrText>
      </w:r>
      <w:r w:rsidR="00D4665F" w:rsidRPr="0012141A">
        <w:rPr>
          <w:rFonts w:ascii="Times New Roman" w:hAnsi="Times New Roman"/>
          <w:color w:val="0000FF"/>
        </w:rPr>
        <w:fldChar w:fldCharType="separate"/>
      </w:r>
      <w:r w:rsidR="00287940">
        <w:rPr>
          <w:rFonts w:ascii="Times New Roman" w:hAnsi="Times New Roman"/>
          <w:noProof/>
          <w:color w:val="0000FF"/>
        </w:rPr>
        <w:t>(Liu et al., 2020, Stanley et al., 2022)</w:t>
      </w:r>
      <w:r w:rsidR="00D4665F" w:rsidRPr="0012141A">
        <w:rPr>
          <w:rFonts w:ascii="Times New Roman" w:hAnsi="Times New Roman"/>
          <w:color w:val="0000FF"/>
        </w:rPr>
        <w:fldChar w:fldCharType="end"/>
      </w:r>
      <w:r w:rsidR="00D4665F" w:rsidRPr="0012141A">
        <w:rPr>
          <w:rFonts w:ascii="Times New Roman" w:hAnsi="Times New Roman"/>
        </w:rPr>
        <w:t xml:space="preserve">. </w:t>
      </w:r>
      <w:r w:rsidRPr="008416D5">
        <w:rPr>
          <w:rFonts w:ascii="Times New Roman" w:hAnsi="Times New Roman"/>
        </w:rPr>
        <w:t>Next-generation sequencing and genetic engineering are facilitating the creation of customized probiotics, or pharmabiotics, as biotherapeutic approaches to combat infection. These bioengineered probiotics can be meticulously engineered to provide medicinal substances, providing a precise alternative to traditional medication delivery systems</w:t>
      </w:r>
      <w:r w:rsidR="00D4665F" w:rsidRPr="0012141A">
        <w:rPr>
          <w:rFonts w:ascii="Times New Roman" w:hAnsi="Times New Roman"/>
        </w:rPr>
        <w:t> </w:t>
      </w:r>
      <w:r w:rsidR="00D4665F"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&lt;EndNote&gt;&lt;Cite&gt;&lt;Author&gt;Kumar&lt;/Author&gt;&lt;Year&gt;2021&lt;/Year&gt;&lt;RecNum&gt;817&lt;/RecNum&gt;&lt;DisplayText&gt;(Kumar et al., 2021)&lt;/DisplayText&gt;&lt;record&gt;&lt;rec-number&gt;817&lt;/rec-number&gt;&lt;foreign-keys&gt;&lt;key app="EN" db-id="w22tszxz12v02ie02asvszppdzx5axz52d95" timestamp="1718861927"&gt;817&lt;/key&gt;&lt;/foreign-keys&gt;&lt;ref-type name="Journal Article"&gt;17&lt;/ref-type&gt;&lt;contributors&gt;&lt;authors&gt;&lt;author&gt;Kumar, Manoj&lt;/author&gt;&lt;author&gt;Sarma, Devojit Kumar&lt;/author&gt;&lt;author&gt;Shubham, Swasti&lt;/author&gt;&lt;author&gt;Kumawat, Manoj&lt;/author&gt;&lt;author&gt;Verma, Vinod&lt;/author&gt;&lt;author&gt;Nina, Praveen Balabaskaran&lt;/author&gt;&lt;author&gt;Jp, Devraj&lt;/author&gt;&lt;author&gt;Kumar, Santosh&lt;/author&gt;&lt;author&gt;Singh, Birbal&lt;/author&gt;&lt;author&gt;Tiwari, Rajnarayan R&lt;/author&gt;&lt;/authors&gt;&lt;/contributors&gt;&lt;titles&gt;&lt;title&gt;Futuristic non-antibiotic therapies to combat antibiotic resistance: A review&lt;/title&gt;&lt;secondary-title&gt;Frontiers in microbiology&lt;/secondary-title&gt;&lt;/titles&gt;&lt;periodical&gt;&lt;full-title&gt;Frontiers in microbiology&lt;/full-title&gt;&lt;/periodical&gt;&lt;pages&gt;609459&lt;/pages&gt;&lt;volume&gt;12&lt;/volume&gt;&lt;dates&gt;&lt;year&gt;2021&lt;/year&gt;&lt;/dates&gt;&lt;isbn&gt;1664-302X&lt;/isbn&gt;&lt;urls&gt;&lt;/urls&gt;&lt;/record&gt;&lt;/Cite&gt;&lt;/EndNote&gt;</w:instrText>
      </w:r>
      <w:r w:rsidR="00D4665F" w:rsidRPr="0012141A">
        <w:rPr>
          <w:rFonts w:ascii="Times New Roman" w:hAnsi="Times New Roman"/>
          <w:color w:val="0000FF"/>
        </w:rPr>
        <w:fldChar w:fldCharType="separate"/>
      </w:r>
      <w:r w:rsidR="00287940">
        <w:rPr>
          <w:rFonts w:ascii="Times New Roman" w:hAnsi="Times New Roman"/>
          <w:noProof/>
          <w:color w:val="0000FF"/>
        </w:rPr>
        <w:t>(Kumar et al., 2021)</w:t>
      </w:r>
      <w:r w:rsidR="00D4665F" w:rsidRPr="0012141A">
        <w:rPr>
          <w:rFonts w:ascii="Times New Roman" w:hAnsi="Times New Roman"/>
          <w:color w:val="0000FF"/>
        </w:rPr>
        <w:fldChar w:fldCharType="end"/>
      </w:r>
      <w:r w:rsidR="00D4665F" w:rsidRPr="0012141A">
        <w:rPr>
          <w:rFonts w:ascii="Times New Roman" w:hAnsi="Times New Roman"/>
        </w:rPr>
        <w:t>.</w:t>
      </w:r>
    </w:p>
    <w:p w14:paraId="3B55408D" w14:textId="77777777" w:rsidR="00C22BBC" w:rsidRPr="0012141A" w:rsidRDefault="00C22BBC" w:rsidP="006F3A51">
      <w:pPr>
        <w:spacing w:line="360" w:lineRule="auto"/>
        <w:jc w:val="both"/>
        <w:rPr>
          <w:rFonts w:ascii="Times New Roman" w:hAnsi="Times New Roman"/>
        </w:rPr>
      </w:pPr>
    </w:p>
    <w:p w14:paraId="2F771846" w14:textId="4CE69067" w:rsidR="006B1624" w:rsidRPr="0012141A" w:rsidRDefault="00CE1BB3" w:rsidP="006F3A51">
      <w:pPr>
        <w:spacing w:line="360" w:lineRule="auto"/>
        <w:jc w:val="both"/>
        <w:rPr>
          <w:rFonts w:ascii="Times New Roman" w:hAnsi="Times New Roman"/>
          <w:b/>
          <w:bCs/>
        </w:rPr>
      </w:pPr>
      <w:r>
        <w:rPr>
          <w:rFonts w:ascii="Times New Roman" w:hAnsi="Times New Roman"/>
          <w:b/>
          <w:bCs/>
        </w:rPr>
        <w:t>5</w:t>
      </w:r>
      <w:r w:rsidRPr="0012141A">
        <w:rPr>
          <w:rFonts w:ascii="Times New Roman" w:hAnsi="Times New Roman"/>
          <w:b/>
          <w:bCs/>
        </w:rPr>
        <w:t>.6 Fecal microbiota transplant (FMT)</w:t>
      </w:r>
    </w:p>
    <w:p w14:paraId="06EB0263" w14:textId="2EF01842" w:rsidR="006B1624" w:rsidRPr="0012141A" w:rsidRDefault="002C2458" w:rsidP="002C2458">
      <w:pPr>
        <w:spacing w:line="360" w:lineRule="auto"/>
        <w:jc w:val="both"/>
        <w:rPr>
          <w:rFonts w:ascii="Times New Roman" w:hAnsi="Times New Roman"/>
        </w:rPr>
      </w:pPr>
      <w:r w:rsidRPr="002C2458">
        <w:rPr>
          <w:rFonts w:ascii="Times New Roman" w:hAnsi="Times New Roman"/>
        </w:rPr>
        <w:t xml:space="preserve">Fecal microbiota transplantation (FMT) or human probiotic infusion entails the transfer of processed stool from a healthy donor to a recipient to reestablish the recipient's gut flora. It demonstrates therapeutic efficacy, especially for recurrent </w:t>
      </w:r>
      <w:r w:rsidRPr="002C2458">
        <w:rPr>
          <w:rFonts w:ascii="Times New Roman" w:hAnsi="Times New Roman"/>
          <w:i/>
          <w:iCs/>
        </w:rPr>
        <w:t>C. difficile</w:t>
      </w:r>
      <w:r w:rsidRPr="002C2458">
        <w:rPr>
          <w:rFonts w:ascii="Times New Roman" w:hAnsi="Times New Roman"/>
        </w:rPr>
        <w:t xml:space="preserve"> infections</w:t>
      </w:r>
      <w:r>
        <w:rPr>
          <w:rFonts w:ascii="Times New Roman" w:hAnsi="Times New Roman"/>
        </w:rPr>
        <w:t xml:space="preserve"> </w:t>
      </w:r>
      <w:r w:rsidR="0053515D"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&lt;EndNote&gt;&lt;Cite&gt;&lt;Author&gt;Khoruts&lt;/Author&gt;&lt;Year&gt;2021&lt;/Year&gt;&lt;RecNum&gt;822&lt;/RecNum&gt;&lt;DisplayText&gt;(Khoruts et al., 2021)&lt;/DisplayText&gt;&lt;record&gt;&lt;rec-number&gt;822&lt;/rec-number&gt;&lt;foreign-keys&gt;&lt;key app="EN" db-id="w22tszxz12v02ie02asvszppdzx5axz52d95" timestamp="1718862361"&gt;822&lt;/key&gt;&lt;/foreign-keys&gt;&lt;ref-type name="Journal Article"&gt;17&lt;/ref-type&gt;&lt;contributors&gt;&lt;authors&gt;&lt;author&gt;Khoruts, Alexander&lt;/author&gt;&lt;author&gt;Staley, Christopher&lt;/author&gt;&lt;author&gt;Sadowsky, Michael J&lt;/author&gt;&lt;/authors&gt;&lt;/contributors&gt;&lt;titles&gt;&lt;title&gt;Faecal microbiota transplantation for Clostridioides difficile: mechanisms and pharmacology&lt;/title&gt;&lt;secondary-title&gt;Nature Reviews Gastroenterology &amp;amp; Hepatology&lt;/secondary-title&gt;&lt;/titles&gt;&lt;periodical&gt;&lt;full-title&gt;Nature Reviews Gastroenterology &amp;amp; Hepatology&lt;/full-title&gt;&lt;/periodical&gt;&lt;pages&gt;67-80&lt;/pages&gt;&lt;volume&gt;18&lt;/volume&gt;&lt;number&gt;1&lt;/number&gt;&lt;dates&gt;&lt;year&gt;2021&lt;/year&gt;&lt;/dates&gt;&lt;isbn&gt;1759-5045&lt;/isbn&gt;&lt;urls&gt;&lt;/urls&gt;&lt;/record&gt;&lt;/Cite&gt;&lt;/EndNote&gt;</w:instrText>
      </w:r>
      <w:r w:rsidR="0053515D" w:rsidRPr="0012141A">
        <w:rPr>
          <w:rFonts w:ascii="Times New Roman" w:hAnsi="Times New Roman"/>
          <w:color w:val="0000FF"/>
        </w:rPr>
        <w:fldChar w:fldCharType="separate"/>
      </w:r>
      <w:r w:rsidR="00287940">
        <w:rPr>
          <w:rFonts w:ascii="Times New Roman" w:hAnsi="Times New Roman"/>
          <w:noProof/>
          <w:color w:val="0000FF"/>
        </w:rPr>
        <w:t>(Khoruts et al., 2021)</w:t>
      </w:r>
      <w:r w:rsidR="0053515D" w:rsidRPr="0012141A">
        <w:rPr>
          <w:rFonts w:ascii="Times New Roman" w:hAnsi="Times New Roman"/>
          <w:color w:val="0000FF"/>
        </w:rPr>
        <w:fldChar w:fldCharType="end"/>
      </w:r>
      <w:r w:rsidR="0053515D" w:rsidRPr="0012141A">
        <w:rPr>
          <w:rFonts w:ascii="Times New Roman" w:hAnsi="Times New Roman"/>
        </w:rPr>
        <w:t xml:space="preserve">.  </w:t>
      </w:r>
      <w:r w:rsidR="0053515D" w:rsidRPr="00C22BBC">
        <w:rPr>
          <w:rFonts w:ascii="Times New Roman" w:hAnsi="Times New Roman" w:cs="Times New Roman"/>
          <w:i/>
          <w:iCs/>
          <w:color w:val="0000FF"/>
        </w:rPr>
        <w:t>Fig</w:t>
      </w:r>
      <w:r w:rsidR="003B3CE2">
        <w:rPr>
          <w:rFonts w:ascii="Times New Roman" w:hAnsi="Times New Roman" w:cs="Times New Roman"/>
          <w:i/>
          <w:iCs/>
          <w:color w:val="0000FF"/>
        </w:rPr>
        <w:t>.</w:t>
      </w:r>
      <w:r w:rsidR="0053515D" w:rsidRPr="00C22BBC">
        <w:rPr>
          <w:rFonts w:ascii="Times New Roman" w:hAnsi="Times New Roman" w:cs="Times New Roman"/>
          <w:i/>
          <w:iCs/>
          <w:color w:val="0000FF"/>
        </w:rPr>
        <w:t xml:space="preserve"> </w:t>
      </w:r>
      <w:r w:rsidR="00DD0464" w:rsidRPr="00C22BBC">
        <w:rPr>
          <w:rFonts w:ascii="Times New Roman" w:hAnsi="Times New Roman" w:cs="Times New Roman"/>
          <w:i/>
          <w:iCs/>
          <w:color w:val="0000FF"/>
        </w:rPr>
        <w:t>7</w:t>
      </w:r>
      <w:r w:rsidR="0053515D" w:rsidRPr="0012141A">
        <w:rPr>
          <w:rFonts w:ascii="Times New Roman" w:hAnsi="Times New Roman"/>
        </w:rPr>
        <w:t xml:space="preserve"> </w:t>
      </w:r>
      <w:r w:rsidR="008416D5" w:rsidRPr="008416D5">
        <w:rPr>
          <w:rFonts w:ascii="Times New Roman" w:hAnsi="Times New Roman"/>
        </w:rPr>
        <w:t>depicts a two-phase process: the preparation of a donor slurry for cold storage in a stool bank, succeeded by its distribution to a patient through oral or rectal delivery</w:t>
      </w:r>
      <w:r w:rsidR="008416D5">
        <w:rPr>
          <w:rFonts w:ascii="Times New Roman" w:hAnsi="Times New Roman"/>
        </w:rPr>
        <w:t xml:space="preserve"> </w:t>
      </w:r>
      <w:r w:rsidR="0053515D"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&lt;EndNote&gt;&lt;Cite&gt;&lt;Author&gt;Kumar&lt;/Author&gt;&lt;Year&gt;2020&lt;/Year&gt;&lt;RecNum&gt;46&lt;/RecNum&gt;&lt;DisplayText&gt;(Kumar et al., 2020)&lt;/DisplayText&gt;&lt;record&gt;&lt;rec-number&gt;46&lt;/rec-number&gt;&lt;foreign-keys&gt;&lt;key app="EN" db-id="2x05fzss6x2s23e0a0txazfl5r920wd0at2a" timestamp="1758539322"&gt;46&lt;/key&gt;&lt;/foreign-keys&gt;&lt;ref-type name="Journal Article"&gt;17&lt;/ref-type&gt;&lt;contributors&gt;&lt;authors&gt;&lt;author&gt;Kumar, Shashi B&lt;/author&gt;&lt;author&gt;Arnipalli, Shanvanth R&lt;/author&gt;&lt;author&gt;Ziouzenkova, Ouliana&lt;/author&gt;&lt;/authors&gt;&lt;/contributors&gt;&lt;titles&gt;&lt;title&gt;Antibiotics in food chain: The consequences for antibiotic resistance&lt;/title&gt;&lt;secondary-title&gt;Antibiotics&lt;/secondary-title&gt;&lt;/titles&gt;&lt;periodical&gt;&lt;full-title&gt;Antibiotics&lt;/full-title&gt;&lt;/periodical&gt;&lt;pages&gt;688&lt;/pages&gt;&lt;volume&gt;9&lt;/volume&gt;&lt;number&gt;10&lt;/number&gt;&lt;dates&gt;&lt;year&gt;2020&lt;/year&gt;&lt;/dates&gt;&lt;isbn&gt;2079-6382&lt;/isbn&gt;&lt;urls&gt;&lt;/urls&gt;&lt;/record&gt;&lt;/Cite&gt;&lt;/EndNote&gt;</w:instrText>
      </w:r>
      <w:r w:rsidR="0053515D" w:rsidRPr="0012141A">
        <w:rPr>
          <w:rFonts w:ascii="Times New Roman" w:hAnsi="Times New Roman"/>
          <w:color w:val="0000FF"/>
        </w:rPr>
        <w:fldChar w:fldCharType="separate"/>
      </w:r>
      <w:r w:rsidR="00287940">
        <w:rPr>
          <w:rFonts w:ascii="Times New Roman" w:hAnsi="Times New Roman"/>
          <w:noProof/>
          <w:color w:val="0000FF"/>
        </w:rPr>
        <w:t>(Kumar et al., 2020)</w:t>
      </w:r>
      <w:r w:rsidR="0053515D" w:rsidRPr="0012141A">
        <w:rPr>
          <w:rFonts w:ascii="Times New Roman" w:hAnsi="Times New Roman"/>
          <w:color w:val="0000FF"/>
        </w:rPr>
        <w:fldChar w:fldCharType="end"/>
      </w:r>
      <w:r w:rsidR="0053515D" w:rsidRPr="0012141A">
        <w:rPr>
          <w:rFonts w:ascii="Times New Roman" w:hAnsi="Times New Roman"/>
        </w:rPr>
        <w:t>.</w:t>
      </w:r>
    </w:p>
    <w:p w14:paraId="00C731FD" w14:textId="77777777" w:rsidR="006B1624" w:rsidRPr="0012141A" w:rsidRDefault="009E4636" w:rsidP="006F3A51">
      <w:pPr>
        <w:spacing w:line="360" w:lineRule="auto"/>
        <w:jc w:val="center"/>
        <w:rPr>
          <w:rFonts w:ascii="Times New Roman" w:hAnsi="Times New Roman"/>
        </w:rPr>
      </w:pPr>
      <w:r w:rsidRPr="0012141A">
        <w:rPr>
          <w:noProof/>
          <w:lang w:eastAsia="en-US"/>
        </w:rPr>
        <w:drawing>
          <wp:inline distT="0" distB="0" distL="114300" distR="114300" wp14:anchorId="72804FC6" wp14:editId="23CF5906">
            <wp:extent cx="1399549" cy="1245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a:stretch>
                      <a:fillRect/>
                    </a:stretch>
                  </pic:blipFill>
                  <pic:spPr>
                    <a:xfrm>
                      <a:off x="0" y="0"/>
                      <a:ext cx="1412198" cy="1256661"/>
                    </a:xfrm>
                    <a:prstGeom prst="rect">
                      <a:avLst/>
                    </a:prstGeom>
                    <a:noFill/>
                    <a:ln>
                      <a:noFill/>
                    </a:ln>
                  </pic:spPr>
                </pic:pic>
              </a:graphicData>
            </a:graphic>
          </wp:inline>
        </w:drawing>
      </w:r>
    </w:p>
    <w:p w14:paraId="64732E94" w14:textId="6960DC1F" w:rsidR="006B1624" w:rsidRPr="0012141A" w:rsidRDefault="009E4636" w:rsidP="00D63EFF">
      <w:pPr>
        <w:spacing w:line="360" w:lineRule="auto"/>
        <w:jc w:val="center"/>
        <w:rPr>
          <w:rFonts w:ascii="Times New Roman" w:hAnsi="Times New Roman"/>
        </w:rPr>
      </w:pPr>
      <w:r w:rsidRPr="0012141A">
        <w:rPr>
          <w:rFonts w:ascii="Times New Roman" w:hAnsi="Times New Roman"/>
          <w:color w:val="0000FF"/>
        </w:rPr>
        <w:t xml:space="preserve">Figure </w:t>
      </w:r>
      <w:r w:rsidR="009113D1">
        <w:rPr>
          <w:rFonts w:ascii="Times New Roman" w:hAnsi="Times New Roman"/>
          <w:color w:val="0000FF"/>
        </w:rPr>
        <w:t>7</w:t>
      </w:r>
      <w:r w:rsidRPr="0012141A">
        <w:rPr>
          <w:rFonts w:ascii="Times New Roman" w:hAnsi="Times New Roman"/>
          <w:color w:val="0000FF"/>
        </w:rPr>
        <w:t xml:space="preserve">. </w:t>
      </w:r>
      <w:r w:rsidR="00365305" w:rsidRPr="00365305">
        <w:rPr>
          <w:rFonts w:ascii="Times New Roman" w:hAnsi="Times New Roman"/>
        </w:rPr>
        <w:t xml:space="preserve">The two-phase clinical process of </w:t>
      </w:r>
      <w:proofErr w:type="spellStart"/>
      <w:r w:rsidR="00365305" w:rsidRPr="00365305">
        <w:rPr>
          <w:rFonts w:ascii="Times New Roman" w:hAnsi="Times New Roman"/>
        </w:rPr>
        <w:t>Faecal</w:t>
      </w:r>
      <w:proofErr w:type="spellEnd"/>
      <w:r w:rsidR="00365305" w:rsidRPr="00365305">
        <w:rPr>
          <w:rFonts w:ascii="Times New Roman" w:hAnsi="Times New Roman"/>
        </w:rPr>
        <w:t xml:space="preserve"> Microbiota Transplantation (FMT). </w:t>
      </w:r>
    </w:p>
    <w:p w14:paraId="48029C6C" w14:textId="7A604296" w:rsidR="006B1624" w:rsidRDefault="008416D5" w:rsidP="008416D5">
      <w:pPr>
        <w:spacing w:line="360" w:lineRule="auto"/>
        <w:rPr>
          <w:rFonts w:ascii="Times New Roman" w:hAnsi="Times New Roman"/>
        </w:rPr>
      </w:pPr>
      <w:r w:rsidRPr="008416D5">
        <w:rPr>
          <w:rFonts w:ascii="Times New Roman" w:hAnsi="Times New Roman"/>
        </w:rPr>
        <w:t>Addressing antibiotic resistance necessitates the implementation of preventative strategies and policies in conjunction with effective treatments to avert and manage infectious diseases</w:t>
      </w:r>
      <w:r>
        <w:rPr>
          <w:rFonts w:ascii="Times New Roman" w:hAnsi="Times New Roman"/>
        </w:rPr>
        <w:t xml:space="preserve"> </w:t>
      </w:r>
      <w:r w:rsidR="009113D1" w:rsidRPr="0012141A">
        <w:rPr>
          <w:rFonts w:ascii="Times New Roman" w:hAnsi="Times New Roman"/>
          <w:color w:val="0000FF"/>
        </w:rPr>
        <w:fldChar w:fldCharType="begin"/>
      </w:r>
      <w:r w:rsidR="00287940">
        <w:rPr>
          <w:rFonts w:ascii="Times New Roman" w:hAnsi="Times New Roman"/>
          <w:color w:val="0000FF"/>
        </w:rPr>
        <w:instrText xml:space="preserve"> ADDIN EN.CITE &lt;EndNote&gt;&lt;Cite&gt;&lt;Author&gt;Kumar&lt;/Author&gt;&lt;Year&gt;2013&lt;/Year&gt;&lt;RecNum&gt;830&lt;/RecNum&gt;&lt;DisplayText&gt;(Kumar et al., 2013, Metz and Shlaes, 2014)&lt;/DisplayText&gt;&lt;record&gt;&lt;rec-number&gt;830&lt;/rec-number&gt;&lt;foreign-keys&gt;&lt;key app="EN" db-id="w22tszxz12v02ie02asvszppdzx5axz52d95" timestamp="1718863917"&gt;830&lt;/key&gt;&lt;/foreign-keys&gt;&lt;ref-type name="Journal Article"&gt;17&lt;/ref-type&gt;&lt;contributors&gt;&lt;authors&gt;&lt;author&gt;Kumar, S Ganesh&lt;/author&gt;&lt;author&gt;Adithan, C&lt;/author&gt;&lt;author&gt;Harish, BN&lt;/author&gt;&lt;author&gt;Sujatha, S&lt;/author&gt;&lt;author&gt;Roy, Gautam&lt;/author&gt;&lt;author&gt;Malini, A&lt;/author&gt;&lt;/authors&gt;&lt;/contributors&gt;&lt;titles&gt;&lt;title&gt;Antimicrobial resistance in India: A review&lt;/title&gt;&lt;secondary-title&gt;Journal of natural science, biology, and medicine&lt;/secondary-title&gt;&lt;/titles&gt;&lt;periodical&gt;&lt;full-title&gt;Journal of natural science, biology, and medicine&lt;/full-title&gt;&lt;/periodical&gt;&lt;pages&gt;286&lt;/pages&gt;&lt;volume&gt;4&lt;/volume&gt;&lt;number&gt;2&lt;/number&gt;&lt;dates&gt;&lt;year&gt;2013&lt;/year&gt;&lt;/dates&gt;&lt;urls&gt;&lt;/urls&gt;&lt;/record&gt;&lt;/Cite&gt;&lt;Cite&gt;&lt;Author&gt;Metz&lt;/Author&gt;&lt;Year&gt;2014&lt;/Year&gt;&lt;RecNum&gt;831&lt;/RecNum&gt;&lt;record&gt;&lt;rec-number&gt;831&lt;/rec-number&gt;&lt;foreign-keys&gt;&lt;key app="EN" db-id="w22tszxz12v02ie02asvszppdzx5axz52d95" timestamp="1718863978"&gt;831&lt;/key&gt;&lt;/foreign-keys&gt;&lt;ref-type name="Journal Article"&gt;17&lt;/ref-type&gt;&lt;contributors&gt;&lt;authors&gt;&lt;author&gt;Metz, Matthew&lt;/author&gt;&lt;author&gt;Shlaes, David M&lt;/author&gt;&lt;/authors&gt;&lt;/contributors&gt;&lt;titles&gt;&lt;title&gt;Eight more ways to deal with antibiotic resistance&lt;/title&gt;&lt;secondary-title&gt;Antimicrobial agents and chemotherapy&lt;/secondary-title&gt;&lt;/titles&gt;&lt;periodical&gt;&lt;full-title&gt;Antimicrobial agents and chemotherapy&lt;/full-title&gt;&lt;/periodical&gt;&lt;pages&gt;4253-4256&lt;/pages&gt;&lt;volume&gt;58&lt;/volume&gt;&lt;number&gt;8&lt;/number&gt;&lt;dates&gt;&lt;year&gt;2014&lt;/year&gt;&lt;/dates&gt;&lt;isbn&gt;0066-4804&lt;/isbn&gt;&lt;urls&gt;&lt;/urls&gt;&lt;/record&gt;&lt;/Cite&gt;&lt;/EndNote&gt;</w:instrText>
      </w:r>
      <w:r w:rsidR="009113D1" w:rsidRPr="0012141A">
        <w:rPr>
          <w:rFonts w:ascii="Times New Roman" w:hAnsi="Times New Roman"/>
          <w:color w:val="0000FF"/>
        </w:rPr>
        <w:fldChar w:fldCharType="separate"/>
      </w:r>
      <w:r w:rsidR="00287940">
        <w:rPr>
          <w:rFonts w:ascii="Times New Roman" w:hAnsi="Times New Roman"/>
          <w:noProof/>
          <w:color w:val="0000FF"/>
        </w:rPr>
        <w:t>(Kumar et al., 2013, Metz and Shlaes, 2014)</w:t>
      </w:r>
      <w:r w:rsidR="009113D1" w:rsidRPr="0012141A">
        <w:rPr>
          <w:rFonts w:ascii="Times New Roman" w:hAnsi="Times New Roman"/>
          <w:color w:val="0000FF"/>
        </w:rPr>
        <w:fldChar w:fldCharType="end"/>
      </w:r>
      <w:r w:rsidR="00196B8D">
        <w:rPr>
          <w:rFonts w:ascii="Times New Roman" w:hAnsi="Times New Roman"/>
        </w:rPr>
        <w:t>.</w:t>
      </w:r>
      <w:r w:rsidR="0012141A">
        <w:rPr>
          <w:rFonts w:ascii="Times New Roman" w:hAnsi="Times New Roman"/>
        </w:rPr>
        <w:t xml:space="preserve"> </w:t>
      </w:r>
    </w:p>
    <w:p w14:paraId="321620EF" w14:textId="77777777" w:rsidR="007D49B8" w:rsidRDefault="007D49B8" w:rsidP="008416D5">
      <w:pPr>
        <w:spacing w:line="360" w:lineRule="auto"/>
        <w:rPr>
          <w:rFonts w:ascii="Times New Roman" w:hAnsi="Times New Roman"/>
        </w:rPr>
      </w:pPr>
    </w:p>
    <w:p w14:paraId="78921AA9" w14:textId="77777777" w:rsidR="00C22BBC" w:rsidRPr="0012141A" w:rsidRDefault="00C22BBC" w:rsidP="006F57E0">
      <w:pPr>
        <w:spacing w:line="360" w:lineRule="auto"/>
        <w:jc w:val="both"/>
        <w:rPr>
          <w:rFonts w:ascii="Times New Roman" w:hAnsi="Times New Roman"/>
        </w:rPr>
      </w:pPr>
    </w:p>
    <w:p w14:paraId="3CA0697C" w14:textId="34FE8160" w:rsidR="006B1624" w:rsidRPr="0012141A" w:rsidRDefault="00CE1BB3" w:rsidP="006F3A51">
      <w:pPr>
        <w:spacing w:line="360" w:lineRule="auto"/>
        <w:jc w:val="both"/>
        <w:rPr>
          <w:rFonts w:ascii="Times New Roman" w:hAnsi="Times New Roman"/>
        </w:rPr>
      </w:pPr>
      <w:r w:rsidRPr="0012141A">
        <w:rPr>
          <w:rFonts w:ascii="Times New Roman" w:hAnsi="Times New Roman"/>
          <w:b/>
          <w:bCs/>
        </w:rPr>
        <w:t>Conclusion</w:t>
      </w:r>
    </w:p>
    <w:p w14:paraId="4FBD0943" w14:textId="029925A6" w:rsidR="006867F8" w:rsidRPr="006867F8" w:rsidRDefault="006867F8" w:rsidP="006867F8">
      <w:pPr>
        <w:spacing w:line="360" w:lineRule="auto"/>
        <w:rPr>
          <w:rFonts w:ascii="Times New Roman" w:hAnsi="Times New Roman"/>
        </w:rPr>
      </w:pPr>
      <w:r w:rsidRPr="006867F8">
        <w:rPr>
          <w:rFonts w:ascii="Times New Roman" w:hAnsi="Times New Roman"/>
        </w:rPr>
        <w:t xml:space="preserve">The escalating epidemic of AMR is intrinsically associated with environmental mechanisms that facilitate the development, persistence, and dissemination of ARGs. This work highlights that the environment functions not merely as a repository but as a dynamic reactor for resistance, with hotspots like </w:t>
      </w:r>
      <w:r w:rsidR="002C2458">
        <w:rPr>
          <w:rFonts w:ascii="Times New Roman" w:hAnsi="Times New Roman"/>
        </w:rPr>
        <w:t>WWTPs</w:t>
      </w:r>
      <w:r w:rsidRPr="006867F8">
        <w:rPr>
          <w:rFonts w:ascii="Times New Roman" w:hAnsi="Times New Roman"/>
        </w:rPr>
        <w:t xml:space="preserve"> and agricultural soils serving as critical centers for gene exchange between environmental and clinical bacteria. The molecular mechanisms enabling this dispersion (horizontal gene transfer via mobile genetic elements, enzymatic drug inactivation, and efflux pumps) are now comprehensively elucidated, revealing a sophisticated </w:t>
      </w:r>
      <w:proofErr w:type="spellStart"/>
      <w:r w:rsidRPr="006867F8">
        <w:rPr>
          <w:rFonts w:ascii="Times New Roman" w:hAnsi="Times New Roman"/>
        </w:rPr>
        <w:t>resistome</w:t>
      </w:r>
      <w:proofErr w:type="spellEnd"/>
      <w:r w:rsidRPr="006867F8">
        <w:rPr>
          <w:rFonts w:ascii="Times New Roman" w:hAnsi="Times New Roman"/>
        </w:rPr>
        <w:t xml:space="preserve"> that predates the clinical use of antibiotics. </w:t>
      </w:r>
      <w:r w:rsidRPr="006867F8">
        <w:rPr>
          <w:rFonts w:ascii="Times New Roman" w:hAnsi="Times New Roman"/>
        </w:rPr>
        <w:br/>
        <w:t xml:space="preserve">Advanced molecular techniques, including high-throughput qPCR, droplet digital PCR, and metagenomic sequencing, are indispensable for monitoring the </w:t>
      </w:r>
      <w:proofErr w:type="spellStart"/>
      <w:r w:rsidRPr="006867F8">
        <w:rPr>
          <w:rFonts w:ascii="Times New Roman" w:hAnsi="Times New Roman"/>
        </w:rPr>
        <w:t>resistome</w:t>
      </w:r>
      <w:proofErr w:type="spellEnd"/>
      <w:r w:rsidRPr="006867F8">
        <w:rPr>
          <w:rFonts w:ascii="Times New Roman" w:hAnsi="Times New Roman"/>
        </w:rPr>
        <w:t>, offering the accuracy required to track the fate and dissemination of ARGs. The consequences for human health are urgent and severe, as ambient ARGs infiltrate clinical settings, compromising treatment options and elevating mortality rates.</w:t>
      </w:r>
      <w:r w:rsidRPr="006867F8">
        <w:rPr>
          <w:rFonts w:ascii="Times New Roman" w:hAnsi="Times New Roman"/>
        </w:rPr>
        <w:br/>
        <w:t>A thorough mitigation strategy is being formulated. Engineered solutions for wastewater and drinking water treatment, such as advanced membrane bioreactors and better coagulation, can significantly diminish ARG loads. Terrestrial methods like vermicomposting for soil and pasteurization-integrated anaerobic digestion for manure interrupt the agricultural resistance cycle. Innovative biotherapeutic strategies encompass precision phage therapy, CRISPR-Cas gene editing to counteract resistance pathways, and fecal microbiota transplantation to reestablish microbial balance. Ultimately, addressing the environmental dimension of AMR requires a fundamental transformation towards proactive, integrated management within the One Health framework. Success depends on the integration of human, animal, and environmental health through ongoing monitoring, robust legislation, and the application of innovative remediation technologies from research to implementation. The evidence is clear: preserving the efficacy of our antibiotic resources requires a robust environmental strategy.</w:t>
      </w:r>
    </w:p>
    <w:p w14:paraId="5D0C5FA2" w14:textId="12099FEA" w:rsidR="0005002D" w:rsidRPr="007D49B8" w:rsidRDefault="0005002D" w:rsidP="0005002D">
      <w:pPr>
        <w:spacing w:line="360" w:lineRule="auto"/>
        <w:rPr>
          <w:rFonts w:ascii="Times New Roman" w:hAnsi="Times New Roman"/>
          <w:b/>
          <w:bCs/>
        </w:rPr>
      </w:pPr>
      <w:r w:rsidRPr="007D49B8">
        <w:rPr>
          <w:rFonts w:ascii="Times New Roman" w:hAnsi="Times New Roman"/>
          <w:b/>
          <w:bCs/>
        </w:rPr>
        <w:t>Limitations and Future Perspectives</w:t>
      </w:r>
    </w:p>
    <w:p w14:paraId="3EBDA4BD" w14:textId="77777777" w:rsidR="0005002D" w:rsidRPr="007D49B8" w:rsidRDefault="0005002D" w:rsidP="0005002D">
      <w:pPr>
        <w:spacing w:line="360" w:lineRule="auto"/>
        <w:jc w:val="both"/>
        <w:rPr>
          <w:rFonts w:ascii="Times New Roman" w:hAnsi="Times New Roman"/>
        </w:rPr>
      </w:pPr>
      <w:r w:rsidRPr="007D49B8">
        <w:rPr>
          <w:rFonts w:ascii="Times New Roman" w:hAnsi="Times New Roman"/>
        </w:rPr>
        <w:t xml:space="preserve">This review consolidates existing knowledge on environmental antibiotic resistance, although it is essential to </w:t>
      </w:r>
      <w:r>
        <w:rPr>
          <w:rFonts w:ascii="Times New Roman" w:hAnsi="Times New Roman"/>
        </w:rPr>
        <w:t>recognize</w:t>
      </w:r>
      <w:r w:rsidRPr="007D49B8">
        <w:rPr>
          <w:rFonts w:ascii="Times New Roman" w:hAnsi="Times New Roman"/>
        </w:rPr>
        <w:t xml:space="preserve"> various limitations in the field to inform future study and </w:t>
      </w:r>
      <w:r>
        <w:rPr>
          <w:rFonts w:ascii="Times New Roman" w:hAnsi="Times New Roman"/>
        </w:rPr>
        <w:t>implementation</w:t>
      </w:r>
      <w:r w:rsidRPr="007D49B8">
        <w:rPr>
          <w:rFonts w:ascii="Times New Roman" w:hAnsi="Times New Roman"/>
        </w:rPr>
        <w:t>.</w:t>
      </w:r>
    </w:p>
    <w:p w14:paraId="0C65CD2A" w14:textId="77777777" w:rsidR="0005002D" w:rsidRPr="007D49B8" w:rsidRDefault="0005002D" w:rsidP="0005002D">
      <w:pPr>
        <w:spacing w:line="360" w:lineRule="auto"/>
        <w:jc w:val="both"/>
        <w:rPr>
          <w:rFonts w:ascii="Times New Roman" w:hAnsi="Times New Roman"/>
        </w:rPr>
      </w:pPr>
      <w:r w:rsidRPr="007D49B8">
        <w:rPr>
          <w:rFonts w:ascii="Times New Roman" w:hAnsi="Times New Roman"/>
        </w:rPr>
        <w:t xml:space="preserve">The molecular approaches outlined, including metagenomic sequencing and qPCR, are potent yet not devoid of bias. The efficiency of DNA extraction can fluctuate markedly among various environmental matrices (e.g., soil versus wastewater), potentially distorting estimations of ARG abundance. Moreover, the majority of approaches identify </w:t>
      </w:r>
      <w:r>
        <w:rPr>
          <w:rFonts w:ascii="Times New Roman" w:hAnsi="Times New Roman"/>
        </w:rPr>
        <w:t>genetically</w:t>
      </w:r>
      <w:r w:rsidRPr="007D49B8">
        <w:rPr>
          <w:rFonts w:ascii="Times New Roman" w:hAnsi="Times New Roman"/>
        </w:rPr>
        <w:t xml:space="preserve"> potential functional expression, constraining our comprehension of active resistance mechanisms in situ. The standardization of methods and the advancement of approaches that associate ARG presence with phenotypic resistance and host identity in intricate communities are essential requirements.</w:t>
      </w:r>
    </w:p>
    <w:p w14:paraId="387C8A51" w14:textId="77777777" w:rsidR="0005002D" w:rsidRPr="007D49B8" w:rsidRDefault="0005002D" w:rsidP="0005002D">
      <w:pPr>
        <w:spacing w:line="360" w:lineRule="auto"/>
        <w:jc w:val="both"/>
        <w:rPr>
          <w:rFonts w:ascii="Times New Roman" w:hAnsi="Times New Roman"/>
        </w:rPr>
      </w:pPr>
      <w:r w:rsidRPr="007D49B8">
        <w:rPr>
          <w:rFonts w:ascii="Times New Roman" w:hAnsi="Times New Roman"/>
        </w:rPr>
        <w:t xml:space="preserve">Numerous novel remediation technologies, such as enhanced oxidation processes, engineered nanomaterials, and CRISPR-based therapeutics, demonstrate potential in controlled research but encounter substantial obstacles for large-scale, real-world implementation. Challenges encompass elevated operational expenses, ecological repercussions (e.g., nanomaterial toxicity, disruption of vital </w:t>
      </w:r>
      <w:r w:rsidRPr="007D49B8">
        <w:rPr>
          <w:rFonts w:ascii="Times New Roman" w:hAnsi="Times New Roman"/>
        </w:rPr>
        <w:lastRenderedPageBreak/>
        <w:t>microbiota), and the logistical intricacies of implementing such technologies across varied environments, such as expansive agricultural areas or massive wastewater systems. The enduring effectiveness and durability of nature-based solutions, such as built wetlands and Verm remediation, necessitate further comprehensive field validation.</w:t>
      </w:r>
    </w:p>
    <w:p w14:paraId="1CD318E6" w14:textId="77777777" w:rsidR="0005002D" w:rsidRPr="007D49B8" w:rsidRDefault="0005002D" w:rsidP="0005002D">
      <w:pPr>
        <w:spacing w:line="360" w:lineRule="auto"/>
        <w:jc w:val="both"/>
        <w:rPr>
          <w:rFonts w:ascii="Times New Roman" w:hAnsi="Times New Roman"/>
        </w:rPr>
      </w:pPr>
      <w:r w:rsidRPr="007D49B8">
        <w:rPr>
          <w:rFonts w:ascii="Times New Roman" w:hAnsi="Times New Roman"/>
        </w:rPr>
        <w:t xml:space="preserve">Efforts to reduce ARGs may inadvertently affect critical ecosystem functioning. Aggressive disinfection in </w:t>
      </w:r>
      <w:r>
        <w:rPr>
          <w:rFonts w:ascii="Times New Roman" w:hAnsi="Times New Roman"/>
        </w:rPr>
        <w:t>WWTPs</w:t>
      </w:r>
      <w:r w:rsidRPr="007D49B8">
        <w:rPr>
          <w:rFonts w:ascii="Times New Roman" w:hAnsi="Times New Roman"/>
        </w:rPr>
        <w:t xml:space="preserve"> may promote the emergence of more resilient diseases or harm beneficial microbial communities essential for nutrient cycling. Mod</w:t>
      </w:r>
      <w:bookmarkStart w:id="1" w:name="_GoBack"/>
      <w:bookmarkEnd w:id="1"/>
      <w:r w:rsidRPr="007D49B8">
        <w:rPr>
          <w:rFonts w:ascii="Times New Roman" w:hAnsi="Times New Roman"/>
        </w:rPr>
        <w:t>ifying soil microbiomes to prevent the spread of antibiotic resistance genes must be weighed against preserving soil fertility and plant vitality. A comprehensive evaluation of the ecological impact of any mitigation approach is essential.</w:t>
      </w:r>
    </w:p>
    <w:p w14:paraId="696EF05E" w14:textId="77777777" w:rsidR="0005002D" w:rsidRPr="007D49B8" w:rsidRDefault="0005002D" w:rsidP="0005002D">
      <w:pPr>
        <w:spacing w:line="360" w:lineRule="auto"/>
        <w:jc w:val="both"/>
        <w:rPr>
          <w:rFonts w:ascii="Times New Roman" w:hAnsi="Times New Roman"/>
        </w:rPr>
      </w:pPr>
      <w:r w:rsidRPr="007D49B8">
        <w:rPr>
          <w:rFonts w:ascii="Times New Roman" w:hAnsi="Times New Roman"/>
        </w:rPr>
        <w:t>Translating scientific information into effective policy and practical implementation presents a significant challenge. Implementing a comprehensive One Health approach necessitates exceptional coordination among environmental, agricultural, and public health sectors, frequently obstructed by isolated governance and disjointed finance. Moreover, the financial strain of modern treatment technologies might be excessive, particularly in low- and middle-income nations where the demands of antibiotic usage and environmental pollution are often most acute.</w:t>
      </w:r>
    </w:p>
    <w:p w14:paraId="6008248E" w14:textId="77777777" w:rsidR="0005002D" w:rsidRDefault="0005002D" w:rsidP="0005002D">
      <w:pPr>
        <w:spacing w:line="360" w:lineRule="auto"/>
        <w:jc w:val="both"/>
        <w:rPr>
          <w:rFonts w:ascii="Times New Roman" w:hAnsi="Times New Roman"/>
        </w:rPr>
      </w:pPr>
      <w:r w:rsidRPr="007D49B8">
        <w:rPr>
          <w:rFonts w:ascii="Times New Roman" w:hAnsi="Times New Roman"/>
        </w:rPr>
        <w:t>Overcoming these limitations requires a unified future research agenda aimed at standardizing monitoring methods, executing long-term pilot studies of mitigation technologies, conducting thorough risk-benefit calculations, and creating cost-effective, context-specific solutions. Ultimately, addressing the environmental aspect of AMR presents both scientific and technical challenges, as well as socio-economic and governance issues, underscoring the importance of the integrated One Health approach advocated in this review.</w:t>
      </w:r>
    </w:p>
    <w:p w14:paraId="45C7969B" w14:textId="77777777" w:rsidR="00A20641" w:rsidRDefault="00A20641" w:rsidP="006F3A51">
      <w:pPr>
        <w:spacing w:line="360" w:lineRule="auto"/>
        <w:rPr>
          <w:rFonts w:ascii="Times New Roman" w:hAnsi="Times New Roman"/>
        </w:rPr>
      </w:pPr>
    </w:p>
    <w:p w14:paraId="0A89ADD1" w14:textId="77777777" w:rsidR="00081FB5" w:rsidRDefault="00081FB5" w:rsidP="00A20641">
      <w:pPr>
        <w:spacing w:line="360" w:lineRule="auto"/>
        <w:rPr>
          <w:rFonts w:ascii="Times New Roman" w:hAnsi="Times New Roman"/>
        </w:rPr>
      </w:pPr>
    </w:p>
    <w:p w14:paraId="390BF82F" w14:textId="77777777" w:rsidR="00415B87" w:rsidRPr="004D3073" w:rsidRDefault="00415B87" w:rsidP="00415B87">
      <w:pPr>
        <w:rPr>
          <w:rFonts w:ascii="Times New Roman" w:hAnsi="Times New Roman" w:cs="Times New Roman"/>
          <w:b/>
          <w:highlight w:val="yellow"/>
        </w:rPr>
      </w:pPr>
      <w:r w:rsidRPr="004D3073">
        <w:rPr>
          <w:rFonts w:ascii="Times New Roman" w:hAnsi="Times New Roman" w:cs="Times New Roman"/>
          <w:b/>
          <w:highlight w:val="yellow"/>
        </w:rPr>
        <w:t>Disclaimer (Artificial intelligence)</w:t>
      </w:r>
    </w:p>
    <w:p w14:paraId="1B3CFFC3" w14:textId="77777777" w:rsidR="00415B87" w:rsidRPr="004D3073" w:rsidRDefault="00415B87" w:rsidP="00415B87">
      <w:pPr>
        <w:rPr>
          <w:rFonts w:ascii="Times New Roman" w:hAnsi="Times New Roman" w:cs="Times New Roman"/>
          <w:highlight w:val="yellow"/>
        </w:rPr>
      </w:pPr>
      <w:r w:rsidRPr="004D3073">
        <w:rPr>
          <w:rFonts w:ascii="Times New Roman" w:hAnsi="Times New Roman" w:cs="Times New Roman"/>
          <w:highlight w:val="yellow"/>
        </w:rPr>
        <w:t xml:space="preserve">Author(s) hereby declare that NO generative AI technologies such as Large Language Models (ChatGPT, COPILOT, etc.) and text-to-image generators have been used during the writing or editing of this manuscript. </w:t>
      </w:r>
    </w:p>
    <w:p w14:paraId="01724B97" w14:textId="77777777" w:rsidR="00415B87" w:rsidRPr="00A20641" w:rsidRDefault="00415B87" w:rsidP="00081FB5">
      <w:pPr>
        <w:spacing w:line="360" w:lineRule="auto"/>
        <w:rPr>
          <w:rFonts w:ascii="Times New Roman" w:hAnsi="Times New Roman"/>
        </w:rPr>
      </w:pPr>
    </w:p>
    <w:p w14:paraId="62336F79" w14:textId="77777777" w:rsidR="00A20641" w:rsidRDefault="00A20641" w:rsidP="004756E8">
      <w:pPr>
        <w:spacing w:line="360" w:lineRule="auto"/>
        <w:jc w:val="both"/>
        <w:rPr>
          <w:rFonts w:ascii="Times New Roman" w:hAnsi="Times New Roman"/>
        </w:rPr>
      </w:pPr>
    </w:p>
    <w:p w14:paraId="53585916" w14:textId="14E9A389" w:rsidR="006B1624" w:rsidRPr="00FE032B" w:rsidRDefault="009E4636" w:rsidP="004756E8">
      <w:pPr>
        <w:spacing w:line="360" w:lineRule="auto"/>
        <w:jc w:val="both"/>
        <w:rPr>
          <w:rFonts w:ascii="Times New Roman" w:hAnsi="Times New Roman"/>
          <w:b/>
          <w:bCs/>
        </w:rPr>
      </w:pPr>
      <w:r w:rsidRPr="0012141A">
        <w:rPr>
          <w:rFonts w:ascii="Times New Roman" w:hAnsi="Times New Roman"/>
          <w:b/>
          <w:bCs/>
        </w:rPr>
        <w:t>References</w:t>
      </w:r>
    </w:p>
    <w:p w14:paraId="3697C340" w14:textId="77777777" w:rsidR="00287940" w:rsidRPr="005A5103" w:rsidRDefault="009E4636" w:rsidP="00792475">
      <w:pPr>
        <w:pStyle w:val="EndNoteBibliography"/>
        <w:numPr>
          <w:ilvl w:val="0"/>
          <w:numId w:val="6"/>
        </w:numPr>
        <w:rPr>
          <w:rFonts w:ascii="Times New Roman" w:hAnsi="Times New Roman" w:cs="Times New Roman"/>
          <w:noProof/>
        </w:rPr>
      </w:pPr>
      <w:r w:rsidRPr="0036658F">
        <w:rPr>
          <w:rFonts w:ascii="Times New Roman" w:hAnsi="Times New Roman" w:cs="Times New Roman"/>
        </w:rPr>
        <w:fldChar w:fldCharType="begin"/>
      </w:r>
      <w:r w:rsidRPr="0036658F">
        <w:rPr>
          <w:rFonts w:ascii="Times New Roman" w:hAnsi="Times New Roman" w:cs="Times New Roman"/>
        </w:rPr>
        <w:instrText xml:space="preserve"> ADDIN EN.REFLIST </w:instrText>
      </w:r>
      <w:r w:rsidRPr="0036658F">
        <w:rPr>
          <w:rFonts w:ascii="Times New Roman" w:hAnsi="Times New Roman" w:cs="Times New Roman"/>
        </w:rPr>
        <w:fldChar w:fldCharType="separate"/>
      </w:r>
      <w:r w:rsidR="00287940" w:rsidRPr="005A5103">
        <w:rPr>
          <w:rFonts w:ascii="Times New Roman" w:hAnsi="Times New Roman" w:cs="Times New Roman"/>
          <w:noProof/>
        </w:rPr>
        <w:t xml:space="preserve">ANNUNZIATO, G. 2019. Strategies to overcome antimicrobial resistance (AMR) making use of non-essential target inhibitors: A review. </w:t>
      </w:r>
      <w:r w:rsidR="00287940" w:rsidRPr="005A5103">
        <w:rPr>
          <w:rFonts w:ascii="Times New Roman" w:hAnsi="Times New Roman" w:cs="Times New Roman"/>
          <w:i/>
          <w:noProof/>
        </w:rPr>
        <w:t>International journal of molecular sciences,</w:t>
      </w:r>
      <w:r w:rsidR="00287940" w:rsidRPr="005A5103">
        <w:rPr>
          <w:rFonts w:ascii="Times New Roman" w:hAnsi="Times New Roman" w:cs="Times New Roman"/>
          <w:noProof/>
        </w:rPr>
        <w:t xml:space="preserve"> 20</w:t>
      </w:r>
      <w:r w:rsidR="00287940" w:rsidRPr="005A5103">
        <w:rPr>
          <w:rFonts w:ascii="Times New Roman" w:hAnsi="Times New Roman" w:cs="Times New Roman"/>
          <w:b/>
          <w:noProof/>
        </w:rPr>
        <w:t>,</w:t>
      </w:r>
      <w:r w:rsidR="00287940" w:rsidRPr="005A5103">
        <w:rPr>
          <w:rFonts w:ascii="Times New Roman" w:hAnsi="Times New Roman" w:cs="Times New Roman"/>
          <w:noProof/>
        </w:rPr>
        <w:t xml:space="preserve"> 5844.</w:t>
      </w:r>
    </w:p>
    <w:p w14:paraId="1AB9EB5D"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ANTWERPEN, M. H., SCHELLHASE, M., EHRENTREICH-FÖRSTER, E., BIER, F., WITTE, W. &amp; NÜBEL, U. 2007. DNA microarray for detection of antibiotic resistance determinants in Bacillus anthracis and closely related Bacillus cereus. </w:t>
      </w:r>
      <w:r w:rsidRPr="005A5103">
        <w:rPr>
          <w:rFonts w:ascii="Times New Roman" w:hAnsi="Times New Roman" w:cs="Times New Roman"/>
          <w:i/>
          <w:noProof/>
        </w:rPr>
        <w:t>Molecular and cellular probes,</w:t>
      </w:r>
      <w:r w:rsidRPr="005A5103">
        <w:rPr>
          <w:rFonts w:ascii="Times New Roman" w:hAnsi="Times New Roman" w:cs="Times New Roman"/>
          <w:noProof/>
        </w:rPr>
        <w:t xml:space="preserve"> 21</w:t>
      </w:r>
      <w:r w:rsidRPr="005A5103">
        <w:rPr>
          <w:rFonts w:ascii="Times New Roman" w:hAnsi="Times New Roman" w:cs="Times New Roman"/>
          <w:b/>
          <w:noProof/>
        </w:rPr>
        <w:t>,</w:t>
      </w:r>
      <w:r w:rsidRPr="005A5103">
        <w:rPr>
          <w:rFonts w:ascii="Times New Roman" w:hAnsi="Times New Roman" w:cs="Times New Roman"/>
          <w:noProof/>
        </w:rPr>
        <w:t xml:space="preserve"> 152-160.</w:t>
      </w:r>
    </w:p>
    <w:p w14:paraId="5EC1BEAC"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ARUGUETE, D. M., KIM, B., HOCHELLA, M. F., MA, Y., CHENG, Y., HOEGH, A., LIU, J. &amp; PRUDEN, A. 2013. Antimicrobial nanotechnology: its potential for the effective management of microbial drug resistance and implications for research needs in microbial nanotoxicology. </w:t>
      </w:r>
      <w:r w:rsidRPr="005A5103">
        <w:rPr>
          <w:rFonts w:ascii="Times New Roman" w:hAnsi="Times New Roman" w:cs="Times New Roman"/>
          <w:i/>
          <w:noProof/>
        </w:rPr>
        <w:t>Environmental Science: Processes &amp; Impacts,</w:t>
      </w:r>
      <w:r w:rsidRPr="005A5103">
        <w:rPr>
          <w:rFonts w:ascii="Times New Roman" w:hAnsi="Times New Roman" w:cs="Times New Roman"/>
          <w:noProof/>
        </w:rPr>
        <w:t xml:space="preserve"> 15</w:t>
      </w:r>
      <w:r w:rsidRPr="005A5103">
        <w:rPr>
          <w:rFonts w:ascii="Times New Roman" w:hAnsi="Times New Roman" w:cs="Times New Roman"/>
          <w:b/>
          <w:noProof/>
        </w:rPr>
        <w:t>,</w:t>
      </w:r>
      <w:r w:rsidRPr="005A5103">
        <w:rPr>
          <w:rFonts w:ascii="Times New Roman" w:hAnsi="Times New Roman" w:cs="Times New Roman"/>
          <w:noProof/>
        </w:rPr>
        <w:t xml:space="preserve"> 93-102.</w:t>
      </w:r>
    </w:p>
    <w:p w14:paraId="64DB349B"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AW, T. G. &amp; ROSE, J. B. 2012. Detection of pathogens in water: from phylochips to qPCR to pyrosequencing. </w:t>
      </w:r>
      <w:r w:rsidRPr="005A5103">
        <w:rPr>
          <w:rFonts w:ascii="Times New Roman" w:hAnsi="Times New Roman" w:cs="Times New Roman"/>
          <w:i/>
          <w:noProof/>
        </w:rPr>
        <w:t>Current opinion in biotechnology,</w:t>
      </w:r>
      <w:r w:rsidRPr="005A5103">
        <w:rPr>
          <w:rFonts w:ascii="Times New Roman" w:hAnsi="Times New Roman" w:cs="Times New Roman"/>
          <w:noProof/>
        </w:rPr>
        <w:t xml:space="preserve"> 23</w:t>
      </w:r>
      <w:r w:rsidRPr="005A5103">
        <w:rPr>
          <w:rFonts w:ascii="Times New Roman" w:hAnsi="Times New Roman" w:cs="Times New Roman"/>
          <w:b/>
          <w:noProof/>
        </w:rPr>
        <w:t>,</w:t>
      </w:r>
      <w:r w:rsidRPr="005A5103">
        <w:rPr>
          <w:rFonts w:ascii="Times New Roman" w:hAnsi="Times New Roman" w:cs="Times New Roman"/>
          <w:noProof/>
        </w:rPr>
        <w:t xml:space="preserve"> 422-430.</w:t>
      </w:r>
    </w:p>
    <w:p w14:paraId="00E45CD0"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BAE, H.-S., HOLMES, M. E., CHANTON, J. P., REDDY, K. R. &amp; OGRAM, A. 2015. Distribution, activities, and interactions of methanogens and sulfate-reducing prokaryotes in the Florida Everglades. </w:t>
      </w:r>
      <w:r w:rsidRPr="005A5103">
        <w:rPr>
          <w:rFonts w:ascii="Times New Roman" w:hAnsi="Times New Roman" w:cs="Times New Roman"/>
          <w:i/>
          <w:noProof/>
        </w:rPr>
        <w:t>Applied and Environmental Microbiology,</w:t>
      </w:r>
      <w:r w:rsidRPr="005A5103">
        <w:rPr>
          <w:rFonts w:ascii="Times New Roman" w:hAnsi="Times New Roman" w:cs="Times New Roman"/>
          <w:noProof/>
        </w:rPr>
        <w:t xml:space="preserve"> 81</w:t>
      </w:r>
      <w:r w:rsidRPr="005A5103">
        <w:rPr>
          <w:rFonts w:ascii="Times New Roman" w:hAnsi="Times New Roman" w:cs="Times New Roman"/>
          <w:b/>
          <w:noProof/>
        </w:rPr>
        <w:t>,</w:t>
      </w:r>
      <w:r w:rsidRPr="005A5103">
        <w:rPr>
          <w:rFonts w:ascii="Times New Roman" w:hAnsi="Times New Roman" w:cs="Times New Roman"/>
          <w:noProof/>
        </w:rPr>
        <w:t xml:space="preserve"> 7431-7442.</w:t>
      </w:r>
    </w:p>
    <w:p w14:paraId="38F97C86"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lastRenderedPageBreak/>
        <w:t xml:space="preserve">BAQUERO, F., COQUE, T. M., MARTÍNEZ, J.-L., ARACIL-GISBERT, S. &amp; LANZA, V. F. 2019. Gene transmission in the one health microbiosphere and the channels of antimicrobial resistance. </w:t>
      </w:r>
      <w:r w:rsidRPr="005A5103">
        <w:rPr>
          <w:rFonts w:ascii="Times New Roman" w:hAnsi="Times New Roman" w:cs="Times New Roman"/>
          <w:i/>
          <w:noProof/>
        </w:rPr>
        <w:t>Frontiers in microbiology,</w:t>
      </w:r>
      <w:r w:rsidRPr="005A5103">
        <w:rPr>
          <w:rFonts w:ascii="Times New Roman" w:hAnsi="Times New Roman" w:cs="Times New Roman"/>
          <w:noProof/>
        </w:rPr>
        <w:t xml:space="preserve"> 10</w:t>
      </w:r>
      <w:r w:rsidRPr="005A5103">
        <w:rPr>
          <w:rFonts w:ascii="Times New Roman" w:hAnsi="Times New Roman" w:cs="Times New Roman"/>
          <w:b/>
          <w:noProof/>
        </w:rPr>
        <w:t>,</w:t>
      </w:r>
      <w:r w:rsidRPr="005A5103">
        <w:rPr>
          <w:rFonts w:ascii="Times New Roman" w:hAnsi="Times New Roman" w:cs="Times New Roman"/>
          <w:noProof/>
        </w:rPr>
        <w:t xml:space="preserve"> 2892.</w:t>
      </w:r>
    </w:p>
    <w:p w14:paraId="115C5DAE"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BARANCHESHME, F. &amp; MUNIR, M. 2018. Strategies to combat antibiotic resistance in the wastewater treatment plants. </w:t>
      </w:r>
      <w:r w:rsidRPr="005A5103">
        <w:rPr>
          <w:rFonts w:ascii="Times New Roman" w:hAnsi="Times New Roman" w:cs="Times New Roman"/>
          <w:i/>
          <w:noProof/>
        </w:rPr>
        <w:t>Frontiers in microbiology,</w:t>
      </w:r>
      <w:r w:rsidRPr="005A5103">
        <w:rPr>
          <w:rFonts w:ascii="Times New Roman" w:hAnsi="Times New Roman" w:cs="Times New Roman"/>
          <w:noProof/>
        </w:rPr>
        <w:t xml:space="preserve"> 8</w:t>
      </w:r>
      <w:r w:rsidRPr="005A5103">
        <w:rPr>
          <w:rFonts w:ascii="Times New Roman" w:hAnsi="Times New Roman" w:cs="Times New Roman"/>
          <w:b/>
          <w:noProof/>
        </w:rPr>
        <w:t>,</w:t>
      </w:r>
      <w:r w:rsidRPr="005A5103">
        <w:rPr>
          <w:rFonts w:ascii="Times New Roman" w:hAnsi="Times New Roman" w:cs="Times New Roman"/>
          <w:noProof/>
        </w:rPr>
        <w:t xml:space="preserve"> 299736.</w:t>
      </w:r>
    </w:p>
    <w:p w14:paraId="081BD3E4"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BIKARD, D., EULER, C. W., JIANG, W., NUSSENZWEIG, P. M., GOLDBERG, G. W., DUPORTET, X., FISCHETTI, V. A. &amp; MARRAFFINI, L. A. 2014. Exploiting CRISPR-Cas nucleases to produce sequence-specific antimicrobials. </w:t>
      </w:r>
      <w:r w:rsidRPr="005A5103">
        <w:rPr>
          <w:rFonts w:ascii="Times New Roman" w:hAnsi="Times New Roman" w:cs="Times New Roman"/>
          <w:i/>
          <w:noProof/>
        </w:rPr>
        <w:t>Nature biotechnology,</w:t>
      </w:r>
      <w:r w:rsidRPr="005A5103">
        <w:rPr>
          <w:rFonts w:ascii="Times New Roman" w:hAnsi="Times New Roman" w:cs="Times New Roman"/>
          <w:noProof/>
        </w:rPr>
        <w:t xml:space="preserve"> 32</w:t>
      </w:r>
      <w:r w:rsidRPr="005A5103">
        <w:rPr>
          <w:rFonts w:ascii="Times New Roman" w:hAnsi="Times New Roman" w:cs="Times New Roman"/>
          <w:b/>
          <w:noProof/>
        </w:rPr>
        <w:t>,</w:t>
      </w:r>
      <w:r w:rsidRPr="005A5103">
        <w:rPr>
          <w:rFonts w:ascii="Times New Roman" w:hAnsi="Times New Roman" w:cs="Times New Roman"/>
          <w:noProof/>
        </w:rPr>
        <w:t xml:space="preserve"> 1146-1150.</w:t>
      </w:r>
    </w:p>
    <w:p w14:paraId="3AF1E900"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BOUCHER, H. W., TALBOT, G. H., BRADLEY, J. S., EDWARDS, J. E., GILBERT, D., RICE, L. B., SCHELD, M., SPELLBERG, B. &amp; BARTLETT, J. 2009. Bad bugs, no drugs: no ESKAPE! An update from the Infectious Diseases Society of America. </w:t>
      </w:r>
      <w:r w:rsidRPr="005A5103">
        <w:rPr>
          <w:rFonts w:ascii="Times New Roman" w:hAnsi="Times New Roman" w:cs="Times New Roman"/>
          <w:i/>
          <w:noProof/>
        </w:rPr>
        <w:t>Clinical infectious diseases,</w:t>
      </w:r>
      <w:r w:rsidRPr="005A5103">
        <w:rPr>
          <w:rFonts w:ascii="Times New Roman" w:hAnsi="Times New Roman" w:cs="Times New Roman"/>
          <w:noProof/>
        </w:rPr>
        <w:t xml:space="preserve"> 48</w:t>
      </w:r>
      <w:r w:rsidRPr="005A5103">
        <w:rPr>
          <w:rFonts w:ascii="Times New Roman" w:hAnsi="Times New Roman" w:cs="Times New Roman"/>
          <w:b/>
          <w:noProof/>
        </w:rPr>
        <w:t>,</w:t>
      </w:r>
      <w:r w:rsidRPr="005A5103">
        <w:rPr>
          <w:rFonts w:ascii="Times New Roman" w:hAnsi="Times New Roman" w:cs="Times New Roman"/>
          <w:noProof/>
        </w:rPr>
        <w:t xml:space="preserve"> 1-12.</w:t>
      </w:r>
    </w:p>
    <w:p w14:paraId="68ACBD13"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CAVÉ, L., BROTHIER, E., ABROUK, D., BOUDA, P. S., HIEN, E. &amp; NAZARET, S. 2016. Efficiency and sensitivity of the digital droplet PCR for the quantification of antibiotic resistance genes in soils and organic residues. </w:t>
      </w:r>
      <w:r w:rsidRPr="005A5103">
        <w:rPr>
          <w:rFonts w:ascii="Times New Roman" w:hAnsi="Times New Roman" w:cs="Times New Roman"/>
          <w:i/>
          <w:noProof/>
        </w:rPr>
        <w:t>Applied microbiology and biotechnology,</w:t>
      </w:r>
      <w:r w:rsidRPr="005A5103">
        <w:rPr>
          <w:rFonts w:ascii="Times New Roman" w:hAnsi="Times New Roman" w:cs="Times New Roman"/>
          <w:noProof/>
        </w:rPr>
        <w:t xml:space="preserve"> 100</w:t>
      </w:r>
      <w:r w:rsidRPr="005A5103">
        <w:rPr>
          <w:rFonts w:ascii="Times New Roman" w:hAnsi="Times New Roman" w:cs="Times New Roman"/>
          <w:b/>
          <w:noProof/>
        </w:rPr>
        <w:t>,</w:t>
      </w:r>
      <w:r w:rsidRPr="005A5103">
        <w:rPr>
          <w:rFonts w:ascii="Times New Roman" w:hAnsi="Times New Roman" w:cs="Times New Roman"/>
          <w:noProof/>
        </w:rPr>
        <w:t xml:space="preserve"> 10597-10608.</w:t>
      </w:r>
    </w:p>
    <w:p w14:paraId="1F23E57C"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CHECCUCCI, A., TREVISI, P., LUISE, D., MODESTO, M., BLASIOLI, S., BRASCHI, I. &amp; MATTARELLI, P. 2020. Exploring the animal waste resistome: the spread of antimicrobial resistance genes through the use of livestock manure. </w:t>
      </w:r>
      <w:r w:rsidRPr="005A5103">
        <w:rPr>
          <w:rFonts w:ascii="Times New Roman" w:hAnsi="Times New Roman" w:cs="Times New Roman"/>
          <w:i/>
          <w:noProof/>
        </w:rPr>
        <w:t>Frontiers in Microbiology,</w:t>
      </w:r>
      <w:r w:rsidRPr="005A5103">
        <w:rPr>
          <w:rFonts w:ascii="Times New Roman" w:hAnsi="Times New Roman" w:cs="Times New Roman"/>
          <w:noProof/>
        </w:rPr>
        <w:t xml:space="preserve"> 11</w:t>
      </w:r>
      <w:r w:rsidRPr="005A5103">
        <w:rPr>
          <w:rFonts w:ascii="Times New Roman" w:hAnsi="Times New Roman" w:cs="Times New Roman"/>
          <w:b/>
          <w:noProof/>
        </w:rPr>
        <w:t>,</w:t>
      </w:r>
      <w:r w:rsidRPr="005A5103">
        <w:rPr>
          <w:rFonts w:ascii="Times New Roman" w:hAnsi="Times New Roman" w:cs="Times New Roman"/>
          <w:noProof/>
        </w:rPr>
        <w:t xml:space="preserve"> 536406.</w:t>
      </w:r>
    </w:p>
    <w:p w14:paraId="11F47045"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CHEN, J., YING, G.-G., WEI, X.-D., LIU, Y.-S., LIU, S.-S., HU, L.-X., HE, L.-Y., CHEN, Z.-F., CHEN, F.-R. &amp; YANG, Y.-Q. 2016. Removal of antibiotics and antibiotic resistance genes from domestic sewage by constructed wetlands: effect of flow configuration and plant species. </w:t>
      </w:r>
      <w:r w:rsidRPr="005A5103">
        <w:rPr>
          <w:rFonts w:ascii="Times New Roman" w:hAnsi="Times New Roman" w:cs="Times New Roman"/>
          <w:i/>
          <w:noProof/>
        </w:rPr>
        <w:t>Science of the Total Environment,</w:t>
      </w:r>
      <w:r w:rsidRPr="005A5103">
        <w:rPr>
          <w:rFonts w:ascii="Times New Roman" w:hAnsi="Times New Roman" w:cs="Times New Roman"/>
          <w:noProof/>
        </w:rPr>
        <w:t xml:space="preserve"> 571</w:t>
      </w:r>
      <w:r w:rsidRPr="005A5103">
        <w:rPr>
          <w:rFonts w:ascii="Times New Roman" w:hAnsi="Times New Roman" w:cs="Times New Roman"/>
          <w:b/>
          <w:noProof/>
        </w:rPr>
        <w:t>,</w:t>
      </w:r>
      <w:r w:rsidRPr="005A5103">
        <w:rPr>
          <w:rFonts w:ascii="Times New Roman" w:hAnsi="Times New Roman" w:cs="Times New Roman"/>
          <w:noProof/>
        </w:rPr>
        <w:t xml:space="preserve"> 974-982.</w:t>
      </w:r>
    </w:p>
    <w:p w14:paraId="24186FC5" w14:textId="03E631B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CHEN, S., LI, Y. &amp; YU, C. 2008. Oligonucleotide microarray: a new rapid method for screening the 23S rRNA gene of Helicobacter pylori for single-nucleotide polymorphisms associated with clarithromycin resistance. </w:t>
      </w:r>
      <w:r w:rsidRPr="005A5103">
        <w:rPr>
          <w:rFonts w:ascii="Times New Roman" w:hAnsi="Times New Roman" w:cs="Times New Roman"/>
          <w:i/>
          <w:noProof/>
        </w:rPr>
        <w:t>Journal of gastroenterology and hepatology,</w:t>
      </w:r>
      <w:r w:rsidRPr="005A5103">
        <w:rPr>
          <w:rFonts w:ascii="Times New Roman" w:hAnsi="Times New Roman" w:cs="Times New Roman"/>
          <w:noProof/>
        </w:rPr>
        <w:t xml:space="preserve"> 23</w:t>
      </w:r>
      <w:r w:rsidRPr="005A5103">
        <w:rPr>
          <w:rFonts w:ascii="Times New Roman" w:hAnsi="Times New Roman" w:cs="Times New Roman"/>
          <w:b/>
          <w:noProof/>
        </w:rPr>
        <w:t>,</w:t>
      </w:r>
      <w:r w:rsidRPr="005A5103">
        <w:rPr>
          <w:rFonts w:ascii="Times New Roman" w:hAnsi="Times New Roman" w:cs="Times New Roman"/>
          <w:noProof/>
        </w:rPr>
        <w:t xml:space="preserve"> 126-131.</w:t>
      </w:r>
    </w:p>
    <w:p w14:paraId="135C251E" w14:textId="1DA3FF73"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COLINON, C., DEREDJIAN, A., HIEN, E., BROTHIER, E., BOUZIRI, L., COURNOYER, B., HARTMAN, A., HENRY, S., JOLIVET, C. &amp; RANJARD, L. 2013. Detection and enumeration of Pseudomonas aeruginosa in soil and manure assessed by an ecfX qPCR assay. </w:t>
      </w:r>
      <w:r w:rsidRPr="005A5103">
        <w:rPr>
          <w:rFonts w:ascii="Times New Roman" w:hAnsi="Times New Roman" w:cs="Times New Roman"/>
          <w:i/>
          <w:noProof/>
        </w:rPr>
        <w:t>Journal of Applied Microbiology,</w:t>
      </w:r>
      <w:r w:rsidRPr="005A5103">
        <w:rPr>
          <w:rFonts w:ascii="Times New Roman" w:hAnsi="Times New Roman" w:cs="Times New Roman"/>
          <w:noProof/>
        </w:rPr>
        <w:t xml:space="preserve"> 114</w:t>
      </w:r>
      <w:r w:rsidRPr="005A5103">
        <w:rPr>
          <w:rFonts w:ascii="Times New Roman" w:hAnsi="Times New Roman" w:cs="Times New Roman"/>
          <w:b/>
          <w:noProof/>
        </w:rPr>
        <w:t>,</w:t>
      </w:r>
      <w:r w:rsidRPr="005A5103">
        <w:rPr>
          <w:rFonts w:ascii="Times New Roman" w:hAnsi="Times New Roman" w:cs="Times New Roman"/>
          <w:noProof/>
        </w:rPr>
        <w:t xml:space="preserve"> 1734-1749.</w:t>
      </w:r>
    </w:p>
    <w:p w14:paraId="1526070F"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DAI, D., BROWN, C., BÜRGMANN, H., LARSSON, D. J., NAMBI, I., ZHANG, T., FLACH, C.-F., PRUDEN, A. &amp; VIKESLAND, P. J. 2022. Long-read metagenomic sequencing reveals shifts in associations of antibiotic resistance genes with mobile genetic elements from sewage to activated sludge. </w:t>
      </w:r>
      <w:r w:rsidRPr="005A5103">
        <w:rPr>
          <w:rFonts w:ascii="Times New Roman" w:hAnsi="Times New Roman" w:cs="Times New Roman"/>
          <w:i/>
          <w:noProof/>
        </w:rPr>
        <w:t>Microbiome,</w:t>
      </w:r>
      <w:r w:rsidRPr="005A5103">
        <w:rPr>
          <w:rFonts w:ascii="Times New Roman" w:hAnsi="Times New Roman" w:cs="Times New Roman"/>
          <w:noProof/>
        </w:rPr>
        <w:t xml:space="preserve"> 10</w:t>
      </w:r>
      <w:r w:rsidRPr="005A5103">
        <w:rPr>
          <w:rFonts w:ascii="Times New Roman" w:hAnsi="Times New Roman" w:cs="Times New Roman"/>
          <w:b/>
          <w:noProof/>
        </w:rPr>
        <w:t>,</w:t>
      </w:r>
      <w:r w:rsidRPr="005A5103">
        <w:rPr>
          <w:rFonts w:ascii="Times New Roman" w:hAnsi="Times New Roman" w:cs="Times New Roman"/>
          <w:noProof/>
        </w:rPr>
        <w:t xml:space="preserve"> 20.</w:t>
      </w:r>
    </w:p>
    <w:p w14:paraId="1A717B10"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DAW ELBAIT, G., DAOU, M., ABUOUDAH, M., ELMEKAWY, A., HASAN, S. W., EVERETT, D. B., ALSAFAR, H., HENSCHEL, A. &amp; YOUSEF, A. F. 2024. Comparison of qPCR and metagenomic sequencing methods for quantifying antibiotic resistance genes in wastewater. </w:t>
      </w:r>
      <w:r w:rsidRPr="005A5103">
        <w:rPr>
          <w:rFonts w:ascii="Times New Roman" w:hAnsi="Times New Roman" w:cs="Times New Roman"/>
          <w:i/>
          <w:noProof/>
        </w:rPr>
        <w:t>Plos one,</w:t>
      </w:r>
      <w:r w:rsidRPr="005A5103">
        <w:rPr>
          <w:rFonts w:ascii="Times New Roman" w:hAnsi="Times New Roman" w:cs="Times New Roman"/>
          <w:noProof/>
        </w:rPr>
        <w:t xml:space="preserve"> 19</w:t>
      </w:r>
      <w:r w:rsidRPr="005A5103">
        <w:rPr>
          <w:rFonts w:ascii="Times New Roman" w:hAnsi="Times New Roman" w:cs="Times New Roman"/>
          <w:b/>
          <w:noProof/>
        </w:rPr>
        <w:t>,</w:t>
      </w:r>
      <w:r w:rsidRPr="005A5103">
        <w:rPr>
          <w:rFonts w:ascii="Times New Roman" w:hAnsi="Times New Roman" w:cs="Times New Roman"/>
          <w:noProof/>
        </w:rPr>
        <w:t xml:space="preserve"> e0298325.</w:t>
      </w:r>
    </w:p>
    <w:p w14:paraId="56CDE1D6" w14:textId="0367A8DB"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DE KRAKER, M. E., STEWARDSON, A. J. &amp; HARBARTH, S. 2016. Will 10 million people die a year due to antimicrobial resistance by 2050? </w:t>
      </w:r>
      <w:r w:rsidRPr="005A5103">
        <w:rPr>
          <w:rFonts w:ascii="Times New Roman" w:hAnsi="Times New Roman" w:cs="Times New Roman"/>
          <w:i/>
          <w:noProof/>
        </w:rPr>
        <w:t>PLoS Medicine,</w:t>
      </w:r>
      <w:r w:rsidRPr="005A5103">
        <w:rPr>
          <w:rFonts w:ascii="Times New Roman" w:hAnsi="Times New Roman" w:cs="Times New Roman"/>
          <w:noProof/>
        </w:rPr>
        <w:t xml:space="preserve"> 13</w:t>
      </w:r>
      <w:r w:rsidRPr="005A5103">
        <w:rPr>
          <w:rFonts w:ascii="Times New Roman" w:hAnsi="Times New Roman" w:cs="Times New Roman"/>
          <w:b/>
          <w:noProof/>
        </w:rPr>
        <w:t>,</w:t>
      </w:r>
      <w:r w:rsidRPr="005A5103">
        <w:rPr>
          <w:rFonts w:ascii="Times New Roman" w:hAnsi="Times New Roman" w:cs="Times New Roman"/>
          <w:noProof/>
        </w:rPr>
        <w:t xml:space="preserve"> e1002184.</w:t>
      </w:r>
    </w:p>
    <w:p w14:paraId="2BFF2375"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DESAI, B. H. 2018. 14. United Nations Environment Program (UNEP). </w:t>
      </w:r>
      <w:r w:rsidRPr="005A5103">
        <w:rPr>
          <w:rFonts w:ascii="Times New Roman" w:hAnsi="Times New Roman" w:cs="Times New Roman"/>
          <w:i/>
          <w:noProof/>
        </w:rPr>
        <w:t>Yearbook of International Environmental Law,</w:t>
      </w:r>
      <w:r w:rsidRPr="005A5103">
        <w:rPr>
          <w:rFonts w:ascii="Times New Roman" w:hAnsi="Times New Roman" w:cs="Times New Roman"/>
          <w:noProof/>
        </w:rPr>
        <w:t xml:space="preserve"> 29</w:t>
      </w:r>
      <w:r w:rsidRPr="005A5103">
        <w:rPr>
          <w:rFonts w:ascii="Times New Roman" w:hAnsi="Times New Roman" w:cs="Times New Roman"/>
          <w:b/>
          <w:noProof/>
        </w:rPr>
        <w:t>,</w:t>
      </w:r>
      <w:r w:rsidRPr="005A5103">
        <w:rPr>
          <w:rFonts w:ascii="Times New Roman" w:hAnsi="Times New Roman" w:cs="Times New Roman"/>
          <w:noProof/>
        </w:rPr>
        <w:t xml:space="preserve"> 441-448.</w:t>
      </w:r>
    </w:p>
    <w:p w14:paraId="260230DD" w14:textId="3AC57CED"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DU, J., GENG, J., REN, H., DING, L., XU, K. &amp; ZHANG, Y. 2015. Variation of antibiotic resistance genes in a municipal wastewater treatment plant with A 2 O-MBR system. </w:t>
      </w:r>
      <w:r w:rsidRPr="005A5103">
        <w:rPr>
          <w:rFonts w:ascii="Times New Roman" w:hAnsi="Times New Roman" w:cs="Times New Roman"/>
          <w:i/>
          <w:noProof/>
        </w:rPr>
        <w:t>Environmental Science and Pollution Research,</w:t>
      </w:r>
      <w:r w:rsidRPr="005A5103">
        <w:rPr>
          <w:rFonts w:ascii="Times New Roman" w:hAnsi="Times New Roman" w:cs="Times New Roman"/>
          <w:noProof/>
        </w:rPr>
        <w:t xml:space="preserve"> 22</w:t>
      </w:r>
      <w:r w:rsidRPr="005A5103">
        <w:rPr>
          <w:rFonts w:ascii="Times New Roman" w:hAnsi="Times New Roman" w:cs="Times New Roman"/>
          <w:b/>
          <w:noProof/>
        </w:rPr>
        <w:t>,</w:t>
      </w:r>
      <w:r w:rsidRPr="005A5103">
        <w:rPr>
          <w:rFonts w:ascii="Times New Roman" w:hAnsi="Times New Roman" w:cs="Times New Roman"/>
          <w:noProof/>
        </w:rPr>
        <w:t xml:space="preserve"> 3715-3726.</w:t>
      </w:r>
    </w:p>
    <w:p w14:paraId="0251705F"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EBMEYER, S., KRISTIANSSON, E. &amp; LARSSON, D. J. 2021. A framework for identifying the recent origins of mobile antibiotic resistance genes. </w:t>
      </w:r>
      <w:r w:rsidRPr="005A5103">
        <w:rPr>
          <w:rFonts w:ascii="Times New Roman" w:hAnsi="Times New Roman" w:cs="Times New Roman"/>
          <w:i/>
          <w:noProof/>
        </w:rPr>
        <w:t>Communications biology,</w:t>
      </w:r>
      <w:r w:rsidRPr="005A5103">
        <w:rPr>
          <w:rFonts w:ascii="Times New Roman" w:hAnsi="Times New Roman" w:cs="Times New Roman"/>
          <w:noProof/>
        </w:rPr>
        <w:t xml:space="preserve"> 4</w:t>
      </w:r>
      <w:r w:rsidRPr="005A5103">
        <w:rPr>
          <w:rFonts w:ascii="Times New Roman" w:hAnsi="Times New Roman" w:cs="Times New Roman"/>
          <w:b/>
          <w:noProof/>
        </w:rPr>
        <w:t>,</w:t>
      </w:r>
      <w:r w:rsidRPr="005A5103">
        <w:rPr>
          <w:rFonts w:ascii="Times New Roman" w:hAnsi="Times New Roman" w:cs="Times New Roman"/>
          <w:noProof/>
        </w:rPr>
        <w:t xml:space="preserve"> 8.</w:t>
      </w:r>
    </w:p>
    <w:p w14:paraId="78FD0957" w14:textId="29738BF0"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ECDC, E. 2009. EMEA and SCENIHR (European Centre for Disease Prevention and Control, European Food Safety Authority, European Medicines Agency</w:t>
      </w:r>
      <w:r w:rsidR="005A5103" w:rsidRPr="005A5103">
        <w:rPr>
          <w:rFonts w:ascii="Times New Roman" w:hAnsi="Times New Roman" w:cs="Times New Roman"/>
          <w:noProof/>
        </w:rPr>
        <w:t>,</w:t>
      </w:r>
      <w:r w:rsidRPr="005A5103">
        <w:rPr>
          <w:rFonts w:ascii="Times New Roman" w:hAnsi="Times New Roman" w:cs="Times New Roman"/>
          <w:noProof/>
        </w:rPr>
        <w:t xml:space="preserve"> and European Commission's Scientific Committee on Emerging and Newly Identified Health Risks), 2009. </w:t>
      </w:r>
      <w:r w:rsidRPr="005A5103">
        <w:rPr>
          <w:rFonts w:ascii="Times New Roman" w:hAnsi="Times New Roman" w:cs="Times New Roman"/>
          <w:i/>
          <w:noProof/>
        </w:rPr>
        <w:t>Joint Opinion on antimicrobial resistance (AMR) focused on zoonotic infections</w:t>
      </w:r>
      <w:r w:rsidRPr="005A5103">
        <w:rPr>
          <w:rFonts w:ascii="Times New Roman" w:hAnsi="Times New Roman" w:cs="Times New Roman"/>
          <w:noProof/>
        </w:rPr>
        <w:t>.</w:t>
      </w:r>
    </w:p>
    <w:p w14:paraId="4A12F8CA"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FANG, H., ZHANG, Q., NIE, X., CHEN, B., XIAO, Y., ZHOU, Q., LIAO, W. &amp; LIANG, X. 2017. Occurrence and elimination of antibiotic resistance genes in a long-term operation integrated surface flow constructed wetland. </w:t>
      </w:r>
      <w:r w:rsidRPr="005A5103">
        <w:rPr>
          <w:rFonts w:ascii="Times New Roman" w:hAnsi="Times New Roman" w:cs="Times New Roman"/>
          <w:i/>
          <w:noProof/>
        </w:rPr>
        <w:t>Chemosphere,</w:t>
      </w:r>
      <w:r w:rsidRPr="005A5103">
        <w:rPr>
          <w:rFonts w:ascii="Times New Roman" w:hAnsi="Times New Roman" w:cs="Times New Roman"/>
          <w:noProof/>
        </w:rPr>
        <w:t xml:space="preserve"> 173</w:t>
      </w:r>
      <w:r w:rsidRPr="005A5103">
        <w:rPr>
          <w:rFonts w:ascii="Times New Roman" w:hAnsi="Times New Roman" w:cs="Times New Roman"/>
          <w:b/>
          <w:noProof/>
        </w:rPr>
        <w:t>,</w:t>
      </w:r>
      <w:r w:rsidRPr="005A5103">
        <w:rPr>
          <w:rFonts w:ascii="Times New Roman" w:hAnsi="Times New Roman" w:cs="Times New Roman"/>
          <w:noProof/>
        </w:rPr>
        <w:t xml:space="preserve"> 99-106.</w:t>
      </w:r>
    </w:p>
    <w:p w14:paraId="73987B42"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FERNANDEZ, G. 2022. Turning the juggernaut. ELSEVIER SCI LTD THE BOULEVARD, LANGFORD LANE, KIDLINGTON, OXFORD OX5 1GB ….</w:t>
      </w:r>
    </w:p>
    <w:p w14:paraId="6EF5A939"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FORSBERG, K. J., PATEL, S., WENCEWICZ, T. A. &amp; DANTAS, G. 2015. The tetracycline destructases: a novel family of tetracycline-inactivating enzymes. </w:t>
      </w:r>
      <w:r w:rsidRPr="005A5103">
        <w:rPr>
          <w:rFonts w:ascii="Times New Roman" w:hAnsi="Times New Roman" w:cs="Times New Roman"/>
          <w:i/>
          <w:noProof/>
        </w:rPr>
        <w:t>Chemistry &amp; biology,</w:t>
      </w:r>
      <w:r w:rsidRPr="005A5103">
        <w:rPr>
          <w:rFonts w:ascii="Times New Roman" w:hAnsi="Times New Roman" w:cs="Times New Roman"/>
          <w:noProof/>
        </w:rPr>
        <w:t xml:space="preserve"> 22</w:t>
      </w:r>
      <w:r w:rsidRPr="005A5103">
        <w:rPr>
          <w:rFonts w:ascii="Times New Roman" w:hAnsi="Times New Roman" w:cs="Times New Roman"/>
          <w:b/>
          <w:noProof/>
        </w:rPr>
        <w:t>,</w:t>
      </w:r>
      <w:r w:rsidRPr="005A5103">
        <w:rPr>
          <w:rFonts w:ascii="Times New Roman" w:hAnsi="Times New Roman" w:cs="Times New Roman"/>
          <w:noProof/>
        </w:rPr>
        <w:t xml:space="preserve"> 888-897.</w:t>
      </w:r>
    </w:p>
    <w:p w14:paraId="321986E8" w14:textId="7EF4BCEA"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lastRenderedPageBreak/>
        <w:t xml:space="preserve">GILBRIDE, K., LEE, D.-Y. &amp; BEAUDETTE, L. 2006. Molecular techniques in wastewater: understanding microbial communities, detecting pathogens, and real-time process control. </w:t>
      </w:r>
      <w:r w:rsidRPr="005A5103">
        <w:rPr>
          <w:rFonts w:ascii="Times New Roman" w:hAnsi="Times New Roman" w:cs="Times New Roman"/>
          <w:i/>
          <w:noProof/>
        </w:rPr>
        <w:t>Journal of Microbiological Methods,</w:t>
      </w:r>
      <w:r w:rsidRPr="005A5103">
        <w:rPr>
          <w:rFonts w:ascii="Times New Roman" w:hAnsi="Times New Roman" w:cs="Times New Roman"/>
          <w:noProof/>
        </w:rPr>
        <w:t xml:space="preserve"> 66</w:t>
      </w:r>
      <w:r w:rsidRPr="005A5103">
        <w:rPr>
          <w:rFonts w:ascii="Times New Roman" w:hAnsi="Times New Roman" w:cs="Times New Roman"/>
          <w:b/>
          <w:noProof/>
        </w:rPr>
        <w:t>,</w:t>
      </w:r>
      <w:r w:rsidRPr="005A5103">
        <w:rPr>
          <w:rFonts w:ascii="Times New Roman" w:hAnsi="Times New Roman" w:cs="Times New Roman"/>
          <w:noProof/>
        </w:rPr>
        <w:t xml:space="preserve"> 1-20.</w:t>
      </w:r>
    </w:p>
    <w:p w14:paraId="5D6823FC"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GILLINGS, M., BOUCHER, Y., LABBATE, M., HOLMES, A., KRISHNAN, S., HOLLEY, M. &amp; STOKES, H. 2008. The evolution of class 1 integrons and the rise of antibiotic resistance. </w:t>
      </w:r>
      <w:r w:rsidRPr="005A5103">
        <w:rPr>
          <w:rFonts w:ascii="Times New Roman" w:hAnsi="Times New Roman" w:cs="Times New Roman"/>
          <w:i/>
          <w:noProof/>
        </w:rPr>
        <w:t>Journal of bacteriology,</w:t>
      </w:r>
      <w:r w:rsidRPr="005A5103">
        <w:rPr>
          <w:rFonts w:ascii="Times New Roman" w:hAnsi="Times New Roman" w:cs="Times New Roman"/>
          <w:noProof/>
        </w:rPr>
        <w:t xml:space="preserve"> 190</w:t>
      </w:r>
      <w:r w:rsidRPr="005A5103">
        <w:rPr>
          <w:rFonts w:ascii="Times New Roman" w:hAnsi="Times New Roman" w:cs="Times New Roman"/>
          <w:b/>
          <w:noProof/>
        </w:rPr>
        <w:t>,</w:t>
      </w:r>
      <w:r w:rsidRPr="005A5103">
        <w:rPr>
          <w:rFonts w:ascii="Times New Roman" w:hAnsi="Times New Roman" w:cs="Times New Roman"/>
          <w:noProof/>
        </w:rPr>
        <w:t xml:space="preserve"> 5095-5100.</w:t>
      </w:r>
    </w:p>
    <w:p w14:paraId="4289CF8B"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GUARD-BOULDIN, J., MORALES, C. A., FRYE, J. G., GAST, R. K. &amp; MUSGROVE, M. 2007. Detection of Salmonella enterica subpopulations by phenotype microarray antibiotic resistance patterns. </w:t>
      </w:r>
      <w:r w:rsidRPr="005A5103">
        <w:rPr>
          <w:rFonts w:ascii="Times New Roman" w:hAnsi="Times New Roman" w:cs="Times New Roman"/>
          <w:i/>
          <w:noProof/>
        </w:rPr>
        <w:t>Applied and environmental microbiology,</w:t>
      </w:r>
      <w:r w:rsidRPr="005A5103">
        <w:rPr>
          <w:rFonts w:ascii="Times New Roman" w:hAnsi="Times New Roman" w:cs="Times New Roman"/>
          <w:noProof/>
        </w:rPr>
        <w:t xml:space="preserve"> 73</w:t>
      </w:r>
      <w:r w:rsidRPr="005A5103">
        <w:rPr>
          <w:rFonts w:ascii="Times New Roman" w:hAnsi="Times New Roman" w:cs="Times New Roman"/>
          <w:b/>
          <w:noProof/>
        </w:rPr>
        <w:t>,</w:t>
      </w:r>
      <w:r w:rsidRPr="005A5103">
        <w:rPr>
          <w:rFonts w:ascii="Times New Roman" w:hAnsi="Times New Roman" w:cs="Times New Roman"/>
          <w:noProof/>
        </w:rPr>
        <w:t xml:space="preserve"> 7753-7756.</w:t>
      </w:r>
    </w:p>
    <w:p w14:paraId="25551B7A"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HAYDEN, G. E., TUURI, R. E., SCOTT, R., LOSEK, J. D., BLACKSHAW, A. M., SCHOENLING, A. J., NIETERT, P. J. &amp; HALL, G. A. 2016. Triage sepsis alert and sepsis protocol lower times to fluids and antibiotics in the ED. </w:t>
      </w:r>
      <w:r w:rsidRPr="005A5103">
        <w:rPr>
          <w:rFonts w:ascii="Times New Roman" w:hAnsi="Times New Roman" w:cs="Times New Roman"/>
          <w:i/>
          <w:noProof/>
        </w:rPr>
        <w:t>The American journal of emergency medicine,</w:t>
      </w:r>
      <w:r w:rsidRPr="005A5103">
        <w:rPr>
          <w:rFonts w:ascii="Times New Roman" w:hAnsi="Times New Roman" w:cs="Times New Roman"/>
          <w:noProof/>
        </w:rPr>
        <w:t xml:space="preserve"> 34</w:t>
      </w:r>
      <w:r w:rsidRPr="005A5103">
        <w:rPr>
          <w:rFonts w:ascii="Times New Roman" w:hAnsi="Times New Roman" w:cs="Times New Roman"/>
          <w:b/>
          <w:noProof/>
        </w:rPr>
        <w:t>,</w:t>
      </w:r>
      <w:r w:rsidRPr="005A5103">
        <w:rPr>
          <w:rFonts w:ascii="Times New Roman" w:hAnsi="Times New Roman" w:cs="Times New Roman"/>
          <w:noProof/>
        </w:rPr>
        <w:t xml:space="preserve"> 1-9.</w:t>
      </w:r>
    </w:p>
    <w:p w14:paraId="2F13C267"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HOLMBERG, S. D., SOLOMON, S. L. &amp; BLAKE, P. A. 1987. Health and economic impacts of antimicrobial resistance. </w:t>
      </w:r>
      <w:r w:rsidRPr="005A5103">
        <w:rPr>
          <w:rFonts w:ascii="Times New Roman" w:hAnsi="Times New Roman" w:cs="Times New Roman"/>
          <w:i/>
          <w:noProof/>
        </w:rPr>
        <w:t>Reviews of infectious diseases,</w:t>
      </w:r>
      <w:r w:rsidRPr="005A5103">
        <w:rPr>
          <w:rFonts w:ascii="Times New Roman" w:hAnsi="Times New Roman" w:cs="Times New Roman"/>
          <w:noProof/>
        </w:rPr>
        <w:t xml:space="preserve"> 9</w:t>
      </w:r>
      <w:r w:rsidRPr="005A5103">
        <w:rPr>
          <w:rFonts w:ascii="Times New Roman" w:hAnsi="Times New Roman" w:cs="Times New Roman"/>
          <w:b/>
          <w:noProof/>
        </w:rPr>
        <w:t>,</w:t>
      </w:r>
      <w:r w:rsidRPr="005A5103">
        <w:rPr>
          <w:rFonts w:ascii="Times New Roman" w:hAnsi="Times New Roman" w:cs="Times New Roman"/>
          <w:noProof/>
        </w:rPr>
        <w:t xml:space="preserve"> 1065-1078.</w:t>
      </w:r>
    </w:p>
    <w:p w14:paraId="1584FD5B"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HOLTON, E. &amp; KASPRZYK-HORDERN, B. 2021. Multiresidue antibiotic-metabolite quantification method using ultra-performance liquid chromatography coupled with tandem mass spectrometry for environmental and public exposure estimation. </w:t>
      </w:r>
      <w:r w:rsidRPr="005A5103">
        <w:rPr>
          <w:rFonts w:ascii="Times New Roman" w:hAnsi="Times New Roman" w:cs="Times New Roman"/>
          <w:i/>
          <w:noProof/>
        </w:rPr>
        <w:t>Analytical and Bioanalytical Chemistry,</w:t>
      </w:r>
      <w:r w:rsidRPr="005A5103">
        <w:rPr>
          <w:rFonts w:ascii="Times New Roman" w:hAnsi="Times New Roman" w:cs="Times New Roman"/>
          <w:noProof/>
        </w:rPr>
        <w:t xml:space="preserve"> 413</w:t>
      </w:r>
      <w:r w:rsidRPr="005A5103">
        <w:rPr>
          <w:rFonts w:ascii="Times New Roman" w:hAnsi="Times New Roman" w:cs="Times New Roman"/>
          <w:b/>
          <w:noProof/>
        </w:rPr>
        <w:t>,</w:t>
      </w:r>
      <w:r w:rsidRPr="005A5103">
        <w:rPr>
          <w:rFonts w:ascii="Times New Roman" w:hAnsi="Times New Roman" w:cs="Times New Roman"/>
          <w:noProof/>
        </w:rPr>
        <w:t xml:space="preserve"> 5901-5920.</w:t>
      </w:r>
    </w:p>
    <w:p w14:paraId="79909DC0"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KANG, Y. K., KWON, K., RYU, J. S., LEE, H. N., PARK, C. &amp; CHUNG, H. J. 2017. Nonviral genome editing based on a polymer-derivatized CRISPR nanocomplex for targeting bacterial pathogens and antibiotic resistance. </w:t>
      </w:r>
      <w:r w:rsidRPr="005A5103">
        <w:rPr>
          <w:rFonts w:ascii="Times New Roman" w:hAnsi="Times New Roman" w:cs="Times New Roman"/>
          <w:i/>
          <w:noProof/>
        </w:rPr>
        <w:t>Bioconjugate chemistry,</w:t>
      </w:r>
      <w:r w:rsidRPr="005A5103">
        <w:rPr>
          <w:rFonts w:ascii="Times New Roman" w:hAnsi="Times New Roman" w:cs="Times New Roman"/>
          <w:noProof/>
        </w:rPr>
        <w:t xml:space="preserve"> 28</w:t>
      </w:r>
      <w:r w:rsidRPr="005A5103">
        <w:rPr>
          <w:rFonts w:ascii="Times New Roman" w:hAnsi="Times New Roman" w:cs="Times New Roman"/>
          <w:b/>
          <w:noProof/>
        </w:rPr>
        <w:t>,</w:t>
      </w:r>
      <w:r w:rsidRPr="005A5103">
        <w:rPr>
          <w:rFonts w:ascii="Times New Roman" w:hAnsi="Times New Roman" w:cs="Times New Roman"/>
          <w:noProof/>
        </w:rPr>
        <w:t xml:space="preserve"> 957-967.</w:t>
      </w:r>
    </w:p>
    <w:p w14:paraId="1A2A3FF6"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KHORUTS, A., STALEY, C. &amp; SADOWSKY, M. J. 2021. Faecal microbiota transplantation for Clostridioides difficile: mechanisms and pharmacology. </w:t>
      </w:r>
      <w:r w:rsidRPr="005A5103">
        <w:rPr>
          <w:rFonts w:ascii="Times New Roman" w:hAnsi="Times New Roman" w:cs="Times New Roman"/>
          <w:i/>
          <w:noProof/>
        </w:rPr>
        <w:t>Nature Reviews Gastroenterology &amp; Hepatology,</w:t>
      </w:r>
      <w:r w:rsidRPr="005A5103">
        <w:rPr>
          <w:rFonts w:ascii="Times New Roman" w:hAnsi="Times New Roman" w:cs="Times New Roman"/>
          <w:noProof/>
        </w:rPr>
        <w:t xml:space="preserve"> 18</w:t>
      </w:r>
      <w:r w:rsidRPr="005A5103">
        <w:rPr>
          <w:rFonts w:ascii="Times New Roman" w:hAnsi="Times New Roman" w:cs="Times New Roman"/>
          <w:b/>
          <w:noProof/>
        </w:rPr>
        <w:t>,</w:t>
      </w:r>
      <w:r w:rsidRPr="005A5103">
        <w:rPr>
          <w:rFonts w:ascii="Times New Roman" w:hAnsi="Times New Roman" w:cs="Times New Roman"/>
          <w:noProof/>
        </w:rPr>
        <w:t xml:space="preserve"> 67-80.</w:t>
      </w:r>
    </w:p>
    <w:p w14:paraId="520C8C02"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KNAPPIK, M., DANCE, D. A., RATTANAVONG, S., PIERRET, A., RIBOLZI, O., DAVONG, V., SILISOUK, J., VONGSOUVATH, M., NEWTON, P. N. &amp; DITTRICH, S. 2015. Evaluation of molecular methods to improve the detection of Burkholderia pseudomallei in soil and water samples from Laos. </w:t>
      </w:r>
      <w:r w:rsidRPr="005A5103">
        <w:rPr>
          <w:rFonts w:ascii="Times New Roman" w:hAnsi="Times New Roman" w:cs="Times New Roman"/>
          <w:i/>
          <w:noProof/>
        </w:rPr>
        <w:t>Applied and Environmental Microbiology,</w:t>
      </w:r>
      <w:r w:rsidRPr="005A5103">
        <w:rPr>
          <w:rFonts w:ascii="Times New Roman" w:hAnsi="Times New Roman" w:cs="Times New Roman"/>
          <w:noProof/>
        </w:rPr>
        <w:t xml:space="preserve"> 81</w:t>
      </w:r>
      <w:r w:rsidRPr="005A5103">
        <w:rPr>
          <w:rFonts w:ascii="Times New Roman" w:hAnsi="Times New Roman" w:cs="Times New Roman"/>
          <w:b/>
          <w:noProof/>
        </w:rPr>
        <w:t>,</w:t>
      </w:r>
      <w:r w:rsidRPr="005A5103">
        <w:rPr>
          <w:rFonts w:ascii="Times New Roman" w:hAnsi="Times New Roman" w:cs="Times New Roman"/>
          <w:noProof/>
        </w:rPr>
        <w:t xml:space="preserve"> 3722-3727.</w:t>
      </w:r>
    </w:p>
    <w:p w14:paraId="61F9CD58" w14:textId="3C6410A0"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KOKKORIS, S., PAPACHATZAKIS, I., GAVRIELATOU, E., NTAIDOU, T., ISCHAKI, E., MALACHIAS, S., VRETTOU, C., NICHLOS, C., KANAVOU, A. &amp; ZERVAKIS, D. 2021. ICU-acquired bloodstream infections in critically ill patients with COVID-19. </w:t>
      </w:r>
      <w:r w:rsidRPr="005A5103">
        <w:rPr>
          <w:rFonts w:ascii="Times New Roman" w:hAnsi="Times New Roman" w:cs="Times New Roman"/>
          <w:i/>
          <w:noProof/>
        </w:rPr>
        <w:t>The Journal of Hospital Infection,</w:t>
      </w:r>
      <w:r w:rsidRPr="005A5103">
        <w:rPr>
          <w:rFonts w:ascii="Times New Roman" w:hAnsi="Times New Roman" w:cs="Times New Roman"/>
          <w:noProof/>
        </w:rPr>
        <w:t xml:space="preserve"> 107</w:t>
      </w:r>
      <w:r w:rsidRPr="005A5103">
        <w:rPr>
          <w:rFonts w:ascii="Times New Roman" w:hAnsi="Times New Roman" w:cs="Times New Roman"/>
          <w:b/>
          <w:noProof/>
        </w:rPr>
        <w:t>,</w:t>
      </w:r>
      <w:r w:rsidRPr="005A5103">
        <w:rPr>
          <w:rFonts w:ascii="Times New Roman" w:hAnsi="Times New Roman" w:cs="Times New Roman"/>
          <w:noProof/>
        </w:rPr>
        <w:t xml:space="preserve"> 95.</w:t>
      </w:r>
    </w:p>
    <w:p w14:paraId="4D988D67"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KUMAR, M., SARMA, D. K., SHUBHAM, S., KUMAWAT, M., VERMA, V., NINA, P. B., JP, D., KUMAR, S., SINGH, B. &amp; TIWARI, R. R. 2021. Futuristic non-antibiotic therapies to combat antibiotic resistance: A review. </w:t>
      </w:r>
      <w:r w:rsidRPr="005A5103">
        <w:rPr>
          <w:rFonts w:ascii="Times New Roman" w:hAnsi="Times New Roman" w:cs="Times New Roman"/>
          <w:i/>
          <w:noProof/>
        </w:rPr>
        <w:t>Frontiers in microbiology,</w:t>
      </w:r>
      <w:r w:rsidRPr="005A5103">
        <w:rPr>
          <w:rFonts w:ascii="Times New Roman" w:hAnsi="Times New Roman" w:cs="Times New Roman"/>
          <w:noProof/>
        </w:rPr>
        <w:t xml:space="preserve"> 12</w:t>
      </w:r>
      <w:r w:rsidRPr="005A5103">
        <w:rPr>
          <w:rFonts w:ascii="Times New Roman" w:hAnsi="Times New Roman" w:cs="Times New Roman"/>
          <w:b/>
          <w:noProof/>
        </w:rPr>
        <w:t>,</w:t>
      </w:r>
      <w:r w:rsidRPr="005A5103">
        <w:rPr>
          <w:rFonts w:ascii="Times New Roman" w:hAnsi="Times New Roman" w:cs="Times New Roman"/>
          <w:noProof/>
        </w:rPr>
        <w:t xml:space="preserve"> 609459.</w:t>
      </w:r>
    </w:p>
    <w:p w14:paraId="68ED3A4F" w14:textId="65DEAFBA"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KUMAR, S. B., ARNIPALLI, S. R. &amp; ZIOUZENKOVA, O. 2020. Antibiotics in the food chain: The consequences for antibiotic resistance. </w:t>
      </w:r>
      <w:r w:rsidRPr="005A5103">
        <w:rPr>
          <w:rFonts w:ascii="Times New Roman" w:hAnsi="Times New Roman" w:cs="Times New Roman"/>
          <w:i/>
          <w:noProof/>
        </w:rPr>
        <w:t>Antibiotics,</w:t>
      </w:r>
      <w:r w:rsidRPr="005A5103">
        <w:rPr>
          <w:rFonts w:ascii="Times New Roman" w:hAnsi="Times New Roman" w:cs="Times New Roman"/>
          <w:noProof/>
        </w:rPr>
        <w:t xml:space="preserve"> 9</w:t>
      </w:r>
      <w:r w:rsidRPr="005A5103">
        <w:rPr>
          <w:rFonts w:ascii="Times New Roman" w:hAnsi="Times New Roman" w:cs="Times New Roman"/>
          <w:b/>
          <w:noProof/>
        </w:rPr>
        <w:t>,</w:t>
      </w:r>
      <w:r w:rsidRPr="005A5103">
        <w:rPr>
          <w:rFonts w:ascii="Times New Roman" w:hAnsi="Times New Roman" w:cs="Times New Roman"/>
          <w:noProof/>
        </w:rPr>
        <w:t xml:space="preserve"> 688.</w:t>
      </w:r>
    </w:p>
    <w:p w14:paraId="04DD6E82"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KUMAR, S. G., ADITHAN, C., HARISH, B., SUJATHA, S., ROY, G. &amp; MALINI, A. 2013. Antimicrobial resistance in India: A review. </w:t>
      </w:r>
      <w:r w:rsidRPr="005A5103">
        <w:rPr>
          <w:rFonts w:ascii="Times New Roman" w:hAnsi="Times New Roman" w:cs="Times New Roman"/>
          <w:i/>
          <w:noProof/>
        </w:rPr>
        <w:t>Journal of natural science, biology, and medicine,</w:t>
      </w:r>
      <w:r w:rsidRPr="005A5103">
        <w:rPr>
          <w:rFonts w:ascii="Times New Roman" w:hAnsi="Times New Roman" w:cs="Times New Roman"/>
          <w:noProof/>
        </w:rPr>
        <w:t xml:space="preserve"> 4</w:t>
      </w:r>
      <w:r w:rsidRPr="005A5103">
        <w:rPr>
          <w:rFonts w:ascii="Times New Roman" w:hAnsi="Times New Roman" w:cs="Times New Roman"/>
          <w:b/>
          <w:noProof/>
        </w:rPr>
        <w:t>,</w:t>
      </w:r>
      <w:r w:rsidRPr="005A5103">
        <w:rPr>
          <w:rFonts w:ascii="Times New Roman" w:hAnsi="Times New Roman" w:cs="Times New Roman"/>
          <w:noProof/>
        </w:rPr>
        <w:t xml:space="preserve"> 286.</w:t>
      </w:r>
    </w:p>
    <w:p w14:paraId="2825FC56"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LAXMINARAYAN, R., DUSE, A., WATTAL, C., ZAIDI, A. K., WERTHEIM, H. F., SUMPRADIT, N., VLIEGHE, E., HARA, G. L., GOULD, I. M. &amp; GOOSSENS, H. 2013. Antibiotic resistance—the need for global solutions. </w:t>
      </w:r>
      <w:r w:rsidRPr="005A5103">
        <w:rPr>
          <w:rFonts w:ascii="Times New Roman" w:hAnsi="Times New Roman" w:cs="Times New Roman"/>
          <w:i/>
          <w:noProof/>
        </w:rPr>
        <w:t>The Lancet infectious diseases,</w:t>
      </w:r>
      <w:r w:rsidRPr="005A5103">
        <w:rPr>
          <w:rFonts w:ascii="Times New Roman" w:hAnsi="Times New Roman" w:cs="Times New Roman"/>
          <w:noProof/>
        </w:rPr>
        <w:t xml:space="preserve"> 13</w:t>
      </w:r>
      <w:r w:rsidRPr="005A5103">
        <w:rPr>
          <w:rFonts w:ascii="Times New Roman" w:hAnsi="Times New Roman" w:cs="Times New Roman"/>
          <w:b/>
          <w:noProof/>
        </w:rPr>
        <w:t>,</w:t>
      </w:r>
      <w:r w:rsidRPr="005A5103">
        <w:rPr>
          <w:rFonts w:ascii="Times New Roman" w:hAnsi="Times New Roman" w:cs="Times New Roman"/>
          <w:noProof/>
        </w:rPr>
        <w:t xml:space="preserve"> 1057-1098.</w:t>
      </w:r>
    </w:p>
    <w:p w14:paraId="27AF64EF"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LEE, M. S., HYUN, H., PARK, I., KIM, S., JANG, D.-H., KIM, S., IM, J.-K., KIM, H., LEE, J. H. &amp; KWON, T. 2021. Quantitative fluorescence in situ hybridization (FISH) of magnetically confined bacteria enables rapid determination of early-stage human bacteremia. </w:t>
      </w:r>
      <w:r w:rsidRPr="005A5103">
        <w:rPr>
          <w:rFonts w:ascii="Times New Roman" w:hAnsi="Times New Roman" w:cs="Times New Roman"/>
          <w:i/>
          <w:noProof/>
        </w:rPr>
        <w:t>medRxiv</w:t>
      </w:r>
      <w:r w:rsidRPr="005A5103">
        <w:rPr>
          <w:rFonts w:ascii="Times New Roman" w:hAnsi="Times New Roman" w:cs="Times New Roman"/>
          <w:b/>
          <w:noProof/>
        </w:rPr>
        <w:t>,</w:t>
      </w:r>
      <w:r w:rsidRPr="005A5103">
        <w:rPr>
          <w:rFonts w:ascii="Times New Roman" w:hAnsi="Times New Roman" w:cs="Times New Roman"/>
          <w:noProof/>
        </w:rPr>
        <w:t xml:space="preserve"> 2021.02. 19.21251962.</w:t>
      </w:r>
    </w:p>
    <w:p w14:paraId="49464131" w14:textId="2B08581A"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LIU, B., YU, K., AHMED, I., GIN, K., XI, B., WEI, Z., HE, Y., &amp; ZHANG, B. 2021. Key factors driving the fate of antibiotic resistance genes and controlling strategies during aerobic composting of animal manure: A review. </w:t>
      </w:r>
      <w:r w:rsidRPr="005A5103">
        <w:rPr>
          <w:rFonts w:ascii="Times New Roman" w:hAnsi="Times New Roman" w:cs="Times New Roman"/>
          <w:i/>
          <w:noProof/>
        </w:rPr>
        <w:t>Science of The Total Environment,</w:t>
      </w:r>
      <w:r w:rsidRPr="005A5103">
        <w:rPr>
          <w:rFonts w:ascii="Times New Roman" w:hAnsi="Times New Roman" w:cs="Times New Roman"/>
          <w:noProof/>
        </w:rPr>
        <w:t xml:space="preserve"> 791</w:t>
      </w:r>
      <w:r w:rsidRPr="005A5103">
        <w:rPr>
          <w:rFonts w:ascii="Times New Roman" w:hAnsi="Times New Roman" w:cs="Times New Roman"/>
          <w:b/>
          <w:noProof/>
        </w:rPr>
        <w:t>,</w:t>
      </w:r>
      <w:r w:rsidRPr="005A5103">
        <w:rPr>
          <w:rFonts w:ascii="Times New Roman" w:hAnsi="Times New Roman" w:cs="Times New Roman"/>
          <w:noProof/>
        </w:rPr>
        <w:t xml:space="preserve"> 148372.</w:t>
      </w:r>
    </w:p>
    <w:p w14:paraId="598F2EB6"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LIU, Y., CHENG, D., XUE, J., WEAVER, L., WAKELIN, S. A., FENG, Y. &amp; LI, Z. 2020. Changes in microbial community structure during pig manure composting and its relationship to the fate of antibiotics and antibiotic resistance genes. </w:t>
      </w:r>
      <w:r w:rsidRPr="005A5103">
        <w:rPr>
          <w:rFonts w:ascii="Times New Roman" w:hAnsi="Times New Roman" w:cs="Times New Roman"/>
          <w:i/>
          <w:noProof/>
        </w:rPr>
        <w:t>Journal of hazardous materials,</w:t>
      </w:r>
      <w:r w:rsidRPr="005A5103">
        <w:rPr>
          <w:rFonts w:ascii="Times New Roman" w:hAnsi="Times New Roman" w:cs="Times New Roman"/>
          <w:noProof/>
        </w:rPr>
        <w:t xml:space="preserve"> 389</w:t>
      </w:r>
      <w:r w:rsidRPr="005A5103">
        <w:rPr>
          <w:rFonts w:ascii="Times New Roman" w:hAnsi="Times New Roman" w:cs="Times New Roman"/>
          <w:b/>
          <w:noProof/>
        </w:rPr>
        <w:t>,</w:t>
      </w:r>
      <w:r w:rsidRPr="005A5103">
        <w:rPr>
          <w:rFonts w:ascii="Times New Roman" w:hAnsi="Times New Roman" w:cs="Times New Roman"/>
          <w:noProof/>
        </w:rPr>
        <w:t xml:space="preserve"> 122082.</w:t>
      </w:r>
    </w:p>
    <w:p w14:paraId="21BA4981"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LUO, T., WANG, Y. &amp; PANDEY, P. 2021. The removal of moisture and antibiotic resistance genes in dairy manure by microwave treatment. </w:t>
      </w:r>
      <w:r w:rsidRPr="005A5103">
        <w:rPr>
          <w:rFonts w:ascii="Times New Roman" w:hAnsi="Times New Roman" w:cs="Times New Roman"/>
          <w:i/>
          <w:noProof/>
        </w:rPr>
        <w:t>Environmental Science and Pollution Research,</w:t>
      </w:r>
      <w:r w:rsidRPr="005A5103">
        <w:rPr>
          <w:rFonts w:ascii="Times New Roman" w:hAnsi="Times New Roman" w:cs="Times New Roman"/>
          <w:noProof/>
        </w:rPr>
        <w:t xml:space="preserve"> 28</w:t>
      </w:r>
      <w:r w:rsidRPr="005A5103">
        <w:rPr>
          <w:rFonts w:ascii="Times New Roman" w:hAnsi="Times New Roman" w:cs="Times New Roman"/>
          <w:b/>
          <w:noProof/>
        </w:rPr>
        <w:t>,</w:t>
      </w:r>
      <w:r w:rsidRPr="005A5103">
        <w:rPr>
          <w:rFonts w:ascii="Times New Roman" w:hAnsi="Times New Roman" w:cs="Times New Roman"/>
          <w:noProof/>
        </w:rPr>
        <w:t xml:space="preserve"> 6675-6683.</w:t>
      </w:r>
    </w:p>
    <w:p w14:paraId="5946C379"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lastRenderedPageBreak/>
        <w:t xml:space="preserve">METZ, M. &amp; SHLAES, D. M. 2014. Eight more ways to deal with antibiotic resistance. </w:t>
      </w:r>
      <w:r w:rsidRPr="005A5103">
        <w:rPr>
          <w:rFonts w:ascii="Times New Roman" w:hAnsi="Times New Roman" w:cs="Times New Roman"/>
          <w:i/>
          <w:noProof/>
        </w:rPr>
        <w:t>Antimicrobial agents and chemotherapy,</w:t>
      </w:r>
      <w:r w:rsidRPr="005A5103">
        <w:rPr>
          <w:rFonts w:ascii="Times New Roman" w:hAnsi="Times New Roman" w:cs="Times New Roman"/>
          <w:noProof/>
        </w:rPr>
        <w:t xml:space="preserve"> 58</w:t>
      </w:r>
      <w:r w:rsidRPr="005A5103">
        <w:rPr>
          <w:rFonts w:ascii="Times New Roman" w:hAnsi="Times New Roman" w:cs="Times New Roman"/>
          <w:b/>
          <w:noProof/>
        </w:rPr>
        <w:t>,</w:t>
      </w:r>
      <w:r w:rsidRPr="005A5103">
        <w:rPr>
          <w:rFonts w:ascii="Times New Roman" w:hAnsi="Times New Roman" w:cs="Times New Roman"/>
          <w:noProof/>
        </w:rPr>
        <w:t xml:space="preserve"> 4253-4256.</w:t>
      </w:r>
    </w:p>
    <w:p w14:paraId="64EE05D3"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NAAS, T., OUESLATI, S., BONNIN, R. A., DABOS, M. L., ZAVALA, A., DORTET, L., RETAILLEAU, P. &amp; IORGA, B. I. 2017. Beta-lactamase database (BLDB)–structure and function. </w:t>
      </w:r>
      <w:r w:rsidRPr="005A5103">
        <w:rPr>
          <w:rFonts w:ascii="Times New Roman" w:hAnsi="Times New Roman" w:cs="Times New Roman"/>
          <w:i/>
          <w:noProof/>
        </w:rPr>
        <w:t>Journal of enzyme inhibition and medicinal chemistry,</w:t>
      </w:r>
      <w:r w:rsidRPr="005A5103">
        <w:rPr>
          <w:rFonts w:ascii="Times New Roman" w:hAnsi="Times New Roman" w:cs="Times New Roman"/>
          <w:noProof/>
        </w:rPr>
        <w:t xml:space="preserve"> 32</w:t>
      </w:r>
      <w:r w:rsidRPr="005A5103">
        <w:rPr>
          <w:rFonts w:ascii="Times New Roman" w:hAnsi="Times New Roman" w:cs="Times New Roman"/>
          <w:b/>
          <w:noProof/>
        </w:rPr>
        <w:t>,</w:t>
      </w:r>
      <w:r w:rsidRPr="005A5103">
        <w:rPr>
          <w:rFonts w:ascii="Times New Roman" w:hAnsi="Times New Roman" w:cs="Times New Roman"/>
          <w:noProof/>
        </w:rPr>
        <w:t xml:space="preserve"> 917-919.</w:t>
      </w:r>
    </w:p>
    <w:p w14:paraId="2731B7AB"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OSTER, R. J., WIJESINGHE, R. U., HAACK, S. K., FOGARTY, L. R., TUCKER, T. R. &amp; RILEY, S. C. 2014. Bacterial pathogen gene abundance and relation to recreational water quality at seven Great Lakes beaches. </w:t>
      </w:r>
      <w:r w:rsidRPr="005A5103">
        <w:rPr>
          <w:rFonts w:ascii="Times New Roman" w:hAnsi="Times New Roman" w:cs="Times New Roman"/>
          <w:i/>
          <w:noProof/>
        </w:rPr>
        <w:t>Environmental science &amp; technology,</w:t>
      </w:r>
      <w:r w:rsidRPr="005A5103">
        <w:rPr>
          <w:rFonts w:ascii="Times New Roman" w:hAnsi="Times New Roman" w:cs="Times New Roman"/>
          <w:noProof/>
        </w:rPr>
        <w:t xml:space="preserve"> 48</w:t>
      </w:r>
      <w:r w:rsidRPr="005A5103">
        <w:rPr>
          <w:rFonts w:ascii="Times New Roman" w:hAnsi="Times New Roman" w:cs="Times New Roman"/>
          <w:b/>
          <w:noProof/>
        </w:rPr>
        <w:t>,</w:t>
      </w:r>
      <w:r w:rsidRPr="005A5103">
        <w:rPr>
          <w:rFonts w:ascii="Times New Roman" w:hAnsi="Times New Roman" w:cs="Times New Roman"/>
          <w:noProof/>
        </w:rPr>
        <w:t xml:space="preserve"> 14148-14157.</w:t>
      </w:r>
    </w:p>
    <w:p w14:paraId="34BCCF42"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POPOOLA, O. O., ADEPITAN, D. S., ADEYEMI, A. S., OLADERU, O. F. &amp; YUSUFF, S. I. 2024. A national survey of the antibiotic use, self-medication practices, and knowledge of antibiotic resistance among graduates of tertiary institutions in Nigeria. </w:t>
      </w:r>
      <w:r w:rsidRPr="005A5103">
        <w:rPr>
          <w:rFonts w:ascii="Times New Roman" w:hAnsi="Times New Roman" w:cs="Times New Roman"/>
          <w:i/>
          <w:noProof/>
        </w:rPr>
        <w:t>Scientific African,</w:t>
      </w:r>
      <w:r w:rsidRPr="005A5103">
        <w:rPr>
          <w:rFonts w:ascii="Times New Roman" w:hAnsi="Times New Roman" w:cs="Times New Roman"/>
          <w:noProof/>
        </w:rPr>
        <w:t xml:space="preserve"> 23</w:t>
      </w:r>
      <w:r w:rsidRPr="005A5103">
        <w:rPr>
          <w:rFonts w:ascii="Times New Roman" w:hAnsi="Times New Roman" w:cs="Times New Roman"/>
          <w:b/>
          <w:noProof/>
        </w:rPr>
        <w:t>,</w:t>
      </w:r>
      <w:r w:rsidRPr="005A5103">
        <w:rPr>
          <w:rFonts w:ascii="Times New Roman" w:hAnsi="Times New Roman" w:cs="Times New Roman"/>
          <w:noProof/>
        </w:rPr>
        <w:t xml:space="preserve"> e01978.</w:t>
      </w:r>
    </w:p>
    <w:p w14:paraId="3BB97D2A"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PU, Q., WANG, H.-T., PAN, T., LI, H. &amp; SU, J.-Q. 2020. Enhanced removal of ciprofloxacin and reduction of antibiotic resistance genes by earthworm Metaphire vulgaris in soil. </w:t>
      </w:r>
      <w:r w:rsidRPr="005A5103">
        <w:rPr>
          <w:rFonts w:ascii="Times New Roman" w:hAnsi="Times New Roman" w:cs="Times New Roman"/>
          <w:i/>
          <w:noProof/>
        </w:rPr>
        <w:t>Science of the Total Environment,</w:t>
      </w:r>
      <w:r w:rsidRPr="005A5103">
        <w:rPr>
          <w:rFonts w:ascii="Times New Roman" w:hAnsi="Times New Roman" w:cs="Times New Roman"/>
          <w:noProof/>
        </w:rPr>
        <w:t xml:space="preserve"> 742</w:t>
      </w:r>
      <w:r w:rsidRPr="005A5103">
        <w:rPr>
          <w:rFonts w:ascii="Times New Roman" w:hAnsi="Times New Roman" w:cs="Times New Roman"/>
          <w:b/>
          <w:noProof/>
        </w:rPr>
        <w:t>,</w:t>
      </w:r>
      <w:r w:rsidRPr="005A5103">
        <w:rPr>
          <w:rFonts w:ascii="Times New Roman" w:hAnsi="Times New Roman" w:cs="Times New Roman"/>
          <w:noProof/>
        </w:rPr>
        <w:t xml:space="preserve"> 140409.</w:t>
      </w:r>
    </w:p>
    <w:p w14:paraId="61F360CE"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QUEENAN, A. M. &amp; BUSH, K. 2007. Carbapenemases: the versatile β-lactamases. </w:t>
      </w:r>
      <w:r w:rsidRPr="005A5103">
        <w:rPr>
          <w:rFonts w:ascii="Times New Roman" w:hAnsi="Times New Roman" w:cs="Times New Roman"/>
          <w:i/>
          <w:noProof/>
        </w:rPr>
        <w:t>Clinical microbiology reviews,</w:t>
      </w:r>
      <w:r w:rsidRPr="005A5103">
        <w:rPr>
          <w:rFonts w:ascii="Times New Roman" w:hAnsi="Times New Roman" w:cs="Times New Roman"/>
          <w:noProof/>
        </w:rPr>
        <w:t xml:space="preserve"> 20</w:t>
      </w:r>
      <w:r w:rsidRPr="005A5103">
        <w:rPr>
          <w:rFonts w:ascii="Times New Roman" w:hAnsi="Times New Roman" w:cs="Times New Roman"/>
          <w:b/>
          <w:noProof/>
        </w:rPr>
        <w:t>,</w:t>
      </w:r>
      <w:r w:rsidRPr="005A5103">
        <w:rPr>
          <w:rFonts w:ascii="Times New Roman" w:hAnsi="Times New Roman" w:cs="Times New Roman"/>
          <w:noProof/>
        </w:rPr>
        <w:t xml:space="preserve"> 440-458.</w:t>
      </w:r>
    </w:p>
    <w:p w14:paraId="1FEE1316"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REYGAERT, W. C. 2018. An overview of the antimicrobial resistance mechanisms of bacteria. </w:t>
      </w:r>
      <w:r w:rsidRPr="005A5103">
        <w:rPr>
          <w:rFonts w:ascii="Times New Roman" w:hAnsi="Times New Roman" w:cs="Times New Roman"/>
          <w:i/>
          <w:noProof/>
        </w:rPr>
        <w:t>AIMS microbiology,</w:t>
      </w:r>
      <w:r w:rsidRPr="005A5103">
        <w:rPr>
          <w:rFonts w:ascii="Times New Roman" w:hAnsi="Times New Roman" w:cs="Times New Roman"/>
          <w:noProof/>
        </w:rPr>
        <w:t xml:space="preserve"> 4</w:t>
      </w:r>
      <w:r w:rsidRPr="005A5103">
        <w:rPr>
          <w:rFonts w:ascii="Times New Roman" w:hAnsi="Times New Roman" w:cs="Times New Roman"/>
          <w:b/>
          <w:noProof/>
        </w:rPr>
        <w:t>,</w:t>
      </w:r>
      <w:r w:rsidRPr="005A5103">
        <w:rPr>
          <w:rFonts w:ascii="Times New Roman" w:hAnsi="Times New Roman" w:cs="Times New Roman"/>
          <w:noProof/>
        </w:rPr>
        <w:t xml:space="preserve"> 482.</w:t>
      </w:r>
    </w:p>
    <w:p w14:paraId="5257BFCB"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SANGANYADO, E. &amp; GWENZI, W. 2019. Antibiotic resistance in drinking water systems: Occurrence, removal, and human health risks. </w:t>
      </w:r>
      <w:r w:rsidRPr="005A5103">
        <w:rPr>
          <w:rFonts w:ascii="Times New Roman" w:hAnsi="Times New Roman" w:cs="Times New Roman"/>
          <w:i/>
          <w:noProof/>
        </w:rPr>
        <w:t>Science of the Total Environment,</w:t>
      </w:r>
      <w:r w:rsidRPr="005A5103">
        <w:rPr>
          <w:rFonts w:ascii="Times New Roman" w:hAnsi="Times New Roman" w:cs="Times New Roman"/>
          <w:noProof/>
        </w:rPr>
        <w:t xml:space="preserve"> 669</w:t>
      </w:r>
      <w:r w:rsidRPr="005A5103">
        <w:rPr>
          <w:rFonts w:ascii="Times New Roman" w:hAnsi="Times New Roman" w:cs="Times New Roman"/>
          <w:b/>
          <w:noProof/>
        </w:rPr>
        <w:t>,</w:t>
      </w:r>
      <w:r w:rsidRPr="005A5103">
        <w:rPr>
          <w:rFonts w:ascii="Times New Roman" w:hAnsi="Times New Roman" w:cs="Times New Roman"/>
          <w:noProof/>
        </w:rPr>
        <w:t xml:space="preserve"> 785-797.</w:t>
      </w:r>
    </w:p>
    <w:p w14:paraId="7A8B4CC0"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SCHULZE, B. &amp; KASERZON, S. L. 2024. Quality Assurance and Quality Control (QA/QC) for High-Resolution Mass Spectrometry (HRMS) Non-target Screening Methods. Springer.</w:t>
      </w:r>
    </w:p>
    <w:p w14:paraId="42B658D0" w14:textId="02019743"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SHARMA, V. K., JOHNSON, N., CIZMAS, L., MCDONALD, T. J. &amp; KIM, H. 2016. A review of the influence of treatment strategies on antibiotic-resistant bacteria and antibiotic resistance genes. </w:t>
      </w:r>
      <w:r w:rsidRPr="005A5103">
        <w:rPr>
          <w:rFonts w:ascii="Times New Roman" w:hAnsi="Times New Roman" w:cs="Times New Roman"/>
          <w:i/>
          <w:noProof/>
        </w:rPr>
        <w:t>Chemosphere,</w:t>
      </w:r>
      <w:r w:rsidRPr="005A5103">
        <w:rPr>
          <w:rFonts w:ascii="Times New Roman" w:hAnsi="Times New Roman" w:cs="Times New Roman"/>
          <w:noProof/>
        </w:rPr>
        <w:t xml:space="preserve"> 150</w:t>
      </w:r>
      <w:r w:rsidRPr="005A5103">
        <w:rPr>
          <w:rFonts w:ascii="Times New Roman" w:hAnsi="Times New Roman" w:cs="Times New Roman"/>
          <w:b/>
          <w:noProof/>
        </w:rPr>
        <w:t>,</w:t>
      </w:r>
      <w:r w:rsidRPr="005A5103">
        <w:rPr>
          <w:rFonts w:ascii="Times New Roman" w:hAnsi="Times New Roman" w:cs="Times New Roman"/>
          <w:noProof/>
        </w:rPr>
        <w:t xml:space="preserve"> 702-714.</w:t>
      </w:r>
    </w:p>
    <w:p w14:paraId="41BC39FE" w14:textId="3C7F0CDB"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SPENCE, R. P., WRIGHT, V., ALA-ALDEEN, D. A., TURNER, D. P., WOOLDRIDGE, K. G. &amp; JAMES, R. 2008. Validation of virulence and epidemiology DNA microarray for identification and characterization of Staphylococcus aureus isolates. </w:t>
      </w:r>
      <w:r w:rsidRPr="005A5103">
        <w:rPr>
          <w:rFonts w:ascii="Times New Roman" w:hAnsi="Times New Roman" w:cs="Times New Roman"/>
          <w:i/>
          <w:noProof/>
        </w:rPr>
        <w:t>Journal of Clinical Microbiology,</w:t>
      </w:r>
      <w:r w:rsidRPr="005A5103">
        <w:rPr>
          <w:rFonts w:ascii="Times New Roman" w:hAnsi="Times New Roman" w:cs="Times New Roman"/>
          <w:noProof/>
        </w:rPr>
        <w:t xml:space="preserve"> 46</w:t>
      </w:r>
      <w:r w:rsidRPr="005A5103">
        <w:rPr>
          <w:rFonts w:ascii="Times New Roman" w:hAnsi="Times New Roman" w:cs="Times New Roman"/>
          <w:b/>
          <w:noProof/>
        </w:rPr>
        <w:t>,</w:t>
      </w:r>
      <w:r w:rsidRPr="005A5103">
        <w:rPr>
          <w:rFonts w:ascii="Times New Roman" w:hAnsi="Times New Roman" w:cs="Times New Roman"/>
          <w:noProof/>
        </w:rPr>
        <w:t xml:space="preserve"> 1620-1627.</w:t>
      </w:r>
    </w:p>
    <w:p w14:paraId="62A7EBE9" w14:textId="79520CE6"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STANLEY, D., BATACAN JR., R. &amp; BAJAGAI, Y. S. 2022. Rapid growth of antimicrobial resistance: the role of agriculture in the problem and the solutions. </w:t>
      </w:r>
      <w:r w:rsidRPr="005A5103">
        <w:rPr>
          <w:rFonts w:ascii="Times New Roman" w:hAnsi="Times New Roman" w:cs="Times New Roman"/>
          <w:i/>
          <w:noProof/>
        </w:rPr>
        <w:t>Applied Microbiology and Biotechnology,</w:t>
      </w:r>
      <w:r w:rsidRPr="005A5103">
        <w:rPr>
          <w:rFonts w:ascii="Times New Roman" w:hAnsi="Times New Roman" w:cs="Times New Roman"/>
          <w:noProof/>
        </w:rPr>
        <w:t xml:space="preserve"> 106</w:t>
      </w:r>
      <w:r w:rsidRPr="005A5103">
        <w:rPr>
          <w:rFonts w:ascii="Times New Roman" w:hAnsi="Times New Roman" w:cs="Times New Roman"/>
          <w:b/>
          <w:noProof/>
        </w:rPr>
        <w:t>,</w:t>
      </w:r>
      <w:r w:rsidRPr="005A5103">
        <w:rPr>
          <w:rFonts w:ascii="Times New Roman" w:hAnsi="Times New Roman" w:cs="Times New Roman"/>
          <w:noProof/>
        </w:rPr>
        <w:t xml:space="preserve"> 6953-6962.</w:t>
      </w:r>
    </w:p>
    <w:p w14:paraId="5B0F825B" w14:textId="03A8AF19"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TAN, S. Y. &amp; TATSUMURA, Y. 2015. Alexander Fleming (1881–1955): discoverer of penicillin. </w:t>
      </w:r>
      <w:r w:rsidRPr="005A5103">
        <w:rPr>
          <w:rFonts w:ascii="Times New Roman" w:hAnsi="Times New Roman" w:cs="Times New Roman"/>
          <w:i/>
          <w:noProof/>
        </w:rPr>
        <w:t>Singapore Medical Journal,</w:t>
      </w:r>
      <w:r w:rsidRPr="005A5103">
        <w:rPr>
          <w:rFonts w:ascii="Times New Roman" w:hAnsi="Times New Roman" w:cs="Times New Roman"/>
          <w:noProof/>
        </w:rPr>
        <w:t xml:space="preserve"> 56</w:t>
      </w:r>
      <w:r w:rsidRPr="005A5103">
        <w:rPr>
          <w:rFonts w:ascii="Times New Roman" w:hAnsi="Times New Roman" w:cs="Times New Roman"/>
          <w:b/>
          <w:noProof/>
        </w:rPr>
        <w:t>,</w:t>
      </w:r>
      <w:r w:rsidRPr="005A5103">
        <w:rPr>
          <w:rFonts w:ascii="Times New Roman" w:hAnsi="Times New Roman" w:cs="Times New Roman"/>
          <w:noProof/>
        </w:rPr>
        <w:t xml:space="preserve"> 366.</w:t>
      </w:r>
    </w:p>
    <w:p w14:paraId="3A4C5160"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TOOKE, C. L., HINCHLIFFE, P., BRAGGINTON, E. C., COLENSO, C. K., HIRVONEN, V. H., TAKEBAYASHI, Y. &amp; SPENCER, J. 2019. β-Lactamases and β-Lactamase Inhibitors in the 21st Century. </w:t>
      </w:r>
      <w:r w:rsidRPr="005A5103">
        <w:rPr>
          <w:rFonts w:ascii="Times New Roman" w:hAnsi="Times New Roman" w:cs="Times New Roman"/>
          <w:i/>
          <w:noProof/>
        </w:rPr>
        <w:t>Journal of molecular biology,</w:t>
      </w:r>
      <w:r w:rsidRPr="005A5103">
        <w:rPr>
          <w:rFonts w:ascii="Times New Roman" w:hAnsi="Times New Roman" w:cs="Times New Roman"/>
          <w:noProof/>
        </w:rPr>
        <w:t xml:space="preserve"> 431</w:t>
      </w:r>
      <w:r w:rsidRPr="005A5103">
        <w:rPr>
          <w:rFonts w:ascii="Times New Roman" w:hAnsi="Times New Roman" w:cs="Times New Roman"/>
          <w:b/>
          <w:noProof/>
        </w:rPr>
        <w:t>,</w:t>
      </w:r>
      <w:r w:rsidRPr="005A5103">
        <w:rPr>
          <w:rFonts w:ascii="Times New Roman" w:hAnsi="Times New Roman" w:cs="Times New Roman"/>
          <w:noProof/>
        </w:rPr>
        <w:t xml:space="preserve"> 3472-3500.</w:t>
      </w:r>
    </w:p>
    <w:p w14:paraId="0D543025"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WHO, O. 2017. One health. </w:t>
      </w:r>
      <w:r w:rsidRPr="005A5103">
        <w:rPr>
          <w:rFonts w:ascii="Times New Roman" w:hAnsi="Times New Roman" w:cs="Times New Roman"/>
          <w:i/>
          <w:noProof/>
        </w:rPr>
        <w:t>World Health Organization,</w:t>
      </w:r>
      <w:r w:rsidRPr="005A5103">
        <w:rPr>
          <w:rFonts w:ascii="Times New Roman" w:hAnsi="Times New Roman" w:cs="Times New Roman"/>
          <w:noProof/>
        </w:rPr>
        <w:t xml:space="preserve"> 736.</w:t>
      </w:r>
    </w:p>
    <w:p w14:paraId="31DD296B"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WU, P., WU, X., HUANG, Q., YU, Q., JIN, H. &amp; ZHU, M. 2023. Mass spectrometry-based multimodal approaches for the identification and quantification analysis of microplastics in food matrix. </w:t>
      </w:r>
      <w:r w:rsidRPr="005A5103">
        <w:rPr>
          <w:rFonts w:ascii="Times New Roman" w:hAnsi="Times New Roman" w:cs="Times New Roman"/>
          <w:i/>
          <w:noProof/>
        </w:rPr>
        <w:t>Frontiers in Nutrition,</w:t>
      </w:r>
      <w:r w:rsidRPr="005A5103">
        <w:rPr>
          <w:rFonts w:ascii="Times New Roman" w:hAnsi="Times New Roman" w:cs="Times New Roman"/>
          <w:noProof/>
        </w:rPr>
        <w:t xml:space="preserve"> 10</w:t>
      </w:r>
      <w:r w:rsidRPr="005A5103">
        <w:rPr>
          <w:rFonts w:ascii="Times New Roman" w:hAnsi="Times New Roman" w:cs="Times New Roman"/>
          <w:b/>
          <w:noProof/>
        </w:rPr>
        <w:t>,</w:t>
      </w:r>
      <w:r w:rsidRPr="005A5103">
        <w:rPr>
          <w:rFonts w:ascii="Times New Roman" w:hAnsi="Times New Roman" w:cs="Times New Roman"/>
          <w:noProof/>
        </w:rPr>
        <w:t xml:space="preserve"> 1163823.</w:t>
      </w:r>
    </w:p>
    <w:p w14:paraId="7A0C2E50"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YANG, S., ZHAO, L., CHANG, X., PAN, Z., ZHOU, B., SUN, Y., LI, X., WENG, L. &amp; LI, Y. 2021. Removal of chlortetracycline and antibiotic resistance genes in soil by earthworms (epigeic Eisenia fetida and endogeic Metaphire guillelmi). </w:t>
      </w:r>
      <w:r w:rsidRPr="005A5103">
        <w:rPr>
          <w:rFonts w:ascii="Times New Roman" w:hAnsi="Times New Roman" w:cs="Times New Roman"/>
          <w:i/>
          <w:noProof/>
        </w:rPr>
        <w:t>Science of The Total Environment,</w:t>
      </w:r>
      <w:r w:rsidRPr="005A5103">
        <w:rPr>
          <w:rFonts w:ascii="Times New Roman" w:hAnsi="Times New Roman" w:cs="Times New Roman"/>
          <w:noProof/>
        </w:rPr>
        <w:t xml:space="preserve"> 781</w:t>
      </w:r>
      <w:r w:rsidRPr="005A5103">
        <w:rPr>
          <w:rFonts w:ascii="Times New Roman" w:hAnsi="Times New Roman" w:cs="Times New Roman"/>
          <w:b/>
          <w:noProof/>
        </w:rPr>
        <w:t>,</w:t>
      </w:r>
      <w:r w:rsidRPr="005A5103">
        <w:rPr>
          <w:rFonts w:ascii="Times New Roman" w:hAnsi="Times New Roman" w:cs="Times New Roman"/>
          <w:noProof/>
        </w:rPr>
        <w:t xml:space="preserve"> 146679.</w:t>
      </w:r>
    </w:p>
    <w:p w14:paraId="54A757D2"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YIN, F., DONG, H., ZHANG, W., ZHU, Z. &amp; SHANG, B. 2020. Additional function of pasteurisation pretreatment in combination with anaerobic digestion on antibiotic removal. </w:t>
      </w:r>
      <w:r w:rsidRPr="005A5103">
        <w:rPr>
          <w:rFonts w:ascii="Times New Roman" w:hAnsi="Times New Roman" w:cs="Times New Roman"/>
          <w:i/>
          <w:noProof/>
        </w:rPr>
        <w:t>Bioresource technology,</w:t>
      </w:r>
      <w:r w:rsidRPr="005A5103">
        <w:rPr>
          <w:rFonts w:ascii="Times New Roman" w:hAnsi="Times New Roman" w:cs="Times New Roman"/>
          <w:noProof/>
        </w:rPr>
        <w:t xml:space="preserve"> 297</w:t>
      </w:r>
      <w:r w:rsidRPr="005A5103">
        <w:rPr>
          <w:rFonts w:ascii="Times New Roman" w:hAnsi="Times New Roman" w:cs="Times New Roman"/>
          <w:b/>
          <w:noProof/>
        </w:rPr>
        <w:t>,</w:t>
      </w:r>
      <w:r w:rsidRPr="005A5103">
        <w:rPr>
          <w:rFonts w:ascii="Times New Roman" w:hAnsi="Times New Roman" w:cs="Times New Roman"/>
          <w:noProof/>
        </w:rPr>
        <w:t xml:space="preserve"> 122414.</w:t>
      </w:r>
    </w:p>
    <w:p w14:paraId="57B0D534"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ZHANG, Y., SONG, K., ZHANG, J., XU, X., YE, G., CAO, H., CHEN, M., CAI, S., CAO, X. &amp; ZHENG, X. 2022. Removal of sulfamethoxazole and antibiotic resistance genes in paddy soil by earthworms (Pheretima guillelmi): Intestinal detoxification and stimulation of indigenous soil bacteria. </w:t>
      </w:r>
      <w:r w:rsidRPr="005A5103">
        <w:rPr>
          <w:rFonts w:ascii="Times New Roman" w:hAnsi="Times New Roman" w:cs="Times New Roman"/>
          <w:i/>
          <w:noProof/>
        </w:rPr>
        <w:t>Science of The Total Environment,</w:t>
      </w:r>
      <w:r w:rsidRPr="005A5103">
        <w:rPr>
          <w:rFonts w:ascii="Times New Roman" w:hAnsi="Times New Roman" w:cs="Times New Roman"/>
          <w:noProof/>
        </w:rPr>
        <w:t xml:space="preserve"> 851</w:t>
      </w:r>
      <w:r w:rsidRPr="005A5103">
        <w:rPr>
          <w:rFonts w:ascii="Times New Roman" w:hAnsi="Times New Roman" w:cs="Times New Roman"/>
          <w:b/>
          <w:noProof/>
        </w:rPr>
        <w:t>,</w:t>
      </w:r>
      <w:r w:rsidRPr="005A5103">
        <w:rPr>
          <w:rFonts w:ascii="Times New Roman" w:hAnsi="Times New Roman" w:cs="Times New Roman"/>
          <w:noProof/>
        </w:rPr>
        <w:t xml:space="preserve"> 158075.</w:t>
      </w:r>
    </w:p>
    <w:p w14:paraId="020ABE95" w14:textId="77777777"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ZHU, L.-X., WANG, D., ZHANG, G.-B., JIANG, D., ZHANG, Z.-W., ZHANG, Q., MITCHELSON, K. &amp; CHENG, J. 2007a. Development of a base stacking hybridization-based microarray method for rapid identification of clinical isolates. </w:t>
      </w:r>
      <w:r w:rsidRPr="005A5103">
        <w:rPr>
          <w:rFonts w:ascii="Times New Roman" w:hAnsi="Times New Roman" w:cs="Times New Roman"/>
          <w:i/>
          <w:noProof/>
        </w:rPr>
        <w:t>Diagnostic microbiology and infectious disease,</w:t>
      </w:r>
      <w:r w:rsidRPr="005A5103">
        <w:rPr>
          <w:rFonts w:ascii="Times New Roman" w:hAnsi="Times New Roman" w:cs="Times New Roman"/>
          <w:noProof/>
        </w:rPr>
        <w:t xml:space="preserve"> 59</w:t>
      </w:r>
      <w:r w:rsidRPr="005A5103">
        <w:rPr>
          <w:rFonts w:ascii="Times New Roman" w:hAnsi="Times New Roman" w:cs="Times New Roman"/>
          <w:b/>
          <w:noProof/>
        </w:rPr>
        <w:t>,</w:t>
      </w:r>
      <w:r w:rsidRPr="005A5103">
        <w:rPr>
          <w:rFonts w:ascii="Times New Roman" w:hAnsi="Times New Roman" w:cs="Times New Roman"/>
          <w:noProof/>
        </w:rPr>
        <w:t xml:space="preserve"> 149-156.</w:t>
      </w:r>
    </w:p>
    <w:p w14:paraId="283F126A" w14:textId="4CFB0670" w:rsidR="00287940" w:rsidRPr="005A5103" w:rsidRDefault="00287940" w:rsidP="00792475">
      <w:pPr>
        <w:pStyle w:val="EndNoteBibliography"/>
        <w:numPr>
          <w:ilvl w:val="0"/>
          <w:numId w:val="6"/>
        </w:numPr>
        <w:rPr>
          <w:rFonts w:ascii="Times New Roman" w:hAnsi="Times New Roman" w:cs="Times New Roman"/>
          <w:noProof/>
        </w:rPr>
      </w:pPr>
      <w:r w:rsidRPr="005A5103">
        <w:rPr>
          <w:rFonts w:ascii="Times New Roman" w:hAnsi="Times New Roman" w:cs="Times New Roman"/>
          <w:noProof/>
        </w:rPr>
        <w:t xml:space="preserve">ZHU, L.-X., ZHANG, Z.-W., WANG, C., YANG, H.-W., JIANG, D., ZHANG, Q., MITCHELSON, K. &amp; CHENG, J. 2007b. Use of a DNA microarray for simultaneous </w:t>
      </w:r>
      <w:r w:rsidRPr="005A5103">
        <w:rPr>
          <w:rFonts w:ascii="Times New Roman" w:hAnsi="Times New Roman" w:cs="Times New Roman"/>
          <w:noProof/>
        </w:rPr>
        <w:lastRenderedPageBreak/>
        <w:t xml:space="preserve">detection of antibiotic resistance genes among staphylococcal clinical isolates. </w:t>
      </w:r>
      <w:r w:rsidRPr="005A5103">
        <w:rPr>
          <w:rFonts w:ascii="Times New Roman" w:hAnsi="Times New Roman" w:cs="Times New Roman"/>
          <w:i/>
          <w:noProof/>
        </w:rPr>
        <w:t>Journal of Clinical Microbiology,</w:t>
      </w:r>
      <w:r w:rsidRPr="005A5103">
        <w:rPr>
          <w:rFonts w:ascii="Times New Roman" w:hAnsi="Times New Roman" w:cs="Times New Roman"/>
          <w:noProof/>
        </w:rPr>
        <w:t xml:space="preserve"> 45</w:t>
      </w:r>
      <w:r w:rsidRPr="005A5103">
        <w:rPr>
          <w:rFonts w:ascii="Times New Roman" w:hAnsi="Times New Roman" w:cs="Times New Roman"/>
          <w:b/>
          <w:noProof/>
        </w:rPr>
        <w:t>,</w:t>
      </w:r>
      <w:r w:rsidRPr="005A5103">
        <w:rPr>
          <w:rFonts w:ascii="Times New Roman" w:hAnsi="Times New Roman" w:cs="Times New Roman"/>
          <w:noProof/>
        </w:rPr>
        <w:t xml:space="preserve"> 3514-3521.</w:t>
      </w:r>
    </w:p>
    <w:p w14:paraId="357DF134" w14:textId="60D00AE6" w:rsidR="006B1624" w:rsidRPr="0012141A" w:rsidRDefault="009E4636" w:rsidP="003B3CE2">
      <w:pPr>
        <w:spacing w:line="360" w:lineRule="auto"/>
        <w:jc w:val="both"/>
        <w:rPr>
          <w:rFonts w:ascii="Times New Roman" w:hAnsi="Times New Roman"/>
        </w:rPr>
      </w:pPr>
      <w:r w:rsidRPr="0036658F">
        <w:rPr>
          <w:rFonts w:ascii="Times New Roman" w:hAnsi="Times New Roman" w:cs="Times New Roman"/>
        </w:rPr>
        <w:fldChar w:fldCharType="end"/>
      </w:r>
    </w:p>
    <w:sectPr w:rsidR="006B1624" w:rsidRPr="0012141A">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7FAFFB" w14:textId="77777777" w:rsidR="00FE710B" w:rsidRDefault="00FE710B">
      <w:r>
        <w:separator/>
      </w:r>
    </w:p>
  </w:endnote>
  <w:endnote w:type="continuationSeparator" w:id="0">
    <w:p w14:paraId="04B4F114" w14:textId="77777777" w:rsidR="00FE710B" w:rsidRDefault="00FE7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2D788" w14:textId="77777777" w:rsidR="00CA5D41" w:rsidRDefault="00CA5D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BB9E1" w14:textId="77777777" w:rsidR="006B1624" w:rsidRDefault="009E4636">
    <w:pPr>
      <w:pStyle w:val="Footer"/>
      <w:jc w:val="center"/>
    </w:pPr>
    <w:r>
      <w:rPr>
        <w:noProof/>
      </w:rPr>
      <mc:AlternateContent>
        <mc:Choice Requires="wps">
          <w:drawing>
            <wp:anchor distT="0" distB="0" distL="114300" distR="114300" simplePos="0" relativeHeight="251659264" behindDoc="0" locked="0" layoutInCell="1" allowOverlap="1" wp14:anchorId="3D9B1F59" wp14:editId="030E74C9">
              <wp:simplePos x="0" y="0"/>
              <wp:positionH relativeFrom="margin">
                <wp:align>left</wp:align>
              </wp:positionH>
              <wp:positionV relativeFrom="paragraph">
                <wp:posOffset>0</wp:posOffset>
              </wp:positionV>
              <wp:extent cx="1828800"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2FDE9" w14:textId="77777777" w:rsidR="006B1624" w:rsidRDefault="006B1624"/>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D9B1F59" id="_x0000_t202" coordsize="21600,21600" o:spt="202" path="m,l,21600r21600,l21600,xe">
              <v:stroke joinstyle="miter"/>
              <v:path gradientshapeok="t" o:connecttype="rect"/>
            </v:shapetype>
            <v:shape id="Text Box 26" o:spid="_x0000_s1026" type="#_x0000_t202" style="position:absolute;left:0;text-align:left;margin-left:0;margin-top:0;width:2in;height:2in;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NUwIAAAsFAAAOAAAAZHJzL2Uyb0RvYy54bWysVMFu2zAMvQ/YPwi6L04zrAiCOEXWosOA&#10;YC2WDjsrstQYk0RBUmNnX78nOU6HbpcOu8i0SD6Sj6SWV7017KBCbMnV/GIy5Uw5SU3rHmv+7eH2&#10;3ZyzmIRrhCGnan5UkV+t3r5Zdn6hZrQn06jAAOLiovM136fkF1UV5V5ZESfklYNSU7Ai4Tc8Vk0Q&#10;HdCtqWbT6WXVUWh8IKlixO3NoOSrgq+1kulO66gSMzVHbqmcoZy7fFarpVg8BuH3rTylIf4hCyta&#10;h6BnqBuRBHsK7R9QtpWBIuk0kWQr0rqVqtSAai6mL6rZ7oVXpRaQE/2Zpvj/YOWXw31gbVPz2SVn&#10;Tlj06EH1iX2knuEK/HQ+LmC29TBMPe7R5/E+4jKX3etg8xcFMejB9PHMbkaT2Wk+m8+nUEnoxh/g&#10;V8/uPsT0SZFlWah5QPsKq+KwiWkwHU1yNEe3rTGlhcaxruaX7z9Mi8NZA3DjECMXMSRbpHQ0KiMY&#10;91VplF9yzhdl8NS1CewgMDJCSuVSKbcgwTpbaYR9jePJPruqMpSvcT57lMjk0tnZto5CqfdF2s2P&#10;MWU92I8MDHVnClK/60/N3VFzRG8DDdsRvbxtwf9GxHQvAtYBPcOKpzsc2hB4ppPE2Z7Cz7/dZ3tM&#10;KbScdVivmjvsP2fms8P05k0chTAKu1FwT/aaQP4Fng4viwiHkMwo6kD2O/Z+nWNAJZxEpJqnUbxO&#10;w4rj3ZBqvS5G2Dcv0sZtvczQpdl+/ZQwQ2W0MikDEyeysHFlOE+vQ17p3/+L1fMbtvoF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Cm&#10;X/dNUwIAAAsFAAAOAAAAAAAAAAAAAAAAAC4CAABkcnMvZTJvRG9jLnhtbFBLAQItABQABgAIAAAA&#10;IQBxqtG51wAAAAUBAAAPAAAAAAAAAAAAAAAAAK0EAABkcnMvZG93bnJldi54bWxQSwUGAAAAAAQA&#10;BADzAAAAsQUAAAAA&#10;" filled="f" stroked="f" strokeweight=".5pt">
              <v:textbox style="mso-fit-shape-to-text:t" inset="0,0,0,0">
                <w:txbxContent>
                  <w:p w14:paraId="5CA2FDE9" w14:textId="77777777" w:rsidR="006B1624" w:rsidRDefault="006B1624"/>
                </w:txbxContent>
              </v:textbox>
              <w10:wrap anchorx="margin"/>
            </v:shape>
          </w:pict>
        </mc:Fallback>
      </mc:AlternateContent>
    </w:r>
  </w:p>
  <w:p w14:paraId="25968DEF" w14:textId="77777777" w:rsidR="006B1624" w:rsidRDefault="006B16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D5515" w14:textId="77777777" w:rsidR="00CA5D41" w:rsidRDefault="00CA5D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0309E" w14:textId="77777777" w:rsidR="00FE710B" w:rsidRDefault="00FE710B">
      <w:r>
        <w:separator/>
      </w:r>
    </w:p>
  </w:footnote>
  <w:footnote w:type="continuationSeparator" w:id="0">
    <w:p w14:paraId="09382E23" w14:textId="77777777" w:rsidR="00FE710B" w:rsidRDefault="00FE7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DD1C4" w14:textId="0D9FFABD" w:rsidR="00CA5D41" w:rsidRDefault="00FE710B">
    <w:pPr>
      <w:pStyle w:val="Header"/>
    </w:pPr>
    <w:r>
      <w:rPr>
        <w:noProof/>
      </w:rPr>
      <w:pict w14:anchorId="4CC71C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82876" o:spid="_x0000_s2050" type="#_x0000_t136" style="position:absolute;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7ED9E" w14:textId="25CBB05B" w:rsidR="00CA5D41" w:rsidRDefault="00FE710B">
    <w:pPr>
      <w:pStyle w:val="Header"/>
    </w:pPr>
    <w:r>
      <w:rPr>
        <w:noProof/>
      </w:rPr>
      <w:pict w14:anchorId="7D078D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82877" o:spid="_x0000_s2051" type="#_x0000_t136" style="position:absolute;margin-left:0;margin-top:0;width:492.55pt;height:92.9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6DDC9" w14:textId="19AC836D" w:rsidR="00CA5D41" w:rsidRDefault="00FE710B">
    <w:pPr>
      <w:pStyle w:val="Header"/>
    </w:pPr>
    <w:r>
      <w:rPr>
        <w:noProof/>
      </w:rPr>
      <w:pict w14:anchorId="0AA291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82875" o:spid="_x0000_s2049" type="#_x0000_t136" style="position:absolute;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93E4134"/>
    <w:multiLevelType w:val="singleLevel"/>
    <w:tmpl w:val="E93E4134"/>
    <w:lvl w:ilvl="0">
      <w:start w:val="1"/>
      <w:numFmt w:val="decimal"/>
      <w:lvlText w:val="%1."/>
      <w:lvlJc w:val="left"/>
      <w:pPr>
        <w:tabs>
          <w:tab w:val="left" w:pos="425"/>
        </w:tabs>
        <w:ind w:left="425" w:hanging="425"/>
      </w:pPr>
      <w:rPr>
        <w:rFonts w:hint="default"/>
      </w:rPr>
    </w:lvl>
  </w:abstractNum>
  <w:abstractNum w:abstractNumId="1" w15:restartNumberingAfterBreak="0">
    <w:nsid w:val="0F0F66CF"/>
    <w:multiLevelType w:val="hybridMultilevel"/>
    <w:tmpl w:val="9466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720795"/>
    <w:multiLevelType w:val="hybridMultilevel"/>
    <w:tmpl w:val="1AB4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7F41E0"/>
    <w:multiLevelType w:val="hybridMultilevel"/>
    <w:tmpl w:val="CD281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9B7E14"/>
    <w:multiLevelType w:val="hybridMultilevel"/>
    <w:tmpl w:val="0F00D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085DD7"/>
    <w:multiLevelType w:val="hybridMultilevel"/>
    <w:tmpl w:val="8D6A8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2FBD04BD"/>
    <w:rsid w:val="00037803"/>
    <w:rsid w:val="00046A4F"/>
    <w:rsid w:val="0005002D"/>
    <w:rsid w:val="00053E29"/>
    <w:rsid w:val="000547C1"/>
    <w:rsid w:val="00060FCC"/>
    <w:rsid w:val="000643FA"/>
    <w:rsid w:val="00073C91"/>
    <w:rsid w:val="00074755"/>
    <w:rsid w:val="00075453"/>
    <w:rsid w:val="00081FB5"/>
    <w:rsid w:val="00083062"/>
    <w:rsid w:val="000843D2"/>
    <w:rsid w:val="000845C0"/>
    <w:rsid w:val="00095B86"/>
    <w:rsid w:val="00096F12"/>
    <w:rsid w:val="000A1718"/>
    <w:rsid w:val="000B6156"/>
    <w:rsid w:val="000B72A2"/>
    <w:rsid w:val="000B75CA"/>
    <w:rsid w:val="000C32A1"/>
    <w:rsid w:val="000C7D4F"/>
    <w:rsid w:val="000D2538"/>
    <w:rsid w:val="000D2C9E"/>
    <w:rsid w:val="000D5C01"/>
    <w:rsid w:val="000E3C01"/>
    <w:rsid w:val="000E4BEF"/>
    <w:rsid w:val="000F754C"/>
    <w:rsid w:val="00101DC2"/>
    <w:rsid w:val="0010363D"/>
    <w:rsid w:val="00111211"/>
    <w:rsid w:val="001114B4"/>
    <w:rsid w:val="0011394D"/>
    <w:rsid w:val="001172DB"/>
    <w:rsid w:val="001205B4"/>
    <w:rsid w:val="0012141A"/>
    <w:rsid w:val="00121AD5"/>
    <w:rsid w:val="0013018A"/>
    <w:rsid w:val="00135B6B"/>
    <w:rsid w:val="0015418A"/>
    <w:rsid w:val="00155339"/>
    <w:rsid w:val="0015761D"/>
    <w:rsid w:val="001604D9"/>
    <w:rsid w:val="00160F73"/>
    <w:rsid w:val="00164011"/>
    <w:rsid w:val="0016785E"/>
    <w:rsid w:val="00181D22"/>
    <w:rsid w:val="0018225C"/>
    <w:rsid w:val="00185469"/>
    <w:rsid w:val="00187671"/>
    <w:rsid w:val="00196B8D"/>
    <w:rsid w:val="001A554B"/>
    <w:rsid w:val="001A7AC6"/>
    <w:rsid w:val="001F5A50"/>
    <w:rsid w:val="00213847"/>
    <w:rsid w:val="00214E4B"/>
    <w:rsid w:val="0022202B"/>
    <w:rsid w:val="00225952"/>
    <w:rsid w:val="00227300"/>
    <w:rsid w:val="00232995"/>
    <w:rsid w:val="00236B4E"/>
    <w:rsid w:val="0024122D"/>
    <w:rsid w:val="00244671"/>
    <w:rsid w:val="00250B99"/>
    <w:rsid w:val="002540F0"/>
    <w:rsid w:val="0025569E"/>
    <w:rsid w:val="00273CB7"/>
    <w:rsid w:val="00276511"/>
    <w:rsid w:val="00286A11"/>
    <w:rsid w:val="00286BAC"/>
    <w:rsid w:val="00287940"/>
    <w:rsid w:val="0029074A"/>
    <w:rsid w:val="00292CA5"/>
    <w:rsid w:val="00297AD0"/>
    <w:rsid w:val="002A32B8"/>
    <w:rsid w:val="002A3A94"/>
    <w:rsid w:val="002B7527"/>
    <w:rsid w:val="002C2458"/>
    <w:rsid w:val="002C3DF8"/>
    <w:rsid w:val="002C7E6F"/>
    <w:rsid w:val="002C7FEB"/>
    <w:rsid w:val="002D4CE2"/>
    <w:rsid w:val="002D578D"/>
    <w:rsid w:val="002E162C"/>
    <w:rsid w:val="002E516D"/>
    <w:rsid w:val="002E7273"/>
    <w:rsid w:val="002F5F1F"/>
    <w:rsid w:val="00313581"/>
    <w:rsid w:val="00316C3C"/>
    <w:rsid w:val="00335416"/>
    <w:rsid w:val="0033606F"/>
    <w:rsid w:val="00340E1B"/>
    <w:rsid w:val="00352155"/>
    <w:rsid w:val="00353C89"/>
    <w:rsid w:val="00357EE6"/>
    <w:rsid w:val="00365305"/>
    <w:rsid w:val="0036658F"/>
    <w:rsid w:val="00372141"/>
    <w:rsid w:val="00372ADB"/>
    <w:rsid w:val="00373CBD"/>
    <w:rsid w:val="003800FE"/>
    <w:rsid w:val="003A2709"/>
    <w:rsid w:val="003A46A5"/>
    <w:rsid w:val="003A4982"/>
    <w:rsid w:val="003A650C"/>
    <w:rsid w:val="003B3CE2"/>
    <w:rsid w:val="003B6F74"/>
    <w:rsid w:val="003B7A78"/>
    <w:rsid w:val="003D106F"/>
    <w:rsid w:val="003E58DB"/>
    <w:rsid w:val="003F4E0D"/>
    <w:rsid w:val="0040038D"/>
    <w:rsid w:val="004073B9"/>
    <w:rsid w:val="00415B87"/>
    <w:rsid w:val="004312E7"/>
    <w:rsid w:val="004334E4"/>
    <w:rsid w:val="00457C86"/>
    <w:rsid w:val="0047265F"/>
    <w:rsid w:val="004756E8"/>
    <w:rsid w:val="0048148D"/>
    <w:rsid w:val="004824A7"/>
    <w:rsid w:val="004856D6"/>
    <w:rsid w:val="0049132B"/>
    <w:rsid w:val="00491494"/>
    <w:rsid w:val="004B6E1E"/>
    <w:rsid w:val="004D3073"/>
    <w:rsid w:val="004E4A9B"/>
    <w:rsid w:val="004F0E68"/>
    <w:rsid w:val="004F74C3"/>
    <w:rsid w:val="005051A3"/>
    <w:rsid w:val="00506408"/>
    <w:rsid w:val="0051258A"/>
    <w:rsid w:val="00512D89"/>
    <w:rsid w:val="00516FD1"/>
    <w:rsid w:val="00532A69"/>
    <w:rsid w:val="0053515D"/>
    <w:rsid w:val="005415F8"/>
    <w:rsid w:val="00542C2B"/>
    <w:rsid w:val="0055293F"/>
    <w:rsid w:val="00553B4E"/>
    <w:rsid w:val="0055634F"/>
    <w:rsid w:val="005608DF"/>
    <w:rsid w:val="00575E51"/>
    <w:rsid w:val="0058199B"/>
    <w:rsid w:val="00592FD0"/>
    <w:rsid w:val="005A01F5"/>
    <w:rsid w:val="005A39BF"/>
    <w:rsid w:val="005A5103"/>
    <w:rsid w:val="005B0BE8"/>
    <w:rsid w:val="005B280C"/>
    <w:rsid w:val="005B567D"/>
    <w:rsid w:val="005D3673"/>
    <w:rsid w:val="005D3F48"/>
    <w:rsid w:val="00604557"/>
    <w:rsid w:val="00611B49"/>
    <w:rsid w:val="006159C3"/>
    <w:rsid w:val="006240BC"/>
    <w:rsid w:val="006307F9"/>
    <w:rsid w:val="00631CBB"/>
    <w:rsid w:val="006335D6"/>
    <w:rsid w:val="00635919"/>
    <w:rsid w:val="00645804"/>
    <w:rsid w:val="00660A5E"/>
    <w:rsid w:val="00672BD9"/>
    <w:rsid w:val="006867F8"/>
    <w:rsid w:val="00696A23"/>
    <w:rsid w:val="00697013"/>
    <w:rsid w:val="006B1624"/>
    <w:rsid w:val="006C40CA"/>
    <w:rsid w:val="006C58AC"/>
    <w:rsid w:val="006C63FB"/>
    <w:rsid w:val="006D2522"/>
    <w:rsid w:val="006D4D47"/>
    <w:rsid w:val="006E0D2F"/>
    <w:rsid w:val="006E1818"/>
    <w:rsid w:val="006F3A51"/>
    <w:rsid w:val="006F57E0"/>
    <w:rsid w:val="0070275A"/>
    <w:rsid w:val="0070374B"/>
    <w:rsid w:val="00713022"/>
    <w:rsid w:val="00714E74"/>
    <w:rsid w:val="00717D6F"/>
    <w:rsid w:val="00725D14"/>
    <w:rsid w:val="0073111A"/>
    <w:rsid w:val="007322D4"/>
    <w:rsid w:val="00744A1F"/>
    <w:rsid w:val="007451EC"/>
    <w:rsid w:val="00752F19"/>
    <w:rsid w:val="00753CBA"/>
    <w:rsid w:val="007610CD"/>
    <w:rsid w:val="007746D5"/>
    <w:rsid w:val="00781E52"/>
    <w:rsid w:val="007850C6"/>
    <w:rsid w:val="00787B8B"/>
    <w:rsid w:val="00790818"/>
    <w:rsid w:val="00792475"/>
    <w:rsid w:val="007A0434"/>
    <w:rsid w:val="007A30AB"/>
    <w:rsid w:val="007A55FE"/>
    <w:rsid w:val="007A7D5B"/>
    <w:rsid w:val="007B184B"/>
    <w:rsid w:val="007B7402"/>
    <w:rsid w:val="007D49B8"/>
    <w:rsid w:val="007D6B3E"/>
    <w:rsid w:val="007E7E8D"/>
    <w:rsid w:val="007F43EE"/>
    <w:rsid w:val="007F47A2"/>
    <w:rsid w:val="008416D5"/>
    <w:rsid w:val="00842949"/>
    <w:rsid w:val="008538E5"/>
    <w:rsid w:val="008551EE"/>
    <w:rsid w:val="00865973"/>
    <w:rsid w:val="00867142"/>
    <w:rsid w:val="008702BC"/>
    <w:rsid w:val="00871D53"/>
    <w:rsid w:val="00875070"/>
    <w:rsid w:val="00881F60"/>
    <w:rsid w:val="00882F73"/>
    <w:rsid w:val="00887DAD"/>
    <w:rsid w:val="008915EA"/>
    <w:rsid w:val="00896CF3"/>
    <w:rsid w:val="00897DB5"/>
    <w:rsid w:val="008A32BC"/>
    <w:rsid w:val="008B6498"/>
    <w:rsid w:val="008B7A0A"/>
    <w:rsid w:val="008D2764"/>
    <w:rsid w:val="008E22BF"/>
    <w:rsid w:val="008E73A4"/>
    <w:rsid w:val="008F4B04"/>
    <w:rsid w:val="008F4D0D"/>
    <w:rsid w:val="008F743E"/>
    <w:rsid w:val="009056A1"/>
    <w:rsid w:val="009113D1"/>
    <w:rsid w:val="00922AF4"/>
    <w:rsid w:val="00931ED5"/>
    <w:rsid w:val="009517EA"/>
    <w:rsid w:val="00956D78"/>
    <w:rsid w:val="00960784"/>
    <w:rsid w:val="009647FF"/>
    <w:rsid w:val="009710CF"/>
    <w:rsid w:val="00973071"/>
    <w:rsid w:val="009929D0"/>
    <w:rsid w:val="00993517"/>
    <w:rsid w:val="00994878"/>
    <w:rsid w:val="00996EE8"/>
    <w:rsid w:val="009A133C"/>
    <w:rsid w:val="009B098F"/>
    <w:rsid w:val="009C051B"/>
    <w:rsid w:val="009C153B"/>
    <w:rsid w:val="009C73F7"/>
    <w:rsid w:val="009D2FD2"/>
    <w:rsid w:val="009D4DAD"/>
    <w:rsid w:val="009D73BD"/>
    <w:rsid w:val="009E4636"/>
    <w:rsid w:val="009F702D"/>
    <w:rsid w:val="00A03122"/>
    <w:rsid w:val="00A0360A"/>
    <w:rsid w:val="00A0629B"/>
    <w:rsid w:val="00A10D78"/>
    <w:rsid w:val="00A114C9"/>
    <w:rsid w:val="00A137D9"/>
    <w:rsid w:val="00A20641"/>
    <w:rsid w:val="00A31667"/>
    <w:rsid w:val="00A36597"/>
    <w:rsid w:val="00A43C93"/>
    <w:rsid w:val="00A44127"/>
    <w:rsid w:val="00A46C0E"/>
    <w:rsid w:val="00A54666"/>
    <w:rsid w:val="00A5594F"/>
    <w:rsid w:val="00A747AA"/>
    <w:rsid w:val="00A821D7"/>
    <w:rsid w:val="00A8325A"/>
    <w:rsid w:val="00A84942"/>
    <w:rsid w:val="00AA3D02"/>
    <w:rsid w:val="00AA4778"/>
    <w:rsid w:val="00AB20E2"/>
    <w:rsid w:val="00AB3588"/>
    <w:rsid w:val="00AB41B3"/>
    <w:rsid w:val="00AC0485"/>
    <w:rsid w:val="00AE13CC"/>
    <w:rsid w:val="00AF2BA6"/>
    <w:rsid w:val="00AF3515"/>
    <w:rsid w:val="00AF5752"/>
    <w:rsid w:val="00AF6386"/>
    <w:rsid w:val="00B17313"/>
    <w:rsid w:val="00B370C5"/>
    <w:rsid w:val="00B414B6"/>
    <w:rsid w:val="00B42139"/>
    <w:rsid w:val="00B47010"/>
    <w:rsid w:val="00B60387"/>
    <w:rsid w:val="00B6254C"/>
    <w:rsid w:val="00B634EF"/>
    <w:rsid w:val="00B747AD"/>
    <w:rsid w:val="00B765D4"/>
    <w:rsid w:val="00B803D2"/>
    <w:rsid w:val="00B84E0F"/>
    <w:rsid w:val="00B954D6"/>
    <w:rsid w:val="00BB22BA"/>
    <w:rsid w:val="00BC217D"/>
    <w:rsid w:val="00BC2A3C"/>
    <w:rsid w:val="00BC3F9B"/>
    <w:rsid w:val="00BE56C2"/>
    <w:rsid w:val="00BF04BB"/>
    <w:rsid w:val="00BF102F"/>
    <w:rsid w:val="00C03FDB"/>
    <w:rsid w:val="00C04A3F"/>
    <w:rsid w:val="00C22BBC"/>
    <w:rsid w:val="00C27346"/>
    <w:rsid w:val="00C327BF"/>
    <w:rsid w:val="00C35AA6"/>
    <w:rsid w:val="00C372BF"/>
    <w:rsid w:val="00C44AA6"/>
    <w:rsid w:val="00C44B25"/>
    <w:rsid w:val="00C563B7"/>
    <w:rsid w:val="00C6510E"/>
    <w:rsid w:val="00C67818"/>
    <w:rsid w:val="00C704EF"/>
    <w:rsid w:val="00C84547"/>
    <w:rsid w:val="00C85F4D"/>
    <w:rsid w:val="00CA0AC1"/>
    <w:rsid w:val="00CA5D41"/>
    <w:rsid w:val="00CA621B"/>
    <w:rsid w:val="00CB3FED"/>
    <w:rsid w:val="00CB5466"/>
    <w:rsid w:val="00CC1F67"/>
    <w:rsid w:val="00CC234B"/>
    <w:rsid w:val="00CD0334"/>
    <w:rsid w:val="00CD4616"/>
    <w:rsid w:val="00CD543C"/>
    <w:rsid w:val="00CE1BB3"/>
    <w:rsid w:val="00CE4CC3"/>
    <w:rsid w:val="00CF2BA6"/>
    <w:rsid w:val="00CF724B"/>
    <w:rsid w:val="00D11A0B"/>
    <w:rsid w:val="00D36541"/>
    <w:rsid w:val="00D4665F"/>
    <w:rsid w:val="00D5141F"/>
    <w:rsid w:val="00D55E6C"/>
    <w:rsid w:val="00D63EFF"/>
    <w:rsid w:val="00D644DF"/>
    <w:rsid w:val="00D66220"/>
    <w:rsid w:val="00D66816"/>
    <w:rsid w:val="00DA6DE7"/>
    <w:rsid w:val="00DB1061"/>
    <w:rsid w:val="00DB2058"/>
    <w:rsid w:val="00DB34AB"/>
    <w:rsid w:val="00DB5D45"/>
    <w:rsid w:val="00DD0464"/>
    <w:rsid w:val="00DE4FB8"/>
    <w:rsid w:val="00E00319"/>
    <w:rsid w:val="00E13D5F"/>
    <w:rsid w:val="00E244FC"/>
    <w:rsid w:val="00E26A1E"/>
    <w:rsid w:val="00E26D55"/>
    <w:rsid w:val="00E33833"/>
    <w:rsid w:val="00E37978"/>
    <w:rsid w:val="00E403D1"/>
    <w:rsid w:val="00E55829"/>
    <w:rsid w:val="00E67C3F"/>
    <w:rsid w:val="00E75770"/>
    <w:rsid w:val="00E7744F"/>
    <w:rsid w:val="00E8180F"/>
    <w:rsid w:val="00E943D0"/>
    <w:rsid w:val="00E955D9"/>
    <w:rsid w:val="00EA3A91"/>
    <w:rsid w:val="00EB427D"/>
    <w:rsid w:val="00EC0E53"/>
    <w:rsid w:val="00EC4674"/>
    <w:rsid w:val="00ED7BAE"/>
    <w:rsid w:val="00EF011B"/>
    <w:rsid w:val="00EF7DBD"/>
    <w:rsid w:val="00F003F0"/>
    <w:rsid w:val="00F12CF3"/>
    <w:rsid w:val="00F21E7A"/>
    <w:rsid w:val="00F31540"/>
    <w:rsid w:val="00F46437"/>
    <w:rsid w:val="00F61F39"/>
    <w:rsid w:val="00F62397"/>
    <w:rsid w:val="00F628E4"/>
    <w:rsid w:val="00F7014D"/>
    <w:rsid w:val="00F73090"/>
    <w:rsid w:val="00F73360"/>
    <w:rsid w:val="00F84A80"/>
    <w:rsid w:val="00F90929"/>
    <w:rsid w:val="00F912F5"/>
    <w:rsid w:val="00F9364B"/>
    <w:rsid w:val="00F94597"/>
    <w:rsid w:val="00F96418"/>
    <w:rsid w:val="00FB20D9"/>
    <w:rsid w:val="00FB73FC"/>
    <w:rsid w:val="00FC179F"/>
    <w:rsid w:val="00FD4D8B"/>
    <w:rsid w:val="00FD6755"/>
    <w:rsid w:val="00FE032B"/>
    <w:rsid w:val="00FE56DA"/>
    <w:rsid w:val="00FE710B"/>
    <w:rsid w:val="01482928"/>
    <w:rsid w:val="01A1683A"/>
    <w:rsid w:val="0309331B"/>
    <w:rsid w:val="030D0F8F"/>
    <w:rsid w:val="035F3318"/>
    <w:rsid w:val="037F7E9A"/>
    <w:rsid w:val="03ED05FD"/>
    <w:rsid w:val="04182746"/>
    <w:rsid w:val="04575AAE"/>
    <w:rsid w:val="04BC79D1"/>
    <w:rsid w:val="04D70FD2"/>
    <w:rsid w:val="04F0022B"/>
    <w:rsid w:val="04FB2D39"/>
    <w:rsid w:val="051922E9"/>
    <w:rsid w:val="056D77F4"/>
    <w:rsid w:val="05E9713E"/>
    <w:rsid w:val="05EA0443"/>
    <w:rsid w:val="0620091D"/>
    <w:rsid w:val="062A18CE"/>
    <w:rsid w:val="07385B66"/>
    <w:rsid w:val="079D330C"/>
    <w:rsid w:val="07BD5DBF"/>
    <w:rsid w:val="085E3502"/>
    <w:rsid w:val="08B11B50"/>
    <w:rsid w:val="08BA0261"/>
    <w:rsid w:val="09616470"/>
    <w:rsid w:val="09E61F4C"/>
    <w:rsid w:val="0AF36C07"/>
    <w:rsid w:val="0B4E601C"/>
    <w:rsid w:val="0BCC68EA"/>
    <w:rsid w:val="0CB15206"/>
    <w:rsid w:val="0CB40DE6"/>
    <w:rsid w:val="0DE820DC"/>
    <w:rsid w:val="0E270CC8"/>
    <w:rsid w:val="0E33214E"/>
    <w:rsid w:val="0E473B3E"/>
    <w:rsid w:val="0E920377"/>
    <w:rsid w:val="0EA61216"/>
    <w:rsid w:val="0EDA4E4C"/>
    <w:rsid w:val="0F424F95"/>
    <w:rsid w:val="10247488"/>
    <w:rsid w:val="107F2121"/>
    <w:rsid w:val="10C038FD"/>
    <w:rsid w:val="1225768D"/>
    <w:rsid w:val="12867959"/>
    <w:rsid w:val="12E507A3"/>
    <w:rsid w:val="13155745"/>
    <w:rsid w:val="131F7C09"/>
    <w:rsid w:val="13E449B0"/>
    <w:rsid w:val="14861FBB"/>
    <w:rsid w:val="148847B3"/>
    <w:rsid w:val="15AE4E10"/>
    <w:rsid w:val="15DE5A70"/>
    <w:rsid w:val="15F55695"/>
    <w:rsid w:val="164B1CD2"/>
    <w:rsid w:val="169051AC"/>
    <w:rsid w:val="16C778BE"/>
    <w:rsid w:val="17CC22E9"/>
    <w:rsid w:val="18593161"/>
    <w:rsid w:val="18B43F14"/>
    <w:rsid w:val="18FB18F3"/>
    <w:rsid w:val="19655E2F"/>
    <w:rsid w:val="196C0D7D"/>
    <w:rsid w:val="19E32408"/>
    <w:rsid w:val="1A0C01B0"/>
    <w:rsid w:val="1A3F729E"/>
    <w:rsid w:val="1A455016"/>
    <w:rsid w:val="1A515E93"/>
    <w:rsid w:val="1B2B01A0"/>
    <w:rsid w:val="1B6D367F"/>
    <w:rsid w:val="1C4231EC"/>
    <w:rsid w:val="1C491016"/>
    <w:rsid w:val="1C4B7CBA"/>
    <w:rsid w:val="1CB347A4"/>
    <w:rsid w:val="1D04695D"/>
    <w:rsid w:val="1E4D4810"/>
    <w:rsid w:val="1F0A1B99"/>
    <w:rsid w:val="20117867"/>
    <w:rsid w:val="20672636"/>
    <w:rsid w:val="208A2D63"/>
    <w:rsid w:val="20D70D26"/>
    <w:rsid w:val="21372191"/>
    <w:rsid w:val="2137748C"/>
    <w:rsid w:val="21AD4080"/>
    <w:rsid w:val="21DA2518"/>
    <w:rsid w:val="220123D8"/>
    <w:rsid w:val="22133977"/>
    <w:rsid w:val="22203FDA"/>
    <w:rsid w:val="22241693"/>
    <w:rsid w:val="22746E93"/>
    <w:rsid w:val="23AB4AD8"/>
    <w:rsid w:val="23B27BA0"/>
    <w:rsid w:val="240C700D"/>
    <w:rsid w:val="24493596"/>
    <w:rsid w:val="24554E2A"/>
    <w:rsid w:val="25074C4E"/>
    <w:rsid w:val="25A70F54"/>
    <w:rsid w:val="2632682E"/>
    <w:rsid w:val="26723EA0"/>
    <w:rsid w:val="268279BE"/>
    <w:rsid w:val="27541863"/>
    <w:rsid w:val="27BE60C1"/>
    <w:rsid w:val="27D86C6A"/>
    <w:rsid w:val="27EF2113"/>
    <w:rsid w:val="285F08A9"/>
    <w:rsid w:val="286F0146"/>
    <w:rsid w:val="287A36F4"/>
    <w:rsid w:val="28801A0C"/>
    <w:rsid w:val="28BD502C"/>
    <w:rsid w:val="28C55F46"/>
    <w:rsid w:val="291D7302"/>
    <w:rsid w:val="29940245"/>
    <w:rsid w:val="29D6058F"/>
    <w:rsid w:val="2A6D61DB"/>
    <w:rsid w:val="2A743B27"/>
    <w:rsid w:val="2B3F0281"/>
    <w:rsid w:val="2BA23FB2"/>
    <w:rsid w:val="2C144DE1"/>
    <w:rsid w:val="2C264CFB"/>
    <w:rsid w:val="2C362D97"/>
    <w:rsid w:val="2CB8206C"/>
    <w:rsid w:val="2CE7730B"/>
    <w:rsid w:val="2D034AD2"/>
    <w:rsid w:val="2D676865"/>
    <w:rsid w:val="2D7733A3"/>
    <w:rsid w:val="2E372A1E"/>
    <w:rsid w:val="2E697834"/>
    <w:rsid w:val="2E7510C8"/>
    <w:rsid w:val="2E9D6A09"/>
    <w:rsid w:val="2EB156AA"/>
    <w:rsid w:val="2EBF49BF"/>
    <w:rsid w:val="2F793DEE"/>
    <w:rsid w:val="2FBD04BD"/>
    <w:rsid w:val="306F4706"/>
    <w:rsid w:val="309B6D53"/>
    <w:rsid w:val="320944A7"/>
    <w:rsid w:val="323F399D"/>
    <w:rsid w:val="326066D5"/>
    <w:rsid w:val="32736779"/>
    <w:rsid w:val="32CE2ED7"/>
    <w:rsid w:val="32D1066D"/>
    <w:rsid w:val="33C40EFA"/>
    <w:rsid w:val="33C87900"/>
    <w:rsid w:val="34B36604"/>
    <w:rsid w:val="357566C2"/>
    <w:rsid w:val="360B4637"/>
    <w:rsid w:val="366C33D7"/>
    <w:rsid w:val="36AD1C42"/>
    <w:rsid w:val="37401061"/>
    <w:rsid w:val="37DE5837"/>
    <w:rsid w:val="393A5AF3"/>
    <w:rsid w:val="39B31F3A"/>
    <w:rsid w:val="3AB704E3"/>
    <w:rsid w:val="3B2E59A3"/>
    <w:rsid w:val="3B3F38BE"/>
    <w:rsid w:val="3B62097B"/>
    <w:rsid w:val="3BDD02C5"/>
    <w:rsid w:val="3C6627A8"/>
    <w:rsid w:val="3C666F24"/>
    <w:rsid w:val="3C7D431C"/>
    <w:rsid w:val="3CCE5383"/>
    <w:rsid w:val="3D3C5A56"/>
    <w:rsid w:val="3D422386"/>
    <w:rsid w:val="3D891605"/>
    <w:rsid w:val="3E59645B"/>
    <w:rsid w:val="3E6447EC"/>
    <w:rsid w:val="3F0172F0"/>
    <w:rsid w:val="3F4A4568"/>
    <w:rsid w:val="3FE63663"/>
    <w:rsid w:val="40311F01"/>
    <w:rsid w:val="40790653"/>
    <w:rsid w:val="409F0893"/>
    <w:rsid w:val="41623E54"/>
    <w:rsid w:val="41826907"/>
    <w:rsid w:val="425775C5"/>
    <w:rsid w:val="43C42339"/>
    <w:rsid w:val="43D77EFF"/>
    <w:rsid w:val="44181DC4"/>
    <w:rsid w:val="44BD47B4"/>
    <w:rsid w:val="450A0452"/>
    <w:rsid w:val="45E56799"/>
    <w:rsid w:val="462B052A"/>
    <w:rsid w:val="46386ACE"/>
    <w:rsid w:val="4666070F"/>
    <w:rsid w:val="466E359D"/>
    <w:rsid w:val="47565A99"/>
    <w:rsid w:val="475A449F"/>
    <w:rsid w:val="47737800"/>
    <w:rsid w:val="47916B77"/>
    <w:rsid w:val="4825055D"/>
    <w:rsid w:val="489E7172"/>
    <w:rsid w:val="48C82477"/>
    <w:rsid w:val="48E14128"/>
    <w:rsid w:val="48EB3931"/>
    <w:rsid w:val="49283796"/>
    <w:rsid w:val="4A096307"/>
    <w:rsid w:val="4A2139AD"/>
    <w:rsid w:val="4A4E4B3A"/>
    <w:rsid w:val="4A500C79"/>
    <w:rsid w:val="4A531A2F"/>
    <w:rsid w:val="4A691BA3"/>
    <w:rsid w:val="4B676243"/>
    <w:rsid w:val="4B9914CC"/>
    <w:rsid w:val="4BE55FBE"/>
    <w:rsid w:val="4BEF4EA2"/>
    <w:rsid w:val="4C373098"/>
    <w:rsid w:val="4C555ECC"/>
    <w:rsid w:val="4C7C35E4"/>
    <w:rsid w:val="4CE31FA3"/>
    <w:rsid w:val="4CF878D3"/>
    <w:rsid w:val="4D502C5D"/>
    <w:rsid w:val="4D6B7C12"/>
    <w:rsid w:val="4DED6EE6"/>
    <w:rsid w:val="4DFC4FA9"/>
    <w:rsid w:val="4DFF0486"/>
    <w:rsid w:val="4E1A0CAF"/>
    <w:rsid w:val="4E1F09BA"/>
    <w:rsid w:val="4E3B6258"/>
    <w:rsid w:val="4E5A531C"/>
    <w:rsid w:val="4F2F65F9"/>
    <w:rsid w:val="4F342A81"/>
    <w:rsid w:val="4F574619"/>
    <w:rsid w:val="4F6457CE"/>
    <w:rsid w:val="4F737FE7"/>
    <w:rsid w:val="4F7468FF"/>
    <w:rsid w:val="4FAC5BC3"/>
    <w:rsid w:val="500F2219"/>
    <w:rsid w:val="50521BD4"/>
    <w:rsid w:val="50EA68CF"/>
    <w:rsid w:val="514B566F"/>
    <w:rsid w:val="521F5647"/>
    <w:rsid w:val="52310668"/>
    <w:rsid w:val="53013E4B"/>
    <w:rsid w:val="53273C7B"/>
    <w:rsid w:val="53ED493E"/>
    <w:rsid w:val="549F2ACC"/>
    <w:rsid w:val="54A53D5C"/>
    <w:rsid w:val="554064E9"/>
    <w:rsid w:val="55767051"/>
    <w:rsid w:val="5697231E"/>
    <w:rsid w:val="56CB72F5"/>
    <w:rsid w:val="573C6E03"/>
    <w:rsid w:val="57527F8D"/>
    <w:rsid w:val="585103F5"/>
    <w:rsid w:val="58AF078F"/>
    <w:rsid w:val="58BD5526"/>
    <w:rsid w:val="595C1C22"/>
    <w:rsid w:val="5976124B"/>
    <w:rsid w:val="5986716D"/>
    <w:rsid w:val="59BE0A05"/>
    <w:rsid w:val="59C3687C"/>
    <w:rsid w:val="5A613C8E"/>
    <w:rsid w:val="5A7F4266"/>
    <w:rsid w:val="5B677683"/>
    <w:rsid w:val="5B997D15"/>
    <w:rsid w:val="5C1B042B"/>
    <w:rsid w:val="5C7241F4"/>
    <w:rsid w:val="5CBD5A36"/>
    <w:rsid w:val="5D222BC1"/>
    <w:rsid w:val="5D3046F0"/>
    <w:rsid w:val="5D695234"/>
    <w:rsid w:val="5DA55A76"/>
    <w:rsid w:val="5E0F62DC"/>
    <w:rsid w:val="5E8D7FDA"/>
    <w:rsid w:val="5EDE56B0"/>
    <w:rsid w:val="5F2361A5"/>
    <w:rsid w:val="5F4750E0"/>
    <w:rsid w:val="5F80653E"/>
    <w:rsid w:val="60710F2E"/>
    <w:rsid w:val="60B665BB"/>
    <w:rsid w:val="60C123CB"/>
    <w:rsid w:val="60FA685E"/>
    <w:rsid w:val="612702A0"/>
    <w:rsid w:val="621B0081"/>
    <w:rsid w:val="623E08C4"/>
    <w:rsid w:val="627C396C"/>
    <w:rsid w:val="62A80F69"/>
    <w:rsid w:val="63960BF2"/>
    <w:rsid w:val="63E17D6C"/>
    <w:rsid w:val="64582CE9"/>
    <w:rsid w:val="6489147F"/>
    <w:rsid w:val="649A6584"/>
    <w:rsid w:val="652A18F2"/>
    <w:rsid w:val="65811A17"/>
    <w:rsid w:val="659351B4"/>
    <w:rsid w:val="65D45C1E"/>
    <w:rsid w:val="66106CA3"/>
    <w:rsid w:val="66346294"/>
    <w:rsid w:val="667A36C0"/>
    <w:rsid w:val="672F4BD5"/>
    <w:rsid w:val="679B558A"/>
    <w:rsid w:val="6861684B"/>
    <w:rsid w:val="68693658"/>
    <w:rsid w:val="688C2914"/>
    <w:rsid w:val="69244F77"/>
    <w:rsid w:val="69436807"/>
    <w:rsid w:val="697F6210"/>
    <w:rsid w:val="697F6A24"/>
    <w:rsid w:val="6A217052"/>
    <w:rsid w:val="6A655A1D"/>
    <w:rsid w:val="6AB76720"/>
    <w:rsid w:val="6B5F5DAC"/>
    <w:rsid w:val="6B652971"/>
    <w:rsid w:val="6B873576"/>
    <w:rsid w:val="6BBE14D1"/>
    <w:rsid w:val="6BC83559"/>
    <w:rsid w:val="6BFC4839"/>
    <w:rsid w:val="6C8064BF"/>
    <w:rsid w:val="6CAA727D"/>
    <w:rsid w:val="6CD81C42"/>
    <w:rsid w:val="6CDB5CE1"/>
    <w:rsid w:val="6D5118E8"/>
    <w:rsid w:val="6D6321B6"/>
    <w:rsid w:val="6DB0649E"/>
    <w:rsid w:val="6E226419"/>
    <w:rsid w:val="6E252524"/>
    <w:rsid w:val="6E6C58B8"/>
    <w:rsid w:val="6F0C3AA7"/>
    <w:rsid w:val="6F362C99"/>
    <w:rsid w:val="6F5248B0"/>
    <w:rsid w:val="6F7D3176"/>
    <w:rsid w:val="6FDC0F91"/>
    <w:rsid w:val="70A906E5"/>
    <w:rsid w:val="714072D4"/>
    <w:rsid w:val="719D0BF2"/>
    <w:rsid w:val="71E379C2"/>
    <w:rsid w:val="71F41CF5"/>
    <w:rsid w:val="721A5067"/>
    <w:rsid w:val="72581325"/>
    <w:rsid w:val="72DF7DA7"/>
    <w:rsid w:val="72EB2952"/>
    <w:rsid w:val="73655FDF"/>
    <w:rsid w:val="7371287E"/>
    <w:rsid w:val="73B1065D"/>
    <w:rsid w:val="74087386"/>
    <w:rsid w:val="7431442E"/>
    <w:rsid w:val="759D3AE1"/>
    <w:rsid w:val="76D26DB5"/>
    <w:rsid w:val="76F06113"/>
    <w:rsid w:val="77441CBC"/>
    <w:rsid w:val="779D6649"/>
    <w:rsid w:val="77B804F8"/>
    <w:rsid w:val="77E67D42"/>
    <w:rsid w:val="782D5F38"/>
    <w:rsid w:val="78B1657F"/>
    <w:rsid w:val="78D46F08"/>
    <w:rsid w:val="79292EB8"/>
    <w:rsid w:val="793A2BF2"/>
    <w:rsid w:val="79BD7948"/>
    <w:rsid w:val="7A017138"/>
    <w:rsid w:val="7A0F3ECF"/>
    <w:rsid w:val="7A2F6982"/>
    <w:rsid w:val="7A675B88"/>
    <w:rsid w:val="7AAC2844"/>
    <w:rsid w:val="7B0A53EC"/>
    <w:rsid w:val="7B0F3A72"/>
    <w:rsid w:val="7B8514B2"/>
    <w:rsid w:val="7B8C3B59"/>
    <w:rsid w:val="7BC90C78"/>
    <w:rsid w:val="7C29468D"/>
    <w:rsid w:val="7CE1176F"/>
    <w:rsid w:val="7D6A5E50"/>
    <w:rsid w:val="7D734561"/>
    <w:rsid w:val="7D90608F"/>
    <w:rsid w:val="7D9B4421"/>
    <w:rsid w:val="7DE30098"/>
    <w:rsid w:val="7E3E74AD"/>
    <w:rsid w:val="7F194892"/>
    <w:rsid w:val="7F287AD5"/>
    <w:rsid w:val="7F32224A"/>
    <w:rsid w:val="7F6B0E19"/>
    <w:rsid w:val="7FD065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893CB38"/>
  <w15:docId w15:val="{D97E087F-06BD-4551-A6C7-6841A30AE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header" w:qFormat="1"/>
    <w:lsdException w:name="footer" w:uiPriority="99" w:qFormat="1"/>
    <w:lsdException w:name="caption" w:semiHidden="1" w:unhideWhenUsed="1" w:qFormat="1"/>
    <w:lsdException w:name="Title" w:qFormat="1"/>
    <w:lsdException w:name="Default Paragraph Font"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link w:val="Heading1Char"/>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link w:val="FooterChar"/>
    <w:uiPriority w:val="99"/>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uiPriority w:val="99"/>
    <w:qFormat/>
    <w:rPr>
      <w:color w:val="0000FF"/>
      <w:u w:val="single"/>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pPr>
      <w:spacing w:after="100"/>
    </w:pPr>
  </w:style>
  <w:style w:type="paragraph" w:customStyle="1" w:styleId="EndNoteBibliographyTitle">
    <w:name w:val="EndNote Bibliography Title"/>
    <w:basedOn w:val="Normal"/>
    <w:link w:val="EndNoteBibliographyTitleChar"/>
    <w:qFormat/>
    <w:pPr>
      <w:jc w:val="center"/>
    </w:pPr>
    <w:rPr>
      <w:rFonts w:ascii="Calibri" w:hAnsi="Calibri" w:cs="Calibri"/>
    </w:rPr>
  </w:style>
  <w:style w:type="character" w:customStyle="1" w:styleId="EndNoteBibliographyTitleChar">
    <w:name w:val="EndNote Bibliography Title Char"/>
    <w:basedOn w:val="DefaultParagraphFont"/>
    <w:link w:val="EndNoteBibliographyTitle"/>
    <w:qFormat/>
    <w:rPr>
      <w:rFonts w:ascii="Calibri" w:eastAsiaTheme="minorEastAsia" w:hAnsi="Calibri" w:cs="Calibri"/>
      <w:lang w:eastAsia="zh-CN"/>
    </w:rPr>
  </w:style>
  <w:style w:type="paragraph" w:customStyle="1" w:styleId="EndNoteBibliography">
    <w:name w:val="EndNote Bibliography"/>
    <w:basedOn w:val="Normal"/>
    <w:link w:val="EndNoteBibliographyChar"/>
    <w:qFormat/>
    <w:rPr>
      <w:rFonts w:ascii="Calibri" w:hAnsi="Calibri" w:cs="Calibri"/>
    </w:rPr>
  </w:style>
  <w:style w:type="character" w:customStyle="1" w:styleId="EndNoteBibliographyChar">
    <w:name w:val="EndNote Bibliography Char"/>
    <w:basedOn w:val="DefaultParagraphFont"/>
    <w:link w:val="EndNoteBibliography"/>
    <w:qFormat/>
    <w:rPr>
      <w:rFonts w:ascii="Calibri" w:eastAsiaTheme="minorEastAsia" w:hAnsi="Calibri" w:cs="Calibri"/>
      <w:lang w:eastAsia="zh-CN"/>
    </w:rPr>
  </w:style>
  <w:style w:type="character" w:customStyle="1" w:styleId="Heading1Char">
    <w:name w:val="Heading 1 Char"/>
    <w:basedOn w:val="DefaultParagraphFont"/>
    <w:link w:val="Heading1"/>
    <w:qFormat/>
    <w:rPr>
      <w:rFonts w:asciiTheme="majorHAnsi" w:eastAsiaTheme="majorEastAsia" w:hAnsiTheme="majorHAnsi" w:cstheme="majorBidi"/>
      <w:color w:val="2E74B5" w:themeColor="accent1" w:themeShade="BF"/>
      <w:sz w:val="32"/>
      <w:szCs w:val="32"/>
      <w:lang w:eastAsia="zh-CN"/>
    </w:rPr>
  </w:style>
  <w:style w:type="paragraph" w:customStyle="1" w:styleId="TOCHeading1">
    <w:name w:val="TOC Heading1"/>
    <w:basedOn w:val="Heading1"/>
    <w:next w:val="Normal"/>
    <w:uiPriority w:val="39"/>
    <w:unhideWhenUsed/>
    <w:qFormat/>
    <w:pPr>
      <w:spacing w:line="259" w:lineRule="auto"/>
      <w:outlineLvl w:val="9"/>
    </w:pPr>
    <w:rPr>
      <w:lang w:eastAsia="en-US"/>
    </w:rPr>
  </w:style>
  <w:style w:type="character" w:customStyle="1" w:styleId="HeaderChar">
    <w:name w:val="Header Char"/>
    <w:basedOn w:val="DefaultParagraphFont"/>
    <w:link w:val="Header"/>
    <w:qFormat/>
    <w:rPr>
      <w:rFonts w:asciiTheme="minorHAnsi" w:eastAsiaTheme="minorEastAsia" w:hAnsiTheme="minorHAnsi" w:cstheme="minorBidi"/>
      <w:lang w:eastAsia="zh-CN"/>
    </w:rPr>
  </w:style>
  <w:style w:type="character" w:customStyle="1" w:styleId="FooterChar">
    <w:name w:val="Footer Char"/>
    <w:basedOn w:val="DefaultParagraphFont"/>
    <w:link w:val="Footer"/>
    <w:uiPriority w:val="99"/>
    <w:qFormat/>
    <w:rPr>
      <w:rFonts w:asciiTheme="minorHAnsi" w:eastAsiaTheme="minorEastAsia" w:hAnsiTheme="minorHAnsi" w:cstheme="minorBidi"/>
      <w:lang w:eastAsia="zh-CN"/>
    </w:rPr>
  </w:style>
  <w:style w:type="paragraph" w:customStyle="1" w:styleId="WPSOffice1">
    <w:name w:val="WPSOffice手动目录 1"/>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99"/>
    <w:unhideWhenUsed/>
    <w:rsid w:val="008F4D0D"/>
    <w:pPr>
      <w:ind w:left="720"/>
      <w:contextualSpacing/>
    </w:pPr>
  </w:style>
  <w:style w:type="character" w:styleId="UnresolvedMention">
    <w:name w:val="Unresolved Mention"/>
    <w:basedOn w:val="DefaultParagraphFont"/>
    <w:uiPriority w:val="99"/>
    <w:semiHidden/>
    <w:unhideWhenUsed/>
    <w:rsid w:val="007850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705">
      <w:bodyDiv w:val="1"/>
      <w:marLeft w:val="0"/>
      <w:marRight w:val="0"/>
      <w:marTop w:val="0"/>
      <w:marBottom w:val="0"/>
      <w:divBdr>
        <w:top w:val="none" w:sz="0" w:space="0" w:color="auto"/>
        <w:left w:val="none" w:sz="0" w:space="0" w:color="auto"/>
        <w:bottom w:val="none" w:sz="0" w:space="0" w:color="auto"/>
        <w:right w:val="none" w:sz="0" w:space="0" w:color="auto"/>
      </w:divBdr>
    </w:div>
    <w:div w:id="15156666">
      <w:bodyDiv w:val="1"/>
      <w:marLeft w:val="0"/>
      <w:marRight w:val="0"/>
      <w:marTop w:val="0"/>
      <w:marBottom w:val="0"/>
      <w:divBdr>
        <w:top w:val="none" w:sz="0" w:space="0" w:color="auto"/>
        <w:left w:val="none" w:sz="0" w:space="0" w:color="auto"/>
        <w:bottom w:val="none" w:sz="0" w:space="0" w:color="auto"/>
        <w:right w:val="none" w:sz="0" w:space="0" w:color="auto"/>
      </w:divBdr>
    </w:div>
    <w:div w:id="44915874">
      <w:bodyDiv w:val="1"/>
      <w:marLeft w:val="0"/>
      <w:marRight w:val="0"/>
      <w:marTop w:val="0"/>
      <w:marBottom w:val="0"/>
      <w:divBdr>
        <w:top w:val="none" w:sz="0" w:space="0" w:color="auto"/>
        <w:left w:val="none" w:sz="0" w:space="0" w:color="auto"/>
        <w:bottom w:val="none" w:sz="0" w:space="0" w:color="auto"/>
        <w:right w:val="none" w:sz="0" w:space="0" w:color="auto"/>
      </w:divBdr>
    </w:div>
    <w:div w:id="75059202">
      <w:bodyDiv w:val="1"/>
      <w:marLeft w:val="0"/>
      <w:marRight w:val="0"/>
      <w:marTop w:val="0"/>
      <w:marBottom w:val="0"/>
      <w:divBdr>
        <w:top w:val="none" w:sz="0" w:space="0" w:color="auto"/>
        <w:left w:val="none" w:sz="0" w:space="0" w:color="auto"/>
        <w:bottom w:val="none" w:sz="0" w:space="0" w:color="auto"/>
        <w:right w:val="none" w:sz="0" w:space="0" w:color="auto"/>
      </w:divBdr>
    </w:div>
    <w:div w:id="84230580">
      <w:bodyDiv w:val="1"/>
      <w:marLeft w:val="0"/>
      <w:marRight w:val="0"/>
      <w:marTop w:val="0"/>
      <w:marBottom w:val="0"/>
      <w:divBdr>
        <w:top w:val="none" w:sz="0" w:space="0" w:color="auto"/>
        <w:left w:val="none" w:sz="0" w:space="0" w:color="auto"/>
        <w:bottom w:val="none" w:sz="0" w:space="0" w:color="auto"/>
        <w:right w:val="none" w:sz="0" w:space="0" w:color="auto"/>
      </w:divBdr>
    </w:div>
    <w:div w:id="89014248">
      <w:bodyDiv w:val="1"/>
      <w:marLeft w:val="0"/>
      <w:marRight w:val="0"/>
      <w:marTop w:val="0"/>
      <w:marBottom w:val="0"/>
      <w:divBdr>
        <w:top w:val="none" w:sz="0" w:space="0" w:color="auto"/>
        <w:left w:val="none" w:sz="0" w:space="0" w:color="auto"/>
        <w:bottom w:val="none" w:sz="0" w:space="0" w:color="auto"/>
        <w:right w:val="none" w:sz="0" w:space="0" w:color="auto"/>
      </w:divBdr>
    </w:div>
    <w:div w:id="94061459">
      <w:bodyDiv w:val="1"/>
      <w:marLeft w:val="0"/>
      <w:marRight w:val="0"/>
      <w:marTop w:val="0"/>
      <w:marBottom w:val="0"/>
      <w:divBdr>
        <w:top w:val="none" w:sz="0" w:space="0" w:color="auto"/>
        <w:left w:val="none" w:sz="0" w:space="0" w:color="auto"/>
        <w:bottom w:val="none" w:sz="0" w:space="0" w:color="auto"/>
        <w:right w:val="none" w:sz="0" w:space="0" w:color="auto"/>
      </w:divBdr>
    </w:div>
    <w:div w:id="98567615">
      <w:bodyDiv w:val="1"/>
      <w:marLeft w:val="0"/>
      <w:marRight w:val="0"/>
      <w:marTop w:val="0"/>
      <w:marBottom w:val="0"/>
      <w:divBdr>
        <w:top w:val="none" w:sz="0" w:space="0" w:color="auto"/>
        <w:left w:val="none" w:sz="0" w:space="0" w:color="auto"/>
        <w:bottom w:val="none" w:sz="0" w:space="0" w:color="auto"/>
        <w:right w:val="none" w:sz="0" w:space="0" w:color="auto"/>
      </w:divBdr>
    </w:div>
    <w:div w:id="112553328">
      <w:bodyDiv w:val="1"/>
      <w:marLeft w:val="0"/>
      <w:marRight w:val="0"/>
      <w:marTop w:val="0"/>
      <w:marBottom w:val="0"/>
      <w:divBdr>
        <w:top w:val="none" w:sz="0" w:space="0" w:color="auto"/>
        <w:left w:val="none" w:sz="0" w:space="0" w:color="auto"/>
        <w:bottom w:val="none" w:sz="0" w:space="0" w:color="auto"/>
        <w:right w:val="none" w:sz="0" w:space="0" w:color="auto"/>
      </w:divBdr>
    </w:div>
    <w:div w:id="113327439">
      <w:bodyDiv w:val="1"/>
      <w:marLeft w:val="0"/>
      <w:marRight w:val="0"/>
      <w:marTop w:val="0"/>
      <w:marBottom w:val="0"/>
      <w:divBdr>
        <w:top w:val="none" w:sz="0" w:space="0" w:color="auto"/>
        <w:left w:val="none" w:sz="0" w:space="0" w:color="auto"/>
        <w:bottom w:val="none" w:sz="0" w:space="0" w:color="auto"/>
        <w:right w:val="none" w:sz="0" w:space="0" w:color="auto"/>
      </w:divBdr>
    </w:div>
    <w:div w:id="114493305">
      <w:bodyDiv w:val="1"/>
      <w:marLeft w:val="0"/>
      <w:marRight w:val="0"/>
      <w:marTop w:val="0"/>
      <w:marBottom w:val="0"/>
      <w:divBdr>
        <w:top w:val="none" w:sz="0" w:space="0" w:color="auto"/>
        <w:left w:val="none" w:sz="0" w:space="0" w:color="auto"/>
        <w:bottom w:val="none" w:sz="0" w:space="0" w:color="auto"/>
        <w:right w:val="none" w:sz="0" w:space="0" w:color="auto"/>
      </w:divBdr>
    </w:div>
    <w:div w:id="140656811">
      <w:bodyDiv w:val="1"/>
      <w:marLeft w:val="0"/>
      <w:marRight w:val="0"/>
      <w:marTop w:val="0"/>
      <w:marBottom w:val="0"/>
      <w:divBdr>
        <w:top w:val="none" w:sz="0" w:space="0" w:color="auto"/>
        <w:left w:val="none" w:sz="0" w:space="0" w:color="auto"/>
        <w:bottom w:val="none" w:sz="0" w:space="0" w:color="auto"/>
        <w:right w:val="none" w:sz="0" w:space="0" w:color="auto"/>
      </w:divBdr>
    </w:div>
    <w:div w:id="162937281">
      <w:bodyDiv w:val="1"/>
      <w:marLeft w:val="0"/>
      <w:marRight w:val="0"/>
      <w:marTop w:val="0"/>
      <w:marBottom w:val="0"/>
      <w:divBdr>
        <w:top w:val="none" w:sz="0" w:space="0" w:color="auto"/>
        <w:left w:val="none" w:sz="0" w:space="0" w:color="auto"/>
        <w:bottom w:val="none" w:sz="0" w:space="0" w:color="auto"/>
        <w:right w:val="none" w:sz="0" w:space="0" w:color="auto"/>
      </w:divBdr>
    </w:div>
    <w:div w:id="174612537">
      <w:bodyDiv w:val="1"/>
      <w:marLeft w:val="0"/>
      <w:marRight w:val="0"/>
      <w:marTop w:val="0"/>
      <w:marBottom w:val="0"/>
      <w:divBdr>
        <w:top w:val="none" w:sz="0" w:space="0" w:color="auto"/>
        <w:left w:val="none" w:sz="0" w:space="0" w:color="auto"/>
        <w:bottom w:val="none" w:sz="0" w:space="0" w:color="auto"/>
        <w:right w:val="none" w:sz="0" w:space="0" w:color="auto"/>
      </w:divBdr>
    </w:div>
    <w:div w:id="176123020">
      <w:bodyDiv w:val="1"/>
      <w:marLeft w:val="0"/>
      <w:marRight w:val="0"/>
      <w:marTop w:val="0"/>
      <w:marBottom w:val="0"/>
      <w:divBdr>
        <w:top w:val="none" w:sz="0" w:space="0" w:color="auto"/>
        <w:left w:val="none" w:sz="0" w:space="0" w:color="auto"/>
        <w:bottom w:val="none" w:sz="0" w:space="0" w:color="auto"/>
        <w:right w:val="none" w:sz="0" w:space="0" w:color="auto"/>
      </w:divBdr>
    </w:div>
    <w:div w:id="186527330">
      <w:bodyDiv w:val="1"/>
      <w:marLeft w:val="0"/>
      <w:marRight w:val="0"/>
      <w:marTop w:val="0"/>
      <w:marBottom w:val="0"/>
      <w:divBdr>
        <w:top w:val="none" w:sz="0" w:space="0" w:color="auto"/>
        <w:left w:val="none" w:sz="0" w:space="0" w:color="auto"/>
        <w:bottom w:val="none" w:sz="0" w:space="0" w:color="auto"/>
        <w:right w:val="none" w:sz="0" w:space="0" w:color="auto"/>
      </w:divBdr>
    </w:div>
    <w:div w:id="189417492">
      <w:bodyDiv w:val="1"/>
      <w:marLeft w:val="0"/>
      <w:marRight w:val="0"/>
      <w:marTop w:val="0"/>
      <w:marBottom w:val="0"/>
      <w:divBdr>
        <w:top w:val="none" w:sz="0" w:space="0" w:color="auto"/>
        <w:left w:val="none" w:sz="0" w:space="0" w:color="auto"/>
        <w:bottom w:val="none" w:sz="0" w:space="0" w:color="auto"/>
        <w:right w:val="none" w:sz="0" w:space="0" w:color="auto"/>
      </w:divBdr>
    </w:div>
    <w:div w:id="192379221">
      <w:bodyDiv w:val="1"/>
      <w:marLeft w:val="0"/>
      <w:marRight w:val="0"/>
      <w:marTop w:val="0"/>
      <w:marBottom w:val="0"/>
      <w:divBdr>
        <w:top w:val="none" w:sz="0" w:space="0" w:color="auto"/>
        <w:left w:val="none" w:sz="0" w:space="0" w:color="auto"/>
        <w:bottom w:val="none" w:sz="0" w:space="0" w:color="auto"/>
        <w:right w:val="none" w:sz="0" w:space="0" w:color="auto"/>
      </w:divBdr>
    </w:div>
    <w:div w:id="192813137">
      <w:bodyDiv w:val="1"/>
      <w:marLeft w:val="0"/>
      <w:marRight w:val="0"/>
      <w:marTop w:val="0"/>
      <w:marBottom w:val="0"/>
      <w:divBdr>
        <w:top w:val="none" w:sz="0" w:space="0" w:color="auto"/>
        <w:left w:val="none" w:sz="0" w:space="0" w:color="auto"/>
        <w:bottom w:val="none" w:sz="0" w:space="0" w:color="auto"/>
        <w:right w:val="none" w:sz="0" w:space="0" w:color="auto"/>
      </w:divBdr>
    </w:div>
    <w:div w:id="197400582">
      <w:bodyDiv w:val="1"/>
      <w:marLeft w:val="0"/>
      <w:marRight w:val="0"/>
      <w:marTop w:val="0"/>
      <w:marBottom w:val="0"/>
      <w:divBdr>
        <w:top w:val="none" w:sz="0" w:space="0" w:color="auto"/>
        <w:left w:val="none" w:sz="0" w:space="0" w:color="auto"/>
        <w:bottom w:val="none" w:sz="0" w:space="0" w:color="auto"/>
        <w:right w:val="none" w:sz="0" w:space="0" w:color="auto"/>
      </w:divBdr>
    </w:div>
    <w:div w:id="212081069">
      <w:bodyDiv w:val="1"/>
      <w:marLeft w:val="0"/>
      <w:marRight w:val="0"/>
      <w:marTop w:val="0"/>
      <w:marBottom w:val="0"/>
      <w:divBdr>
        <w:top w:val="none" w:sz="0" w:space="0" w:color="auto"/>
        <w:left w:val="none" w:sz="0" w:space="0" w:color="auto"/>
        <w:bottom w:val="none" w:sz="0" w:space="0" w:color="auto"/>
        <w:right w:val="none" w:sz="0" w:space="0" w:color="auto"/>
      </w:divBdr>
    </w:div>
    <w:div w:id="242379440">
      <w:bodyDiv w:val="1"/>
      <w:marLeft w:val="0"/>
      <w:marRight w:val="0"/>
      <w:marTop w:val="0"/>
      <w:marBottom w:val="0"/>
      <w:divBdr>
        <w:top w:val="none" w:sz="0" w:space="0" w:color="auto"/>
        <w:left w:val="none" w:sz="0" w:space="0" w:color="auto"/>
        <w:bottom w:val="none" w:sz="0" w:space="0" w:color="auto"/>
        <w:right w:val="none" w:sz="0" w:space="0" w:color="auto"/>
      </w:divBdr>
    </w:div>
    <w:div w:id="258147091">
      <w:bodyDiv w:val="1"/>
      <w:marLeft w:val="0"/>
      <w:marRight w:val="0"/>
      <w:marTop w:val="0"/>
      <w:marBottom w:val="0"/>
      <w:divBdr>
        <w:top w:val="none" w:sz="0" w:space="0" w:color="auto"/>
        <w:left w:val="none" w:sz="0" w:space="0" w:color="auto"/>
        <w:bottom w:val="none" w:sz="0" w:space="0" w:color="auto"/>
        <w:right w:val="none" w:sz="0" w:space="0" w:color="auto"/>
      </w:divBdr>
    </w:div>
    <w:div w:id="260068291">
      <w:bodyDiv w:val="1"/>
      <w:marLeft w:val="0"/>
      <w:marRight w:val="0"/>
      <w:marTop w:val="0"/>
      <w:marBottom w:val="0"/>
      <w:divBdr>
        <w:top w:val="none" w:sz="0" w:space="0" w:color="auto"/>
        <w:left w:val="none" w:sz="0" w:space="0" w:color="auto"/>
        <w:bottom w:val="none" w:sz="0" w:space="0" w:color="auto"/>
        <w:right w:val="none" w:sz="0" w:space="0" w:color="auto"/>
      </w:divBdr>
    </w:div>
    <w:div w:id="268510271">
      <w:bodyDiv w:val="1"/>
      <w:marLeft w:val="0"/>
      <w:marRight w:val="0"/>
      <w:marTop w:val="0"/>
      <w:marBottom w:val="0"/>
      <w:divBdr>
        <w:top w:val="none" w:sz="0" w:space="0" w:color="auto"/>
        <w:left w:val="none" w:sz="0" w:space="0" w:color="auto"/>
        <w:bottom w:val="none" w:sz="0" w:space="0" w:color="auto"/>
        <w:right w:val="none" w:sz="0" w:space="0" w:color="auto"/>
      </w:divBdr>
    </w:div>
    <w:div w:id="270744634">
      <w:bodyDiv w:val="1"/>
      <w:marLeft w:val="0"/>
      <w:marRight w:val="0"/>
      <w:marTop w:val="0"/>
      <w:marBottom w:val="0"/>
      <w:divBdr>
        <w:top w:val="none" w:sz="0" w:space="0" w:color="auto"/>
        <w:left w:val="none" w:sz="0" w:space="0" w:color="auto"/>
        <w:bottom w:val="none" w:sz="0" w:space="0" w:color="auto"/>
        <w:right w:val="none" w:sz="0" w:space="0" w:color="auto"/>
      </w:divBdr>
    </w:div>
    <w:div w:id="278531616">
      <w:bodyDiv w:val="1"/>
      <w:marLeft w:val="0"/>
      <w:marRight w:val="0"/>
      <w:marTop w:val="0"/>
      <w:marBottom w:val="0"/>
      <w:divBdr>
        <w:top w:val="none" w:sz="0" w:space="0" w:color="auto"/>
        <w:left w:val="none" w:sz="0" w:space="0" w:color="auto"/>
        <w:bottom w:val="none" w:sz="0" w:space="0" w:color="auto"/>
        <w:right w:val="none" w:sz="0" w:space="0" w:color="auto"/>
      </w:divBdr>
    </w:div>
    <w:div w:id="289824470">
      <w:bodyDiv w:val="1"/>
      <w:marLeft w:val="0"/>
      <w:marRight w:val="0"/>
      <w:marTop w:val="0"/>
      <w:marBottom w:val="0"/>
      <w:divBdr>
        <w:top w:val="none" w:sz="0" w:space="0" w:color="auto"/>
        <w:left w:val="none" w:sz="0" w:space="0" w:color="auto"/>
        <w:bottom w:val="none" w:sz="0" w:space="0" w:color="auto"/>
        <w:right w:val="none" w:sz="0" w:space="0" w:color="auto"/>
      </w:divBdr>
    </w:div>
    <w:div w:id="320698061">
      <w:bodyDiv w:val="1"/>
      <w:marLeft w:val="0"/>
      <w:marRight w:val="0"/>
      <w:marTop w:val="0"/>
      <w:marBottom w:val="0"/>
      <w:divBdr>
        <w:top w:val="none" w:sz="0" w:space="0" w:color="auto"/>
        <w:left w:val="none" w:sz="0" w:space="0" w:color="auto"/>
        <w:bottom w:val="none" w:sz="0" w:space="0" w:color="auto"/>
        <w:right w:val="none" w:sz="0" w:space="0" w:color="auto"/>
      </w:divBdr>
    </w:div>
    <w:div w:id="323438398">
      <w:bodyDiv w:val="1"/>
      <w:marLeft w:val="0"/>
      <w:marRight w:val="0"/>
      <w:marTop w:val="0"/>
      <w:marBottom w:val="0"/>
      <w:divBdr>
        <w:top w:val="none" w:sz="0" w:space="0" w:color="auto"/>
        <w:left w:val="none" w:sz="0" w:space="0" w:color="auto"/>
        <w:bottom w:val="none" w:sz="0" w:space="0" w:color="auto"/>
        <w:right w:val="none" w:sz="0" w:space="0" w:color="auto"/>
      </w:divBdr>
    </w:div>
    <w:div w:id="324819930">
      <w:bodyDiv w:val="1"/>
      <w:marLeft w:val="0"/>
      <w:marRight w:val="0"/>
      <w:marTop w:val="0"/>
      <w:marBottom w:val="0"/>
      <w:divBdr>
        <w:top w:val="none" w:sz="0" w:space="0" w:color="auto"/>
        <w:left w:val="none" w:sz="0" w:space="0" w:color="auto"/>
        <w:bottom w:val="none" w:sz="0" w:space="0" w:color="auto"/>
        <w:right w:val="none" w:sz="0" w:space="0" w:color="auto"/>
      </w:divBdr>
    </w:div>
    <w:div w:id="335617734">
      <w:bodyDiv w:val="1"/>
      <w:marLeft w:val="0"/>
      <w:marRight w:val="0"/>
      <w:marTop w:val="0"/>
      <w:marBottom w:val="0"/>
      <w:divBdr>
        <w:top w:val="none" w:sz="0" w:space="0" w:color="auto"/>
        <w:left w:val="none" w:sz="0" w:space="0" w:color="auto"/>
        <w:bottom w:val="none" w:sz="0" w:space="0" w:color="auto"/>
        <w:right w:val="none" w:sz="0" w:space="0" w:color="auto"/>
      </w:divBdr>
    </w:div>
    <w:div w:id="337118061">
      <w:bodyDiv w:val="1"/>
      <w:marLeft w:val="0"/>
      <w:marRight w:val="0"/>
      <w:marTop w:val="0"/>
      <w:marBottom w:val="0"/>
      <w:divBdr>
        <w:top w:val="none" w:sz="0" w:space="0" w:color="auto"/>
        <w:left w:val="none" w:sz="0" w:space="0" w:color="auto"/>
        <w:bottom w:val="none" w:sz="0" w:space="0" w:color="auto"/>
        <w:right w:val="none" w:sz="0" w:space="0" w:color="auto"/>
      </w:divBdr>
    </w:div>
    <w:div w:id="339434876">
      <w:bodyDiv w:val="1"/>
      <w:marLeft w:val="0"/>
      <w:marRight w:val="0"/>
      <w:marTop w:val="0"/>
      <w:marBottom w:val="0"/>
      <w:divBdr>
        <w:top w:val="none" w:sz="0" w:space="0" w:color="auto"/>
        <w:left w:val="none" w:sz="0" w:space="0" w:color="auto"/>
        <w:bottom w:val="none" w:sz="0" w:space="0" w:color="auto"/>
        <w:right w:val="none" w:sz="0" w:space="0" w:color="auto"/>
      </w:divBdr>
    </w:div>
    <w:div w:id="345210811">
      <w:bodyDiv w:val="1"/>
      <w:marLeft w:val="0"/>
      <w:marRight w:val="0"/>
      <w:marTop w:val="0"/>
      <w:marBottom w:val="0"/>
      <w:divBdr>
        <w:top w:val="none" w:sz="0" w:space="0" w:color="auto"/>
        <w:left w:val="none" w:sz="0" w:space="0" w:color="auto"/>
        <w:bottom w:val="none" w:sz="0" w:space="0" w:color="auto"/>
        <w:right w:val="none" w:sz="0" w:space="0" w:color="auto"/>
      </w:divBdr>
    </w:div>
    <w:div w:id="350224502">
      <w:bodyDiv w:val="1"/>
      <w:marLeft w:val="0"/>
      <w:marRight w:val="0"/>
      <w:marTop w:val="0"/>
      <w:marBottom w:val="0"/>
      <w:divBdr>
        <w:top w:val="none" w:sz="0" w:space="0" w:color="auto"/>
        <w:left w:val="none" w:sz="0" w:space="0" w:color="auto"/>
        <w:bottom w:val="none" w:sz="0" w:space="0" w:color="auto"/>
        <w:right w:val="none" w:sz="0" w:space="0" w:color="auto"/>
      </w:divBdr>
    </w:div>
    <w:div w:id="351494173">
      <w:bodyDiv w:val="1"/>
      <w:marLeft w:val="0"/>
      <w:marRight w:val="0"/>
      <w:marTop w:val="0"/>
      <w:marBottom w:val="0"/>
      <w:divBdr>
        <w:top w:val="none" w:sz="0" w:space="0" w:color="auto"/>
        <w:left w:val="none" w:sz="0" w:space="0" w:color="auto"/>
        <w:bottom w:val="none" w:sz="0" w:space="0" w:color="auto"/>
        <w:right w:val="none" w:sz="0" w:space="0" w:color="auto"/>
      </w:divBdr>
    </w:div>
    <w:div w:id="356857683">
      <w:bodyDiv w:val="1"/>
      <w:marLeft w:val="0"/>
      <w:marRight w:val="0"/>
      <w:marTop w:val="0"/>
      <w:marBottom w:val="0"/>
      <w:divBdr>
        <w:top w:val="none" w:sz="0" w:space="0" w:color="auto"/>
        <w:left w:val="none" w:sz="0" w:space="0" w:color="auto"/>
        <w:bottom w:val="none" w:sz="0" w:space="0" w:color="auto"/>
        <w:right w:val="none" w:sz="0" w:space="0" w:color="auto"/>
      </w:divBdr>
    </w:div>
    <w:div w:id="359815722">
      <w:bodyDiv w:val="1"/>
      <w:marLeft w:val="0"/>
      <w:marRight w:val="0"/>
      <w:marTop w:val="0"/>
      <w:marBottom w:val="0"/>
      <w:divBdr>
        <w:top w:val="none" w:sz="0" w:space="0" w:color="auto"/>
        <w:left w:val="none" w:sz="0" w:space="0" w:color="auto"/>
        <w:bottom w:val="none" w:sz="0" w:space="0" w:color="auto"/>
        <w:right w:val="none" w:sz="0" w:space="0" w:color="auto"/>
      </w:divBdr>
    </w:div>
    <w:div w:id="380373915">
      <w:bodyDiv w:val="1"/>
      <w:marLeft w:val="0"/>
      <w:marRight w:val="0"/>
      <w:marTop w:val="0"/>
      <w:marBottom w:val="0"/>
      <w:divBdr>
        <w:top w:val="none" w:sz="0" w:space="0" w:color="auto"/>
        <w:left w:val="none" w:sz="0" w:space="0" w:color="auto"/>
        <w:bottom w:val="none" w:sz="0" w:space="0" w:color="auto"/>
        <w:right w:val="none" w:sz="0" w:space="0" w:color="auto"/>
      </w:divBdr>
    </w:div>
    <w:div w:id="381367783">
      <w:bodyDiv w:val="1"/>
      <w:marLeft w:val="0"/>
      <w:marRight w:val="0"/>
      <w:marTop w:val="0"/>
      <w:marBottom w:val="0"/>
      <w:divBdr>
        <w:top w:val="none" w:sz="0" w:space="0" w:color="auto"/>
        <w:left w:val="none" w:sz="0" w:space="0" w:color="auto"/>
        <w:bottom w:val="none" w:sz="0" w:space="0" w:color="auto"/>
        <w:right w:val="none" w:sz="0" w:space="0" w:color="auto"/>
      </w:divBdr>
    </w:div>
    <w:div w:id="423577090">
      <w:bodyDiv w:val="1"/>
      <w:marLeft w:val="0"/>
      <w:marRight w:val="0"/>
      <w:marTop w:val="0"/>
      <w:marBottom w:val="0"/>
      <w:divBdr>
        <w:top w:val="none" w:sz="0" w:space="0" w:color="auto"/>
        <w:left w:val="none" w:sz="0" w:space="0" w:color="auto"/>
        <w:bottom w:val="none" w:sz="0" w:space="0" w:color="auto"/>
        <w:right w:val="none" w:sz="0" w:space="0" w:color="auto"/>
      </w:divBdr>
    </w:div>
    <w:div w:id="429813343">
      <w:bodyDiv w:val="1"/>
      <w:marLeft w:val="0"/>
      <w:marRight w:val="0"/>
      <w:marTop w:val="0"/>
      <w:marBottom w:val="0"/>
      <w:divBdr>
        <w:top w:val="none" w:sz="0" w:space="0" w:color="auto"/>
        <w:left w:val="none" w:sz="0" w:space="0" w:color="auto"/>
        <w:bottom w:val="none" w:sz="0" w:space="0" w:color="auto"/>
        <w:right w:val="none" w:sz="0" w:space="0" w:color="auto"/>
      </w:divBdr>
    </w:div>
    <w:div w:id="451870743">
      <w:bodyDiv w:val="1"/>
      <w:marLeft w:val="0"/>
      <w:marRight w:val="0"/>
      <w:marTop w:val="0"/>
      <w:marBottom w:val="0"/>
      <w:divBdr>
        <w:top w:val="none" w:sz="0" w:space="0" w:color="auto"/>
        <w:left w:val="none" w:sz="0" w:space="0" w:color="auto"/>
        <w:bottom w:val="none" w:sz="0" w:space="0" w:color="auto"/>
        <w:right w:val="none" w:sz="0" w:space="0" w:color="auto"/>
      </w:divBdr>
    </w:div>
    <w:div w:id="455410537">
      <w:bodyDiv w:val="1"/>
      <w:marLeft w:val="0"/>
      <w:marRight w:val="0"/>
      <w:marTop w:val="0"/>
      <w:marBottom w:val="0"/>
      <w:divBdr>
        <w:top w:val="none" w:sz="0" w:space="0" w:color="auto"/>
        <w:left w:val="none" w:sz="0" w:space="0" w:color="auto"/>
        <w:bottom w:val="none" w:sz="0" w:space="0" w:color="auto"/>
        <w:right w:val="none" w:sz="0" w:space="0" w:color="auto"/>
      </w:divBdr>
    </w:div>
    <w:div w:id="462625231">
      <w:bodyDiv w:val="1"/>
      <w:marLeft w:val="0"/>
      <w:marRight w:val="0"/>
      <w:marTop w:val="0"/>
      <w:marBottom w:val="0"/>
      <w:divBdr>
        <w:top w:val="none" w:sz="0" w:space="0" w:color="auto"/>
        <w:left w:val="none" w:sz="0" w:space="0" w:color="auto"/>
        <w:bottom w:val="none" w:sz="0" w:space="0" w:color="auto"/>
        <w:right w:val="none" w:sz="0" w:space="0" w:color="auto"/>
      </w:divBdr>
    </w:div>
    <w:div w:id="465972555">
      <w:bodyDiv w:val="1"/>
      <w:marLeft w:val="0"/>
      <w:marRight w:val="0"/>
      <w:marTop w:val="0"/>
      <w:marBottom w:val="0"/>
      <w:divBdr>
        <w:top w:val="none" w:sz="0" w:space="0" w:color="auto"/>
        <w:left w:val="none" w:sz="0" w:space="0" w:color="auto"/>
        <w:bottom w:val="none" w:sz="0" w:space="0" w:color="auto"/>
        <w:right w:val="none" w:sz="0" w:space="0" w:color="auto"/>
      </w:divBdr>
    </w:div>
    <w:div w:id="485586297">
      <w:bodyDiv w:val="1"/>
      <w:marLeft w:val="0"/>
      <w:marRight w:val="0"/>
      <w:marTop w:val="0"/>
      <w:marBottom w:val="0"/>
      <w:divBdr>
        <w:top w:val="none" w:sz="0" w:space="0" w:color="auto"/>
        <w:left w:val="none" w:sz="0" w:space="0" w:color="auto"/>
        <w:bottom w:val="none" w:sz="0" w:space="0" w:color="auto"/>
        <w:right w:val="none" w:sz="0" w:space="0" w:color="auto"/>
      </w:divBdr>
    </w:div>
    <w:div w:id="488056358">
      <w:bodyDiv w:val="1"/>
      <w:marLeft w:val="0"/>
      <w:marRight w:val="0"/>
      <w:marTop w:val="0"/>
      <w:marBottom w:val="0"/>
      <w:divBdr>
        <w:top w:val="none" w:sz="0" w:space="0" w:color="auto"/>
        <w:left w:val="none" w:sz="0" w:space="0" w:color="auto"/>
        <w:bottom w:val="none" w:sz="0" w:space="0" w:color="auto"/>
        <w:right w:val="none" w:sz="0" w:space="0" w:color="auto"/>
      </w:divBdr>
    </w:div>
    <w:div w:id="493373588">
      <w:bodyDiv w:val="1"/>
      <w:marLeft w:val="0"/>
      <w:marRight w:val="0"/>
      <w:marTop w:val="0"/>
      <w:marBottom w:val="0"/>
      <w:divBdr>
        <w:top w:val="none" w:sz="0" w:space="0" w:color="auto"/>
        <w:left w:val="none" w:sz="0" w:space="0" w:color="auto"/>
        <w:bottom w:val="none" w:sz="0" w:space="0" w:color="auto"/>
        <w:right w:val="none" w:sz="0" w:space="0" w:color="auto"/>
      </w:divBdr>
    </w:div>
    <w:div w:id="493491036">
      <w:bodyDiv w:val="1"/>
      <w:marLeft w:val="0"/>
      <w:marRight w:val="0"/>
      <w:marTop w:val="0"/>
      <w:marBottom w:val="0"/>
      <w:divBdr>
        <w:top w:val="none" w:sz="0" w:space="0" w:color="auto"/>
        <w:left w:val="none" w:sz="0" w:space="0" w:color="auto"/>
        <w:bottom w:val="none" w:sz="0" w:space="0" w:color="auto"/>
        <w:right w:val="none" w:sz="0" w:space="0" w:color="auto"/>
      </w:divBdr>
    </w:div>
    <w:div w:id="495461935">
      <w:bodyDiv w:val="1"/>
      <w:marLeft w:val="0"/>
      <w:marRight w:val="0"/>
      <w:marTop w:val="0"/>
      <w:marBottom w:val="0"/>
      <w:divBdr>
        <w:top w:val="none" w:sz="0" w:space="0" w:color="auto"/>
        <w:left w:val="none" w:sz="0" w:space="0" w:color="auto"/>
        <w:bottom w:val="none" w:sz="0" w:space="0" w:color="auto"/>
        <w:right w:val="none" w:sz="0" w:space="0" w:color="auto"/>
      </w:divBdr>
    </w:div>
    <w:div w:id="499396401">
      <w:bodyDiv w:val="1"/>
      <w:marLeft w:val="0"/>
      <w:marRight w:val="0"/>
      <w:marTop w:val="0"/>
      <w:marBottom w:val="0"/>
      <w:divBdr>
        <w:top w:val="none" w:sz="0" w:space="0" w:color="auto"/>
        <w:left w:val="none" w:sz="0" w:space="0" w:color="auto"/>
        <w:bottom w:val="none" w:sz="0" w:space="0" w:color="auto"/>
        <w:right w:val="none" w:sz="0" w:space="0" w:color="auto"/>
      </w:divBdr>
    </w:div>
    <w:div w:id="514657415">
      <w:bodyDiv w:val="1"/>
      <w:marLeft w:val="0"/>
      <w:marRight w:val="0"/>
      <w:marTop w:val="0"/>
      <w:marBottom w:val="0"/>
      <w:divBdr>
        <w:top w:val="none" w:sz="0" w:space="0" w:color="auto"/>
        <w:left w:val="none" w:sz="0" w:space="0" w:color="auto"/>
        <w:bottom w:val="none" w:sz="0" w:space="0" w:color="auto"/>
        <w:right w:val="none" w:sz="0" w:space="0" w:color="auto"/>
      </w:divBdr>
    </w:div>
    <w:div w:id="515655489">
      <w:bodyDiv w:val="1"/>
      <w:marLeft w:val="0"/>
      <w:marRight w:val="0"/>
      <w:marTop w:val="0"/>
      <w:marBottom w:val="0"/>
      <w:divBdr>
        <w:top w:val="none" w:sz="0" w:space="0" w:color="auto"/>
        <w:left w:val="none" w:sz="0" w:space="0" w:color="auto"/>
        <w:bottom w:val="none" w:sz="0" w:space="0" w:color="auto"/>
        <w:right w:val="none" w:sz="0" w:space="0" w:color="auto"/>
      </w:divBdr>
    </w:div>
    <w:div w:id="530263252">
      <w:bodyDiv w:val="1"/>
      <w:marLeft w:val="0"/>
      <w:marRight w:val="0"/>
      <w:marTop w:val="0"/>
      <w:marBottom w:val="0"/>
      <w:divBdr>
        <w:top w:val="none" w:sz="0" w:space="0" w:color="auto"/>
        <w:left w:val="none" w:sz="0" w:space="0" w:color="auto"/>
        <w:bottom w:val="none" w:sz="0" w:space="0" w:color="auto"/>
        <w:right w:val="none" w:sz="0" w:space="0" w:color="auto"/>
      </w:divBdr>
    </w:div>
    <w:div w:id="535045214">
      <w:bodyDiv w:val="1"/>
      <w:marLeft w:val="0"/>
      <w:marRight w:val="0"/>
      <w:marTop w:val="0"/>
      <w:marBottom w:val="0"/>
      <w:divBdr>
        <w:top w:val="none" w:sz="0" w:space="0" w:color="auto"/>
        <w:left w:val="none" w:sz="0" w:space="0" w:color="auto"/>
        <w:bottom w:val="none" w:sz="0" w:space="0" w:color="auto"/>
        <w:right w:val="none" w:sz="0" w:space="0" w:color="auto"/>
      </w:divBdr>
    </w:div>
    <w:div w:id="541870000">
      <w:bodyDiv w:val="1"/>
      <w:marLeft w:val="0"/>
      <w:marRight w:val="0"/>
      <w:marTop w:val="0"/>
      <w:marBottom w:val="0"/>
      <w:divBdr>
        <w:top w:val="none" w:sz="0" w:space="0" w:color="auto"/>
        <w:left w:val="none" w:sz="0" w:space="0" w:color="auto"/>
        <w:bottom w:val="none" w:sz="0" w:space="0" w:color="auto"/>
        <w:right w:val="none" w:sz="0" w:space="0" w:color="auto"/>
      </w:divBdr>
    </w:div>
    <w:div w:id="549415333">
      <w:bodyDiv w:val="1"/>
      <w:marLeft w:val="0"/>
      <w:marRight w:val="0"/>
      <w:marTop w:val="0"/>
      <w:marBottom w:val="0"/>
      <w:divBdr>
        <w:top w:val="none" w:sz="0" w:space="0" w:color="auto"/>
        <w:left w:val="none" w:sz="0" w:space="0" w:color="auto"/>
        <w:bottom w:val="none" w:sz="0" w:space="0" w:color="auto"/>
        <w:right w:val="none" w:sz="0" w:space="0" w:color="auto"/>
      </w:divBdr>
    </w:div>
    <w:div w:id="557280221">
      <w:bodyDiv w:val="1"/>
      <w:marLeft w:val="0"/>
      <w:marRight w:val="0"/>
      <w:marTop w:val="0"/>
      <w:marBottom w:val="0"/>
      <w:divBdr>
        <w:top w:val="none" w:sz="0" w:space="0" w:color="auto"/>
        <w:left w:val="none" w:sz="0" w:space="0" w:color="auto"/>
        <w:bottom w:val="none" w:sz="0" w:space="0" w:color="auto"/>
        <w:right w:val="none" w:sz="0" w:space="0" w:color="auto"/>
      </w:divBdr>
    </w:div>
    <w:div w:id="591938090">
      <w:bodyDiv w:val="1"/>
      <w:marLeft w:val="0"/>
      <w:marRight w:val="0"/>
      <w:marTop w:val="0"/>
      <w:marBottom w:val="0"/>
      <w:divBdr>
        <w:top w:val="none" w:sz="0" w:space="0" w:color="auto"/>
        <w:left w:val="none" w:sz="0" w:space="0" w:color="auto"/>
        <w:bottom w:val="none" w:sz="0" w:space="0" w:color="auto"/>
        <w:right w:val="none" w:sz="0" w:space="0" w:color="auto"/>
      </w:divBdr>
    </w:div>
    <w:div w:id="598367840">
      <w:bodyDiv w:val="1"/>
      <w:marLeft w:val="0"/>
      <w:marRight w:val="0"/>
      <w:marTop w:val="0"/>
      <w:marBottom w:val="0"/>
      <w:divBdr>
        <w:top w:val="none" w:sz="0" w:space="0" w:color="auto"/>
        <w:left w:val="none" w:sz="0" w:space="0" w:color="auto"/>
        <w:bottom w:val="none" w:sz="0" w:space="0" w:color="auto"/>
        <w:right w:val="none" w:sz="0" w:space="0" w:color="auto"/>
      </w:divBdr>
    </w:div>
    <w:div w:id="604196617">
      <w:bodyDiv w:val="1"/>
      <w:marLeft w:val="0"/>
      <w:marRight w:val="0"/>
      <w:marTop w:val="0"/>
      <w:marBottom w:val="0"/>
      <w:divBdr>
        <w:top w:val="none" w:sz="0" w:space="0" w:color="auto"/>
        <w:left w:val="none" w:sz="0" w:space="0" w:color="auto"/>
        <w:bottom w:val="none" w:sz="0" w:space="0" w:color="auto"/>
        <w:right w:val="none" w:sz="0" w:space="0" w:color="auto"/>
      </w:divBdr>
    </w:div>
    <w:div w:id="610942372">
      <w:bodyDiv w:val="1"/>
      <w:marLeft w:val="0"/>
      <w:marRight w:val="0"/>
      <w:marTop w:val="0"/>
      <w:marBottom w:val="0"/>
      <w:divBdr>
        <w:top w:val="none" w:sz="0" w:space="0" w:color="auto"/>
        <w:left w:val="none" w:sz="0" w:space="0" w:color="auto"/>
        <w:bottom w:val="none" w:sz="0" w:space="0" w:color="auto"/>
        <w:right w:val="none" w:sz="0" w:space="0" w:color="auto"/>
      </w:divBdr>
    </w:div>
    <w:div w:id="628705492">
      <w:bodyDiv w:val="1"/>
      <w:marLeft w:val="0"/>
      <w:marRight w:val="0"/>
      <w:marTop w:val="0"/>
      <w:marBottom w:val="0"/>
      <w:divBdr>
        <w:top w:val="none" w:sz="0" w:space="0" w:color="auto"/>
        <w:left w:val="none" w:sz="0" w:space="0" w:color="auto"/>
        <w:bottom w:val="none" w:sz="0" w:space="0" w:color="auto"/>
        <w:right w:val="none" w:sz="0" w:space="0" w:color="auto"/>
      </w:divBdr>
    </w:div>
    <w:div w:id="635381908">
      <w:bodyDiv w:val="1"/>
      <w:marLeft w:val="0"/>
      <w:marRight w:val="0"/>
      <w:marTop w:val="0"/>
      <w:marBottom w:val="0"/>
      <w:divBdr>
        <w:top w:val="none" w:sz="0" w:space="0" w:color="auto"/>
        <w:left w:val="none" w:sz="0" w:space="0" w:color="auto"/>
        <w:bottom w:val="none" w:sz="0" w:space="0" w:color="auto"/>
        <w:right w:val="none" w:sz="0" w:space="0" w:color="auto"/>
      </w:divBdr>
    </w:div>
    <w:div w:id="674234613">
      <w:bodyDiv w:val="1"/>
      <w:marLeft w:val="0"/>
      <w:marRight w:val="0"/>
      <w:marTop w:val="0"/>
      <w:marBottom w:val="0"/>
      <w:divBdr>
        <w:top w:val="none" w:sz="0" w:space="0" w:color="auto"/>
        <w:left w:val="none" w:sz="0" w:space="0" w:color="auto"/>
        <w:bottom w:val="none" w:sz="0" w:space="0" w:color="auto"/>
        <w:right w:val="none" w:sz="0" w:space="0" w:color="auto"/>
      </w:divBdr>
    </w:div>
    <w:div w:id="686100977">
      <w:bodyDiv w:val="1"/>
      <w:marLeft w:val="0"/>
      <w:marRight w:val="0"/>
      <w:marTop w:val="0"/>
      <w:marBottom w:val="0"/>
      <w:divBdr>
        <w:top w:val="none" w:sz="0" w:space="0" w:color="auto"/>
        <w:left w:val="none" w:sz="0" w:space="0" w:color="auto"/>
        <w:bottom w:val="none" w:sz="0" w:space="0" w:color="auto"/>
        <w:right w:val="none" w:sz="0" w:space="0" w:color="auto"/>
      </w:divBdr>
    </w:div>
    <w:div w:id="694501341">
      <w:bodyDiv w:val="1"/>
      <w:marLeft w:val="0"/>
      <w:marRight w:val="0"/>
      <w:marTop w:val="0"/>
      <w:marBottom w:val="0"/>
      <w:divBdr>
        <w:top w:val="none" w:sz="0" w:space="0" w:color="auto"/>
        <w:left w:val="none" w:sz="0" w:space="0" w:color="auto"/>
        <w:bottom w:val="none" w:sz="0" w:space="0" w:color="auto"/>
        <w:right w:val="none" w:sz="0" w:space="0" w:color="auto"/>
      </w:divBdr>
    </w:div>
    <w:div w:id="723679935">
      <w:bodyDiv w:val="1"/>
      <w:marLeft w:val="0"/>
      <w:marRight w:val="0"/>
      <w:marTop w:val="0"/>
      <w:marBottom w:val="0"/>
      <w:divBdr>
        <w:top w:val="none" w:sz="0" w:space="0" w:color="auto"/>
        <w:left w:val="none" w:sz="0" w:space="0" w:color="auto"/>
        <w:bottom w:val="none" w:sz="0" w:space="0" w:color="auto"/>
        <w:right w:val="none" w:sz="0" w:space="0" w:color="auto"/>
      </w:divBdr>
    </w:div>
    <w:div w:id="740100712">
      <w:bodyDiv w:val="1"/>
      <w:marLeft w:val="0"/>
      <w:marRight w:val="0"/>
      <w:marTop w:val="0"/>
      <w:marBottom w:val="0"/>
      <w:divBdr>
        <w:top w:val="none" w:sz="0" w:space="0" w:color="auto"/>
        <w:left w:val="none" w:sz="0" w:space="0" w:color="auto"/>
        <w:bottom w:val="none" w:sz="0" w:space="0" w:color="auto"/>
        <w:right w:val="none" w:sz="0" w:space="0" w:color="auto"/>
      </w:divBdr>
    </w:div>
    <w:div w:id="758521078">
      <w:bodyDiv w:val="1"/>
      <w:marLeft w:val="0"/>
      <w:marRight w:val="0"/>
      <w:marTop w:val="0"/>
      <w:marBottom w:val="0"/>
      <w:divBdr>
        <w:top w:val="none" w:sz="0" w:space="0" w:color="auto"/>
        <w:left w:val="none" w:sz="0" w:space="0" w:color="auto"/>
        <w:bottom w:val="none" w:sz="0" w:space="0" w:color="auto"/>
        <w:right w:val="none" w:sz="0" w:space="0" w:color="auto"/>
      </w:divBdr>
    </w:div>
    <w:div w:id="759908636">
      <w:bodyDiv w:val="1"/>
      <w:marLeft w:val="0"/>
      <w:marRight w:val="0"/>
      <w:marTop w:val="0"/>
      <w:marBottom w:val="0"/>
      <w:divBdr>
        <w:top w:val="none" w:sz="0" w:space="0" w:color="auto"/>
        <w:left w:val="none" w:sz="0" w:space="0" w:color="auto"/>
        <w:bottom w:val="none" w:sz="0" w:space="0" w:color="auto"/>
        <w:right w:val="none" w:sz="0" w:space="0" w:color="auto"/>
      </w:divBdr>
    </w:div>
    <w:div w:id="804203951">
      <w:bodyDiv w:val="1"/>
      <w:marLeft w:val="0"/>
      <w:marRight w:val="0"/>
      <w:marTop w:val="0"/>
      <w:marBottom w:val="0"/>
      <w:divBdr>
        <w:top w:val="none" w:sz="0" w:space="0" w:color="auto"/>
        <w:left w:val="none" w:sz="0" w:space="0" w:color="auto"/>
        <w:bottom w:val="none" w:sz="0" w:space="0" w:color="auto"/>
        <w:right w:val="none" w:sz="0" w:space="0" w:color="auto"/>
      </w:divBdr>
    </w:div>
    <w:div w:id="807862909">
      <w:bodyDiv w:val="1"/>
      <w:marLeft w:val="0"/>
      <w:marRight w:val="0"/>
      <w:marTop w:val="0"/>
      <w:marBottom w:val="0"/>
      <w:divBdr>
        <w:top w:val="none" w:sz="0" w:space="0" w:color="auto"/>
        <w:left w:val="none" w:sz="0" w:space="0" w:color="auto"/>
        <w:bottom w:val="none" w:sz="0" w:space="0" w:color="auto"/>
        <w:right w:val="none" w:sz="0" w:space="0" w:color="auto"/>
      </w:divBdr>
    </w:div>
    <w:div w:id="824205920">
      <w:bodyDiv w:val="1"/>
      <w:marLeft w:val="0"/>
      <w:marRight w:val="0"/>
      <w:marTop w:val="0"/>
      <w:marBottom w:val="0"/>
      <w:divBdr>
        <w:top w:val="none" w:sz="0" w:space="0" w:color="auto"/>
        <w:left w:val="none" w:sz="0" w:space="0" w:color="auto"/>
        <w:bottom w:val="none" w:sz="0" w:space="0" w:color="auto"/>
        <w:right w:val="none" w:sz="0" w:space="0" w:color="auto"/>
      </w:divBdr>
    </w:div>
    <w:div w:id="831333047">
      <w:bodyDiv w:val="1"/>
      <w:marLeft w:val="0"/>
      <w:marRight w:val="0"/>
      <w:marTop w:val="0"/>
      <w:marBottom w:val="0"/>
      <w:divBdr>
        <w:top w:val="none" w:sz="0" w:space="0" w:color="auto"/>
        <w:left w:val="none" w:sz="0" w:space="0" w:color="auto"/>
        <w:bottom w:val="none" w:sz="0" w:space="0" w:color="auto"/>
        <w:right w:val="none" w:sz="0" w:space="0" w:color="auto"/>
      </w:divBdr>
    </w:div>
    <w:div w:id="832063897">
      <w:bodyDiv w:val="1"/>
      <w:marLeft w:val="0"/>
      <w:marRight w:val="0"/>
      <w:marTop w:val="0"/>
      <w:marBottom w:val="0"/>
      <w:divBdr>
        <w:top w:val="none" w:sz="0" w:space="0" w:color="auto"/>
        <w:left w:val="none" w:sz="0" w:space="0" w:color="auto"/>
        <w:bottom w:val="none" w:sz="0" w:space="0" w:color="auto"/>
        <w:right w:val="none" w:sz="0" w:space="0" w:color="auto"/>
      </w:divBdr>
    </w:div>
    <w:div w:id="832377970">
      <w:bodyDiv w:val="1"/>
      <w:marLeft w:val="0"/>
      <w:marRight w:val="0"/>
      <w:marTop w:val="0"/>
      <w:marBottom w:val="0"/>
      <w:divBdr>
        <w:top w:val="none" w:sz="0" w:space="0" w:color="auto"/>
        <w:left w:val="none" w:sz="0" w:space="0" w:color="auto"/>
        <w:bottom w:val="none" w:sz="0" w:space="0" w:color="auto"/>
        <w:right w:val="none" w:sz="0" w:space="0" w:color="auto"/>
      </w:divBdr>
    </w:div>
    <w:div w:id="874733799">
      <w:bodyDiv w:val="1"/>
      <w:marLeft w:val="0"/>
      <w:marRight w:val="0"/>
      <w:marTop w:val="0"/>
      <w:marBottom w:val="0"/>
      <w:divBdr>
        <w:top w:val="none" w:sz="0" w:space="0" w:color="auto"/>
        <w:left w:val="none" w:sz="0" w:space="0" w:color="auto"/>
        <w:bottom w:val="none" w:sz="0" w:space="0" w:color="auto"/>
        <w:right w:val="none" w:sz="0" w:space="0" w:color="auto"/>
      </w:divBdr>
    </w:div>
    <w:div w:id="886645628">
      <w:bodyDiv w:val="1"/>
      <w:marLeft w:val="0"/>
      <w:marRight w:val="0"/>
      <w:marTop w:val="0"/>
      <w:marBottom w:val="0"/>
      <w:divBdr>
        <w:top w:val="none" w:sz="0" w:space="0" w:color="auto"/>
        <w:left w:val="none" w:sz="0" w:space="0" w:color="auto"/>
        <w:bottom w:val="none" w:sz="0" w:space="0" w:color="auto"/>
        <w:right w:val="none" w:sz="0" w:space="0" w:color="auto"/>
      </w:divBdr>
    </w:div>
    <w:div w:id="901331515">
      <w:bodyDiv w:val="1"/>
      <w:marLeft w:val="0"/>
      <w:marRight w:val="0"/>
      <w:marTop w:val="0"/>
      <w:marBottom w:val="0"/>
      <w:divBdr>
        <w:top w:val="none" w:sz="0" w:space="0" w:color="auto"/>
        <w:left w:val="none" w:sz="0" w:space="0" w:color="auto"/>
        <w:bottom w:val="none" w:sz="0" w:space="0" w:color="auto"/>
        <w:right w:val="none" w:sz="0" w:space="0" w:color="auto"/>
      </w:divBdr>
    </w:div>
    <w:div w:id="930624991">
      <w:bodyDiv w:val="1"/>
      <w:marLeft w:val="0"/>
      <w:marRight w:val="0"/>
      <w:marTop w:val="0"/>
      <w:marBottom w:val="0"/>
      <w:divBdr>
        <w:top w:val="none" w:sz="0" w:space="0" w:color="auto"/>
        <w:left w:val="none" w:sz="0" w:space="0" w:color="auto"/>
        <w:bottom w:val="none" w:sz="0" w:space="0" w:color="auto"/>
        <w:right w:val="none" w:sz="0" w:space="0" w:color="auto"/>
      </w:divBdr>
    </w:div>
    <w:div w:id="944465506">
      <w:bodyDiv w:val="1"/>
      <w:marLeft w:val="0"/>
      <w:marRight w:val="0"/>
      <w:marTop w:val="0"/>
      <w:marBottom w:val="0"/>
      <w:divBdr>
        <w:top w:val="none" w:sz="0" w:space="0" w:color="auto"/>
        <w:left w:val="none" w:sz="0" w:space="0" w:color="auto"/>
        <w:bottom w:val="none" w:sz="0" w:space="0" w:color="auto"/>
        <w:right w:val="none" w:sz="0" w:space="0" w:color="auto"/>
      </w:divBdr>
    </w:div>
    <w:div w:id="944506241">
      <w:bodyDiv w:val="1"/>
      <w:marLeft w:val="0"/>
      <w:marRight w:val="0"/>
      <w:marTop w:val="0"/>
      <w:marBottom w:val="0"/>
      <w:divBdr>
        <w:top w:val="none" w:sz="0" w:space="0" w:color="auto"/>
        <w:left w:val="none" w:sz="0" w:space="0" w:color="auto"/>
        <w:bottom w:val="none" w:sz="0" w:space="0" w:color="auto"/>
        <w:right w:val="none" w:sz="0" w:space="0" w:color="auto"/>
      </w:divBdr>
    </w:div>
    <w:div w:id="978268698">
      <w:bodyDiv w:val="1"/>
      <w:marLeft w:val="0"/>
      <w:marRight w:val="0"/>
      <w:marTop w:val="0"/>
      <w:marBottom w:val="0"/>
      <w:divBdr>
        <w:top w:val="none" w:sz="0" w:space="0" w:color="auto"/>
        <w:left w:val="none" w:sz="0" w:space="0" w:color="auto"/>
        <w:bottom w:val="none" w:sz="0" w:space="0" w:color="auto"/>
        <w:right w:val="none" w:sz="0" w:space="0" w:color="auto"/>
      </w:divBdr>
    </w:div>
    <w:div w:id="1011956946">
      <w:bodyDiv w:val="1"/>
      <w:marLeft w:val="0"/>
      <w:marRight w:val="0"/>
      <w:marTop w:val="0"/>
      <w:marBottom w:val="0"/>
      <w:divBdr>
        <w:top w:val="none" w:sz="0" w:space="0" w:color="auto"/>
        <w:left w:val="none" w:sz="0" w:space="0" w:color="auto"/>
        <w:bottom w:val="none" w:sz="0" w:space="0" w:color="auto"/>
        <w:right w:val="none" w:sz="0" w:space="0" w:color="auto"/>
      </w:divBdr>
    </w:div>
    <w:div w:id="1019966593">
      <w:bodyDiv w:val="1"/>
      <w:marLeft w:val="0"/>
      <w:marRight w:val="0"/>
      <w:marTop w:val="0"/>
      <w:marBottom w:val="0"/>
      <w:divBdr>
        <w:top w:val="none" w:sz="0" w:space="0" w:color="auto"/>
        <w:left w:val="none" w:sz="0" w:space="0" w:color="auto"/>
        <w:bottom w:val="none" w:sz="0" w:space="0" w:color="auto"/>
        <w:right w:val="none" w:sz="0" w:space="0" w:color="auto"/>
      </w:divBdr>
    </w:div>
    <w:div w:id="1027098342">
      <w:bodyDiv w:val="1"/>
      <w:marLeft w:val="0"/>
      <w:marRight w:val="0"/>
      <w:marTop w:val="0"/>
      <w:marBottom w:val="0"/>
      <w:divBdr>
        <w:top w:val="none" w:sz="0" w:space="0" w:color="auto"/>
        <w:left w:val="none" w:sz="0" w:space="0" w:color="auto"/>
        <w:bottom w:val="none" w:sz="0" w:space="0" w:color="auto"/>
        <w:right w:val="none" w:sz="0" w:space="0" w:color="auto"/>
      </w:divBdr>
    </w:div>
    <w:div w:id="1031413644">
      <w:bodyDiv w:val="1"/>
      <w:marLeft w:val="0"/>
      <w:marRight w:val="0"/>
      <w:marTop w:val="0"/>
      <w:marBottom w:val="0"/>
      <w:divBdr>
        <w:top w:val="none" w:sz="0" w:space="0" w:color="auto"/>
        <w:left w:val="none" w:sz="0" w:space="0" w:color="auto"/>
        <w:bottom w:val="none" w:sz="0" w:space="0" w:color="auto"/>
        <w:right w:val="none" w:sz="0" w:space="0" w:color="auto"/>
      </w:divBdr>
    </w:div>
    <w:div w:id="1042561743">
      <w:bodyDiv w:val="1"/>
      <w:marLeft w:val="0"/>
      <w:marRight w:val="0"/>
      <w:marTop w:val="0"/>
      <w:marBottom w:val="0"/>
      <w:divBdr>
        <w:top w:val="none" w:sz="0" w:space="0" w:color="auto"/>
        <w:left w:val="none" w:sz="0" w:space="0" w:color="auto"/>
        <w:bottom w:val="none" w:sz="0" w:space="0" w:color="auto"/>
        <w:right w:val="none" w:sz="0" w:space="0" w:color="auto"/>
      </w:divBdr>
    </w:div>
    <w:div w:id="1068843845">
      <w:bodyDiv w:val="1"/>
      <w:marLeft w:val="0"/>
      <w:marRight w:val="0"/>
      <w:marTop w:val="0"/>
      <w:marBottom w:val="0"/>
      <w:divBdr>
        <w:top w:val="none" w:sz="0" w:space="0" w:color="auto"/>
        <w:left w:val="none" w:sz="0" w:space="0" w:color="auto"/>
        <w:bottom w:val="none" w:sz="0" w:space="0" w:color="auto"/>
        <w:right w:val="none" w:sz="0" w:space="0" w:color="auto"/>
      </w:divBdr>
    </w:div>
    <w:div w:id="1072237324">
      <w:bodyDiv w:val="1"/>
      <w:marLeft w:val="0"/>
      <w:marRight w:val="0"/>
      <w:marTop w:val="0"/>
      <w:marBottom w:val="0"/>
      <w:divBdr>
        <w:top w:val="none" w:sz="0" w:space="0" w:color="auto"/>
        <w:left w:val="none" w:sz="0" w:space="0" w:color="auto"/>
        <w:bottom w:val="none" w:sz="0" w:space="0" w:color="auto"/>
        <w:right w:val="none" w:sz="0" w:space="0" w:color="auto"/>
      </w:divBdr>
    </w:div>
    <w:div w:id="1088383844">
      <w:bodyDiv w:val="1"/>
      <w:marLeft w:val="0"/>
      <w:marRight w:val="0"/>
      <w:marTop w:val="0"/>
      <w:marBottom w:val="0"/>
      <w:divBdr>
        <w:top w:val="none" w:sz="0" w:space="0" w:color="auto"/>
        <w:left w:val="none" w:sz="0" w:space="0" w:color="auto"/>
        <w:bottom w:val="none" w:sz="0" w:space="0" w:color="auto"/>
        <w:right w:val="none" w:sz="0" w:space="0" w:color="auto"/>
      </w:divBdr>
    </w:div>
    <w:div w:id="1098136691">
      <w:bodyDiv w:val="1"/>
      <w:marLeft w:val="0"/>
      <w:marRight w:val="0"/>
      <w:marTop w:val="0"/>
      <w:marBottom w:val="0"/>
      <w:divBdr>
        <w:top w:val="none" w:sz="0" w:space="0" w:color="auto"/>
        <w:left w:val="none" w:sz="0" w:space="0" w:color="auto"/>
        <w:bottom w:val="none" w:sz="0" w:space="0" w:color="auto"/>
        <w:right w:val="none" w:sz="0" w:space="0" w:color="auto"/>
      </w:divBdr>
    </w:div>
    <w:div w:id="1133594828">
      <w:bodyDiv w:val="1"/>
      <w:marLeft w:val="0"/>
      <w:marRight w:val="0"/>
      <w:marTop w:val="0"/>
      <w:marBottom w:val="0"/>
      <w:divBdr>
        <w:top w:val="none" w:sz="0" w:space="0" w:color="auto"/>
        <w:left w:val="none" w:sz="0" w:space="0" w:color="auto"/>
        <w:bottom w:val="none" w:sz="0" w:space="0" w:color="auto"/>
        <w:right w:val="none" w:sz="0" w:space="0" w:color="auto"/>
      </w:divBdr>
    </w:div>
    <w:div w:id="1133911103">
      <w:bodyDiv w:val="1"/>
      <w:marLeft w:val="0"/>
      <w:marRight w:val="0"/>
      <w:marTop w:val="0"/>
      <w:marBottom w:val="0"/>
      <w:divBdr>
        <w:top w:val="none" w:sz="0" w:space="0" w:color="auto"/>
        <w:left w:val="none" w:sz="0" w:space="0" w:color="auto"/>
        <w:bottom w:val="none" w:sz="0" w:space="0" w:color="auto"/>
        <w:right w:val="none" w:sz="0" w:space="0" w:color="auto"/>
      </w:divBdr>
    </w:div>
    <w:div w:id="1137842795">
      <w:bodyDiv w:val="1"/>
      <w:marLeft w:val="0"/>
      <w:marRight w:val="0"/>
      <w:marTop w:val="0"/>
      <w:marBottom w:val="0"/>
      <w:divBdr>
        <w:top w:val="none" w:sz="0" w:space="0" w:color="auto"/>
        <w:left w:val="none" w:sz="0" w:space="0" w:color="auto"/>
        <w:bottom w:val="none" w:sz="0" w:space="0" w:color="auto"/>
        <w:right w:val="none" w:sz="0" w:space="0" w:color="auto"/>
      </w:divBdr>
    </w:div>
    <w:div w:id="1139304518">
      <w:bodyDiv w:val="1"/>
      <w:marLeft w:val="0"/>
      <w:marRight w:val="0"/>
      <w:marTop w:val="0"/>
      <w:marBottom w:val="0"/>
      <w:divBdr>
        <w:top w:val="none" w:sz="0" w:space="0" w:color="auto"/>
        <w:left w:val="none" w:sz="0" w:space="0" w:color="auto"/>
        <w:bottom w:val="none" w:sz="0" w:space="0" w:color="auto"/>
        <w:right w:val="none" w:sz="0" w:space="0" w:color="auto"/>
      </w:divBdr>
    </w:div>
    <w:div w:id="1139417561">
      <w:bodyDiv w:val="1"/>
      <w:marLeft w:val="0"/>
      <w:marRight w:val="0"/>
      <w:marTop w:val="0"/>
      <w:marBottom w:val="0"/>
      <w:divBdr>
        <w:top w:val="none" w:sz="0" w:space="0" w:color="auto"/>
        <w:left w:val="none" w:sz="0" w:space="0" w:color="auto"/>
        <w:bottom w:val="none" w:sz="0" w:space="0" w:color="auto"/>
        <w:right w:val="none" w:sz="0" w:space="0" w:color="auto"/>
      </w:divBdr>
    </w:div>
    <w:div w:id="1164249206">
      <w:bodyDiv w:val="1"/>
      <w:marLeft w:val="0"/>
      <w:marRight w:val="0"/>
      <w:marTop w:val="0"/>
      <w:marBottom w:val="0"/>
      <w:divBdr>
        <w:top w:val="none" w:sz="0" w:space="0" w:color="auto"/>
        <w:left w:val="none" w:sz="0" w:space="0" w:color="auto"/>
        <w:bottom w:val="none" w:sz="0" w:space="0" w:color="auto"/>
        <w:right w:val="none" w:sz="0" w:space="0" w:color="auto"/>
      </w:divBdr>
    </w:div>
    <w:div w:id="1184247551">
      <w:bodyDiv w:val="1"/>
      <w:marLeft w:val="0"/>
      <w:marRight w:val="0"/>
      <w:marTop w:val="0"/>
      <w:marBottom w:val="0"/>
      <w:divBdr>
        <w:top w:val="none" w:sz="0" w:space="0" w:color="auto"/>
        <w:left w:val="none" w:sz="0" w:space="0" w:color="auto"/>
        <w:bottom w:val="none" w:sz="0" w:space="0" w:color="auto"/>
        <w:right w:val="none" w:sz="0" w:space="0" w:color="auto"/>
      </w:divBdr>
    </w:div>
    <w:div w:id="1191262031">
      <w:bodyDiv w:val="1"/>
      <w:marLeft w:val="0"/>
      <w:marRight w:val="0"/>
      <w:marTop w:val="0"/>
      <w:marBottom w:val="0"/>
      <w:divBdr>
        <w:top w:val="none" w:sz="0" w:space="0" w:color="auto"/>
        <w:left w:val="none" w:sz="0" w:space="0" w:color="auto"/>
        <w:bottom w:val="none" w:sz="0" w:space="0" w:color="auto"/>
        <w:right w:val="none" w:sz="0" w:space="0" w:color="auto"/>
      </w:divBdr>
    </w:div>
    <w:div w:id="1206680923">
      <w:bodyDiv w:val="1"/>
      <w:marLeft w:val="0"/>
      <w:marRight w:val="0"/>
      <w:marTop w:val="0"/>
      <w:marBottom w:val="0"/>
      <w:divBdr>
        <w:top w:val="none" w:sz="0" w:space="0" w:color="auto"/>
        <w:left w:val="none" w:sz="0" w:space="0" w:color="auto"/>
        <w:bottom w:val="none" w:sz="0" w:space="0" w:color="auto"/>
        <w:right w:val="none" w:sz="0" w:space="0" w:color="auto"/>
      </w:divBdr>
    </w:div>
    <w:div w:id="1217165536">
      <w:bodyDiv w:val="1"/>
      <w:marLeft w:val="0"/>
      <w:marRight w:val="0"/>
      <w:marTop w:val="0"/>
      <w:marBottom w:val="0"/>
      <w:divBdr>
        <w:top w:val="none" w:sz="0" w:space="0" w:color="auto"/>
        <w:left w:val="none" w:sz="0" w:space="0" w:color="auto"/>
        <w:bottom w:val="none" w:sz="0" w:space="0" w:color="auto"/>
        <w:right w:val="none" w:sz="0" w:space="0" w:color="auto"/>
      </w:divBdr>
    </w:div>
    <w:div w:id="1221406876">
      <w:bodyDiv w:val="1"/>
      <w:marLeft w:val="0"/>
      <w:marRight w:val="0"/>
      <w:marTop w:val="0"/>
      <w:marBottom w:val="0"/>
      <w:divBdr>
        <w:top w:val="none" w:sz="0" w:space="0" w:color="auto"/>
        <w:left w:val="none" w:sz="0" w:space="0" w:color="auto"/>
        <w:bottom w:val="none" w:sz="0" w:space="0" w:color="auto"/>
        <w:right w:val="none" w:sz="0" w:space="0" w:color="auto"/>
      </w:divBdr>
    </w:div>
    <w:div w:id="1238901635">
      <w:bodyDiv w:val="1"/>
      <w:marLeft w:val="0"/>
      <w:marRight w:val="0"/>
      <w:marTop w:val="0"/>
      <w:marBottom w:val="0"/>
      <w:divBdr>
        <w:top w:val="none" w:sz="0" w:space="0" w:color="auto"/>
        <w:left w:val="none" w:sz="0" w:space="0" w:color="auto"/>
        <w:bottom w:val="none" w:sz="0" w:space="0" w:color="auto"/>
        <w:right w:val="none" w:sz="0" w:space="0" w:color="auto"/>
      </w:divBdr>
    </w:div>
    <w:div w:id="1248417775">
      <w:bodyDiv w:val="1"/>
      <w:marLeft w:val="0"/>
      <w:marRight w:val="0"/>
      <w:marTop w:val="0"/>
      <w:marBottom w:val="0"/>
      <w:divBdr>
        <w:top w:val="none" w:sz="0" w:space="0" w:color="auto"/>
        <w:left w:val="none" w:sz="0" w:space="0" w:color="auto"/>
        <w:bottom w:val="none" w:sz="0" w:space="0" w:color="auto"/>
        <w:right w:val="none" w:sz="0" w:space="0" w:color="auto"/>
      </w:divBdr>
    </w:div>
    <w:div w:id="1275403550">
      <w:bodyDiv w:val="1"/>
      <w:marLeft w:val="0"/>
      <w:marRight w:val="0"/>
      <w:marTop w:val="0"/>
      <w:marBottom w:val="0"/>
      <w:divBdr>
        <w:top w:val="none" w:sz="0" w:space="0" w:color="auto"/>
        <w:left w:val="none" w:sz="0" w:space="0" w:color="auto"/>
        <w:bottom w:val="none" w:sz="0" w:space="0" w:color="auto"/>
        <w:right w:val="none" w:sz="0" w:space="0" w:color="auto"/>
      </w:divBdr>
    </w:div>
    <w:div w:id="1282809379">
      <w:bodyDiv w:val="1"/>
      <w:marLeft w:val="0"/>
      <w:marRight w:val="0"/>
      <w:marTop w:val="0"/>
      <w:marBottom w:val="0"/>
      <w:divBdr>
        <w:top w:val="none" w:sz="0" w:space="0" w:color="auto"/>
        <w:left w:val="none" w:sz="0" w:space="0" w:color="auto"/>
        <w:bottom w:val="none" w:sz="0" w:space="0" w:color="auto"/>
        <w:right w:val="none" w:sz="0" w:space="0" w:color="auto"/>
      </w:divBdr>
    </w:div>
    <w:div w:id="1300113733">
      <w:bodyDiv w:val="1"/>
      <w:marLeft w:val="0"/>
      <w:marRight w:val="0"/>
      <w:marTop w:val="0"/>
      <w:marBottom w:val="0"/>
      <w:divBdr>
        <w:top w:val="none" w:sz="0" w:space="0" w:color="auto"/>
        <w:left w:val="none" w:sz="0" w:space="0" w:color="auto"/>
        <w:bottom w:val="none" w:sz="0" w:space="0" w:color="auto"/>
        <w:right w:val="none" w:sz="0" w:space="0" w:color="auto"/>
      </w:divBdr>
    </w:div>
    <w:div w:id="1305038859">
      <w:bodyDiv w:val="1"/>
      <w:marLeft w:val="0"/>
      <w:marRight w:val="0"/>
      <w:marTop w:val="0"/>
      <w:marBottom w:val="0"/>
      <w:divBdr>
        <w:top w:val="none" w:sz="0" w:space="0" w:color="auto"/>
        <w:left w:val="none" w:sz="0" w:space="0" w:color="auto"/>
        <w:bottom w:val="none" w:sz="0" w:space="0" w:color="auto"/>
        <w:right w:val="none" w:sz="0" w:space="0" w:color="auto"/>
      </w:divBdr>
    </w:div>
    <w:div w:id="1332219630">
      <w:bodyDiv w:val="1"/>
      <w:marLeft w:val="0"/>
      <w:marRight w:val="0"/>
      <w:marTop w:val="0"/>
      <w:marBottom w:val="0"/>
      <w:divBdr>
        <w:top w:val="none" w:sz="0" w:space="0" w:color="auto"/>
        <w:left w:val="none" w:sz="0" w:space="0" w:color="auto"/>
        <w:bottom w:val="none" w:sz="0" w:space="0" w:color="auto"/>
        <w:right w:val="none" w:sz="0" w:space="0" w:color="auto"/>
      </w:divBdr>
    </w:div>
    <w:div w:id="1380862978">
      <w:bodyDiv w:val="1"/>
      <w:marLeft w:val="0"/>
      <w:marRight w:val="0"/>
      <w:marTop w:val="0"/>
      <w:marBottom w:val="0"/>
      <w:divBdr>
        <w:top w:val="none" w:sz="0" w:space="0" w:color="auto"/>
        <w:left w:val="none" w:sz="0" w:space="0" w:color="auto"/>
        <w:bottom w:val="none" w:sz="0" w:space="0" w:color="auto"/>
        <w:right w:val="none" w:sz="0" w:space="0" w:color="auto"/>
      </w:divBdr>
    </w:div>
    <w:div w:id="1386678382">
      <w:bodyDiv w:val="1"/>
      <w:marLeft w:val="0"/>
      <w:marRight w:val="0"/>
      <w:marTop w:val="0"/>
      <w:marBottom w:val="0"/>
      <w:divBdr>
        <w:top w:val="none" w:sz="0" w:space="0" w:color="auto"/>
        <w:left w:val="none" w:sz="0" w:space="0" w:color="auto"/>
        <w:bottom w:val="none" w:sz="0" w:space="0" w:color="auto"/>
        <w:right w:val="none" w:sz="0" w:space="0" w:color="auto"/>
      </w:divBdr>
    </w:div>
    <w:div w:id="1413815723">
      <w:bodyDiv w:val="1"/>
      <w:marLeft w:val="0"/>
      <w:marRight w:val="0"/>
      <w:marTop w:val="0"/>
      <w:marBottom w:val="0"/>
      <w:divBdr>
        <w:top w:val="none" w:sz="0" w:space="0" w:color="auto"/>
        <w:left w:val="none" w:sz="0" w:space="0" w:color="auto"/>
        <w:bottom w:val="none" w:sz="0" w:space="0" w:color="auto"/>
        <w:right w:val="none" w:sz="0" w:space="0" w:color="auto"/>
      </w:divBdr>
    </w:div>
    <w:div w:id="1428386176">
      <w:bodyDiv w:val="1"/>
      <w:marLeft w:val="0"/>
      <w:marRight w:val="0"/>
      <w:marTop w:val="0"/>
      <w:marBottom w:val="0"/>
      <w:divBdr>
        <w:top w:val="none" w:sz="0" w:space="0" w:color="auto"/>
        <w:left w:val="none" w:sz="0" w:space="0" w:color="auto"/>
        <w:bottom w:val="none" w:sz="0" w:space="0" w:color="auto"/>
        <w:right w:val="none" w:sz="0" w:space="0" w:color="auto"/>
      </w:divBdr>
    </w:div>
    <w:div w:id="1456362878">
      <w:bodyDiv w:val="1"/>
      <w:marLeft w:val="0"/>
      <w:marRight w:val="0"/>
      <w:marTop w:val="0"/>
      <w:marBottom w:val="0"/>
      <w:divBdr>
        <w:top w:val="none" w:sz="0" w:space="0" w:color="auto"/>
        <w:left w:val="none" w:sz="0" w:space="0" w:color="auto"/>
        <w:bottom w:val="none" w:sz="0" w:space="0" w:color="auto"/>
        <w:right w:val="none" w:sz="0" w:space="0" w:color="auto"/>
      </w:divBdr>
    </w:div>
    <w:div w:id="1458597365">
      <w:bodyDiv w:val="1"/>
      <w:marLeft w:val="0"/>
      <w:marRight w:val="0"/>
      <w:marTop w:val="0"/>
      <w:marBottom w:val="0"/>
      <w:divBdr>
        <w:top w:val="none" w:sz="0" w:space="0" w:color="auto"/>
        <w:left w:val="none" w:sz="0" w:space="0" w:color="auto"/>
        <w:bottom w:val="none" w:sz="0" w:space="0" w:color="auto"/>
        <w:right w:val="none" w:sz="0" w:space="0" w:color="auto"/>
      </w:divBdr>
    </w:div>
    <w:div w:id="1467818832">
      <w:bodyDiv w:val="1"/>
      <w:marLeft w:val="0"/>
      <w:marRight w:val="0"/>
      <w:marTop w:val="0"/>
      <w:marBottom w:val="0"/>
      <w:divBdr>
        <w:top w:val="none" w:sz="0" w:space="0" w:color="auto"/>
        <w:left w:val="none" w:sz="0" w:space="0" w:color="auto"/>
        <w:bottom w:val="none" w:sz="0" w:space="0" w:color="auto"/>
        <w:right w:val="none" w:sz="0" w:space="0" w:color="auto"/>
      </w:divBdr>
    </w:div>
    <w:div w:id="1481849851">
      <w:bodyDiv w:val="1"/>
      <w:marLeft w:val="0"/>
      <w:marRight w:val="0"/>
      <w:marTop w:val="0"/>
      <w:marBottom w:val="0"/>
      <w:divBdr>
        <w:top w:val="none" w:sz="0" w:space="0" w:color="auto"/>
        <w:left w:val="none" w:sz="0" w:space="0" w:color="auto"/>
        <w:bottom w:val="none" w:sz="0" w:space="0" w:color="auto"/>
        <w:right w:val="none" w:sz="0" w:space="0" w:color="auto"/>
      </w:divBdr>
    </w:div>
    <w:div w:id="1502115982">
      <w:bodyDiv w:val="1"/>
      <w:marLeft w:val="0"/>
      <w:marRight w:val="0"/>
      <w:marTop w:val="0"/>
      <w:marBottom w:val="0"/>
      <w:divBdr>
        <w:top w:val="none" w:sz="0" w:space="0" w:color="auto"/>
        <w:left w:val="none" w:sz="0" w:space="0" w:color="auto"/>
        <w:bottom w:val="none" w:sz="0" w:space="0" w:color="auto"/>
        <w:right w:val="none" w:sz="0" w:space="0" w:color="auto"/>
      </w:divBdr>
    </w:div>
    <w:div w:id="1526603397">
      <w:bodyDiv w:val="1"/>
      <w:marLeft w:val="0"/>
      <w:marRight w:val="0"/>
      <w:marTop w:val="0"/>
      <w:marBottom w:val="0"/>
      <w:divBdr>
        <w:top w:val="none" w:sz="0" w:space="0" w:color="auto"/>
        <w:left w:val="none" w:sz="0" w:space="0" w:color="auto"/>
        <w:bottom w:val="none" w:sz="0" w:space="0" w:color="auto"/>
        <w:right w:val="none" w:sz="0" w:space="0" w:color="auto"/>
      </w:divBdr>
    </w:div>
    <w:div w:id="1528712230">
      <w:bodyDiv w:val="1"/>
      <w:marLeft w:val="0"/>
      <w:marRight w:val="0"/>
      <w:marTop w:val="0"/>
      <w:marBottom w:val="0"/>
      <w:divBdr>
        <w:top w:val="none" w:sz="0" w:space="0" w:color="auto"/>
        <w:left w:val="none" w:sz="0" w:space="0" w:color="auto"/>
        <w:bottom w:val="none" w:sz="0" w:space="0" w:color="auto"/>
        <w:right w:val="none" w:sz="0" w:space="0" w:color="auto"/>
      </w:divBdr>
    </w:div>
    <w:div w:id="1533109834">
      <w:bodyDiv w:val="1"/>
      <w:marLeft w:val="0"/>
      <w:marRight w:val="0"/>
      <w:marTop w:val="0"/>
      <w:marBottom w:val="0"/>
      <w:divBdr>
        <w:top w:val="none" w:sz="0" w:space="0" w:color="auto"/>
        <w:left w:val="none" w:sz="0" w:space="0" w:color="auto"/>
        <w:bottom w:val="none" w:sz="0" w:space="0" w:color="auto"/>
        <w:right w:val="none" w:sz="0" w:space="0" w:color="auto"/>
      </w:divBdr>
    </w:div>
    <w:div w:id="1543398619">
      <w:bodyDiv w:val="1"/>
      <w:marLeft w:val="0"/>
      <w:marRight w:val="0"/>
      <w:marTop w:val="0"/>
      <w:marBottom w:val="0"/>
      <w:divBdr>
        <w:top w:val="none" w:sz="0" w:space="0" w:color="auto"/>
        <w:left w:val="none" w:sz="0" w:space="0" w:color="auto"/>
        <w:bottom w:val="none" w:sz="0" w:space="0" w:color="auto"/>
        <w:right w:val="none" w:sz="0" w:space="0" w:color="auto"/>
      </w:divBdr>
    </w:div>
    <w:div w:id="1549151282">
      <w:bodyDiv w:val="1"/>
      <w:marLeft w:val="0"/>
      <w:marRight w:val="0"/>
      <w:marTop w:val="0"/>
      <w:marBottom w:val="0"/>
      <w:divBdr>
        <w:top w:val="none" w:sz="0" w:space="0" w:color="auto"/>
        <w:left w:val="none" w:sz="0" w:space="0" w:color="auto"/>
        <w:bottom w:val="none" w:sz="0" w:space="0" w:color="auto"/>
        <w:right w:val="none" w:sz="0" w:space="0" w:color="auto"/>
      </w:divBdr>
    </w:div>
    <w:div w:id="1558708986">
      <w:bodyDiv w:val="1"/>
      <w:marLeft w:val="0"/>
      <w:marRight w:val="0"/>
      <w:marTop w:val="0"/>
      <w:marBottom w:val="0"/>
      <w:divBdr>
        <w:top w:val="none" w:sz="0" w:space="0" w:color="auto"/>
        <w:left w:val="none" w:sz="0" w:space="0" w:color="auto"/>
        <w:bottom w:val="none" w:sz="0" w:space="0" w:color="auto"/>
        <w:right w:val="none" w:sz="0" w:space="0" w:color="auto"/>
      </w:divBdr>
    </w:div>
    <w:div w:id="1570724620">
      <w:bodyDiv w:val="1"/>
      <w:marLeft w:val="0"/>
      <w:marRight w:val="0"/>
      <w:marTop w:val="0"/>
      <w:marBottom w:val="0"/>
      <w:divBdr>
        <w:top w:val="none" w:sz="0" w:space="0" w:color="auto"/>
        <w:left w:val="none" w:sz="0" w:space="0" w:color="auto"/>
        <w:bottom w:val="none" w:sz="0" w:space="0" w:color="auto"/>
        <w:right w:val="none" w:sz="0" w:space="0" w:color="auto"/>
      </w:divBdr>
    </w:div>
    <w:div w:id="1580096840">
      <w:bodyDiv w:val="1"/>
      <w:marLeft w:val="0"/>
      <w:marRight w:val="0"/>
      <w:marTop w:val="0"/>
      <w:marBottom w:val="0"/>
      <w:divBdr>
        <w:top w:val="none" w:sz="0" w:space="0" w:color="auto"/>
        <w:left w:val="none" w:sz="0" w:space="0" w:color="auto"/>
        <w:bottom w:val="none" w:sz="0" w:space="0" w:color="auto"/>
        <w:right w:val="none" w:sz="0" w:space="0" w:color="auto"/>
      </w:divBdr>
    </w:div>
    <w:div w:id="1591424312">
      <w:bodyDiv w:val="1"/>
      <w:marLeft w:val="0"/>
      <w:marRight w:val="0"/>
      <w:marTop w:val="0"/>
      <w:marBottom w:val="0"/>
      <w:divBdr>
        <w:top w:val="none" w:sz="0" w:space="0" w:color="auto"/>
        <w:left w:val="none" w:sz="0" w:space="0" w:color="auto"/>
        <w:bottom w:val="none" w:sz="0" w:space="0" w:color="auto"/>
        <w:right w:val="none" w:sz="0" w:space="0" w:color="auto"/>
      </w:divBdr>
    </w:div>
    <w:div w:id="1610048278">
      <w:bodyDiv w:val="1"/>
      <w:marLeft w:val="0"/>
      <w:marRight w:val="0"/>
      <w:marTop w:val="0"/>
      <w:marBottom w:val="0"/>
      <w:divBdr>
        <w:top w:val="none" w:sz="0" w:space="0" w:color="auto"/>
        <w:left w:val="none" w:sz="0" w:space="0" w:color="auto"/>
        <w:bottom w:val="none" w:sz="0" w:space="0" w:color="auto"/>
        <w:right w:val="none" w:sz="0" w:space="0" w:color="auto"/>
      </w:divBdr>
    </w:div>
    <w:div w:id="1611666093">
      <w:bodyDiv w:val="1"/>
      <w:marLeft w:val="0"/>
      <w:marRight w:val="0"/>
      <w:marTop w:val="0"/>
      <w:marBottom w:val="0"/>
      <w:divBdr>
        <w:top w:val="none" w:sz="0" w:space="0" w:color="auto"/>
        <w:left w:val="none" w:sz="0" w:space="0" w:color="auto"/>
        <w:bottom w:val="none" w:sz="0" w:space="0" w:color="auto"/>
        <w:right w:val="none" w:sz="0" w:space="0" w:color="auto"/>
      </w:divBdr>
    </w:div>
    <w:div w:id="1617954460">
      <w:bodyDiv w:val="1"/>
      <w:marLeft w:val="0"/>
      <w:marRight w:val="0"/>
      <w:marTop w:val="0"/>
      <w:marBottom w:val="0"/>
      <w:divBdr>
        <w:top w:val="none" w:sz="0" w:space="0" w:color="auto"/>
        <w:left w:val="none" w:sz="0" w:space="0" w:color="auto"/>
        <w:bottom w:val="none" w:sz="0" w:space="0" w:color="auto"/>
        <w:right w:val="none" w:sz="0" w:space="0" w:color="auto"/>
      </w:divBdr>
    </w:div>
    <w:div w:id="1620260500">
      <w:bodyDiv w:val="1"/>
      <w:marLeft w:val="0"/>
      <w:marRight w:val="0"/>
      <w:marTop w:val="0"/>
      <w:marBottom w:val="0"/>
      <w:divBdr>
        <w:top w:val="none" w:sz="0" w:space="0" w:color="auto"/>
        <w:left w:val="none" w:sz="0" w:space="0" w:color="auto"/>
        <w:bottom w:val="none" w:sz="0" w:space="0" w:color="auto"/>
        <w:right w:val="none" w:sz="0" w:space="0" w:color="auto"/>
      </w:divBdr>
    </w:div>
    <w:div w:id="1631395298">
      <w:bodyDiv w:val="1"/>
      <w:marLeft w:val="0"/>
      <w:marRight w:val="0"/>
      <w:marTop w:val="0"/>
      <w:marBottom w:val="0"/>
      <w:divBdr>
        <w:top w:val="none" w:sz="0" w:space="0" w:color="auto"/>
        <w:left w:val="none" w:sz="0" w:space="0" w:color="auto"/>
        <w:bottom w:val="none" w:sz="0" w:space="0" w:color="auto"/>
        <w:right w:val="none" w:sz="0" w:space="0" w:color="auto"/>
      </w:divBdr>
    </w:div>
    <w:div w:id="1638417867">
      <w:bodyDiv w:val="1"/>
      <w:marLeft w:val="0"/>
      <w:marRight w:val="0"/>
      <w:marTop w:val="0"/>
      <w:marBottom w:val="0"/>
      <w:divBdr>
        <w:top w:val="none" w:sz="0" w:space="0" w:color="auto"/>
        <w:left w:val="none" w:sz="0" w:space="0" w:color="auto"/>
        <w:bottom w:val="none" w:sz="0" w:space="0" w:color="auto"/>
        <w:right w:val="none" w:sz="0" w:space="0" w:color="auto"/>
      </w:divBdr>
    </w:div>
    <w:div w:id="1639652023">
      <w:bodyDiv w:val="1"/>
      <w:marLeft w:val="0"/>
      <w:marRight w:val="0"/>
      <w:marTop w:val="0"/>
      <w:marBottom w:val="0"/>
      <w:divBdr>
        <w:top w:val="none" w:sz="0" w:space="0" w:color="auto"/>
        <w:left w:val="none" w:sz="0" w:space="0" w:color="auto"/>
        <w:bottom w:val="none" w:sz="0" w:space="0" w:color="auto"/>
        <w:right w:val="none" w:sz="0" w:space="0" w:color="auto"/>
      </w:divBdr>
    </w:div>
    <w:div w:id="1640308618">
      <w:bodyDiv w:val="1"/>
      <w:marLeft w:val="0"/>
      <w:marRight w:val="0"/>
      <w:marTop w:val="0"/>
      <w:marBottom w:val="0"/>
      <w:divBdr>
        <w:top w:val="none" w:sz="0" w:space="0" w:color="auto"/>
        <w:left w:val="none" w:sz="0" w:space="0" w:color="auto"/>
        <w:bottom w:val="none" w:sz="0" w:space="0" w:color="auto"/>
        <w:right w:val="none" w:sz="0" w:space="0" w:color="auto"/>
      </w:divBdr>
    </w:div>
    <w:div w:id="1644846713">
      <w:bodyDiv w:val="1"/>
      <w:marLeft w:val="0"/>
      <w:marRight w:val="0"/>
      <w:marTop w:val="0"/>
      <w:marBottom w:val="0"/>
      <w:divBdr>
        <w:top w:val="none" w:sz="0" w:space="0" w:color="auto"/>
        <w:left w:val="none" w:sz="0" w:space="0" w:color="auto"/>
        <w:bottom w:val="none" w:sz="0" w:space="0" w:color="auto"/>
        <w:right w:val="none" w:sz="0" w:space="0" w:color="auto"/>
      </w:divBdr>
    </w:div>
    <w:div w:id="1665860716">
      <w:bodyDiv w:val="1"/>
      <w:marLeft w:val="0"/>
      <w:marRight w:val="0"/>
      <w:marTop w:val="0"/>
      <w:marBottom w:val="0"/>
      <w:divBdr>
        <w:top w:val="none" w:sz="0" w:space="0" w:color="auto"/>
        <w:left w:val="none" w:sz="0" w:space="0" w:color="auto"/>
        <w:bottom w:val="none" w:sz="0" w:space="0" w:color="auto"/>
        <w:right w:val="none" w:sz="0" w:space="0" w:color="auto"/>
      </w:divBdr>
    </w:div>
    <w:div w:id="1666785950">
      <w:bodyDiv w:val="1"/>
      <w:marLeft w:val="0"/>
      <w:marRight w:val="0"/>
      <w:marTop w:val="0"/>
      <w:marBottom w:val="0"/>
      <w:divBdr>
        <w:top w:val="none" w:sz="0" w:space="0" w:color="auto"/>
        <w:left w:val="none" w:sz="0" w:space="0" w:color="auto"/>
        <w:bottom w:val="none" w:sz="0" w:space="0" w:color="auto"/>
        <w:right w:val="none" w:sz="0" w:space="0" w:color="auto"/>
      </w:divBdr>
    </w:div>
    <w:div w:id="1746998467">
      <w:bodyDiv w:val="1"/>
      <w:marLeft w:val="0"/>
      <w:marRight w:val="0"/>
      <w:marTop w:val="0"/>
      <w:marBottom w:val="0"/>
      <w:divBdr>
        <w:top w:val="none" w:sz="0" w:space="0" w:color="auto"/>
        <w:left w:val="none" w:sz="0" w:space="0" w:color="auto"/>
        <w:bottom w:val="none" w:sz="0" w:space="0" w:color="auto"/>
        <w:right w:val="none" w:sz="0" w:space="0" w:color="auto"/>
      </w:divBdr>
    </w:div>
    <w:div w:id="1781148147">
      <w:bodyDiv w:val="1"/>
      <w:marLeft w:val="0"/>
      <w:marRight w:val="0"/>
      <w:marTop w:val="0"/>
      <w:marBottom w:val="0"/>
      <w:divBdr>
        <w:top w:val="none" w:sz="0" w:space="0" w:color="auto"/>
        <w:left w:val="none" w:sz="0" w:space="0" w:color="auto"/>
        <w:bottom w:val="none" w:sz="0" w:space="0" w:color="auto"/>
        <w:right w:val="none" w:sz="0" w:space="0" w:color="auto"/>
      </w:divBdr>
    </w:div>
    <w:div w:id="1799493895">
      <w:bodyDiv w:val="1"/>
      <w:marLeft w:val="0"/>
      <w:marRight w:val="0"/>
      <w:marTop w:val="0"/>
      <w:marBottom w:val="0"/>
      <w:divBdr>
        <w:top w:val="none" w:sz="0" w:space="0" w:color="auto"/>
        <w:left w:val="none" w:sz="0" w:space="0" w:color="auto"/>
        <w:bottom w:val="none" w:sz="0" w:space="0" w:color="auto"/>
        <w:right w:val="none" w:sz="0" w:space="0" w:color="auto"/>
      </w:divBdr>
    </w:div>
    <w:div w:id="1809856868">
      <w:bodyDiv w:val="1"/>
      <w:marLeft w:val="0"/>
      <w:marRight w:val="0"/>
      <w:marTop w:val="0"/>
      <w:marBottom w:val="0"/>
      <w:divBdr>
        <w:top w:val="none" w:sz="0" w:space="0" w:color="auto"/>
        <w:left w:val="none" w:sz="0" w:space="0" w:color="auto"/>
        <w:bottom w:val="none" w:sz="0" w:space="0" w:color="auto"/>
        <w:right w:val="none" w:sz="0" w:space="0" w:color="auto"/>
      </w:divBdr>
    </w:div>
    <w:div w:id="1818574983">
      <w:bodyDiv w:val="1"/>
      <w:marLeft w:val="0"/>
      <w:marRight w:val="0"/>
      <w:marTop w:val="0"/>
      <w:marBottom w:val="0"/>
      <w:divBdr>
        <w:top w:val="none" w:sz="0" w:space="0" w:color="auto"/>
        <w:left w:val="none" w:sz="0" w:space="0" w:color="auto"/>
        <w:bottom w:val="none" w:sz="0" w:space="0" w:color="auto"/>
        <w:right w:val="none" w:sz="0" w:space="0" w:color="auto"/>
      </w:divBdr>
    </w:div>
    <w:div w:id="1820733418">
      <w:bodyDiv w:val="1"/>
      <w:marLeft w:val="0"/>
      <w:marRight w:val="0"/>
      <w:marTop w:val="0"/>
      <w:marBottom w:val="0"/>
      <w:divBdr>
        <w:top w:val="none" w:sz="0" w:space="0" w:color="auto"/>
        <w:left w:val="none" w:sz="0" w:space="0" w:color="auto"/>
        <w:bottom w:val="none" w:sz="0" w:space="0" w:color="auto"/>
        <w:right w:val="none" w:sz="0" w:space="0" w:color="auto"/>
      </w:divBdr>
    </w:div>
    <w:div w:id="1824272122">
      <w:bodyDiv w:val="1"/>
      <w:marLeft w:val="0"/>
      <w:marRight w:val="0"/>
      <w:marTop w:val="0"/>
      <w:marBottom w:val="0"/>
      <w:divBdr>
        <w:top w:val="none" w:sz="0" w:space="0" w:color="auto"/>
        <w:left w:val="none" w:sz="0" w:space="0" w:color="auto"/>
        <w:bottom w:val="none" w:sz="0" w:space="0" w:color="auto"/>
        <w:right w:val="none" w:sz="0" w:space="0" w:color="auto"/>
      </w:divBdr>
    </w:div>
    <w:div w:id="1854029540">
      <w:bodyDiv w:val="1"/>
      <w:marLeft w:val="0"/>
      <w:marRight w:val="0"/>
      <w:marTop w:val="0"/>
      <w:marBottom w:val="0"/>
      <w:divBdr>
        <w:top w:val="none" w:sz="0" w:space="0" w:color="auto"/>
        <w:left w:val="none" w:sz="0" w:space="0" w:color="auto"/>
        <w:bottom w:val="none" w:sz="0" w:space="0" w:color="auto"/>
        <w:right w:val="none" w:sz="0" w:space="0" w:color="auto"/>
      </w:divBdr>
    </w:div>
    <w:div w:id="1854412228">
      <w:bodyDiv w:val="1"/>
      <w:marLeft w:val="0"/>
      <w:marRight w:val="0"/>
      <w:marTop w:val="0"/>
      <w:marBottom w:val="0"/>
      <w:divBdr>
        <w:top w:val="none" w:sz="0" w:space="0" w:color="auto"/>
        <w:left w:val="none" w:sz="0" w:space="0" w:color="auto"/>
        <w:bottom w:val="none" w:sz="0" w:space="0" w:color="auto"/>
        <w:right w:val="none" w:sz="0" w:space="0" w:color="auto"/>
      </w:divBdr>
    </w:div>
    <w:div w:id="1861355061">
      <w:bodyDiv w:val="1"/>
      <w:marLeft w:val="0"/>
      <w:marRight w:val="0"/>
      <w:marTop w:val="0"/>
      <w:marBottom w:val="0"/>
      <w:divBdr>
        <w:top w:val="none" w:sz="0" w:space="0" w:color="auto"/>
        <w:left w:val="none" w:sz="0" w:space="0" w:color="auto"/>
        <w:bottom w:val="none" w:sz="0" w:space="0" w:color="auto"/>
        <w:right w:val="none" w:sz="0" w:space="0" w:color="auto"/>
      </w:divBdr>
    </w:div>
    <w:div w:id="1864828986">
      <w:bodyDiv w:val="1"/>
      <w:marLeft w:val="0"/>
      <w:marRight w:val="0"/>
      <w:marTop w:val="0"/>
      <w:marBottom w:val="0"/>
      <w:divBdr>
        <w:top w:val="none" w:sz="0" w:space="0" w:color="auto"/>
        <w:left w:val="none" w:sz="0" w:space="0" w:color="auto"/>
        <w:bottom w:val="none" w:sz="0" w:space="0" w:color="auto"/>
        <w:right w:val="none" w:sz="0" w:space="0" w:color="auto"/>
      </w:divBdr>
    </w:div>
    <w:div w:id="1874880995">
      <w:bodyDiv w:val="1"/>
      <w:marLeft w:val="0"/>
      <w:marRight w:val="0"/>
      <w:marTop w:val="0"/>
      <w:marBottom w:val="0"/>
      <w:divBdr>
        <w:top w:val="none" w:sz="0" w:space="0" w:color="auto"/>
        <w:left w:val="none" w:sz="0" w:space="0" w:color="auto"/>
        <w:bottom w:val="none" w:sz="0" w:space="0" w:color="auto"/>
        <w:right w:val="none" w:sz="0" w:space="0" w:color="auto"/>
      </w:divBdr>
    </w:div>
    <w:div w:id="1884633054">
      <w:bodyDiv w:val="1"/>
      <w:marLeft w:val="0"/>
      <w:marRight w:val="0"/>
      <w:marTop w:val="0"/>
      <w:marBottom w:val="0"/>
      <w:divBdr>
        <w:top w:val="none" w:sz="0" w:space="0" w:color="auto"/>
        <w:left w:val="none" w:sz="0" w:space="0" w:color="auto"/>
        <w:bottom w:val="none" w:sz="0" w:space="0" w:color="auto"/>
        <w:right w:val="none" w:sz="0" w:space="0" w:color="auto"/>
      </w:divBdr>
    </w:div>
    <w:div w:id="1886286794">
      <w:bodyDiv w:val="1"/>
      <w:marLeft w:val="0"/>
      <w:marRight w:val="0"/>
      <w:marTop w:val="0"/>
      <w:marBottom w:val="0"/>
      <w:divBdr>
        <w:top w:val="none" w:sz="0" w:space="0" w:color="auto"/>
        <w:left w:val="none" w:sz="0" w:space="0" w:color="auto"/>
        <w:bottom w:val="none" w:sz="0" w:space="0" w:color="auto"/>
        <w:right w:val="none" w:sz="0" w:space="0" w:color="auto"/>
      </w:divBdr>
    </w:div>
    <w:div w:id="1900893340">
      <w:bodyDiv w:val="1"/>
      <w:marLeft w:val="0"/>
      <w:marRight w:val="0"/>
      <w:marTop w:val="0"/>
      <w:marBottom w:val="0"/>
      <w:divBdr>
        <w:top w:val="none" w:sz="0" w:space="0" w:color="auto"/>
        <w:left w:val="none" w:sz="0" w:space="0" w:color="auto"/>
        <w:bottom w:val="none" w:sz="0" w:space="0" w:color="auto"/>
        <w:right w:val="none" w:sz="0" w:space="0" w:color="auto"/>
      </w:divBdr>
    </w:div>
    <w:div w:id="1924417082">
      <w:bodyDiv w:val="1"/>
      <w:marLeft w:val="0"/>
      <w:marRight w:val="0"/>
      <w:marTop w:val="0"/>
      <w:marBottom w:val="0"/>
      <w:divBdr>
        <w:top w:val="none" w:sz="0" w:space="0" w:color="auto"/>
        <w:left w:val="none" w:sz="0" w:space="0" w:color="auto"/>
        <w:bottom w:val="none" w:sz="0" w:space="0" w:color="auto"/>
        <w:right w:val="none" w:sz="0" w:space="0" w:color="auto"/>
      </w:divBdr>
    </w:div>
    <w:div w:id="1926839809">
      <w:bodyDiv w:val="1"/>
      <w:marLeft w:val="0"/>
      <w:marRight w:val="0"/>
      <w:marTop w:val="0"/>
      <w:marBottom w:val="0"/>
      <w:divBdr>
        <w:top w:val="none" w:sz="0" w:space="0" w:color="auto"/>
        <w:left w:val="none" w:sz="0" w:space="0" w:color="auto"/>
        <w:bottom w:val="none" w:sz="0" w:space="0" w:color="auto"/>
        <w:right w:val="none" w:sz="0" w:space="0" w:color="auto"/>
      </w:divBdr>
    </w:div>
    <w:div w:id="1947469306">
      <w:bodyDiv w:val="1"/>
      <w:marLeft w:val="0"/>
      <w:marRight w:val="0"/>
      <w:marTop w:val="0"/>
      <w:marBottom w:val="0"/>
      <w:divBdr>
        <w:top w:val="none" w:sz="0" w:space="0" w:color="auto"/>
        <w:left w:val="none" w:sz="0" w:space="0" w:color="auto"/>
        <w:bottom w:val="none" w:sz="0" w:space="0" w:color="auto"/>
        <w:right w:val="none" w:sz="0" w:space="0" w:color="auto"/>
      </w:divBdr>
    </w:div>
    <w:div w:id="1971864826">
      <w:bodyDiv w:val="1"/>
      <w:marLeft w:val="0"/>
      <w:marRight w:val="0"/>
      <w:marTop w:val="0"/>
      <w:marBottom w:val="0"/>
      <w:divBdr>
        <w:top w:val="none" w:sz="0" w:space="0" w:color="auto"/>
        <w:left w:val="none" w:sz="0" w:space="0" w:color="auto"/>
        <w:bottom w:val="none" w:sz="0" w:space="0" w:color="auto"/>
        <w:right w:val="none" w:sz="0" w:space="0" w:color="auto"/>
      </w:divBdr>
    </w:div>
    <w:div w:id="1972204288">
      <w:bodyDiv w:val="1"/>
      <w:marLeft w:val="0"/>
      <w:marRight w:val="0"/>
      <w:marTop w:val="0"/>
      <w:marBottom w:val="0"/>
      <w:divBdr>
        <w:top w:val="none" w:sz="0" w:space="0" w:color="auto"/>
        <w:left w:val="none" w:sz="0" w:space="0" w:color="auto"/>
        <w:bottom w:val="none" w:sz="0" w:space="0" w:color="auto"/>
        <w:right w:val="none" w:sz="0" w:space="0" w:color="auto"/>
      </w:divBdr>
    </w:div>
    <w:div w:id="1990328872">
      <w:bodyDiv w:val="1"/>
      <w:marLeft w:val="0"/>
      <w:marRight w:val="0"/>
      <w:marTop w:val="0"/>
      <w:marBottom w:val="0"/>
      <w:divBdr>
        <w:top w:val="none" w:sz="0" w:space="0" w:color="auto"/>
        <w:left w:val="none" w:sz="0" w:space="0" w:color="auto"/>
        <w:bottom w:val="none" w:sz="0" w:space="0" w:color="auto"/>
        <w:right w:val="none" w:sz="0" w:space="0" w:color="auto"/>
      </w:divBdr>
    </w:div>
    <w:div w:id="2006856539">
      <w:bodyDiv w:val="1"/>
      <w:marLeft w:val="0"/>
      <w:marRight w:val="0"/>
      <w:marTop w:val="0"/>
      <w:marBottom w:val="0"/>
      <w:divBdr>
        <w:top w:val="none" w:sz="0" w:space="0" w:color="auto"/>
        <w:left w:val="none" w:sz="0" w:space="0" w:color="auto"/>
        <w:bottom w:val="none" w:sz="0" w:space="0" w:color="auto"/>
        <w:right w:val="none" w:sz="0" w:space="0" w:color="auto"/>
      </w:divBdr>
    </w:div>
    <w:div w:id="2022658851">
      <w:bodyDiv w:val="1"/>
      <w:marLeft w:val="0"/>
      <w:marRight w:val="0"/>
      <w:marTop w:val="0"/>
      <w:marBottom w:val="0"/>
      <w:divBdr>
        <w:top w:val="none" w:sz="0" w:space="0" w:color="auto"/>
        <w:left w:val="none" w:sz="0" w:space="0" w:color="auto"/>
        <w:bottom w:val="none" w:sz="0" w:space="0" w:color="auto"/>
        <w:right w:val="none" w:sz="0" w:space="0" w:color="auto"/>
      </w:divBdr>
    </w:div>
    <w:div w:id="2024669447">
      <w:bodyDiv w:val="1"/>
      <w:marLeft w:val="0"/>
      <w:marRight w:val="0"/>
      <w:marTop w:val="0"/>
      <w:marBottom w:val="0"/>
      <w:divBdr>
        <w:top w:val="none" w:sz="0" w:space="0" w:color="auto"/>
        <w:left w:val="none" w:sz="0" w:space="0" w:color="auto"/>
        <w:bottom w:val="none" w:sz="0" w:space="0" w:color="auto"/>
        <w:right w:val="none" w:sz="0" w:space="0" w:color="auto"/>
      </w:divBdr>
    </w:div>
    <w:div w:id="2025935934">
      <w:bodyDiv w:val="1"/>
      <w:marLeft w:val="0"/>
      <w:marRight w:val="0"/>
      <w:marTop w:val="0"/>
      <w:marBottom w:val="0"/>
      <w:divBdr>
        <w:top w:val="none" w:sz="0" w:space="0" w:color="auto"/>
        <w:left w:val="none" w:sz="0" w:space="0" w:color="auto"/>
        <w:bottom w:val="none" w:sz="0" w:space="0" w:color="auto"/>
        <w:right w:val="none" w:sz="0" w:space="0" w:color="auto"/>
      </w:divBdr>
    </w:div>
    <w:div w:id="2080251173">
      <w:bodyDiv w:val="1"/>
      <w:marLeft w:val="0"/>
      <w:marRight w:val="0"/>
      <w:marTop w:val="0"/>
      <w:marBottom w:val="0"/>
      <w:divBdr>
        <w:top w:val="none" w:sz="0" w:space="0" w:color="auto"/>
        <w:left w:val="none" w:sz="0" w:space="0" w:color="auto"/>
        <w:bottom w:val="none" w:sz="0" w:space="0" w:color="auto"/>
        <w:right w:val="none" w:sz="0" w:space="0" w:color="auto"/>
      </w:divBdr>
    </w:div>
    <w:div w:id="2106030876">
      <w:bodyDiv w:val="1"/>
      <w:marLeft w:val="0"/>
      <w:marRight w:val="0"/>
      <w:marTop w:val="0"/>
      <w:marBottom w:val="0"/>
      <w:divBdr>
        <w:top w:val="none" w:sz="0" w:space="0" w:color="auto"/>
        <w:left w:val="none" w:sz="0" w:space="0" w:color="auto"/>
        <w:bottom w:val="none" w:sz="0" w:space="0" w:color="auto"/>
        <w:right w:val="none" w:sz="0" w:space="0" w:color="auto"/>
      </w:divBdr>
    </w:div>
    <w:div w:id="2112966944">
      <w:bodyDiv w:val="1"/>
      <w:marLeft w:val="0"/>
      <w:marRight w:val="0"/>
      <w:marTop w:val="0"/>
      <w:marBottom w:val="0"/>
      <w:divBdr>
        <w:top w:val="none" w:sz="0" w:space="0" w:color="auto"/>
        <w:left w:val="none" w:sz="0" w:space="0" w:color="auto"/>
        <w:bottom w:val="none" w:sz="0" w:space="0" w:color="auto"/>
        <w:right w:val="none" w:sz="0" w:space="0" w:color="auto"/>
      </w:divBdr>
    </w:div>
    <w:div w:id="2124227701">
      <w:bodyDiv w:val="1"/>
      <w:marLeft w:val="0"/>
      <w:marRight w:val="0"/>
      <w:marTop w:val="0"/>
      <w:marBottom w:val="0"/>
      <w:divBdr>
        <w:top w:val="none" w:sz="0" w:space="0" w:color="auto"/>
        <w:left w:val="none" w:sz="0" w:space="0" w:color="auto"/>
        <w:bottom w:val="none" w:sz="0" w:space="0" w:color="auto"/>
        <w:right w:val="none" w:sz="0" w:space="0" w:color="auto"/>
      </w:divBdr>
    </w:div>
    <w:div w:id="2134521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432A74-552B-4189-88E9-226C946BA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16241</Words>
  <Characters>92577</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108601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Iftikar</dc:creator>
  <cp:lastModifiedBy>Editor-1183</cp:lastModifiedBy>
  <cp:revision>4</cp:revision>
  <dcterms:created xsi:type="dcterms:W3CDTF">2026-01-16T20:40:00Z</dcterms:created>
  <dcterms:modified xsi:type="dcterms:W3CDTF">2026-01-19T06:23:00Z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995A0CC2EF524528AD75D2756A0B58BD_13</vt:lpwstr>
  </property>
  <property fmtid="{D5CDD505-2E9C-101B-9397-08002B2CF9AE}" pid="4" name="GrammarlyDocumentId">
    <vt:lpwstr>03c003cd-1516-453c-8e3c-162f8763d7c1</vt:lpwstr>
  </property>
</Properties>
</file>